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935EF">
      <w:pPr>
        <w:numPr>
          <w:ilvl w:val="0"/>
          <w:numId w:val="2"/>
        </w:numPr>
        <w:ind w:left="0" w:leftChars="0" w:firstLine="480" w:firstLineChars="0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</w:pPr>
      <w:bookmarkStart w:id="0" w:name="_Toc1766631472"/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技术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  <w:t>服务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整体方案</w:t>
      </w:r>
      <w:bookmarkEnd w:id="0"/>
    </w:p>
    <w:p w14:paraId="423CFAAD">
      <w:pPr>
        <w:pStyle w:val="3"/>
        <w:bidi w:val="0"/>
        <w:ind w:left="0" w:leftChars="0" w:hanging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建设依据</w:t>
      </w:r>
    </w:p>
    <w:p w14:paraId="6D552E7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本项目以数据门户AI经分超级数字员工为建设对象，依据数据门户功能规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范提出的建设范围，形成统一AI入口、专业智能体协同、经营分析报告生成、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多类型数据查询、报表分析及对外能力开放的项目技术方案。建设依托集团统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一PaaS组件和统一智能体平台，在既有门户及数据服务基础上扩展，不重新建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设与本项目无关的数据基础平台。</w:t>
      </w:r>
    </w:p>
    <w:p w14:paraId="0FF5FA75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建设工作应衔接《关于推进大数据“数字员工”建设的通知》提出的数字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员工建设方向，将自然语言需求转换为可执行、可校验、可审计的业务任务。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用户输入由统一入口受理，意图识别负责分类，专业智能体负责要素确认，工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作流负责固定步骤执行，工具及代码节点负责取数、规则计算和文件转换。</w:t>
      </w:r>
    </w:p>
    <w:p w14:paraId="224E2BE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技术设计以标准资产和真实数据作为输出依据。指标编码、报表入口、宽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表字段及关联关系均来自已登记目录或接口，权限来自统一身份和数据授权服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务。模型不得替代权限判断、SQL安全校验和确定性统计计算，也不得生成未经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查询的业务数值或不存在的访问地址。</w:t>
      </w:r>
    </w:p>
    <w:p w14:paraId="5B11C68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方案中的功能要求、处理边界和工具职责用于研发、集成、测试及交付。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新增接口路径、逻辑表结构和状态枚举为本项目设计契约，实施时应映射至统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一平台已有规范；涉及外部系统的地址、凭据及环境参数通过配置管理，不在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方案正文中固化生产秘密。</w:t>
      </w:r>
    </w:p>
    <w:p w14:paraId="3F9F16F7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原有门户搜索、指标接口、报表系统和数据服务作为复用能力保留。新增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AI能力故障不得直接中断原有搜索及报表访问；需要改变存量接口语义或授权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规则的事项，应单独完成影响分析和兼容性验证后实施。</w:t>
      </w:r>
    </w:p>
    <w:p w14:paraId="79AFF1D7">
      <w:pPr>
        <w:pStyle w:val="3"/>
        <w:bidi w:val="0"/>
      </w:pPr>
      <w:r>
        <w:rPr>
          <w:rFonts w:hint="eastAsia"/>
          <w:lang w:val="en-US" w:eastAsia="zh-CN"/>
        </w:rPr>
        <w:t>建设</w:t>
      </w:r>
      <w:r>
        <w:rPr>
          <w:rFonts w:ascii="黑体" w:hAnsi="黑体" w:eastAsia="黑体" w:cs="黑体"/>
          <w:b/>
          <w:color w:val="000000"/>
          <w:sz w:val="28"/>
        </w:rPr>
        <w:t>目的</w:t>
      </w:r>
    </w:p>
    <w:p w14:paraId="4B6D2642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建设统一AI服务入口，在数据门户首页提供轻量交互、AI搜索联动和全屏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会话，将指标选择、区域或网格选择及模板上传与自然语言输入结合。用户无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需重复切换多个工具，即可完成问数、口径查询、报表定位、报表分析及经分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材料生成。</w:t>
      </w:r>
    </w:p>
    <w:p w14:paraId="2CAE6A99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建设可复核的经营分析报告生成能力。系统确认区域、指标和账期后执行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查询，按上传或默认模板组织报告，基于下级指标和网格开展有数据依据的分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解分析，最终提供在线编辑和DOCX下载。生成数据、统计口径、模板版本及编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辑版本应可追踪。</w:t>
      </w:r>
    </w:p>
    <w:p w14:paraId="50937369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建设标准指标、报表、SQL和宽表多路径查询能力。标准指标优先使用指标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族及指标接口；报表查询交付真实入口；SQL与宽表执行统一只读与授权控制；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模糊问题通过指标和报表并行检索帮助用户确认目标。不同来源结果应明确标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识，防止临时宽表口径与正式指标混用。</w:t>
      </w:r>
    </w:p>
    <w:p w14:paraId="1005148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建设配置化报表分析能力。按报表编码维护分析维度、时间粒度、计算规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则和专用要求，以Agent完成灵活要素确认，以固定工作流完成查询、加工及生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成。可准确计算的汇总、变化率、占比和排名均由代码节点形成。</w:t>
      </w:r>
    </w:p>
    <w:p w14:paraId="1F4DAEB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形成可持续扩展的能力注册和开放服务体系，接入已有口径问答及需求分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析能力，通过标准接口和前端嵌入向其他平台提供服务。项目成效应通过功能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覆盖、查询正确性、引用一致性、权限隔离、异常恢复及真实场景验收确认，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不以模型回答长度作为建设效果指标。</w:t>
      </w:r>
    </w:p>
    <w:p w14:paraId="034830D9">
      <w:pPr>
        <w:pStyle w:val="3"/>
        <w:bidi w:val="0"/>
      </w:pPr>
      <w:r>
        <w:t>技术</w:t>
      </w:r>
      <w:r>
        <w:rPr>
          <w:rFonts w:hint="eastAsia"/>
          <w:lang w:val="en-US" w:eastAsia="zh-CN"/>
        </w:rPr>
        <w:t>服务</w:t>
      </w:r>
      <w:r>
        <w:t>整体方案</w:t>
      </w:r>
    </w:p>
    <w:p w14:paraId="3E5FCC37">
      <w:pPr>
        <w:pStyle w:val="4"/>
        <w:bidi w:val="0"/>
      </w:pPr>
      <w:r>
        <w:t xml:space="preserve"> 当前的现状</w:t>
      </w:r>
    </w:p>
    <w:p w14:paraId="1724501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数据门户已具备数据访问入口及指标、报表等基础服务，本次建设在其上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增加AI经分交互与分析能力。业务使用过程仍需人工识别查询对象、整理参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数、确认统计口径以及编制分析材料；查询、解释和报告之间缺少统一的任务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状态及数据依据关联。</w:t>
      </w:r>
    </w:p>
    <w:p w14:paraId="5EF4C2A9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用户自然语言表达存在简称、业务习惯用语、区域重名和账期省略等情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况。直接将问题交给模型生成SQL或正文，容易出现编码虚构、字段误用和数据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范围偏差。因此需要在意图识别与执行之间建立标准对象确认、元数据约束和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权限检查。</w:t>
      </w:r>
    </w:p>
    <w:p w14:paraId="5CF64515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同一类用户问题可能对应标准指标、现有报表或明细宽表。若不区分资产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类型与处理路径，系统可能将临时查询结果解释为标准指标，或者把报表入口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定位误判为报表内容分析。方案采用统一分类、专业处理和候选确认机制，明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确各路径的业务边界。</w:t>
      </w:r>
    </w:p>
    <w:p w14:paraId="2DC9EEF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报告生成涉及基础查询、模板解析、归因下钻、正文编辑及文件输出等多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个异步步骤。仅在前端维护加载状态无法准确识别后台完成情况；需要持久化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任务、节点状态、结果版本及错误原因，使断连、重试、取消和继续处理具备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确定行为。</w:t>
      </w:r>
    </w:p>
    <w:p w14:paraId="73A7B37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外部开放进一步扩大了身份传递与数据访问链路。平台必须区分应用身份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和最终用户身份，避免以应用服务账号替代全部用户权限；对外查询、报告下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载和后续会话访问均应沿用门户授权边界。</w:t>
      </w:r>
    </w:p>
    <w:p w14:paraId="5FFDEED8">
      <w:pPr>
        <w:pStyle w:val="4"/>
        <w:bidi w:val="0"/>
      </w:pPr>
      <w:r>
        <w:t xml:space="preserve"> 总体建设原则</w:t>
      </w:r>
    </w:p>
    <w:p w14:paraId="3F59DD9A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统一平台与存量复用。底层使用集团统一PaaS提供的数据库、消息、缓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存、认证和治理能力，AI编排使用统一智能体平台。已有指标、报表、口径和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需求分析服务通过适配层复用，业务层不重复维护相互冲突的目录和权限来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源。</w:t>
      </w:r>
    </w:p>
    <w:p w14:paraId="5FD4D0C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确定性执行与模型辅助分工。Agent承担语义理解、候选判断和补充询问，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工作流执行已确定步骤，MCP工具提供受控数据访问，代码节点负责计算和格式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整理。权限、SQL校验、任务终态和文件归属必须由服务端规则决定。</w:t>
      </w:r>
    </w:p>
    <w:p w14:paraId="4BFFBF7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数据依据可复核。每项分析关联指标或报表编码、区域、期间、参数、来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源数据和口径版本。缺失、零值、失败和不适用分别表达；不得为了生成完整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段落填充未知数值，也不得把相关性分解表述为已证实的业务因果。</w:t>
      </w:r>
    </w:p>
    <w:p w14:paraId="573BBBE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兼容与分阶段发布。新增入口、服务和工具通过功能开关或版本路由分批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开放，保留现有搜索及查询能力。接口新增优先保持兼容，破坏性变更须发布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新版本并明确迁移安排；灰度范围按用户、组织或能力配置。</w:t>
      </w:r>
    </w:p>
    <w:p w14:paraId="01F452C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安全控制贯穿执行链。身份、数据权限、文件访问和审计在入口、工具及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下载环节分别落实。智能体提示词和用户输入不能改变服务端权限；模型生成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内容、模板及检索片段都按不可信输入处理，不授予执行指令权限。</w:t>
      </w:r>
    </w:p>
    <w:p w14:paraId="5AF87A83">
      <w:pPr>
        <w:pStyle w:val="4"/>
        <w:bidi w:val="0"/>
      </w:pPr>
      <w:r>
        <w:t xml:space="preserve"> 整体设计思路</w:t>
      </w:r>
    </w:p>
    <w:p w14:paraId="0883615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整体采用门户交互、任务编排、智能体处理、受控工具和数据服务分层结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构。首页轻量入口、全屏对话及外部嵌入统一调用会话服务，会话服务登记请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求并传递标准任务对象；综合入口经意图识别分流，专业入口直接进入已选能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力。</w:t>
      </w:r>
    </w:p>
    <w:p w14:paraId="489E6EC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专业智能体先确认执行要素，再提交固定工作流。报告智能体确认区域指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标账期，指标查询确认标准指标及合法参数，报表分析确认报表权限时间维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度；SQL与宽表查询在实际执行前均通过独立安全工具，避免将自然语言输出直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接作为执行依据。</w:t>
      </w:r>
    </w:p>
    <w:p w14:paraId="32FA8F3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数据接口返回标准JSON，代码节点补齐列定义、单位、口径、时间和状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态，再形成图表数据或Markdown依据。模型引用已经完成的统计结果生成说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明，前端根据结果类型渲染文本、图表、报表链接或报告正文。不同类型结果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共享任务ID及追踪号。</w:t>
      </w:r>
    </w:p>
    <w:p w14:paraId="7678137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长任务通过异步状态和流式事件交付。任务受理立即返回标识，后续事件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按序号展示进度及结果；客户端断连可继续查询后台状态。任务取消、失败补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偿和重新生成分别记录动作，不以浏览器窗口生命周期代替业务任务生命周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期。</w:t>
      </w:r>
    </w:p>
    <w:p w14:paraId="304E682A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数据共享以复用受控服务和标准结果为主。经分报告、指标分析和报表分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析复用权限与查询工具，但保留各自口径和结果版本；开放平台通过适配器传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入最终用户授权上下文，返回同一结果协议，减少多套不一致实现。</w:t>
      </w:r>
    </w:p>
    <w:p w14:paraId="25EE59A7">
      <w:pPr>
        <w:pStyle w:val="4"/>
        <w:bidi w:val="0"/>
      </w:pPr>
      <w:r>
        <w:t xml:space="preserve"> 后续运营方案</w:t>
      </w:r>
    </w:p>
    <w:p w14:paraId="6471792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运行管理应覆盖门户入口、会话路由、模型调用、MCP工具、数据库查询、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知识库索引和文件转换。日常巡检检查服务可用性、任务积压、失败节点和数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据返回状态，按链路追踪号定位首个异常节点，区分前端展示异常与后台执行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异常。</w:t>
      </w:r>
    </w:p>
    <w:p w14:paraId="59108B68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业务运营重点维护指标别名、报表目录、模板、分析维度和使用指引。对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高频无匹配、反复追问、维度不支持及报告修订较多的场景建立问题台账，将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用户反馈关联到具体元数据、提示词和工具版本后处理。</w:t>
      </w:r>
    </w:p>
    <w:p w14:paraId="5AC9059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质量评估使用已标注的意图样本、指标匹配样本、标准查询结果和报告引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用检查集。模型或提示词升级前后对比同一测试集，分别观察准确率、拒绝正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确性、查询耗时与结果一致性；不得只依据少量演示问答判断发布质量。</w:t>
      </w:r>
    </w:p>
    <w:p w14:paraId="67F6EB6D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权限变更、目录停用、模板替换和工具升级纳入变更管理。配置发布应留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存审批或复核记录、版本差异及回退版本；历史任务引用的配置快照可追踪，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新的查询使用当前有效配置，避免旧权限或旧索引长期留在缓存中。</w:t>
      </w:r>
    </w:p>
    <w:p w14:paraId="2A211675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月度运营报告汇总有效调用、各类成功率、澄清轮次、数据质量问题和异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常闭环情况。分母口径应明确排除或单列参数非法与授权拒绝，不能把正常安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全拦截视为服务故障，也不能把无数据结果一律计为技术成功。</w:t>
      </w:r>
    </w:p>
    <w:p w14:paraId="21D8B1AB">
      <w:pPr>
        <w:pStyle w:val="4"/>
        <w:bidi w:val="0"/>
      </w:pPr>
      <w:r>
        <w:t xml:space="preserve"> 建设架构</w:t>
      </w:r>
    </w:p>
    <w:p w14:paraId="106FF98C">
      <w:pPr>
        <w:pStyle w:val="5"/>
        <w:bidi w:val="0"/>
      </w:pPr>
      <w:r>
        <w:t xml:space="preserve"> 技术架构</w:t>
      </w:r>
    </w:p>
    <w:p w14:paraId="2A0A093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sz w:val="24"/>
        </w:rPr>
        <w:t>本次AI经分系统所有功能研发采用集团统一PaaS组件，开发规范、接口标准统一，保障核心基础能力稳定，外围应用灵活，不断沉淀技术和业务组件，扩充平台能力。</w:t>
      </w:r>
    </w:p>
    <w:p w14:paraId="53F60C2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sz w:val="24"/>
        </w:rPr>
        <w:t>底层依托teledb/telepg数据库组件、Kafka和ctg-mq消息队列、ctg-cache缓存服务，实现核心数据存储与传输的高可用性；应用层使用自主研发的认证模块、服务治理与API网关，保障安全与流量管控；负载层面通过LVS/NGINX组合实现七层或四层负载均衡和反向代理，确保前端请求的高并发处理能力。</w:t>
      </w:r>
    </w:p>
    <w:p w14:paraId="5BE63C0C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sz w:val="24"/>
        </w:rPr>
        <w:t>AI经分能力构建于集团统一智能体平台之上，配套数据访问、权限校验、口径查询等MCP工具，智能体能力按“Agent＋工作流编排＋工具调用”的方式组合。总体技术架构图如下：</w:t>
      </w:r>
    </w:p>
    <w:p w14:paraId="0B88F6A6">
      <w:r>
        <w:drawing>
          <wp:inline distT="0" distB="0" distL="114300" distR="114300">
            <wp:extent cx="5224145" cy="4733925"/>
            <wp:effectExtent l="0" t="0" r="317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AA0CF">
      <w:pPr>
        <w:pStyle w:val="6"/>
        <w:bidi w:val="0"/>
      </w:pPr>
      <w:r>
        <w:t xml:space="preserve"> 前端层设计</w:t>
      </w:r>
    </w:p>
    <w:p w14:paraId="4237E0A9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技术架构采用规范规定的集团统一PaaS组件及智能体平台。前端通过统一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门户会话协议访问业务服务，业务服务经授权和任务管理调用Agent、工作流及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MCP工具，工具层对接指标、报表、元数据、权限及只读数据服务。</w:t>
      </w:r>
    </w:p>
    <w:tbl>
      <w:tblPr>
        <w:tblStyle w:val="20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5"/>
        <w:gridCol w:w="2160"/>
        <w:gridCol w:w="3821"/>
      </w:tblGrid>
      <w:tr w14:paraId="6C92C3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blHeader/>
        </w:trPr>
        <w:tc>
          <w:tcPr>
            <w:tcW w:w="2325" w:type="dxa"/>
            <w:shd w:val="clear" w:color="auto" w:fill="EDEDED"/>
          </w:tcPr>
          <w:p w14:paraId="14E1B2D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层级</w:t>
            </w:r>
          </w:p>
        </w:tc>
        <w:tc>
          <w:tcPr>
            <w:tcW w:w="2159" w:type="dxa"/>
            <w:shd w:val="clear" w:color="auto" w:fill="EDEDED"/>
          </w:tcPr>
          <w:p w14:paraId="5F49D98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构成</w:t>
            </w:r>
          </w:p>
        </w:tc>
        <w:tc>
          <w:tcPr>
            <w:tcW w:w="3820" w:type="dxa"/>
            <w:shd w:val="clear" w:color="auto" w:fill="EDEDED"/>
          </w:tcPr>
          <w:p w14:paraId="6D02EF7A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职责</w:t>
            </w:r>
          </w:p>
        </w:tc>
      </w:tr>
      <w:tr w14:paraId="36829A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26CC7D5A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前端层</w:t>
            </w:r>
          </w:p>
        </w:tc>
        <w:tc>
          <w:tcPr>
            <w:tcW w:w="2159" w:type="dxa"/>
          </w:tcPr>
          <w:p w14:paraId="73C814C8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HTML、Vuejs及门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户组件</w:t>
            </w:r>
          </w:p>
        </w:tc>
        <w:tc>
          <w:tcPr>
            <w:tcW w:w="3820" w:type="dxa"/>
          </w:tcPr>
          <w:p w14:paraId="25597674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轻量入口全屏交互与报告展示</w:t>
            </w:r>
          </w:p>
        </w:tc>
      </w:tr>
      <w:tr w14:paraId="405523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2BBADD6C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接入与治理</w:t>
            </w:r>
          </w:p>
        </w:tc>
        <w:tc>
          <w:tcPr>
            <w:tcW w:w="2159" w:type="dxa"/>
          </w:tcPr>
          <w:p w14:paraId="11FF6211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LVS、NGINX及统一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API网关</w:t>
            </w:r>
          </w:p>
        </w:tc>
        <w:tc>
          <w:tcPr>
            <w:tcW w:w="3820" w:type="dxa"/>
          </w:tcPr>
          <w:p w14:paraId="74B27164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认证路由流量控制和事件传输</w:t>
            </w:r>
          </w:p>
        </w:tc>
      </w:tr>
      <w:tr w14:paraId="3FA306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5B7A876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业务应用</w:t>
            </w:r>
          </w:p>
        </w:tc>
        <w:tc>
          <w:tcPr>
            <w:tcW w:w="2159" w:type="dxa"/>
          </w:tcPr>
          <w:p w14:paraId="1EDA940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会话任务配置与结果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服务</w:t>
            </w:r>
          </w:p>
        </w:tc>
        <w:tc>
          <w:tcPr>
            <w:tcW w:w="3820" w:type="dxa"/>
          </w:tcPr>
          <w:p w14:paraId="65B33BAD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状态管理版本控制及接口适配</w:t>
            </w:r>
          </w:p>
        </w:tc>
      </w:tr>
      <w:tr w14:paraId="422930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2EB29B29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智能能力</w:t>
            </w:r>
          </w:p>
        </w:tc>
        <w:tc>
          <w:tcPr>
            <w:tcW w:w="2159" w:type="dxa"/>
          </w:tcPr>
          <w:p w14:paraId="21109897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统一Agent工作流和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MCP工具</w:t>
            </w:r>
          </w:p>
        </w:tc>
        <w:tc>
          <w:tcPr>
            <w:tcW w:w="3820" w:type="dxa"/>
          </w:tcPr>
          <w:p w14:paraId="2B88780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识别确认受控查询及文本组织</w:t>
            </w:r>
          </w:p>
        </w:tc>
      </w:tr>
      <w:tr w14:paraId="3A657A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5A46FCB1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基础数据</w:t>
            </w:r>
          </w:p>
        </w:tc>
        <w:tc>
          <w:tcPr>
            <w:tcW w:w="2159" w:type="dxa"/>
          </w:tcPr>
          <w:p w14:paraId="0BC173D1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teledb/telepg、消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息及缓存</w:t>
            </w:r>
          </w:p>
        </w:tc>
        <w:tc>
          <w:tcPr>
            <w:tcW w:w="3820" w:type="dxa"/>
          </w:tcPr>
          <w:p w14:paraId="49A6840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数据快照事件状态与受控存储</w:t>
            </w:r>
          </w:p>
        </w:tc>
      </w:tr>
    </w:tbl>
    <w:p w14:paraId="1EFD669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用户显式选择与会话中识别的参数应区分来源。前端展示标准名称并提交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编码，服务端返回确认状态和当前上下文版本。页面参数变化时，应使依赖旧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参数的查询和展示标识失效，避免新问题关联旧数据。</w:t>
      </w:r>
    </w:p>
    <w:p w14:paraId="42CEB395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color w:val="000000"/>
          <w:sz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ECharts用于已约定类型的图表渲染，模型只返回结构化数据和允许类型。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Markdown及代码块采用安全渲染，报表URL来源校验在后端完成；文件下载和报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告编辑接口分别检查业务对象归属，不依赖按钮是否可见。</w:t>
      </w:r>
    </w:p>
    <w:p w14:paraId="3137989D">
      <w:pPr>
        <w:pStyle w:val="6"/>
        <w:bidi w:val="0"/>
      </w:pPr>
      <w:r>
        <w:t xml:space="preserve"> 负载通讯与微服务网关</w:t>
      </w:r>
    </w:p>
    <w:p w14:paraId="5F660A89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负载层按规范采用LVS与NGINX组合承载四层或七层流量分发和反向代理。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普通查询、流式问答和文件下载采用差异化连接配置，避免对长连接应用普通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短请求超时，或者让大文件传输占满交互请求资源。</w:t>
      </w:r>
    </w:p>
    <w:p w14:paraId="0D5644F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网关统一完成身份认证入口、路由、请求大小限制、访问频率控制与追踪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号生成。网关校验不替代业务服务的数据对象和流程状态校验，后端MCP及数据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服务仍应验证用户允许访问的资产与范围。</w:t>
      </w:r>
    </w:p>
    <w:p w14:paraId="6E6B85FD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流式接口采用有序事件传输，代理层应支持逐块转发并关闭导致长时间缓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存整段正文的配置。服务端定期传送轻量状态事件以维持连接可观测性，客户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端恢复后根据最后事件序号补取，不重复消费历史正文。</w:t>
      </w:r>
    </w:p>
    <w:p w14:paraId="53D4C6B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访问预算按任务类型设置。意图分类以短时响应为目标，数据查询受数据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库执行预算约束，报告生成使用异步任务。超时后网关返回任务状态入口或明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确错误，不能直接将后台可能成功的请求自动无限重发。</w:t>
      </w:r>
    </w:p>
    <w:p w14:paraId="5E1D8EB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调用链统一携带traceId和requestId，并关联会话、业务任务、工具及数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据库查询标识。访问日志保留路径、状态、耗时、应用与用户标识，不记录完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整令牌或敏感查询结果；跨层日志可用于确定延迟发生位置。</w:t>
      </w:r>
    </w:p>
    <w:p w14:paraId="06BF0B46">
      <w:pPr>
        <w:pStyle w:val="6"/>
        <w:bidi w:val="0"/>
      </w:pPr>
      <w:r>
        <w:t xml:space="preserve"> 业务服务与智能体能力层</w:t>
      </w:r>
    </w:p>
    <w:p w14:paraId="4D0829B2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业务服务承担会话管理、任务调度、配置读取、数据权限、结果存储和文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件交付。智能体平台承担意图识别及各专业Agent和工作流编排。两者通过标准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任务对象关联，业务状态不能只存放在模型对话文本中。</w:t>
      </w:r>
    </w:p>
    <w:p w14:paraId="78AF310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专业能力按意图识别、报告生成、指标查询、报表定位、SQL宽表查询、报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表分析及既有能力接入划分。每项能力登记服务代码、版本、输入输出、依赖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工具和可用状态，路由通过注册目录解析，不接受模型任意指定执行地址。</w:t>
      </w:r>
    </w:p>
    <w:p w14:paraId="240EDF4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Agent动态调用仅允许经过登记的工具，工具输入通过结构校验和业务校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验。固定工作流在要素通过确认后启动，各节点保存输入摘要、配置版本、输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出标识及执行状态，节点重试仅处理可恢复错误。</w:t>
      </w:r>
    </w:p>
    <w:p w14:paraId="7C1AE2CD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代码节点实现汇总、排序、单位处理、变化率、贡献、占比和排名。计算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表达式和适用条件按指标或报表配置管理，输入缺失时返回不可计算状态；模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型仅负责说明这些结果，不承担无法复现的隐式算术。</w:t>
      </w:r>
    </w:p>
    <w:p w14:paraId="48A094A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组件复用包括区域权限工具、指标元数据工具、报表目录工具、SQL执行工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具、Markdown转换工具和统一审计。复用接口必须保留调用方业务目的与授权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上下文，不因共享工具而混用不同用户或不同任务的数据。</w:t>
      </w:r>
    </w:p>
    <w:p w14:paraId="73A8B29E">
      <w:pPr>
        <w:pStyle w:val="6"/>
        <w:bidi w:val="0"/>
      </w:pPr>
      <w:r>
        <w:t xml:space="preserve"> 数据存储与消息缓存</w:t>
      </w:r>
    </w:p>
    <w:p w14:paraId="63C61F57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业务结构化数据采用集团teledb或telepg组件，保存会话、任务、参数快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照、配置版本、结果索引和审计关联。数据表选择与部署依据现有资源及兼容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要求确定，方案中的逻辑表名用于表达对象关系，不代表新建独立数据库平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台。</w:t>
      </w:r>
    </w:p>
    <w:p w14:paraId="3D7B8895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Kafka或ctg-mq用于已采用异步机制的任务通知和状态事件。生产事件与业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务更新应避免一方成功另一方丢失，可采用本地事务事件记录再可靠投递；消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费者依据事件ID及业务版本实现幂等，不假定消息只投递一次。</w:t>
      </w:r>
    </w:p>
    <w:p w14:paraId="11821F28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ctg-cache用于受控的热点元数据、任务临时状态和必要会话缓存。结果缓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存键应包含用户或等价授权范围、指标或报表版本、完整参数和数据账期；权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限撤销、数据更新或配置变更后应失效对应缓存。</w:t>
      </w:r>
    </w:p>
    <w:p w14:paraId="3130884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大体积查询结果和报告文件通过平台文件能力保存，数据库保存文件标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识、摘要、版本及归属。下载地址短期有效或由鉴权服务代理，不能将长期公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开URL作为敏感报表交付方式；文件删除需检查有效任务与版本引用。</w:t>
      </w:r>
    </w:p>
    <w:p w14:paraId="218A1A8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审计及执行日志按时间与业务对象建立检索索引，热数据和历史归档分类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管理。保留期限、备份周期及清理策略依企业制度配置；恢复演练同时核验业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务记录、文件和事件状态，避免仅恢复数据库却丢失报告正文或附件。</w:t>
      </w:r>
    </w:p>
    <w:p w14:paraId="134BD874">
      <w:pPr>
        <w:pStyle w:val="5"/>
        <w:bidi w:val="0"/>
      </w:pPr>
      <w:r>
        <w:t xml:space="preserve"> 部署方案</w:t>
      </w:r>
    </w:p>
    <w:p w14:paraId="0E3BAB5D">
      <w:pPr>
        <w:pStyle w:val="6"/>
        <w:bidi w:val="0"/>
      </w:pPr>
      <w:r>
        <w:t xml:space="preserve"> 功能分层部署设计</w:t>
      </w:r>
    </w:p>
    <w:p w14:paraId="22B9314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门户接入层承载页面、静态资源和对外嵌入入口；业务应用层承载会话、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任务、参数、配置及结果服务；智能能力层承载统一平台Agent和工作流；数据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服务层承载权限、目录、指标、报表和SQL工具。各层通过受控接口访问。</w:t>
      </w:r>
    </w:p>
    <w:p w14:paraId="5ED8130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同步交互与长任务应独立控制并发。会话查询、候选确认和状态查询保持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轻量，报表生成及文件转换通过后台任务执行；大量报告任务排队时不得阻塞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登录和普通搜索。任务工作进程按资源占用和外部配额进行调度。</w:t>
      </w:r>
    </w:p>
    <w:p w14:paraId="21E7EA0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实例部署应区分无状态服务与持久状态。无状态网关及业务实例可水平扩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展，会话和任务状态写入共享存储；本地内存仅用于短期处理，不作为断连恢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复、导出结果或任务最终状态的唯一依据。</w:t>
      </w:r>
    </w:p>
    <w:p w14:paraId="0E8AB35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模型服务通过统一平台调用，应用服务不自行下载安装另一套模型栈。模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型版本、工具开关和提示词版本在配置中绑定，灰度发布须明确哪些任务采用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新版本，正在执行的任务继续使用已冻结版本。</w:t>
      </w:r>
    </w:p>
    <w:p w14:paraId="1BD033F7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部署验收需检查健康探针、配置加载、数据库和消息连通、文件读写、鉴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权以及工具调用。只有进程启动成功不足以说明能力可用，应执行从入口提交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到结果与审计查询的端到端验证。</w:t>
      </w:r>
    </w:p>
    <w:p w14:paraId="5ACD98B1">
      <w:pPr>
        <w:pStyle w:val="6"/>
        <w:bidi w:val="0"/>
      </w:pPr>
      <w:r>
        <w:t xml:space="preserve"> 部署分区架构设计</w:t>
      </w:r>
    </w:p>
    <w:p w14:paraId="26D8F65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访问接入区部署对外入口和反向代理，负责接收门户及获准业务平台请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求。应用服务区部署会话任务和工具适配，数据存储区承载业务数据库与结果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存储，运维管理区承载发布、监控、日志查询与受控管理访问。</w:t>
      </w:r>
    </w:p>
    <w:p w14:paraId="4F68040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访问接入区不直接连接底层业务数据表。用户请求经业务服务与数据权限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工具处理后，才能到达相应指标、报表或只读查询服务；跨区访问以必要协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议、端口、来源和目标白名单控制。</w:t>
      </w:r>
    </w:p>
    <w:p w14:paraId="0B38A83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智能体平台与业务服务之间应明确网络路径及身份凭据。工具调用经过业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务适配器校验参数和授权，不向模型直接暴露数据库管理连接。模板及结果文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件通过平台文件接口交换，不开放任意文件系统路径。</w:t>
      </w:r>
    </w:p>
    <w:p w14:paraId="2BE85E07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运维入口使用独立管理授权，与普通业务用户权限分离。日志与监控可显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示任务标识、指标口径和耗时，但包含敏感SQL、用户问题或报表内容的记录须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按权限查看；调试接口不得在生产默认公开。</w:t>
      </w:r>
    </w:p>
    <w:p w14:paraId="08D95AAD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分区设计需形成服务清单、访问矩阵及依赖说明，逐项验证允许链路可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达、禁止链路不可达。网络拒绝应有可定位日志，不能为排除联调问题临时开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放全部源地址后长期保留。</w:t>
      </w:r>
    </w:p>
    <w:p w14:paraId="6CE1BF1F">
      <w:pPr>
        <w:pStyle w:val="6"/>
        <w:bidi w:val="0"/>
      </w:pPr>
      <w:r>
        <w:t xml:space="preserve"> 网络访问链路设计</w:t>
      </w:r>
    </w:p>
    <w:p w14:paraId="3A77728A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主链路为用户浏览器至门户网关、业务任务服务、统一智能体平台、受控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MCP工具、指标报表或数据服务，再沿结果通道返回。身份及追踪上下文在每次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服务转换时保持关联，工具仅接受来自受信服务的调用。</w:t>
      </w:r>
    </w:p>
    <w:p w14:paraId="762A07B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普通查询请求返回明确结构，长报告请求受理后返回taskId，再使用流式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通道和状态查询交付进度。网络断开不改变业务是否成功，调用方根据taskId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确认状态；取消动作明确传递至工作流及数据库执行层。</w:t>
      </w:r>
    </w:p>
    <w:p w14:paraId="578D8B79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跨系统调用配置连接超时、读取超时、重试上限及退避规则。参数非法、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权限失败和业务状态冲突不自动重试；网络临时失败可有限重试，涉及工单创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建、版本保存等写入先查询幂等记录避免重复执行。</w:t>
      </w:r>
    </w:p>
    <w:p w14:paraId="684DCBE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文件上传限制文件类型、体积和用途，模板内容解析在受控环境执行。文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件下载校验业务对象与用户身份，不接受任意远程URL下载参数；报告转换服务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仅访问被登记的源文件及输出目录。</w:t>
      </w:r>
    </w:p>
    <w:p w14:paraId="4757BA4A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链路验收覆盖证书信任、代理转发、长连接中断、DNS或目标不可达、请求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超时及重复回调。记录每种场景用户可见状态、后台任务状态及恢复操作，验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证不存在网络恢复后重复生成报告或重复创建工单。</w:t>
      </w:r>
    </w:p>
    <w:p w14:paraId="29730B29">
      <w:pPr>
        <w:pStyle w:val="6"/>
        <w:bidi w:val="0"/>
      </w:pPr>
      <w:r>
        <w:t xml:space="preserve"> 周边系统集成设计</w:t>
      </w:r>
    </w:p>
    <w:p w14:paraId="236EBD2D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统一身份和权限系统提供用户身份、本地网及网格权限、报表授权和应用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映射。门户业务服务负责把这些授权作用于每次查询和下载，不能仅在登录时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取得一次权限后长期不复核。</w:t>
      </w:r>
    </w:p>
    <w:p w14:paraId="26252EB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指标及元数据系统提供指标族、指标明细、别名、口径、参数维度和层级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关系；报表系统提供目录、访问入口、分析配置与数据接口；宽表元数据提供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表字段及关联关系。适配层应保存源系统标识和版本，发现冲突时返回异常而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不自行猜测。</w:t>
      </w:r>
    </w:p>
    <w:p w14:paraId="12512F9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统一智能体平台提供模型、Agent、工作流和工具编排能力，业务系统提供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受控数据与状态接口。两侧明确任务创建、节点回调、取消及状态查询协议，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重复事件采用同一去重规则，状态转换拒绝旧事件回退。</w:t>
      </w:r>
    </w:p>
    <w:p w14:paraId="3335D1B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文档服务提供模板读取、Markdown转换和DOCX交付；已有需求分析能力及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工单系统承接无法由存量资产满足的需求。工单创建前保留用户确认，创建超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时通过外部业务号查询结果，避免重复下单。</w:t>
      </w:r>
    </w:p>
    <w:p w14:paraId="1D5CB79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集成联调按身份权限、基础目录、数据查询、智能编排、前端展示、文件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输出和开放调用顺序开展。每个外部系统列明输入责任、输出责任、异常码和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联系人，接口参数缺失及服务未开放不得以模拟成功替代正式接通。</w:t>
      </w:r>
    </w:p>
    <w:p w14:paraId="19B136F1">
      <w:pPr>
        <w:pStyle w:val="6"/>
        <w:bidi w:val="0"/>
      </w:pPr>
      <w:r>
        <w:t xml:space="preserve"> 整体部署与容量设计</w:t>
      </w:r>
    </w:p>
    <w:p w14:paraId="3F7327C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容量规划应区分在线用户、同时进行的会话、模型并发、查询并发、报告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并发、文件转换并发及结果存储量。不同任务资源占用差异较大，不以门户总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注册人数直接推导模型并发或数据库连接数。</w:t>
      </w:r>
    </w:p>
    <w:p w14:paraId="4FFF585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测算可按到达率乘平均处理时间估计在途任务数量，再结合峰值系数和外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部服务配额设置并发上限。模型调用及SQL执行分别限流，排队队列设置长度上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限和过期策略，任务拥塞时返回明确的排队状态。</w:t>
      </w:r>
    </w:p>
    <w:p w14:paraId="0B15939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查询行数、结果列数、模型上下文大小及报告章节数均设为配置约束。大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结果先由代码聚合或截取受控预览，避免将全部明细送入模型；上下文保留最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近五轮及已确认结构化要素，不无限累计历史正文。</w:t>
      </w:r>
    </w:p>
    <w:p w14:paraId="30A3C4BC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性能验收在明确的测试数据规模、用户并发、模型配置和数据源环境下测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量P0、P9、P99以及成功率。方案不将未经测试的毫秒值或并发量作为现有能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力，投产阈值以基准与峰值验证结果形成配置基线。</w:t>
      </w:r>
    </w:p>
    <w:p w14:paraId="6F9378E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扩容应首先定位瓶颈所在层。缓存元数据不能解决数据库全表扫描，增加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业务实例不能突破统一模型服务配额；依据分层耗时、连接占用、队列长度及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数据计划优化资源，并验证扩容后状态一致性和权限隔离仍然成立。</w:t>
      </w:r>
    </w:p>
    <w:p w14:paraId="0B6971B7">
      <w:pPr>
        <w:pStyle w:val="5"/>
        <w:bidi w:val="0"/>
      </w:pPr>
      <w:r>
        <w:t xml:space="preserve"> 功能架构</w:t>
      </w:r>
    </w:p>
    <w:p w14:paraId="5EAAFF05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lang w:val="en-US" w:eastAsia="zh-CN"/>
        </w:rPr>
        <w:t>AI经分系统功能架构以数据门户为统一入口，在首页快捷入口、AI搜索联动和全屏对话界面中承载各类智能分析能力。</w:t>
      </w:r>
    </w:p>
    <w:p w14:paraId="46A56C5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lang w:val="en-US" w:eastAsia="zh-CN"/>
        </w:rPr>
        <w:t>系统通过意图识别智能体统一识别用户需求，并分流至分析报告、数据查询、报表分析、口径查询、需求分析等专业智能体；各智能体结合指标体系、报表知识库、口径知识库、权限校验、MCP接口、SQL查询和文档转换工具能力，完成自然语言问数、指标分析报告生成、报表智能解读、固定材料输出和需求辅助分析。</w:t>
      </w:r>
    </w:p>
    <w:p w14:paraId="0AB6387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lang w:val="en-US" w:eastAsia="zh-CN"/>
        </w:rPr>
        <w:t>系统支持通过接口和前端访问方式对外开放AI经分能力，形成“统一入口、智能分流、专业分析、</w:t>
      </w:r>
      <w:r>
        <w:rPr>
          <w:rFonts w:hint="eastAsia" w:ascii="宋体" w:hAnsi="宋体" w:eastAsia="宋体" w:cs="宋体"/>
          <w:color w:val="000000"/>
          <w:sz w:val="24"/>
        </w:rPr>
        <w:t>材料输出、能力开放”的总体功能架构。功能研发分为数据门户AI入口、AI经分能力开发、现有AI能力接入与对外提供服务三个环节，功能架构图如下：</w:t>
      </w:r>
    </w:p>
    <w:p w14:paraId="33A13BE1"/>
    <w:p w14:paraId="0032E82B">
      <w:r>
        <w:rPr>
          <w:rFonts w:hint="default"/>
          <w:lang w:val="en-US" w:eastAsia="zh-CN"/>
        </w:rPr>
        <w:drawing>
          <wp:inline distT="0" distB="0" distL="114300" distR="114300">
            <wp:extent cx="5271770" cy="3698240"/>
            <wp:effectExtent l="0" t="0" r="1270" b="5080"/>
            <wp:docPr id="3" name="图片 3" descr="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iagram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4755">
      <w:pPr>
        <w:pStyle w:val="6"/>
        <w:bidi w:val="0"/>
      </w:pPr>
      <w:r>
        <w:t xml:space="preserve"> 功能分层设计</w:t>
      </w:r>
    </w:p>
    <w:p w14:paraId="18D011BC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功能建设划分为数据门户AI入口、AI经分能力开发、既有AI能力接入与对外开放三部分。入口承担用户交互与结果展示，专业智能体承担业务分析任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务，接入与开放承担服务扩展和跨平台使用，三部分共享会话、权限、工具和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审计。</w:t>
      </w:r>
    </w:p>
    <w:tbl>
      <w:tblPr>
        <w:tblStyle w:val="20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5"/>
        <w:gridCol w:w="2160"/>
        <w:gridCol w:w="3821"/>
      </w:tblGrid>
      <w:tr w14:paraId="3751A4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</w:trPr>
        <w:tc>
          <w:tcPr>
            <w:tcW w:w="2325" w:type="dxa"/>
            <w:shd w:val="clear" w:color="auto" w:fill="EDEDED"/>
          </w:tcPr>
          <w:p w14:paraId="7A595E96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分组</w:t>
            </w:r>
          </w:p>
        </w:tc>
        <w:tc>
          <w:tcPr>
            <w:tcW w:w="2159" w:type="dxa"/>
            <w:shd w:val="clear" w:color="auto" w:fill="EDEDED"/>
          </w:tcPr>
          <w:p w14:paraId="0E284BC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功能</w:t>
            </w:r>
          </w:p>
        </w:tc>
        <w:tc>
          <w:tcPr>
            <w:tcW w:w="3820" w:type="dxa"/>
            <w:shd w:val="clear" w:color="auto" w:fill="EDEDED"/>
          </w:tcPr>
          <w:p w14:paraId="34591567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结果</w:t>
            </w:r>
          </w:p>
        </w:tc>
      </w:tr>
      <w:tr w14:paraId="098905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63CF417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AI入口</w:t>
            </w:r>
          </w:p>
        </w:tc>
        <w:tc>
          <w:tcPr>
            <w:tcW w:w="2159" w:type="dxa"/>
          </w:tcPr>
          <w:p w14:paraId="02B02DA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首页搜索全屏及专业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入口</w:t>
            </w:r>
          </w:p>
        </w:tc>
        <w:tc>
          <w:tcPr>
            <w:tcW w:w="3820" w:type="dxa"/>
          </w:tcPr>
          <w:p w14:paraId="2BEB74E4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统一会话与结构化展示</w:t>
            </w:r>
          </w:p>
        </w:tc>
      </w:tr>
      <w:tr w14:paraId="6AF36C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59C671B7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意图路由</w:t>
            </w:r>
          </w:p>
        </w:tc>
        <w:tc>
          <w:tcPr>
            <w:tcW w:w="2159" w:type="dxa"/>
          </w:tcPr>
          <w:p w14:paraId="0A0A40A1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五类专业需求及其他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需求</w:t>
            </w:r>
          </w:p>
        </w:tc>
        <w:tc>
          <w:tcPr>
            <w:tcW w:w="3820" w:type="dxa"/>
          </w:tcPr>
          <w:p w14:paraId="16FFB38B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分类澄清与专业任务</w:t>
            </w:r>
          </w:p>
        </w:tc>
      </w:tr>
      <w:tr w14:paraId="1E07CD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2231EBC8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报告生成</w:t>
            </w:r>
          </w:p>
        </w:tc>
        <w:tc>
          <w:tcPr>
            <w:tcW w:w="2159" w:type="dxa"/>
          </w:tcPr>
          <w:p w14:paraId="706A1FAB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三要素取数模板及归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因</w:t>
            </w:r>
          </w:p>
        </w:tc>
        <w:tc>
          <w:tcPr>
            <w:tcW w:w="3820" w:type="dxa"/>
          </w:tcPr>
          <w:p w14:paraId="4030A11C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Markdown与DOCX报告</w:t>
            </w:r>
          </w:p>
        </w:tc>
      </w:tr>
      <w:tr w14:paraId="0B5115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6CA1FB18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数据查询</w:t>
            </w:r>
          </w:p>
        </w:tc>
        <w:tc>
          <w:tcPr>
            <w:tcW w:w="2159" w:type="dxa"/>
          </w:tcPr>
          <w:p w14:paraId="4D5F7252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指标报表SQL宽表及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模糊检索</w:t>
            </w:r>
          </w:p>
        </w:tc>
        <w:tc>
          <w:tcPr>
            <w:tcW w:w="3820" w:type="dxa"/>
          </w:tcPr>
          <w:p w14:paraId="2A2F03A2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图表表格及真实入口</w:t>
            </w:r>
          </w:p>
        </w:tc>
      </w:tr>
      <w:tr w14:paraId="20324C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2BD5D1E4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报表分析</w:t>
            </w:r>
          </w:p>
        </w:tc>
        <w:tc>
          <w:tcPr>
            <w:tcW w:w="2159" w:type="dxa"/>
          </w:tcPr>
          <w:p w14:paraId="7373C9CC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报表维度及固定统计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工作流</w:t>
            </w:r>
          </w:p>
        </w:tc>
        <w:tc>
          <w:tcPr>
            <w:tcW w:w="3820" w:type="dxa"/>
          </w:tcPr>
          <w:p w14:paraId="323B9F61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有依据的分章节分析</w:t>
            </w:r>
          </w:p>
        </w:tc>
      </w:tr>
      <w:tr w14:paraId="649856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6FECE9E9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能力接入</w:t>
            </w:r>
          </w:p>
        </w:tc>
        <w:tc>
          <w:tcPr>
            <w:tcW w:w="2159" w:type="dxa"/>
          </w:tcPr>
          <w:p w14:paraId="5CF96A1B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口径需求分析及外部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开放</w:t>
            </w:r>
          </w:p>
        </w:tc>
        <w:tc>
          <w:tcPr>
            <w:tcW w:w="3820" w:type="dxa"/>
          </w:tcPr>
          <w:p w14:paraId="4F0DD73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注册服务及受控调用</w:t>
            </w:r>
          </w:p>
        </w:tc>
      </w:tr>
    </w:tbl>
    <w:p w14:paraId="4B065B95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既有口径知识库提供指标、报表、宽表字段和业务口径解释；需求分析能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力在取数前匹配现有资产，无法满足时整理标准需求并衔接工单。对外接口及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嵌入页面继承门户身份和权限，不能形成绕过平台控制的第二入口。</w:t>
      </w:r>
    </w:p>
    <w:p w14:paraId="75E15728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color w:val="000000"/>
          <w:sz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各模块输出采用标准结果类型，文本、图表、链接、报告和任务状态分别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建模。模块之间通过标准资产编码、会话ID、任务ID及数据快照关联，不能以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解析某段生成文本中的名称或URL建立隐式依赖。</w:t>
      </w:r>
    </w:p>
    <w:p w14:paraId="54D1082D">
      <w:pPr>
        <w:pStyle w:val="6"/>
        <w:bidi w:val="0"/>
      </w:pPr>
      <w:r>
        <w:rPr>
          <w:rStyle w:val="30"/>
          <w:b/>
        </w:rPr>
        <w:t xml:space="preserve"> </w:t>
      </w:r>
      <w:r>
        <w:rPr>
          <w:rFonts w:ascii="黑体" w:hAnsi="黑体" w:eastAsia="黑体" w:cs="黑体"/>
          <w:b/>
          <w:color w:val="000000"/>
          <w:sz w:val="28"/>
        </w:rPr>
        <w:t>模块协同与业务流程</w:t>
      </w:r>
    </w:p>
    <w:p w14:paraId="2503E08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综合问答流程先识别意图，再交由专业智能体补齐要素。已确认参数通过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结构化上下文传递，后续用户只补充区域或账期时保留原指标；用户明确切换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主题时创建新的任务上下文，避免旧报表维度影响新指标查询。</w:t>
      </w:r>
    </w:p>
    <w:p w14:paraId="5571173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指标查询流程执行指标族召回、明细判断、权限及参数维度获取、用户确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认、基础及扩展取数、代码加工和图表简要分析。报表定位只返回目录入口，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用户要求解读报表时才进入报表分析流程。</w:t>
      </w:r>
    </w:p>
    <w:p w14:paraId="2BFB25D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报告流程完成三要素、查询和模板确认后生成主体，再判断是否具备下级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指标或网格开展归因。下钻查询仍使用当前授权范围，无法取得完整分项时应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明确归因边界，主体报告和归因结果分别保存处理状态。</w:t>
      </w:r>
    </w:p>
    <w:p w14:paraId="2E43063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SQL与宽表流程共享安全执行工具。用户SQL直接进入校验，自然语言先分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层检索元数据并生成SQL后再校验；通过权限和只读限制后执行，返回实际语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句、字段和口径。无标准指标匹配后转宽表应明确提示来源变化。</w:t>
      </w:r>
    </w:p>
    <w:p w14:paraId="7480C3D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协同状态由任务服务管理，节点成功只能写入自己的输出，整体完成条件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由工作流定义。部分结果可供查看但应标注未完成项；外部回调、恢复执行和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用户取消发生并发时通过版本条件更新，保证终态不会被旧事件覆盖。</w:t>
      </w:r>
    </w:p>
    <w:p w14:paraId="65580742">
      <w:pPr>
        <w:pStyle w:val="6"/>
        <w:bidi w:val="0"/>
      </w:pPr>
      <w:r>
        <w:t xml:space="preserve"> 本年度升级改造重点</w:t>
      </w:r>
    </w:p>
    <w:p w14:paraId="57756E4C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入口升级重点是将自然语言输入与既有搜索、指标、区域及模板选择整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合，支持轻量到全屏的连续会话，并为报告提供结构化展示及在线编辑。原有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门户结果保持可用，AI反馈以独立状态交付，不因智能服务异常替换全部页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面。</w:t>
      </w:r>
    </w:p>
    <w:p w14:paraId="4033D885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智能能力升级重点是统一六类意图路由，采用Agent与固定工作流结合。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Agent解决语义、候选和补问，工作流约束执行次序，工具提供标准数据和权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限，代码保证计算结果可复现，避免所有处理隐含在单个提示词中。</w:t>
      </w:r>
    </w:p>
    <w:p w14:paraId="44D4E379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查询升级重点是指标族两级检索、合法参数生成、报表真实入口交付、宽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表分层元数据和SQL安全执行。各路径需保留标准资产与临时查询的差异，以及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无匹配、无数据和调用失败之间的差异。</w:t>
      </w:r>
    </w:p>
    <w:p w14:paraId="1812F292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分析升级重点是模板化经分报告、横纵向分解和报表配置化分析。模板解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析、报表维度、统计计算、引用检查和文档转换分别形成可测试节点，不将模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型长文本作为唯一交付物；用户修订与自动生成结果分版本保存。</w:t>
      </w:r>
    </w:p>
    <w:p w14:paraId="7EBB414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开放升级重点是标准能力注册、统一返回协议及外部身份映射。接入已有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口径和需求分析服务时不改变其数据授权，外部平台调用可以使用相同AI功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能，但所有执行与下载仍回到统一权限和日志体系。</w:t>
      </w:r>
    </w:p>
    <w:p w14:paraId="65435C1A">
      <w:pPr>
        <w:pStyle w:val="6"/>
        <w:bidi w:val="0"/>
      </w:pPr>
      <w:r>
        <w:t xml:space="preserve"> 数据共享设计</w:t>
      </w:r>
    </w:p>
    <w:p w14:paraId="360A14B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模块间共享标准元数据和受控工具，不共享未经授权的用户结果。指标名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称编码口径由指标接口统一供给，报表目录及分析配置按报表编码维护，宽表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字段关联由元数据提供；重复定义应通过映射和版本管理收敛。</w:t>
      </w:r>
    </w:p>
    <w:p w14:paraId="6C1845B9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结果共享以数据集标识和授权检查为前提。经分报告引用基础查询及归因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数据快照，报表分析引用标准化报表数据；同一用户再次分析可在规则允许范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围内复用快照，但不得把其他用户结果直接作为全局缓存返回。</w:t>
      </w:r>
    </w:p>
    <w:p w14:paraId="799190B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文件共享通过业务对象授权控制，报告文档、上传模板及分析附件分别绑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定所有人、组织、用途和版本。外部嵌入页面不得将下载地址转为公开长期链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接；权限撤销后再次获取文件应被阻断。</w:t>
      </w:r>
    </w:p>
    <w:p w14:paraId="118E4C3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共享协议区分身份上下文、业务参数和结果数据。身份由受信认证链提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供，用户选择作为待校验参数，模型生成内容作为非权威文本；只有数据服务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和代码节点的可验证结果可作为后续统计及报告依据。</w:t>
      </w:r>
    </w:p>
    <w:p w14:paraId="3A16914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数据生命周期覆盖创建、使用、更新、失效和清理。数据或口径更新后标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记缓存与衍生结果版本关系，历史报告保留生成时依据；清理前检查有效引用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和审计要求，避免删除文件后仍向用户展示可下载状态。</w:t>
      </w:r>
    </w:p>
    <w:p w14:paraId="30142604">
      <w:pPr>
        <w:pStyle w:val="4"/>
        <w:bidi w:val="0"/>
      </w:pPr>
      <w:r>
        <w:t xml:space="preserve"> 功能建设方案</w:t>
      </w:r>
    </w:p>
    <w:p w14:paraId="1F5D3043">
      <w:pPr>
        <w:pStyle w:val="6"/>
        <w:bidi w:val="0"/>
      </w:pPr>
      <w:r>
        <w:t>功能分解与技术交付边界</w:t>
      </w:r>
    </w:p>
    <w:p w14:paraId="2341562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功能建设按八个技术模块展开：数据门户AI入口、意图识别与任务路由、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分析报告生成、指标查询、报表定位与模糊查询、SQL与宽表查询、报表分析、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既有能力接入与对外开放。分解用于明确实现和验收对象，不改变原规范规定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的业务范围。</w:t>
      </w:r>
    </w:p>
    <w:p w14:paraId="159BDC5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各模块按业务需求、规则、流程、数据来源、处理逻辑、处理结果、校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验、数据表、接口、上下游、运营、性能、异常、稽核、部署和验收十六类内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容说明。功能主题采用正式章节名称，业务要求以可实施的输入、处理、输出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和边界表述。</w:t>
      </w:r>
    </w:p>
    <w:p w14:paraId="4277A869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逻辑表中的业务ID、状态、版本、来源和时间字段用于支撑追踪，实施时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应优先映射至已有表和平台能力。所有请求示例中的DEMO标识及对象名仅用于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说明契约结构，不代表真实生产指标、网格、表或外部地址。</w:t>
      </w:r>
    </w:p>
    <w:p w14:paraId="17506438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新增HTTP接口统一采用受控业务路径，认证信息通过受信请求头或平台上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下文传入。状态查询返回业务阶段和错误类别，异步受理与执行完成分开表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示；文件交付通过文件ID与鉴权下载，不在生成正文中嵌入生产凭据。</w:t>
      </w:r>
    </w:p>
    <w:p w14:paraId="75D94E6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验收应围绕真实业务样本和独立基准数据执行，覆盖成功、缺失、歧义、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越权、超时、取消及重复调用。各模块测试结果关联输入、预期输出、实际输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出、配置版本和日志标识，缺陷完成修复复测后再确认交付。</w:t>
      </w:r>
    </w:p>
    <w:p w14:paraId="283287E2">
      <w:pPr>
        <w:pStyle w:val="5"/>
        <w:bidi w:val="0"/>
      </w:pPr>
      <w:r>
        <w:t xml:space="preserve"> 数据门户AI入口</w:t>
      </w:r>
    </w:p>
    <w:p w14:paraId="72BFC2CF">
      <w:pPr>
        <w:pStyle w:val="6"/>
        <w:bidi w:val="0"/>
      </w:pPr>
      <w:r>
        <w:t xml:space="preserve"> 业务需求</w:t>
      </w:r>
    </w:p>
    <w:p w14:paraId="696537D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系统应在数据门户首页右侧提供轻量化AI入口，将指标选择、区域或网格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选择、模板上传与自然语言输入集成在同一交互区域；首页搜索与AI后台联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动，全屏模式承载连续会话及专业智能体访问，报告结果进入可编辑的独立展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示界面。</w:t>
      </w:r>
    </w:p>
    <w:p w14:paraId="7E8C398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业务处理对象包括门户用户、首页搜索事件、会话、消息、快捷参数、模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板文件、报告展示版本。服务入口应面向当前登录用户展示已开放能力及必要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参数；用户已经确认的业务对象应结构化保存，后续交互仅补充缺失信息。跨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用户、跨应用及不同任务之间的参数和结果不得混用。</w:t>
      </w:r>
    </w:p>
    <w:p w14:paraId="306EE59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功能输入包括当前问题、来源页面、会话标识、区域编码、指标编码、账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期、模板文件标识、专业智能体入口标识。输入字段应明确来源、有效状态和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可修改范围，服务端完成身份、对象及条件校验后才能执行；页面传入编码和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模型识别编码均视为待验证值，不能直接作为授权结论。</w:t>
      </w:r>
    </w:p>
    <w:p w14:paraId="3AF8330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系统应输出流式消息、参数确认卡片、ECharts图表、报表链接、报告正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文、任务状态和下载入口。结果应同时说明实际处理范围、状态和来源，区分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任务已受理、部分结果与完整完成。已成功部分应可查询，未完成部分应有明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确原因和后续操作，不以空页面代替异常说明。</w:t>
      </w:r>
    </w:p>
    <w:p w14:paraId="544ADF0C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首页原搜索与AI搜索分别执行，AI异常仅更新AI区域状态，不删除或阻断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原有搜索结果；同一次搜索使用关联标识连接两条链路。</w:t>
      </w:r>
    </w:p>
    <w:p w14:paraId="5982656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业务验收应覆盖模式切换、搜索降级、回答取消、重复事件等场景。每个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场景应能从用户动作追溯至实际处理结果、配置版本和工具调用记录，确保页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面展示与后台业务状态一致。</w:t>
      </w:r>
    </w:p>
    <w:p w14:paraId="24E2180D">
      <w:pPr>
        <w:pStyle w:val="6"/>
        <w:bidi w:val="0"/>
      </w:pPr>
      <w:r>
        <w:t xml:space="preserve"> 业务规则</w:t>
      </w:r>
    </w:p>
    <w:p w14:paraId="06643748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首页原搜索与AI搜索分别执行，AI异常仅更新AI区域状态，不删除或阻断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原有搜索结果；同一次搜索使用关联标识连接两条链路。</w:t>
      </w:r>
    </w:p>
    <w:p w14:paraId="438F3672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轻量模式与全屏模式共享服务端会话，切换展示模式不得创建第二个同义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任务；当前区域、指标、账期及模板选择通过上下文版本同步。</w:t>
      </w:r>
    </w:p>
    <w:p w14:paraId="26A37B77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从专业智能体入口发起时直接路由到指定服务，但仍执行登录、能力可用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性和数据权限校验；客户端传入的入口标识不构成授权凭据。</w:t>
      </w:r>
    </w:p>
    <w:p w14:paraId="671A667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回答中断应同时关闭前端流连接并提交取消请求，已完成消息保留；重新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生成创建新的回答版本，不覆盖上一回答的审计记录。</w:t>
      </w:r>
    </w:p>
    <w:p w14:paraId="75F087D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报表链接仅采用工具返回的已登记地址，外部页面跳转重新校验访问权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限；流式文本、Markdown及代码块必须按白名单渲染，禁止直接执行模型返回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的脚本。</w:t>
      </w:r>
    </w:p>
    <w:p w14:paraId="5C01E1E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报告在线编辑保存为独立版本，下载绑定已保存版本；未完成流式生成的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正文不得显示为正式报告，文件生成失败须保留可恢复的编辑内容。</w:t>
      </w:r>
    </w:p>
    <w:p w14:paraId="6284EBF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规则执行采用服务端统一校验，前端及Agent的预检查仅用于交互提示。规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则更新应生成版本并标明生效范围，运行中任务使用创建时确认的版本；发生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需要立即收紧的权限变更时，应在工具执行或下载前按当前授权重新判断。</w:t>
      </w:r>
    </w:p>
    <w:p w14:paraId="26CDE36F">
      <w:pPr>
        <w:pStyle w:val="6"/>
        <w:bidi w:val="0"/>
      </w:pPr>
      <w:r>
        <w:t xml:space="preserve"> 业务流程</w:t>
      </w:r>
    </w:p>
    <w:p w14:paraId="62A357D2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请求采集。接收问题、快捷按钮选择及当前会话，将来源页面和用户动作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生成请求标识，校验空问题、无效模板及缺失会话状态。</w:t>
      </w:r>
    </w:p>
    <w:p w14:paraId="19360A12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上下文归一。服务端读取用户身份及会话版本，合并显式选择与已有已确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认要素；发生版本冲突时提示刷新而非覆盖另一窗口输入。</w:t>
      </w:r>
    </w:p>
    <w:p w14:paraId="10D9F04C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任务提交。按综合入口或专业入口提交任务，返回任务ID和流式通道；原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搜索结果独立显示，并将当前AI状态设置为处理中。</w:t>
      </w:r>
    </w:p>
    <w:p w14:paraId="27B1D30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流式渲染。按事件序号接收文本、图表、链接和报告分段，执行标签与结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构校验，去除重复事件并保持消息顺序。</w:t>
      </w:r>
    </w:p>
    <w:p w14:paraId="3CF232DD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编辑与导出。报告完成后开放编辑，保存文档版本并请求导出；下载前校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验报告归属、版本及文件状态。</w:t>
      </w:r>
    </w:p>
    <w:p w14:paraId="313FBCC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状态收敛。接收完成、失败或取消终态，停止加载状态和重复轮询，保存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会话历史及异常关联信息。</w:t>
      </w:r>
    </w:p>
    <w:p w14:paraId="6003F8B7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各步骤记录进入时间、完成时间、执行主体、输入摘要和输出标识。前置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条件不满足时停留在待补充或失败状态，后续节点不得越过校验执行。恢复任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务应从具备完整输出的最近有效节点继续，而非无条件重跑全部步骤。</w:t>
      </w:r>
    </w:p>
    <w:p w14:paraId="16A02806">
      <w:pPr>
        <w:pStyle w:val="6"/>
        <w:bidi w:val="0"/>
      </w:pPr>
      <w:r>
        <w:t xml:space="preserve"> 数据来源</w:t>
      </w:r>
    </w:p>
    <w:p w14:paraId="72E8ED6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本模块的数据来源按身份、业务对象、执行数据和配置版本分类管理。数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据接入应使用源系统业务编码关联，不以展示名称作为唯一键；输入来源及采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集或查询时间应随结果保留。</w:t>
      </w:r>
    </w:p>
    <w:tbl>
      <w:tblPr>
        <w:tblStyle w:val="20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5"/>
        <w:gridCol w:w="2160"/>
        <w:gridCol w:w="3821"/>
      </w:tblGrid>
      <w:tr w14:paraId="32B65A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blHeader/>
        </w:trPr>
        <w:tc>
          <w:tcPr>
            <w:tcW w:w="2325" w:type="dxa"/>
            <w:shd w:val="clear" w:color="auto" w:fill="EDEDED"/>
          </w:tcPr>
          <w:p w14:paraId="4ED35F59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来源</w:t>
            </w:r>
          </w:p>
        </w:tc>
        <w:tc>
          <w:tcPr>
            <w:tcW w:w="2159" w:type="dxa"/>
            <w:shd w:val="clear" w:color="auto" w:fill="EDEDED"/>
          </w:tcPr>
          <w:p w14:paraId="6E4713AA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主要数据</w:t>
            </w:r>
          </w:p>
        </w:tc>
        <w:tc>
          <w:tcPr>
            <w:tcW w:w="3820" w:type="dxa"/>
            <w:shd w:val="clear" w:color="auto" w:fill="EDEDED"/>
          </w:tcPr>
          <w:p w14:paraId="3EB5CD22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获取时点</w:t>
            </w:r>
          </w:p>
        </w:tc>
      </w:tr>
      <w:tr w14:paraId="73F274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0B6D8FC8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统一认证</w:t>
            </w:r>
          </w:p>
        </w:tc>
        <w:tc>
          <w:tcPr>
            <w:tcW w:w="2159" w:type="dxa"/>
          </w:tcPr>
          <w:p w14:paraId="70E9ABE7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用户标识、组织及授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权上下文</w:t>
            </w:r>
          </w:p>
        </w:tc>
        <w:tc>
          <w:tcPr>
            <w:tcW w:w="3820" w:type="dxa"/>
          </w:tcPr>
          <w:p w14:paraId="18540E44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每次登录与令牌刷新</w:t>
            </w:r>
          </w:p>
        </w:tc>
      </w:tr>
      <w:tr w14:paraId="3936DB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0213650B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门户搜索</w:t>
            </w:r>
          </w:p>
        </w:tc>
        <w:tc>
          <w:tcPr>
            <w:tcW w:w="2159" w:type="dxa"/>
          </w:tcPr>
          <w:p w14:paraId="1905A45B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搜索词、结果类型及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检索对象</w:t>
            </w:r>
          </w:p>
        </w:tc>
        <w:tc>
          <w:tcPr>
            <w:tcW w:w="3820" w:type="dxa"/>
          </w:tcPr>
          <w:p w14:paraId="06ABF37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用户提交搜索时</w:t>
            </w:r>
          </w:p>
        </w:tc>
      </w:tr>
      <w:tr w14:paraId="491974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4F38B0AC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会话服务</w:t>
            </w:r>
          </w:p>
        </w:tc>
        <w:tc>
          <w:tcPr>
            <w:tcW w:w="2159" w:type="dxa"/>
          </w:tcPr>
          <w:p w14:paraId="77D2E9C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最近消息及已确认参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数</w:t>
            </w:r>
          </w:p>
        </w:tc>
        <w:tc>
          <w:tcPr>
            <w:tcW w:w="3820" w:type="dxa"/>
          </w:tcPr>
          <w:p w14:paraId="33911E3D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每次任务提交与模式切换</w:t>
            </w:r>
          </w:p>
        </w:tc>
      </w:tr>
      <w:tr w14:paraId="397FAA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4CCA79A9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智能体平台</w:t>
            </w:r>
          </w:p>
        </w:tc>
        <w:tc>
          <w:tcPr>
            <w:tcW w:w="2159" w:type="dxa"/>
          </w:tcPr>
          <w:p w14:paraId="0CAD37C2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事件类型、序号和任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务结果</w:t>
            </w:r>
          </w:p>
        </w:tc>
        <w:tc>
          <w:tcPr>
            <w:tcW w:w="3820" w:type="dxa"/>
          </w:tcPr>
          <w:p w14:paraId="51F332DA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流式返回与状态查询</w:t>
            </w:r>
          </w:p>
        </w:tc>
      </w:tr>
      <w:tr w14:paraId="01EAC8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19E7CBC1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文档服务</w:t>
            </w:r>
          </w:p>
        </w:tc>
        <w:tc>
          <w:tcPr>
            <w:tcW w:w="2159" w:type="dxa"/>
          </w:tcPr>
          <w:p w14:paraId="4C6C18A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模板及导出文件版本</w:t>
            </w:r>
          </w:p>
        </w:tc>
        <w:tc>
          <w:tcPr>
            <w:tcW w:w="3820" w:type="dxa"/>
          </w:tcPr>
          <w:p w14:paraId="18C37DCE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上传、保存及下载时</w:t>
            </w:r>
          </w:p>
        </w:tc>
      </w:tr>
    </w:tbl>
    <w:p w14:paraId="0217CED8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来源适配应明确接口返回的完整性语义。未找到记录、权限过滤后无记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录、外部系统不可用和响应结构错误分别使用不同状态；不得将调用失败转换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成空集合后继续生成正常结论。多个来源具有不同更新时间时，应在结果中保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留各自截止时间。</w:t>
      </w:r>
    </w:p>
    <w:p w14:paraId="52383A8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对来源编码建立映射版本和有效状态，停用对象不再参与新任务。必要的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历史查询可读取对应时间的合法版本，但仍需检查当前用户是否允许访问历史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数据。映射失败应记录源编码及失败原因，转为补充确认或数据治理问题。</w:t>
      </w:r>
    </w:p>
    <w:p w14:paraId="4DC35FE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源数据接入验证应核对关键字段、对象数量、单位、时间粒度和权限范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围。抽取或查询记录关联当前任务与traceId，后续异常稽核可以还原所使用的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输入版本；重新获取数据形成新快照，不无痕覆盖已生成报告的依据。</w:t>
      </w:r>
    </w:p>
    <w:p w14:paraId="5A189E17">
      <w:pPr>
        <w:pStyle w:val="6"/>
        <w:bidi w:val="0"/>
      </w:pPr>
      <w:r>
        <w:t xml:space="preserve"> 数据处理逻辑</w:t>
      </w:r>
    </w:p>
    <w:p w14:paraId="0A1D168C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输入合并遵循当前明确选择优先于历史值的规则；未改变的字段继承当前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会话，已修改字段触发相关校验状态失效。页面不得将上一次查询的图表直接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标为新问题结果。</w:t>
      </w:r>
    </w:p>
    <w:p w14:paraId="72B8C0C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消息采用事件类型和序号组合处理。text_delta追加文本，chart_replace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替换指定图表数据，report_section更新指定章节；重复序号不重复渲染，缺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少序号时通过任务查询补齐状态。</w:t>
      </w:r>
    </w:p>
    <w:p w14:paraId="004970D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图表由前端固定组件映射生成，输入只包含允许的图表类型、轴字段、图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例和序列。报表链接与报告文档采用独立结果组件，不能通过一段任意HTML承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担所有结果类型。</w:t>
      </w:r>
    </w:p>
    <w:p w14:paraId="4F771C5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保存报告时提交基础版本号和修改内容，服务端执行并发版本检查；导出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生成任务读取冻结版本，编辑过程中发生的新修改不影响正在导出的文件。</w:t>
      </w:r>
    </w:p>
    <w:p w14:paraId="58421115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处理过程应使用明确的数据结构连接节点。输入快照只在通过结构、业务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和权限校验后标为可执行，节点输出同时包含状态、结果标识和质量说明。以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session_id关联处理链，避免通过生成文本中的名称反向识别业务对象。</w:t>
      </w:r>
    </w:p>
    <w:p w14:paraId="4725CC6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涉及跨服务状态更新时，先持久化业务结果和待发送事件，再进行可靠投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递；下游按照事件标识和版本去重。网络超时不能证明对方未处理，补偿前应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查询已有执行结果，确保重试不会产生重复报告、重复查询消费或重复外部工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单。</w:t>
      </w:r>
    </w:p>
    <w:p w14:paraId="47B7E81F">
      <w:pPr>
        <w:pStyle w:val="6"/>
        <w:bidi w:val="0"/>
      </w:pPr>
      <w:r>
        <w:t xml:space="preserve"> 数据处理结果</w:t>
      </w:r>
    </w:p>
    <w:p w14:paraId="32F0FF6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处理结果应按结构化对象交付，正文仅承担说明作用。不同结果分别维护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完成状态、来源版本和用户可见范围；下游组件不能把一条自然语言“成功”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提示作为业务完成的唯一依据。</w:t>
      </w:r>
    </w:p>
    <w:tbl>
      <w:tblPr>
        <w:tblStyle w:val="20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5"/>
        <w:gridCol w:w="2160"/>
        <w:gridCol w:w="3821"/>
      </w:tblGrid>
      <w:tr w14:paraId="34545A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blHeader/>
        </w:trPr>
        <w:tc>
          <w:tcPr>
            <w:tcW w:w="2325" w:type="dxa"/>
            <w:shd w:val="clear" w:color="auto" w:fill="EDEDED"/>
          </w:tcPr>
          <w:p w14:paraId="44C4088D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结果对象</w:t>
            </w:r>
          </w:p>
        </w:tc>
        <w:tc>
          <w:tcPr>
            <w:tcW w:w="2159" w:type="dxa"/>
            <w:shd w:val="clear" w:color="auto" w:fill="EDEDED"/>
          </w:tcPr>
          <w:p w14:paraId="0941E5C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关键内容</w:t>
            </w:r>
          </w:p>
        </w:tc>
        <w:tc>
          <w:tcPr>
            <w:tcW w:w="3820" w:type="dxa"/>
            <w:shd w:val="clear" w:color="auto" w:fill="EDEDED"/>
          </w:tcPr>
          <w:p w14:paraId="1DCAD49A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用途</w:t>
            </w:r>
          </w:p>
        </w:tc>
      </w:tr>
      <w:tr w14:paraId="2EF379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5C6FF47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会话记录</w:t>
            </w:r>
          </w:p>
        </w:tc>
        <w:tc>
          <w:tcPr>
            <w:tcW w:w="2159" w:type="dxa"/>
          </w:tcPr>
          <w:p w14:paraId="07401B38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会话ID、当前用户、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上下文版本、创建及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更新时间</w:t>
            </w:r>
          </w:p>
        </w:tc>
        <w:tc>
          <w:tcPr>
            <w:tcW w:w="3820" w:type="dxa"/>
          </w:tcPr>
          <w:p w14:paraId="79EE87B9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支持历史切换和跨展示模式恢复</w:t>
            </w:r>
          </w:p>
        </w:tc>
      </w:tr>
      <w:tr w14:paraId="67ADA7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666EF0A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消息结果</w:t>
            </w:r>
          </w:p>
        </w:tc>
        <w:tc>
          <w:tcPr>
            <w:tcW w:w="2159" w:type="dxa"/>
          </w:tcPr>
          <w:p w14:paraId="426D01AD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消息ID、任务ID、事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件序号、内容类型和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正文</w:t>
            </w:r>
          </w:p>
        </w:tc>
        <w:tc>
          <w:tcPr>
            <w:tcW w:w="3820" w:type="dxa"/>
          </w:tcPr>
          <w:p w14:paraId="01C0BA8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支持流式恢复、重新生成和结果追溯</w:t>
            </w:r>
          </w:p>
        </w:tc>
      </w:tr>
      <w:tr w14:paraId="13E867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2C9A2E42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图表结果</w:t>
            </w:r>
          </w:p>
        </w:tc>
        <w:tc>
          <w:tcPr>
            <w:tcW w:w="2159" w:type="dxa"/>
          </w:tcPr>
          <w:p w14:paraId="01C5F2D7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类型、维度、序列、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单位、账期与数据来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源</w:t>
            </w:r>
          </w:p>
        </w:tc>
        <w:tc>
          <w:tcPr>
            <w:tcW w:w="3820" w:type="dxa"/>
          </w:tcPr>
          <w:p w14:paraId="0A705551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支持柱状图折线图饼图的合法切换</w:t>
            </w:r>
          </w:p>
        </w:tc>
      </w:tr>
      <w:tr w14:paraId="500018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0A539017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报告版本</w:t>
            </w:r>
          </w:p>
        </w:tc>
        <w:tc>
          <w:tcPr>
            <w:tcW w:w="2159" w:type="dxa"/>
          </w:tcPr>
          <w:p w14:paraId="49647F18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正文、章节、来源数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据批次、模板版本及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编辑人</w:t>
            </w:r>
          </w:p>
        </w:tc>
        <w:tc>
          <w:tcPr>
            <w:tcW w:w="3820" w:type="dxa"/>
          </w:tcPr>
          <w:p w14:paraId="0DFE9407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支持在线编辑、下载和版本核验</w:t>
            </w:r>
          </w:p>
        </w:tc>
      </w:tr>
    </w:tbl>
    <w:p w14:paraId="2A8C4308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结果版本应关联原问题、确认参数、工具返回数据及配置版本。用户重新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生成时保留原结果，并建立新旧版本关系；用户编辑内容与系统自动生成内容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分别标明来源，不覆盖自动输出依据。</w:t>
      </w:r>
    </w:p>
    <w:p w14:paraId="4FF5F3A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对无数据、部分完成、失败和取消应返回明确结果状态。无数据结果说明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已查询范围，部分完成列出缺失步骤，失败返回可定位错误及是否可重试，取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消保留已产生结果但不得继续标记为自动完成。</w:t>
      </w:r>
    </w:p>
    <w:p w14:paraId="63CCDE1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结果展示和下载再次验证归属与授权。针对流式消息、参数确认卡片、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ECharts图表、报表链接、报告正文、任务状态和下载入口，前端应按约定类型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解析；未知类型只显示受控错误，不执行动态脚本或任意地址。数据单位、账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期和口径应与结果同时展示，避免脱离上下文使用。</w:t>
      </w:r>
    </w:p>
    <w:p w14:paraId="7B8EF824">
      <w:pPr>
        <w:pStyle w:val="6"/>
        <w:bidi w:val="0"/>
      </w:pPr>
      <w:r>
        <w:t xml:space="preserve"> 数据校验</w:t>
      </w:r>
    </w:p>
    <w:p w14:paraId="6AE7429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本模块校验对象为当前问题、来源页面、会话标识、区域编码、指标编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码、账期、模板文件标识、专业智能体入口标识及流式消息、参数确认卡片、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ECharts图表、报表链接、报告正文、任务状态和下载入口。校验顺序为身份与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归属、结构、业务对象、数据权限、执行条件和输出质量；前一步失败时不得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继续调用需要其结果的后续工具。</w:t>
      </w:r>
    </w:p>
    <w:tbl>
      <w:tblPr>
        <w:tblStyle w:val="20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5"/>
        <w:gridCol w:w="2160"/>
        <w:gridCol w:w="3821"/>
      </w:tblGrid>
      <w:tr w14:paraId="7EDB6C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blHeader/>
        </w:trPr>
        <w:tc>
          <w:tcPr>
            <w:tcW w:w="2325" w:type="dxa"/>
            <w:shd w:val="clear" w:color="auto" w:fill="EDEDED"/>
          </w:tcPr>
          <w:p w14:paraId="3216FD0C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检查项</w:t>
            </w:r>
          </w:p>
        </w:tc>
        <w:tc>
          <w:tcPr>
            <w:tcW w:w="2159" w:type="dxa"/>
            <w:shd w:val="clear" w:color="auto" w:fill="EDEDED"/>
          </w:tcPr>
          <w:p w14:paraId="32CC730E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判定依据</w:t>
            </w:r>
          </w:p>
        </w:tc>
        <w:tc>
          <w:tcPr>
            <w:tcW w:w="3820" w:type="dxa"/>
            <w:shd w:val="clear" w:color="auto" w:fill="EDEDED"/>
          </w:tcPr>
          <w:p w14:paraId="178F75E4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失败处理</w:t>
            </w:r>
          </w:p>
        </w:tc>
      </w:tr>
      <w:tr w14:paraId="17C8AF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22D57152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身份与归属</w:t>
            </w:r>
          </w:p>
        </w:tc>
        <w:tc>
          <w:tcPr>
            <w:tcW w:w="2159" w:type="dxa"/>
          </w:tcPr>
          <w:p w14:paraId="52C2B365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当前用户与会话任务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所属主体一致</w:t>
            </w:r>
          </w:p>
        </w:tc>
        <w:tc>
          <w:tcPr>
            <w:tcW w:w="3820" w:type="dxa"/>
          </w:tcPr>
          <w:p w14:paraId="166FB1C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拒绝跨用户或跨应用读取</w:t>
            </w:r>
          </w:p>
        </w:tc>
      </w:tr>
      <w:tr w14:paraId="3C447C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0CF1305D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对象编码</w:t>
            </w:r>
          </w:p>
        </w:tc>
        <w:tc>
          <w:tcPr>
            <w:tcW w:w="2159" w:type="dxa"/>
          </w:tcPr>
          <w:p w14:paraId="6E2015C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业务编码来自已登记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源对象</w:t>
            </w:r>
          </w:p>
        </w:tc>
        <w:tc>
          <w:tcPr>
            <w:tcW w:w="3820" w:type="dxa"/>
          </w:tcPr>
          <w:p w14:paraId="52BBD7F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拒绝候选集合外对象</w:t>
            </w:r>
          </w:p>
        </w:tc>
      </w:tr>
      <w:tr w14:paraId="1D9CC8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2A86B6AC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参数结构</w:t>
            </w:r>
          </w:p>
        </w:tc>
        <w:tc>
          <w:tcPr>
            <w:tcW w:w="2159" w:type="dxa"/>
          </w:tcPr>
          <w:p w14:paraId="5077295D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类型必填枚举及时间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格式符合契约</w:t>
            </w:r>
          </w:p>
        </w:tc>
        <w:tc>
          <w:tcPr>
            <w:tcW w:w="3820" w:type="dxa"/>
          </w:tcPr>
          <w:p w14:paraId="337B2691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逐字段返回失败原因</w:t>
            </w:r>
          </w:p>
        </w:tc>
      </w:tr>
      <w:tr w14:paraId="497604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7DDC5F09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权限范围</w:t>
            </w:r>
          </w:p>
        </w:tc>
        <w:tc>
          <w:tcPr>
            <w:tcW w:w="2159" w:type="dxa"/>
          </w:tcPr>
          <w:p w14:paraId="227B17C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本次工具调用使用当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前有效授权</w:t>
            </w:r>
          </w:p>
        </w:tc>
        <w:tc>
          <w:tcPr>
            <w:tcW w:w="3820" w:type="dxa"/>
          </w:tcPr>
          <w:p w14:paraId="177D2E08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拒绝越权且不返回敏感摘要</w:t>
            </w:r>
          </w:p>
        </w:tc>
      </w:tr>
      <w:tr w14:paraId="342369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43CD95F5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版本一致</w:t>
            </w:r>
          </w:p>
        </w:tc>
        <w:tc>
          <w:tcPr>
            <w:tcW w:w="2159" w:type="dxa"/>
          </w:tcPr>
          <w:p w14:paraId="60C0EE01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输入配置与任务确认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版本匹配</w:t>
            </w:r>
          </w:p>
        </w:tc>
        <w:tc>
          <w:tcPr>
            <w:tcW w:w="3820" w:type="dxa"/>
          </w:tcPr>
          <w:p w14:paraId="749C5EB5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提示刷新或重新确认</w:t>
            </w:r>
          </w:p>
        </w:tc>
      </w:tr>
      <w:tr w14:paraId="369E23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03847B34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输出完整</w:t>
            </w:r>
          </w:p>
        </w:tc>
        <w:tc>
          <w:tcPr>
            <w:tcW w:w="2159" w:type="dxa"/>
          </w:tcPr>
          <w:p w14:paraId="1A162BAC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结果状态与必需字段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相符</w:t>
            </w:r>
          </w:p>
        </w:tc>
        <w:tc>
          <w:tcPr>
            <w:tcW w:w="3820" w:type="dxa"/>
          </w:tcPr>
          <w:p w14:paraId="63A86D26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不将部分结果标为全部成功</w:t>
            </w:r>
          </w:p>
        </w:tc>
      </w:tr>
    </w:tbl>
    <w:p w14:paraId="3ABABFA7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轻量模式与全屏模式共享服务端会话，切换展示模式不得创建第二个同义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任务；当前区域、指标、账期及模板选择通过上下文版本同步。</w:t>
      </w:r>
    </w:p>
    <w:p w14:paraId="143249D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校验结果应包含field、ruleCode、message和traceId，错误提示能够定位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到用户可修改的内容。源系统内部堆栈及敏感SQL不直接展示；无法由用户修复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的问题返回管理处理标识，并保留后台详细原因。</w:t>
      </w:r>
    </w:p>
    <w:p w14:paraId="22716D5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验收采用合法值、缺失值、重复值、过期版本和越权对象进行组合验证。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同一业务校验在页面直接调用、智能体工具调用和对外调用三种路径应得到一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致结论；不得仅依赖前端按钮限制。</w:t>
      </w:r>
    </w:p>
    <w:p w14:paraId="4F6D4D13">
      <w:pPr>
        <w:pStyle w:val="6"/>
        <w:bidi w:val="0"/>
      </w:pPr>
      <w:r>
        <w:t xml:space="preserve"> 数据表设计</w:t>
      </w:r>
    </w:p>
    <w:p w14:paraId="6E3F00F5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逻辑主表：ai_portal_task。采用业务ID作为主键，保存关键对象、当前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状态及版本，执行明细与结果内容通过关联ID独立保存。以下字段为概要逻辑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设计，物理名称和字段长度应与现有平台规范映射。</w:t>
      </w:r>
    </w:p>
    <w:tbl>
      <w:tblPr>
        <w:tblStyle w:val="20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75"/>
        <w:gridCol w:w="1827"/>
        <w:gridCol w:w="1079"/>
        <w:gridCol w:w="2825"/>
      </w:tblGrid>
      <w:tr w14:paraId="1B733D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blHeader/>
        </w:trPr>
        <w:tc>
          <w:tcPr>
            <w:tcW w:w="2574" w:type="dxa"/>
            <w:shd w:val="clear" w:color="auto" w:fill="EDEDED"/>
          </w:tcPr>
          <w:p w14:paraId="3682AD64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字段</w:t>
            </w:r>
          </w:p>
        </w:tc>
        <w:tc>
          <w:tcPr>
            <w:tcW w:w="1827" w:type="dxa"/>
            <w:shd w:val="clear" w:color="auto" w:fill="EDEDED"/>
          </w:tcPr>
          <w:p w14:paraId="4AF2E68D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类型</w:t>
            </w:r>
          </w:p>
        </w:tc>
        <w:tc>
          <w:tcPr>
            <w:tcW w:w="1079" w:type="dxa"/>
            <w:shd w:val="clear" w:color="auto" w:fill="EDEDED"/>
          </w:tcPr>
          <w:p w14:paraId="5FAEEAF9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必填</w:t>
            </w:r>
          </w:p>
        </w:tc>
        <w:tc>
          <w:tcPr>
            <w:tcW w:w="2824" w:type="dxa"/>
            <w:shd w:val="clear" w:color="auto" w:fill="EDEDED"/>
          </w:tcPr>
          <w:p w14:paraId="39B46EC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说明</w:t>
            </w:r>
          </w:p>
        </w:tc>
      </w:tr>
      <w:tr w14:paraId="16827D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74" w:type="dxa"/>
          </w:tcPr>
          <w:p w14:paraId="4F012A1B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session_id</w:t>
            </w:r>
          </w:p>
        </w:tc>
        <w:tc>
          <w:tcPr>
            <w:tcW w:w="1827" w:type="dxa"/>
          </w:tcPr>
          <w:p w14:paraId="263CBDE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varchar()</w:t>
            </w:r>
          </w:p>
        </w:tc>
        <w:tc>
          <w:tcPr>
            <w:tcW w:w="1079" w:type="dxa"/>
          </w:tcPr>
          <w:p w14:paraId="594612DC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是</w:t>
            </w:r>
          </w:p>
        </w:tc>
        <w:tc>
          <w:tcPr>
            <w:tcW w:w="2824" w:type="dxa"/>
          </w:tcPr>
          <w:p w14:paraId="4EFBBE14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会话业务标识</w:t>
            </w:r>
          </w:p>
        </w:tc>
      </w:tr>
      <w:tr w14:paraId="652F4B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74" w:type="dxa"/>
          </w:tcPr>
          <w:p w14:paraId="30633FDB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user_id</w:t>
            </w:r>
          </w:p>
        </w:tc>
        <w:tc>
          <w:tcPr>
            <w:tcW w:w="1827" w:type="dxa"/>
          </w:tcPr>
          <w:p w14:paraId="3BFABA47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varchar()</w:t>
            </w:r>
          </w:p>
        </w:tc>
        <w:tc>
          <w:tcPr>
            <w:tcW w:w="1079" w:type="dxa"/>
          </w:tcPr>
          <w:p w14:paraId="40F180DE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是</w:t>
            </w:r>
          </w:p>
        </w:tc>
        <w:tc>
          <w:tcPr>
            <w:tcW w:w="2824" w:type="dxa"/>
          </w:tcPr>
          <w:p w14:paraId="214AEE7A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归属用户</w:t>
            </w:r>
          </w:p>
        </w:tc>
      </w:tr>
      <w:tr w14:paraId="29F472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74" w:type="dxa"/>
          </w:tcPr>
          <w:p w14:paraId="36CBEF2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context_version</w:t>
            </w:r>
          </w:p>
        </w:tc>
        <w:tc>
          <w:tcPr>
            <w:tcW w:w="1827" w:type="dxa"/>
          </w:tcPr>
          <w:p w14:paraId="3028E77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bigint</w:t>
            </w:r>
          </w:p>
        </w:tc>
        <w:tc>
          <w:tcPr>
            <w:tcW w:w="1079" w:type="dxa"/>
          </w:tcPr>
          <w:p w14:paraId="37DA877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按状态</w:t>
            </w:r>
          </w:p>
        </w:tc>
        <w:tc>
          <w:tcPr>
            <w:tcW w:w="2824" w:type="dxa"/>
          </w:tcPr>
          <w:p w14:paraId="203D9B12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会话上下文版本</w:t>
            </w:r>
          </w:p>
        </w:tc>
      </w:tr>
      <w:tr w14:paraId="0649E5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74" w:type="dxa"/>
          </w:tcPr>
          <w:p w14:paraId="148EB315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message_id</w:t>
            </w:r>
          </w:p>
        </w:tc>
        <w:tc>
          <w:tcPr>
            <w:tcW w:w="1827" w:type="dxa"/>
          </w:tcPr>
          <w:p w14:paraId="335C20D9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varchar()</w:t>
            </w:r>
          </w:p>
        </w:tc>
        <w:tc>
          <w:tcPr>
            <w:tcW w:w="1079" w:type="dxa"/>
          </w:tcPr>
          <w:p w14:paraId="1C8CEC2C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按状态</w:t>
            </w:r>
          </w:p>
        </w:tc>
        <w:tc>
          <w:tcPr>
            <w:tcW w:w="2824" w:type="dxa"/>
          </w:tcPr>
          <w:p w14:paraId="03305E7E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当前消息标识</w:t>
            </w:r>
          </w:p>
        </w:tc>
      </w:tr>
      <w:tr w14:paraId="0E9B62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74" w:type="dxa"/>
          </w:tcPr>
          <w:p w14:paraId="2B8CCFC8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task_id</w:t>
            </w:r>
          </w:p>
        </w:tc>
        <w:tc>
          <w:tcPr>
            <w:tcW w:w="1827" w:type="dxa"/>
          </w:tcPr>
          <w:p w14:paraId="4F33D327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varchar()</w:t>
            </w:r>
          </w:p>
        </w:tc>
        <w:tc>
          <w:tcPr>
            <w:tcW w:w="1079" w:type="dxa"/>
          </w:tcPr>
          <w:p w14:paraId="760BB3F5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按状态</w:t>
            </w:r>
          </w:p>
        </w:tc>
        <w:tc>
          <w:tcPr>
            <w:tcW w:w="2824" w:type="dxa"/>
          </w:tcPr>
          <w:p w14:paraId="2178CD48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后台任务标识</w:t>
            </w:r>
          </w:p>
        </w:tc>
      </w:tr>
      <w:tr w14:paraId="0D9F03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74" w:type="dxa"/>
          </w:tcPr>
          <w:p w14:paraId="1658BF49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event_seq</w:t>
            </w:r>
          </w:p>
        </w:tc>
        <w:tc>
          <w:tcPr>
            <w:tcW w:w="1827" w:type="dxa"/>
          </w:tcPr>
          <w:p w14:paraId="7860E1A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bigint</w:t>
            </w:r>
          </w:p>
        </w:tc>
        <w:tc>
          <w:tcPr>
            <w:tcW w:w="1079" w:type="dxa"/>
          </w:tcPr>
          <w:p w14:paraId="5AF36198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按状态</w:t>
            </w:r>
          </w:p>
        </w:tc>
        <w:tc>
          <w:tcPr>
            <w:tcW w:w="2824" w:type="dxa"/>
          </w:tcPr>
          <w:p w14:paraId="58D272C5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事件序号</w:t>
            </w:r>
          </w:p>
        </w:tc>
      </w:tr>
      <w:tr w14:paraId="760A75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74" w:type="dxa"/>
          </w:tcPr>
          <w:p w14:paraId="2C4A414C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content_type</w:t>
            </w:r>
          </w:p>
        </w:tc>
        <w:tc>
          <w:tcPr>
            <w:tcW w:w="1827" w:type="dxa"/>
          </w:tcPr>
          <w:p w14:paraId="150299CD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varchar()</w:t>
            </w:r>
          </w:p>
        </w:tc>
        <w:tc>
          <w:tcPr>
            <w:tcW w:w="1079" w:type="dxa"/>
          </w:tcPr>
          <w:p w14:paraId="2B4A951A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按状态</w:t>
            </w:r>
          </w:p>
        </w:tc>
        <w:tc>
          <w:tcPr>
            <w:tcW w:w="2824" w:type="dxa"/>
          </w:tcPr>
          <w:p w14:paraId="49D10062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文本图表链接或报告</w:t>
            </w:r>
          </w:p>
        </w:tc>
      </w:tr>
      <w:tr w14:paraId="557069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74" w:type="dxa"/>
          </w:tcPr>
          <w:p w14:paraId="3992DF2A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status</w:t>
            </w:r>
          </w:p>
        </w:tc>
        <w:tc>
          <w:tcPr>
            <w:tcW w:w="1827" w:type="dxa"/>
          </w:tcPr>
          <w:p w14:paraId="31A749EB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varchar()</w:t>
            </w:r>
          </w:p>
        </w:tc>
        <w:tc>
          <w:tcPr>
            <w:tcW w:w="1079" w:type="dxa"/>
          </w:tcPr>
          <w:p w14:paraId="3CB7FA0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按状态</w:t>
            </w:r>
          </w:p>
        </w:tc>
        <w:tc>
          <w:tcPr>
            <w:tcW w:w="2824" w:type="dxa"/>
          </w:tcPr>
          <w:p w14:paraId="73DA264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处理中完成失败或取消</w:t>
            </w:r>
          </w:p>
        </w:tc>
      </w:tr>
      <w:tr w14:paraId="6D2BA2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74" w:type="dxa"/>
          </w:tcPr>
          <w:p w14:paraId="3AF15E4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version</w:t>
            </w:r>
          </w:p>
        </w:tc>
        <w:tc>
          <w:tcPr>
            <w:tcW w:w="1827" w:type="dxa"/>
          </w:tcPr>
          <w:p w14:paraId="54288B6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bigint</w:t>
            </w:r>
          </w:p>
        </w:tc>
        <w:tc>
          <w:tcPr>
            <w:tcW w:w="1079" w:type="dxa"/>
          </w:tcPr>
          <w:p w14:paraId="59C3675B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是</w:t>
            </w:r>
          </w:p>
        </w:tc>
        <w:tc>
          <w:tcPr>
            <w:tcW w:w="2824" w:type="dxa"/>
          </w:tcPr>
          <w:p w14:paraId="154F1355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并发更新版本</w:t>
            </w:r>
          </w:p>
        </w:tc>
      </w:tr>
      <w:tr w14:paraId="785ED9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74" w:type="dxa"/>
          </w:tcPr>
          <w:p w14:paraId="4776215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create_time</w:t>
            </w:r>
          </w:p>
        </w:tc>
        <w:tc>
          <w:tcPr>
            <w:tcW w:w="1827" w:type="dxa"/>
          </w:tcPr>
          <w:p w14:paraId="3A9671D5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datetime</w:t>
            </w:r>
          </w:p>
        </w:tc>
        <w:tc>
          <w:tcPr>
            <w:tcW w:w="1079" w:type="dxa"/>
          </w:tcPr>
          <w:p w14:paraId="4C3670C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是</w:t>
            </w:r>
          </w:p>
        </w:tc>
        <w:tc>
          <w:tcPr>
            <w:tcW w:w="2824" w:type="dxa"/>
          </w:tcPr>
          <w:p w14:paraId="0765CE5E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记录创建时间</w:t>
            </w:r>
          </w:p>
        </w:tc>
      </w:tr>
      <w:tr w14:paraId="705C4A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74" w:type="dxa"/>
          </w:tcPr>
          <w:p w14:paraId="22FD47D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update_time</w:t>
            </w:r>
          </w:p>
        </w:tc>
        <w:tc>
          <w:tcPr>
            <w:tcW w:w="1827" w:type="dxa"/>
          </w:tcPr>
          <w:p w14:paraId="594C0D4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datetime</w:t>
            </w:r>
          </w:p>
        </w:tc>
        <w:tc>
          <w:tcPr>
            <w:tcW w:w="1079" w:type="dxa"/>
          </w:tcPr>
          <w:p w14:paraId="6C37B3D5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是</w:t>
            </w:r>
          </w:p>
        </w:tc>
        <w:tc>
          <w:tcPr>
            <w:tcW w:w="2824" w:type="dxa"/>
          </w:tcPr>
          <w:p w14:paraId="7325FA3E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最近更新时间</w:t>
            </w:r>
          </w:p>
        </w:tc>
      </w:tr>
      <w:tr w14:paraId="0F368C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74" w:type="dxa"/>
          </w:tcPr>
          <w:p w14:paraId="0AAB0BB8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trace_id</w:t>
            </w:r>
          </w:p>
        </w:tc>
        <w:tc>
          <w:tcPr>
            <w:tcW w:w="1827" w:type="dxa"/>
          </w:tcPr>
          <w:p w14:paraId="2C4BD03D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varchar()</w:t>
            </w:r>
          </w:p>
        </w:tc>
        <w:tc>
          <w:tcPr>
            <w:tcW w:w="1079" w:type="dxa"/>
          </w:tcPr>
          <w:p w14:paraId="44DAF01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是</w:t>
            </w:r>
          </w:p>
        </w:tc>
        <w:tc>
          <w:tcPr>
            <w:tcW w:w="2824" w:type="dxa"/>
          </w:tcPr>
          <w:p w14:paraId="07E174A2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跨节点关联标识</w:t>
            </w:r>
          </w:p>
        </w:tc>
      </w:tr>
    </w:tbl>
    <w:p w14:paraId="779EE66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主键与索引：session_id作为业务主键；建立用户或主体加创建时间、状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态加更新时间的组合索引。高频对象查询按user_id建立必要索引，禁止为全部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字段无差别建索引。幂等键与请求摘要同时保存。</w:t>
      </w:r>
    </w:p>
    <w:p w14:paraId="5312A94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关联与归档：任务事件采用任务ID和事件序号唯一，结果版本采用任务ID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和版本号唯一。大体积正文及文件保存至受控存储，表中保留标识及摘要；归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档前检查有效引用，按企业保留策略执行，不随意删除尚需复核的依据。</w:t>
      </w:r>
    </w:p>
    <w:p w14:paraId="16328113">
      <w:pPr>
        <w:pStyle w:val="6"/>
        <w:bidi w:val="0"/>
      </w:pPr>
      <w:r>
        <w:t xml:space="preserve"> 数据接口设计</w:t>
      </w:r>
    </w:p>
    <w:p w14:paraId="0381011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本节接口为新增设计契约，统一前缀/api/ai/portal。接口使用受信Authorization请求头与traceId，最终用户身份从认证上下文获取，不接受请求正文中任意 operator 字段冒充用户身份。</w:t>
      </w:r>
    </w:p>
    <w:p w14:paraId="6DC6FCD9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核心提交接口</w:t>
      </w:r>
    </w:p>
    <w:p w14:paraId="7F0F7517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POST /api/ai/portal/messages/submit 输入字段按照下文示例与本节校验规则校验；业务写入请求需携带唯一requestId或等价幂等标识。受理成功后返回任务 ID，任务异步执行状态通过查询接口轮询获取。</w:t>
      </w:r>
    </w:p>
    <w:p w14:paraId="761AE70A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请求报文示例：</w:t>
      </w:r>
    </w:p>
    <w:p w14:paraId="3BE5803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>{</w:t>
      </w:r>
    </w:p>
    <w:p w14:paraId="27EB137D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 xml:space="preserve">    "sessionId":"S-DEMO-00",</w:t>
      </w:r>
    </w:p>
    <w:p w14:paraId="4A39BBCD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 xml:space="preserve">    "question":"查询已授权区域最新可用账期收入",</w:t>
      </w:r>
    </w:p>
    <w:p w14:paraId="0F5A904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 xml:space="preserve">    "contextVersion":"",</w:t>
      </w:r>
    </w:p>
    <w:p w14:paraId="3C45C8B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 xml:space="preserve">    "entryType":"general",</w:t>
      </w:r>
    </w:p>
    <w:p w14:paraId="60705DFD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 xml:space="preserve">    "selectedMetricIds":["M-DEMO-00"]</w:t>
      </w:r>
    </w:p>
    <w:p w14:paraId="265DC07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>}</w:t>
      </w:r>
    </w:p>
    <w:p w14:paraId="00B33BE7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返回报文示例： code代表调用处理结果，data.status代表业务阶段；accepted仅代表请求受理成功，不代表数据门户 AI 入口业务已全部执行完成。</w:t>
      </w:r>
    </w:p>
    <w:p w14:paraId="58D35CD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>{</w:t>
      </w:r>
    </w:p>
    <w:p w14:paraId="37CD050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 xml:space="preserve">    "code":"0",</w:t>
      </w:r>
    </w:p>
    <w:p w14:paraId="2D35951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 xml:space="preserve">    "message":"success",</w:t>
      </w:r>
    </w:p>
    <w:p w14:paraId="2F6770A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 xml:space="preserve">    "data":{</w:t>
      </w:r>
    </w:p>
    <w:p w14:paraId="5A4A89F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 xml:space="preserve">        "taskId":"T-DEMO-00",</w:t>
      </w:r>
    </w:p>
    <w:p w14:paraId="4568CE27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 xml:space="preserve">        "status":"accepted",</w:t>
      </w:r>
    </w:p>
    <w:p w14:paraId="7560B48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 xml:space="preserve">        "streamPath":"/api/ai/portal/tasks/T-DEMO-00/events"</w:t>
      </w:r>
    </w:p>
    <w:p w14:paraId="1D2AC7D5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 xml:space="preserve">    }</w:t>
      </w:r>
    </w:p>
    <w:p w14:paraId="06A37AF8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default" w:ascii="宋体" w:hAnsi="宋体" w:eastAsia="宋体" w:cs="宋体"/>
          <w:color w:val="000000"/>
          <w:sz w:val="24"/>
        </w:rPr>
      </w:pPr>
      <w:r>
        <w:rPr>
          <w:rFonts w:hint="default" w:ascii="宋体" w:hAnsi="宋体" w:eastAsia="宋体" w:cs="宋体"/>
          <w:color w:val="000000"/>
          <w:sz w:val="24"/>
        </w:rPr>
        <w:t>}</w:t>
      </w:r>
    </w:p>
    <w:p w14:paraId="0ED4853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查询接口</w:t>
      </w:r>
    </w:p>
    <w:p w14:paraId="1548B82D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GET /api/ai/portal/tasks/status 请求携带对应任务 ID，返回status、stage、resultId、errorCode、retryable及更新时间；查询时校验任务归属权限。</w:t>
      </w:r>
    </w:p>
    <w:p w14:paraId="6100335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辅助接口</w:t>
      </w:r>
    </w:p>
    <w:p w14:paraId="3B6CAA0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POST /api/ai/portal/report/save 按操作动作校验权限与版本信息。</w:t>
      </w:r>
    </w:p>
    <w:p w14:paraId="3F156D6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异常分类与处理规则</w:t>
      </w:r>
    </w:p>
    <w:p w14:paraId="7A3BD31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异常类别固定为：PARAM_INVALID、PERMISSION_DENIED、VERSION_CONFLICT、DEPENDENCY_UNAVAILABLE、TASK_TIMEOUT、RESULT_INCOMPLETE。</w:t>
      </w:r>
    </w:p>
    <w:p w14:paraId="08428C5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不可重试类错误：立即返回；</w:t>
      </w:r>
    </w:p>
    <w:p w14:paraId="2A2F565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可重试调用：遵循调用预算与幂等约束； 所有接口返回结果均附带可追踪标识。</w:t>
      </w:r>
    </w:p>
    <w:p w14:paraId="30EF95E5">
      <w:pPr>
        <w:pStyle w:val="6"/>
        <w:bidi w:val="0"/>
      </w:pPr>
      <w:r>
        <w:t xml:space="preserve"> 外部及上下游系统</w:t>
      </w:r>
    </w:p>
    <w:p w14:paraId="6850E36A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上游负责提交合法的业务意图和可验证身份，下游负责返回受控数据或执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行结果。本模块作为协调方，不替代源系统的数据授权和业务定义，也不因接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入同一网关而共享所有数据。</w:t>
      </w:r>
    </w:p>
    <w:p w14:paraId="4D63CDD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统一认证对接。输入或输出内容为用户标识、组织及授权上下文，调用时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点为每次登录与令牌刷新。适配器应明确请求标识、返回状态及版本，参数或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授权失败不重试；网络失败按任务状态决定补偿，避免旧响应覆盖新的业务确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认。</w:t>
      </w:r>
    </w:p>
    <w:p w14:paraId="1AD1C0E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门户搜索对接。输入或输出内容为搜索词、结果类型及检索对象，调用时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点为用户提交搜索时。适配器应明确请求标识、返回状态及版本，参数或授权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失败不重试；网络失败按任务状态决定补偿，避免旧响应覆盖新的业务确认。</w:t>
      </w:r>
    </w:p>
    <w:p w14:paraId="4F6947A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会话服务对接。输入或输出内容为最近消息及已确认参数，调用时点为每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次任务提交与模式切换。适配器应明确请求标识、返回状态及版本，参数或授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权失败不重试；网络失败按任务状态决定补偿，避免旧响应覆盖新的业务确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认。</w:t>
      </w:r>
    </w:p>
    <w:p w14:paraId="570F8C72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下游交付对象为流式消息、参数确认卡片、ECharts图表、报表链接、报告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正文、任务状态和下载入口。输出接口需提供业务标识、内容类型、数据或配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置版本和质量状态，供门户及开放平台展示。消费者只应解释已登记结构，未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知版本或结果类型应返回不兼容提示，不自行猜测字段含义。</w:t>
      </w:r>
    </w:p>
    <w:p w14:paraId="07FFFD57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联调应建立输入责任、输出责任、异常处理和状态对账清单。以流连接断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开和报告文件失败作为依赖故障样例，确认异常发生后用户状态、内部任务、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外部执行和审计记录一致。</w:t>
      </w:r>
    </w:p>
    <w:p w14:paraId="15193F1E">
      <w:pPr>
        <w:pStyle w:val="6"/>
        <w:bidi w:val="0"/>
      </w:pPr>
      <w:r>
        <w:t xml:space="preserve"> 后续运营方案</w:t>
      </w:r>
    </w:p>
    <w:p w14:paraId="3762A0C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本模块运营围绕使用质量、执行质量和配置质量开展。每日检查合法任务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的完成情况与异常积压，按用户组织、版本和来源入口定位集中问题；正常权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限拒绝、无数据结果与系统失败分别统计。</w:t>
      </w:r>
    </w:p>
    <w:tbl>
      <w:tblPr>
        <w:tblStyle w:val="20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5"/>
        <w:gridCol w:w="2160"/>
        <w:gridCol w:w="3821"/>
      </w:tblGrid>
      <w:tr w14:paraId="6220DA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blHeader/>
        </w:trPr>
        <w:tc>
          <w:tcPr>
            <w:tcW w:w="2325" w:type="dxa"/>
            <w:shd w:val="clear" w:color="auto" w:fill="EDEDED"/>
          </w:tcPr>
          <w:p w14:paraId="61EF335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运营指标</w:t>
            </w:r>
          </w:p>
        </w:tc>
        <w:tc>
          <w:tcPr>
            <w:tcW w:w="2159" w:type="dxa"/>
            <w:shd w:val="clear" w:color="auto" w:fill="EDEDED"/>
          </w:tcPr>
          <w:p w14:paraId="2D51F9D4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计算口径</w:t>
            </w:r>
          </w:p>
        </w:tc>
        <w:tc>
          <w:tcPr>
            <w:tcW w:w="3820" w:type="dxa"/>
            <w:shd w:val="clear" w:color="auto" w:fill="EDEDED"/>
          </w:tcPr>
          <w:p w14:paraId="31F2C2AF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分析用途</w:t>
            </w:r>
          </w:p>
        </w:tc>
      </w:tr>
      <w:tr w14:paraId="0DB879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6536D5D2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首个可展示事件耗时</w:t>
            </w:r>
          </w:p>
        </w:tc>
        <w:tc>
          <w:tcPr>
            <w:tcW w:w="2159" w:type="dxa"/>
          </w:tcPr>
          <w:p w14:paraId="1EAE594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提交至首个有效事件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的时间差</w:t>
            </w:r>
          </w:p>
        </w:tc>
        <w:tc>
          <w:tcPr>
            <w:tcW w:w="3820" w:type="dxa"/>
          </w:tcPr>
          <w:p w14:paraId="15A300B1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用于定位排队与流式返回延迟</w:t>
            </w:r>
          </w:p>
        </w:tc>
      </w:tr>
      <w:tr w14:paraId="0B4755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7CF26E5A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会话恢复成功率</w:t>
            </w:r>
          </w:p>
        </w:tc>
        <w:tc>
          <w:tcPr>
            <w:tcW w:w="2159" w:type="dxa"/>
          </w:tcPr>
          <w:p w14:paraId="4CE1A9A4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成功恢复的会话数除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有效恢复请求数</w:t>
            </w:r>
          </w:p>
        </w:tc>
        <w:tc>
          <w:tcPr>
            <w:tcW w:w="3820" w:type="dxa"/>
          </w:tcPr>
          <w:p w14:paraId="0147520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用于检查会话版本与事件保留策略</w:t>
            </w:r>
          </w:p>
        </w:tc>
      </w:tr>
      <w:tr w14:paraId="5381C6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056F5AB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导出完成率</w:t>
            </w:r>
          </w:p>
        </w:tc>
        <w:tc>
          <w:tcPr>
            <w:tcW w:w="2159" w:type="dxa"/>
          </w:tcPr>
          <w:p w14:paraId="2A2D968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生成可下载文件的任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务数除导出任务数</w:t>
            </w:r>
          </w:p>
        </w:tc>
        <w:tc>
          <w:tcPr>
            <w:tcW w:w="3820" w:type="dxa"/>
          </w:tcPr>
          <w:p w14:paraId="7109881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失败需区分正文保存和文件转换</w:t>
            </w:r>
          </w:p>
        </w:tc>
      </w:tr>
    </w:tbl>
    <w:p w14:paraId="131158E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运营复核应跟踪门户用户、首页搜索事件、会话、消息、快捷参数、模板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文件、报告展示版本的配置和使用情况，检查过期对象、无效映射及重复任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务。对高频失败记录关联具体版本、问题样本和根因，形成负责人、处理期限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与复核结论。</w:t>
      </w:r>
    </w:p>
    <w:p w14:paraId="3CB497C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配置优化采用样本验证后发布。调整对象包括统一认证及会话服务的映射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或约束，发布前比较新旧结果并保留回退方式；不能直接在生产提示词中临时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修改后不留版本。</w:t>
      </w:r>
    </w:p>
    <w:p w14:paraId="4FE7FB6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月度汇总应列明任务量、错误分布、修复效果和未解决事项。质量改善以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相同样本、相同分母或明确可比范围验证，避免因排除困难请求而虚增成功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率；用户反馈须能够回到实际任务及输出依据。</w:t>
      </w:r>
    </w:p>
    <w:p w14:paraId="74E00FBB">
      <w:pPr>
        <w:pStyle w:val="6"/>
        <w:bidi w:val="0"/>
      </w:pPr>
      <w:r>
        <w:t xml:space="preserve"> 性能设计</w:t>
      </w:r>
    </w:p>
    <w:p w14:paraId="22E6C10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性能设计应区分交互、任务执行和结果交付。数据门户AI入口的入口校验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与状态查询保持轻量，涉及模型、数据库或文件转换的长步骤通过受控任务执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行；每层分别记录排队、执行和返回耗时。</w:t>
      </w:r>
    </w:p>
    <w:p w14:paraId="031B440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并发预算根据任务提交、流式渲染和编辑与导出的资源占用及外部配额制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定。批量请求分批执行，队列设置上限和过期时间；资源紧张时返回排队或限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流状态，不无限扩展线程和数据库连接。</w:t>
      </w:r>
    </w:p>
    <w:p w14:paraId="406E7E9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缓存仅用于适用的元数据和合法结果，键包含业务对象、完整参数、数据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版本及权限范围。统一认证发生更新时应有失效机制；数据结果不能只按问题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文本作为共享缓存键，以免不同区域或用户命中错误结果。</w:t>
      </w:r>
    </w:p>
    <w:p w14:paraId="5859F46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响应大小应限制文本长度、结果行列数、流式事件数量及上下文容量。对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大结果先由代码节点整理必要结构，再送入模型或前端；不得以扩大上下文代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替表字段分层检索、分页和统计加工。</w:t>
      </w:r>
    </w:p>
    <w:p w14:paraId="388C8BA5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压测记录测试数据量、并发、模型及工具版本、P0/P9/P99、失败率和资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源峰值。测量首个可展示事件耗时时同时观察会话恢复成功率，防止降低质量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换取延迟；正式阈值以已通过的基线和峰值测试确定。</w:t>
      </w:r>
    </w:p>
    <w:p w14:paraId="194E16C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故障压测应覆盖外部依赖慢响应、队列积压、实例重启和客户端断连，验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证恢复后任务不重复、结果不丢失、权限不失效。扩容前先判断瓶颈在应用、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模型、查询或存储层，避免无效增加实例。</w:t>
      </w:r>
    </w:p>
    <w:p w14:paraId="0F220F3A">
      <w:pPr>
        <w:pStyle w:val="6"/>
        <w:bidi w:val="0"/>
      </w:pPr>
      <w:r>
        <w:t xml:space="preserve"> 异常处理机制</w:t>
      </w:r>
    </w:p>
    <w:p w14:paraId="210CCD5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异常处理以可恢复性和业务影响分类，记录错误类别、节点、首次时间、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最近时间、重试次数及关联对象。以下处置应在服务端执行，前端提示与后台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状态保持一致。</w:t>
      </w:r>
    </w:p>
    <w:p w14:paraId="141E610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流连接断开。保留最后事件序号，重新连接后补取后续事件；后台任务不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因浏览器断连被认定失败。</w:t>
      </w:r>
    </w:p>
    <w:p w14:paraId="16B9AEB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AI请求超时。保留门户原搜索结果，显示AI任务查询入口，查询确认终态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后才允许按新请求重新发起。</w:t>
      </w:r>
    </w:p>
    <w:p w14:paraId="16DB0B9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上下文冲突。返回最新上下文版本和冲突字段，禁止静默覆盖另一窗口已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确认参数。</w:t>
      </w:r>
    </w:p>
    <w:p w14:paraId="5BEC8D3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渲染标签无效。将该块标记为不可展示，保留普通文本和后台错误标识，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不执行未知标签。</w:t>
      </w:r>
    </w:p>
    <w:p w14:paraId="29510F4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报告文件失败。保留已保存正文和模板版本，允许重试导出；不返回无效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下载地址。</w:t>
      </w:r>
    </w:p>
    <w:p w14:paraId="3EE7188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自动重试采用有限次数和退避间隔，达到上限后转人工处理。人工重试须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确认原任务是否已产生结果或外部副作用，记录操作者与原因；权限错误、语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义不确定及非法参数应由补充确认解决，不进入自动循环。</w:t>
      </w:r>
    </w:p>
    <w:p w14:paraId="70B9FE3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异常关闭应通过状态查询或复核证据确认，不能仅删除告警。已产生的有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效结果保留版本与访问控制；不能恢复的任务返回明确失败，并说明可重新发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起的前置条件。</w:t>
      </w:r>
    </w:p>
    <w:p w14:paraId="02E5E20D">
      <w:pPr>
        <w:pStyle w:val="6"/>
        <w:bidi w:val="0"/>
      </w:pPr>
      <w:r>
        <w:t xml:space="preserve"> 数据稽核要求</w:t>
      </w:r>
    </w:p>
    <w:p w14:paraId="40A9430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数据稽核从输入、执行、输出和关联四个方面检查。稽核对象为门户用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户、首页搜索事件、会话、消息、快捷参数、模板文件、报告展示版本，应能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从结果反查原任务、参数、数据源和配置版本，发现结果正确但来源记录不完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整时仍需登记稽核问题。</w:t>
      </w:r>
    </w:p>
    <w:p w14:paraId="509E87DC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输入稽核核对当前问题、来源页面、会话标识、区域编码、指标编码、账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期、模板文件标识、专业智能体入口标识的合法性和确认记录。重点检查源编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码与标准编码是否一致、用户范围是否实际应用、历史参数是否过期，以及缺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失字段是否被错误使用默认值覆盖。</w:t>
      </w:r>
    </w:p>
    <w:p w14:paraId="44BD389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过程稽核对照请求采集、上下文归一、任务提交、流式渲染、编辑与导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出、状态收敛的节点轨迹，检查前置校验是否通过、节点是否重复执行、超时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后是否仍继续产生结果、取消是否传播至实际执行层。</w:t>
      </w:r>
    </w:p>
    <w:p w14:paraId="561E4E9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输出稽核核对会话记录与报告版本的版本和关联。结果说明、状态及实际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数据应一致；失败或部分完成不能呈现为完整成功，用户编辑结果须能区分系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统自动生成依据。</w:t>
      </w:r>
    </w:p>
    <w:p w14:paraId="3896AF1D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稽核采用自动约束检查与人工样本复核结合。样本覆盖回答取消、重复事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件、并发编辑、恶意内容，每项问题保存影响范围、修复动作和复核结果。重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复出现的问题应定位到规则、元数据或接口配置，而非只修正单条结果。</w:t>
      </w:r>
    </w:p>
    <w:p w14:paraId="42284E90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稽核报告应列明样本量、通过数、问题类型及未解决项，分清技术失败与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业务不适用。修复后的任务通过同一输入重测并比较新旧输出，保留差异依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据，确保纠错未引入新的越权或口径变化。</w:t>
      </w:r>
    </w:p>
    <w:p w14:paraId="0C30A361">
      <w:pPr>
        <w:pStyle w:val="6"/>
        <w:bidi w:val="0"/>
      </w:pPr>
      <w:r>
        <w:t xml:space="preserve"> 实施部署要点</w:t>
      </w:r>
    </w:p>
    <w:p w14:paraId="27C1AA21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实施前置工作包括登记数据门户AI入口服务、配置输入输出契约、初始化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逻辑表与索引、接入身份权限及日志。功能开关默认按受控范围开放，外部依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赖未完成联调时不得返回伪成功结果。</w:t>
      </w:r>
    </w:p>
    <w:p w14:paraId="4CB6E137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数据准备应核验统一认证、门户搜索、会话服务、智能体平台、文档服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务。配置源对象编码、版本和有效状态，采用脱敏或测试数据完成合法与异常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样例验证；测试凭据和生产凭据通过环境配置隔离，禁止写入代码及提示词。</w:t>
      </w:r>
    </w:p>
    <w:p w14:paraId="3F51679B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发布按后端契约与存储、工具适配、工作流和模型配置、前端展示的依赖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顺序执行。新版本须兼容仍在运行的任务，数据库变更先采用兼容字段，不能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直接删除旧版本执行所需字段或结果结构。</w:t>
      </w:r>
    </w:p>
    <w:p w14:paraId="5B671F53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灰度期间使用明确的测试用户和组织范围，验证模式切换、搜索降级及恶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意内容。检查页面、任务、工具、数据库及审计记录是否一致，再扩大开放范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围。</w:t>
      </w:r>
    </w:p>
    <w:p w14:paraId="374C4014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回退应恢复服务路由和配置版本，正在执行任务根据版本继续完成或明确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取消；已创建的结果及事件不能因程序回退而丢失。对外副作用按业务号对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账，禁止将回退程序等同于撤销已创建工单或已交付文件。</w:t>
      </w:r>
    </w:p>
    <w:p w14:paraId="5046525E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投产值守重点观察首个可展示事件耗时与导出完成率，保留异常样本、处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理记录和复测证据。交付清单包括部署参数、接口契约、配置版本、数据字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典、测试结果、运行手册及回退步骤。</w:t>
      </w:r>
    </w:p>
    <w:p w14:paraId="42A2FDD1">
      <w:pPr>
        <w:pStyle w:val="6"/>
        <w:bidi w:val="0"/>
      </w:pPr>
      <w:r>
        <w:t xml:space="preserve"> 验收与运营考核</w:t>
      </w:r>
    </w:p>
    <w:p w14:paraId="3F6433CF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验收应使用可重复的输入、独立预期结果及固定配置版本。以下场景构成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本模块的核心验证集合，每项保留任务ID、实际结果、日志证据及缺陷处理记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录；不能以页面可打开或模型能够输出文字替代功能验收。</w:t>
      </w:r>
    </w:p>
    <w:tbl>
      <w:tblPr>
        <w:tblStyle w:val="20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5"/>
        <w:gridCol w:w="2160"/>
        <w:gridCol w:w="3821"/>
      </w:tblGrid>
      <w:tr w14:paraId="13554B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blHeader/>
        </w:trPr>
        <w:tc>
          <w:tcPr>
            <w:tcW w:w="2325" w:type="dxa"/>
            <w:shd w:val="clear" w:color="auto" w:fill="EDEDED"/>
          </w:tcPr>
          <w:p w14:paraId="5A5F8B55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场景</w:t>
            </w:r>
          </w:p>
        </w:tc>
        <w:tc>
          <w:tcPr>
            <w:tcW w:w="2159" w:type="dxa"/>
            <w:shd w:val="clear" w:color="auto" w:fill="EDEDED"/>
          </w:tcPr>
          <w:p w14:paraId="6F0CE66E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输入或触发</w:t>
            </w:r>
          </w:p>
        </w:tc>
        <w:tc>
          <w:tcPr>
            <w:tcW w:w="3820" w:type="dxa"/>
            <w:shd w:val="clear" w:color="auto" w:fill="EDEDED"/>
          </w:tcPr>
          <w:p w14:paraId="43D1235B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预期结果</w:t>
            </w:r>
          </w:p>
        </w:tc>
      </w:tr>
      <w:tr w14:paraId="48499A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23F6CB06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模式切换</w:t>
            </w:r>
          </w:p>
        </w:tc>
        <w:tc>
          <w:tcPr>
            <w:tcW w:w="2159" w:type="dxa"/>
          </w:tcPr>
          <w:p w14:paraId="3A189697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同一会话轻量转全屏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再返回</w:t>
            </w:r>
          </w:p>
        </w:tc>
        <w:tc>
          <w:tcPr>
            <w:tcW w:w="3820" w:type="dxa"/>
          </w:tcPr>
          <w:p w14:paraId="53BCBC9D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消息及已选三要素一致，不重复建任务</w:t>
            </w:r>
          </w:p>
        </w:tc>
      </w:tr>
      <w:tr w14:paraId="798CC9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68AB789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搜索降级</w:t>
            </w:r>
          </w:p>
        </w:tc>
        <w:tc>
          <w:tcPr>
            <w:tcW w:w="2159" w:type="dxa"/>
          </w:tcPr>
          <w:p w14:paraId="010218F6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原搜索成功且AI超时</w:t>
            </w:r>
          </w:p>
        </w:tc>
        <w:tc>
          <w:tcPr>
            <w:tcW w:w="3820" w:type="dxa"/>
          </w:tcPr>
          <w:p w14:paraId="0649AA58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原搜索结果可用，AI区展示独立异常</w:t>
            </w:r>
          </w:p>
        </w:tc>
      </w:tr>
      <w:tr w14:paraId="64DEBC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20E18516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回答取消</w:t>
            </w:r>
          </w:p>
        </w:tc>
        <w:tc>
          <w:tcPr>
            <w:tcW w:w="2159" w:type="dxa"/>
          </w:tcPr>
          <w:p w14:paraId="0F17E9B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生成过程中点击中断</w:t>
            </w:r>
          </w:p>
        </w:tc>
        <w:tc>
          <w:tcPr>
            <w:tcW w:w="3820" w:type="dxa"/>
          </w:tcPr>
          <w:p w14:paraId="7715E8BA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停止新增渲染，后台取消状态可追溯</w:t>
            </w:r>
          </w:p>
        </w:tc>
      </w:tr>
      <w:tr w14:paraId="119748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526209A3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重复事件</w:t>
            </w:r>
          </w:p>
        </w:tc>
        <w:tc>
          <w:tcPr>
            <w:tcW w:w="2159" w:type="dxa"/>
          </w:tcPr>
          <w:p w14:paraId="167BD60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同一事件序号推送两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次</w:t>
            </w:r>
          </w:p>
        </w:tc>
        <w:tc>
          <w:tcPr>
            <w:tcW w:w="3820" w:type="dxa"/>
          </w:tcPr>
          <w:p w14:paraId="69C1E1FA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正文与图表只更新一次</w:t>
            </w:r>
          </w:p>
        </w:tc>
      </w:tr>
      <w:tr w14:paraId="1A3E24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2161FD12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并发编辑</w:t>
            </w:r>
          </w:p>
        </w:tc>
        <w:tc>
          <w:tcPr>
            <w:tcW w:w="2159" w:type="dxa"/>
          </w:tcPr>
          <w:p w14:paraId="41D2D15D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两个窗口编辑同一报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告版本</w:t>
            </w:r>
          </w:p>
        </w:tc>
        <w:tc>
          <w:tcPr>
            <w:tcW w:w="3820" w:type="dxa"/>
          </w:tcPr>
          <w:p w14:paraId="49D8C579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后提交方得到版本冲突而非覆盖</w:t>
            </w:r>
          </w:p>
        </w:tc>
      </w:tr>
      <w:tr w14:paraId="47E5DB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25" w:type="dxa"/>
          </w:tcPr>
          <w:p w14:paraId="6C4383C0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恶意内容</w:t>
            </w:r>
          </w:p>
        </w:tc>
        <w:tc>
          <w:tcPr>
            <w:tcW w:w="2159" w:type="dxa"/>
          </w:tcPr>
          <w:p w14:paraId="20F67B44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结果包含脚本或非白</w:t>
            </w:r>
            <w:r>
              <w:rPr>
                <w:rFonts w:ascii="宋体" w:hAnsi="宋体" w:eastAsia="宋体" w:cs="宋体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sz w:val="21"/>
              </w:rPr>
              <w:t>名单链接</w:t>
            </w:r>
          </w:p>
        </w:tc>
        <w:tc>
          <w:tcPr>
            <w:tcW w:w="3820" w:type="dxa"/>
          </w:tcPr>
          <w:p w14:paraId="6433758A">
            <w:pPr>
              <w:numPr>
                <w:ilvl w:val="0"/>
                <w:numId w:val="0"/>
              </w:numPr>
              <w:snapToGrid w:val="0"/>
              <w:spacing w:before="0" w:after="0" w:line="280" w:lineRule="exact"/>
              <w:ind w:firstLine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脚本不执行且链接被拦截</w:t>
            </w:r>
          </w:p>
        </w:tc>
      </w:tr>
    </w:tbl>
    <w:p w14:paraId="00C7281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通过条件包括功能路径完整、关键字段正确、数据权限生效、异常状态可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恢复、重复调用无重复业务结果，以及结果可关联来源与版本。存在越权、SQL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安全绕过或无依据数据输出时，应作为阻断性缺陷处理。</w:t>
      </w:r>
    </w:p>
    <w:p w14:paraId="58C0D30C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</w:rPr>
        <w:t>运营考核采用首个可展示事件耗时、会话恢复成功率、导出完成率等指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标，目标值在试运行基线基础上确认。统计周期、分母及排除条件应固定并保</w:t>
      </w:r>
      <w:r>
        <w:rPr>
          <w:rFonts w:ascii="宋体" w:hAnsi="宋体" w:eastAsia="宋体" w:cs="宋体"/>
          <w:color w:val="000000"/>
          <w:sz w:val="24"/>
        </w:rPr>
        <w:br w:type="textWrapping"/>
      </w:r>
      <w:r>
        <w:rPr>
          <w:rFonts w:ascii="宋体" w:hAnsi="宋体" w:eastAsia="宋体" w:cs="宋体"/>
          <w:color w:val="000000"/>
          <w:sz w:val="24"/>
        </w:rPr>
        <w:t>留明细，重大失败需有专项复盘及复测结论。</w:t>
      </w:r>
    </w:p>
    <w:p w14:paraId="3717E6D6">
      <w:pPr>
        <w:numPr>
          <w:ilvl w:val="0"/>
          <w:numId w:val="0"/>
        </w:numPr>
        <w:snapToGrid w:val="0"/>
        <w:spacing w:before="120" w:after="120" w:line="360" w:lineRule="exact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1" w:name="_GoBack"/>
      <w:bookmarkEnd w:id="1"/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D22DC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CA289F"/>
    <w:multiLevelType w:val="multilevel"/>
    <w:tmpl w:val="A6CA289F"/>
    <w:lvl w:ilvl="0" w:tentative="0">
      <w:start w:val="30"/>
      <w:numFmt w:val="decimal"/>
      <w:pStyle w:val="2"/>
      <w:suff w:val="space"/>
      <w:lvlText w:val="%1"/>
      <w:lvlJc w:val="left"/>
      <w:pPr>
        <w:tabs>
          <w:tab w:val="left" w:pos="0"/>
        </w:tabs>
        <w:ind w:left="0" w:hanging="28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hanging="400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0"/>
        </w:tabs>
        <w:ind w:left="0" w:hanging="520"/>
      </w:pPr>
      <w:rPr>
        <w:rFonts w:hint="default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hanging="640"/>
      </w:pPr>
      <w:rPr>
        <w:rFonts w:hint="default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hanging="760"/>
      </w:pPr>
      <w:rPr>
        <w:rFonts w:hint="default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0" w:hanging="880"/>
      </w:pPr>
      <w:rPr>
        <w:rFonts w:hint="default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ind w:left="0" w:hanging="100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"/>
      <w:lvlJc w:val="left"/>
      <w:pPr>
        <w:ind w:left="0" w:hanging="1120"/>
      </w:pPr>
    </w:lvl>
    <w:lvl w:ilvl="8" w:tentative="0">
      <w:start w:val="1"/>
      <w:numFmt w:val="decimal"/>
      <w:pStyle w:val="10"/>
      <w:suff w:val="space"/>
      <w:lvlText w:val="%1.%2.%3.%4.%5.%6.%7.%8.%9"/>
      <w:lvlJc w:val="left"/>
      <w:pPr>
        <w:ind w:left="0" w:hanging="1240"/>
      </w:pPr>
    </w:lvl>
  </w:abstractNum>
  <w:abstractNum w:abstractNumId="1">
    <w:nsid w:val="1827D51F"/>
    <w:multiLevelType w:val="singleLevel"/>
    <w:tmpl w:val="1827D51F"/>
    <w:lvl w:ilvl="0" w:tentative="0">
      <w:start w:val="30"/>
      <w:numFmt w:val="decimal"/>
      <w:lvlText w:val="%1."/>
      <w:lvlJc w:val="left"/>
      <w:pPr>
        <w:tabs>
          <w:tab w:val="left" w:pos="312"/>
        </w:tabs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447"/>
    <w:rsid w:val="00086C0E"/>
    <w:rsid w:val="007A595D"/>
    <w:rsid w:val="00894F2D"/>
    <w:rsid w:val="00CB1447"/>
    <w:rsid w:val="012A0989"/>
    <w:rsid w:val="033724DF"/>
    <w:rsid w:val="03547C3C"/>
    <w:rsid w:val="057F65A5"/>
    <w:rsid w:val="08123F24"/>
    <w:rsid w:val="087C1181"/>
    <w:rsid w:val="087D3A94"/>
    <w:rsid w:val="08964B56"/>
    <w:rsid w:val="0A1B3564"/>
    <w:rsid w:val="0D0522AA"/>
    <w:rsid w:val="0D0C3638"/>
    <w:rsid w:val="0DB9071A"/>
    <w:rsid w:val="0E5C5A3F"/>
    <w:rsid w:val="0E64594E"/>
    <w:rsid w:val="0F53554E"/>
    <w:rsid w:val="0F80233D"/>
    <w:rsid w:val="12A14823"/>
    <w:rsid w:val="13E72709"/>
    <w:rsid w:val="1500455E"/>
    <w:rsid w:val="158C2113"/>
    <w:rsid w:val="16B9038D"/>
    <w:rsid w:val="16F70EB5"/>
    <w:rsid w:val="179E4C08"/>
    <w:rsid w:val="18405E23"/>
    <w:rsid w:val="18A1732B"/>
    <w:rsid w:val="18BE612E"/>
    <w:rsid w:val="19333F18"/>
    <w:rsid w:val="195A572B"/>
    <w:rsid w:val="19A51F9B"/>
    <w:rsid w:val="1CC26829"/>
    <w:rsid w:val="1E25455A"/>
    <w:rsid w:val="201B5C14"/>
    <w:rsid w:val="20692E24"/>
    <w:rsid w:val="21487630"/>
    <w:rsid w:val="231336A4"/>
    <w:rsid w:val="23694EE9"/>
    <w:rsid w:val="23ED1A23"/>
    <w:rsid w:val="24390E2E"/>
    <w:rsid w:val="248D2E59"/>
    <w:rsid w:val="24C22B02"/>
    <w:rsid w:val="24FB6014"/>
    <w:rsid w:val="27DF39CB"/>
    <w:rsid w:val="28034592"/>
    <w:rsid w:val="286363AA"/>
    <w:rsid w:val="29EB609D"/>
    <w:rsid w:val="2E0A72C8"/>
    <w:rsid w:val="2E332097"/>
    <w:rsid w:val="319D1733"/>
    <w:rsid w:val="31D61938"/>
    <w:rsid w:val="33C114B8"/>
    <w:rsid w:val="33C650B0"/>
    <w:rsid w:val="347F64D0"/>
    <w:rsid w:val="34B532F7"/>
    <w:rsid w:val="34D4293B"/>
    <w:rsid w:val="353115DE"/>
    <w:rsid w:val="371F5B92"/>
    <w:rsid w:val="37A60062"/>
    <w:rsid w:val="38C5276A"/>
    <w:rsid w:val="3BD038FF"/>
    <w:rsid w:val="3DFE6E43"/>
    <w:rsid w:val="400D1BFC"/>
    <w:rsid w:val="40DB7F40"/>
    <w:rsid w:val="41C6597F"/>
    <w:rsid w:val="422E137F"/>
    <w:rsid w:val="43446B14"/>
    <w:rsid w:val="43A5045E"/>
    <w:rsid w:val="43BD2EAC"/>
    <w:rsid w:val="45346F91"/>
    <w:rsid w:val="45CF0E66"/>
    <w:rsid w:val="464B304E"/>
    <w:rsid w:val="468A0B4E"/>
    <w:rsid w:val="468A6DA0"/>
    <w:rsid w:val="475F1FDB"/>
    <w:rsid w:val="479B74B7"/>
    <w:rsid w:val="47A53E92"/>
    <w:rsid w:val="486E0728"/>
    <w:rsid w:val="48B56534"/>
    <w:rsid w:val="49C42382"/>
    <w:rsid w:val="49D12082"/>
    <w:rsid w:val="4ACA3C0F"/>
    <w:rsid w:val="4AFA44F5"/>
    <w:rsid w:val="4BB02E05"/>
    <w:rsid w:val="4C771B75"/>
    <w:rsid w:val="4DF2239B"/>
    <w:rsid w:val="4E0062C6"/>
    <w:rsid w:val="529F7BE8"/>
    <w:rsid w:val="551E2053"/>
    <w:rsid w:val="55B2735B"/>
    <w:rsid w:val="5661367A"/>
    <w:rsid w:val="571B7CCD"/>
    <w:rsid w:val="5B254FA0"/>
    <w:rsid w:val="5B4C104E"/>
    <w:rsid w:val="5BD448EE"/>
    <w:rsid w:val="5C4B0FBB"/>
    <w:rsid w:val="5C932249"/>
    <w:rsid w:val="5D502931"/>
    <w:rsid w:val="5F49410F"/>
    <w:rsid w:val="5FAF6A71"/>
    <w:rsid w:val="604F09E7"/>
    <w:rsid w:val="60C72A24"/>
    <w:rsid w:val="61113EEE"/>
    <w:rsid w:val="613033B1"/>
    <w:rsid w:val="616A496C"/>
    <w:rsid w:val="64925494"/>
    <w:rsid w:val="64BE2D8D"/>
    <w:rsid w:val="65D8322D"/>
    <w:rsid w:val="65F30067"/>
    <w:rsid w:val="67584625"/>
    <w:rsid w:val="68A42F42"/>
    <w:rsid w:val="6D5E04BB"/>
    <w:rsid w:val="6F03131A"/>
    <w:rsid w:val="6FF775F6"/>
    <w:rsid w:val="70F829D5"/>
    <w:rsid w:val="72270127"/>
    <w:rsid w:val="72D90E36"/>
    <w:rsid w:val="73842E33"/>
    <w:rsid w:val="73A6646D"/>
    <w:rsid w:val="73E334C8"/>
    <w:rsid w:val="753E3D23"/>
    <w:rsid w:val="75E4177A"/>
    <w:rsid w:val="75F8409D"/>
    <w:rsid w:val="7746449A"/>
    <w:rsid w:val="786B4915"/>
    <w:rsid w:val="78E01BE8"/>
    <w:rsid w:val="78EB6E59"/>
    <w:rsid w:val="7A831561"/>
    <w:rsid w:val="7AC00054"/>
    <w:rsid w:val="7C9703F2"/>
    <w:rsid w:val="7CCD631D"/>
    <w:rsid w:val="7D827663"/>
    <w:rsid w:val="7DA261A2"/>
    <w:rsid w:val="7DA97531"/>
    <w:rsid w:val="7DF655F8"/>
    <w:rsid w:val="7E297CCD"/>
    <w:rsid w:val="7F211349"/>
    <w:rsid w:val="7F6B0536"/>
    <w:rsid w:val="7F6B272B"/>
    <w:rsid w:val="7F7E679B"/>
    <w:rsid w:val="AB796551"/>
    <w:rsid w:val="AEF58D8F"/>
    <w:rsid w:val="BFFFE7B7"/>
    <w:rsid w:val="DBE5C3DB"/>
    <w:rsid w:val="DEFBF31C"/>
    <w:rsid w:val="EEBF3316"/>
    <w:rsid w:val="F5ECC759"/>
    <w:rsid w:val="F7EEF663"/>
    <w:rsid w:val="FDEDEB4B"/>
    <w:rsid w:val="FFB9E8BD"/>
    <w:rsid w:val="FFFDB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 w:line="360" w:lineRule="auto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hanging="28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ind w:left="0" w:hanging="400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ind w:left="0" w:hanging="520"/>
      <w:outlineLvl w:val="2"/>
    </w:pPr>
    <w:rPr>
      <w:b/>
      <w:sz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ind w:left="0" w:hanging="640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link w:val="30"/>
    <w:unhideWhenUsed/>
    <w:qFormat/>
    <w:uiPriority w:val="9"/>
    <w:pPr>
      <w:keepNext/>
      <w:keepLines/>
      <w:numPr>
        <w:ilvl w:val="4"/>
        <w:numId w:val="1"/>
      </w:numPr>
      <w:ind w:left="0" w:hanging="760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ind w:left="0" w:hanging="880"/>
      <w:outlineLvl w:val="5"/>
    </w:pPr>
    <w:rPr>
      <w:rFonts w:ascii="Arial" w:hAnsi="Arial"/>
      <w:b/>
      <w:sz w:val="28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widowControl/>
      <w:numPr>
        <w:ilvl w:val="6"/>
        <w:numId w:val="1"/>
      </w:numPr>
      <w:spacing w:before="240" w:after="64" w:line="317" w:lineRule="auto"/>
      <w:ind w:hanging="1000"/>
      <w:outlineLvl w:val="6"/>
    </w:pPr>
    <w:rPr>
      <w:rFonts w:ascii="宋体" w:hAnsi="宋体" w:eastAsia="仿宋" w:cs="Times New Roman"/>
      <w:b/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hanging="112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hanging="1240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next w:val="13"/>
    <w:qFormat/>
    <w:uiPriority w:val="0"/>
    <w:pPr>
      <w:spacing w:after="120"/>
      <w:ind w:firstLine="425"/>
    </w:pPr>
    <w:rPr>
      <w:rFonts w:ascii="Times New Roman"/>
      <w:szCs w:val="20"/>
    </w:rPr>
  </w:style>
  <w:style w:type="paragraph" w:styleId="13">
    <w:name w:val="Body Text 2"/>
    <w:basedOn w:val="1"/>
    <w:qFormat/>
    <w:uiPriority w:val="0"/>
    <w:pPr>
      <w:spacing w:after="0" w:line="240" w:lineRule="auto"/>
      <w:jc w:val="center"/>
    </w:pPr>
    <w:rPr>
      <w:rFonts w:ascii="宋体" w:hAnsi="宋体" w:eastAsia="Calibri Light" w:cs="Times New Roman"/>
      <w:sz w:val="24"/>
      <w:szCs w:val="20"/>
      <w14:ligatures w14:val="none"/>
    </w:rPr>
  </w:style>
  <w:style w:type="paragraph" w:styleId="14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5">
    <w:name w:val="header"/>
    <w:basedOn w:val="1"/>
    <w:link w:val="28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qFormat/>
    <w:uiPriority w:val="0"/>
    <w:pPr>
      <w:widowControl/>
      <w:spacing w:before="0" w:beforeAutospacing="1" w:after="0" w:afterAutospacing="1"/>
      <w:jc w:val="left"/>
    </w:pPr>
    <w:rPr>
      <w:rFonts w:ascii="宋体" w:hAnsi="宋体"/>
      <w:kern w:val="0"/>
      <w:szCs w:val="24"/>
    </w:rPr>
  </w:style>
  <w:style w:type="paragraph" w:styleId="18">
    <w:name w:val="index 1"/>
    <w:basedOn w:val="1"/>
    <w:next w:val="1"/>
    <w:qFormat/>
    <w:uiPriority w:val="0"/>
  </w:style>
  <w:style w:type="paragraph" w:styleId="19">
    <w:name w:val="Title"/>
    <w:qFormat/>
    <w:uiPriority w:val="0"/>
    <w:rPr>
      <w:rFonts w:ascii="Times New Roman" w:hAnsi="Times New Roman" w:eastAsia="宋体" w:cs="Times New Roman"/>
    </w:rPr>
  </w:style>
  <w:style w:type="table" w:styleId="21">
    <w:name w:val="Table Grid"/>
    <w:basedOn w:val="2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styleId="25">
    <w:name w:val="List Paragraph"/>
    <w:basedOn w:val="1"/>
    <w:unhideWhenUsed/>
    <w:qFormat/>
    <w:uiPriority w:val="34"/>
    <w:pPr>
      <w:spacing w:before="0" w:after="0"/>
      <w:ind w:firstLine="420" w:firstLineChars="200"/>
    </w:pPr>
    <w:rPr>
      <w:szCs w:val="24"/>
    </w:rPr>
  </w:style>
  <w:style w:type="character" w:customStyle="1" w:styleId="26">
    <w:name w:val="font41"/>
    <w:basedOn w:val="22"/>
    <w:qFormat/>
    <w:uiPriority w:val="0"/>
    <w:rPr>
      <w:rFonts w:hint="eastAsia" w:ascii="微软雅黑" w:hAnsi="微软雅黑" w:eastAsia="微软雅黑" w:cs="微软雅黑"/>
      <w:color w:val="FF0000"/>
      <w:sz w:val="20"/>
      <w:szCs w:val="20"/>
      <w:u w:val="none"/>
    </w:rPr>
  </w:style>
  <w:style w:type="paragraph" w:customStyle="1" w:styleId="27">
    <w:name w:val="标准正文"/>
    <w:basedOn w:val="1"/>
    <w:qFormat/>
    <w:uiPriority w:val="0"/>
    <w:pPr>
      <w:snapToGrid w:val="0"/>
      <w:ind w:firstLine="482"/>
    </w:pPr>
  </w:style>
  <w:style w:type="character" w:customStyle="1" w:styleId="28">
    <w:name w:val="页眉 字符"/>
    <w:basedOn w:val="22"/>
    <w:link w:val="1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9">
    <w:name w:val="页脚 字符"/>
    <w:basedOn w:val="22"/>
    <w:link w:val="14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30">
    <w:name w:val="标题 5 Char"/>
    <w:link w:val="6"/>
    <w:uiPriority w:val="9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sv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13370</Words>
  <Characters>13797</Characters>
  <Lines>423</Lines>
  <Paragraphs>119</Paragraphs>
  <TotalTime>4</TotalTime>
  <ScaleCrop>false</ScaleCrop>
  <LinksUpToDate>false</LinksUpToDate>
  <CharactersWithSpaces>13827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2026-06-09T14:26:00Z</dcterms:created>
  <dc:creator>99149</dc:creator>
  <cp:lastModifiedBy>③毛</cp:lastModifiedBy>
  <dcterms:modified xsi:type="dcterms:W3CDTF">2026-09-17T06:12:02Z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eyJoZGlkIjoiYWZmYjY5MzU5YTBhOTg0YTdmNjNlYTI4MGRhMjk3NjUiLCJ1c2VySWQiOiIyOTk5Njk5NTIifQ==</vt:lpwstr>
  </property>
  <property fmtid="{D5CDD505-2E9C-101B-9397-08002B2CF9AE}" pid="4" name="ICV">
    <vt:lpwstr>1EA4B23D39E247BA8AB3B7274FACFA07_12</vt:lpwstr>
  </property>
</Properties>
</file>