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4C64F691">
      <w:pPr>
        <w:spacing w:after="240" w:line="408"/>
        <w:jc w:val="left"/>
        <w:rPr>
          <w:color w:val="1a5fb4"/>
        </w:rPr>
      </w:pPr>
      <w:r>
        <w:rPr>
          <w:rFonts w:hint="eastAsia" w:ascii="黑体" w:hAnsi="黑体" w:eastAsia="黑体" w:cs="黑体"/>
          <w:b w:val="1"/>
          <w:color w:val="1a5fb4"/>
          <w:spacing w:val="24"/>
          <w:sz w:val="26"/>
        </w:rPr>
        <w:t>平台业务逻辑设计基线</w:t>
      </w:r>
    </w:p>
    <w:p w14:paraId="6532D5FF">
      <w:pPr>
        <w:spacing w:after="120" w:line="312"/>
        <w:rPr>
          <w:color w:val="1a5fb4"/>
        </w:rPr>
      </w:pPr>
      <w:r>
        <w:rPr>
          <w:rFonts w:hint="eastAsia" w:ascii="黑体" w:hAnsi="黑体" w:eastAsia="黑体" w:cs="黑体"/>
          <w:b w:val="1"/>
          <w:color w:val="1a5fb4"/>
          <w:sz w:val="60"/>
        </w:rPr>
        <w:t>AIoT 双边服务平台</w:t>
      </w:r>
      <w:r>
        <w:br w:type="textWrapping"/>
      </w:r>
      <w:r>
        <w:rPr>
          <w:rFonts w:hint="eastAsia" w:ascii="黑体" w:hAnsi="黑体" w:eastAsia="黑体" w:cs="黑体"/>
          <w:b w:val="1"/>
          <w:color w:val="1a5fb4"/>
          <w:sz w:val="60"/>
        </w:rPr>
        <w:t>业务逻辑设计说明书</w:t>
      </w:r>
    </w:p>
    <w:p w14:paraId="51492BA1">
      <w:pPr>
        <w:spacing w:after="576" w:line="408"/>
        <w:rPr>
          <w:color w:val="5f6368"/>
        </w:rPr>
      </w:pPr>
      <w:r>
        <w:rPr>
          <w:rFonts w:hint="eastAsia" w:ascii="宋体" w:hAnsi="宋体" w:eastAsia="宋体" w:cs="宋体"/>
          <w:color w:val="5f6368"/>
          <w:sz w:val="30"/>
        </w:rPr>
        <w:t>厨具厂家与物联网设备厂家入驻 · 双边共治 · 工单闭环</w:t>
      </w:r>
    </w:p>
    <w:p w14:paraId="7FB64392">
      <w:pPr>
        <w:spacing w:line="456"/>
        <w:rPr>
          <w:color w:val="5f6368"/>
        </w:rPr>
      </w:pPr>
      <w:r>
        <w:rPr>
          <w:rFonts w:hint="eastAsia" w:ascii="宋体" w:hAnsi="宋体" w:eastAsia="宋体" w:cs="宋体"/>
          <w:b w:val="1"/>
          <w:color w:val="000000"/>
          <w:sz w:val="20"/>
        </w:rPr>
        <w:t>文档版本</w:t>
      </w:r>
      <w:r>
        <w:rPr>
          <w:rFonts w:hint="eastAsia" w:ascii="宋体" w:hAnsi="宋体" w:eastAsia="宋体" w:cs="宋体"/>
          <w:color w:val="5f6368"/>
          <w:sz w:val="20"/>
        </w:rPr>
        <w:t>　V1.0</w:t>
      </w:r>
    </w:p>
    <w:p w14:paraId="1864A9B0">
      <w:pPr>
        <w:spacing w:line="456"/>
        <w:rPr>
          <w:color w:val="5f6368"/>
        </w:rPr>
      </w:pPr>
      <w:r>
        <w:rPr>
          <w:rFonts w:hint="eastAsia" w:ascii="宋体" w:hAnsi="宋体" w:eastAsia="宋体" w:cs="宋体"/>
          <w:b w:val="1"/>
          <w:color w:val="000000"/>
          <w:sz w:val="20"/>
        </w:rPr>
        <w:t>编制日期</w:t>
      </w:r>
      <w:r>
        <w:rPr>
          <w:rFonts w:hint="eastAsia" w:ascii="宋体" w:hAnsi="宋体" w:eastAsia="宋体" w:cs="宋体"/>
          <w:color w:val="5f6368"/>
          <w:sz w:val="20"/>
        </w:rPr>
        <w:t>　2026 年 10 月 13 日</w:t>
      </w:r>
    </w:p>
    <w:p w14:paraId="6DDAF6D4">
      <w:pPr>
        <w:spacing w:line="456"/>
        <w:rPr>
          <w:color w:val="5f6368"/>
        </w:rPr>
      </w:pPr>
      <w:r>
        <w:rPr>
          <w:rFonts w:hint="eastAsia" w:ascii="宋体" w:hAnsi="宋体" w:eastAsia="宋体" w:cs="宋体"/>
          <w:b w:val="1"/>
          <w:color w:val="000000"/>
          <w:sz w:val="20"/>
        </w:rPr>
        <w:t>适用范围</w:t>
      </w:r>
      <w:r>
        <w:rPr>
          <w:rFonts w:hint="eastAsia" w:ascii="宋体" w:hAnsi="宋体" w:eastAsia="宋体" w:cs="宋体"/>
          <w:color w:val="5f6368"/>
          <w:sz w:val="20"/>
        </w:rPr>
        <w:t>　后厨管家 AIoT 平台业务逻辑重构</w:t>
      </w:r>
    </w:p>
    <w:p w14:paraId="60A49EAB">
      <w:pPr>
        <w:spacing w:line="456"/>
        <w:rPr>
          <w:color w:val="5f6368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b w:val="1"/>
          <w:color w:val="000000"/>
          <w:sz w:val="20"/>
        </w:rPr>
        <w:t>文档性质</w:t>
      </w:r>
      <w:r>
        <w:rPr>
          <w:rFonts w:hint="eastAsia" w:ascii="宋体" w:hAnsi="宋体" w:eastAsia="宋体" w:cs="宋体"/>
          <w:color w:val="5f6368"/>
          <w:sz w:val="20"/>
        </w:rPr>
        <w:t>　产品原型、技术方案、开发排期的共同依据</w:t>
      </w:r>
    </w:p>
    <w:p w14:paraId="3BF95021">
      <w:pPr>
        <w:spacing w:before="240" w:after="120"/>
      </w:pPr>
      <w:r>
        <w:rPr>
          <w:rFonts w:hint="eastAsia"/>
          <w:b w:val="1"/>
        </w:rPr>
        <w:t>目录</w:t>
      </w:r>
    </w:p>
    <w:p w14:paraId="72AD651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第一章　平台定位与业务模型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4B14B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第二章　入驻与权限体系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92A6C2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第三章　系统功能结构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2574E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第四章　厂家端功能设计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CF1CF3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第五章　客户端功能设计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6DC2F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第六章　工单闭环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4B0ED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第七章　各角色操作流程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92F24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第八章　相比原有逻辑的改动点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4EA77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第九章　模块依赖关系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AF8B1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第十章　待确认事项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2CD7BBB5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57F6E86A">
      <w:pPr>
        <w:pStyle w:val="000001"/>
        <w:keepNext w:val="1"/>
        <w:keepLines w:val="1"/>
        <w:pBdr>
          <w:bottom w:val="single" w:color="1a5fb4" w:sz="12" w:space="4"/>
        </w:pBdr>
        <w:spacing w:before="432" w:beforeAutospacing="1" w:after="180" w:afterAutospacing="1" w:line="408"/>
        <w:outlineLvl w:val="0"/>
        <w:rPr>
          <w:color w:val="1a5fb4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5fb4"/>
          <w:sz w:val="36"/>
        </w:rPr>
        <w:t>第一章　平台定位与业务模型</w:t>
      </w:r>
      <w:bookmarkEnd w:id="1"/>
    </w:p>
    <w:p w14:paraId="67C9E0D8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2" w:name="section-1-1"/>
      <w:r>
        <w:rPr>
          <w:rFonts w:hint="eastAsia" w:ascii="黑体" w:hAnsi="黑体" w:eastAsia="黑体" w:cs="黑体"/>
          <w:b w:val="1"/>
          <w:color w:val="000000"/>
          <w:sz w:val="30"/>
        </w:rPr>
        <w:t>1.1　定位转变</w:t>
      </w:r>
      <w:bookmarkEnd w:id="2"/>
    </w:p>
    <w:p w14:paraId="3267D69F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平台从原有的「物联网设备接口聚合 + 统一展现层」，转型为厨具厂家与物联网设备厂家共同入驻、供双方及客户端共同使用的双边服务平台。</w:t>
      </w:r>
    </w:p>
    <w:p w14:paraId="2836B4BA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这次转型不是功能叠加，而是平台商业模式的根本变化：原平台是展示工具，解决的是「谁接入、谁看数据」；新平台是交易与履约基础设施，解决的是「谁入驻、设备卖给谁、出问题谁修、履约质量如何」。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A526F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维度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F6385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原有逻辑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01AF4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新定位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80D7D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平台角色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5B56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数据展示通道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48D16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交易与履约基础设施运营方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80740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参与方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1D62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设备厂商（单向接入）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ECFB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厨具厂家 + 物联网厂家 + 客户端（三方共治）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652A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数据粒度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92A2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设备总数、在线数（聚合数字）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00A6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单台设备个体台账（SN 级）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80AE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设备归属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01E7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无归属概念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676F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每台设备有明确的所有权与责任方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7FF8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0066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只读展示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498DC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可处置，且是工单触发源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C985B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业务闭环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921A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无（看到即结束）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2573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报修 → 处置 → 验收 → 归档全链路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BD14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商业价值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EE2A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展示价值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B7BD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履约数据沉淀与 SLA 可量化</w:t>
            </w:r>
          </w:p>
        </w:tc>
      </w:tr>
    </w:tbl>
    <w:p w14:paraId="72956EC2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3" w:name="section-1-2"/>
      <w:r>
        <w:rPr>
          <w:rFonts w:hint="eastAsia" w:ascii="黑体" w:hAnsi="黑体" w:eastAsia="黑体" w:cs="黑体"/>
          <w:b w:val="1"/>
          <w:color w:val="000000"/>
          <w:sz w:val="30"/>
        </w:rPr>
        <w:t>1.2　三方角色定义</w:t>
      </w:r>
      <w:bookmarkEnd w:id="3"/>
    </w:p>
    <w:p w14:paraId="4900F919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平台运营方</w:t>
      </w:r>
      <w:r>
        <w:rPr>
          <w:rFonts w:hint="eastAsia" w:ascii="宋体" w:hAnsi="宋体" w:eastAsia="宋体" w:cs="宋体"/>
          <w:color w:val="000000"/>
          <w:sz w:val="24"/>
        </w:rPr>
        <w:t>：平台的运营主体，负责入驻审核、租户管理、规则配置、工单仲裁与争议处理。自身不持有设备，不承担履约责任。</w:t>
      </w:r>
    </w:p>
    <w:p w14:paraId="0B36B47C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厂家端</w:t>
      </w:r>
      <w:r>
        <w:rPr>
          <w:rFonts w:hint="eastAsia" w:ascii="宋体" w:hAnsi="宋体" w:eastAsia="宋体" w:cs="宋体"/>
          <w:color w:val="000000"/>
          <w:sz w:val="24"/>
        </w:rPr>
        <w:t>：分两类主体，均为设备供给方。</w:t>
      </w:r>
    </w:p>
    <w:p w14:paraId="31BC3C05">
      <w:pPr>
        <w:numPr>
          <w:ilvl w:val="0"/>
          <w:numId w:val="1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厨具厂家</w:t>
      </w:r>
      <w:r>
        <w:rPr>
          <w:rFonts w:hint="eastAsia" w:ascii="宋体" w:hAnsi="宋体" w:eastAsia="宋体" w:cs="宋体"/>
          <w:color w:val="000000"/>
          <w:sz w:val="24"/>
        </w:rPr>
        <w:t>：生产厨具本体（灶具、冷柜、洗消设备、排烟系统等），拥有设备台账、整机质保与售后责任。</w:t>
      </w:r>
    </w:p>
    <w:p w14:paraId="010076C2">
      <w:pPr>
        <w:numPr>
          <w:ilvl w:val="0"/>
          <w:numId w:val="1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物联网设备厂家</w:t>
      </w:r>
      <w:r>
        <w:rPr>
          <w:rFonts w:hint="eastAsia" w:ascii="宋体" w:hAnsi="宋体" w:eastAsia="宋体" w:cs="宋体"/>
          <w:color w:val="000000"/>
          <w:sz w:val="24"/>
        </w:rPr>
        <w:t>：生产传感器、采集模块、网关等物联网部件，提供数据采集能力与通讯协议支持。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5fb4" w:sz="24"/>
              <w:bottom w:val="none" w:sz="8"/>
              <w:right w:val="none" w:sz="8"/>
            </w:tcBorders>
            <w:shd w:val="clear" w:fill="f2f6fb"/>
            <w:vAlign w:val="center"/>
          </w:tcPr>
          <w:p w14:paraId="10009EE9">
            <w:pPr>
              <w:rPr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1a5fb4"/>
                <w:sz w:val="22"/>
              </w:rPr>
              <w:t>关键认知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：两类厂家是互补而非竞争关系。一台实际交付到食堂的冷柜，通常由厨具厂家的本体加上物联网厂家的温度传感器与网关组成。这种物理构成决定了平台必须支持「一台设备由多个厂家的部件构成」的场景。</w:t>
            </w:r>
          </w:p>
        </w:tc>
      </w:tr>
    </w:tbl>
    <w:p w14:paraId="008082D7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客户端</w:t>
      </w:r>
      <w:r>
        <w:rPr>
          <w:rFonts w:hint="eastAsia" w:ascii="宋体" w:hAnsi="宋体" w:eastAsia="宋体" w:cs="宋体"/>
          <w:color w:val="000000"/>
          <w:sz w:val="24"/>
        </w:rPr>
        <w:t>：设备的最终使用与持有方，典型形态为学校食堂、酒店餐饮、团餐公司、经销商与运营商。客户端是服务的发起方与验收方。</w:t>
      </w:r>
    </w:p>
    <w:p w14:paraId="298183BC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4" w:name="section-1-3"/>
      <w:r>
        <w:rPr>
          <w:rFonts w:hint="eastAsia" w:ascii="黑体" w:hAnsi="黑体" w:eastAsia="黑体" w:cs="黑体"/>
          <w:b w:val="1"/>
          <w:color w:val="000000"/>
          <w:sz w:val="30"/>
        </w:rPr>
        <w:t>1.3　核心业务对象与关系</w:t>
      </w:r>
      <w:bookmarkEnd w:id="4"/>
    </w:p>
    <w:p w14:paraId="30F2598A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平台的核心业务对象分为七类，其中绑定关系是整个模型的枢纽。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DAF98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对象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A51D8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11C99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关键属性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808C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 Tenant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57F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平台的数据隔离基本单位，厂家与客户各自独立成租户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4AD5A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租户类型、审核状态、有效期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2BF5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 Vendor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F2C0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入驻平台的供给方主体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F643E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厂家类型、资质、服务范围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57AA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产品型号 ProductModel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F9A8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厂家定义的产品规格，同型号对应多台实例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7B20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型号编码、品类、参数、质保期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6AE7B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设备实例 Device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1566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一台物理设备，对应唯一 SN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F7B9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SN、型号、所有权、当前绑定客户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2D2AB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部件 Component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B24B9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物联网厂家提供的硬件，附着于设备之上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5AC5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部件 SN、固件版本、采集指标集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8099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绑定关系 Binding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07674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装配绑定 + 产权绑定（详见 2.4）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F1D72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绑定类型、生效时间、失效时间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AB7D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 WorkOrder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80AC8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客户发起的服务请求，是履约的载体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AEAB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状态、优先级、SLA 时限、关联设备与告警</w:t>
            </w:r>
          </w:p>
        </w:tc>
      </w:tr>
    </w:tbl>
    <w:p w14:paraId="229E5ACB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5" w:name="section-1-4"/>
      <w:r>
        <w:rPr>
          <w:rFonts w:hint="eastAsia" w:ascii="黑体" w:hAnsi="黑体" w:eastAsia="黑体" w:cs="黑体"/>
          <w:b w:val="1"/>
          <w:color w:val="000000"/>
          <w:sz w:val="30"/>
        </w:rPr>
        <w:t>1.4　设备聚合视角</w:t>
      </w:r>
      <w:bookmarkEnd w:id="5"/>
    </w:p>
    <w:p w14:paraId="3BF5105C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平台在数据组织上引入「设备聚合视角」：客户端与平台视角看到的是一台完整设备（如「3 号冷柜」），而厂家视角看到的是自己供的那个部分（厨具厂家看这整台，物联网厂家看装在上面的温度传感器）。</w:t>
      </w:r>
    </w:p>
    <w:p w14:paraId="3773A39A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这一视角差异是整个权限设计的出发点，详见第二章。</w:t>
      </w:r>
    </w:p>
    <w:p w14:paraId="1980DA9D">
      <w:pPr>
        <w:pStyle w:val="000001"/>
        <w:keepNext w:val="1"/>
        <w:keepLines w:val="1"/>
        <w:pBdr>
          <w:bottom w:val="single" w:color="1a5fb4" w:sz="12" w:space="4"/>
        </w:pBdr>
        <w:spacing w:before="432" w:beforeAutospacing="1" w:after="180" w:afterAutospacing="1" w:line="408"/>
        <w:outlineLvl w:val="0"/>
        <w:rPr>
          <w:color w:val="1a5fb4"/>
          <w:kern w:val="44"/>
          <w:sz w:val="44"/>
          <w:szCs w:val="44"/>
        </w:rPr>
      </w:pPr>
      <w:bookmarkStart w:id="6" w:name="section-2"/>
      <w:r>
        <w:rPr>
          <w:rFonts w:hint="eastAsia" w:ascii="黑体" w:hAnsi="黑体" w:eastAsia="黑体" w:cs="黑体"/>
          <w:b w:val="1"/>
          <w:color w:val="1a5fb4"/>
          <w:sz w:val="36"/>
        </w:rPr>
        <w:t>第二章　入驻与权限体系</w:t>
      </w:r>
      <w:bookmarkEnd w:id="6"/>
    </w:p>
    <w:p w14:paraId="29F1A166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7" w:name="section-2-1"/>
      <w:r>
        <w:rPr>
          <w:rFonts w:hint="eastAsia" w:ascii="黑体" w:hAnsi="黑体" w:eastAsia="黑体" w:cs="黑体"/>
          <w:b w:val="1"/>
          <w:color w:val="000000"/>
          <w:sz w:val="30"/>
        </w:rPr>
        <w:t>2.1　租户模型</w:t>
      </w:r>
      <w:bookmarkEnd w:id="7"/>
    </w:p>
    <w:p w14:paraId="1480AF55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平台的所有业务数据均归属于某个租户，租户是数据隔离的第一道边界。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565E3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租户类型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653FE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代码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81DE2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主体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D89E3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可见数据范围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58768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厂家租户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93B98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VENDOR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01519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厨具厂家、物联网厂家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C8724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仅绑定到本厂设备的客户、设备、告警、工单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5F93C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客户租户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6CE2B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CUSTOMER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5C259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食堂、酒店、团餐、经销商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7300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仅绑定到本租户的设备及其监控、告警、工单</w:t>
            </w:r>
          </w:p>
        </w:tc>
      </w:tr>
    </w:tbl>
    <w:p w14:paraId="4DDE6E75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平台自身持有全局视图，但财务、合同等敏感字段按需脱敏，所有运营操作留痕可审计。</w:t>
      </w:r>
    </w:p>
    <w:p w14:paraId="55350423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8" w:name="section-2-2"/>
      <w:r>
        <w:rPr>
          <w:rFonts w:hint="eastAsia" w:ascii="黑体" w:hAnsi="黑体" w:eastAsia="黑体" w:cs="黑体"/>
          <w:b w:val="1"/>
          <w:color w:val="000000"/>
          <w:sz w:val="30"/>
        </w:rPr>
        <w:t>2.2　厂家入驻审核流程</w:t>
      </w:r>
      <w:bookmarkEnd w:id="8"/>
    </w:p>
    <w:p w14:paraId="23FB9804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入驻不是注册即用，必须经过资质与能力双重审核。</w:t>
      </w:r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33BF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状态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EAB39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状态码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B2B4A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状态含义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81C2F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责任方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01415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可执行动作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B6E5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待提交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3E1DC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DRAFT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9716F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已创建申请，资料未填完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76B8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DA3F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编辑资料、提交审核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2D0FB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待初审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C8613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PENDING_PRIMARY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F9A0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资料已提交，等待平台初审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79A1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平台审核员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F10C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通过初审、退回补充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3FF45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待复审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11833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PENDING_SECONDARY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4390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初审通过，等待技术与商务复审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4BBD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平台技术 + 商务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586E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通过复审、退回补充、驳回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01DC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待整改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2E87C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RECTIFY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D7FEC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复审未通过，需整改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E7A0E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24DC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提交整改材料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E5A1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已驳回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BA1C7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REJECTED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2442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审核不通过，流程终止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83F08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38B3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重新发起申请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8153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试运营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01F23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TRIAL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5851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审核通过，进入试运行观察期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373D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78B0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接入设备、试运行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F8509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正式入驻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B1949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ACTIVE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03378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试运行达标，正式开放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EB7F0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A3BF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全量功能可用</w:t>
            </w:r>
          </w:p>
        </w:tc>
      </w:tr>
    </w:tbl>
    <w:p w14:paraId="4FC8B46C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流程流转规则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p w14:paraId="21AEB3AC">
      <w:pPr>
        <w:numPr>
          <w:ilvl w:val="0"/>
          <w:numId w:val="2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厂家提交资料后进入「待初审」，进入该状态的申请锁定关键字段，不可再编辑。</w:t>
      </w:r>
    </w:p>
    <w:p w14:paraId="23919EF0">
      <w:pPr>
        <w:numPr>
          <w:ilvl w:val="0"/>
          <w:numId w:val="2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初审通过进入「待复审」，平台在此阶段进行技术对接（协议适配、字段映射）与商务确认（服务范围、SLA 承诺）。</w:t>
      </w:r>
    </w:p>
    <w:p w14:paraId="61FA0801">
      <w:pPr>
        <w:numPr>
          <w:ilvl w:val="0"/>
          <w:numId w:val="2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复审不通过分两种：资料类问题进入「待整改」，材料齐备后重新排队；能力类问题直接「已驳回」并记录驳回原因。</w:t>
      </w:r>
    </w:p>
    <w:p w14:paraId="28B614CC">
      <w:pPr>
        <w:numPr>
          <w:ilvl w:val="0"/>
          <w:numId w:val="2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复审通过进入「试运营」，试运营期建议 30 至 90 天，期间设备接入量与在线率达标方可转正式。</w:t>
      </w:r>
    </w:p>
    <w:p w14:paraId="5F71A08B">
      <w:pPr>
        <w:numPr>
          <w:ilvl w:val="0"/>
          <w:numId w:val="2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正式入驻后厂家可自助创建子账号、导入设备台账、建立绑定关系。</w:t>
      </w:r>
    </w:p>
    <w:p w14:paraId="4EBA8F8F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审核要点清单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135F9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审核维度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DBCFA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具体材料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833CA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判定标准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0114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主体资质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BEE5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营业执照、生产许可、行业资质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F778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真实有效，经营范围覆盖申请品类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7CD87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产品能力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DCE2B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产品型号清单、技术参数、通信协议文档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E3A0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协议可对接，指标定义清晰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7CE1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售后能力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010C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服务网点、工程师配置、备件库存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B7EFF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覆盖销售区域，有备件保障能力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3EB46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商务条件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CA65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服务范围、SLA 承诺、结算方式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AC65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承诺的服务水平可考核</w:t>
            </w:r>
          </w:p>
        </w:tc>
      </w:tr>
    </w:tbl>
    <w:p w14:paraId="16011B33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9" w:name="section-2-3"/>
      <w:r>
        <w:rPr>
          <w:rFonts w:hint="eastAsia" w:ascii="黑体" w:hAnsi="黑体" w:eastAsia="黑体" w:cs="黑体"/>
          <w:b w:val="1"/>
          <w:color w:val="000000"/>
          <w:sz w:val="30"/>
        </w:rPr>
        <w:t>2.3　角色体系与权限矩阵</w:t>
      </w:r>
      <w:bookmarkEnd w:id="9"/>
    </w:p>
    <w:p w14:paraId="1848E691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平台采用「租户 + 角色 + 数据范围」三层权限模型。角色定义在各租户内，同一角色在不同租户下的权限含义一致，但数据范围不同。</w:t>
      </w:r>
    </w:p>
    <w:p w14:paraId="286BEF2D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平台运营侧角色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830FE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3ADC2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核心职责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ED4F5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数据范围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385C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平台超级管理员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BF9D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系统配置、租户管理、权限分配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9F02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全局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58E2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入驻审核员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0104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厂家入驻资质与技术审核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F8E0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全局入驻数据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7860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运营专员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74B1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租户日常管理、工单跟踪、争议仲裁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35F5C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全局业务数据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BE2C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数据运营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17D6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统计报表、指标口径管理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5657E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全局脱敏数据</w:t>
            </w:r>
          </w:p>
        </w:tc>
      </w:tr>
    </w:tbl>
    <w:p w14:paraId="6371470B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厂家端角色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55F70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35741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核心职责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E4897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数据范围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33D5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厂家管理员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95AB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子账号管理、设备台账导入、绑定关系审批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8113D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本厂家全部数据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D81BA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售后工程师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C82C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工单接单与处理、告警处置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B814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本厂家数据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71D8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厂家查看者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C815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只读查看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482E9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本厂家数据</w:t>
            </w:r>
          </w:p>
        </w:tc>
      </w:tr>
    </w:tbl>
    <w:p w14:paraId="5763BF69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客户端角色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581FB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812FC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核心职责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FA3F4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数据范围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817CD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客户管理员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7FE9E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子账号管理、设备验收、工单验收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4E0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本租户全部数据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364C0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厨房操作员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380B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日常巡检、报修发起、告警确认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B80B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本租户数据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F350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客户查看者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481A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只读查看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D80A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本租户数据</w:t>
            </w:r>
          </w:p>
        </w:tc>
      </w:tr>
    </w:tbl>
    <w:p w14:paraId="20F64122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10" w:name="section-2-4"/>
      <w:r>
        <w:rPr>
          <w:rFonts w:hint="eastAsia" w:ascii="黑体" w:hAnsi="黑体" w:eastAsia="黑体" w:cs="黑体"/>
          <w:b w:val="1"/>
          <w:color w:val="000000"/>
          <w:sz w:val="30"/>
        </w:rPr>
        <w:t>2.4　数据可见范围与权限隔离</w:t>
      </w:r>
      <w:bookmarkEnd w:id="10"/>
    </w:p>
    <w:p w14:paraId="3125FC1F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绑定关系</w:t>
      </w:r>
      <w:r>
        <w:rPr>
          <w:rFonts w:hint="eastAsia" w:ascii="宋体" w:hAnsi="宋体" w:eastAsia="宋体" w:cs="宋体"/>
          <w:color w:val="000000"/>
          <w:sz w:val="24"/>
        </w:rPr>
        <w:t>是权限判定的唯一依据，分为两类且缺一不可：</w:t>
      </w:r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EA4F3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绑定类型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02E0F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代码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248D2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含义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DBDE6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建立方式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0321D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用途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82E1B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装配绑定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A5D4D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ASSEMBLY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F7C8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部件装在设备上（物联网传感器 → 厨具设备）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0164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厂家自行申报 + 平台校验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48011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支撑多方数据汇聚到同一设备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C8066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产权绑定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7C903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OWNERSHIP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DD6E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设备交付给客户（设备 → 客户租户）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BE4D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厂家申报 + 客户确认 / 平台核验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65A9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支撑客户资产视图与权限隔离</w:t>
            </w:r>
          </w:p>
        </w:tc>
      </w:tr>
    </w:tbl>
    <w:p w14:paraId="53C838BA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可见范围规则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2C9A6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A3ABA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可见内容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23AB3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不可见内容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A4E4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厨具厂家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9CFE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自产设备的台账、绑定到这些设备的客户信息、整机运行状态与告警、由这些设备产生的工单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DBC6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同行业其他客户的任何信息、非本厂设备的台账、客户合同与财务数据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5CA5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物联网厂家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481C8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自产部件的台账与固件状态、部件所采集的指标数据、部件附着设备的运行摘要、由部件触发的告警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F311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厨具本体的型号参数与成本、客户敏感信息、客户的经营数据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5816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客户端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A4AF6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本租户名下全部设备（含跨厂家的）、监控数据、告警、报修工单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359C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其他客户的任何数据、厂家内部成本与流程数据、其他厂家工单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82C0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平台运营方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CA6B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全量数据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C8625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—（财务与合同字段按需脱敏，操作全程留痕）</w:t>
            </w:r>
          </w:p>
        </w:tc>
      </w:tr>
    </w:tbl>
    <w:p w14:paraId="0D3C94A0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隔离实现要点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p w14:paraId="161306CC">
      <w:pPr>
        <w:numPr>
          <w:ilvl w:val="0"/>
          <w:numId w:val="3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查询层强制注入租户条件</w:t>
      </w:r>
      <w:r>
        <w:rPr>
          <w:rFonts w:hint="eastAsia" w:ascii="宋体" w:hAnsi="宋体" w:eastAsia="宋体" w:cs="宋体"/>
          <w:color w:val="000000"/>
          <w:sz w:val="24"/>
        </w:rPr>
        <w:t>：所有业务查询接口必须携带当前登录人的租户标识，服务端强制拼接数据范围过滤条件，不依赖前端传参。</w:t>
      </w:r>
    </w:p>
    <w:p w14:paraId="0713A9CA">
      <w:pPr>
        <w:numPr>
          <w:ilvl w:val="0"/>
          <w:numId w:val="3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绑定关系驱动可见性</w:t>
      </w:r>
      <w:r>
        <w:rPr>
          <w:rFonts w:hint="eastAsia" w:ascii="宋体" w:hAnsi="宋体" w:eastAsia="宋体" w:cs="宋体"/>
          <w:color w:val="000000"/>
          <w:sz w:val="24"/>
        </w:rPr>
        <w:t>：厂家查询设备时，条件为「设备存在指向本厂的有效装配绑定或产权绑定」，而非「设备的产品型号归属本厂」——因为同一型号可能有部分在别人客户处。</w:t>
      </w:r>
    </w:p>
    <w:p w14:paraId="5D59D1AA">
      <w:pPr>
        <w:numPr>
          <w:ilvl w:val="0"/>
          <w:numId w:val="3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跨厂家数据的中间层隔离</w:t>
      </w:r>
      <w:r>
        <w:rPr>
          <w:rFonts w:hint="eastAsia" w:ascii="宋体" w:hAnsi="宋体" w:eastAsia="宋体" w:cs="宋体"/>
          <w:color w:val="000000"/>
          <w:sz w:val="24"/>
        </w:rPr>
        <w:t>：一台设备的数据由多个厂家贡献，各厂家只能读取自己贡献的部分字段，聚合视图由服务端组装后下发，不做前端拼接。</w:t>
      </w:r>
    </w:p>
    <w:p w14:paraId="7958D530">
      <w:pPr>
        <w:numPr>
          <w:ilvl w:val="0"/>
          <w:numId w:val="3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越权访问阻断</w:t>
      </w:r>
      <w:r>
        <w:rPr>
          <w:rFonts w:hint="eastAsia" w:ascii="宋体" w:hAnsi="宋体" w:eastAsia="宋体" w:cs="宋体"/>
          <w:color w:val="000000"/>
          <w:sz w:val="24"/>
        </w:rPr>
        <w:t>：用户尝试访问无绑定关系的资源时，服务端返回资源不存在而非无权限，避免通过响应差异探测资源存在性。</w:t>
      </w:r>
    </w:p>
    <w:p w14:paraId="7B03BC44">
      <w:pPr>
        <w:numPr>
          <w:ilvl w:val="0"/>
          <w:numId w:val="3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操作留痕</w:t>
      </w:r>
      <w:r>
        <w:rPr>
          <w:rFonts w:hint="eastAsia" w:ascii="宋体" w:hAnsi="宋体" w:eastAsia="宋体" w:cs="宋体"/>
          <w:color w:val="000000"/>
          <w:sz w:val="24"/>
        </w:rPr>
        <w:t>：租户管理员的账号管理、绑定关系变更、数据导出三类操作全部记入审计日志，含操作人、时间、变更前后值。</w:t>
      </w:r>
    </w:p>
    <w:p w14:paraId="251DF9A1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11" w:name="section-2-5"/>
      <w:r>
        <w:rPr>
          <w:rFonts w:hint="eastAsia" w:ascii="黑体" w:hAnsi="黑体" w:eastAsia="黑体" w:cs="黑体"/>
          <w:b w:val="1"/>
          <w:color w:val="000000"/>
          <w:sz w:val="30"/>
        </w:rPr>
        <w:t>2.5　租户上下文与数据权限落地机制</w:t>
      </w:r>
      <w:bookmarkEnd w:id="11"/>
    </w:p>
    <w:p w14:paraId="64E63102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平台的权限判定统一走「租户上下文」：</w:t>
      </w:r>
    </w:p>
    <w:p w14:paraId="78346DCB">
      <w:pPr>
        <w:numPr>
          <w:ilvl w:val="0"/>
          <w:numId w:val="4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用户登录后，鉴权服务返回该用户所属租户、角色、以及数据范围表达式（如「本厂家全部」「本租户全部」）。</w:t>
      </w:r>
    </w:p>
    <w:p w14:paraId="4A14AE1E">
      <w:pPr>
        <w:numPr>
          <w:ilvl w:val="0"/>
          <w:numId w:val="4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每次业务请求携带该上下文，服务端据此构造数据过滤条件。</w:t>
      </w:r>
    </w:p>
    <w:p w14:paraId="140299D2">
      <w:pPr>
        <w:numPr>
          <w:ilvl w:val="0"/>
          <w:numId w:val="4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绑定关系表作为权限判定的事实来源，任何权限判断都不硬编码具体客户或区域。</w:t>
      </w:r>
    </w:p>
    <w:p w14:paraId="60A32A47">
      <w:pPr>
        <w:pStyle w:val="000001"/>
        <w:keepNext w:val="1"/>
        <w:keepLines w:val="1"/>
        <w:pBdr>
          <w:bottom w:val="single" w:color="1a5fb4" w:sz="12" w:space="4"/>
        </w:pBdr>
        <w:spacing w:before="432" w:beforeAutospacing="1" w:after="180" w:afterAutospacing="1" w:line="408"/>
        <w:outlineLvl w:val="0"/>
        <w:rPr>
          <w:color w:val="1a5fb4"/>
          <w:kern w:val="44"/>
          <w:sz w:val="44"/>
          <w:szCs w:val="44"/>
        </w:rPr>
      </w:pPr>
      <w:bookmarkStart w:id="12" w:name="section-3"/>
      <w:r>
        <w:rPr>
          <w:rFonts w:hint="eastAsia" w:ascii="黑体" w:hAnsi="黑体" w:eastAsia="黑体" w:cs="黑体"/>
          <w:b w:val="1"/>
          <w:color w:val="1a5fb4"/>
          <w:sz w:val="36"/>
        </w:rPr>
        <w:t>第三章　系统功能结构</w:t>
      </w:r>
      <w:bookmarkEnd w:id="12"/>
    </w:p>
    <w:p w14:paraId="3CB84B30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13" w:name="section-3-1"/>
      <w:r>
        <w:rPr>
          <w:rFonts w:hint="eastAsia" w:ascii="黑体" w:hAnsi="黑体" w:eastAsia="黑体" w:cs="黑体"/>
          <w:b w:val="1"/>
          <w:color w:val="000000"/>
          <w:sz w:val="30"/>
        </w:rPr>
        <w:t>3.1　总体功能架构</w:t>
      </w:r>
      <w:bookmarkEnd w:id="13"/>
    </w:p>
    <w:p w14:paraId="26785830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平台功能分为四个层次，自下而上为：数据接入层、业务能力层、门户应用层、运营管理层。</w:t>
      </w:r>
    </w:p>
    <w:p w14:paraId="6906AD1B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数据接入层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256D2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模块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49C96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职责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7A00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设备接入网关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81B0E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接收各厂家设备的时序数据与状态上报，完成协议解析、鉴权、限流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7159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台账同步服务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BCDC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接收厂家申报的设备与部件台账，落库并建立索引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81B4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告警接入通道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FA08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接收厂家推送的告警事件，或由规则引擎本地生成</w:t>
            </w:r>
          </w:p>
        </w:tc>
      </w:tr>
    </w:tbl>
    <w:p w14:paraId="0EF4C05E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业务能力层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90D5D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模块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B565E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职责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9171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租户与权限服务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4857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租户生命周期、角色权限、数据范围判定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BE0F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设备台账服务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48E9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设备与部件的个体档案、状态生命周期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5A31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绑定关系服务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0183B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装配绑定与产权绑定的建立、变更、失效、历史留痕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10FA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告警规则引擎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A6F5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阈值规则配置、告警生成、去重、抑制、升级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2E2DF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工单引擎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4BE8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工单状态机、SLA 计时、超时提醒、流转记录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FB57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通知服务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556E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站内信、短信、邮件多通道下发与已读回执</w:t>
            </w:r>
          </w:p>
        </w:tc>
      </w:tr>
    </w:tbl>
    <w:p w14:paraId="0E48618A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门户应用层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6C318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门户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66393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使用者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90C26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核心入口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666A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厂家工作台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250A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厂家三类角色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F342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设备台账、绑定关系、设备监控、告警中心、工单处理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2A65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客户工作台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6D399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客户三类角色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A70F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我的设备、设备监控、告警中心、报修工单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6620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移动端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91C6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客户操作员、厂家工程师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BB55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告警推送、工单处理、现场拍照回传</w:t>
            </w:r>
          </w:p>
        </w:tc>
      </w:tr>
    </w:tbl>
    <w:p w14:paraId="04387DAF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运营管理层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1CDA6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模块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2A243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使用者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71DB1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核心入口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7D03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入驻审核后台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E703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入驻审核员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DE5A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入驻申请审核、资质管理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9462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租户管理后台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55CD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平台运营专员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DB8E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租户档案、账号管理、状态管理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EA766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平台总览大屏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5A2FA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平台运营方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F0F0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全局设备在线率、告警分布、工单履约率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77B1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争议仲裁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A675E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平台运营专员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B35EAC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验收争议、超时纠纷、责任判定</w:t>
            </w:r>
          </w:p>
        </w:tc>
      </w:tr>
    </w:tbl>
    <w:p w14:paraId="678263D3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14" w:name="section-3-2"/>
      <w:r>
        <w:rPr>
          <w:rFonts w:hint="eastAsia" w:ascii="黑体" w:hAnsi="黑体" w:eastAsia="黑体" w:cs="黑体"/>
          <w:b w:val="1"/>
          <w:color w:val="000000"/>
          <w:sz w:val="30"/>
        </w:rPr>
        <w:t>3.2　模块职责边界说明</w:t>
      </w:r>
      <w:bookmarkEnd w:id="14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93EB2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边界点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B3AB6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B5C47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厂家端 vs 客户端的工单动作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E710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客户发起与验收，厂家接单与反馈，动作权限不可互换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06A6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厂家之间的数据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A2FD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完全隔离，无任何交叉可见路径，包括平台运营方在内的任何角色都不做跨厂家对比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1431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平台代操作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10A37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平台运营方不代替厂家或客户执行业务动作，仅做审核、配置与仲裁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A644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告警与工单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7AF0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告警是客观事件，工单是服务承诺，告警不自动等于工单，需人工或规则显式发起</w:t>
            </w:r>
          </w:p>
        </w:tc>
      </w:tr>
    </w:tbl>
    <w:p w14:paraId="6C066F0C">
      <w:pPr>
        <w:pStyle w:val="000001"/>
        <w:keepNext w:val="1"/>
        <w:keepLines w:val="1"/>
        <w:pBdr>
          <w:bottom w:val="single" w:color="1a5fb4" w:sz="12" w:space="4"/>
        </w:pBdr>
        <w:spacing w:before="432" w:beforeAutospacing="1" w:after="180" w:afterAutospacing="1" w:line="408"/>
        <w:outlineLvl w:val="0"/>
        <w:rPr>
          <w:color w:val="1a5fb4"/>
          <w:kern w:val="44"/>
          <w:sz w:val="44"/>
          <w:szCs w:val="44"/>
        </w:rPr>
      </w:pPr>
      <w:bookmarkStart w:id="15" w:name="section-4"/>
      <w:r>
        <w:rPr>
          <w:rFonts w:hint="eastAsia" w:ascii="黑体" w:hAnsi="黑体" w:eastAsia="黑体" w:cs="黑体"/>
          <w:b w:val="1"/>
          <w:color w:val="1a5fb4"/>
          <w:sz w:val="36"/>
        </w:rPr>
        <w:t>第四章　厂家端功能设计</w:t>
      </w:r>
      <w:bookmarkEnd w:id="15"/>
    </w:p>
    <w:p w14:paraId="469408E9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16" w:name="section-4-1"/>
      <w:r>
        <w:rPr>
          <w:rFonts w:hint="eastAsia" w:ascii="黑体" w:hAnsi="黑体" w:eastAsia="黑体" w:cs="黑体"/>
          <w:b w:val="1"/>
          <w:color w:val="000000"/>
          <w:sz w:val="30"/>
        </w:rPr>
        <w:t>4.1　厂家工作台首页</w:t>
      </w:r>
      <w:bookmarkEnd w:id="16"/>
    </w:p>
    <w:p w14:paraId="2C498D5D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工作台首页是厂家角色的统一入口，展示以下内容：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74095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模块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9168D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B89CB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数据范围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ABC4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设备总览卡片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F528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设备总数、在线数、离线数、在线率、本月告警数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ED22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本厂家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F779E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绑定关系概览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864E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已绑定设备数、绑定客户数、本月新增绑定数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EC004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本厂家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4D24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告警趋势图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38ED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近 7 日 / 30 日告警数量与等级分布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D566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本厂家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5DE1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工单待办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F7E0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待接单工单数、处理中工单数、超时工单数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EF7B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本厂家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2C3A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待处理事项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A2D4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待确认的绑定申请、待审核的子账号申请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B38DE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本厂家</w:t>
            </w:r>
          </w:p>
        </w:tc>
      </w:tr>
    </w:tbl>
    <w:p w14:paraId="38909EBE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17" w:name="section-4-2"/>
      <w:r>
        <w:rPr>
          <w:rFonts w:hint="eastAsia" w:ascii="黑体" w:hAnsi="黑体" w:eastAsia="黑体" w:cs="黑体"/>
          <w:b w:val="1"/>
          <w:color w:val="000000"/>
          <w:sz w:val="30"/>
        </w:rPr>
        <w:t>4.2　设备清单管理</w:t>
      </w:r>
      <w:bookmarkEnd w:id="17"/>
    </w:p>
    <w:p w14:paraId="049C1FA9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设备清单是厂家的核心资产台账，支持个体级管理。</w:t>
      </w:r>
    </w:p>
    <w:p w14:paraId="31EF5060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列表字段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CFEEA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AC0CE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FEF14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数据来源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BC3D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 SN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8244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唯一标识，必填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CB1AA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厂家申报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4B2A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产品型号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B0831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关联产品型号档案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C8A2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厂家申报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59E29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设备品类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DFC9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灶具 / 制冷 / 洗消 / 排烟 / 其他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1CED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型号档案继承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9414F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出厂日期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D517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设备制造日期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B417D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厂家申报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3C6F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质保期至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62C68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按型号质保策略自动计算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EAA0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系统计算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69E01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装配部件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F478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该设备上装配的物联网部件列表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C76B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装配绑定关系派生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48EBC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产权归属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A9E3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当前绑定的客户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D51A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产权绑定关系派生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5B796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运行状态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B41D0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在线 / 离线 / 异常 / 未激活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751F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接入网关实时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CD06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固件版本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DF07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部件固件（部件维度可见）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6C20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部件上报</w:t>
            </w:r>
          </w:p>
        </w:tc>
      </w:tr>
    </w:tbl>
    <w:p w14:paraId="5D06794F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主要操作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25DD4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操作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C9BDB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0229A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权限要求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8269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批量导入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7DCB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通过模板批量导入设备台账，支持校验与失败行回显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E54B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厂家管理员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6EDA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单台新增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3FE5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手工录入单台设备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862DF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厂家管理员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9C29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编辑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550CA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修改型号、备注等非关键字段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CB041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厂家管理员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3B1FF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申报绑定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94D60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向客户发起产权绑定申请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1C3E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厂家管理员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9455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解绑申请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B434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设备转售或退场时发起解绑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3C5CC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厂家管理员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B4F3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下线归档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CD0A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设备永久退场，保留历史数据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B5B0AA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厂家管理员</w:t>
            </w:r>
          </w:p>
        </w:tc>
      </w:tr>
    </w:tbl>
    <w:p w14:paraId="047D68D5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校验规则</w:t>
      </w:r>
      <w:r>
        <w:rPr>
          <w:rFonts w:hint="eastAsia" w:ascii="宋体" w:hAnsi="宋体" w:eastAsia="宋体" w:cs="宋体"/>
          <w:color w:val="000000"/>
          <w:sz w:val="24"/>
        </w:rPr>
        <w:t>：SN 唯一性校验、设备型号必须已在产品档案中定义、关键字段不可为空。导入失败行需给出具体错误原因，支持修正后重新导入。</w:t>
      </w:r>
    </w:p>
    <w:p w14:paraId="3D62BE20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18" w:name="section-4-3"/>
      <w:r>
        <w:rPr>
          <w:rFonts w:hint="eastAsia" w:ascii="黑体" w:hAnsi="黑体" w:eastAsia="黑体" w:cs="黑体"/>
          <w:b w:val="1"/>
          <w:color w:val="000000"/>
          <w:sz w:val="30"/>
        </w:rPr>
        <w:t>4.3　设备与客户绑定关系</w:t>
      </w:r>
      <w:bookmarkEnd w:id="18"/>
    </w:p>
    <w:p w14:paraId="0F255C1D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绑定关系管理是厂家端区别于普通设备台账系统的核心功能。</w:t>
      </w:r>
    </w:p>
    <w:p w14:paraId="7D75D819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绑定关系列表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907BE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B5142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0610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 SN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4754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绑定主体设备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CF2A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F1B9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绑定的客户端租户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7056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绑定类型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5B5F7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装配绑定 / 产权绑定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CB379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绑定来源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E16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厂家申报 / 平台导入 / 客户确认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860E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生效时间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4FE4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绑定关系开始生效的时间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372C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当前状态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B92B1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待确认 / 生效中 / 待解除 / 已解除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021A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操作人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3B8D0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发起绑定的操作人</w:t>
            </w:r>
          </w:p>
        </w:tc>
      </w:tr>
    </w:tbl>
    <w:p w14:paraId="7D3CC59D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绑定流程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p w14:paraId="1B944FBE">
      <w:pPr>
        <w:numPr>
          <w:ilvl w:val="0"/>
          <w:numId w:val="5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厂家在设备列表中选择目标设备，发起绑定申报，指定客户租户与绑定类型。</w:t>
      </w:r>
    </w:p>
    <w:p w14:paraId="628201FF">
      <w:pPr>
        <w:numPr>
          <w:ilvl w:val="0"/>
          <w:numId w:val="5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系统校验：该设备当前是否已有生效中的同类型绑定；该客户是否在服务范围内。</w:t>
      </w:r>
    </w:p>
    <w:p w14:paraId="7D0202A5">
      <w:pPr>
        <w:numPr>
          <w:ilvl w:val="0"/>
          <w:numId w:val="5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绑定关系进入「待确认」，推送客户侧待办。</w:t>
      </w:r>
    </w:p>
    <w:p w14:paraId="2002087B">
      <w:pPr>
        <w:numPr>
          <w:ilvl w:val="0"/>
          <w:numId w:val="5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客户确认后绑定生效，设备进入该客户的资产视图；若客户在约定时限内未确认（如 7 天），绑定自动生效并记录为「厂家申报 + 超时自动确认」。</w:t>
      </w:r>
    </w:p>
    <w:p w14:paraId="705CEED6">
      <w:pPr>
        <w:numPr>
          <w:ilvl w:val="0"/>
          <w:numId w:val="5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客户如有异议可拒绝并填写原因，绑定回到厂家侧待处理。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5fb4" w:sz="24"/>
              <w:bottom w:val="none" w:sz="8"/>
              <w:right w:val="none" w:sz="8"/>
            </w:tcBorders>
            <w:shd w:val="clear" w:fill="f2f6fb"/>
            <w:vAlign w:val="center"/>
          </w:tcPr>
          <w:p w14:paraId="0D4F4E4B">
            <w:pPr>
              <w:rPr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1a5fb4"/>
                <w:sz w:val="22"/>
              </w:rPr>
              <w:t>变更与留痕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：绑定关系的建立、解除、转移均为 append-only 记录，每次变更生成新版本记录，保留变更人、变更时间、变更原因。历史绑定关系永久可查，用于追溯设备归属变更历史。</w:t>
            </w:r>
          </w:p>
        </w:tc>
      </w:tr>
    </w:tbl>
    <w:p w14:paraId="545F3F71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19" w:name="section-4-4"/>
      <w:r>
        <w:rPr>
          <w:rFonts w:hint="eastAsia" w:ascii="黑体" w:hAnsi="黑体" w:eastAsia="黑体" w:cs="黑体"/>
          <w:b w:val="1"/>
          <w:color w:val="000000"/>
          <w:sz w:val="30"/>
        </w:rPr>
        <w:t>4.4　设备使用情况</w:t>
      </w:r>
      <w:bookmarkEnd w:id="19"/>
    </w:p>
    <w:p w14:paraId="327B31BB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设备使用情况用于厂家了解自产设备的实际运行表现，支撑质量改进与备件预测。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B1C61F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30F5B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维度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DD457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6DE0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在线率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7CA3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 / 型号 / 品类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6C62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在线时长 / 应在线时长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061AE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平均运行时长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7031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 / 时段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D4C18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单日实际运行小时数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4BC0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启停频次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ABBEF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C918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单位时间内开关机次数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7907D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告警频次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66D0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 / 型号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F798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单位时间内告警次数与等级分布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7CF9E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故障间隔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9059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型号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354A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平均无故障工作时间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8222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活跃度分布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6273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A94AE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按客户统计设备活跃情况，识别僵尸设备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6D92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部件健康度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4900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部件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279D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固件版本分布、传感器数据缺失率</w:t>
            </w:r>
          </w:p>
        </w:tc>
      </w:tr>
    </w:tbl>
    <w:p w14:paraId="42706077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设备使用情况的统计口径需在平台侧统一定义，各厂家看到的均为同口径数据，以保证横向可比。</w:t>
      </w:r>
    </w:p>
    <w:p w14:paraId="6B702159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20" w:name="section-4-5"/>
      <w:r>
        <w:rPr>
          <w:rFonts w:hint="eastAsia" w:ascii="黑体" w:hAnsi="黑体" w:eastAsia="黑体" w:cs="黑体"/>
          <w:b w:val="1"/>
          <w:color w:val="000000"/>
          <w:sz w:val="30"/>
        </w:rPr>
        <w:t>4.5　告警记录与实时告警</w:t>
      </w:r>
      <w:bookmarkEnd w:id="20"/>
    </w:p>
    <w:p w14:paraId="7890260B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实时告警流</w:t>
      </w:r>
      <w:r>
        <w:rPr>
          <w:rFonts w:hint="eastAsia" w:ascii="宋体" w:hAnsi="宋体" w:eastAsia="宋体" w:cs="宋体"/>
          <w:color w:val="000000"/>
          <w:sz w:val="24"/>
        </w:rPr>
        <w:t>：厂家工作台提供实时告警滚动列表，按时间倒序，支持按等级、品类、状态筛选；hover 暂停滚动；点击进入告警详情。</w:t>
      </w:r>
    </w:p>
    <w:p w14:paraId="7F7E612A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告警记录查询</w:t>
      </w:r>
      <w:r>
        <w:rPr>
          <w:rFonts w:hint="eastAsia" w:ascii="宋体" w:hAnsi="宋体" w:eastAsia="宋体" w:cs="宋体"/>
          <w:color w:val="000000"/>
          <w:sz w:val="24"/>
        </w:rPr>
        <w:t>：支持多条件组合筛选，条件包括时间范围、告警等级、告警状态、设备、型号、客户、告警类型。</w:t>
      </w:r>
    </w:p>
    <w:p w14:paraId="713CBD27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告警详情内容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5949E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内容项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05D59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823D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告警概要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4B33E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告警类型、等级、触发时间、设备与客户标识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D973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触发详情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7E49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触发规则、阈值配置、实际值、持续时长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87F9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关联数据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55A0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告警前后各 30 分钟的关键指标曲线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CD60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关联部件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024D1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若告警由部件触发，展示部件信息与固件版本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82C66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处理记录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4CE4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确认人、确认时间、处理说明、关联工单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B7BC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状态流转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39E3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未确认 → 已确认 → 处理中 → 已恢复</w:t>
            </w:r>
          </w:p>
        </w:tc>
      </w:tr>
    </w:tbl>
    <w:p w14:paraId="5FDCF90C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21" w:name="section-4-6"/>
      <w:r>
        <w:rPr>
          <w:rFonts w:hint="eastAsia" w:ascii="黑体" w:hAnsi="黑体" w:eastAsia="黑体" w:cs="黑体"/>
          <w:b w:val="1"/>
          <w:color w:val="000000"/>
          <w:sz w:val="30"/>
        </w:rPr>
        <w:t>4.6　告警统计</w:t>
      </w:r>
      <w:bookmarkEnd w:id="21"/>
    </w:p>
    <w:p w14:paraId="5A7CF96C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告警统计面向管理决策，提供多维聚合视图。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AD76E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统计维度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9004C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300C4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等级分布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9006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紧急 / 重要 / 一般三级数量与占比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100EA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趋势分析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02C9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按日 / 周 / 月的告警数量变化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825A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品类分布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2CBC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按设备品类的告警分布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B49BF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型号分布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900C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识别问题集中的型号，支撑质量改进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1004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客户分布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25DC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识别异常集中的客户，区分个体问题与环境问题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A2470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部件分布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CB34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识别故障率高的部件批次或固件版本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BADCD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响应时长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6641C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从告警产生到首次确认的时长分布</w:t>
            </w:r>
          </w:p>
        </w:tc>
      </w:tr>
    </w:tbl>
    <w:p w14:paraId="32BF9D28">
      <w:pPr>
        <w:pStyle w:val="000001"/>
        <w:keepNext w:val="1"/>
        <w:keepLines w:val="1"/>
        <w:pBdr>
          <w:bottom w:val="single" w:color="1a5fb4" w:sz="12" w:space="4"/>
        </w:pBdr>
        <w:spacing w:before="432" w:beforeAutospacing="1" w:after="180" w:afterAutospacing="1" w:line="408"/>
        <w:outlineLvl w:val="0"/>
        <w:rPr>
          <w:color w:val="1a5fb4"/>
          <w:kern w:val="44"/>
          <w:sz w:val="44"/>
          <w:szCs w:val="44"/>
        </w:rPr>
      </w:pPr>
      <w:bookmarkStart w:id="22" w:name="section-5"/>
      <w:r>
        <w:rPr>
          <w:rFonts w:hint="eastAsia" w:ascii="黑体" w:hAnsi="黑体" w:eastAsia="黑体" w:cs="黑体"/>
          <w:b w:val="1"/>
          <w:color w:val="1a5fb4"/>
          <w:sz w:val="36"/>
        </w:rPr>
        <w:t>第五章　客户端功能设计</w:t>
      </w:r>
      <w:bookmarkEnd w:id="22"/>
    </w:p>
    <w:p w14:paraId="185EFB6D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23" w:name="section-5-1"/>
      <w:r>
        <w:rPr>
          <w:rFonts w:hint="eastAsia" w:ascii="黑体" w:hAnsi="黑体" w:eastAsia="黑体" w:cs="黑体"/>
          <w:b w:val="1"/>
          <w:color w:val="000000"/>
          <w:sz w:val="30"/>
        </w:rPr>
        <w:t>5.1　客户工作台首页</w:t>
      </w:r>
      <w:bookmarkEnd w:id="23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3E5B3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模块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DE430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A243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资产总览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EB39A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本方设备总数、在线数、离线数、在线率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6B15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品类分布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5934C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各品类设备数量与在线情况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A91C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今日告警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BF2F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今日新增告警数与等级构成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2716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报修入口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E23E0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一键发起报修工单的显著入口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62D5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工单进度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8262F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本方工单的状态分布与待验收数量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B02A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厂家服务评价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2ED2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各厂家的响应时长、按时完成率</w:t>
            </w:r>
          </w:p>
        </w:tc>
      </w:tr>
    </w:tbl>
    <w:p w14:paraId="3ADFD11E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24" w:name="section-5-2"/>
      <w:r>
        <w:rPr>
          <w:rFonts w:hint="eastAsia" w:ascii="黑体" w:hAnsi="黑体" w:eastAsia="黑体" w:cs="黑体"/>
          <w:b w:val="1"/>
          <w:color w:val="000000"/>
          <w:sz w:val="30"/>
        </w:rPr>
        <w:t>5.2　设备运行状态</w:t>
      </w:r>
      <w:bookmarkEnd w:id="24"/>
    </w:p>
    <w:p w14:paraId="7ABB7F68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客户视角的设备列表呈现「一台设备即一行」的聚合形态，不区分内部供应商。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901F2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7BBFE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225F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设备名称 / SN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05AE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客户可识别的标识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C6CDD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品类与位置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7FD16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设备类型与安装位置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F4B2F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综合状态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625B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在线 / 离线 / 异常 / 维修中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E238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告警状态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A901C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正常 / 有未确认告警 / 严重告警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D901C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责任厂家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30FC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该设备当前的服务责任方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6700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累计告警数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1EB7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本月该设备告警次数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86908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最近上报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F54E9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最近一次数据上报时间</w:t>
            </w:r>
          </w:p>
        </w:tc>
      </w:tr>
    </w:tbl>
    <w:p w14:paraId="00C972C3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操作</w:t>
      </w:r>
      <w:r>
        <w:rPr>
          <w:rFonts w:hint="eastAsia" w:ascii="宋体" w:hAnsi="宋体" w:eastAsia="宋体" w:cs="宋体"/>
          <w:color w:val="000000"/>
          <w:sz w:val="24"/>
        </w:rPr>
        <w:t>：发起报修、查看监控数据、查看历史告警、确认告警。</w:t>
      </w:r>
    </w:p>
    <w:p w14:paraId="70AE240E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客户不可见的字段</w:t>
      </w:r>
      <w:r>
        <w:rPr>
          <w:rFonts w:hint="eastAsia" w:ascii="宋体" w:hAnsi="宋体" w:eastAsia="宋体" w:cs="宋体"/>
          <w:color w:val="000000"/>
          <w:sz w:val="24"/>
        </w:rPr>
        <w:t>：部件级固件版本、部件成本、厂家的内部工单流转明细、客户之间的对比数据。</w:t>
      </w:r>
    </w:p>
    <w:p w14:paraId="61547C71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25" w:name="section-5-3"/>
      <w:r>
        <w:rPr>
          <w:rFonts w:hint="eastAsia" w:ascii="黑体" w:hAnsi="黑体" w:eastAsia="黑体" w:cs="黑体"/>
          <w:b w:val="1"/>
          <w:color w:val="000000"/>
          <w:sz w:val="30"/>
        </w:rPr>
        <w:t>5.3　监控数据</w:t>
      </w:r>
      <w:bookmarkEnd w:id="25"/>
    </w:p>
    <w:p w14:paraId="210D9E46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监控数据按设备维度组织，指标内容取决于该设备上装配的部件所提供的能力。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6E38D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495ED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C6B66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实时数据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C769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关键指标当前值与状态判定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4EB8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趋势曲线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E930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指定指标、指定时间范围的趋势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7B13A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历史查询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7549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按时间段查询历史数据，支持多个指标叠加对比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EDC9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数据导出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7D49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按时间范围导出原始数据，供客户自行分析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2CCC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阈值设置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5916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客户可对本方设备设置个性化告警阈值</w:t>
            </w:r>
          </w:p>
        </w:tc>
      </w:tr>
    </w:tbl>
    <w:p w14:paraId="0BCF9C28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客户设置的个性化阈值与厂家 / 平台阈值并存，触发任一阈值均产生告警，告警来源标注为「客户自定义」。</w:t>
      </w:r>
    </w:p>
    <w:p w14:paraId="1ECCB206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26" w:name="section-5-4"/>
      <w:r>
        <w:rPr>
          <w:rFonts w:hint="eastAsia" w:ascii="黑体" w:hAnsi="黑体" w:eastAsia="黑体" w:cs="黑体"/>
          <w:b w:val="1"/>
          <w:color w:val="000000"/>
          <w:sz w:val="30"/>
        </w:rPr>
        <w:t>5.4　告警列表与详情</w:t>
      </w:r>
      <w:bookmarkEnd w:id="26"/>
    </w:p>
    <w:p w14:paraId="6BF44F4A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告警列表</w:t>
      </w:r>
      <w:r>
        <w:rPr>
          <w:rFonts w:hint="eastAsia" w:ascii="宋体" w:hAnsi="宋体" w:eastAsia="宋体" w:cs="宋体"/>
          <w:color w:val="000000"/>
          <w:sz w:val="24"/>
        </w:rPr>
        <w:t>：支持时间范围、等级、状态、设备、厂家的组合筛选，提供列表与卡片两种视图。</w:t>
      </w:r>
    </w:p>
    <w:p w14:paraId="20953FCD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告警详情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6927D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内容项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8D965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06BEA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告警概要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8EB00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类型、等级、时间、设备、位置、责任厂家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0691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触发详情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4C48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触发来源（厂家规则 / 平台规则 / 客户自定义）、阈值与实际值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F4C8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关联数据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6F68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告警前后关键指标曲线，用于客户初步判断影响范围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E728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责任归属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E97F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明确该告警的服务责任厂家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69D6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快捷动作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6209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确认告警、发起报修工单（自动关联本告警）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E219C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处理进度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3CEB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若已发起工单，展示工单当前状态与处理记录</w:t>
            </w:r>
          </w:p>
        </w:tc>
      </w:tr>
    </w:tbl>
    <w:p w14:paraId="7A5FF3FA">
      <w:pPr>
        <w:pStyle w:val="000001"/>
        <w:keepNext w:val="1"/>
        <w:keepLines w:val="1"/>
        <w:pBdr>
          <w:bottom w:val="single" w:color="1a5fb4" w:sz="12" w:space="4"/>
        </w:pBdr>
        <w:spacing w:before="432" w:beforeAutospacing="1" w:after="180" w:afterAutospacing="1" w:line="408"/>
        <w:outlineLvl w:val="0"/>
        <w:rPr>
          <w:color w:val="1a5fb4"/>
          <w:kern w:val="44"/>
          <w:sz w:val="44"/>
          <w:szCs w:val="44"/>
        </w:rPr>
      </w:pPr>
      <w:bookmarkStart w:id="27" w:name="section-6"/>
      <w:r>
        <w:rPr>
          <w:rFonts w:hint="eastAsia" w:ascii="黑体" w:hAnsi="黑体" w:eastAsia="黑体" w:cs="黑体"/>
          <w:b w:val="1"/>
          <w:color w:val="1a5fb4"/>
          <w:sz w:val="36"/>
        </w:rPr>
        <w:t>第六章　工单闭环</w:t>
      </w:r>
      <w:bookmarkEnd w:id="27"/>
    </w:p>
    <w:p w14:paraId="6A971A8C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28" w:name="section-6-1"/>
      <w:r>
        <w:rPr>
          <w:rFonts w:hint="eastAsia" w:ascii="黑体" w:hAnsi="黑体" w:eastAsia="黑体" w:cs="黑体"/>
          <w:b w:val="1"/>
          <w:color w:val="000000"/>
          <w:sz w:val="30"/>
        </w:rPr>
        <w:t>6.1　工单模型</w:t>
      </w:r>
      <w:bookmarkEnd w:id="28"/>
    </w:p>
    <w:p w14:paraId="1C03A05F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工单是客户与厂家之间的服务承诺载体，是履约的最小管理单元。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220E5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4B8CC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6B2EC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必填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1576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工单编号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61F7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系统生成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3987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自动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CE8E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工单来源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0EEC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客户报修 / 告警转单 / 厂家主动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D8C98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59D9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关联设备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1532E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报修的具体设备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FA82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4B82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关联告警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90E2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若由告警触发，关联告警记录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7D13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F5F2E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责任厂家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3F8D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由绑定关系派生，不允许手工指定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1F0D0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自动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9714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问题类型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0357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设备故障 / 部件故障 / 参数异常 / 咨询 / 其他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5B4F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EB40C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问题描述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0E5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文字描述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1509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55EDA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图片与附件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A6E2E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现场照片、视频、文件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0F50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BFDB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优先级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BE936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紧急 / 高 / 中 / 低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66209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5C79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SLA 时限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3B05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由优先级与厂家承诺派生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1395C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自动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90BD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当前状态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CC26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见 6.2 状态机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E9C8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自动</w:t>
            </w:r>
          </w:p>
        </w:tc>
      </w:tr>
    </w:tbl>
    <w:p w14:paraId="6CB09F8B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29" w:name="section-6-2"/>
      <w:r>
        <w:rPr>
          <w:rFonts w:hint="eastAsia" w:ascii="黑体" w:hAnsi="黑体" w:eastAsia="黑体" w:cs="黑体"/>
          <w:b w:val="1"/>
          <w:color w:val="000000"/>
          <w:sz w:val="30"/>
        </w:rPr>
        <w:t>6.2　工单状态机</w:t>
      </w:r>
      <w:bookmarkEnd w:id="29"/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543C8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状态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BE271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状态码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E8B63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状态含义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C6BC7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操作方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05C9E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待接单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F0B0D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PENDING_ACCEPT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F092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客户已提交，等待厂家响应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CCE3F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BD0B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处理中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E63A9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IN_PROGRESS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379D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厂家已接单，正在处理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543D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1708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待验收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5A677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PENDING_CONFIRM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6B16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厂家已反馈处理结果，等待客户确认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7388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BAE6A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已完成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2D0C2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COMPLETED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CC28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客户验收通过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908A7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C7A0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已关闭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97849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CLOSED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CC6BE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工单归档，不再变更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B183A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</w:tr>
    </w:tbl>
    <w:p w14:paraId="3DA2743D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流转规则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4AE2F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流转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83795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触发条件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FBF14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触发方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227DF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附带要求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9180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待接单 → 处理中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B9AF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厂家接单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9D6F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57F78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填写接单说明、预计到场时间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E6C6F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处理中 → 待验收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85F5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厂家反馈处理结果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E245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7BA0C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填写处理过程、更换备件、上传现场照片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DA5B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待验收 → 已完成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119B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客户验收通过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3C7B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10880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可填写满意度评价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8F521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待验收 → 处理中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4EAE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客户验收驳回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2D2C6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5A50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必须填写驳回原因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FC3F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已完成 → 已关闭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DB9FD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归档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68B86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客户或系统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79E9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已完成满 7 天自动归档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DEB5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待接单 → 已关闭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0F38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客户撤单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2FDA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7193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仅在厂家接单前允许，需填写撤单原因</w:t>
            </w:r>
          </w:p>
        </w:tc>
      </w:tr>
    </w:tbl>
    <w:p w14:paraId="4D152446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状态机约束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p w14:paraId="5990ADE0">
      <w:pPr>
        <w:numPr>
          <w:ilvl w:val="0"/>
          <w:numId w:val="6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状态不可跳跃，任何状态只能按上表定义的路径流转。</w:t>
      </w:r>
    </w:p>
    <w:p w14:paraId="09FD5724">
      <w:pPr>
        <w:numPr>
          <w:ilvl w:val="0"/>
          <w:numId w:val="6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验收驳回必须填写原因，驳回后回到「处理中」，工单返回次数需记录，超过 3 次需平台介入。</w:t>
      </w:r>
    </w:p>
    <w:p w14:paraId="410361C9">
      <w:pPr>
        <w:numPr>
          <w:ilvl w:val="0"/>
          <w:numId w:val="6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工单一旦进入「已关闭」不可再变更，仅可查看。</w:t>
      </w:r>
    </w:p>
    <w:p w14:paraId="2C35538A">
      <w:pPr>
        <w:numPr>
          <w:ilvl w:val="0"/>
          <w:numId w:val="6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每次流转生成一条不可修改的流转记录，含操作人、时间、动作、备注。</w:t>
      </w:r>
    </w:p>
    <w:p w14:paraId="108FA40A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30" w:name="section-6-3"/>
      <w:r>
        <w:rPr>
          <w:rFonts w:hint="eastAsia" w:ascii="黑体" w:hAnsi="黑体" w:eastAsia="黑体" w:cs="黑体"/>
          <w:b w:val="1"/>
          <w:color w:val="000000"/>
          <w:sz w:val="30"/>
        </w:rPr>
        <w:t>6.3　客户报修流程</w:t>
      </w:r>
      <w:bookmarkEnd w:id="3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7f9fc"/>
            <w:vAlign w:val="center"/>
          </w:tcPr>
          <w:p w14:paraId="11BC1D6E">
            <w:pPr>
              <w:rPr>
                <w:color w:val="1c2b3a"/>
              </w:rPr>
            </w:pPr>
            <w:r>
              <w:rPr>
                <w:rFonts w:hint="eastAsia" w:ascii="Consolas" w:hAnsi="Consolas" w:eastAsia="Consolas" w:cs="Consolas"/>
                <w:color w:val="1c2b3a"/>
                <w:sz w:val="20"/>
              </w:rPr>
              <w:t>1. 客户从设备列表或告警详情点击「发起报修」2. 系统自动带入设备信息、关联告警、责任厂家3. 客户选择问题类型、填写问题描述、上传现场图片、选择优先级4. 提交 → 工单进入「待接单」，SLA 计时开始5. 推送通知给责任厂家的厂家管理员与售后工程师6. 客户可在工单列表跟踪进度</w:t>
            </w:r>
          </w:p>
        </w:tc>
      </w:tr>
    </w:tbl>
    <w:p w14:paraId="58F42771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设计要点：报修入口必须在设备上下文与告警上下文中都可直达，客户无需先找到设备再找报修按钮。</w:t>
      </w:r>
    </w:p>
    <w:p w14:paraId="0C58B8C3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31" w:name="section-6-4"/>
      <w:r>
        <w:rPr>
          <w:rFonts w:hint="eastAsia" w:ascii="黑体" w:hAnsi="黑体" w:eastAsia="黑体" w:cs="黑体"/>
          <w:b w:val="1"/>
          <w:color w:val="000000"/>
          <w:sz w:val="30"/>
        </w:rPr>
        <w:t>6.4　厂家处理流程</w:t>
      </w:r>
      <w:bookmarkEnd w:id="31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7f9fc"/>
            <w:vAlign w:val="center"/>
          </w:tcPr>
          <w:p w14:paraId="3ECC6473">
            <w:pPr>
              <w:rPr>
                <w:color w:val="1c2b3a"/>
              </w:rPr>
            </w:pPr>
            <w:r>
              <w:rPr>
                <w:rFonts w:hint="eastAsia" w:ascii="Consolas" w:hAnsi="Consolas" w:eastAsia="Consolas" w:cs="Consolas"/>
                <w:color w:val="1c2b3a"/>
                <w:sz w:val="20"/>
              </w:rPr>
              <w:t>1. 厂家工作台收到工单待办，查看设备台账与历史告警2. 接单 → 填写接单说明与预计到场时间，工单进入「处理中」3. 厂家执行维修，可多次更新处理进展4. 处理完成 → 填写处理过程说明，登记备件更换，上传现场照片5. 反馈 → 工单进入「待验收」，推送客户验收待办</w:t>
            </w:r>
          </w:p>
        </w:tc>
      </w:tr>
    </w:tbl>
    <w:p w14:paraId="763F4535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备件更换记录</w:t>
      </w:r>
      <w:r>
        <w:rPr>
          <w:rFonts w:hint="eastAsia" w:ascii="宋体" w:hAnsi="宋体" w:eastAsia="宋体" w:cs="宋体"/>
          <w:color w:val="000000"/>
          <w:sz w:val="24"/>
        </w:rPr>
        <w:t>：作为工单的子结构独立记录，每条记录包含备件名称、规格、数量、SN、是否旧件回收、旧件去向。备件更换记录在工单完成后仍需保留，作为质量追溯与质保责任依据。</w:t>
      </w:r>
    </w:p>
    <w:p w14:paraId="0B59E901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处理进展更新</w:t>
      </w:r>
      <w:r>
        <w:rPr>
          <w:rFonts w:hint="eastAsia" w:ascii="宋体" w:hAnsi="宋体" w:eastAsia="宋体" w:cs="宋体"/>
          <w:color w:val="000000"/>
          <w:sz w:val="24"/>
        </w:rPr>
        <w:t>：厂家可在处理中多次更新进展，更新记录含时间、进展说明、附件。进展更新是超时判定的重要依据，长时间无更新的工单进入超时预警。</w:t>
      </w:r>
    </w:p>
    <w:p w14:paraId="596EFA72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32" w:name="section-6-5"/>
      <w:r>
        <w:rPr>
          <w:rFonts w:hint="eastAsia" w:ascii="黑体" w:hAnsi="黑体" w:eastAsia="黑体" w:cs="黑体"/>
          <w:b w:val="1"/>
          <w:color w:val="000000"/>
          <w:sz w:val="30"/>
        </w:rPr>
        <w:t>6.5　验收与关闭</w:t>
      </w:r>
      <w:bookmarkEnd w:id="32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7f9fc"/>
            <w:vAlign w:val="center"/>
          </w:tcPr>
          <w:p w14:paraId="4D78AB79">
            <w:pPr>
              <w:rPr>
                <w:color w:val="1c2b3a"/>
              </w:rPr>
            </w:pPr>
            <w:r>
              <w:rPr>
                <w:rFonts w:hint="eastAsia" w:ascii="Consolas" w:hAnsi="Consolas" w:eastAsia="Consolas" w:cs="Consolas"/>
                <w:color w:val="1c2b3a"/>
                <w:sz w:val="20"/>
              </w:rPr>
              <w:t>1. 客户收到待验收通知，查看处理说明与备件记录、现场照片2. 验收通过 → 工单「已完成」，可填写满意度评价3. 验收驳回 → 必须填写驳回原因，工单退回「处理中」4. 已完成满 7 天自动归档 → 工单「已关闭」5. 归档后工单只读，作为履约记录与数据来源</w:t>
            </w:r>
          </w:p>
        </w:tc>
      </w:tr>
    </w:tbl>
    <w:p w14:paraId="16BE0DEC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验收环节是平台履约质量的把关点，驳回机制保证客户对服务结果的最终认可权。</w:t>
      </w:r>
    </w:p>
    <w:p w14:paraId="61DFC12A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33" w:name="section-6-6"/>
      <w:r>
        <w:rPr>
          <w:rFonts w:hint="eastAsia" w:ascii="黑体" w:hAnsi="黑体" w:eastAsia="黑体" w:cs="黑体"/>
          <w:b w:val="1"/>
          <w:color w:val="000000"/>
          <w:sz w:val="30"/>
        </w:rPr>
        <w:t>6.6　超时提醒与升级</w:t>
      </w:r>
      <w:bookmarkEnd w:id="33"/>
    </w:p>
    <w:p w14:paraId="3910D46E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SLA 时限按优先级与厂家承诺共同确定，超时处理分三级升级。</w:t>
      </w:r>
    </w:p>
    <w:p w14:paraId="571BF925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SLA 时限基准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E8707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B0ED8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接单时限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4A1D8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处理时限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DE051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待验收时限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B4BC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紧急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3C5B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30 分钟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EFEA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4 小时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969B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24 小时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70FB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C602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 小时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05E2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8 小时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9D3D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48 小时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6291B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A849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8 小时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5859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24 小时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D8F8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72 小时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855E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0DE6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24 小时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52F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72 小时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EE90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7 天</w:t>
            </w:r>
          </w:p>
        </w:tc>
      </w:tr>
    </w:tbl>
    <w:p w14:paraId="31172EEB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超时升级机制</w:t>
      </w:r>
      <w:r>
        <w:rPr>
          <w:rFonts w:hint="eastAsia" w:ascii="宋体" w:hAnsi="宋体" w:eastAsia="宋体" w:cs="宋体"/>
          <w:color w:val="000000"/>
          <w:sz w:val="24"/>
        </w:rPr>
        <w:t>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463C5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升级级别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B8529C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触发条件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A1A9C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动作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61A9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一级提醒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D3D36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达到 SLA 时限的 80%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62EB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站内信提醒厂家处理人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E19A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二级催办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4618B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超过 SLA 时限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0771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站内信 + 短信，同时通知厂家管理员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9CD0D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三级升级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1127D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超过 SLA 时限 200%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CA0E0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平台运营介入，工单标记争议，厂家 SLA 计入考核</w:t>
            </w:r>
          </w:p>
        </w:tc>
      </w:tr>
    </w:tbl>
    <w:p w14:paraId="3ED4598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5fb4" w:sz="24"/>
              <w:bottom w:val="none" w:sz="8"/>
              <w:right w:val="none" w:sz="8"/>
            </w:tcBorders>
            <w:shd w:val="clear" w:fill="f2f6fb"/>
            <w:vAlign w:val="center"/>
          </w:tcPr>
          <w:p w14:paraId="4F04C7A7">
            <w:pPr>
              <w:rPr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1a5fb4"/>
                <w:sz w:val="22"/>
              </w:rPr>
              <w:t>待验收超时的特殊处理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：客户侧超时不应计入厂家违约。系统在待验收时限到达时仅提醒客户，若客户持续不确认，超过 7 天后工单自动转为「已完成」并归档，同时记录「客户未确认」标记，不计入厂家履约考核。</w:t>
            </w:r>
          </w:p>
        </w:tc>
      </w:tr>
    </w:tbl>
    <w:p w14:paraId="6B03C30D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统计口径</w:t>
      </w:r>
      <w:r>
        <w:rPr>
          <w:rFonts w:hint="eastAsia" w:ascii="宋体" w:hAnsi="宋体" w:eastAsia="宋体" w:cs="宋体"/>
          <w:color w:val="000000"/>
          <w:sz w:val="24"/>
        </w:rPr>
        <w:t>：平台按季度统计各厂家的按时接单率、按时处理率、验收通过率、平均响应时长，形成厂家服务能力画像。</w:t>
      </w:r>
    </w:p>
    <w:p w14:paraId="447ABB07">
      <w:pPr>
        <w:pStyle w:val="000001"/>
        <w:keepNext w:val="1"/>
        <w:keepLines w:val="1"/>
        <w:pBdr>
          <w:bottom w:val="single" w:color="1a5fb4" w:sz="12" w:space="4"/>
        </w:pBdr>
        <w:spacing w:before="432" w:beforeAutospacing="1" w:after="180" w:afterAutospacing="1" w:line="408"/>
        <w:outlineLvl w:val="0"/>
        <w:rPr>
          <w:color w:val="1a5fb4"/>
          <w:kern w:val="44"/>
          <w:sz w:val="44"/>
          <w:szCs w:val="44"/>
        </w:rPr>
      </w:pPr>
      <w:bookmarkStart w:id="34" w:name="section-7"/>
      <w:r>
        <w:rPr>
          <w:rFonts w:hint="eastAsia" w:ascii="黑体" w:hAnsi="黑体" w:eastAsia="黑体" w:cs="黑体"/>
          <w:b w:val="1"/>
          <w:color w:val="1a5fb4"/>
          <w:sz w:val="36"/>
        </w:rPr>
        <w:t>第七章　各角色操作流程</w:t>
      </w:r>
      <w:bookmarkEnd w:id="34"/>
    </w:p>
    <w:p w14:paraId="3011086A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35" w:name="section-7-1"/>
      <w:r>
        <w:rPr>
          <w:rFonts w:hint="eastAsia" w:ascii="黑体" w:hAnsi="黑体" w:eastAsia="黑体" w:cs="黑体"/>
          <w:b w:val="1"/>
          <w:color w:val="000000"/>
          <w:sz w:val="30"/>
        </w:rPr>
        <w:t>7.1　厂家入驻流程</w:t>
      </w:r>
      <w:bookmarkEnd w:id="3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7f9fc"/>
            <w:vAlign w:val="center"/>
          </w:tcPr>
          <w:p w14:paraId="137103B6">
            <w:pPr>
              <w:rPr>
                <w:color w:val="1c2b3a"/>
              </w:rPr>
            </w:pPr>
            <w:r>
              <w:rPr>
                <w:rFonts w:hint="eastAsia" w:ascii="Consolas" w:hAnsi="Consolas" w:eastAsia="Consolas" w:cs="Consolas"/>
                <w:color w:val="1c2b3a"/>
                <w:sz w:val="20"/>
              </w:rPr>
              <w:t>厂家注册 → 创建入驻申请 → 填写主体资质与产品能力 → 提交    → 平台初审（资质核验）    → 平台复审（技术对接 + 商务确认）    → 试运营（30-90 天，接入设备验证能力）    → 正式入驻 → 开厂家伙账号与设备台账功能</w:t>
            </w:r>
          </w:p>
        </w:tc>
      </w:tr>
    </w:tbl>
    <w:p w14:paraId="10BB9530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36" w:name="section-7-2"/>
      <w:r>
        <w:rPr>
          <w:rFonts w:hint="eastAsia" w:ascii="黑体" w:hAnsi="黑体" w:eastAsia="黑体" w:cs="黑体"/>
          <w:b w:val="1"/>
          <w:color w:val="000000"/>
          <w:sz w:val="30"/>
        </w:rPr>
        <w:t>7.2　设备接入与绑定流程</w:t>
      </w:r>
      <w:bookmarkEnd w:id="36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7f9fc"/>
            <w:vAlign w:val="center"/>
          </w:tcPr>
          <w:p w14:paraId="2E749A79">
            <w:pPr>
              <w:rPr>
                <w:color w:val="1c2b3a"/>
              </w:rPr>
            </w:pPr>
            <w:r>
              <w:rPr>
                <w:rFonts w:hint="eastAsia" w:ascii="Consolas" w:hAnsi="Consolas" w:eastAsia="Consolas" w:cs="Consolas"/>
                <w:color w:val="1c2b3a"/>
                <w:sz w:val="20"/>
              </w:rPr>
              <w:t>厂家导入设备台账 → 平台校验通过    → 申报装配绑定（部件 → 设备）    → 申报产权绑定（设备 → 客户）    → 客户确认（超时自动确认）    → 绑定生效，设备进入客户资产视图    → 设备数据上报，进入监控与告警</w:t>
            </w:r>
          </w:p>
        </w:tc>
      </w:tr>
    </w:tbl>
    <w:p w14:paraId="4E786942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37" w:name="section-7-3"/>
      <w:r>
        <w:rPr>
          <w:rFonts w:hint="eastAsia" w:ascii="黑体" w:hAnsi="黑体" w:eastAsia="黑体" w:cs="黑体"/>
          <w:b w:val="1"/>
          <w:color w:val="000000"/>
          <w:sz w:val="30"/>
        </w:rPr>
        <w:t>7.3　告警到工单的转化流程</w:t>
      </w:r>
      <w:bookmarkEnd w:id="37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7f9fc"/>
            <w:vAlign w:val="center"/>
          </w:tcPr>
          <w:p w14:paraId="63A13129">
            <w:pPr>
              <w:rPr>
                <w:color w:val="1c2b3a"/>
              </w:rPr>
            </w:pPr>
            <w:r>
              <w:rPr>
                <w:rFonts w:hint="eastAsia" w:ascii="Consolas" w:hAnsi="Consolas" w:eastAsia="Consolas" w:cs="Consolas"/>
                <w:color w:val="1c2b3a"/>
                <w:sz w:val="20"/>
              </w:rPr>
              <w:t>设备数据异常 → 规则引擎判定触发 → 生成告警记录    → 推送厂家与客户    → 厂家确认告警，判断是否需要现场处理    → 需要 → 厂家主动发起工单    → 或客户查看告警后主动发起工单（自动关联告警）    → 工单流转 → 告警状态随工单进度更新为「处理中」</w:t>
            </w:r>
          </w:p>
        </w:tc>
      </w:tr>
    </w:tbl>
    <w:p w14:paraId="2596D4D0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38" w:name="section-7-4"/>
      <w:r>
        <w:rPr>
          <w:rFonts w:hint="eastAsia" w:ascii="黑体" w:hAnsi="黑体" w:eastAsia="黑体" w:cs="黑体"/>
          <w:b w:val="1"/>
          <w:color w:val="000000"/>
          <w:sz w:val="30"/>
        </w:rPr>
        <w:t>7.4　工单全生命周期</w:t>
      </w:r>
      <w:bookmarkEnd w:id="3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7f9fc"/>
            <w:vAlign w:val="center"/>
          </w:tcPr>
          <w:p w14:paraId="1E6ED851">
            <w:pPr>
              <w:rPr>
                <w:color w:val="1c2b3a"/>
              </w:rPr>
            </w:pPr>
            <w:r>
              <w:rPr>
                <w:rFonts w:hint="eastAsia" w:ascii="Consolas" w:hAnsi="Consolas" w:eastAsia="Consolas" w:cs="Consolas"/>
                <w:color w:val="1c2b3a"/>
                <w:sz w:val="20"/>
              </w:rPr>
              <w:t>客户发起 → [待接单] → 厂家接单 → [处理中] → 厂家反馈 → [待验收]    → 客户验收通过 → [已完成] → 自动归档 → [已关闭]    → 或客户验收驳回 → 回退至 [处理中]</w:t>
            </w:r>
          </w:p>
        </w:tc>
      </w:tr>
    </w:tbl>
    <w:p w14:paraId="3E5A4976">
      <w:pPr>
        <w:pStyle w:val="000001"/>
        <w:keepNext w:val="1"/>
        <w:keepLines w:val="1"/>
        <w:pBdr>
          <w:bottom w:val="single" w:color="1a5fb4" w:sz="12" w:space="4"/>
        </w:pBdr>
        <w:spacing w:before="432" w:beforeAutospacing="1" w:after="180" w:afterAutospacing="1" w:line="408"/>
        <w:outlineLvl w:val="0"/>
        <w:rPr>
          <w:color w:val="1a5fb4"/>
          <w:kern w:val="44"/>
          <w:sz w:val="44"/>
          <w:szCs w:val="44"/>
        </w:rPr>
      </w:pPr>
      <w:bookmarkStart w:id="39" w:name="section-8"/>
      <w:r>
        <w:rPr>
          <w:rFonts w:hint="eastAsia" w:ascii="黑体" w:hAnsi="黑体" w:eastAsia="黑体" w:cs="黑体"/>
          <w:b w:val="1"/>
          <w:color w:val="1a5fb4"/>
          <w:sz w:val="36"/>
        </w:rPr>
        <w:t>第八章　相比原有逻辑的改动点</w:t>
      </w:r>
      <w:bookmarkEnd w:id="39"/>
    </w:p>
    <w:p w14:paraId="48637E8B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40" w:name="section-8-1"/>
      <w:r>
        <w:rPr>
          <w:rFonts w:hint="eastAsia" w:ascii="黑体" w:hAnsi="黑体" w:eastAsia="黑体" w:cs="黑体"/>
          <w:b w:val="1"/>
          <w:color w:val="000000"/>
          <w:sz w:val="30"/>
        </w:rPr>
        <w:t>8.1　改动点总览</w:t>
      </w:r>
      <w:bookmarkEnd w:id="40"/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4BD88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序号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73961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改动点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1AD7F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原有问题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E81FA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调整后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B1EEA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影响范围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D5ACD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76D8B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平台定位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D7FDC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展示工具，无商业闭环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F128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双边交易与履约基础设施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CD6AE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全局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A804A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F17B9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租户模型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132B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无租户概念，数据全局可见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12DC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引入租户作为隔离基本单位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D819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全部业务模块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85BDE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D4AD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设备台账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EFC0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仅聚合计数，无个体档案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A13F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 SN 级个体台账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D80F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数据模型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858F1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7C86F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物联网部件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E3180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未作为独立对象建模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4CA0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部件作为独立台账，附着于设备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3DCAE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数据模型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11333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CED8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绑定关系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671B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D4A3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装配绑定 + 产权绑定双类型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213D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权限、工单、数据汇聚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45DD3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04801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角色体系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8C80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无角色区分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9ADF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三方共 10 类角色 + 数据范围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E10FE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权限模块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CDEE2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7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1C9F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权限隔离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36D4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无隔离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F0DB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四类角色的可见范围规则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AEF1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全部查询接口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B14C6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4DAAB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9A509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只读展示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A30B1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可确认、可处置、可统计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E81A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告警模块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8C787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9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A31A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D86CE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完全缺失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7F41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五状态闭环 + 备件记录 + SLA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CF9E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新增模块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D750F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B6D7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审核流程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3E6F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无入驻管理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05970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七状态入驻审核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F4F6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新增模块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A30C8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6BE0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组织模型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8590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地产式「集团-省域-网格-宗地」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A703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租户式「厂家租户 / 客户租户」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57E3D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组织架构</w:t>
            </w:r>
          </w:p>
        </w:tc>
      </w:tr>
      <w:tr>
        <w:trPr/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BF93A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0CF2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通知机制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B83B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84940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站内信 + 短信 + 邮件多通道</w:t>
            </w:r>
          </w:p>
        </w:tc>
        <w:tc>
          <w:tcPr>
            <w:tcW w:w="1661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F379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新增模块</w:t>
            </w:r>
          </w:p>
        </w:tc>
      </w:tr>
    </w:tbl>
    <w:p w14:paraId="1BCCC6E5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41" w:name="section-8-2"/>
      <w:r>
        <w:rPr>
          <w:rFonts w:hint="eastAsia" w:ascii="黑体" w:hAnsi="黑体" w:eastAsia="黑体" w:cs="黑体"/>
          <w:b w:val="1"/>
          <w:color w:val="000000"/>
          <w:sz w:val="30"/>
        </w:rPr>
        <w:t>8.2　关键改动说明</w:t>
      </w:r>
      <w:bookmarkEnd w:id="41"/>
    </w:p>
    <w:p w14:paraId="5FEA6E1B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改动点 5（绑定关系）是最重要的结构性改动</w:t>
      </w:r>
      <w:r>
        <w:rPr>
          <w:rFonts w:hint="eastAsia" w:ascii="宋体" w:hAnsi="宋体" w:eastAsia="宋体" w:cs="宋体"/>
          <w:color w:val="000000"/>
          <w:sz w:val="24"/>
        </w:rPr>
        <w:t>。原设计中厂家只是「设备来源」标签，没有「谁把设备卖给了谁」的概念。双边平台必须回答厂家的核心诉求——「我的设备在谁手上、跑得怎么样」，这只能通过绑定关系回答。同时，绑定关系也是权限隔离的依据：厂家对某客户可见，当且仅当该客户持有该厂家的某台设备。</w:t>
      </w:r>
    </w:p>
    <w:p w14:paraId="666A16AE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改动点 11（组织模型）需要特别注意</w:t>
      </w:r>
      <w:r>
        <w:rPr>
          <w:rFonts w:hint="eastAsia" w:ascii="宋体" w:hAnsi="宋体" w:eastAsia="宋体" w:cs="宋体"/>
          <w:color w:val="000000"/>
          <w:sz w:val="24"/>
        </w:rPr>
        <w:t>。原系统使用的「集团-省域公司-网格-宗地」是地产行业模型，在双边平台中不再适用。取而代之的是租户模型，层级从「空间归属」变为「法人归属」。原有组织树相关逻辑需要废弃重建，不能简单映射。</w:t>
      </w:r>
    </w:p>
    <w:p w14:paraId="43129BF4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改动点 2（租户）是最基础的前置改动</w:t>
      </w:r>
      <w:r>
        <w:rPr>
          <w:rFonts w:hint="eastAsia" w:ascii="宋体" w:hAnsi="宋体" w:eastAsia="宋体" w:cs="宋体"/>
          <w:color w:val="000000"/>
          <w:sz w:val="24"/>
        </w:rPr>
        <w:t>。所有数据表都需要增加租户标识，所有查询都需要注入数据范围条件，这是影响面最广的一项。建议在数据模型设计阶段一次性到位，避免后续反复改造。</w:t>
      </w:r>
    </w:p>
    <w:p w14:paraId="547DB33F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42" w:name="section-8-3"/>
      <w:r>
        <w:rPr>
          <w:rFonts w:hint="eastAsia" w:ascii="黑体" w:hAnsi="黑体" w:eastAsia="黑体" w:cs="黑体"/>
          <w:b w:val="1"/>
          <w:color w:val="000000"/>
          <w:sz w:val="30"/>
        </w:rPr>
        <w:t>8.3　保留的原有能力</w:t>
      </w:r>
      <w:bookmarkEnd w:id="42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CD2AD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原有能力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1E1D7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保留理由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07B5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设备接入网关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B605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厂家数据仍需统一接入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8DCC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实时监控大屏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2364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改造为按角色数据范围渲染，客户与厂家各看自己的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D55C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告警规则引擎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6855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阈值规则能力可复用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BF25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中国地图与下钻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28F3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区域分布视图可复用，需按租户过滤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1604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时序数据存储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A8F2F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监控曲线依赖，可复用</w:t>
            </w:r>
          </w:p>
        </w:tc>
      </w:tr>
    </w:tbl>
    <w:p w14:paraId="605BB127">
      <w:pPr>
        <w:pStyle w:val="000001"/>
        <w:keepNext w:val="1"/>
        <w:keepLines w:val="1"/>
        <w:pBdr>
          <w:bottom w:val="single" w:color="1a5fb4" w:sz="12" w:space="4"/>
        </w:pBdr>
        <w:spacing w:before="432" w:beforeAutospacing="1" w:after="180" w:afterAutospacing="1" w:line="408"/>
        <w:outlineLvl w:val="0"/>
        <w:rPr>
          <w:color w:val="1a5fb4"/>
          <w:kern w:val="44"/>
          <w:sz w:val="44"/>
          <w:szCs w:val="44"/>
        </w:rPr>
      </w:pPr>
      <w:bookmarkStart w:id="43" w:name="section-9"/>
      <w:r>
        <w:rPr>
          <w:rFonts w:hint="eastAsia" w:ascii="黑体" w:hAnsi="黑体" w:eastAsia="黑体" w:cs="黑体"/>
          <w:b w:val="1"/>
          <w:color w:val="1a5fb4"/>
          <w:sz w:val="36"/>
        </w:rPr>
        <w:t>第九章　模块依赖关系</w:t>
      </w:r>
      <w:bookmarkEnd w:id="43"/>
    </w:p>
    <w:p w14:paraId="10AA1953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44" w:name="section-9-1"/>
      <w:r>
        <w:rPr>
          <w:rFonts w:hint="eastAsia" w:ascii="黑体" w:hAnsi="黑体" w:eastAsia="黑体" w:cs="黑体"/>
          <w:b w:val="1"/>
          <w:color w:val="000000"/>
          <w:sz w:val="30"/>
        </w:rPr>
        <w:t>9.1　依赖矩阵</w:t>
      </w:r>
      <w:bookmarkEnd w:id="44"/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B17D5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模块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8DC6C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强依赖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96083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被依赖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9C47B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依赖缺失的后果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6FB6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租户与权限服务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B77F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04C10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全部业务模块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29AC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全部模块无法开发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1AF5B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产品型号档案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63516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租户权限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BBDA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设备台账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60D2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无法创建设备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7D3B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设备台账服务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8B8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租户权限、型号档案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2FD4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绑定关系、监控、告警、工单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A0CD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无设备主体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4D14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绑定关系服务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D8AF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租户权限、设备台账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8C5E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权限判定、工单责任归属、资产视图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719EB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无法确定谁卖给了谁，权限失效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61463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告警规则引擎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28A12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设备台账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2E1A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告警中心、工单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963B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无告警产生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1E6B8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告警中心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B18A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告警引擎、绑定关系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D50C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6BA2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无法从告警发起工单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D87D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工单引擎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A864D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租户权限、绑定关系、告警中心、通知服务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60C7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厂家履约统计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FFDF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无履约载体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6746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通知服务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0C2F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A9EE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告警、工单、入驻审核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FAD1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超时提醒无法落地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4B75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统计报表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83E9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上述全部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7B9A5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E8FA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无决策依据</w:t>
            </w:r>
          </w:p>
        </w:tc>
      </w:tr>
    </w:tbl>
    <w:p w14:paraId="4891B3D3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45" w:name="section-9-2"/>
      <w:r>
        <w:rPr>
          <w:rFonts w:hint="eastAsia" w:ascii="黑体" w:hAnsi="黑体" w:eastAsia="黑体" w:cs="黑体"/>
          <w:b w:val="1"/>
          <w:color w:val="000000"/>
          <w:sz w:val="30"/>
        </w:rPr>
        <w:t>9.2　关键依赖链</w:t>
      </w:r>
      <w:bookmarkEnd w:id="45"/>
    </w:p>
    <w:p w14:paraId="7037B52E">
      <w:pPr>
        <w:spacing w:after="180" w:line="408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平台存在三条不可逆的依赖链，必须按序建设：</w:t>
      </w:r>
    </w:p>
    <w:p w14:paraId="6221B6D0">
      <w:pPr>
        <w:numPr>
          <w:ilvl w:val="0"/>
          <w:numId w:val="7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租户权限 → 绑定关系 → 全部业务模块</w:t>
      </w:r>
      <w:r>
        <w:rPr>
          <w:rFonts w:hint="eastAsia" w:ascii="宋体" w:hAnsi="宋体" w:eastAsia="宋体" w:cs="宋体"/>
          <w:color w:val="000000"/>
          <w:sz w:val="24"/>
        </w:rPr>
        <w:t>：绑定关系是权限判定的事实来源，没有绑定关系就无法实现数据隔离，也无法确定工单责任方。</w:t>
      </w:r>
    </w:p>
    <w:p w14:paraId="6C842456">
      <w:pPr>
        <w:numPr>
          <w:ilvl w:val="0"/>
          <w:numId w:val="7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设备台账 → 绑定关系 → 告警中心 → 工单引擎</w:t>
      </w:r>
      <w:r>
        <w:rPr>
          <w:rFonts w:hint="eastAsia" w:ascii="宋体" w:hAnsi="宋体" w:eastAsia="宋体" w:cs="宋体"/>
          <w:color w:val="000000"/>
          <w:sz w:val="24"/>
        </w:rPr>
        <w:t>：没有设备就没有告警，没有告警就没有工单触发源，工单闭环无法起点。</w:t>
      </w:r>
    </w:p>
    <w:p w14:paraId="67966F39">
      <w:pPr>
        <w:numPr>
          <w:ilvl w:val="0"/>
          <w:numId w:val="7"/>
        </w:numPr>
        <w:spacing w:after="84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工单引擎 → 通知服务 → 超时提醒</w:t>
      </w:r>
      <w:r>
        <w:rPr>
          <w:rFonts w:hint="eastAsia" w:ascii="宋体" w:hAnsi="宋体" w:eastAsia="宋体" w:cs="宋体"/>
          <w:color w:val="000000"/>
          <w:sz w:val="24"/>
        </w:rPr>
        <w:t>：超时提醒依赖定时任务与通知通道，两者缺一则 SLA 形同虚设。</w:t>
      </w:r>
    </w:p>
    <w:p w14:paraId="5A3D1788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46" w:name="section-9-3"/>
      <w:r>
        <w:rPr>
          <w:rFonts w:hint="eastAsia" w:ascii="黑体" w:hAnsi="黑体" w:eastAsia="黑体" w:cs="黑体"/>
          <w:b w:val="1"/>
          <w:color w:val="000000"/>
          <w:sz w:val="30"/>
        </w:rPr>
        <w:t>9.3　建议建设顺序</w:t>
      </w:r>
      <w:bookmarkEnd w:id="46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D9849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阶段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7260F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建设内容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3AC66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交付标志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4B3E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第一阶段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983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租户与权限服务、厂家入驻审核、产品型号档案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7F4B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厂家可入驻并登录，租户数据隔离生效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C74A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第二阶段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1C71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设备台账、绑定关系服务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3A8F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厂家可导入设备并申报绑定，客户可见本方设备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7257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第三阶段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55F8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告警规则引擎、告警中心、监控数据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7729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设备监控与告警可查可处置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FFF9B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第四阶段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041A1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工单引擎、通知服务、SLA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B2D2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工单全链路闭环，超时提醒生效</w:t>
            </w:r>
          </w:p>
        </w:tc>
      </w:tr>
      <w:tr>
        <w:trPr/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1273E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第五阶段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A0EA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统计报表、平台总览、履约考核</w:t>
            </w:r>
          </w:p>
        </w:tc>
        <w:tc>
          <w:tcPr>
            <w:tcW w:w="2768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29BD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厂家服务能力画像可量化</w:t>
            </w:r>
          </w:p>
        </w:tc>
      </w:tr>
    </w:tbl>
    <w:p w14:paraId="21AFBCB7">
      <w:pPr>
        <w:pStyle w:val="000003"/>
        <w:keepNext w:val="1"/>
        <w:keepLines w:val="1"/>
        <w:spacing w:before="240" w:beforeAutospacing="1" w:after="180" w:afterAutospacing="1" w:line="408"/>
        <w:outlineLvl w:val="1"/>
        <w:rPr>
          <w:color w:val="000000"/>
          <w:sz w:val="32"/>
          <w:szCs w:val="32"/>
        </w:rPr>
      </w:pPr>
      <w:bookmarkStart w:id="47" w:name="section-9-4"/>
      <w:r>
        <w:rPr>
          <w:rFonts w:hint="eastAsia" w:ascii="黑体" w:hAnsi="黑体" w:eastAsia="黑体" w:cs="黑体"/>
          <w:b w:val="1"/>
          <w:color w:val="000000"/>
          <w:sz w:val="30"/>
        </w:rPr>
        <w:t>9.4　跨模块一致性约束</w:t>
      </w:r>
      <w:bookmarkEnd w:id="47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8FDEF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约束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CF608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C558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责任厂家唯一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6AF9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一台设备在任一时刻只有一个责任厂家，由产权绑定唯一确定，工单不允许手工指定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8C00B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状态定义唯一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2E4C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工单与告警状态定义集中在状态机配置中，各模块引用同一份定义，不允许各自硬编码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0404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指标口径唯一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5D57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在线率、响应时长等指标的计算口径注册在平台侧，各端展示同口径数据</w:t>
            </w:r>
          </w:p>
        </w:tc>
      </w:tr>
      <w:tr>
        <w:trPr/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1C07A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留痕不可变</w:t>
            </w:r>
          </w:p>
        </w:tc>
        <w:tc>
          <w:tcPr>
            <w:tcW w:w="4153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99D4A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绑定关系变更、工单流转、审核结论均为 append-only，不提供物理删除</w:t>
            </w:r>
          </w:p>
        </w:tc>
      </w:tr>
    </w:tbl>
    <w:p w14:paraId="49E08B70">
      <w:pPr>
        <w:pStyle w:val="000001"/>
        <w:keepNext w:val="1"/>
        <w:keepLines w:val="1"/>
        <w:pBdr>
          <w:bottom w:val="single" w:color="1a5fb4" w:sz="12" w:space="4"/>
        </w:pBdr>
        <w:spacing w:before="432" w:beforeAutospacing="1" w:after="180" w:afterAutospacing="1" w:line="408"/>
        <w:outlineLvl w:val="0"/>
        <w:rPr>
          <w:color w:val="1a5fb4"/>
          <w:kern w:val="44"/>
          <w:sz w:val="44"/>
          <w:szCs w:val="44"/>
        </w:rPr>
      </w:pPr>
      <w:bookmarkStart w:id="48" w:name="section-10"/>
      <w:r>
        <w:rPr>
          <w:rFonts w:hint="eastAsia" w:ascii="黑体" w:hAnsi="黑体" w:eastAsia="黑体" w:cs="黑体"/>
          <w:b w:val="1"/>
          <w:color w:val="1a5fb4"/>
          <w:sz w:val="36"/>
        </w:rPr>
        <w:t>第十章　待确认事项</w:t>
      </w:r>
      <w:bookmarkEnd w:id="48"/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DB2B4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序号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8C33C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待确认项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E09A4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影响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shd w:val="clear" w:fill="f2f6fb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CAF84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建议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2A5AB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0471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厨具厂家是否对客户的物联网部件数据有查看权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A086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影响权限规则复杂度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B54E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建议仅可见整机状态摘要，不可见部件原始指标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28EC7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F236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试运营期时长与转正标准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2AA5D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影响入驻流程周期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F73A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建议 60 天，接入设备数与在线率双达标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D7580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5EC4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SLA 时限是否允许厂家自定义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450C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影响考核公平性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CBF5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建议设平台基准线，厂家只能上浮不能下浮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EA654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198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备件成本是否对客户可见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299FA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影响商业模式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D7D7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建议不展示，由厂家与经销商线下结算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04653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69D1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设备转让时的数据与工单归属处理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6AE8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涉及跨租户流转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B59F4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需明确绑定解除后历史数据归属，建议归属设备原客户并对新客户脱敏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8462E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84250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是否引入第三方维保商角色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E0BE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影响角色体系复杂度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B22F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建议 V1 不引入，通过厂家服务范围覆盖间接解决</w:t>
            </w:r>
          </w:p>
        </w:tc>
      </w:tr>
      <w:tr>
        <w:trPr/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534F5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7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C50D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客户自定义阈值告警的责任归属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9221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影响责任判定</w:t>
            </w:r>
          </w:p>
        </w:tc>
        <w:tc>
          <w:tcPr>
            <w:tcW w:w="2076" w:type="dxa"/>
            <w:tcBorders>
              <w:top w:val="single" w:color="c8d0dc" w:sz="6"/>
              <w:left w:val="single" w:color="c8d0dc" w:sz="6"/>
              <w:bottom w:val="single" w:color="c8d0dc" w:sz="6"/>
              <w:right w:val="single" w:color="c8d0d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DFE8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建议客户自定义告警不计入厂家 SLA 考核</w:t>
            </w:r>
          </w:p>
        </w:tc>
      </w:tr>
    </w:tbl>
    <w:p w14:paraId="063F0A74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4F66377">
      <w:pPr/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2BB9C26C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num w:numId="5">
    <w:abstractNumId w:val="3"/>
  </w:num>
  <w:num w:numId="4">
    <w:abstractNumId w:val="6"/>
  </w:num>
  <w:num w:numId="2">
    <w:abstractNumId w:val="4"/>
  </w:num>
  <w:num w:numId="1">
    <w:abstractNumId w:val="5"/>
  </w:num>
  <w:num w:numId="3">
    <w:abstractNumId w:val="0"/>
  </w:num>
  <w:num w:numId="7">
    <w:abstractNumId w:val="1"/>
  </w:num>
  <w:num w:numId="6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3" w:semiHidden="1" w:unhideWhenUsed="1"/>
    <w:lsdException w:name="heading 2" w:uiPriority="9" w:semiHidden="1" w:unhideWhenUsed="1" w:qFormat="1"/>
    <w:lsdException w:name="toc 9" w:uiPriority="39" w:semiHidden="1" w:unhideWhenUsed="1"/>
    <w:lsdException w:name="Normal Indent" w:semiHidden="1" w:unhideWhenUsed="1"/>
    <w:lsdException w:name="page number" w:semiHidden="1" w:unhideWhenUsed="1"/>
    <w:lsdException w:name="List" w:semiHidden="1" w:unhideWhenUsed="1"/>
    <w:lsdException w:name="table of authorities" w:semiHidden="1" w:unhideWhenUsed="1"/>
    <w:lsdException w:name="List Number 2" w:semiHidden="1" w:unhideWhenUsed="1"/>
    <w:lsdException w:name="List 4" w:semiHidden="1" w:unhideWhenUsed="1"/>
    <w:lsdException w:name="List Continue 4" w:semiHidden="1" w:unhideWhenUsed="1"/>
    <w:lsdException w:name="Subtitle" w:uiPriority="11" w:qFormat="1"/>
    <w:lsdException w:name="endnote reference" w:semiHidden="1" w:unhideWhenUsed="1"/>
    <w:lsdException w:name="heading 3" w:uiPriority="9" w:semiHidden="1" w:unhideWhenUsed="1" w:qFormat="1"/>
    <w:lsdException w:name="toa heading" w:semiHidden="1" w:unhideWhenUsed="1"/>
    <w:lsdException w:name="Body Text Indent 2" w:semiHidden="1" w:unhideWhenUsed="1"/>
    <w:lsdException w:name="caption" w:uiPriority="35" w:semiHidden="1" w:unhideWhenUsed="1" w:qFormat="1"/>
    <w:lsdException w:name="index 4" w:semiHidden="1" w:unhideWhenUsed="1"/>
    <w:lsdException w:name="index 5" w:semiHidden="1" w:unhideWhenUsed="1"/>
    <w:lsdException w:name="Body Text First Indent" w:semiHidden="1" w:unhideWhenUsed="1"/>
    <w:lsdException w:name="index heading" w:semiHidden="1" w:unhideWhenUsed="1"/>
    <w:lsdException w:name="Hyperlink" w:semiHidden="1" w:unhideWhenUsed="1"/>
    <w:lsdException w:name="List 2" w:semiHidden="1" w:unhideWhenUsed="1"/>
    <w:lsdException w:name="heading 7" w:uiPriority="9" w:semiHidden="1" w:unhideWhenUsed="1" w:qFormat="1"/>
    <w:lsdException w:name="Date" w:semiHidden="1" w:unhideWhenUsed="1"/>
    <w:lsdException w:name="heading 6" w:uiPriority="9" w:semiHidden="1" w:unhideWhenUsed="1" w:qFormat="1"/>
    <w:lsdException w:name="Body Text 3" w:semiHidden="1" w:unhideWhenUsed="1"/>
    <w:lsdException w:name="List Bullet 3" w:semiHidden="1" w:unhideWhenUsed="1"/>
    <w:lsdException w:name="envelope return" w:semiHidden="1" w:unhideWhenUsed="1"/>
    <w:lsdException w:name="toc 6" w:uiPriority="39" w:semiHidden="1" w:unhideWhenUsed="1"/>
    <w:lsdException w:name="Body Text First Indent 2" w:semiHidden="1" w:unhideWhenUsed="1"/>
    <w:lsdException w:name="table of figures" w:semiHidden="1" w:unhideWhenUsed="1"/>
    <w:lsdException w:name="List Number 3" w:semiHidden="1" w:unhideWhenUsed="1"/>
    <w:lsdException w:name="FollowedHyperlink" w:semiHidden="1" w:unhideWhenUsed="1"/>
    <w:lsdException w:name="Strong" w:uiPriority="22" w:qFormat="1"/>
    <w:lsdException w:name="List 5" w:semiHidden="1" w:unhideWhenUsed="1"/>
    <w:lsdException w:name="macro" w:semiHidden="1" w:unhideWhenUsed="1"/>
    <w:lsdException w:name="index 1" w:semiHidden="1" w:unhideWhenUsed="1"/>
    <w:lsdException w:name="envelope address" w:semiHidden="1" w:unhideWhenUsed="1"/>
    <w:lsdException w:name="footnote text" w:semiHidden="1" w:unhideWhenUsed="1"/>
    <w:lsdException w:name="Message Header" w:semiHidden="1" w:unhideWhenUsed="1"/>
    <w:lsdException w:name="index 7" w:semiHidden="1" w:unhideWhenUsed="1"/>
    <w:lsdException w:name="List Bullet 2" w:semiHidden="1" w:unhideWhenUsed="1"/>
    <w:lsdException w:name="header" w:semiHidden="1" w:unhideWhenUsed="1"/>
    <w:lsdException w:name="toc 5" w:uiPriority="39" w:semiHidden="1" w:unhideWhenUsed="1"/>
    <w:lsdException w:name="heading 1" w:uiPriority="9" w:qFormat="1"/>
    <w:lsdException w:name="index 2" w:semiHidden="1" w:unhideWhenUsed="1"/>
    <w:lsdException w:name="Body Text Indent 3" w:semiHidden="1" w:unhideWhenUsed="1"/>
    <w:lsdException w:name="Body Text Indent" w:semiHidden="1" w:unhideWhenUsed="1"/>
    <w:lsdException w:name="footer" w:semiHidden="1" w:unhideWhenUsed="1"/>
    <w:lsdException w:name="List Continue" w:semiHidden="1" w:unhideWhenUsed="1"/>
    <w:lsdException w:name="index 9" w:semiHidden="1" w:unhideWhenUsed="1"/>
    <w:lsdException w:name="annotation text" w:semiHidden="1" w:unhideWhenUsed="1"/>
    <w:lsdException w:name="List Continue 3" w:semiHidden="1" w:unhideWhenUsed="1"/>
    <w:lsdException w:name="heading 9" w:uiPriority="9" w:semiHidden="1" w:unhideWhenUsed="1" w:qFormat="1"/>
    <w:lsdException w:name="heading 5" w:uiPriority="9" w:semiHidden="1" w:unhideWhenUsed="1" w:qFormat="1"/>
    <w:lsdException w:name="Body Text" w:semiHidden="1" w:unhideWhenUsed="1"/>
    <w:lsdException w:name="heading 8" w:uiPriority="9" w:semiHidden="1" w:unhideWhenUsed="1" w:qFormat="1"/>
    <w:lsdException w:name="List Number 5" w:semiHidden="1" w:unhideWhenUsed="1"/>
    <w:lsdException w:name="Body Text 2" w:semiHidden="1" w:unhideWhenUsed="1"/>
    <w:lsdException w:name="List Continue 5" w:semiHidden="1" w:unhideWhenUsed="1"/>
    <w:lsdException w:name="Closing" w:semiHidden="1" w:unhideWhenUsed="1"/>
    <w:lsdException w:name="Salutation" w:semiHidden="1" w:unhideWhenUsed="1"/>
    <w:lsdException w:name="List Number 4" w:semiHidden="1" w:unhideWhenUsed="1"/>
    <w:lsdException w:name="toc 2" w:uiPriority="39" w:semiHidden="1" w:unhideWhenUsed="1"/>
    <w:lsdException w:name="footnote reference" w:semiHidden="1" w:unhideWhenUsed="1"/>
    <w:lsdException w:name="List Bullet 4" w:semiHidden="1" w:unhideWhenUsed="1"/>
    <w:lsdException w:name="line number" w:semiHidden="1" w:unhideWhenUsed="1"/>
    <w:lsdException w:name="Signature" w:semiHidden="1" w:unhideWhenUsed="1"/>
    <w:lsdException w:name="List Bullet 5" w:semiHidden="1" w:unhideWhenUsed="1"/>
    <w:lsdException w:name="toc 1" w:uiPriority="39" w:semiHidden="1" w:unhideWhenUsed="1"/>
    <w:lsdException w:name="heading 4" w:uiPriority="9" w:semiHidden="1" w:unhideWhenUsed="1" w:qFormat="1"/>
    <w:lsdException w:name="Block Text" w:semiHidden="1" w:unhideWhenUsed="1"/>
    <w:lsdException w:name="toc 8" w:uiPriority="39" w:semiHidden="1" w:unhideWhenUsed="1"/>
    <w:lsdException w:name="index 6" w:semiHidden="1" w:unhideWhenUsed="1"/>
    <w:lsdException w:name="toc 3" w:uiPriority="39" w:semiHidden="1" w:unhideWhenUsed="1"/>
    <w:lsdException w:name="Normal" w:uiPriority="0" w:qFormat="1"/>
    <w:lsdException w:name="index 3" w:semiHidden="1" w:unhideWhenUsed="1"/>
    <w:lsdException w:name="List Bullet" w:semiHidden="1" w:unhideWhenUsed="1"/>
    <w:lsdException w:name="toc 4" w:uiPriority="39" w:semiHidden="1" w:unhideWhenUsed="1"/>
    <w:lsdException w:name="Note Heading" w:semiHidden="1" w:unhideWhenUsed="1"/>
    <w:lsdException w:name="index 8" w:semiHidden="1" w:unhideWhenUsed="1"/>
    <w:lsdException w:name="Default Paragraph Font" w:uiPriority="1" w:semiHidden="1" w:unhideWhenUsed="1"/>
    <w:lsdException w:name="Title" w:uiPriority="10" w:qFormat="1"/>
    <w:lsdException w:name="List Continue 2" w:semiHidden="1" w:unhideWhenUsed="1"/>
    <w:lsdException w:name="List Number" w:semiHidden="1" w:unhideWhenUsed="1"/>
    <w:lsdException w:name="annotation reference" w:semiHidden="1" w:unhideWhenUsed="1"/>
    <w:lsdException w:name="endnote text" w:semiHidden="1" w:unhideWhenUsed="1"/>
    <w:lsdException w:name="toc 7" w:uiPriority="39" w:semiHidden="1" w:unhideWhenUsed="1"/>
  </w:latentStyles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2026-10-13T12:42:58Z</dcterms:created>
  <dcterms:modified xsi:type="dcterms:W3CDTF">2026-10-13T12:42:58Z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"01a13388d0bc77389051db1ed8fed387", "ReservedCode1": "", "ContentPropagator": "00119111010856365494821B355", "PropagateID": "01a13388d0bc77389051db1ed8fed387", "ReservedCode2": ""}}</vt:lpwstr>
  </property>
</Properties>
</file>