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/>
      </w:pPr>
      <w:r>
        <w:rPr>
          <w:rFonts w:ascii="Calibri" w:hAnsi="Calibri" w:eastAsia="Calibri"/>
          <w:b/>
          <w:color w:val="0F6F73"/>
          <w:sz w:val="18"/>
        </w:rPr>
        <w:t>TEAM 04 | DIVESAFE MY</w:t>
      </w:r>
    </w:p>
    <w:p>
      <w:pPr>
        <w:pStyle w:val="Title"/>
      </w:pPr>
      <w:r>
        <w:t>DiveSafe MY Work Plan and Handover</w:t>
      </w:r>
    </w:p>
    <w:p>
      <w:pPr>
        <w:spacing w:before="0" w:after="120" w:line="264" w:lineRule="auto"/>
      </w:pPr>
      <w:r>
        <w:rPr>
          <w:rFonts w:ascii="Calibri" w:hAnsi="Calibri" w:eastAsia="Calibri"/>
          <w:b/>
          <w:color w:val="243746"/>
          <w:sz w:val="22"/>
        </w:rPr>
        <w:t>Version 2.0 | 15 August 2026</w:t>
      </w:r>
    </w:p>
    <w:p>
      <w:pPr>
        <w:keepLines/>
        <w:spacing w:before="100" w:after="180" w:line="264" w:lineRule="auto"/>
        <w:ind w:left="230" w:right="115"/>
        <w:shd w:fill="EEF6F5"/>
        <w:pBdr>
          <w:left w:val="single" w:sz="14" w:space="8" w:color="0F6F73"/>
        </w:pBdr>
      </w:pPr>
      <w:r>
        <w:rPr>
          <w:rFonts w:ascii="Calibri" w:hAnsi="Calibri" w:eastAsia="Calibri"/>
          <w:color w:val="243746"/>
          <w:sz w:val="21"/>
        </w:rPr>
        <w:t>Use synthetic or public data only. Results are illustrative and do not prove</w:t>
      </w:r>
    </w:p>
    <w:p>
      <w:pPr>
        <w:keepLines/>
        <w:spacing w:before="100" w:after="180" w:line="264" w:lineRule="auto"/>
        <w:ind w:left="230" w:right="115"/>
        <w:shd w:fill="EEF6F5"/>
        <w:pBdr>
          <w:left w:val="single" w:sz="14" w:space="8" w:color="0F6F73"/>
        </w:pBdr>
      </w:pPr>
      <w:r>
        <w:rPr>
          <w:rFonts w:ascii="Calibri" w:hAnsi="Calibri" w:eastAsia="Calibri"/>
          <w:color w:val="243746"/>
          <w:sz w:val="21"/>
        </w:rPr>
        <w:t>species identity, ecological impact or legal status.</w:t>
      </w:r>
    </w:p>
    <w:p>
      <w:pPr>
        <w:pStyle w:val="Heading1"/>
      </w:pPr>
      <w:r>
        <w:t>Goal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Deliver one simple diver journey that can run on Render:</w:t>
      </w:r>
    </w:p>
    <w:p>
      <w:pPr>
        <w:spacing w:before="40" w:after="120"/>
        <w:ind w:left="259"/>
        <w:shd w:fill="EFF3F7"/>
      </w:pPr>
      <w:r>
        <w:rPr>
          <w:rFonts w:ascii="Consolas" w:hAnsi="Consolas" w:eastAsia="Consolas"/>
          <w:color w:val="183B56"/>
          <w:sz w:val="19"/>
        </w:rPr>
        <w:t>Profile -&gt; Site -&gt; Species guide -&gt; Briefing -&gt; Confirm -&gt; Sighting</w:t>
      </w:r>
    </w:p>
    <w:p>
      <w:pPr>
        <w:pStyle w:val="Heading1"/>
      </w:pPr>
      <w:r>
        <w:t>Iterations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800"/>
        <w:gridCol w:w="4200"/>
        <w:gridCol w:w="3360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Iteration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Focus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Boundary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1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Prepare and Explore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profile, site guide, species directory, briefing and broad map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2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Identify and Contribute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demo recognition, confirmation, sighting, collection and badge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3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Learn and Connect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quizzes, community feed and wider gamification roadmap</w:t>
            </w:r>
          </w:p>
        </w:tc>
      </w:tr>
    </w:tbl>
    <w:p>
      <w:pPr>
        <w:pStyle w:val="Heading1"/>
      </w:pPr>
      <w:r>
        <w:t>Ownership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800"/>
        <w:gridCol w:w="4200"/>
        <w:gridCol w:w="3360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Handover evidence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Scope and release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Huang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decision log, links and final smoke test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Sources and map context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Hnin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source URLs, dates and location limits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Frontend and accessibility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Qian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workflow test and browser check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API and validation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LiHanXia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Flask tests and API examples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Database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Keith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schema, Render variable and read-back check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Recognition boundary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Benshuai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fallback response and provider notes</w:t>
            </w:r>
          </w:p>
        </w:tc>
      </w:tr>
    </w:tbl>
    <w:p>
      <w:pPr>
        <w:pStyle w:val="Heading1"/>
      </w:pPr>
      <w:r>
        <w:t>API handover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onsolas" w:hAnsi="Consolas" w:eastAsia="Consolas"/>
          <w:color w:val="183B56"/>
          <w:sz w:val="20"/>
        </w:rPr>
        <w:t>GET /health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onsolas" w:hAnsi="Consolas" w:eastAsia="Consolas"/>
          <w:color w:val="183B56"/>
          <w:sz w:val="20"/>
        </w:rPr>
        <w:t>GET /api/dive-sites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onsolas" w:hAnsi="Consolas" w:eastAsia="Consolas"/>
          <w:color w:val="183B56"/>
          <w:sz w:val="20"/>
        </w:rPr>
        <w:t>GET /api/species</w:t>
      </w:r>
      <w:r>
        <w:rPr>
          <w:rFonts w:ascii="Calibri" w:hAnsi="Calibri" w:eastAsia="Calibri"/>
          <w:color w:val="243746"/>
          <w:sz w:val="22"/>
        </w:rPr>
        <w:t xml:space="preserve"> and </w:t>
      </w:r>
      <w:r>
        <w:rPr>
          <w:rFonts w:ascii="Consolas" w:hAnsi="Consolas" w:eastAsia="Consolas"/>
          <w:color w:val="183B56"/>
          <w:sz w:val="20"/>
        </w:rPr>
        <w:t>/api/species/&lt;site_id&gt;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onsolas" w:hAnsi="Consolas" w:eastAsia="Consolas"/>
          <w:color w:val="183B56"/>
          <w:sz w:val="20"/>
        </w:rPr>
        <w:t>GET /api/briefing/&lt;site_id&gt;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onsolas" w:hAnsi="Consolas" w:eastAsia="Consolas"/>
          <w:color w:val="183B56"/>
          <w:sz w:val="20"/>
        </w:rPr>
        <w:t>POST /api/profile</w:t>
      </w:r>
      <w:r>
        <w:rPr>
          <w:rFonts w:ascii="Calibri" w:hAnsi="Calibri" w:eastAsia="Calibri"/>
          <w:color w:val="243746"/>
          <w:sz w:val="22"/>
        </w:rPr>
        <w:t xml:space="preserve">, </w:t>
      </w:r>
      <w:r>
        <w:rPr>
          <w:rFonts w:ascii="Consolas" w:hAnsi="Consolas" w:eastAsia="Consolas"/>
          <w:color w:val="183B56"/>
          <w:sz w:val="20"/>
        </w:rPr>
        <w:t>/api/recognize</w:t>
      </w:r>
      <w:r>
        <w:rPr>
          <w:rFonts w:ascii="Calibri" w:hAnsi="Calibri" w:eastAsia="Calibri"/>
          <w:color w:val="243746"/>
          <w:sz w:val="22"/>
        </w:rPr>
        <w:t xml:space="preserve">, </w:t>
      </w:r>
      <w:r>
        <w:rPr>
          <w:rFonts w:ascii="Consolas" w:hAnsi="Consolas" w:eastAsia="Consolas"/>
          <w:color w:val="183B56"/>
          <w:sz w:val="20"/>
        </w:rPr>
        <w:t>/api/sightings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onsolas" w:hAnsi="Consolas" w:eastAsia="Consolas"/>
          <w:color w:val="183B56"/>
          <w:sz w:val="20"/>
        </w:rPr>
        <w:t>GET /api/sightings</w:t>
      </w:r>
      <w:r>
        <w:rPr>
          <w:rFonts w:ascii="Calibri" w:hAnsi="Calibri" w:eastAsia="Calibri"/>
          <w:color w:val="243746"/>
          <w:sz w:val="22"/>
        </w:rPr>
        <w:t xml:space="preserve"> and </w:t>
      </w:r>
      <w:r>
        <w:rPr>
          <w:rFonts w:ascii="Consolas" w:hAnsi="Consolas" w:eastAsia="Consolas"/>
          <w:color w:val="183B56"/>
          <w:sz w:val="20"/>
        </w:rPr>
        <w:t>/api/collection/&lt;profile_id&gt;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 xml:space="preserve">The earlier </w:t>
      </w:r>
      <w:r>
        <w:rPr>
          <w:rFonts w:ascii="Consolas" w:hAnsi="Consolas" w:eastAsia="Consolas"/>
          <w:color w:val="183B56"/>
          <w:sz w:val="20"/>
        </w:rPr>
        <w:t>/api/observations</w:t>
      </w:r>
      <w:r>
        <w:rPr>
          <w:rFonts w:ascii="Calibri" w:hAnsi="Calibri" w:eastAsia="Calibri"/>
          <w:color w:val="243746"/>
          <w:sz w:val="22"/>
        </w:rPr>
        <w:t xml:space="preserve">, </w:t>
      </w:r>
      <w:r>
        <w:rPr>
          <w:rFonts w:ascii="Consolas" w:hAnsi="Consolas" w:eastAsia="Consolas"/>
          <w:color w:val="183B56"/>
          <w:sz w:val="20"/>
        </w:rPr>
        <w:t>/api/context</w:t>
      </w:r>
      <w:r>
        <w:rPr>
          <w:rFonts w:ascii="Calibri" w:hAnsi="Calibri" w:eastAsia="Calibri"/>
          <w:color w:val="243746"/>
          <w:sz w:val="22"/>
        </w:rPr>
        <w:t xml:space="preserve"> and </w:t>
      </w:r>
      <w:r>
        <w:rPr>
          <w:rFonts w:ascii="Consolas" w:hAnsi="Consolas" w:eastAsia="Consolas"/>
          <w:color w:val="183B56"/>
          <w:sz w:val="20"/>
        </w:rPr>
        <w:t>/api/options</w:t>
      </w:r>
      <w:r>
        <w:rPr>
          <w:rFonts w:ascii="Calibri" w:hAnsi="Calibri" w:eastAsia="Calibri"/>
          <w:color w:val="243746"/>
          <w:sz w:val="22"/>
        </w:rPr>
        <w:t xml:space="preserve"> routes stay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as a legacy rollback layer only.</w:t>
      </w:r>
    </w:p>
    <w:p>
      <w:pPr>
        <w:pStyle w:val="Heading1"/>
      </w:pPr>
      <w:r>
        <w:t>Integration steps</w:t>
      </w:r>
    </w:p>
    <w:p>
      <w:pPr>
        <w:spacing w:before="0" w:after="80" w:line="280" w:lineRule="auto"/>
        <w:numPr>
          <w:ilvl w:val="0"/>
          <w:numId w:val="13"/>
        </w:numPr>
      </w:pPr>
      <w:r>
        <w:rPr>
          <w:rFonts w:ascii="Calibri" w:hAnsi="Calibri" w:eastAsia="Calibri"/>
          <w:color w:val="243746"/>
          <w:sz w:val="22"/>
        </w:rPr>
        <w:t xml:space="preserve">Branch from </w:t>
      </w:r>
      <w:r>
        <w:rPr>
          <w:rFonts w:ascii="Consolas" w:hAnsi="Consolas" w:eastAsia="Consolas"/>
          <w:color w:val="183B56"/>
          <w:sz w:val="20"/>
        </w:rPr>
        <w:t>main</w:t>
      </w:r>
      <w:r>
        <w:rPr>
          <w:rFonts w:ascii="Calibri" w:hAnsi="Calibri" w:eastAsia="Calibri"/>
          <w:color w:val="243746"/>
          <w:sz w:val="22"/>
        </w:rPr>
        <w:t xml:space="preserve"> and make a small change.</w:t>
      </w:r>
    </w:p>
    <w:p>
      <w:pPr>
        <w:spacing w:before="0" w:after="80" w:line="280" w:lineRule="auto"/>
        <w:numPr>
          <w:ilvl w:val="0"/>
          <w:numId w:val="13"/>
        </w:numPr>
      </w:pPr>
      <w:r>
        <w:rPr>
          <w:rFonts w:ascii="Calibri" w:hAnsi="Calibri" w:eastAsia="Calibri"/>
          <w:color w:val="243746"/>
          <w:sz w:val="22"/>
        </w:rPr>
        <w:t>Do a quick review for secrets, broken code or API mismatch.</w:t>
      </w:r>
    </w:p>
    <w:p>
      <w:pPr>
        <w:spacing w:before="0" w:after="80" w:line="280" w:lineRule="auto"/>
        <w:numPr>
          <w:ilvl w:val="0"/>
          <w:numId w:val="13"/>
        </w:numPr>
      </w:pPr>
      <w:r>
        <w:rPr>
          <w:rFonts w:ascii="Calibri" w:hAnsi="Calibri" w:eastAsia="Calibri"/>
          <w:color w:val="243746"/>
          <w:sz w:val="22"/>
        </w:rPr>
        <w:t>Merge safe work, run the whole flow and fix real failures.</w:t>
      </w:r>
    </w:p>
    <w:p>
      <w:pPr>
        <w:spacing w:before="0" w:after="80" w:line="280" w:lineRule="auto"/>
        <w:numPr>
          <w:ilvl w:val="0"/>
          <w:numId w:val="13"/>
        </w:numPr>
      </w:pPr>
      <w:r>
        <w:rPr>
          <w:rFonts w:ascii="Calibri" w:hAnsi="Calibri" w:eastAsia="Calibri"/>
          <w:color w:val="243746"/>
          <w:sz w:val="22"/>
        </w:rPr>
        <w:t xml:space="preserve">Deploy from </w:t>
      </w:r>
      <w:r>
        <w:rPr>
          <w:rFonts w:ascii="Consolas" w:hAnsi="Consolas" w:eastAsia="Consolas"/>
          <w:color w:val="183B56"/>
          <w:sz w:val="20"/>
        </w:rPr>
        <w:t>main</w:t>
      </w:r>
      <w:r>
        <w:rPr>
          <w:rFonts w:ascii="Calibri" w:hAnsi="Calibri" w:eastAsia="Calibri"/>
          <w:color w:val="243746"/>
          <w:sz w:val="22"/>
        </w:rPr>
        <w:t xml:space="preserve"> and record commit, time, URL and synthetic input.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 xml:space="preserve">Render uses </w:t>
      </w:r>
      <w:r>
        <w:rPr>
          <w:rFonts w:ascii="Consolas" w:hAnsi="Consolas" w:eastAsia="Consolas"/>
          <w:color w:val="183B56"/>
          <w:sz w:val="20"/>
        </w:rPr>
        <w:t>DATABASE_URL</w:t>
      </w:r>
      <w:r>
        <w:rPr>
          <w:rFonts w:ascii="Calibri" w:hAnsi="Calibri" w:eastAsia="Calibri"/>
          <w:color w:val="243746"/>
          <w:sz w:val="22"/>
        </w:rPr>
        <w:t xml:space="preserve"> for PostgreSQL. Local work uses SQLite when it is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missing. Recognition is a local fallback unless a reviewed HTTPS adapter is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set privately. Never commit a key or a real diver profile.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Calibri"/>
        <w:color w:val="61737C"/>
        <w:sz w:val="16"/>
      </w:rPr>
      <w:t>VERSION 2.0 | 15 AUGUST 2026 | SYNTHETIC/PUBLIC DATA | NON-ENFORCEMENT DEMO</w:t>
    </w:r>
    <w:r>
      <w:rPr>
        <w:rFonts w:ascii="Calibri" w:hAnsi="Calibri" w:eastAsia="Calibri"/>
        <w:color w:val="61737C"/>
        <w:sz w:val="16"/>
      </w:rPr>
      <w:tab/>
      <w:t xml:space="preserve">PAGE </w:t>
    </w:r>
    <w:r>
      <w:rPr>
        <w:rFonts w:ascii="Calibri" w:hAnsi="Calibri" w:eastAsia="Calibri"/>
        <w:color w:val="61737C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Calibri"/>
        <w:b/>
        <w:color w:val="0F6F73"/>
        <w:sz w:val="16"/>
      </w:rPr>
      <w:t>TEAM 04 | DIVESAFE MY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0">
    <w:multiLevelType w:val="singleLevel"/>
    <w:lvl w:ilvl="0">
      <w:start w:val="1"/>
      <w:numFmt w:val="bullet"/>
      <w:lvlText w:val="☐"/>
      <w:lvlJc w:val="left"/>
      <w:suff w:val="tab"/>
      <w:pPr>
        <w:tabs>
          <w:tab w:val="num" w:pos="720"/>
        </w:tabs>
        <w:ind w:left="720" w:hanging="360"/>
      </w:pPr>
      <w:rPr>
        <w:rFonts w:ascii="Segoe UI Symbol" w:hAnsi="Segoe UI Symbol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720"/>
        </w:tabs>
        <w:ind w:left="720" w:hanging="360"/>
      </w:pPr>
      <w:rPr>
        <w:rFonts w:ascii="Calibri" w:hAnsi="Calibri"/>
      </w:rPr>
    </w:lvl>
  </w:abstractNum>
  <w:num w:numId="10">
    <w:abstractNumId w:val="9"/>
  </w:num>
  <w:num w:numId="11">
    <w:abstractNumId w:val="10"/>
  </w:num>
  <w:num w:numId="12">
    <w:abstractNumId w:val="11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b w:val="0"/>
      <w:color w:val="24374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F6F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83B5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83B5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83B5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DiveSafe MY Work Plan and Handover</dc:title>
  <dc:subject>Team 04 DiveSafe MY student MVP</dc:subject>
  <dc:creator>Team 04</dc:creator>
  <cp:keywords>DiveSafe MY, synthetic data, public sources, non-enforcement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