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t>Marine Observation MVP — Work Plan and Handover</w:t>
      </w:r>
    </w:p>
    <w:p>
      <w:pPr>
        <w:pStyle w:val="Heading1"/>
      </w:pPr>
      <w:r>
        <w:t>Product slice</w:t>
      </w:r>
    </w:p>
    <w:p>
      <w:pPr>
        <w:spacing w:after="120" w:line="259" w:lineRule="auto"/>
      </w:pPr>
      <w:r>
        <w:rPr>
          <w:rFonts w:ascii="Aptos" w:hAnsi="Aptos"/>
          <w:color w:val="1F3742"/>
          <w:sz w:val="21"/>
        </w:rPr>
        <w:t>The MVP has one reporting flow for marine litter in one Malaysian coastal placeholder area. Marine-life information is a contextual OBIS map layer, not a second reporting flow.</w:t>
      </w:r>
    </w:p>
    <w:p>
      <w:pPr>
        <w:pStyle w:val="Heading1"/>
      </w:pPr>
      <w:r>
        <w:t>Delivery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47D85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Stage</w:t>
            </w:r>
          </w:p>
        </w:tc>
        <w:tc>
          <w:tcPr>
            <w:tcW w:type="dxa" w:w="3389"/>
            <w:vAlign w:val="center"/>
            <w:shd w:fill="147D85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Output</w:t>
            </w:r>
          </w:p>
        </w:tc>
        <w:tc>
          <w:tcPr>
            <w:tcW w:type="dxa" w:w="3389"/>
            <w:vAlign w:val="center"/>
            <w:shd w:fill="147D85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3389"/>
            <w:vAlign w:val="center"/>
            <w:shd w:fill="EAF5F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Scope</w:t>
            </w:r>
          </w:p>
        </w:tc>
        <w:tc>
          <w:tcPr>
            <w:tcW w:type="dxa" w:w="3389"/>
            <w:vAlign w:val="center"/>
            <w:shd w:fill="EAF5F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Frozen category list, boundary statement and sources</w:t>
            </w:r>
          </w:p>
        </w:tc>
        <w:tc>
          <w:tcPr>
            <w:tcW w:type="dxa" w:w="3389"/>
            <w:vAlign w:val="center"/>
            <w:shd w:fill="EAF5F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Huang + team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Report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Accessible entry form and validation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Qian + Hanxia</w:t>
            </w:r>
          </w:p>
        </w:tc>
      </w:tr>
      <w:tr>
        <w:tc>
          <w:tcPr>
            <w:tcW w:type="dxa" w:w="3389"/>
            <w:vAlign w:val="center"/>
            <w:shd w:fill="EAF5F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Review</w:t>
            </w:r>
          </w:p>
        </w:tc>
        <w:tc>
          <w:tcPr>
            <w:tcW w:type="dxa" w:w="3389"/>
            <w:vAlign w:val="center"/>
            <w:shd w:fill="EAF5F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Editable review screen and explicit confirmation</w:t>
            </w:r>
          </w:p>
        </w:tc>
        <w:tc>
          <w:tcPr>
            <w:tcW w:type="dxa" w:w="3389"/>
            <w:vAlign w:val="center"/>
            <w:shd w:fill="EAF5F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Qian + Hanxia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Save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PostgreSQL on Render, SQLite fallback locally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Keith + Hanxia</w:t>
            </w:r>
          </w:p>
        </w:tc>
      </w:tr>
      <w:tr>
        <w:tc>
          <w:tcPr>
            <w:tcW w:type="dxa" w:w="3389"/>
            <w:vAlign w:val="center"/>
            <w:shd w:fill="EAF5F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Results</w:t>
            </w:r>
          </w:p>
        </w:tc>
        <w:tc>
          <w:tcPr>
            <w:tcW w:type="dxa" w:w="3389"/>
            <w:vAlign w:val="center"/>
            <w:shd w:fill="EAF5F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Rule-based classification, illustrative priority and source labels</w:t>
            </w:r>
          </w:p>
        </w:tc>
        <w:tc>
          <w:tcPr>
            <w:tcW w:type="dxa" w:w="3389"/>
            <w:vAlign w:val="center"/>
            <w:shd w:fill="EAF5F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Su + Darli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Context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Static OBIS sample, masked map markers and list fallback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Darli + Qian</w:t>
            </w:r>
          </w:p>
        </w:tc>
      </w:tr>
      <w:tr>
        <w:tc>
          <w:tcPr>
            <w:tcW w:type="dxa" w:w="3389"/>
            <w:vAlign w:val="center"/>
            <w:shd w:fill="EAF5F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Release</w:t>
            </w:r>
          </w:p>
        </w:tc>
        <w:tc>
          <w:tcPr>
            <w:tcW w:type="dxa" w:w="3389"/>
            <w:vAlign w:val="center"/>
            <w:shd w:fill="EAF5F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Render smoke check, screenshots and PGP evidence</w:t>
            </w:r>
          </w:p>
        </w:tc>
        <w:tc>
          <w:tcPr>
            <w:tcW w:type="dxa" w:w="3389"/>
            <w:vAlign w:val="center"/>
            <w:shd w:fill="EAF5F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Huang</w:t>
            </w:r>
          </w:p>
        </w:tc>
      </w:tr>
    </w:tbl>
    <w:p>
      <w:pPr>
        <w:spacing w:after="40"/>
      </w:pPr>
    </w:p>
    <w:p>
      <w:pPr>
        <w:pStyle w:val="Heading1"/>
      </w:pPr>
      <w:r>
        <w:t>Technical handover</w:t>
      </w:r>
    </w:p>
    <w:p>
      <w:pPr>
        <w:pStyle w:val="ListBullet"/>
        <w:spacing w:after="60"/>
      </w:pPr>
      <w:r>
        <w:rPr>
          <w:rFonts w:ascii="Aptos" w:hAnsi="Aptos"/>
          <w:color w:val="1F3742"/>
          <w:sz w:val="21"/>
        </w:rPr>
        <w:t>Backend entry point: `actual-project/backend/app.py`.</w:t>
      </w:r>
    </w:p>
    <w:p>
      <w:pPr>
        <w:pStyle w:val="ListBullet"/>
        <w:spacing w:after="60"/>
      </w:pPr>
      <w:r>
        <w:rPr>
          <w:rFonts w:ascii="Aptos" w:hAnsi="Aptos"/>
          <w:color w:val="1F3742"/>
          <w:sz w:val="21"/>
        </w:rPr>
        <w:t>Local API: `python app.py` from `actual-project/backend`.</w:t>
      </w:r>
    </w:p>
    <w:p>
      <w:pPr>
        <w:pStyle w:val="ListBullet"/>
        <w:spacing w:after="60"/>
      </w:pPr>
      <w:r>
        <w:rPr>
          <w:rFonts w:ascii="Aptos" w:hAnsi="Aptos"/>
          <w:color w:val="1F3742"/>
          <w:sz w:val="21"/>
        </w:rPr>
        <w:t>Frontend entry point: `actual-project/frontend/index.html`; local server `python -m http.server 8080`.</w:t>
      </w:r>
    </w:p>
    <w:p>
      <w:pPr>
        <w:pStyle w:val="ListBullet"/>
        <w:spacing w:after="60"/>
      </w:pPr>
      <w:r>
        <w:rPr>
          <w:rFonts w:ascii="Aptos" w:hAnsi="Aptos"/>
          <w:color w:val="1F3742"/>
          <w:sz w:val="21"/>
        </w:rPr>
        <w:t>API contract: `GET /health`, `GET /api/observations`, `POST /api/observations`, `GET /api/context`.</w:t>
      </w:r>
    </w:p>
    <w:p>
      <w:pPr>
        <w:pStyle w:val="ListBullet"/>
        <w:spacing w:after="60"/>
      </w:pPr>
      <w:r>
        <w:rPr>
          <w:rFonts w:ascii="Aptos" w:hAnsi="Aptos"/>
          <w:color w:val="1F3742"/>
          <w:sz w:val="21"/>
        </w:rPr>
        <w:t>Render uses `DATABASE_URL`; local development falls back to SQLite.</w:t>
      </w:r>
    </w:p>
    <w:p>
      <w:pPr>
        <w:pStyle w:val="ListBullet"/>
        <w:spacing w:after="60"/>
      </w:pPr>
      <w:r>
        <w:rPr>
          <w:rFonts w:ascii="Aptos" w:hAnsi="Aptos"/>
          <w:color w:val="1F3742"/>
          <w:sz w:val="21"/>
        </w:rPr>
        <w:t>Runtime tables separate original observations, classifications, priorities and marine context.</w:t>
      </w:r>
    </w:p>
    <w:p>
      <w:pPr>
        <w:pStyle w:val="ListBullet"/>
        <w:spacing w:after="60"/>
      </w:pPr>
      <w:r>
        <w:rPr>
          <w:rFonts w:ascii="Aptos" w:hAnsi="Aptos"/>
          <w:color w:val="1F3742"/>
          <w:sz w:val="21"/>
        </w:rPr>
        <w:t>`actual-project/backend/data/obis_context.json` is the versioned static source sample.</w:t>
      </w:r>
    </w:p>
    <w:p>
      <w:pPr>
        <w:pStyle w:val="Heading1"/>
      </w:pPr>
      <w:r>
        <w:t>Integration rules</w:t>
      </w:r>
    </w:p>
    <w:p>
      <w:pPr>
        <w:spacing w:after="120" w:line="259" w:lineRule="auto"/>
      </w:pPr>
      <w:r>
        <w:rPr>
          <w:rFonts w:ascii="Aptos" w:hAnsi="Aptos"/>
          <w:color w:val="1F3742"/>
          <w:sz w:val="21"/>
        </w:rPr>
        <w:t>1. Branch from `main`.</w:t>
      </w:r>
    </w:p>
    <w:p>
      <w:pPr>
        <w:spacing w:after="120" w:line="259" w:lineRule="auto"/>
      </w:pPr>
      <w:r>
        <w:rPr>
          <w:rFonts w:ascii="Aptos" w:hAnsi="Aptos"/>
          <w:color w:val="1F3742"/>
          <w:sz w:val="21"/>
        </w:rPr>
        <w:t>2. Make the smallest change that can be tested.</w:t>
      </w:r>
    </w:p>
    <w:p>
      <w:pPr>
        <w:spacing w:after="120" w:line="259" w:lineRule="auto"/>
      </w:pPr>
      <w:r>
        <w:rPr>
          <w:rFonts w:ascii="Aptos" w:hAnsi="Aptos"/>
          <w:color w:val="1F3742"/>
          <w:sz w:val="21"/>
        </w:rPr>
        <w:t>3. Open a Pull Request and review the API/data/safety impact.</w:t>
      </w:r>
    </w:p>
    <w:p>
      <w:pPr>
        <w:spacing w:after="120" w:line="259" w:lineRule="auto"/>
      </w:pPr>
      <w:r>
        <w:rPr>
          <w:rFonts w:ascii="Aptos" w:hAnsi="Aptos"/>
          <w:color w:val="1F3742"/>
          <w:sz w:val="21"/>
        </w:rPr>
        <w:t>4. Merge reasonably safe work, then run the integrated flow.</w:t>
      </w:r>
    </w:p>
    <w:p>
      <w:pPr>
        <w:spacing w:after="120" w:line="259" w:lineRule="auto"/>
      </w:pPr>
      <w:r>
        <w:rPr>
          <w:rFonts w:ascii="Aptos" w:hAnsi="Aptos"/>
          <w:color w:val="1F3742"/>
          <w:sz w:val="21"/>
        </w:rPr>
        <w:t>5. Fix concrete integration failures and redeploy from `main`.</w:t>
      </w:r>
    </w:p>
    <w:p>
      <w:pPr>
        <w:spacing w:after="120" w:line="259" w:lineRule="auto"/>
      </w:pPr>
      <w:r>
        <w:rPr>
          <w:rFonts w:ascii="Aptos" w:hAnsi="Aptos"/>
          <w:color w:val="1F3742"/>
          <w:sz w:val="21"/>
        </w:rPr>
        <w:t>6. Record the commit, test time, URL and limitations in the PGP.</w:t>
      </w:r>
    </w:p>
    <w:p>
      <w:pPr>
        <w:pStyle w:val="Heading1"/>
      </w:pPr>
      <w:r>
        <w:t>Release boundary</w:t>
      </w:r>
    </w:p>
    <w:p>
      <w:pPr>
        <w:spacing w:after="120" w:line="259" w:lineRule="auto"/>
      </w:pPr>
      <w:r>
        <w:rPr>
          <w:rFonts w:ascii="Aptos" w:hAnsi="Aptos"/>
          <w:color w:val="1F3742"/>
          <w:sz w:val="21"/>
        </w:rPr>
        <w:t>The demo must use synthetic/public records. External AI/CV, real uploads, exact threatened-species locations, scientific validation and enforcement workflows are outside this MVP.</w:t>
      </w:r>
    </w:p>
    <w:p>
      <w:pPr>
        <w:pStyle w:val="Heading1"/>
      </w:pPr>
      <w:r>
        <w:t>Handover checklist</w:t>
      </w:r>
    </w:p>
    <w:p>
      <w:pPr>
        <w:pStyle w:val="ListBullet"/>
        <w:spacing w:after="60"/>
      </w:pPr>
      <w:r>
        <w:rPr>
          <w:rFonts w:ascii="Aptos" w:hAnsi="Aptos"/>
          <w:color w:val="1F3742"/>
          <w:sz w:val="21"/>
        </w:rPr>
        <w:t>`main` and Render service point to the intended code.</w:t>
      </w:r>
    </w:p>
    <w:p>
      <w:pPr>
        <w:pStyle w:val="ListBullet"/>
        <w:spacing w:after="60"/>
      </w:pPr>
      <w:r>
        <w:rPr>
          <w:rFonts w:ascii="Aptos" w:hAnsi="Aptos"/>
          <w:color w:val="1F3742"/>
          <w:sz w:val="21"/>
        </w:rPr>
        <w:t>`DATABASE_URL` is set only in Render, never in Git.</w:t>
      </w:r>
    </w:p>
    <w:p>
      <w:pPr>
        <w:pStyle w:val="ListBullet"/>
        <w:spacing w:after="60"/>
      </w:pPr>
      <w:r>
        <w:rPr>
          <w:rFonts w:ascii="Aptos" w:hAnsi="Aptos"/>
          <w:color w:val="1F3742"/>
          <w:sz w:val="21"/>
        </w:rPr>
        <w:t>`/health` and `/api/context` return 200.</w:t>
      </w:r>
    </w:p>
    <w:p>
      <w:pPr>
        <w:pStyle w:val="ListBullet"/>
        <w:spacing w:after="60"/>
      </w:pPr>
      <w:r>
        <w:rPr>
          <w:rFonts w:ascii="Aptos" w:hAnsi="Aptos"/>
          <w:color w:val="1F3742"/>
          <w:sz w:val="21"/>
        </w:rPr>
        <w:t>A synthetic observation can be created and read back.</w:t>
      </w:r>
    </w:p>
    <w:p>
      <w:pPr>
        <w:pStyle w:val="ListBullet"/>
        <w:spacing w:after="60"/>
      </w:pPr>
      <w:r>
        <w:rPr>
          <w:rFonts w:ascii="Aptos" w:hAnsi="Aptos"/>
          <w:color w:val="1F3742"/>
          <w:sz w:val="21"/>
        </w:rPr>
        <w:t>The frontend keeps the draft when the API fails.</w:t>
      </w:r>
    </w:p>
    <w:p>
      <w:pPr>
        <w:pStyle w:val="ListBullet"/>
        <w:spacing w:after="60"/>
      </w:pPr>
      <w:r>
        <w:rPr>
          <w:rFonts w:ascii="Aptos" w:hAnsi="Aptos"/>
          <w:color w:val="1F3742"/>
          <w:sz w:val="21"/>
        </w:rPr>
        <w:t>Evidence and known limitations are linked in the PGP.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87D"/>
        <w:sz w:val="16"/>
      </w:rPr>
      <w:t>FIT5120 2026 S2  •  Synthetic/public data boundary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47D85"/>
        <w:sz w:val="16"/>
      </w:rPr>
      <w:t>TEAM 04  |  MARINE OBSERVATION MVP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7D8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B677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B677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7D8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