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</w:pPr>
      <w:r>
        <w:t>Team 04 — Marine Observation Project Information</w:t>
      </w:r>
    </w:p>
    <w:p>
      <w:pPr>
        <w:spacing w:after="120" w:line="259" w:lineRule="auto"/>
      </w:pPr>
      <w:r>
        <w:rPr>
          <w:rFonts w:ascii="Aptos" w:hAnsi="Aptos"/>
          <w:color w:val="1F3742"/>
          <w:sz w:val="21"/>
        </w:rPr>
        <w:t>Unit: FIT5120, 2026 S2</w:t>
      </w:r>
    </w:p>
    <w:p>
      <w:pPr>
        <w:spacing w:after="120" w:line="259" w:lineRule="auto"/>
      </w:pPr>
      <w:r>
        <w:rPr>
          <w:rFonts w:ascii="Aptos" w:hAnsi="Aptos"/>
          <w:color w:val="1F3742"/>
          <w:sz w:val="21"/>
        </w:rPr>
        <w:t>Project: Marine Litter Hotspot &amp; Marine-Life Observation MVP</w:t>
      </w:r>
    </w:p>
    <w:p>
      <w:pPr>
        <w:spacing w:after="120" w:line="259" w:lineRule="auto"/>
      </w:pPr>
      <w:r>
        <w:rPr>
          <w:rFonts w:ascii="Aptos" w:hAnsi="Aptos"/>
          <w:color w:val="1F3742"/>
          <w:sz w:val="21"/>
        </w:rPr>
        <w:t>Working direction: Marine litter is the only reporting flow. Public OBIS marine-life data is an ecological context layer.</w:t>
      </w:r>
    </w:p>
    <w:p>
      <w:pPr>
        <w:pStyle w:val="Heading1"/>
      </w:pPr>
      <w:r>
        <w:t>Project overview</w:t>
      </w:r>
    </w:p>
    <w:p>
      <w:pPr>
        <w:spacing w:after="120" w:line="259" w:lineRule="auto"/>
      </w:pPr>
      <w:r>
        <w:rPr>
          <w:rFonts w:ascii="Aptos" w:hAnsi="Aptos"/>
          <w:color w:val="1F3742"/>
          <w:sz w:val="21"/>
        </w:rPr>
        <w:t>The MVP lets a user report a litter observation in one selected Malaysian coastal area. The user enters a category, area, time, coordinates and an optional safe image URL, reviews the record, confirms it, and receives a transparent category result and an illustrative clean-up priority. A small OBIS sample is shown as map context.</w:t>
      </w:r>
    </w:p>
    <w:p>
      <w:pPr>
        <w:spacing w:after="120" w:line="259" w:lineRule="auto"/>
      </w:pPr>
      <w:r>
        <w:rPr>
          <w:rFonts w:ascii="Aptos" w:hAnsi="Aptos"/>
          <w:color w:val="1F3742"/>
          <w:sz w:val="21"/>
        </w:rPr>
        <w:t>This is a demonstration and learning tool. It does not prove a pollution source, verify a species identity, measure ecological change, or make an environmental enforcement decision.</w:t>
      </w:r>
    </w:p>
    <w:p>
      <w:pPr>
        <w:pStyle w:val="Heading1"/>
      </w:pPr>
      <w:r>
        <w:t>Team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147D85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Member</w:t>
            </w:r>
          </w:p>
        </w:tc>
        <w:tc>
          <w:tcPr>
            <w:tcW w:type="dxa" w:w="3389"/>
            <w:vAlign w:val="center"/>
            <w:shd w:fill="147D85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3389"/>
            <w:vAlign w:val="center"/>
            <w:shd w:fill="147D85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Main responsibility</w:t>
            </w:r>
          </w:p>
        </w:tc>
      </w:tr>
      <w:tr>
        <w:tc>
          <w:tcPr>
            <w:tcW w:type="dxa" w:w="3389"/>
            <w:vAlign w:val="center"/>
            <w:shd w:fill="EAF5F4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Huang Guan</w:t>
            </w:r>
          </w:p>
        </w:tc>
        <w:tc>
          <w:tcPr>
            <w:tcW w:type="dxa" w:w="3389"/>
            <w:vAlign w:val="center"/>
            <w:shd w:fill="EAF5F4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Project Manager</w:t>
            </w:r>
          </w:p>
        </w:tc>
        <w:tc>
          <w:tcPr>
            <w:tcW w:type="dxa" w:w="3389"/>
            <w:vAlign w:val="center"/>
            <w:shd w:fill="EAF5F4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Scope, coordination, integration, evidence and release checks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Hnin Darli Myint Myat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Data Analysis and Visualisation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Public data review, context explanation and visual communication</w:t>
            </w:r>
          </w:p>
        </w:tc>
      </w:tr>
      <w:tr>
        <w:tc>
          <w:tcPr>
            <w:tcW w:type="dxa" w:w="3389"/>
            <w:vAlign w:val="center"/>
            <w:shd w:fill="EAF5F4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Qian Jiang</w:t>
            </w:r>
          </w:p>
        </w:tc>
        <w:tc>
          <w:tcPr>
            <w:tcW w:type="dxa" w:w="3389"/>
            <w:vAlign w:val="center"/>
            <w:shd w:fill="EAF5F4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UI/UX and Frontend</w:t>
            </w:r>
          </w:p>
        </w:tc>
        <w:tc>
          <w:tcPr>
            <w:tcW w:type="dxa" w:w="3389"/>
            <w:vAlign w:val="center"/>
            <w:shd w:fill="EAF5F4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Accessible interface, interaction flow and visual design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Hanxia Li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Backend Developer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Flask API, validation and application integration</w:t>
            </w:r>
          </w:p>
        </w:tc>
      </w:tr>
      <w:tr>
        <w:tc>
          <w:tcPr>
            <w:tcW w:type="dxa" w:w="3389"/>
            <w:vAlign w:val="center"/>
            <w:shd w:fill="EAF5F4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Chong Junn Keith</w:t>
            </w:r>
          </w:p>
        </w:tc>
        <w:tc>
          <w:tcPr>
            <w:tcW w:type="dxa" w:w="3389"/>
            <w:vAlign w:val="center"/>
            <w:shd w:fill="EAF5F4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Database and Backend</w:t>
            </w:r>
          </w:p>
        </w:tc>
        <w:tc>
          <w:tcPr>
            <w:tcW w:type="dxa" w:w="3389"/>
            <w:vAlign w:val="center"/>
            <w:shd w:fill="EAF5F4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PostgreSQL/SQLite schema, persistence and database checks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Benshuai Su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Backend and Intelligent Features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9"/>
              </w:rPr>
              <w:t>Rule explanation, future AI adapter boundary and technical support</w:t>
            </w:r>
          </w:p>
        </w:tc>
      </w:tr>
    </w:tbl>
    <w:p>
      <w:pPr>
        <w:spacing w:after="40"/>
      </w:pPr>
    </w:p>
    <w:p>
      <w:pPr>
        <w:pStyle w:val="Heading1"/>
      </w:pPr>
      <w:r>
        <w:t>MVP flow</w:t>
      </w:r>
    </w:p>
    <w:p>
      <w:pPr>
        <w:spacing w:after="100"/>
        <w:ind w:left="259"/>
      </w:pPr>
      <w:r>
        <w:rPr>
          <w:rFonts w:ascii="Consolas" w:hAnsi="Consolas"/>
          <w:color w:val="275C63"/>
          <w:sz w:val="19"/>
        </w:rPr>
        <w:t>Report → Review and edit → Confirm → Save → Results and map context</w:t>
      </w:r>
    </w:p>
    <w:p>
      <w:pPr>
        <w:pStyle w:val="Heading1"/>
      </w:pPr>
      <w:r>
        <w:t>Current boundaries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Fixed categories: Plastic packaging, Fishing gear, Glass, Metal and Other.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Public/static OBIS context is source-labelled and sensitive locations are masked or aggregated.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The first release uses transparent rules and no external AI or computer vision.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No names, phone numbers, accounts or real personal profiles are accepted.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Raw uploaded files are not stored; image input is a safe demo path or HTTPS URL.</w:t>
      </w:r>
    </w:p>
    <w:p>
      <w:pPr>
        <w:pStyle w:val="Heading1"/>
      </w:pPr>
      <w:r>
        <w:t>Project spaces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GitHub: https://github.com/huangguan-giegie/team04-marine-observation-mvp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Frontend: https://team04-marine-observation-frontend.onrender.com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API: https://team04-marine-observation-api.onrender.com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Drive PGP: https://drive.google.com/drive/folders/18Px2njE27SCiZ4bs-40zgUgm_sRE70Kx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Miro: https://miro.com/app/board/uXjVHySKbPY=/</w:t>
      </w:r>
    </w:p>
    <w:p>
      <w:pPr>
        <w:spacing w:after="120" w:line="259" w:lineRule="auto"/>
      </w:pPr>
      <w:r>
        <w:rPr>
          <w:rFonts w:ascii="Aptos" w:hAnsi="Aptos"/>
          <w:color w:val="1F3742"/>
          <w:sz w:val="21"/>
        </w:rPr>
        <w:t>Last updated: 14 August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4787D"/>
        <w:sz w:val="16"/>
      </w:rPr>
      <w:t>FIT5120 2026 S2  •  Synthetic/public data boundary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147D85"/>
        <w:sz w:val="16"/>
      </w:rPr>
      <w:t>TEAM 04  |  MARINE OBSERVATION MVP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7D8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B677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B677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7D8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