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保客活动号码级准入联动需求说明</w:t>
      </w:r>
    </w:p>
    <w:p>
      <w:pPr>
        <w:pStyle w:val="Subtitle"/>
      </w:pPr>
      <w:r>
        <w:t>研发评审版 V1.0　2026年9月10日</w:t>
      </w:r>
    </w:p>
    <w:p>
      <w:pPr>
        <w:pStyle w:val="Heading1"/>
      </w:pPr>
      <w:r>
        <w:t>1 目标与改造范围</w:t>
      </w:r>
    </w:p>
    <w:p>
      <w:r>
        <w:t>保客活动创建时，先在step1设置准入等级，再按等级与业务场景筛选step2可关联卡券，并联动step3的活动属性和用户标识。号码级活动仅允许选人；在卡券关联环节，仅允许用户领取规则券，指定场景还须为线上核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6696"/>
        <w:gridCol w:w="1512"/>
      </w:tblGrid>
      <w:tr>
        <w:trPr>
          <w:cantSplit/>
          <w:tblHeader/>
        </w:trPr>
        <w:tc>
          <w:tcPr>
            <w:tcW w:type="dxa" w:w="1872"/>
            <w:vAlign w:val="center"/>
            <w:shd w:fill="23456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责任系统</w:t>
            </w:r>
          </w:p>
        </w:tc>
        <w:tc>
          <w:tcPr>
            <w:tcW w:type="dxa" w:w="6696"/>
            <w:vAlign w:val="center"/>
            <w:shd w:fill="23456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本次改造</w:t>
            </w:r>
          </w:p>
        </w:tc>
        <w:tc>
          <w:tcPr>
            <w:tcW w:type="dxa" w:w="1512"/>
            <w:vAlign w:val="center"/>
            <w:shd w:fill="23456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功能编号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卡券中心</w:t>
            </w:r>
          </w:p>
        </w:tc>
        <w:tc>
          <w:tcPr>
            <w:tcW w:type="dxa" w:w="669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调整活动关联卡券查询接口，识别活动准入等级，按场景执行领取规则与核销方式过滤。</w:t>
            </w:r>
          </w:p>
        </w:tc>
        <w:tc>
          <w:tcPr>
            <w:tcW w:type="dxa" w:w="151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F01–F05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活动中心后端</w:t>
            </w:r>
          </w:p>
        </w:tc>
        <w:tc>
          <w:tcPr>
            <w:tcW w:type="dxa" w:w="6696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调整前端与卡券中心之间的接口对接，传递查询上下文并适配返回结果。</w:t>
            </w:r>
          </w:p>
        </w:tc>
        <w:tc>
          <w:tcPr>
            <w:tcW w:type="dxa" w:w="1512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F06–F09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管理后台前端</w:t>
            </w:r>
          </w:p>
        </w:tc>
        <w:tc>
          <w:tcPr>
            <w:tcW w:type="dxa" w:w="669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前移准入配置，联动属性默认值及标识，按准入查询和展示关联卡券。</w:t>
            </w:r>
          </w:p>
        </w:tc>
        <w:tc>
          <w:tcPr>
            <w:tcW w:type="dxa" w:w="151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F10–F18</w:t>
            </w:r>
          </w:p>
        </w:tc>
      </w:tr>
    </w:tbl>
    <w:p/>
    <w:p>
      <w:pPr>
        <w:pStyle w:val="Heading2"/>
      </w:pPr>
      <w:r>
        <w:t>核心规则</w:t>
      </w:r>
    </w:p>
    <w:p>
      <w:r>
        <w:t>号码级优先限制可选范围，商城复选再取交集，最后应用活动类型默认值。是否必填独立判断，不能将“只可选人”解释为所有类型都必须填写。</w:t>
      </w:r>
    </w:p>
    <w:p>
      <w:r>
        <w:t>号码级卡券过滤为两层条件：所有场景先要求“领取规则=用户”；BIMC（新）和维修保养（新）再要求“核销方式=线上核销”。两项必须同时满足。</w:t>
      </w:r>
    </w:p>
    <w:p>
      <w:pPr>
        <w:pStyle w:val="Heading2"/>
      </w:pPr>
      <w:r>
        <w:t>评审范围</w:t>
      </w:r>
    </w:p>
    <w:p>
      <w:r>
        <w:t>本次覆盖新建活动的页面联动与活动关联卡券查询改造。历史活动编辑、复制、旧调用兼容和提交复核的具体责任见第8节待确认事项。用户标识仍为oneid和VIN，不新增手机号发券主键。</w:t>
      </w:r>
    </w:p>
    <w:p>
      <w:r>
        <w:t>功能清单共18项，另附22个验收场景。功能项中的“实现建议”需在接口或交互评审时确认。</w:t>
      </w:r>
    </w:p>
    <w:p>
      <w:r>
        <w:br w:type="page"/>
      </w:r>
    </w:p>
    <w:p>
      <w:pPr>
        <w:pStyle w:val="Heading1"/>
      </w:pPr>
      <w:r>
        <w:t>2 三系统协作流程</w:t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6217920" cy="6580632"/>
            <wp:docPr id="1" name="Picture 1" descr="三系统协作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三系统协作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580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虚线表示提交复核建议。卡券中心负责返回经过规则过滤的结果；活动中心后端负责传参和结果适配。</w:t>
      </w:r>
    </w:p>
    <w:p>
      <w:r>
        <w:br w:type="page"/>
      </w:r>
    </w:p>
    <w:p>
      <w:pPr>
        <w:pStyle w:val="Heading1"/>
      </w:pPr>
      <w:r>
        <w:t>3 卡券查询过滤流程</w:t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6217920" cy="7202424"/>
            <wp:docPr id="2" name="Picture 2" descr="卡券过滤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卡券过滤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202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 卡券过滤规则</w:t>
      </w:r>
    </w:p>
    <w:p>
      <w:r>
        <w:t>以下条件叠加在现有卡券关联条件上。通过新增过滤仅表示满足本次规则，仍需满足既有状态、场景等关联要求。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1584"/>
        <w:gridCol w:w="2448"/>
        <w:gridCol w:w="3096"/>
      </w:tblGrid>
      <w:tr>
        <w:trPr>
          <w:cantSplit/>
          <w:tblHeader/>
        </w:trPr>
        <w:tc>
          <w:tcPr>
            <w:tcW w:type="dxa" w:w="2952"/>
            <w:vAlign w:val="center"/>
            <w:shd w:fill="23456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准入与卡券场景</w:t>
            </w:r>
          </w:p>
        </w:tc>
        <w:tc>
          <w:tcPr>
            <w:tcW w:type="dxa" w:w="1584"/>
            <w:vAlign w:val="center"/>
            <w:shd w:fill="23456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领取规则</w:t>
            </w:r>
          </w:p>
        </w:tc>
        <w:tc>
          <w:tcPr>
            <w:tcW w:type="dxa" w:w="2448"/>
            <w:vAlign w:val="center"/>
            <w:shd w:fill="23456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核销方式</w:t>
            </w:r>
          </w:p>
        </w:tc>
        <w:tc>
          <w:tcPr>
            <w:tcW w:type="dxa" w:w="3096"/>
            <w:vAlign w:val="center"/>
            <w:shd w:fill="23456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本次新增规则结果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号码级；BIMC（新）或维修保养（新）</w:t>
            </w:r>
          </w:p>
        </w:tc>
        <w:tc>
          <w:tcPr>
            <w:tcW w:type="dxa" w:w="158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用户</w:t>
            </w:r>
          </w:p>
        </w:tc>
        <w:tc>
          <w:tcPr>
            <w:tcW w:type="dxa" w:w="244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线上核销</w:t>
            </w:r>
          </w:p>
        </w:tc>
        <w:tc>
          <w:tcPr>
            <w:tcW w:type="dxa" w:w="309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通过两项新增条件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同上</w:t>
            </w:r>
          </w:p>
        </w:tc>
        <w:tc>
          <w:tcPr>
            <w:tcW w:type="dxa" w:w="1584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用户</w:t>
            </w:r>
          </w:p>
        </w:tc>
        <w:tc>
          <w:tcPr>
            <w:tcW w:type="dxa" w:w="2448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线下或到店核销</w:t>
            </w:r>
          </w:p>
        </w:tc>
        <w:tc>
          <w:tcPr>
            <w:tcW w:type="dxa" w:w="3096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不返回，不允许关联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同上</w:t>
            </w:r>
          </w:p>
        </w:tc>
        <w:tc>
          <w:tcPr>
            <w:tcW w:type="dxa" w:w="158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用户</w:t>
            </w:r>
          </w:p>
        </w:tc>
        <w:tc>
          <w:tcPr>
            <w:tcW w:type="dxa" w:w="244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线上线下组合，或缺失/未知</w:t>
            </w:r>
          </w:p>
        </w:tc>
        <w:tc>
          <w:tcPr>
            <w:tcW w:type="dxa" w:w="309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不满足精确匹配，不放行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同上</w:t>
            </w:r>
          </w:p>
        </w:tc>
        <w:tc>
          <w:tcPr>
            <w:tcW w:type="dxa" w:w="1584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VIN或无法确认是用户</w:t>
            </w:r>
          </w:p>
        </w:tc>
        <w:tc>
          <w:tcPr>
            <w:tcW w:type="dxa" w:w="2448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线上核销</w:t>
            </w:r>
          </w:p>
        </w:tc>
        <w:tc>
          <w:tcPr>
            <w:tcW w:type="dxa" w:w="3096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不满足用户规则，不放行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号码级；其他未列明场景</w:t>
            </w:r>
          </w:p>
        </w:tc>
        <w:tc>
          <w:tcPr>
            <w:tcW w:type="dxa" w:w="158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用户</w:t>
            </w:r>
          </w:p>
        </w:tc>
        <w:tc>
          <w:tcPr>
            <w:tcW w:type="dxa" w:w="244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按既有规则</w:t>
            </w:r>
          </w:p>
        </w:tc>
        <w:tc>
          <w:tcPr>
            <w:tcW w:type="dxa" w:w="309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不追加本次核销限制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非号码级；任意场景</w:t>
            </w:r>
          </w:p>
        </w:tc>
        <w:tc>
          <w:tcPr>
            <w:tcW w:type="dxa" w:w="1584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按既有规则</w:t>
            </w:r>
          </w:p>
        </w:tc>
        <w:tc>
          <w:tcPr>
            <w:tcW w:type="dxa" w:w="2448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按既有规则</w:t>
            </w:r>
          </w:p>
        </w:tc>
        <w:tc>
          <w:tcPr>
            <w:tcW w:type="dxa" w:w="3096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不追加号码级专属限制</w:t>
            </w:r>
          </w:p>
        </w:tc>
      </w:tr>
    </w:tbl>
    <w:p/>
    <w:p>
      <w:pPr>
        <w:pStyle w:val="Heading2"/>
      </w:pPr>
      <w:r>
        <w:t>精确匹配</w:t>
      </w:r>
    </w:p>
    <w:p>
      <w:r>
        <w:t>“线上核销”要求核销方式等于该业务含义，不能用名称包含“线上”判断。线上与线下组合、缺失和未知值均不等于线上核销。边界示例不代表真实接口已经存在对应枚举；正式编码须由卡券中心提供。</w:t>
      </w:r>
    </w:p>
    <w:p>
      <w:pPr>
        <w:pStyle w:val="Heading2"/>
      </w:pPr>
      <w:r>
        <w:t>按场景判断</w:t>
      </w:r>
    </w:p>
    <w:p>
      <w:r>
        <w:t>BIMC（新）和维修保养（新）的线上核销限制与用户领取规则为“且”。其他未列明场景仅追加用户领取规则限制；非号码级不附加本次专有限制。不得根据券名猜测场景或扩大限制范围。</w:t>
      </w:r>
    </w:p>
    <w:p>
      <w:pPr>
        <w:pStyle w:val="Heading2"/>
      </w:pPr>
      <w:r>
        <w:t>查询完整性</w:t>
      </w:r>
    </w:p>
    <w:p>
      <w:r>
        <w:t>搜索、刷新、重置和翻页必须持续应用准入条件。建议在全部适用条件过滤后统计总数和分页，避免只从当前页删除不合规券而造成页数和结果缺失。无结果时返回空集合和总数0的具体格式按正式接口合同约定。</w:t>
      </w:r>
    </w:p>
    <w:p>
      <w:r>
        <w:br w:type="page"/>
      </w:r>
    </w:p>
    <w:p>
      <w:pPr>
        <w:pStyle w:val="Heading1"/>
      </w:pPr>
      <w:r>
        <w:t>5 前端字段与联动规则</w:t>
      </w:r>
    </w:p>
    <w:p>
      <w:pPr>
        <w:pStyle w:val="Heading2"/>
      </w:pPr>
      <w:r>
        <w:t>准入配置位置</w:t>
      </w:r>
    </w:p>
    <w:p>
      <w:r>
        <w:t>将step3的整个准入配置区移到step1，放在活动启停用上方。当前页面使用“活动状态”标签。准入等级、校验节点及原有提示一起前移，step3删除重复区域。当前原型沿用C端主动参与活动显示准入，其他类型见Q01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024"/>
        <w:gridCol w:w="3960"/>
      </w:tblGrid>
      <w:tr>
        <w:trPr>
          <w:cantSplit/>
          <w:tblHeader/>
        </w:trPr>
        <w:tc>
          <w:tcPr>
            <w:tcW w:type="dxa" w:w="3096"/>
            <w:vAlign w:val="center"/>
            <w:shd w:fill="23456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3024"/>
            <w:vAlign w:val="center"/>
            <w:shd w:fill="23456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活动属性规则</w:t>
            </w:r>
          </w:p>
        </w:tc>
        <w:tc>
          <w:tcPr>
            <w:tcW w:type="dxa" w:w="3960"/>
            <w:vAlign w:val="center"/>
            <w:shd w:fill="23456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必填性与补充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C端主动参与活动</w:t>
            </w:r>
          </w:p>
        </w:tc>
        <w:tc>
          <w:tcPr>
            <w:tcW w:type="dxa" w:w="302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默认选车</w:t>
            </w:r>
          </w:p>
        </w:tc>
        <w:tc>
          <w:tcPr>
            <w:tcW w:type="dxa" w:w="396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号码级覆盖为仅选人；非号码级额外禁选见Q02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商城周边</w:t>
            </w:r>
          </w:p>
        </w:tc>
        <w:tc>
          <w:tcPr>
            <w:tcW w:type="dxa" w:w="3024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默认选人</w:t>
            </w:r>
          </w:p>
        </w:tc>
        <w:tc>
          <w:tcPr>
            <w:tcW w:type="dxa" w:w="3960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非必填；单选时额外禁选见Q03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用户行为触发、商城售后</w:t>
            </w:r>
          </w:p>
        </w:tc>
        <w:tc>
          <w:tcPr>
            <w:tcW w:type="dxa" w:w="302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本次未新增默认值</w:t>
            </w:r>
          </w:p>
        </w:tc>
        <w:tc>
          <w:tcPr>
            <w:tcW w:type="dxa" w:w="396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非必填，可清空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商城售后与商城周边复选</w:t>
            </w:r>
          </w:p>
        </w:tc>
        <w:tc>
          <w:tcPr>
            <w:tcW w:type="dxa" w:w="3024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可选范围为交集：仅选人</w:t>
            </w:r>
          </w:p>
        </w:tc>
        <w:tc>
          <w:tcPr>
            <w:tcW w:type="dxa" w:w="3960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非必填，可清空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号码级</w:t>
            </w:r>
          </w:p>
        </w:tc>
        <w:tc>
          <w:tcPr>
            <w:tcW w:type="dxa" w:w="302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仅允许选人，优先于默认选车</w:t>
            </w:r>
          </w:p>
        </w:tc>
        <w:tc>
          <w:tcPr>
            <w:tcW w:type="dxa" w:w="396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是否必填仍由活动类型决定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4608"/>
        <w:gridCol w:w="3024"/>
      </w:tblGrid>
      <w:tr>
        <w:trPr>
          <w:cantSplit/>
          <w:tblHeader/>
        </w:trPr>
        <w:tc>
          <w:tcPr>
            <w:tcW w:type="dxa" w:w="2448"/>
            <w:vAlign w:val="center"/>
            <w:shd w:fill="23456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活动属性</w:t>
            </w:r>
          </w:p>
        </w:tc>
        <w:tc>
          <w:tcPr>
            <w:tcW w:type="dxa" w:w="4608"/>
            <w:vAlign w:val="center"/>
            <w:shd w:fill="23456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自动勾选的用户标识</w:t>
            </w:r>
          </w:p>
        </w:tc>
        <w:tc>
          <w:tcPr>
            <w:tcW w:type="dxa" w:w="3024"/>
            <w:vAlign w:val="center"/>
            <w:shd w:fill="23456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是否允许手动编辑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选人</w:t>
            </w:r>
          </w:p>
        </w:tc>
        <w:tc>
          <w:tcPr>
            <w:tcW w:type="dxa" w:w="460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oneid</w:t>
            </w:r>
          </w:p>
        </w:tc>
        <w:tc>
          <w:tcPr>
            <w:tcW w:type="dxa" w:w="302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不允许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选车</w:t>
            </w:r>
          </w:p>
        </w:tc>
        <w:tc>
          <w:tcPr>
            <w:tcW w:type="dxa" w:w="4608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VIN</w:t>
            </w:r>
          </w:p>
        </w:tc>
        <w:tc>
          <w:tcPr>
            <w:tcW w:type="dxa" w:w="3024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不允许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选人+车</w:t>
            </w:r>
          </w:p>
        </w:tc>
        <w:tc>
          <w:tcPr>
            <w:tcW w:type="dxa" w:w="460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oneid、VIN</w:t>
            </w:r>
          </w:p>
        </w:tc>
        <w:tc>
          <w:tcPr>
            <w:tcW w:type="dxa" w:w="302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不允许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空值（仅非必填）</w:t>
            </w:r>
          </w:p>
        </w:tc>
        <w:tc>
          <w:tcPr>
            <w:tcW w:type="dxa" w:w="4608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不保留旧勾选</w:t>
            </w:r>
          </w:p>
        </w:tc>
        <w:tc>
          <w:tcPr>
            <w:tcW w:type="dxa" w:w="3024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按属性状态展示</w:t>
            </w:r>
          </w:p>
        </w:tc>
      </w:tr>
    </w:tbl>
    <w:p/>
    <w:p>
      <w:r>
        <w:t>选人+车时，oneid与VIN为“且”，两个字段均一致时才可发放或领取。真实服务执行需联调验证。活动属性为空时的执行语义见Q07。</w:t>
      </w:r>
    </w:p>
    <w:p>
      <w:r>
        <w:t>原型建议：切换准入后自动纠正不兼容属性；冲突卡券保留可见，显示原因并要求重选或移除，阻止继续和保存。正式交互策略见Q04。</w:t>
      </w:r>
    </w:p>
    <w:p>
      <w:r>
        <w:br w:type="page"/>
      </w:r>
    </w:p>
    <w:p>
      <w:pPr>
        <w:pStyle w:val="Heading1"/>
      </w:pPr>
      <w:r>
        <w:t>6 接口对接改造</w:t>
      </w:r>
    </w:p>
    <w:p>
      <w:r>
        <w:t>提供方为卡券中心，调用方为活动中心后端。前端提交当前活动准入和查询上下文，活动中心后端完成正式字段映射，卡券中心执行过滤。以下为业务语义，不作为正式字段名或枚举编码。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3110"/>
        <w:gridCol w:w="5357"/>
      </w:tblGrid>
      <w:tr>
        <w:trPr>
          <w:cantSplit/>
          <w:tblHeader/>
        </w:trPr>
        <w:tc>
          <w:tcPr>
            <w:tcW w:type="dxa" w:w="1613"/>
            <w:vAlign w:val="center"/>
            <w:shd w:fill="23456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3110"/>
            <w:vAlign w:val="center"/>
            <w:shd w:fill="23456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业务信息</w:t>
            </w:r>
          </w:p>
        </w:tc>
        <w:tc>
          <w:tcPr>
            <w:tcW w:type="dxa" w:w="5357"/>
            <w:vAlign w:val="center"/>
            <w:shd w:fill="23456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请求</w:t>
            </w:r>
          </w:p>
        </w:tc>
        <w:tc>
          <w:tcPr>
            <w:tcW w:type="dxa" w:w="311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活动准入等级</w:t>
            </w:r>
          </w:p>
        </w:tc>
        <w:tc>
          <w:tcPr>
            <w:tcW w:type="dxa" w:w="53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号码级用于触发过滤。未传、未知值与旧调用兼容见Q05。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请求</w:t>
            </w:r>
          </w:p>
        </w:tc>
        <w:tc>
          <w:tcPr>
            <w:tcW w:type="dxa" w:w="3110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卡券业务场景</w:t>
            </w:r>
          </w:p>
        </w:tc>
        <w:tc>
          <w:tcPr>
            <w:tcW w:type="dxa" w:w="5357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保留当前场景查询。以正式场景编码识别BIMC（新）及维修保养（新）。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请求</w:t>
            </w:r>
          </w:p>
        </w:tc>
        <w:tc>
          <w:tcPr>
            <w:tcW w:type="dxa" w:w="311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券ID、名称、分页条件</w:t>
            </w:r>
          </w:p>
        </w:tc>
        <w:tc>
          <w:tcPr>
            <w:tcW w:type="dxa" w:w="53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保留既有搜索能力，并持续携带准入条件。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响应（建议）</w:t>
            </w:r>
          </w:p>
        </w:tc>
        <w:tc>
          <w:tcPr>
            <w:tcW w:type="dxa" w:w="3110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卡券标识、名称及场景</w:t>
            </w:r>
          </w:p>
        </w:tc>
        <w:tc>
          <w:tcPr>
            <w:tcW w:type="dxa" w:w="5357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满足原关联结果带回；场景用于逐券复核。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响应（建议）</w:t>
            </w:r>
          </w:p>
        </w:tc>
        <w:tc>
          <w:tcPr>
            <w:tcW w:type="dxa" w:w="3110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领取规则、核销方式</w:t>
            </w:r>
          </w:p>
        </w:tc>
        <w:tc>
          <w:tcPr>
            <w:tcW w:type="dxa" w:w="53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支持展示与校验，不从券名猜测规则。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响应（建议）</w:t>
            </w:r>
          </w:p>
        </w:tc>
        <w:tc>
          <w:tcPr>
            <w:tcW w:type="dxa" w:w="3110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过滤后的列表、总数与分页信息</w:t>
            </w:r>
          </w:p>
        </w:tc>
        <w:tc>
          <w:tcPr>
            <w:tcW w:type="dxa" w:w="5357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前端展示服务端结果，不补回被过滤券。</w:t>
            </w:r>
          </w:p>
        </w:tc>
      </w:tr>
    </w:tbl>
    <w:p/>
    <w:p>
      <w:pPr>
        <w:pStyle w:val="Heading2"/>
      </w:pPr>
      <w:r>
        <w:t>卡券中心</w:t>
      </w:r>
    </w:p>
    <w:p>
      <w:r>
        <w:t>F01–F03负责识别号码级并应用场景过滤。F04将同一规则覆盖搜索与分页路径。F05建议补齐校验所需返回信息，字段是否已有及如何兼容需核对正式合同。</w:t>
      </w:r>
    </w:p>
    <w:p>
      <w:pPr>
        <w:pStyle w:val="Heading2"/>
      </w:pPr>
      <w:r>
        <w:t>活动中心后端</w:t>
      </w:r>
    </w:p>
    <w:p>
      <w:r>
        <w:t>F06–F07调整入参、服务调用和返回适配。仅做前端过滤不能替代卡券中心查询过滤。F08建议在号码级查询失败时提示重试，避免降级到未过滤数据。</w:t>
      </w:r>
    </w:p>
    <w:p>
      <w:pPr>
        <w:pStyle w:val="Heading2"/>
      </w:pPr>
      <w:r>
        <w:t>提交复核建议</w:t>
      </w:r>
    </w:p>
    <w:p>
      <w:r>
        <w:t>F09建议在提交时按当前准入与每张券自身场景重新校验，覆盖旧草稿、等级切换及卡券配置变化。校验数据来源、接口责任和拦截时点见Q06；不因列表已经过滤就假定旧关联永久有效。</w:t>
      </w:r>
    </w:p>
    <w:p>
      <w:r>
        <w:br w:type="page"/>
      </w:r>
    </w:p>
    <w:p>
      <w:pPr>
        <w:pStyle w:val="Heading1"/>
      </w:pPr>
      <w:r>
        <w:t>7 验收要点与原型使用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5688"/>
        <w:gridCol w:w="2088"/>
      </w:tblGrid>
      <w:tr>
        <w:trPr>
          <w:cantSplit/>
          <w:tblHeader/>
        </w:trPr>
        <w:tc>
          <w:tcPr>
            <w:tcW w:type="dxa" w:w="2304"/>
            <w:vAlign w:val="center"/>
            <w:shd w:fill="23456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验收范围</w:t>
            </w:r>
          </w:p>
        </w:tc>
        <w:tc>
          <w:tcPr>
            <w:tcW w:type="dxa" w:w="5688"/>
            <w:vAlign w:val="center"/>
            <w:shd w:fill="23456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关键预期</w:t>
            </w:r>
          </w:p>
        </w:tc>
        <w:tc>
          <w:tcPr>
            <w:tcW w:type="dxa" w:w="2088"/>
            <w:vAlign w:val="center"/>
            <w:shd w:fill="23456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对应场景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位置与属性默认值</w:t>
            </w:r>
          </w:p>
        </w:tc>
        <w:tc>
          <w:tcPr>
            <w:tcW w:type="dxa" w:w="56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准入前移；C端默认车、商城周边默认人，号码级覆盖为仅人。</w:t>
            </w:r>
          </w:p>
        </w:tc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AC01–AC03、AC06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非必填与交集</w:t>
            </w:r>
          </w:p>
        </w:tc>
        <w:tc>
          <w:tcPr>
            <w:tcW w:type="dxa" w:w="5688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三类非必填可清空，商城复选只可选人；号码级不改变独立必填性。</w:t>
            </w:r>
          </w:p>
        </w:tc>
        <w:tc>
          <w:tcPr>
            <w:tcW w:type="dxa" w:w="2088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AC04、AC05、AC07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用户标识</w:t>
            </w:r>
          </w:p>
        </w:tc>
        <w:tc>
          <w:tcPr>
            <w:tcW w:type="dxa" w:w="56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自动锁定oneid/VIN，人+车同时一致才可发放或领取。</w:t>
            </w:r>
          </w:p>
        </w:tc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AC08–AC10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双条件正反例</w:t>
            </w:r>
          </w:p>
        </w:tc>
        <w:tc>
          <w:tcPr>
            <w:tcW w:type="dxa" w:w="5688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两场景用户+仅线上通过；VIN、线下、组合、未知值不通过。</w:t>
            </w:r>
          </w:p>
        </w:tc>
        <w:tc>
          <w:tcPr>
            <w:tcW w:type="dxa" w:w="2088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AC11–AC14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范围回归</w:t>
            </w:r>
          </w:p>
        </w:tc>
        <w:tc>
          <w:tcPr>
            <w:tcW w:type="dxa" w:w="56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其他场景及非号码级不被附加两场景的核销限制。</w:t>
            </w:r>
          </w:p>
        </w:tc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AC15、AC16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搜索与分页</w:t>
            </w:r>
          </w:p>
        </w:tc>
        <w:tc>
          <w:tcPr>
            <w:tcW w:type="dxa" w:w="5688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券ID、名称、重置、刷新、翻页不能绕过条件；空结果可识别。</w:t>
            </w:r>
          </w:p>
        </w:tc>
        <w:tc>
          <w:tcPr>
            <w:tcW w:type="dxa" w:w="2088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AC17、AC19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配置变化与旧草稿</w:t>
            </w:r>
          </w:p>
        </w:tc>
        <w:tc>
          <w:tcPr>
            <w:tcW w:type="dxa" w:w="56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按确认后的策略处理冲突并阻止非法关联。</w:t>
            </w:r>
          </w:p>
        </w:tc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AC18、AC20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接口与异常</w:t>
            </w:r>
          </w:p>
        </w:tc>
        <w:tc>
          <w:tcPr>
            <w:tcW w:type="dxa" w:w="5688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正式字段正确传递和映射，超时与旧调用按约定处理。</w:t>
            </w:r>
          </w:p>
        </w:tc>
        <w:tc>
          <w:tcPr>
            <w:tcW w:type="dxa" w:w="2088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AC21、AC22</w:t>
            </w:r>
          </w:p>
        </w:tc>
      </w:tr>
    </w:tbl>
    <w:p/>
    <w:p>
      <w:pPr>
        <w:pStyle w:val="Heading2"/>
      </w:pPr>
      <w:r>
        <w:t>原型标注</w:t>
      </w:r>
    </w:p>
    <w:p>
      <w:r>
        <w:t>原型右侧“页面标注”可折叠，并随step1、step2、step3及选券弹窗切换说明。点击编号或“定位字段”定位对应区域。标注使用F01–F18功能编号，褐色文字说明建议或待确认项。窄屏定位后自动收起标注，便于查看字段。</w:t>
      </w:r>
    </w:p>
    <w:p>
      <w:pPr>
        <w:pStyle w:val="Heading2"/>
      </w:pPr>
      <w:r>
        <w:t>验收边界</w:t>
      </w:r>
    </w:p>
    <w:p>
      <w:r>
        <w:t>当前交付包括需求资料与本地静态原型。DEMO卡券用于展示规则，不能反推真实卡券配置或正式枚举。接口实现、SIT保存、真实发券/领券的人车且校验以及历史活动兼容均需另行研发联调和业务验收。</w:t>
      </w:r>
    </w:p>
    <w:p>
      <w:r>
        <w:t>功能清单附完整22个验收场景，其“确认层级”说明哪些场景可按已确认规则验收，哪些需先完成范围、合同或交互策略确认。</w:t>
      </w:r>
    </w:p>
    <w:p>
      <w:r>
        <w:br w:type="page"/>
      </w:r>
    </w:p>
    <w:p>
      <w:pPr>
        <w:pStyle w:val="Heading1"/>
      </w:pPr>
      <w:r>
        <w:t>8 待确认事项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045"/>
        <w:gridCol w:w="7243"/>
      </w:tblGrid>
      <w:tr>
        <w:trPr>
          <w:cantSplit/>
          <w:tblHeader/>
        </w:trPr>
        <w:tc>
          <w:tcPr>
            <w:tcW w:type="dxa" w:w="792"/>
            <w:vAlign w:val="center"/>
            <w:shd w:fill="23456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045"/>
            <w:vAlign w:val="center"/>
            <w:shd w:fill="23456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7243"/>
            <w:vAlign w:val="center"/>
            <w:shd w:fill="234568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  <w:sz w:val="20"/>
              </w:rPr>
              <w:t>待确认内容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Q01</w:t>
            </w:r>
          </w:p>
        </w:tc>
        <w:tc>
          <w:tcPr>
            <w:tcW w:type="dxa" w:w="204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准入展示范围</w:t>
            </w:r>
          </w:p>
        </w:tc>
        <w:tc>
          <w:tcPr>
            <w:tcW w:type="dxa" w:w="724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目前原型沿用C端主动参与活动可见。是否扩展至用户行为触发、商城及其他活动类型。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Q02</w:t>
            </w:r>
          </w:p>
        </w:tc>
        <w:tc>
          <w:tcPr>
            <w:tcW w:type="dxa" w:w="2045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非号码级C端禁选范围</w:t>
            </w:r>
          </w:p>
        </w:tc>
        <w:tc>
          <w:tcPr>
            <w:tcW w:type="dxa" w:w="7243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默认选车已确认。SIT额外禁用选人和选人+车是否保留，需要明确。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Q03</w:t>
            </w:r>
          </w:p>
        </w:tc>
        <w:tc>
          <w:tcPr>
            <w:tcW w:type="dxa" w:w="204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商城周边单选的可选范围</w:t>
            </w:r>
          </w:p>
        </w:tc>
        <w:tc>
          <w:tcPr>
            <w:tcW w:type="dxa" w:w="724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默认选人已确认；是否同时禁止另外两项未独立确认。当前原型保留原有禁选表达，不能据此扩大规则。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Q04</w:t>
            </w:r>
          </w:p>
        </w:tc>
        <w:tc>
          <w:tcPr>
            <w:tcW w:type="dxa" w:w="2045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切换时的旧选择</w:t>
            </w:r>
          </w:p>
        </w:tc>
        <w:tc>
          <w:tcPr>
            <w:tcW w:type="dxa" w:w="7243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属性自动纠正和冲突券保留提示为原型方案。正式采用自动清空、保留待修正还是切换确认。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Q05</w:t>
            </w:r>
          </w:p>
        </w:tc>
        <w:tc>
          <w:tcPr>
            <w:tcW w:type="dxa" w:w="204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查询接口技术合同</w:t>
            </w:r>
          </w:p>
        </w:tc>
        <w:tc>
          <w:tcPr>
            <w:tcW w:type="dxa" w:w="724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接口地址、方法、准入/场景/领取规则/核销方式正式字段及枚举、鉴权、分页、错误码与未传等级兼容。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Q06</w:t>
            </w:r>
          </w:p>
        </w:tc>
        <w:tc>
          <w:tcPr>
            <w:tcW w:type="dxa" w:w="2045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提交复核与历史数据</w:t>
            </w:r>
          </w:p>
        </w:tc>
        <w:tc>
          <w:tcPr>
            <w:tcW w:type="dxa" w:w="7243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服务端复核接口由谁提供、何时调用，以及历史活动编辑/复制/草稿的兼容范围。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Q07</w:t>
            </w:r>
          </w:p>
        </w:tc>
        <w:tc>
          <w:tcPr>
            <w:tcW w:type="dxa" w:w="204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非必填空值的执行语义</w:t>
            </w:r>
          </w:p>
        </w:tc>
        <w:tc>
          <w:tcPr>
            <w:tcW w:type="dxa" w:w="724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属性为空时的真实发放/领取逻辑沿用何种既有处理；不能由原型自行兜底为手机号、oneid或VIN。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Q08</w:t>
            </w:r>
          </w:p>
        </w:tc>
        <w:tc>
          <w:tcPr>
            <w:tcW w:type="dxa" w:w="2045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后续场景扩展</w:t>
            </w:r>
          </w:p>
        </w:tc>
        <w:tc>
          <w:tcPr>
            <w:tcW w:type="dxa" w:w="7243"/>
            <w:vAlign w:val="center"/>
            <w:shd w:fill="F1F5FA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本次精确线上核销限制仅点名BIMC（新）和维修保养（新）。其他同类场景如需扩展应补充明确清单。</w:t>
            </w:r>
          </w:p>
        </w:tc>
      </w:tr>
    </w:tbl>
    <w:p/>
    <w:p>
      <w:pPr>
        <w:pStyle w:val="Heading2"/>
      </w:pPr>
      <w:r>
        <w:t>需求依据</w:t>
      </w:r>
    </w:p>
    <w:p>
      <w:r>
        <w:t>S01 用户首次调整要求：准入前移、属性单选与默认值、非必填、商城交集、用户标识、号码级选人及用户领取规则。</w:t>
      </w:r>
    </w:p>
    <w:p>
      <w:r>
        <w:t>S02 用户线上核销补充：BIMC（新）和维修保养（新）仅线上核销可关联号码级活动。</w:t>
      </w:r>
    </w:p>
    <w:p>
      <w:r>
        <w:t>S03 用户本次职责划分：卡券中心按准入与场景过滤，活动中心后端调整对接，管理后台调整位置及属性默认值。</w:t>
      </w:r>
    </w:p>
    <w:p>
      <w:r>
        <w:t>J01 本次评审建议：分页顺序、返回信息、提交复核、异常兼容与旧选择处理；具体合同或策略待确认。</w:t>
      </w:r>
    </w:p>
    <w:sectPr w:rsidR="00FC693F" w:rsidRPr="0006063C" w:rsidSect="00034616">
      <w:footerReference w:type="default" r:id="rId9"/>
      <w:pgSz w:w="12240" w:h="15840"/>
      <w:pgMar w:top="979" w:right="1037" w:bottom="893" w:left="1037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88" w:lineRule="auto"/>
      <w:outlineLvl w:val="0"/>
    </w:pPr>
    <w:rPr>
      <w:rFonts w:cstheme="majorBidi" w:ascii="Arial Unicode MS" w:hAnsi="Arial Unicode MS" w:eastAsia="Arial Unicode MS" w:cs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88" w:lineRule="auto"/>
      <w:outlineLvl w:val="1"/>
    </w:pPr>
    <w:rPr>
      <w:rFonts w:cstheme="majorBidi" w:ascii="Arial Unicode MS" w:hAnsi="Arial Unicode MS" w:eastAsia="Arial Unicode MS" w:cs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 w:line="288" w:lineRule="auto"/>
      <w:outlineLvl w:val="2"/>
    </w:pPr>
    <w:rPr>
      <w:rFonts w:cstheme="majorBidi" w:ascii="Arial Unicode MS" w:hAnsi="Arial Unicode MS" w:eastAsia="Arial Unicode MS" w:cs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8" w:lineRule="auto"/>
      <w:contextualSpacing/>
    </w:pPr>
    <w:rPr>
      <w:rFonts w:cstheme="majorBidi" w:ascii="Arial Unicode MS" w:hAnsi="Arial Unicode MS" w:eastAsia="Arial Unicode MS" w:cs="Arial Unicode M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8" w:lineRule="auto"/>
    </w:pPr>
    <w:rPr>
      <w:rFonts w:cstheme="majorBidi" w:ascii="Arial Unicode MS" w:hAnsi="Arial Unicode MS" w:eastAsia="Arial Unicode MS" w:cs="Arial Unicode MS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保客活动号码级准入联动需求说明</dc:title>
  <dc:subject>保客活动号码级准入与关联卡券过滤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