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Xinhu测试计划</w:t>
      </w: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2018014524刘畅</w:t>
      </w:r>
    </w:p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修订历史记录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刘畅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ind w:left="588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000000"/>
        </w:rPr>
      </w:pPr>
      <w:bookmarkStart w:id="0" w:name="_Toc161292569"/>
      <w:bookmarkStart w:id="1" w:name="_Toc141170027"/>
      <w:r>
        <w:rPr>
          <w:rFonts w:hint="eastAsia"/>
          <w:color w:val="000000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hint="eastAsia"/>
          <w:color w:val="000000"/>
        </w:rPr>
      </w:pPr>
      <w:bookmarkStart w:id="2" w:name="_Toc161292570"/>
      <w:r>
        <w:rPr>
          <w:rFonts w:hint="eastAsia"/>
          <w:color w:val="000000"/>
        </w:rPr>
        <w:t>产品简介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信呼是一个为企业构建一个基于互联网的企业管理平台, 对企业中沟通与互动，协作与管理的全方位整合，并且免费开源系统，二次开发更快捷，即时推送审批，掌上APP手机办公。它包括个人办公，流程，资源，任务，客户，人事考勤，行政，流程模块，系统等模块。</w:t>
      </w:r>
    </w:p>
    <w:p>
      <w:pPr>
        <w:pStyle w:val="3"/>
        <w:rPr>
          <w:rFonts w:hint="eastAsia"/>
          <w:color w:val="000000"/>
        </w:rPr>
      </w:pPr>
      <w:bookmarkStart w:id="3" w:name="_Toc161292571"/>
      <w:r>
        <w:rPr>
          <w:color w:val="000000"/>
        </w:rPr>
        <w:t xml:space="preserve">1.2  </w:t>
      </w:r>
      <w:r>
        <w:rPr>
          <w:rFonts w:hint="eastAsia"/>
          <w:color w:val="000000"/>
        </w:rPr>
        <w:t>测试目的</w:t>
      </w:r>
      <w:bookmarkEnd w:id="3"/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Xinhu</w:t>
      </w:r>
      <w:r>
        <w:rPr>
          <w:rFonts w:hint="eastAsia"/>
          <w:color w:val="000000"/>
          <w:szCs w:val="21"/>
        </w:rPr>
        <w:t>的测试目的是为了检测系统是否符合最终需求，其中包括：</w:t>
      </w:r>
    </w:p>
    <w:p>
      <w:pPr>
        <w:ind w:firstLine="42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</w:t>
      </w:r>
      <w:r>
        <w:rPr>
          <w:rFonts w:hint="eastAsia"/>
          <w:color w:val="000000"/>
          <w:szCs w:val="21"/>
          <w:lang w:val="en-US" w:eastAsia="zh-CN"/>
        </w:rPr>
        <w:t>对《信呼协同办公系统》中“个人办公”模块进行测试，设计测试用例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·各功能点是否正确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·业务流程是否正确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·数据的传输是否完整、正确、安全，性能是否良好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·系统是否具有良好的容错性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·应用程序是否具有良好的易用性和可操作性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</w:pPr>
      <w:bookmarkStart w:id="4" w:name="_Toc161292573"/>
      <w:r>
        <w:rPr>
          <w:rFonts w:hint="eastAsia" w:cstheme="minorBidi"/>
          <w:b/>
          <w:color w:val="000000"/>
          <w:kern w:val="44"/>
          <w:sz w:val="44"/>
          <w:szCs w:val="24"/>
          <w:lang w:val="en-US" w:eastAsia="zh-CN" w:bidi="ar-SA"/>
        </w:rPr>
        <w:t>2</w:t>
      </w:r>
      <w:bookmarkEnd w:id="4"/>
      <w:r>
        <w:rPr>
          <w:rFonts w:hint="eastAsia" w:cstheme="minorBidi"/>
          <w:b/>
          <w:color w:val="000000"/>
          <w:kern w:val="44"/>
          <w:sz w:val="4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  <w:t>测试哪些特征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bCs/>
          <w:color w:val="000000"/>
          <w:kern w:val="2"/>
          <w:sz w:val="32"/>
          <w:szCs w:val="32"/>
          <w:lang w:val="en-US" w:eastAsia="zh-CN" w:bidi="ar-SA"/>
        </w:rPr>
        <w:t>2.1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①个人中心模块</w:t>
      </w:r>
    </w:p>
    <w:p>
      <w:pPr>
        <w:numPr>
          <w:ilvl w:val="0"/>
          <w:numId w:val="2"/>
        </w:numPr>
        <w:ind w:left="420" w:leftChars="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提醒信息</w:t>
      </w:r>
    </w:p>
    <w:p>
      <w:pPr>
        <w:ind w:left="420" w:leftChars="0" w:firstLine="42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（2）个人资料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（3）我的薪资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（4）内部通讯录</w:t>
      </w:r>
    </w:p>
    <w:p>
      <w:pPr>
        <w:ind w:left="420" w:leftChars="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（5）个人通讯录</w:t>
      </w:r>
    </w:p>
    <w:p>
      <w:pPr>
        <w:ind w:left="420" w:leftChars="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（6）我上传过的文件</w:t>
      </w:r>
    </w:p>
    <w:p>
      <w:pPr>
        <w:ind w:left="420" w:leftChars="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（7）我的培训考试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（8）我的会话记录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②邮件模块</w:t>
      </w: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③通知公告模块</w:t>
      </w: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④日程模块</w:t>
      </w: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⑤单据查看模块</w:t>
      </w: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⑥单据提醒模块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⑦订阅报表模块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⑧会议模块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今日会议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会议室情况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⑨我的考勤模块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我的考勤表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我的打卡记录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我的外出记录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我的打卡异常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我的考勤信息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我的考勤统计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我的定位记录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⑩工作日报模块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我的日报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我的日报统计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我下属日报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我下属日报统计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日报授权查看</w:t>
      </w: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</w:p>
    <w:p>
      <w:pPr>
        <w:pStyle w:val="3"/>
        <w:rPr>
          <w:rFonts w:hint="eastAsia" w:ascii="宋体" w:hAnsi="宋体"/>
          <w:iCs/>
          <w:color w:val="000000"/>
        </w:rPr>
      </w:pPr>
      <w:r>
        <w:rPr>
          <w:rFonts w:hint="eastAsia"/>
          <w:color w:val="000000"/>
          <w:szCs w:val="21"/>
          <w:lang w:val="en-US" w:eastAsia="zh-CN"/>
        </w:rPr>
        <w:t>2.2</w:t>
      </w:r>
      <w:r>
        <w:rPr>
          <w:rFonts w:hint="eastAsia"/>
          <w:color w:val="000000"/>
        </w:rPr>
        <w:t>测试提交文档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（1）测试计划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（2）功能测试用例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（3）性能测试用例</w:t>
      </w:r>
    </w:p>
    <w:p>
      <w:pPr>
        <w:ind w:left="420" w:leftChars="200" w:firstLine="420" w:firstLineChars="200"/>
        <w:rPr>
          <w:rFonts w:hint="eastAsia" w:ascii="宋体" w:hAnsi="宋体"/>
          <w:color w:val="000000"/>
        </w:rPr>
      </w:pPr>
      <w:r>
        <w:rPr>
          <w:rFonts w:hint="eastAsia"/>
          <w:color w:val="000000"/>
        </w:rPr>
        <w:t>（4）测试Bug清单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（5）性能测试报告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（6）系统测试报告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color w:val="000000"/>
        </w:rPr>
      </w:pPr>
      <w:bookmarkStart w:id="5" w:name="_Toc161292576"/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>测试进度</w:t>
      </w:r>
      <w:bookmarkEnd w:id="5"/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740"/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测试过程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计划开始日期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熟悉需求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制定测试计划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设计测试用例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模块、集成测试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20xx0320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系统测试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20xx0325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在线测试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20xx0330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系统测试报告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20xx0404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  <w:bookmarkStart w:id="6" w:name="_Toc161292577"/>
      <w:bookmarkStart w:id="7" w:name="_Toc141170035"/>
      <w:r>
        <w:rPr>
          <w:rFonts w:hint="eastAsia"/>
          <w:color w:val="000000"/>
        </w:rPr>
        <w:t>4 测试资源</w:t>
      </w:r>
      <w:bookmarkEnd w:id="6"/>
      <w:bookmarkEnd w:id="7"/>
    </w:p>
    <w:p>
      <w:pPr>
        <w:pStyle w:val="3"/>
        <w:rPr>
          <w:rFonts w:hint="eastAsia"/>
          <w:color w:val="000000"/>
        </w:rPr>
      </w:pPr>
      <w:bookmarkStart w:id="8" w:name="_Toc161292578"/>
      <w:bookmarkStart w:id="9" w:name="_Toc141170036"/>
      <w:r>
        <w:rPr>
          <w:rFonts w:hint="eastAsia"/>
          <w:color w:val="000000"/>
        </w:rPr>
        <w:t>4.1人力资源</w:t>
      </w:r>
      <w:bookmarkEnd w:id="8"/>
      <w:bookmarkEnd w:id="9"/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0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角色</w:t>
            </w:r>
          </w:p>
        </w:tc>
        <w:tc>
          <w:tcPr>
            <w:tcW w:w="10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55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负责设计部分测试用例，执行测试，分析测试数据，形成测试小结，跟踪缺陷</w:t>
            </w:r>
          </w:p>
        </w:tc>
      </w:tr>
    </w:tbl>
    <w:p>
      <w:pPr>
        <w:ind w:firstLine="630" w:firstLineChars="300"/>
        <w:rPr>
          <w:rFonts w:hint="eastAsia"/>
          <w:color w:val="000000"/>
        </w:rPr>
      </w:pPr>
      <w:bookmarkStart w:id="10" w:name="_Toc141170037"/>
    </w:p>
    <w:p>
      <w:pPr>
        <w:pStyle w:val="3"/>
        <w:rPr>
          <w:rFonts w:hint="eastAsia"/>
          <w:color w:val="000000"/>
        </w:rPr>
      </w:pPr>
      <w:bookmarkStart w:id="11" w:name="_Toc161292579"/>
      <w:r>
        <w:rPr>
          <w:rFonts w:hint="eastAsia"/>
          <w:color w:val="000000"/>
        </w:rPr>
        <w:t>4.2测试环境</w:t>
      </w:r>
      <w:bookmarkEnd w:id="10"/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/>
          <w:lang w:val="en-US" w:eastAsia="zh-CN"/>
        </w:rPr>
        <w:t>Phpstudy集成环境（Apache+mysql）</w:t>
      </w:r>
      <w:bookmarkStart w:id="24" w:name="_GoBack"/>
      <w:bookmarkEnd w:id="24"/>
    </w:p>
    <w:p>
      <w:pPr>
        <w:pStyle w:val="2"/>
        <w:rPr>
          <w:rFonts w:hint="eastAsia"/>
          <w:color w:val="000000"/>
        </w:rPr>
      </w:pPr>
      <w:bookmarkStart w:id="12" w:name="_Toc161292590"/>
      <w:r>
        <w:rPr>
          <w:rFonts w:hint="eastAsia"/>
          <w:color w:val="000000"/>
        </w:rPr>
        <w:t>5 问题严重度及优先级描述</w:t>
      </w:r>
      <w:bookmarkEnd w:id="12"/>
    </w:p>
    <w:p>
      <w:pPr>
        <w:pStyle w:val="3"/>
        <w:rPr>
          <w:rFonts w:hint="eastAsia"/>
          <w:color w:val="000000"/>
        </w:rPr>
      </w:pPr>
      <w:bookmarkStart w:id="13" w:name="_Toc161292591"/>
      <w:bookmarkStart w:id="14" w:name="_Toc141170053"/>
      <w:r>
        <w:rPr>
          <w:rFonts w:hint="eastAsia"/>
          <w:color w:val="000000"/>
        </w:rPr>
        <w:t>5.1缺陷严重级别定义</w:t>
      </w:r>
      <w:bookmarkEnd w:id="13"/>
      <w:bookmarkEnd w:id="14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页面出现编译错误或404页面</w:t>
            </w:r>
          </w:p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数据链接未释放</w:t>
            </w:r>
          </w:p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rPr>
          <w:rFonts w:hint="eastAsia"/>
          <w:color w:val="000000"/>
        </w:rPr>
      </w:pPr>
      <w:bookmarkStart w:id="15" w:name="_Toc161292592"/>
      <w:bookmarkStart w:id="16" w:name="_Toc141170054"/>
      <w:r>
        <w:rPr>
          <w:rFonts w:hint="eastAsia"/>
          <w:color w:val="000000"/>
        </w:rPr>
        <w:t>5.2缺陷优先级定义</w:t>
      </w:r>
      <w:bookmarkEnd w:id="15"/>
      <w:bookmarkEnd w:id="16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2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>
            <w:pPr>
              <w:numPr>
                <w:ilvl w:val="0"/>
                <w:numId w:val="12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如果程序员当前开发任务较重要，在完成这个开发模块后，应该优先修复此缺陷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2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default" w:ascii="宋体" w:hAnsi="宋体"/>
          <w:iCs/>
          <w:color w:val="000000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</w:pPr>
    </w:p>
    <w:p>
      <w:pPr>
        <w:pStyle w:val="2"/>
        <w:numPr>
          <w:numId w:val="0"/>
        </w:numPr>
        <w:ind w:leftChars="0"/>
      </w:pPr>
      <w:bookmarkStart w:id="17" w:name="_Toc55833539"/>
      <w:r>
        <w:rPr>
          <w:rFonts w:hint="eastAsia"/>
          <w:lang w:val="en-US" w:eastAsia="zh-CN"/>
        </w:rPr>
        <w:t>6</w:t>
      </w:r>
      <w:r>
        <w:rPr>
          <w:rFonts w:hint="eastAsia"/>
        </w:rPr>
        <w:t>测试策略</w:t>
      </w:r>
      <w:bookmarkEnd w:id="17"/>
    </w:p>
    <w:p>
      <w:pPr>
        <w:pStyle w:val="3"/>
      </w:pPr>
      <w:bookmarkStart w:id="18" w:name="_Toc55833540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整体策略</w:t>
      </w:r>
      <w:bookmarkEnd w:id="18"/>
    </w:p>
    <w:p>
      <w:r>
        <w:rPr>
          <w:rFonts w:hint="eastAsia"/>
        </w:rPr>
        <w:t>本项目特点：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参与的测试人员都是初次接触该系统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系同测试时间进度比较紧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本次项目测试主要进行黑盒测试</w:t>
      </w:r>
    </w:p>
    <w:p>
      <w:pPr>
        <w:pStyle w:val="3"/>
      </w:pPr>
      <w:bookmarkStart w:id="19" w:name="_Toc55833541"/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测试质量评估标准</w:t>
      </w:r>
      <w:bookmarkEnd w:id="19"/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测试用例通过了审评</w:t>
      </w:r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按照测试计划完成了测试工作</w:t>
      </w:r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达到了测试计划中关于测试规定的覆盖率</w:t>
      </w:r>
    </w:p>
    <w:p>
      <w:pPr>
        <w:pStyle w:val="3"/>
      </w:pPr>
      <w:bookmarkStart w:id="20" w:name="_Toc55833542"/>
      <w:r>
        <w:rPr>
          <w:rFonts w:hint="eastAsia"/>
          <w:lang w:val="en-US" w:eastAsia="zh-CN"/>
        </w:rPr>
        <w:t>6</w:t>
      </w:r>
      <w:r>
        <w:rPr>
          <w:rFonts w:hint="eastAsia"/>
        </w:rPr>
        <w:t>.3测试技术</w:t>
      </w:r>
      <w:bookmarkEnd w:id="20"/>
    </w:p>
    <w:p>
      <w:r>
        <w:rPr>
          <w:rFonts w:hint="eastAsia"/>
        </w:rPr>
        <w:t>1.本项目主要采用黑盒测试技术</w:t>
      </w:r>
    </w:p>
    <w:p>
      <w:pPr>
        <w:rPr>
          <w:rFonts w:hint="eastAsia"/>
        </w:rPr>
      </w:pPr>
      <w:r>
        <w:rPr>
          <w:rFonts w:hint="eastAsia"/>
        </w:rPr>
        <w:t>2.本项目渗透测试将使用burpsuit工具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numId w:val="0"/>
        </w:numPr>
        <w:ind w:leftChars="0"/>
      </w:pPr>
      <w:bookmarkStart w:id="21" w:name="_Toc55833545"/>
      <w:r>
        <w:rPr>
          <w:rFonts w:hint="eastAsia"/>
          <w:lang w:val="en-US" w:eastAsia="zh-CN"/>
        </w:rPr>
        <w:t>7</w:t>
      </w:r>
      <w:r>
        <w:rPr>
          <w:rFonts w:hint="eastAsia"/>
        </w:rPr>
        <w:t>测试方法</w:t>
      </w:r>
      <w:bookmarkEnd w:id="21"/>
    </w:p>
    <w:p>
      <w:pPr>
        <w:pStyle w:val="3"/>
      </w:pPr>
      <w:bookmarkStart w:id="22" w:name="_Toc55833546"/>
      <w:r>
        <w:rPr>
          <w:rFonts w:hint="eastAsia"/>
          <w:lang w:val="en-US" w:eastAsia="zh-CN"/>
        </w:rPr>
        <w:t>7.</w:t>
      </w:r>
      <w:r>
        <w:rPr>
          <w:rFonts w:hint="eastAsia"/>
        </w:rPr>
        <w:t>1测试阶段划分</w:t>
      </w:r>
      <w:bookmarkEnd w:id="22"/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使用黑盒测试方法进行用例编写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练习测试报告的编写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使用敏捷scrum开发方法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使用探索性方法进行测试，编写测试用例</w:t>
      </w:r>
    </w:p>
    <w:p>
      <w:pPr>
        <w:pStyle w:val="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进行渗透测试</w:t>
      </w:r>
    </w:p>
    <w:p>
      <w:pPr>
        <w:pStyle w:val="3"/>
        <w:numPr>
          <w:numId w:val="0"/>
        </w:numPr>
        <w:ind w:leftChars="0"/>
      </w:pPr>
      <w:bookmarkStart w:id="23" w:name="_Toc55833547"/>
      <w:r>
        <w:rPr>
          <w:rFonts w:hint="eastAsia"/>
          <w:lang w:val="en-US" w:eastAsia="zh-CN"/>
        </w:rPr>
        <w:t>7.2</w:t>
      </w:r>
      <w:r>
        <w:rPr>
          <w:rFonts w:hint="eastAsia"/>
        </w:rPr>
        <w:t>测试用例</w:t>
      </w:r>
      <w:bookmarkEnd w:id="23"/>
    </w:p>
    <w:p>
      <w:r>
        <w:rPr>
          <w:rFonts w:hint="eastAsia"/>
        </w:rPr>
        <w:t>详见附件：网站测试用例.</w:t>
      </w:r>
      <w:r>
        <w:t>xls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726A3"/>
    <w:multiLevelType w:val="singleLevel"/>
    <w:tmpl w:val="81C726A3"/>
    <w:lvl w:ilvl="0" w:tentative="0">
      <w:start w:val="1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1">
    <w:nsid w:val="C5C96B31"/>
    <w:multiLevelType w:val="singleLevel"/>
    <w:tmpl w:val="C5C96B31"/>
    <w:lvl w:ilvl="0" w:tentative="0">
      <w:start w:val="1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2">
    <w:nsid w:val="E0DD80E5"/>
    <w:multiLevelType w:val="singleLevel"/>
    <w:tmpl w:val="E0DD80E5"/>
    <w:lvl w:ilvl="0" w:tentative="0">
      <w:start w:val="1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3">
    <w:nsid w:val="10D14E40"/>
    <w:multiLevelType w:val="multilevel"/>
    <w:tmpl w:val="10D14E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28133"/>
    <w:multiLevelType w:val="singleLevel"/>
    <w:tmpl w:val="1112813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54B6FDF"/>
    <w:multiLevelType w:val="multilevel"/>
    <w:tmpl w:val="254B6F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31390C23"/>
    <w:multiLevelType w:val="multilevel"/>
    <w:tmpl w:val="31390C2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3A8E2AA3"/>
    <w:multiLevelType w:val="multilevel"/>
    <w:tmpl w:val="3A8E2A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6A6108"/>
    <w:multiLevelType w:val="multilevel"/>
    <w:tmpl w:val="3C6A61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0">
    <w:nsid w:val="507F4EC9"/>
    <w:multiLevelType w:val="multilevel"/>
    <w:tmpl w:val="507F4EC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3DC72DA"/>
    <w:multiLevelType w:val="multilevel"/>
    <w:tmpl w:val="53DC72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55E2784D"/>
    <w:multiLevelType w:val="multilevel"/>
    <w:tmpl w:val="55E278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5C531427"/>
    <w:multiLevelType w:val="multilevel"/>
    <w:tmpl w:val="5C531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0266AE6"/>
    <w:multiLevelType w:val="multilevel"/>
    <w:tmpl w:val="60266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4668"/>
    <w:rsid w:val="06C76CE1"/>
    <w:rsid w:val="11B90A8C"/>
    <w:rsid w:val="12946B4A"/>
    <w:rsid w:val="2F3F12E9"/>
    <w:rsid w:val="34720624"/>
    <w:rsid w:val="3FE86CA8"/>
    <w:rsid w:val="401809A6"/>
    <w:rsid w:val="437844D5"/>
    <w:rsid w:val="5ED3693A"/>
    <w:rsid w:val="61430CDB"/>
    <w:rsid w:val="6FA005A9"/>
    <w:rsid w:val="715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2020-11-11T03:41:00Z</dcterms:created>
  <dc:creator>Administrator</dc:creator>
  <cp:lastModifiedBy>Administrator</cp:lastModifiedBy>
  <dcterms:modified xsi:type="dcterms:W3CDTF">2020-11-11T05:58:26Z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