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公司主营业务及商业模式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一、4G/5G Engine™ 软件平台方案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License授权模式</w:t>
      </w:r>
    </w:p>
    <w:p>
      <w:pPr>
        <w:numPr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我司将软件平台的使用权（非所有权）以许可证（License）的形式授予客户。客户支付授权费用，获得在约定数量、约定期限及约定范围内使用软件平台的权利。该模式的核心是“授权使用”，客户无法获得源代码，软件的升级、维护和技术支持通常由我司提供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源代码售卖模式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我司将软件平台的全部或部分源代码、设计文档以及相关知识产权一次性转让给客户。客户支付一笔高昂的费用，获得源代码的所有权或永久使用权，并可以在此基础上进行自主修改、二次开发和系统集成。通常此模式会包含一定期限的技术支持服务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通常两种模式的业务流程如下：</w:t>
      </w:r>
    </w:p>
    <w:p>
      <w:pPr>
        <w:numPr>
          <w:ilvl w:val="0"/>
          <w:numId w:val="0"/>
        </w:numPr>
        <w:jc w:val="center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702050" cy="4972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二、4G/5G端到端通信设备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端到端通信设备分量产与非量产两种模式：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量产产品</w:t>
      </w:r>
    </w:p>
    <w:p>
      <w:pPr>
        <w:numPr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通过参与项目招标，以优势的技术、价格和服务方案赢得合同，根据订单进行现场勘探、生产、交付、部署安装和长期的运维服务，最终完成项目验收并收回款项。具体流程如下：</w:t>
      </w:r>
    </w:p>
    <w:p>
      <w:pPr>
        <w:numPr>
          <w:ilvl w:val="0"/>
          <w:numId w:val="3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招标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运营商发布招标公告，明确项目需求、技术规范、商务条款等。销售部门获取招标文件，组织内部进行项目评估（技术、商务、交付能力），决策是否参与投标。</w:t>
      </w:r>
    </w:p>
    <w:p>
      <w:pPr>
        <w:numPr>
          <w:ilvl w:val="0"/>
          <w:numId w:val="3"/>
        </w:numPr>
        <w:ind w:left="0" w:leftChars="0"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应标：根据招标文件要求，研发部门提供技术方案，供应链提供成本测算，商务部门拟定报价和商务承诺，最终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由商务部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汇编成投标书并在截止日期前提交。</w:t>
      </w:r>
    </w:p>
    <w:p>
      <w:pPr>
        <w:numPr>
          <w:ilvl w:val="0"/>
          <w:numId w:val="3"/>
        </w:numPr>
        <w:ind w:left="0" w:leftChars="0"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中标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：我司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收到中标通知书，与客户进行可能的合同细节谈判。</w:t>
      </w:r>
    </w:p>
    <w:p>
      <w:pPr>
        <w:numPr>
          <w:ilvl w:val="0"/>
          <w:numId w:val="3"/>
        </w:numPr>
        <w:ind w:left="0" w:leftChars="0"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签订合同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双方就合同条款（价格、交付范围、时间、付款条件、售后服务、违约责任等）达成一致，正式签署合同。</w:t>
      </w:r>
    </w:p>
    <w:p>
      <w:pPr>
        <w:numPr>
          <w:ilvl w:val="0"/>
          <w:numId w:val="3"/>
        </w:numPr>
        <w:ind w:left="0" w:leftChars="0"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下单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我司内部根据合同清单和交付计划，生成生产订单和采购订单。供应链管理部门向生产部门下达生产工单，并向原材料供应商采购所需物料。</w:t>
      </w:r>
    </w:p>
    <w:p>
      <w:pPr>
        <w:numPr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（6）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交付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：包括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站点工勘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开通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站点、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站点单验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、现在技术支持与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维护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终验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等环节，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所有站点交付完毕并通过单验后，进行整个项目的最终验收。客户对我司的交付成果、文档等进行全面确认，签署最终验收证书。</w:t>
      </w:r>
    </w:p>
    <w:p>
      <w:pPr>
        <w:numPr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（7）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收款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根据合同中约定的付款节点（如“预付款”、“到货款”、“初验款”、“终验款”、“质保金”），我司财务部门向客户开具发票，并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由销售部门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催收款项。</w:t>
      </w:r>
    </w:p>
    <w:p>
      <w:pPr>
        <w:numPr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具体的流程如下：</w:t>
      </w:r>
    </w:p>
    <w:p>
      <w:pPr>
        <w:numPr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1930400" cy="47434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非量产产品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因客户需求不同，非量产的产品以公司的主营业务产品未中心，以客户需求为导向，经过联合确认后，通过合同锁定范围，并启动专门的研发、采购、生产和交付流程。</w:t>
      </w:r>
    </w:p>
    <w:p>
      <w:pPr>
        <w:numPr>
          <w:ilvl w:val="0"/>
          <w:numId w:val="4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需求确认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，销售部门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与客户进行多轮深入的技术和商务沟通，共同明确并书面确认产品的功能、性能、接口、环境、交付物、验收标准等所有细节。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（2）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签订合同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基于确认的需求，进行方案报价和合同谈判。明确总价格、付款里程碑、知识产权归属、保密条款、违约责任等。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（3）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下单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合同生效后，内部正式立项，成立项目组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将合同和需求转化为内部执行任务书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（4）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研发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：包括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方案设计与评审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（如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硬件设计、软件架构设计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）、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开发与编码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初样制作与调试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设计修改与正样制作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、样机输出等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（5）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采购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研发阶段完成后，基于确定的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样机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BOM清单，进行物料的采购。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（6）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生产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：由生产部门或NPI部门进行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小批量或单件生产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（7）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 xml:space="preserve">交付与验收 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（8）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收款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财务部门严格按照合同约定的付款里程碑节点（如：预付款、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交货</w:t>
      </w:r>
      <w:bookmarkStart w:id="0" w:name="_GoBack"/>
      <w:bookmarkEnd w:id="0"/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款、终验尾款）开具发票并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通知销售部门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催收款项。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具体流程如下：</w:t>
      </w:r>
    </w:p>
    <w:p>
      <w:pPr>
        <w:numPr>
          <w:ilvl w:val="0"/>
          <w:numId w:val="0"/>
        </w:numPr>
        <w:jc w:val="center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784215" cy="276225"/>
            <wp:effectExtent l="0" t="0" r="698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通信处理载荷及卫星终端核心软硬件</w:t>
      </w:r>
    </w:p>
    <w:p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研发类项目（定制研发）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研发类分两项：一是授权使用我司软件平台的，我司将软件平台的使用权（非所有权）以许可证（License）的形式授予客户。客户支付授权费用，此类商业模式与1.License授权模式一致。另外一种是定制研发类项目，具体的业务流程如下：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（1）需求确认，销售部门与客户进行多轮深入的技术和商务沟通，共同明确并书面确认产品的功能、性能、接口、环境、交付物、验收标准等所有细节。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（2）签订合同：基于确认的需求，进行方案报价和合同谈判。明确总价格、付款里程碑、知识产权归属、保密条款、违约责任等。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（3）下单：合同生效后，内部正式立项，成立项目组，将合同和需求转化为内部执行任务书。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（4）研发：包括方案设计与评审、开发与编码等。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（5）测试验证交付：经过研发测试，并按照客户用例测试无误后，进入产品交付阶段。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（6）验收：经过客户确认无误，进入验收阶段。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（7）收款：财务部门严格按照合同约定的付款里程碑节点（如：预付款、交货款、终验尾款）开具发票并通知销售部门催收款项。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具体流程如下：</w:t>
      </w:r>
    </w:p>
    <w:p>
      <w:pPr>
        <w:numPr>
          <w:ilvl w:val="0"/>
          <w:numId w:val="0"/>
        </w:numPr>
        <w:ind w:firstLine="560" w:firstLineChars="200"/>
        <w:jc w:val="center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drawing>
          <wp:inline distT="0" distB="0" distL="114300" distR="114300">
            <wp:extent cx="1726565" cy="9699625"/>
            <wp:effectExtent l="0" t="0" r="635" b="3175"/>
            <wp:docPr id="8" name="图片 8" descr="deepseek_mermaid_20250907_94a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epseek_mermaid_20250907_94a5a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96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产品类项目</w:t>
      </w:r>
    </w:p>
    <w:p>
      <w:pPr>
        <w:numPr>
          <w:ilvl w:val="0"/>
          <w:numId w:val="0"/>
        </w:numPr>
        <w:ind w:firstLine="560" w:firstLineChars="20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业务流程与通信设备业务流程基本一致。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05805"/>
    <w:multiLevelType w:val="singleLevel"/>
    <w:tmpl w:val="8CB0580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658680B"/>
    <w:multiLevelType w:val="singleLevel"/>
    <w:tmpl w:val="C65868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CBC36AF"/>
    <w:multiLevelType w:val="singleLevel"/>
    <w:tmpl w:val="0CBC36A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0353925"/>
    <w:multiLevelType w:val="singleLevel"/>
    <w:tmpl w:val="103539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4974D1F"/>
    <w:multiLevelType w:val="singleLevel"/>
    <w:tmpl w:val="14974D1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8A6E652"/>
    <w:multiLevelType w:val="singleLevel"/>
    <w:tmpl w:val="78A6E65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hMTY2ZjEwZWYxZGI4ZTZmNjdlNDM2MTA0NmJiYzMifQ=="/>
  </w:docVars>
  <w:rsids>
    <w:rsidRoot w:val="7FBB3F64"/>
    <w:rsid w:val="03FF4544"/>
    <w:rsid w:val="0EB743CA"/>
    <w:rsid w:val="14531B4D"/>
    <w:rsid w:val="1B590209"/>
    <w:rsid w:val="216C735A"/>
    <w:rsid w:val="2AC77C1F"/>
    <w:rsid w:val="47B24801"/>
    <w:rsid w:val="48D2515B"/>
    <w:rsid w:val="5334256E"/>
    <w:rsid w:val="56BD0E12"/>
    <w:rsid w:val="57586B58"/>
    <w:rsid w:val="5D493941"/>
    <w:rsid w:val="5ECF75EF"/>
    <w:rsid w:val="5FA42EE3"/>
    <w:rsid w:val="6FEE2012"/>
    <w:rsid w:val="77037A0E"/>
    <w:rsid w:val="7FBB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rFonts w:eastAsia="仿宋_GB2312"/>
      <w:sz w:val="32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2025-09-07T04:58:00Z</dcterms:created>
  <dc:creator>katherine</dc:creator>
  <cp:lastModifiedBy>katherine</cp:lastModifiedBy>
  <dcterms:modified xsi:type="dcterms:W3CDTF">2025-09-07T10:12:57Z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452E7CD978D747AAB2D51E97BB01572D_11</vt:lpwstr>
  </property>
</Properties>
</file>