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CFB2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介于书面学术和口语之间，用短句</w:t>
      </w:r>
    </w:p>
    <w:p w14:paraId="782785B1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每个句子都有主语</w:t>
      </w:r>
    </w:p>
    <w:p w14:paraId="34AA57A3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第三人称，不用"本文"、"作者"</w:t>
      </w:r>
    </w:p>
    <w:p w14:paraId="17A7DAC9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不能编造事实</w:t>
      </w:r>
    </w:p>
    <w:p w14:paraId="2D85047B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不能直接搬别人的话</w:t>
      </w:r>
    </w:p>
    <w:p w14:paraId="6746938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6、参考文献必须到中国知网内查询，必须真实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A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2026-04-27T01:54:31Z</dcterms:created>
  <dc:creator>huanglanfeng</dc:creator>
  <cp:lastModifiedBy>莫失.</cp:lastModifiedBy>
  <dcterms:modified xsi:type="dcterms:W3CDTF">2026-04-27T02:02:21Z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eyJoZGlkIjoiYjViMGVmYzAwMDY3NTAzZjgyNDk1NGU4MWVkMTE2ODciLCJ1c2VySWQiOiIxMzc3NDI1MzMzIn0=</vt:lpwstr>
  </property>
  <property fmtid="{D5CDD505-2E9C-101B-9397-08002B2CF9AE}" pid="4" name="ICV">
    <vt:lpwstr>E69E0069F0A14AADA4CD888EEAA3AA68_12</vt:lpwstr>
  </property>
</Properties>
</file>