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55E"/>
          <w:sz w:val="44"/>
          <w:szCs w:val="44"/>
        </w:rPr>
        <w:t xml:space="preserve">Noise Contour Mapper</w:t>
      </w:r>
    </w:p>
    <w:p>
      <w:pPr>
        <w:spacing w:after="40"/>
      </w:pPr>
      <w:r>
        <w:rPr>
          <w:color w:val="444444"/>
          <w:sz w:val="30"/>
          <w:szCs w:val="30"/>
        </w:rPr>
        <w:t xml:space="preserve">Installation and Setup Guide</w:t>
      </w:r>
    </w:p>
    <w:p>
      <w:pPr>
        <w:pBdr>
          <w:bottom w:val="single" w:color="2B5EA7" w:sz="6" w:space="1"/>
        </w:pBdr>
        <w:spacing w:after="200"/>
      </w:pPr>
      <w:r>
        <w:rPr>
          <w:color w:val="666666"/>
          <w:sz w:val="20"/>
          <w:szCs w:val="20"/>
        </w:rPr>
        <w:t xml:space="preserve">Version 1.2.0   ·   October 2026   ·   Internal pilot</w:t>
      </w:r>
    </w:p>
    <w:p>
      <w:pPr>
        <w:spacing w:after="120"/>
      </w:pPr>
      <w:r>
        <w:t xml:space="preserve">Noise Contour Mapper converts discrete sound level meter (SLM) measurements into a color-coded noise contour map overlaid on a client floor plan. It supports occupational noise assessments, hearing conservation program planning, identification of high-noise equipment or zones, and communication of noise risk to facility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6CE" w:sz="1"/>
              <w:left w:val="single" w:color="BFC6CE" w:sz="1"/>
              <w:bottom w:val="single" w:color="BFC6CE" w:sz="1"/>
              <w:right w:val="single" w:color="BFC6CE" w:sz="1"/>
            </w:tcBorders>
            <w:shd w:fill="E8F0E8" w:val="clear"/>
            <w:tcMar>
              <w:top w:type="dxa" w:w="80"/>
              <w:left w:type="dxa" w:w="120"/>
              <w:bottom w:type="dxa" w:w="80"/>
              <w:right w:type="dxa" w:w="120"/>
            </w:tcMar>
          </w:tcPr>
          <w:p>
            <w:r>
              <w:rPr>
                <w:b/>
                <w:bCs/>
              </w:rPr>
              <w:t xml:space="preserve">No API key, account, or internet connection is required. </w:t>
            </w:r>
            <w:r>
              <w:t xml:space="preserve">This application runs entirely on your computer. Floor plans, measurements, and exported maps never leave your machine.</w:t>
            </w:r>
          </w:p>
        </w:tc>
      </w:tr>
    </w:tbl>
    <w:p/>
    <w:p>
      <w:pPr>
        <w:pStyle w:val="Heading1"/>
      </w:pPr>
      <w:r>
        <w:t xml:space="preserve">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rPr>
              <w:t xml:space="preserve">Operating system</w:t>
            </w:r>
          </w:p>
        </w:tc>
        <w:tc>
          <w:tcPr>
            <w:tcW w:type="dxa" w:w="6560"/>
            <w:tcBorders>
              <w:top w:val="single" w:color="BFC6CE" w:sz="1"/>
              <w:left w:val="single" w:color="BFC6CE" w:sz="1"/>
              <w:bottom w:val="single" w:color="BFC6CE" w:sz="1"/>
              <w:right w:val="single" w:color="BFC6CE" w:sz="1"/>
            </w:tcBorders>
            <w:tcMar>
              <w:top w:type="dxa" w:w="80"/>
              <w:left w:type="dxa" w:w="120"/>
              <w:bottom w:type="dxa" w:w="80"/>
              <w:right w:type="dxa" w:w="120"/>
            </w:tcMar>
          </w:tcPr>
          <w:p>
            <w:r>
              <w:t xml:space="preserve">Windows 10 or Windows 11 (64-bit)</w:t>
            </w:r>
          </w:p>
        </w:tc>
      </w:tr>
      <w:tr>
        <w:tc>
          <w:tcPr>
            <w:tcW w:type="dxa" w:w="28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rPr>
              <w:t xml:space="preserve">Disk space</w:t>
            </w:r>
          </w:p>
        </w:tc>
        <w:tc>
          <w:tcPr>
            <w:tcW w:type="dxa" w:w="6560"/>
            <w:tcBorders>
              <w:top w:val="single" w:color="BFC6CE" w:sz="1"/>
              <w:left w:val="single" w:color="BFC6CE" w:sz="1"/>
              <w:bottom w:val="single" w:color="BFC6CE" w:sz="1"/>
              <w:right w:val="single" w:color="BFC6CE" w:sz="1"/>
            </w:tcBorders>
            <w:tcMar>
              <w:top w:type="dxa" w:w="80"/>
              <w:left w:type="dxa" w:w="120"/>
              <w:bottom w:type="dxa" w:w="80"/>
              <w:right w:type="dxa" w:w="120"/>
            </w:tcMar>
          </w:tcPr>
          <w:p>
            <w:r>
              <w:t xml:space="preserve">About 10 MB for the application</w:t>
            </w:r>
          </w:p>
        </w:tc>
      </w:tr>
      <w:tr>
        <w:tc>
          <w:tcPr>
            <w:tcW w:type="dxa" w:w="28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rPr>
              <w:t xml:space="preserve">Internet</w:t>
            </w:r>
          </w:p>
        </w:tc>
        <w:tc>
          <w:tcPr>
            <w:tcW w:type="dxa" w:w="6560"/>
            <w:tcBorders>
              <w:top w:val="single" w:color="BFC6CE" w:sz="1"/>
              <w:left w:val="single" w:color="BFC6CE" w:sz="1"/>
              <w:bottom w:val="single" w:color="BFC6CE" w:sz="1"/>
              <w:right w:val="single" w:color="BFC6CE" w:sz="1"/>
            </w:tcBorders>
            <w:tcMar>
              <w:top w:type="dxa" w:w="80"/>
              <w:left w:type="dxa" w:w="120"/>
              <w:bottom w:type="dxa" w:w="80"/>
              <w:right w:type="dxa" w:w="120"/>
            </w:tcMar>
          </w:tcPr>
          <w:p>
            <w:r>
              <w:t xml:space="preserve">Not required</w:t>
            </w:r>
          </w:p>
        </w:tc>
      </w:tr>
      <w:tr>
        <w:tc>
          <w:tcPr>
            <w:tcW w:type="dxa" w:w="28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rPr>
              <w:t xml:space="preserve">Prerequisite</w:t>
            </w:r>
          </w:p>
        </w:tc>
        <w:tc>
          <w:tcPr>
            <w:tcW w:type="dxa" w:w="6560"/>
            <w:tcBorders>
              <w:top w:val="single" w:color="BFC6CE" w:sz="1"/>
              <w:left w:val="single" w:color="BFC6CE" w:sz="1"/>
              <w:bottom w:val="single" w:color="BFC6CE" w:sz="1"/>
              <w:right w:val="single" w:color="BFC6CE" w:sz="1"/>
            </w:tcBorders>
            <w:tcMar>
              <w:top w:type="dxa" w:w="80"/>
              <w:left w:type="dxa" w:w="120"/>
              <w:bottom w:type="dxa" w:w="80"/>
              <w:right w:type="dxa" w:w="120"/>
            </w:tcMar>
          </w:tcPr>
          <w:p>
            <w:r>
              <w:t xml:space="preserve">Microsoft Edge WebView2 Runtime — already included with Windows 11 and most Windows 10 systems (see Troubleshooting if the app opens as a blank window)</w:t>
            </w:r>
          </w:p>
        </w:tc>
      </w:tr>
    </w:tbl>
    <w:p>
      <w:pPr>
        <w:pStyle w:val="Heading1"/>
      </w:pPr>
      <w:r>
        <w:t xml:space="preserve">2. Installation</w:t>
      </w:r>
    </w:p>
    <w:p>
      <w:r>
        <w:t xml:space="preserve">There are two ways to install the application. Both give you the identical tool — pick whichever suits you.</w:t>
      </w:r>
    </w:p>
    <w:p>
      <w:pPr>
        <w:pStyle w:val="Heading2"/>
      </w:pPr>
      <w:r>
        <w:t xml:space="preserve">Option A — Portable (no installation)</w:t>
      </w:r>
    </w:p>
    <w:p>
      <w:pPr>
        <w:pStyle w:val="ListParagraph"/>
        <w:numPr>
          <w:ilvl w:val="0"/>
          <w:numId w:val="2"/>
        </w:numPr>
      </w:pPr>
      <w:r>
        <w:t xml:space="preserve">Copy the file </w:t>
      </w:r>
      <w:r>
        <w:rPr>
          <w:b/>
          <w:bCs/>
        </w:rPr>
        <w:t xml:space="preserve">Noise Contour Mapper.exe</w:t>
      </w:r>
      <w:r>
        <w:t xml:space="preserve"> to any folder on your computer (for example, your Desktop or Documents folder). It can also be run from a shared drive or USB stick.</w:t>
      </w:r>
    </w:p>
    <w:p>
      <w:pPr>
        <w:pStyle w:val="ListParagraph"/>
        <w:numPr>
          <w:ilvl w:val="0"/>
          <w:numId w:val="2"/>
        </w:numPr>
      </w:pPr>
      <w:r>
        <w:t xml:space="preserve">Double-click the file to start the tool. That is all — nothing is installed and no administrator rights are needed.</w:t>
      </w:r>
    </w:p>
    <w:p>
      <w:pPr>
        <w:pStyle w:val="Heading2"/>
      </w:pPr>
      <w:r>
        <w:t xml:space="preserve">Option B — Installer (adds a Start menu entry)</w:t>
      </w:r>
    </w:p>
    <w:p>
      <w:pPr>
        <w:pStyle w:val="ListParagraph"/>
        <w:numPr>
          <w:ilvl w:val="0"/>
          <w:numId w:val="3"/>
        </w:numPr>
      </w:pPr>
      <w:r>
        <w:t xml:space="preserve">Double-click </w:t>
      </w:r>
      <w:r>
        <w:rPr>
          <w:b/>
          <w:bCs/>
        </w:rPr>
        <w:t xml:space="preserve">Noise Contour Mapper Setup.exe</w:t>
      </w:r>
      <w:r>
        <w:t xml:space="preserve">.</w:t>
      </w:r>
    </w:p>
    <w:p>
      <w:pPr>
        <w:pStyle w:val="ListParagraph"/>
        <w:numPr>
          <w:ilvl w:val="0"/>
          <w:numId w:val="3"/>
        </w:numPr>
      </w:pPr>
      <w:r>
        <w:t xml:space="preserve">Follow the prompts (the defaults are fine). The setup takes a few seconds.</w:t>
      </w:r>
    </w:p>
    <w:p>
      <w:pPr>
        <w:pStyle w:val="ListParagraph"/>
        <w:numPr>
          <w:ilvl w:val="0"/>
          <w:numId w:val="3"/>
        </w:numPr>
      </w:pPr>
      <w:r>
        <w:t xml:space="preserve">Start the tool from the Start menu entry </w:t>
      </w:r>
      <w:r>
        <w:rPr>
          <w:b/>
          <w:bCs/>
        </w:rPr>
        <w:t xml:space="preserve">Noise Contour Mapper</w:t>
      </w:r>
      <w:r>
        <w:t xml:space="preserve">. To remove it later, use Settings → Apps → Installed apps.</w:t>
      </w:r>
    </w:p>
    <w:p>
      <w:pPr>
        <w:pStyle w:val="Heading2"/>
      </w:pPr>
      <w:r>
        <w:t xml:space="preserve">First launch — Windows SmartScreen notice</w:t>
      </w:r>
    </w:p>
    <w:p>
      <w:r>
        <w:t xml:space="preserve">The first time you run the app or the installer, Windows may show a blue “Windows protected your PC” screen. This appears because the file is not code-signed with a commercial certificate (normal for internal tools), not because anything is wrong.</w:t>
      </w:r>
    </w:p>
    <w:p>
      <w:pPr>
        <w:pStyle w:val="ListParagraph"/>
        <w:numPr>
          <w:ilvl w:val="0"/>
          <w:numId w:val="4"/>
        </w:numPr>
      </w:pPr>
      <w:r>
        <w:t xml:space="preserve">Click </w:t>
      </w:r>
      <w:r>
        <w:rPr>
          <w:b/>
          <w:bCs/>
        </w:rPr>
        <w:t xml:space="preserve">More info</w:t>
      </w:r>
      <w:r>
        <w:t xml:space="preserve">.</w:t>
      </w:r>
    </w:p>
    <w:p>
      <w:pPr>
        <w:pStyle w:val="ListParagraph"/>
        <w:numPr>
          <w:ilvl w:val="0"/>
          <w:numId w:val="4"/>
        </w:numPr>
      </w:pPr>
      <w:r>
        <w:t xml:space="preserve">Click </w:t>
      </w:r>
      <w:r>
        <w:rPr>
          <w:b/>
          <w:bCs/>
        </w:rPr>
        <w:t xml:space="preserve">Run anyway</w:t>
      </w:r>
      <w:r>
        <w:t xml:space="preserve">. The notice will not appear again for the same file.</w:t>
      </w:r>
    </w:p>
    <w:p>
      <w:pPr>
        <w:pStyle w:val="Heading1"/>
        <w:pageBreakBefore/>
      </w:pPr>
      <w:r>
        <w:t xml:space="preserve">3. Quick Start</w:t>
      </w:r>
    </w:p>
    <w:p>
      <w:pPr>
        <w:spacing w:before="0" w:after="160"/>
      </w:pPr>
      <w:r>
        <w:rPr>
          <w:b/>
          <w:bCs/>
        </w:rPr>
        <w:t xml:space="preserve">Built-in user guide: </w:t>
      </w:r>
      <w:r>
        <w:t xml:space="preserve">the app includes complete step-by-step instructions, written for first-time users. Click </w:t>
      </w:r>
      <w:r>
        <w:rPr>
          <w:b/>
          <w:bCs/>
        </w:rPr>
        <w:t xml:space="preserve">? Guide</w:t>
      </w:r>
      <w:r>
        <w:t xml:space="preserve"> above the map, or press </w:t>
      </w:r>
      <w:r>
        <w:rPr>
          <w:b/>
          <w:bCs/>
        </w:rPr>
        <w:t xml:space="preserve">H</w:t>
      </w:r>
      <w:r>
        <w:t xml:space="preserve">, at any time. The summary below covers the main steps.</w:t>
      </w:r>
    </w:p>
    <w:p>
      <w:r>
        <w:t xml:space="preserve">The numbered sections down the left side of the window follow the assessment workflow from top to bottom:</w:t>
      </w:r>
    </w:p>
    <w:p>
      <w:pPr>
        <w:pStyle w:val="ListParagraph"/>
        <w:numPr>
          <w:ilvl w:val="0"/>
          <w:numId w:val="5"/>
        </w:numPr>
      </w:pPr>
      <w:r>
        <w:rPr>
          <w:b/>
          <w:bCs/>
        </w:rPr>
        <w:t xml:space="preserve">Floor plan</w:t>
      </w:r>
      <w:r>
        <w:t xml:space="preserve"> — click Load floor plan… and choose a PNG, JPG, or PDF (page 1 of a PDF is used). Click Load demo first if you would like to explore a finished example.</w:t>
      </w:r>
    </w:p>
    <w:p>
      <w:pPr>
        <w:pStyle w:val="ListParagraph"/>
        <w:numPr>
          <w:ilvl w:val="0"/>
          <w:numId w:val="5"/>
        </w:numPr>
      </w:pPr>
      <w:r>
        <w:rPr>
          <w:b/>
          <w:bCs/>
        </w:rPr>
        <w:t xml:space="preserve">Scale and coordinates (optional)</w:t>
      </w:r>
      <w:r>
        <w:t xml:space="preserve"> — click Calibrate, click two points a known distance apart on the plan (such as a dimensioned wall), and enter the real distance. This adds a scale bar. Then click </w:t>
      </w:r>
      <w:r>
        <w:rPr>
          <w:b/>
          <w:bCs/>
        </w:rPr>
        <w:t xml:space="preserve">Set origin (0,0)…</w:t>
      </w:r>
      <w:r>
        <w:t xml:space="preserve"> and click a reference point such as a building corner: from that moment the tool works in real-world coordinates — meters or feet to the right (x) and upward (y) from the origin — instead of image pixels, in the point list, the status bar, and CSV import/export.</w:t>
      </w:r>
    </w:p>
    <w:p>
      <w:pPr>
        <w:pStyle w:val="ListParagraph"/>
        <w:numPr>
          <w:ilvl w:val="0"/>
          <w:numId w:val="5"/>
        </w:numPr>
      </w:pPr>
      <w:r>
        <w:rPr>
          <w:b/>
          <w:bCs/>
        </w:rPr>
        <w:t xml:space="preserve">Measurement points</w:t>
      </w:r>
      <w:r>
        <w:t xml:space="preserve"> — switch to Add points and click each SLM position, typing the measured dBA. Or import a CSV file (label, x, y, dBA) with coordinates in pixels, percent of the plan, or — after calibrating and setting the origin — real meters/feet, exactly as tape-measured on site. Drag markers in Pan mode to fine-tune positions; edit values in the point list.</w:t>
      </w:r>
    </w:p>
    <w:p>
      <w:pPr>
        <w:pStyle w:val="ListParagraph"/>
        <w:numPr>
          <w:ilvl w:val="0"/>
          <w:numId w:val="5"/>
        </w:numPr>
      </w:pPr>
      <w:r>
        <w:rPr>
          <w:b/>
          <w:bCs/>
        </w:rPr>
        <w:t xml:space="preserve">Walls and barriers (optional)</w:t>
      </w:r>
      <w:r>
        <w:t xml:space="preserve"> — in sidebar section 2c, choose the Type for new walls, then click Draw wall in the toolbar (or press W). Click where the wall starts and at each corner along it; double-click or press Esc to finish. Leave a gap for every doorway or opening — sound and the influence of your readings pass through gaps, not through walls. Wall ends snap onto nearby walls (a pink circle appears) so corners close without gaps; hold Shift for a straight horizontal or vertical line. In Pan mode, click a wall to select it, drag its round end handles to move it, change its Blocks (dB), Absorbs (%) or Height values in section 2c, or press Delete to remove it. Section 4.4 explains how walls change the map.</w:t>
      </w:r>
    </w:p>
    <w:p>
      <w:pPr>
        <w:pStyle w:val="ListParagraph"/>
        <w:numPr>
          <w:ilvl w:val="0"/>
          <w:numId w:val="5"/>
        </w:numPr>
      </w:pPr>
      <w:r>
        <w:rPr>
          <w:b/>
          <w:bCs/>
        </w:rPr>
        <w:t xml:space="preserve">Rooms and reverberation (optional)</w:t>
      </w:r>
      <w:r>
        <w:t xml:space="preserve"> — click Draw room in the toolbar (or press R) and click each corner of a room, then click the first corner again or double-click to close it; Esc cancels. Corners snap onto walls and onto other rooms’ corners. Let neighboring rooms share their edges: the tool finds the doorways between rooms from the gaps in the walls along those edges. In sidebar section 2d, set each room’s ceiling height and finish, or type a measured reverberation time. Section 4.5 explains the calculation.</w:t>
      </w:r>
    </w:p>
    <w:p>
      <w:pPr>
        <w:pStyle w:val="ListParagraph"/>
        <w:numPr>
          <w:ilvl w:val="0"/>
          <w:numId w:val="5"/>
        </w:numPr>
      </w:pPr>
      <w:r>
        <w:rPr>
          <w:b/>
          <w:bCs/>
        </w:rPr>
        <w:t xml:space="preserve">Calculation and display</w:t>
      </w:r>
      <w:r>
        <w:t xml:space="preserve"> — the noise map updates live. Choose inverse distance weighting (IDW), radial basis interpolation, or the source model (below); adjust the color bands (defaults: &lt;80, 80–85, 85–90, 90–95, &gt;95 dBA), opacity, and contour lines. Section 3 also holds the wall settings: Measurements don’t pass through walls, Walls block sound, Walls reflect sound, and the machine and ear heights used for partial barriers — plus Room reverberation and the Doorway height.</w:t>
      </w:r>
    </w:p>
    <w:p>
      <w:pPr>
        <w:pStyle w:val="ListParagraph"/>
        <w:numPr>
          <w:ilvl w:val="0"/>
          <w:numId w:val="5"/>
        </w:numPr>
      </w:pPr>
      <w:r>
        <w:rPr>
          <w:b/>
          <w:bCs/>
        </w:rPr>
        <w:t xml:space="preserve">Source model + residuals (optional)</w:t>
      </w:r>
      <w:r>
        <w:t xml:space="preserve"> — instead of interpolating between measurements only, place known equipment as noise sources: click </w:t>
      </w:r>
      <w:r>
        <w:rPr>
          <w:b/>
          <w:bCs/>
        </w:rPr>
        <w:t xml:space="preserve">Add source</w:t>
      </w:r>
      <w:r>
        <w:t xml:space="preserve"> in the toolbar, click the machine's location, and enter its sound level at a reference distance (e.g., 92 dBA at 1 m from a nameplate or close-up reading). Then set the calculation method to </w:t>
      </w:r>
      <w:r>
        <w:rPr>
          <w:b/>
          <w:bCs/>
        </w:rPr>
        <w:t xml:space="preserve">Source model + residuals</w:t>
      </w:r>
      <w:r>
        <w:t xml:space="preserve">. The tool predicts levels physically (inverse square law, energies added logarithmically) and calibrates the prediction so it matches your SLM readings exactly at each measurement point. Requires a calibrated scale. Sources appear as orange diamonds and can be dragged; their levels are edited in sidebar section 2b. The result is a planning and visualization aid — not a replacement for personal dosimetry or regulatory exposure assessment. With walls drawn, the prediction also includes blocking, sound bending around walls and over barriers, and reflections (Section 4.4); with rooms drawn, it adds each room’s reverberation (Section 4.5).</w:t>
      </w:r>
    </w:p>
    <w:p>
      <w:pPr>
        <w:pStyle w:val="ListParagraph"/>
        <w:numPr>
          <w:ilvl w:val="0"/>
          <w:numId w:val="5"/>
        </w:numPr>
      </w:pPr>
      <w:r>
        <w:rPr>
          <w:b/>
          <w:bCs/>
        </w:rPr>
        <w:t xml:space="preserve">Export</w:t>
      </w:r>
      <w:r>
        <w:t xml:space="preserve"> — save the finished map as a PNG for reports, export the points as CSV (with both pixel and real-world coordinate columns when the scale is calibrated), or save the whole assessment as a project file (JSON) to continue later. Each export opens a standard Windows “Save As” dialog. The tool itself stores nothing, so save your project before you close it.</w:t>
      </w:r>
    </w:p>
    <w:p/>
    <w:p>
      <w:pPr>
        <w:jc w:val="center"/>
      </w:pPr>
      <w:r>
        <w:drawing>
          <wp:inline distT="0" distB="0" distL="0" distR="0">
            <wp:extent cx="5905500" cy="3796393"/>
            <wp:effectExtent t="0" r="0" b="0" l="0"/>
            <wp:docPr id="1" name="app-screenshot" descr="Demo facility noise map with walls" title="Noise Contour M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96393"/>
                    </a:xfrm>
                    <a:prstGeom prst="rect">
                      <a:avLst/>
                    </a:prstGeom>
                  </pic:spPr>
                </pic:pic>
              </a:graphicData>
            </a:graphic>
          </wp:inline>
        </w:drawing>
      </w:r>
    </w:p>
    <w:p>
      <w:pPr>
        <w:spacing w:after="120"/>
        <w:jc w:val="center"/>
      </w:pPr>
      <w:r>
        <w:rPr>
          <w:i/>
          <w:iCs/>
          <w:color w:val="666666"/>
          <w:sz w:val="18"/>
          <w:szCs w:val="18"/>
        </w:rPr>
        <w:t xml:space="preserve">The demo facility using the source model with walls (exported map): dark lines are walls, with gaps for doorways; teal lines are walls lined with acoustic panels; the dashed brown line is a partial barrier; dashed blue outlines are rooms, each adding its own reverberation. Orange diamonds are noise sources (two presses and a compressor); circles are SLM measurement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6CE" w:sz="1"/>
              <w:left w:val="single" w:color="BFC6CE" w:sz="1"/>
              <w:bottom w:val="single" w:color="BFC6CE" w:sz="1"/>
              <w:right w:val="single" w:color="BFC6CE" w:sz="1"/>
            </w:tcBorders>
            <w:shd w:fill="E8F0E8" w:val="clear"/>
            <w:tcMar>
              <w:top w:type="dxa" w:w="80"/>
              <w:left w:type="dxa" w:w="120"/>
              <w:bottom w:type="dxa" w:w="80"/>
              <w:right w:type="dxa" w:w="120"/>
            </w:tcMar>
          </w:tcPr>
          <w:p>
            <w:r>
              <w:rPr>
                <w:b/>
                <w:bCs/>
              </w:rPr>
              <w:t xml:space="preserve">Good practice: </w:t>
            </w:r>
            <w:r>
              <w:t xml:space="preserve">interpolated values are estimates between measurements. Verify critical boundaries (for example, the 85 dBA action level) with additional measurements before making hearing conservation program decisions.</w:t>
            </w:r>
          </w:p>
        </w:tc>
      </w:tr>
    </w:tbl>
    <w:p>
      <w:pPr>
        <w:pStyle w:val="Heading1"/>
        <w:pageBreakBefore/>
      </w:pPr>
      <w:r>
        <w:t xml:space="preserve">4. How the Map Is Calculated — Methods, Formulas, and Assumptions</w:t>
      </w:r>
    </w:p>
    <w:p>
      <w:r>
        <w:t xml:space="preserve">Each method produces a continuous estimate of the A-weighted sound level at every location on the plan. The estimate is evaluated on a regular grid (the Grid resolution setting); the color bands come directly from the grid values, and contour lines are traced where the grid crosses each band boundary (for example, 85 dBA). The three methods differ in how the level is estimated between the locations where you actually measured.</w:t>
      </w:r>
    </w:p>
    <w:p>
      <w:pPr>
        <w:pStyle w:val="Heading2"/>
      </w:pPr>
      <w:r>
        <w:t xml:space="preserve">4.1 Inverse distance weighting (IDW) — default</w:t>
      </w:r>
    </w:p>
    <w:p>
      <w:r>
        <w:t xml:space="preserve">The estimate at any location is a weighted average of all measured levels, with closer measurements counting more:</w:t>
      </w:r>
    </w:p>
    <w:p>
      <w:pPr>
        <w:spacing w:after="120" w:before="120"/>
        <w:jc w:val="center"/>
      </w:pPr>
      <w:r>
        <w:rPr>
          <w:i/>
          <w:iCs/>
          <w:sz w:val="24"/>
          <w:szCs w:val="24"/>
        </w:rPr>
        <w:t xml:space="preserve">L(x, y) = Σ w</w:t>
      </w:r>
      <w:r>
        <w:rPr>
          <w:i/>
          <w:iCs/>
          <w:vertAlign w:val="subscript"/>
        </w:rPr>
        <w:t xml:space="preserve">i</w:t>
      </w:r>
      <w:r>
        <w:rPr>
          <w:i/>
          <w:iCs/>
          <w:sz w:val="24"/>
          <w:szCs w:val="24"/>
        </w:rPr>
        <w:t xml:space="preserve"> · L</w:t>
      </w:r>
      <w:r>
        <w:rPr>
          <w:i/>
          <w:iCs/>
          <w:vertAlign w:val="subscript"/>
        </w:rPr>
        <w:t xml:space="preserve">i</w:t>
      </w:r>
      <w:r>
        <w:rPr>
          <w:i/>
          <w:iCs/>
          <w:sz w:val="24"/>
          <w:szCs w:val="24"/>
        </w:rPr>
        <w:t xml:space="preserve">  ⁄  Σ w</w:t>
      </w:r>
      <w:r>
        <w:rPr>
          <w:i/>
          <w:iCs/>
          <w:vertAlign w:val="subscript"/>
        </w:rPr>
        <w:t xml:space="preserve">i</w:t>
      </w:r>
      <w:r>
        <w:rPr>
          <w:i/>
          <w:iCs/>
          <w:sz w:val="24"/>
          <w:szCs w:val="24"/>
        </w:rPr>
        <w:t xml:space="preserve"> ,      w</w:t>
      </w:r>
      <w:r>
        <w:rPr>
          <w:i/>
          <w:iCs/>
          <w:vertAlign w:val="subscript"/>
        </w:rPr>
        <w:t xml:space="preserve">i</w:t>
      </w:r>
      <w:r>
        <w:rPr>
          <w:i/>
          <w:iCs/>
          <w:sz w:val="24"/>
          <w:szCs w:val="24"/>
        </w:rPr>
        <w:t xml:space="preserve"> = 1 ⁄ d</w:t>
      </w:r>
      <w:r>
        <w:rPr>
          <w:i/>
          <w:iCs/>
          <w:vertAlign w:val="subscript"/>
        </w:rPr>
        <w:t xml:space="preserve">i</w:t>
      </w:r>
      <w:r>
        <w:rPr>
          <w:i/>
          <w:iCs/>
          <w:vertAlign w:val="superscript"/>
        </w:rPr>
        <w:t xml:space="preserve">p</w:t>
      </w:r>
    </w:p>
    <w:p>
      <w:r>
        <w:rPr>
          <w:i/>
          <w:iCs/>
        </w:rPr>
        <w:t xml:space="preserve">L</w:t>
      </w:r>
      <w:r>
        <w:rPr>
          <w:i/>
          <w:iCs/>
          <w:vertAlign w:val="subscript"/>
        </w:rPr>
        <w:t xml:space="preserve">i</w:t>
      </w:r>
      <w:r>
        <w:t xml:space="preserve"> is the measured level (dBA) at point </w:t>
      </w:r>
      <w:r>
        <w:rPr>
          <w:i/>
          <w:iCs/>
        </w:rPr>
        <w:t xml:space="preserve">i</w:t>
      </w:r>
      <w:r>
        <w:t xml:space="preserve">; </w:t>
      </w:r>
      <w:r>
        <w:rPr>
          <w:i/>
          <w:iCs/>
        </w:rPr>
        <w:t xml:space="preserve">d</w:t>
      </w:r>
      <w:r>
        <w:rPr>
          <w:i/>
          <w:iCs/>
          <w:vertAlign w:val="subscript"/>
        </w:rPr>
        <w:t xml:space="preserve">i</w:t>
      </w:r>
      <w:r>
        <w:t xml:space="preserve"> is the distance from the location to that point; </w:t>
      </w:r>
      <w:r>
        <w:rPr>
          <w:i/>
          <w:iCs/>
        </w:rPr>
        <w:t xml:space="preserve">p</w:t>
      </w:r>
      <w:r>
        <w:t xml:space="preserve"> is the IDW power setting (default 2).</w:t>
      </w:r>
    </w:p>
    <w:p>
      <w:pPr>
        <w:pStyle w:val="ListParagraph"/>
        <w:numPr>
          <w:ilvl w:val="0"/>
          <w:numId w:val="5"/>
        </w:numPr>
      </w:pPr>
      <w:r>
        <w:t xml:space="preserve">Exact at measurement points — the map reproduces every reading at its own location.</w:t>
      </w:r>
    </w:p>
    <w:p>
      <w:pPr>
        <w:pStyle w:val="ListParagraph"/>
        <w:numPr>
          <w:ilvl w:val="0"/>
          <w:numId w:val="5"/>
        </w:numPr>
      </w:pPr>
      <w:r>
        <w:t xml:space="preserve">Higher power p makes each reading dominate its own neighborhood; lower p gives a smoother, more averaged map.</w:t>
      </w:r>
    </w:p>
    <w:p>
      <w:pPr>
        <w:pStyle w:val="ListParagraph"/>
        <w:numPr>
          <w:ilvl w:val="0"/>
          <w:numId w:val="5"/>
        </w:numPr>
      </w:pPr>
      <w:r>
        <w:t xml:space="preserve">Estimates always stay within the range of the measured values — IDW cannot reveal a hot spot that was not measured.</w:t>
      </w:r>
    </w:p>
    <w:p>
      <w:pPr>
        <w:pStyle w:val="ListParagraph"/>
        <w:numPr>
          <w:ilvl w:val="0"/>
          <w:numId w:val="5"/>
        </w:numPr>
      </w:pPr>
      <w:r>
        <w:t xml:space="preserve">Assumption: levels vary smoothly between measurements. No acoustics is modeled.</w:t>
      </w:r>
    </w:p>
    <w:p>
      <w:pPr>
        <w:pStyle w:val="Heading2"/>
      </w:pPr>
      <w:r>
        <w:t xml:space="preserve">4.2 Radial basis functions (RBF, multiquadric)</w:t>
      </w:r>
    </w:p>
    <w:p>
      <w:r>
        <w:t xml:space="preserve">Fits one smooth surface through all measurements, built as a weighted sum of basis functions centered on each measurement point:</w:t>
      </w:r>
    </w:p>
    <w:p>
      <w:pPr>
        <w:spacing w:after="120" w:before="120"/>
        <w:jc w:val="center"/>
      </w:pPr>
      <w:r>
        <w:rPr>
          <w:i/>
          <w:iCs/>
          <w:sz w:val="24"/>
          <w:szCs w:val="24"/>
        </w:rPr>
        <w:t xml:space="preserve">L(x, y) = Σ w</w:t>
      </w:r>
      <w:r>
        <w:rPr>
          <w:i/>
          <w:iCs/>
          <w:vertAlign w:val="subscript"/>
        </w:rPr>
        <w:t xml:space="preserve">j</w:t>
      </w:r>
      <w:r>
        <w:rPr>
          <w:i/>
          <w:iCs/>
          <w:sz w:val="24"/>
          <w:szCs w:val="24"/>
        </w:rPr>
        <w:t xml:space="preserve"> · φ(r</w:t>
      </w:r>
      <w:r>
        <w:rPr>
          <w:i/>
          <w:iCs/>
          <w:vertAlign w:val="subscript"/>
        </w:rPr>
        <w:t xml:space="preserve">j</w:t>
      </w:r>
      <w:r>
        <w:rPr>
          <w:i/>
          <w:iCs/>
          <w:sz w:val="24"/>
          <w:szCs w:val="24"/>
        </w:rPr>
        <w:t xml:space="preserve">) ,      φ(r) = √(r² + ε²)</w:t>
      </w:r>
    </w:p>
    <w:p>
      <w:r>
        <w:rPr>
          <w:i/>
          <w:iCs/>
        </w:rPr>
        <w:t xml:space="preserve">r</w:t>
      </w:r>
      <w:r>
        <w:rPr>
          <w:i/>
          <w:iCs/>
          <w:vertAlign w:val="subscript"/>
        </w:rPr>
        <w:t xml:space="preserve">j</w:t>
      </w:r>
      <w:r>
        <w:t xml:space="preserve"> is the distance to measurement </w:t>
      </w:r>
      <w:r>
        <w:rPr>
          <w:i/>
          <w:iCs/>
        </w:rPr>
        <w:t xml:space="preserve">j</w:t>
      </w:r>
      <w:r>
        <w:t xml:space="preserve">; </w:t>
      </w:r>
      <w:r>
        <w:rPr>
          <w:i/>
          <w:iCs/>
        </w:rPr>
        <w:t xml:space="preserve">ε</w:t>
      </w:r>
      <w:r>
        <w:t xml:space="preserve"> is a smoothness parameter set automatically to the average spacing between neighboring points. The weights are solved from a linear system so the surface passes exactly through every measurement.</w:t>
      </w:r>
    </w:p>
    <w:p>
      <w:pPr>
        <w:pStyle w:val="ListParagraph"/>
        <w:numPr>
          <w:ilvl w:val="0"/>
          <w:numId w:val="5"/>
        </w:numPr>
      </w:pPr>
      <w:r>
        <w:t xml:space="preserve">Produces smoother, more natural gradients than IDW when measurements are sparse.</w:t>
      </w:r>
    </w:p>
    <w:p>
      <w:pPr>
        <w:pStyle w:val="ListParagraph"/>
        <w:numPr>
          <w:ilvl w:val="0"/>
          <w:numId w:val="5"/>
        </w:numPr>
      </w:pPr>
      <w:r>
        <w:t xml:space="preserve">Between points the surface may rise above or dip below the measured range — sometimes more realistic, but check the survey edges for overshoot.</w:t>
      </w:r>
    </w:p>
    <w:p>
      <w:pPr>
        <w:pStyle w:val="ListParagraph"/>
        <w:numPr>
          <w:ilvl w:val="0"/>
          <w:numId w:val="5"/>
        </w:numPr>
      </w:pPr>
      <w:r>
        <w:t xml:space="preserve">Same core assumption as IDW: pure spatial interpolation, no acoustics.</w:t>
      </w:r>
    </w:p>
    <w:p>
      <w:pPr>
        <w:pStyle w:val="Heading2"/>
      </w:pPr>
      <w:r>
        <w:t xml:space="preserve">4.3 Source model with residual correction (hybrid)</w:t>
      </w:r>
    </w:p>
    <w:p>
      <w:r>
        <w:t xml:space="preserve">The physics-based option (identical math to the companion Python module </w:t>
      </w:r>
      <w:r>
        <w:rPr>
          <w:b/>
          <w:bCs/>
        </w:rPr>
        <w:t xml:space="preserve">noise_model.py</w:t>
      </w:r>
      <w:r>
        <w:t xml:space="preserve">). It runs in three steps.</w:t>
      </w:r>
    </w:p>
    <w:p>
      <w:r>
        <w:rPr>
          <w:b/>
          <w:bCs/>
        </w:rPr>
        <w:t xml:space="preserve">Step 1 — Point-source attenuation (inverse square law). </w:t>
      </w:r>
      <w:r>
        <w:t xml:space="preserve">Each defined source is treated as a point radiating spherically, losing 6 dB per doubling of distance:</w:t>
      </w:r>
    </w:p>
    <w:p>
      <w:pPr>
        <w:spacing w:after="120" w:before="120"/>
        <w:jc w:val="center"/>
      </w:pPr>
      <w:r>
        <w:rPr>
          <w:i/>
          <w:iCs/>
          <w:sz w:val="24"/>
          <w:szCs w:val="24"/>
        </w:rPr>
        <w:t xml:space="preserve">L</w:t>
      </w:r>
      <w:r>
        <w:rPr>
          <w:i/>
          <w:iCs/>
          <w:vertAlign w:val="subscript"/>
        </w:rPr>
        <w:t xml:space="preserve">p2</w:t>
      </w:r>
      <w:r>
        <w:rPr>
          <w:i/>
          <w:iCs/>
          <w:sz w:val="24"/>
          <w:szCs w:val="24"/>
        </w:rPr>
        <w:t xml:space="preserve"> = L</w:t>
      </w:r>
      <w:r>
        <w:rPr>
          <w:i/>
          <w:iCs/>
          <w:vertAlign w:val="subscript"/>
        </w:rPr>
        <w:t xml:space="preserve">p1</w:t>
      </w:r>
      <w:r>
        <w:rPr>
          <w:i/>
          <w:iCs/>
          <w:sz w:val="24"/>
          <w:szCs w:val="24"/>
        </w:rPr>
        <w:t xml:space="preserve"> − 20 · log</w:t>
      </w:r>
      <w:r>
        <w:rPr>
          <w:i/>
          <w:iCs/>
          <w:vertAlign w:val="subscript"/>
        </w:rPr>
        <w:t xml:space="preserve">10</w:t>
      </w:r>
      <w:r>
        <w:rPr>
          <w:i/>
          <w:iCs/>
          <w:sz w:val="24"/>
          <w:szCs w:val="24"/>
        </w:rPr>
        <w:t xml:space="preserve">( r</w:t>
      </w:r>
      <w:r>
        <w:rPr>
          <w:i/>
          <w:iCs/>
          <w:vertAlign w:val="subscript"/>
        </w:rPr>
        <w:t xml:space="preserve">2</w:t>
      </w:r>
      <w:r>
        <w:rPr>
          <w:i/>
          <w:iCs/>
          <w:sz w:val="24"/>
          <w:szCs w:val="24"/>
        </w:rPr>
        <w:t xml:space="preserve"> ⁄ r</w:t>
      </w:r>
      <w:r>
        <w:rPr>
          <w:i/>
          <w:iCs/>
          <w:vertAlign w:val="subscript"/>
        </w:rPr>
        <w:t xml:space="preserve">1</w:t>
      </w:r>
      <w:r>
        <w:rPr>
          <w:i/>
          <w:iCs/>
          <w:sz w:val="24"/>
          <w:szCs w:val="24"/>
        </w:rPr>
        <w:t xml:space="preserve"> )</w:t>
      </w:r>
    </w:p>
    <w:p>
      <w:r>
        <w:rPr>
          <w:i/>
          <w:iCs/>
        </w:rPr>
        <w:t xml:space="preserve">L</w:t>
      </w:r>
      <w:r>
        <w:rPr>
          <w:i/>
          <w:iCs/>
          <w:vertAlign w:val="subscript"/>
        </w:rPr>
        <w:t xml:space="preserve">p1</w:t>
      </w:r>
      <w:r>
        <w:t xml:space="preserve"> is the source level (dBA) at reference distance </w:t>
      </w:r>
      <w:r>
        <w:rPr>
          <w:i/>
          <w:iCs/>
        </w:rPr>
        <w:t xml:space="preserve">r</w:t>
      </w:r>
      <w:r>
        <w:rPr>
          <w:i/>
          <w:iCs/>
          <w:vertAlign w:val="subscript"/>
        </w:rPr>
        <w:t xml:space="preserve">1</w:t>
      </w:r>
      <w:r>
        <w:t xml:space="preserve"> (for example, a close-up reading at 1 m); </w:t>
      </w:r>
      <w:r>
        <w:rPr>
          <w:i/>
          <w:iCs/>
        </w:rPr>
        <w:t xml:space="preserve">r</w:t>
      </w:r>
      <w:r>
        <w:rPr>
          <w:i/>
          <w:iCs/>
          <w:vertAlign w:val="subscript"/>
        </w:rPr>
        <w:t xml:space="preserve">2</w:t>
      </w:r>
      <w:r>
        <w:t xml:space="preserve"> is the distance to the location, computed in real units from the scale calibration. Distances are clamped to a minimum of 0.5 m, because the far-field law does not hold immediately next to a source.</w:t>
      </w:r>
    </w:p>
    <w:p>
      <w:r>
        <w:rPr>
          <w:b/>
          <w:bCs/>
        </w:rPr>
        <w:t xml:space="preserve">Step 2 — Energy addition of sources. </w:t>
      </w:r>
      <w:r>
        <w:t xml:space="preserve">Decibels are logarithmic, so contributions are combined by adding acoustic energy — never arithmetically:</w:t>
      </w:r>
    </w:p>
    <w:p>
      <w:pPr>
        <w:spacing w:after="120" w:before="120"/>
        <w:jc w:val="center"/>
      </w:pPr>
      <w:r>
        <w:rPr>
          <w:i/>
          <w:iCs/>
          <w:sz w:val="24"/>
          <w:szCs w:val="24"/>
        </w:rPr>
        <w:t xml:space="preserve">L</w:t>
      </w:r>
      <w:r>
        <w:rPr>
          <w:i/>
          <w:iCs/>
          <w:vertAlign w:val="subscript"/>
        </w:rPr>
        <w:t xml:space="preserve">total</w:t>
      </w:r>
      <w:r>
        <w:rPr>
          <w:i/>
          <w:iCs/>
          <w:sz w:val="24"/>
          <w:szCs w:val="24"/>
        </w:rPr>
        <w:t xml:space="preserve"> = 10 · log</w:t>
      </w:r>
      <w:r>
        <w:rPr>
          <w:i/>
          <w:iCs/>
          <w:vertAlign w:val="subscript"/>
        </w:rPr>
        <w:t xml:space="preserve">10</w:t>
      </w:r>
      <w:r>
        <w:rPr>
          <w:i/>
          <w:iCs/>
          <w:sz w:val="24"/>
          <w:szCs w:val="24"/>
        </w:rPr>
        <w:t xml:space="preserve">( Σ 10</w:t>
      </w:r>
      <w:r>
        <w:rPr>
          <w:i/>
          <w:iCs/>
          <w:vertAlign w:val="superscript"/>
        </w:rPr>
        <w:t xml:space="preserve">Li /10</w:t>
      </w:r>
      <w:r>
        <w:rPr>
          <w:i/>
          <w:iCs/>
          <w:sz w:val="24"/>
          <w:szCs w:val="24"/>
        </w:rPr>
        <w:t xml:space="preserve"> )</w:t>
      </w:r>
    </w:p>
    <w:p>
      <w:r>
        <w:t xml:space="preserve">Two 90 dBA sources therefore combine to 93 dBA — not 180 dBA.</w:t>
      </w:r>
    </w:p>
    <w:p>
      <w:r>
        <w:rPr>
          <w:b/>
          <w:bCs/>
        </w:rPr>
        <w:t xml:space="preserve">Step 3 — Residual calibration against measurements. </w:t>
      </w:r>
      <w:r>
        <w:t xml:space="preserve">At each SLM point the model error (residual) is computed and spread across the plan with IDW, then added to the prediction:</w:t>
      </w:r>
    </w:p>
    <w:p>
      <w:pPr>
        <w:spacing w:after="120" w:before="120"/>
        <w:jc w:val="center"/>
      </w:pPr>
      <w:r>
        <w:rPr>
          <w:i/>
          <w:iCs/>
          <w:sz w:val="24"/>
          <w:szCs w:val="24"/>
        </w:rPr>
        <w:t xml:space="preserve">residual</w:t>
      </w:r>
      <w:r>
        <w:rPr>
          <w:i/>
          <w:iCs/>
          <w:vertAlign w:val="subscript"/>
        </w:rPr>
        <w:t xml:space="preserve">i</w:t>
      </w:r>
      <w:r>
        <w:rPr>
          <w:i/>
          <w:iCs/>
          <w:sz w:val="24"/>
          <w:szCs w:val="24"/>
        </w:rPr>
        <w:t xml:space="preserve"> = measured</w:t>
      </w:r>
      <w:r>
        <w:rPr>
          <w:i/>
          <w:iCs/>
          <w:vertAlign w:val="subscript"/>
        </w:rPr>
        <w:t xml:space="preserve">i</w:t>
      </w:r>
      <w:r>
        <w:rPr>
          <w:i/>
          <w:iCs/>
          <w:sz w:val="24"/>
          <w:szCs w:val="24"/>
        </w:rPr>
        <w:t xml:space="preserve"> − predicted</w:t>
      </w:r>
      <w:r>
        <w:rPr>
          <w:i/>
          <w:iCs/>
          <w:vertAlign w:val="subscript"/>
        </w:rPr>
        <w:t xml:space="preserve">i</w:t>
      </w:r>
    </w:p>
    <w:p>
      <w:r>
        <w:t xml:space="preserve">Adding a dB offset is a multiplicative correction of acoustic energy. The final map matches your readings exactly at each measurement point while following the inverse-square pattern between them. The residual field absorbs, in aggregate, everything the simple model ignores: reverberation, reflections, barriers and shielding, source directivity, and unmodeled equipment.</w:t>
      </w:r>
    </w:p>
    <w:p>
      <w:pPr>
        <w:pStyle w:val="Heading2"/>
      </w:pPr>
      <w:r>
        <w:t xml:space="preserve">4.4 Walls, barriers and reflections</w:t>
      </w:r>
    </w:p>
    <w:p>
      <w:r>
        <w:t xml:space="preserve">Walls are drawn on the plan as straight segments (the Draw wall tool, sidebar section 2c). Each wall takes its starting values from a type preset, and every value can be changed for each wall:</w:t>
      </w:r>
    </w:p>
    <w:p>
      <w:pPr>
        <w:pStyle w:val="ListParagraph"/>
        <w:numPr>
          <w:ilvl w:val="0"/>
          <w:numId w:val="5"/>
        </w:numPr>
      </w:pPr>
      <w:r>
        <w:rPr>
          <w:b/>
          <w:bCs/>
        </w:rPr>
        <w:t xml:space="preserve">Blocks (transmission loss, TL)</w:t>
      </w:r>
      <w:r>
        <w:t xml:space="preserve"> — how many decibels sound loses passing through a full-height wall. The presets are effective field values, lower than laboratory ratings, because doors, gaps and flanking paths through floors and ceilings let sound past in real buildings.</w:t>
      </w:r>
    </w:p>
    <w:p>
      <w:pPr>
        <w:pStyle w:val="ListParagraph"/>
        <w:numPr>
          <w:ilvl w:val="0"/>
          <w:numId w:val="5"/>
        </w:numPr>
      </w:pPr>
      <w:r>
        <w:rPr>
          <w:b/>
          <w:bCs/>
        </w:rPr>
        <w:t xml:space="preserve">Absorbs (absorption coefficient α)</w:t>
      </w:r>
      <w:r>
        <w:t xml:space="preserve"> — the share of sound energy the surface absorbs instead of reflecting. Hard surfaces absorb almost nothing, so they reflect almost everything.</w:t>
      </w:r>
    </w:p>
    <w:p>
      <w:pPr>
        <w:pStyle w:val="ListParagraph"/>
        <w:numPr>
          <w:ilvl w:val="0"/>
          <w:numId w:val="5"/>
        </w:numPr>
        <w:spacing w:after="160"/>
      </w:pPr>
      <w:r>
        <w:rPr>
          <w:b/>
          <w:bCs/>
        </w:rPr>
        <w:t xml:space="preserve">Height</w:t>
      </w:r>
      <w:r>
        <w:t xml:space="preserve"> — partial barriers only (screens that do not reach the ceiling). Full-height walls have no height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700"/>
        <w:gridCol w:w="1700"/>
        <w:gridCol w:w="2500"/>
      </w:tblGrid>
      <w:tr>
        <w:tc>
          <w:tcPr>
            <w:tcW w:type="dxa" w:w="346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Wall type</w:t>
            </w:r>
          </w:p>
        </w:tc>
        <w:tc>
          <w:tcPr>
            <w:tcW w:type="dxa" w:w="17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Blocks (TL)</w:t>
            </w:r>
          </w:p>
        </w:tc>
        <w:tc>
          <w:tcPr>
            <w:tcW w:type="dxa" w:w="17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Absorbs (α)</w:t>
            </w:r>
          </w:p>
        </w:tc>
        <w:tc>
          <w:tcPr>
            <w:tcW w:type="dxa" w:w="25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Height</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Concrete / masonry block</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30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2%</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Concrete with acoustic panels</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30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70%</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Drywall / stud partition</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20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5%</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Metal panel / sheet steel</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20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5%</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Glass / window wall</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20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4%</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Acoustic curtain</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10 dB</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50%</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Full</w:t>
            </w:r>
          </w:p>
        </w:tc>
      </w:tr>
      <w:tr>
        <w:tc>
          <w:tcPr>
            <w:tcW w:type="dxa" w:w="34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Partial barrier / machine screen</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 (over the top)</w:t>
            </w:r>
          </w:p>
        </w:tc>
        <w:tc>
          <w:tcPr>
            <w:tcW w:type="dxa" w:w="17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5%</w:t>
            </w:r>
          </w:p>
        </w:tc>
        <w:tc>
          <w:tcPr>
            <w:tcW w:type="dxa" w:w="250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2.4 m</w:t>
            </w:r>
          </w:p>
        </w:tc>
      </w:tr>
    </w:tbl>
    <w:p>
      <w:pPr>
        <w:spacing w:before="160" w:after="0"/>
      </w:pPr>
      <w:r>
        <w:rPr>
          <w:b/>
          <w:bCs/>
        </w:rPr>
        <w:t xml:space="preserve">Effect on every method. </w:t>
      </w:r>
      <w:r>
        <w:t xml:space="preserve">When Measurements don’t pass through walls is ticked, the distance used by IDW, RBF and the residual correction is the shortest route around full-height walls — through doorways and other openings — instead of the straight line. A reading therefore influences the next room only through its openings, and less the longer the detour. An area that walls close off from every reading is left blank (no data). RBF cannot be solved when walls split the readings into separate groups; the tool then shows IDW and says so.</w:t>
      </w:r>
    </w:p>
    <w:p>
      <w:pPr>
        <w:spacing w:before="120" w:after="0"/>
      </w:pPr>
      <w:r>
        <w:rPr>
          <w:b/>
          <w:bCs/>
        </w:rPr>
        <w:t xml:space="preserve">Effect on the source model. </w:t>
      </w:r>
      <w:r>
        <w:t xml:space="preserve">Each source reaches each location by up to four paths, which are combined by energy addition (Step 2 of Section 4.3):</w:t>
      </w:r>
    </w:p>
    <w:p>
      <w:pPr>
        <w:pStyle w:val="ListParagraph"/>
        <w:numPr>
          <w:ilvl w:val="0"/>
          <w:numId w:val="5"/>
        </w:numPr>
      </w:pPr>
      <w:r>
        <w:rPr>
          <w:b/>
          <w:bCs/>
        </w:rPr>
        <w:t xml:space="preserve">Through walls</w:t>
      </w:r>
      <w:r>
        <w:t xml:space="preserve"> — the inverse-square level minus the transmission loss of every full-height wall the straight path crosses:</w:t>
      </w:r>
    </w:p>
    <w:p>
      <w:pPr>
        <w:spacing w:after="120" w:before="120"/>
        <w:jc w:val="center"/>
      </w:pPr>
      <w:r>
        <w:rPr>
          <w:i/>
          <w:iCs/>
          <w:sz w:val="24"/>
          <w:szCs w:val="24"/>
        </w:rPr>
        <w:t xml:space="preserve">L</w:t>
      </w:r>
      <w:r>
        <w:rPr>
          <w:i/>
          <w:iCs/>
          <w:vertAlign w:val="subscript"/>
        </w:rPr>
        <w:t xml:space="preserve">through</w:t>
      </w:r>
      <w:r>
        <w:rPr>
          <w:i/>
          <w:iCs/>
          <w:sz w:val="24"/>
          <w:szCs w:val="24"/>
        </w:rPr>
        <w:t xml:space="preserve"> = L</w:t>
      </w:r>
      <w:r>
        <w:rPr>
          <w:i/>
          <w:iCs/>
          <w:vertAlign w:val="subscript"/>
        </w:rPr>
        <w:t xml:space="preserve">p1</w:t>
      </w:r>
      <w:r>
        <w:rPr>
          <w:i/>
          <w:iCs/>
          <w:sz w:val="24"/>
          <w:szCs w:val="24"/>
        </w:rPr>
        <w:t xml:space="preserve"> − 20 · log</w:t>
      </w:r>
      <w:r>
        <w:rPr>
          <w:i/>
          <w:iCs/>
          <w:vertAlign w:val="subscript"/>
        </w:rPr>
        <w:t xml:space="preserve">10</w:t>
      </w:r>
      <w:r>
        <w:rPr>
          <w:i/>
          <w:iCs/>
          <w:sz w:val="24"/>
          <w:szCs w:val="24"/>
        </w:rPr>
        <w:t xml:space="preserve">( r ⁄ r</w:t>
      </w:r>
      <w:r>
        <w:rPr>
          <w:i/>
          <w:iCs/>
          <w:vertAlign w:val="subscript"/>
        </w:rPr>
        <w:t xml:space="preserve">1</w:t>
      </w:r>
      <w:r>
        <w:rPr>
          <w:i/>
          <w:iCs/>
          <w:sz w:val="24"/>
          <w:szCs w:val="24"/>
        </w:rPr>
        <w:t xml:space="preserve"> ) − Σ TL</w:t>
      </w:r>
      <w:r>
        <w:rPr>
          <w:i/>
          <w:iCs/>
          <w:vertAlign w:val="subscript"/>
        </w:rPr>
        <w:t xml:space="preserve">k</w:t>
      </w:r>
    </w:p>
    <w:p>
      <w:pPr>
        <w:pStyle w:val="ListParagraph"/>
        <w:numPr>
          <w:ilvl w:val="0"/>
          <w:numId w:val="5"/>
        </w:numPr>
      </w:pPr>
      <w:r>
        <w:rPr>
          <w:b/>
          <w:bCs/>
        </w:rPr>
        <w:t xml:space="preserve">Around wall ends</w:t>
      </w:r>
      <w:r>
        <w:t xml:space="preserve"> — when a full-height wall is in the way, sound also takes the shortest route of length g around the free wall ends (for example, through a doorway), screened by diffraction A(δ), where δ = g − r is the extra path length:</w:t>
      </w:r>
    </w:p>
    <w:p>
      <w:pPr>
        <w:spacing w:after="120" w:before="120"/>
        <w:jc w:val="center"/>
      </w:pPr>
      <w:r>
        <w:rPr>
          <w:i/>
          <w:iCs/>
          <w:sz w:val="24"/>
          <w:szCs w:val="24"/>
        </w:rPr>
        <w:t xml:space="preserve">L</w:t>
      </w:r>
      <w:r>
        <w:rPr>
          <w:i/>
          <w:iCs/>
          <w:vertAlign w:val="subscript"/>
        </w:rPr>
        <w:t xml:space="preserve">around</w:t>
      </w:r>
      <w:r>
        <w:rPr>
          <w:i/>
          <w:iCs/>
          <w:sz w:val="24"/>
          <w:szCs w:val="24"/>
        </w:rPr>
        <w:t xml:space="preserve"> = L</w:t>
      </w:r>
      <w:r>
        <w:rPr>
          <w:i/>
          <w:iCs/>
          <w:vertAlign w:val="subscript"/>
        </w:rPr>
        <w:t xml:space="preserve">p1</w:t>
      </w:r>
      <w:r>
        <w:rPr>
          <w:i/>
          <w:iCs/>
          <w:sz w:val="24"/>
          <w:szCs w:val="24"/>
        </w:rPr>
        <w:t xml:space="preserve"> − 20 · log</w:t>
      </w:r>
      <w:r>
        <w:rPr>
          <w:i/>
          <w:iCs/>
          <w:vertAlign w:val="subscript"/>
        </w:rPr>
        <w:t xml:space="preserve">10</w:t>
      </w:r>
      <w:r>
        <w:rPr>
          <w:i/>
          <w:iCs/>
          <w:sz w:val="24"/>
          <w:szCs w:val="24"/>
        </w:rPr>
        <w:t xml:space="preserve">( g ⁄ r</w:t>
      </w:r>
      <w:r>
        <w:rPr>
          <w:i/>
          <w:iCs/>
          <w:vertAlign w:val="subscript"/>
        </w:rPr>
        <w:t xml:space="preserve">1</w:t>
      </w:r>
      <w:r>
        <w:rPr>
          <w:i/>
          <w:iCs/>
          <w:sz w:val="24"/>
          <w:szCs w:val="24"/>
        </w:rPr>
        <w:t xml:space="preserve"> ) − A(δ)</w:t>
      </w:r>
    </w:p>
    <w:p>
      <w:pPr>
        <w:pStyle w:val="ListParagraph"/>
        <w:numPr>
          <w:ilvl w:val="0"/>
          <w:numId w:val="5"/>
        </w:numPr>
      </w:pPr>
      <w:r>
        <w:rPr>
          <w:b/>
          <w:bCs/>
        </w:rPr>
        <w:t xml:space="preserve">Over partial barriers</w:t>
      </w:r>
      <w:r>
        <w:t xml:space="preserve"> — screening A(δ) with the path difference over the barrier top, from the source height h</w:t>
      </w:r>
      <w:r>
        <w:rPr>
          <w:i/>
          <w:iCs/>
          <w:vertAlign w:val="subscript"/>
        </w:rPr>
        <w:t xml:space="preserve">s</w:t>
      </w:r>
      <w:r>
        <w:t xml:space="preserve"> (default 1.0 m), the ear height h</w:t>
      </w:r>
      <w:r>
        <w:rPr>
          <w:i/>
          <w:iCs/>
          <w:vertAlign w:val="subscript"/>
        </w:rPr>
        <w:t xml:space="preserve">r</w:t>
      </w:r>
      <w:r>
        <w:t xml:space="preserve"> (default 1.5 m), the barrier height h</w:t>
      </w:r>
      <w:r>
        <w:rPr>
          <w:i/>
          <w:iCs/>
          <w:vertAlign w:val="subscript"/>
        </w:rPr>
        <w:t xml:space="preserve">b</w:t>
      </w:r>
      <w:r>
        <w:t xml:space="preserve">, and the horizontal distances a and b from the source and the receiver to the barrier:</w:t>
      </w:r>
    </w:p>
    <w:p>
      <w:pPr>
        <w:spacing w:after="120" w:before="120"/>
        <w:jc w:val="center"/>
      </w:pPr>
      <w:r>
        <w:rPr>
          <w:i/>
          <w:iCs/>
          <w:sz w:val="24"/>
          <w:szCs w:val="24"/>
        </w:rPr>
        <w:t xml:space="preserve">δ = √( a² + (h</w:t>
      </w:r>
      <w:r>
        <w:rPr>
          <w:i/>
          <w:iCs/>
          <w:vertAlign w:val="subscript"/>
        </w:rPr>
        <w:t xml:space="preserve">b</w:t>
      </w:r>
      <w:r>
        <w:rPr>
          <w:i/>
          <w:iCs/>
          <w:sz w:val="24"/>
          <w:szCs w:val="24"/>
        </w:rPr>
        <w:t xml:space="preserve"> − h</w:t>
      </w:r>
      <w:r>
        <w:rPr>
          <w:i/>
          <w:iCs/>
          <w:vertAlign w:val="subscript"/>
        </w:rPr>
        <w:t xml:space="preserve">s</w:t>
      </w:r>
      <w:r>
        <w:rPr>
          <w:i/>
          <w:iCs/>
          <w:sz w:val="24"/>
          <w:szCs w:val="24"/>
        </w:rPr>
        <w:t xml:space="preserve">)² ) + √( b² + (h</w:t>
      </w:r>
      <w:r>
        <w:rPr>
          <w:i/>
          <w:iCs/>
          <w:vertAlign w:val="subscript"/>
        </w:rPr>
        <w:t xml:space="preserve">b</w:t>
      </w:r>
      <w:r>
        <w:rPr>
          <w:i/>
          <w:iCs/>
          <w:sz w:val="24"/>
          <w:szCs w:val="24"/>
        </w:rPr>
        <w:t xml:space="preserve"> − h</w:t>
      </w:r>
      <w:r>
        <w:rPr>
          <w:i/>
          <w:iCs/>
          <w:vertAlign w:val="subscript"/>
        </w:rPr>
        <w:t xml:space="preserve">r</w:t>
      </w:r>
      <w:r>
        <w:rPr>
          <w:i/>
          <w:iCs/>
          <w:sz w:val="24"/>
          <w:szCs w:val="24"/>
        </w:rPr>
        <w:t xml:space="preserve">)² ) − √( (a + b)² + (h</w:t>
      </w:r>
      <w:r>
        <w:rPr>
          <w:i/>
          <w:iCs/>
          <w:vertAlign w:val="subscript"/>
        </w:rPr>
        <w:t xml:space="preserve">r</w:t>
      </w:r>
      <w:r>
        <w:rPr>
          <w:i/>
          <w:iCs/>
          <w:sz w:val="24"/>
          <w:szCs w:val="24"/>
        </w:rPr>
        <w:t xml:space="preserve"> − h</w:t>
      </w:r>
      <w:r>
        <w:rPr>
          <w:i/>
          <w:iCs/>
          <w:vertAlign w:val="subscript"/>
        </w:rPr>
        <w:t xml:space="preserve">s</w:t>
      </w:r>
      <w:r>
        <w:rPr>
          <w:i/>
          <w:iCs/>
          <w:sz w:val="24"/>
          <w:szCs w:val="24"/>
        </w:rPr>
        <w:t xml:space="preserve">)² )</w:t>
      </w:r>
    </w:p>
    <w:p>
      <w:pPr>
        <w:pStyle w:val="ListParagraph"/>
        <w:numPr>
          <w:ilvl w:val="0"/>
          <w:numId w:val="5"/>
        </w:numPr>
      </w:pPr>
      <w:r>
        <w:rPr>
          <w:b/>
          <w:bCs/>
        </w:rPr>
        <w:t xml:space="preserve">Reflections</w:t>
      </w:r>
      <w:r>
        <w:t xml:space="preserve"> — each wall reflects each source once. The reflection is calculated from the source’s mirror image behind the wall, at distance r′, reduced by the wall’s absorption. The mirror image is then treated like a real source: walls in its way block it, it routes around wall ends, and it fades out smoothly where the bounce point reaches the end of the wall.</w:t>
      </w:r>
    </w:p>
    <w:p>
      <w:pPr>
        <w:spacing w:after="120" w:before="120"/>
        <w:jc w:val="center"/>
      </w:pPr>
      <w:r>
        <w:rPr>
          <w:i/>
          <w:iCs/>
          <w:sz w:val="24"/>
          <w:szCs w:val="24"/>
        </w:rPr>
        <w:t xml:space="preserve">L</w:t>
      </w:r>
      <w:r>
        <w:rPr>
          <w:i/>
          <w:iCs/>
          <w:vertAlign w:val="subscript"/>
        </w:rPr>
        <w:t xml:space="preserve">refl</w:t>
      </w:r>
      <w:r>
        <w:rPr>
          <w:i/>
          <w:iCs/>
          <w:sz w:val="24"/>
          <w:szCs w:val="24"/>
        </w:rPr>
        <w:t xml:space="preserve"> = L</w:t>
      </w:r>
      <w:r>
        <w:rPr>
          <w:i/>
          <w:iCs/>
          <w:vertAlign w:val="subscript"/>
        </w:rPr>
        <w:t xml:space="preserve">p1</w:t>
      </w:r>
      <w:r>
        <w:rPr>
          <w:i/>
          <w:iCs/>
          <w:sz w:val="24"/>
          <w:szCs w:val="24"/>
        </w:rPr>
        <w:t xml:space="preserve"> − 20 · log</w:t>
      </w:r>
      <w:r>
        <w:rPr>
          <w:i/>
          <w:iCs/>
          <w:vertAlign w:val="subscript"/>
        </w:rPr>
        <w:t xml:space="preserve">10</w:t>
      </w:r>
      <w:r>
        <w:rPr>
          <w:i/>
          <w:iCs/>
          <w:sz w:val="24"/>
          <w:szCs w:val="24"/>
        </w:rPr>
        <w:t xml:space="preserve">( r′ ⁄ r</w:t>
      </w:r>
      <w:r>
        <w:rPr>
          <w:i/>
          <w:iCs/>
          <w:vertAlign w:val="subscript"/>
        </w:rPr>
        <w:t xml:space="preserve">1</w:t>
      </w:r>
      <w:r>
        <w:rPr>
          <w:i/>
          <w:iCs/>
          <w:sz w:val="24"/>
          <w:szCs w:val="24"/>
        </w:rPr>
        <w:t xml:space="preserve"> ) + 10 · log</w:t>
      </w:r>
      <w:r>
        <w:rPr>
          <w:i/>
          <w:iCs/>
          <w:vertAlign w:val="subscript"/>
        </w:rPr>
        <w:t xml:space="preserve">10</w:t>
      </w:r>
      <w:r>
        <w:rPr>
          <w:i/>
          <w:iCs/>
          <w:sz w:val="24"/>
          <w:szCs w:val="24"/>
        </w:rPr>
        <w:t xml:space="preserve">( 1 − α )</w:t>
      </w:r>
    </w:p>
    <w:p>
      <w:pPr>
        <w:spacing w:before="120" w:after="0"/>
      </w:pPr>
      <w:r>
        <w:rPr>
          <w:b/>
          <w:bCs/>
        </w:rPr>
        <w:t xml:space="preserve">Diffraction screening. </w:t>
      </w:r>
      <w:r>
        <w:t xml:space="preserve">A(δ) follows Maekawa’s chart in the Kurze–Anderson form, evaluated at 500 Hz (wavelength λ = 0.686 m) as the single-frequency stand-in for A-weighted levels, with Fresnel number N = 2δ ⁄ λ, and is capped at 20 dB:</w:t>
      </w:r>
    </w:p>
    <w:p>
      <w:pPr>
        <w:spacing w:after="120" w:before="120"/>
        <w:jc w:val="center"/>
      </w:pPr>
      <w:r>
        <w:rPr>
          <w:i/>
          <w:iCs/>
          <w:sz w:val="24"/>
          <w:szCs w:val="24"/>
        </w:rPr>
        <w:t xml:space="preserve">A = 5 + 20 · log</w:t>
      </w:r>
      <w:r>
        <w:rPr>
          <w:i/>
          <w:iCs/>
          <w:vertAlign w:val="subscript"/>
        </w:rPr>
        <w:t xml:space="preserve">10</w:t>
      </w:r>
      <w:r>
        <w:rPr>
          <w:i/>
          <w:iCs/>
          <w:sz w:val="24"/>
          <w:szCs w:val="24"/>
        </w:rPr>
        <w:t xml:space="preserve">( √(2πN) ⁄ tanh √(2πN) )</w:t>
      </w:r>
    </w:p>
    <w:p>
      <w:r>
        <w:t xml:space="preserve">On the lit side of an edge — where the path passes just beside a wall end without being blocked — N is negative and the screening fades from 5 dB at the shadow boundary to 0 dB, so levels change smoothly across the edge of a doorway. Finally, the residual correction (Step 3 of Section 4.3) is interpolated around walls in the same way, so the final map still matches every reading exactly. The companion Python module noise_model.py contains the same wall model (verified to match the app).</w:t>
      </w:r>
    </w:p>
    <w:p>
      <w:pPr>
        <w:pStyle w:val="Heading2"/>
      </w:pPr>
      <w:r>
        <w:t xml:space="preserve">4.5 Rooms and reverberation</w:t>
      </w:r>
    </w:p>
    <w:p>
      <w:pPr>
        <w:spacing w:before="0" w:after="160"/>
      </w:pPr>
      <w:r>
        <w:t xml:space="preserve">Indoors, sound reflects many times from the walls, floor and ceiling. Away from the machines this reverberant sound dominates and is nearly the same everywhere in a room, so levels stop falling by 6 dB per doubling of distance. Rooms are drawn as outlines on the plan (the Draw room tool, sidebar section 2d). Each has a ceiling height h and an average absorption coefficient α, chosen from a finish preset or set from a measured reverberation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3500"/>
      </w:tblGrid>
      <w:tr>
        <w:tc>
          <w:tcPr>
            <w:tcW w:type="dxa" w:w="436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pPr>
              <w:keepNext/>
            </w:pPr>
            <w:r>
              <w:rPr>
                <w:b/>
                <w:bCs/>
                <w:color w:val="FFFFFF"/>
              </w:rPr>
              <w:t xml:space="preserve">Room finish</w:t>
            </w:r>
          </w:p>
        </w:tc>
        <w:tc>
          <w:tcPr>
            <w:tcW w:type="dxa" w:w="15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pPr>
              <w:keepNext/>
            </w:pPr>
            <w:r>
              <w:rPr>
                <w:b/>
                <w:bCs/>
                <w:color w:val="FFFFFF"/>
              </w:rPr>
              <w:t xml:space="preserve">Absorption α</w:t>
            </w:r>
          </w:p>
        </w:tc>
        <w:tc>
          <w:tcPr>
            <w:tcW w:type="dxa" w:w="35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pPr>
              <w:keepNext/>
            </w:pPr>
            <w:r>
              <w:rPr>
                <w:b/>
                <w:bCs/>
                <w:color w:val="FFFFFF"/>
              </w:rPr>
              <w:t xml:space="preserve">Reverberation time, 30 × 30 m room, 6 m high</w:t>
            </w:r>
          </w:p>
        </w:tc>
      </w:tr>
      <w:tr>
        <w:tc>
          <w:tcPr>
            <w:tcW w:type="dxa" w:w="43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pPr>
              <w:keepNext/>
            </w:pPr>
            <w:r>
              <w:rPr>
                <w:b/>
                <w:bCs/>
                <w:color w:val="000000"/>
              </w:rPr>
              <w:t xml:space="preserve">Hard: bare concrete or metal, few contents</w:t>
            </w:r>
          </w:p>
        </w:tc>
        <w:tc>
          <w:tcPr>
            <w:tcW w:type="dxa" w:w="1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0.05</w:t>
            </w:r>
          </w:p>
        </w:tc>
        <w:tc>
          <w:tcPr>
            <w:tcW w:type="dxa" w:w="3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about 7 s</w:t>
            </w:r>
          </w:p>
        </w:tc>
      </w:tr>
      <w:tr>
        <w:tc>
          <w:tcPr>
            <w:tcW w:type="dxa" w:w="43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pPr>
              <w:keepNext/>
            </w:pPr>
            <w:r>
              <w:rPr>
                <w:b/>
                <w:bCs/>
                <w:color w:val="000000"/>
              </w:rPr>
              <w:t xml:space="preserve">Typical factory: machinery and stock</w:t>
            </w:r>
          </w:p>
        </w:tc>
        <w:tc>
          <w:tcPr>
            <w:tcW w:type="dxa" w:w="1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0.10</w:t>
            </w:r>
          </w:p>
        </w:tc>
        <w:tc>
          <w:tcPr>
            <w:tcW w:type="dxa" w:w="3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about 3.4 s</w:t>
            </w:r>
          </w:p>
        </w:tc>
      </w:tr>
      <w:tr>
        <w:tc>
          <w:tcPr>
            <w:tcW w:type="dxa" w:w="43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pPr>
              <w:keepNext/>
            </w:pPr>
            <w:r>
              <w:rPr>
                <w:b/>
                <w:bCs/>
                <w:color w:val="000000"/>
              </w:rPr>
              <w:t xml:space="preserve">Partly treated: e.g. insulated roof</w:t>
            </w:r>
          </w:p>
        </w:tc>
        <w:tc>
          <w:tcPr>
            <w:tcW w:type="dxa" w:w="1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0.20</w:t>
            </w:r>
          </w:p>
        </w:tc>
        <w:tc>
          <w:tcPr>
            <w:tcW w:type="dxa" w:w="3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about 1.7 s</w:t>
            </w:r>
          </w:p>
        </w:tc>
      </w:tr>
      <w:tr>
        <w:tc>
          <w:tcPr>
            <w:tcW w:type="dxa" w:w="43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pPr>
              <w:keepNext/>
            </w:pPr>
            <w:r>
              <w:rPr>
                <w:b/>
                <w:bCs/>
                <w:color w:val="000000"/>
              </w:rPr>
              <w:t xml:space="preserve">Treated: acoustic ceiling or wall panels</w:t>
            </w:r>
          </w:p>
        </w:tc>
        <w:tc>
          <w:tcPr>
            <w:tcW w:type="dxa" w:w="1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0.35</w:t>
            </w:r>
          </w:p>
        </w:tc>
        <w:tc>
          <w:tcPr>
            <w:tcW w:type="dxa" w:w="3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about 1.0 s</w:t>
            </w:r>
          </w:p>
        </w:tc>
      </w:tr>
      <w:tr>
        <w:tc>
          <w:tcPr>
            <w:tcW w:type="dxa" w:w="436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pPr>
              <w:keepNext/>
            </w:pPr>
            <w:r>
              <w:rPr>
                <w:b/>
                <w:bCs/>
                <w:color w:val="000000"/>
              </w:rPr>
              <w:t xml:space="preserve">Highly treated: absorptive ceiling and walls</w:t>
            </w:r>
          </w:p>
        </w:tc>
        <w:tc>
          <w:tcPr>
            <w:tcW w:type="dxa" w:w="1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0.50</w:t>
            </w:r>
          </w:p>
        </w:tc>
        <w:tc>
          <w:tcPr>
            <w:tcW w:type="dxa" w:w="3500"/>
            <w:tcBorders>
              <w:top w:val="single" w:color="BFC6CE" w:sz="1"/>
              <w:left w:val="single" w:color="BFC6CE" w:sz="1"/>
              <w:bottom w:val="single" w:color="BFC6CE" w:sz="1"/>
              <w:right w:val="single" w:color="BFC6CE" w:sz="1"/>
            </w:tcBorders>
            <w:tcMar>
              <w:top w:type="dxa" w:w="80"/>
              <w:left w:type="dxa" w:w="120"/>
              <w:bottom w:type="dxa" w:w="80"/>
              <w:right w:type="dxa" w:w="120"/>
            </w:tcMar>
          </w:tcPr>
          <w:p>
            <w:pPr>
              <w:keepNext/>
            </w:pPr>
            <w:r>
              <w:rPr>
                <w:b w:val="false"/>
                <w:bCs w:val="false"/>
                <w:color w:val="000000"/>
              </w:rPr>
              <w:t xml:space="preserve">about 0.7 s</w:t>
            </w:r>
          </w:p>
        </w:tc>
      </w:tr>
    </w:tbl>
    <w:p>
      <w:pPr>
        <w:spacing w:before="160" w:after="0"/>
      </w:pPr>
      <w:r>
        <w:rPr>
          <w:b/>
          <w:bCs/>
        </w:rPr>
        <w:t xml:space="preserve">Room geometry. </w:t>
      </w:r>
      <w:r>
        <w:t xml:space="preserve">The floor area A comes from the outline; the volume is V = A·h, and the surface area S is 2A plus the wall area around the edge. Each room edge is checked every 0.25 m: where a full-height wall runs along it, it is wall; where it borders another room without a wall, it is an opening. Openings up to 8 m long are doorways as tall as the Doorway height setting (default 3 m); longer ones are open plan, open to the full ceiling height. The openings between rooms i and j, plus the walls on their shared edge weighted by their transmission loss (area × 10^(−TL/10)), make up the coupling area C</w:t>
      </w:r>
      <w:r>
        <w:rPr>
          <w:i/>
          <w:iCs/>
          <w:vertAlign w:val="subscript"/>
        </w:rPr>
        <w:t xml:space="preserve">ij</w:t>
      </w:r>
      <w:r>
        <w:t xml:space="preserve">.</w:t>
      </w:r>
    </w:p>
    <w:p>
      <w:pPr>
        <w:spacing w:before="120" w:after="0"/>
      </w:pPr>
      <w:r>
        <w:rPr>
          <w:b/>
          <w:bCs/>
        </w:rPr>
        <w:t xml:space="preserve">Reverberant level. </w:t>
      </w:r>
      <w:r>
        <w:t xml:space="preserve">Each machine’s sound power level follows from its level at the reference distance:</w:t>
      </w:r>
    </w:p>
    <w:p>
      <w:pPr>
        <w:spacing w:after="120" w:before="120"/>
        <w:jc w:val="center"/>
      </w:pPr>
      <w:r>
        <w:rPr>
          <w:i/>
          <w:iCs/>
          <w:sz w:val="24"/>
          <w:szCs w:val="24"/>
        </w:rPr>
        <w:t xml:space="preserve">L</w:t>
      </w:r>
      <w:r>
        <w:rPr>
          <w:i/>
          <w:iCs/>
          <w:vertAlign w:val="subscript"/>
        </w:rPr>
        <w:t xml:space="preserve">W</w:t>
      </w:r>
      <w:r>
        <w:rPr>
          <w:i/>
          <w:iCs/>
          <w:sz w:val="24"/>
          <w:szCs w:val="24"/>
        </w:rPr>
        <w:t xml:space="preserve"> = L</w:t>
      </w:r>
      <w:r>
        <w:rPr>
          <w:i/>
          <w:iCs/>
          <w:vertAlign w:val="subscript"/>
        </w:rPr>
        <w:t xml:space="preserve">p1</w:t>
      </w:r>
      <w:r>
        <w:rPr>
          <w:i/>
          <w:iCs/>
          <w:sz w:val="24"/>
          <w:szCs w:val="24"/>
        </w:rPr>
        <w:t xml:space="preserve"> + 20 · log</w:t>
      </w:r>
      <w:r>
        <w:rPr>
          <w:i/>
          <w:iCs/>
          <w:vertAlign w:val="subscript"/>
        </w:rPr>
        <w:t xml:space="preserve">10</w:t>
      </w:r>
      <w:r>
        <w:rPr>
          <w:i/>
          <w:iCs/>
          <w:sz w:val="24"/>
          <w:szCs w:val="24"/>
        </w:rPr>
        <w:t xml:space="preserve">( r</w:t>
      </w:r>
      <w:r>
        <w:rPr>
          <w:i/>
          <w:iCs/>
          <w:vertAlign w:val="subscript"/>
        </w:rPr>
        <w:t xml:space="preserve">1</w:t>
      </w:r>
      <w:r>
        <w:rPr>
          <w:i/>
          <w:iCs/>
          <w:sz w:val="24"/>
          <w:szCs w:val="24"/>
        </w:rPr>
        <w:t xml:space="preserve"> ) + 10 · log</w:t>
      </w:r>
      <w:r>
        <w:rPr>
          <w:i/>
          <w:iCs/>
          <w:vertAlign w:val="subscript"/>
        </w:rPr>
        <w:t xml:space="preserve">10</w:t>
      </w:r>
      <w:r>
        <w:rPr>
          <w:i/>
          <w:iCs/>
          <w:sz w:val="24"/>
          <w:szCs w:val="24"/>
        </w:rPr>
        <w:t xml:space="preserve">( 4π )</w:t>
      </w:r>
    </w:p>
    <w:p>
      <w:r>
        <w:t xml:space="preserve">For a single room on its own, the reverberant level is the textbook Sabine result:</w:t>
      </w:r>
    </w:p>
    <w:p>
      <w:pPr>
        <w:spacing w:after="120" w:before="120"/>
        <w:jc w:val="center"/>
      </w:pPr>
      <w:r>
        <w:rPr>
          <w:i/>
          <w:iCs/>
          <w:sz w:val="24"/>
          <w:szCs w:val="24"/>
        </w:rPr>
        <w:t xml:space="preserve">L</w:t>
      </w:r>
      <w:r>
        <w:rPr>
          <w:i/>
          <w:iCs/>
          <w:vertAlign w:val="subscript"/>
        </w:rPr>
        <w:t xml:space="preserve">rev</w:t>
      </w:r>
      <w:r>
        <w:rPr>
          <w:i/>
          <w:iCs/>
          <w:sz w:val="24"/>
          <w:szCs w:val="24"/>
        </w:rPr>
        <w:t xml:space="preserve"> = L</w:t>
      </w:r>
      <w:r>
        <w:rPr>
          <w:i/>
          <w:iCs/>
          <w:vertAlign w:val="subscript"/>
        </w:rPr>
        <w:t xml:space="preserve">W</w:t>
      </w:r>
      <w:r>
        <w:rPr>
          <w:i/>
          <w:iCs/>
          <w:sz w:val="24"/>
          <w:szCs w:val="24"/>
        </w:rPr>
        <w:t xml:space="preserve"> + 10 · log</w:t>
      </w:r>
      <w:r>
        <w:rPr>
          <w:i/>
          <w:iCs/>
          <w:vertAlign w:val="subscript"/>
        </w:rPr>
        <w:t xml:space="preserve">10</w:t>
      </w:r>
      <w:r>
        <w:rPr>
          <w:i/>
          <w:iCs/>
          <w:sz w:val="24"/>
          <w:szCs w:val="24"/>
        </w:rPr>
        <w:t xml:space="preserve">( 4 ⁄ R ) ,      R = S α ⁄ (1 − α)</w:t>
      </w:r>
    </w:p>
    <w:p>
      <w:r>
        <w:t xml:space="preserve">With several rooms, each room’s reverberant energy e</w:t>
      </w:r>
      <w:r>
        <w:rPr>
          <w:i/>
          <w:iCs/>
          <w:vertAlign w:val="subscript"/>
        </w:rPr>
        <w:t xml:space="preserve">i</w:t>
      </w:r>
      <w:r>
        <w:t xml:space="preserve"> (where e = 10^(L/10)) also exchanges sound with its neighbors through C</w:t>
      </w:r>
      <w:r>
        <w:rPr>
          <w:i/>
          <w:iCs/>
          <w:vertAlign w:val="subscript"/>
        </w:rPr>
        <w:t xml:space="preserve">ij</w:t>
      </w:r>
      <w:r>
        <w:t xml:space="preserve">. The tool solves the energy balance of all rooms together:</w:t>
      </w:r>
    </w:p>
    <w:p>
      <w:pPr>
        <w:spacing w:after="120" w:before="120"/>
        <w:jc w:val="center"/>
      </w:pPr>
      <w:r>
        <w:rPr>
          <w:i/>
          <w:iCs/>
          <w:sz w:val="24"/>
          <w:szCs w:val="24"/>
        </w:rPr>
        <w:t xml:space="preserve">e</w:t>
      </w:r>
      <w:r>
        <w:rPr>
          <w:i/>
          <w:iCs/>
          <w:vertAlign w:val="subscript"/>
        </w:rPr>
        <w:t xml:space="preserve">i</w:t>
      </w:r>
      <w:r>
        <w:rPr>
          <w:i/>
          <w:iCs/>
          <w:sz w:val="24"/>
          <w:szCs w:val="24"/>
        </w:rPr>
        <w:t xml:space="preserve"> · ( A</w:t>
      </w:r>
      <w:r>
        <w:rPr>
          <w:i/>
          <w:iCs/>
          <w:vertAlign w:val="subscript"/>
        </w:rPr>
        <w:t xml:space="preserve">i</w:t>
      </w:r>
      <w:r>
        <w:rPr>
          <w:i/>
          <w:iCs/>
          <w:sz w:val="24"/>
          <w:szCs w:val="24"/>
        </w:rPr>
        <w:t xml:space="preserve"> + Σ C</w:t>
      </w:r>
      <w:r>
        <w:rPr>
          <w:i/>
          <w:iCs/>
          <w:vertAlign w:val="subscript"/>
        </w:rPr>
        <w:t xml:space="preserve">ij</w:t>
      </w:r>
      <w:r>
        <w:rPr>
          <w:i/>
          <w:iCs/>
          <w:sz w:val="24"/>
          <w:szCs w:val="24"/>
        </w:rPr>
        <w:t xml:space="preserve"> ) − Σ C</w:t>
      </w:r>
      <w:r>
        <w:rPr>
          <w:i/>
          <w:iCs/>
          <w:vertAlign w:val="subscript"/>
        </w:rPr>
        <w:t xml:space="preserve">ij</w:t>
      </w:r>
      <w:r>
        <w:rPr>
          <w:i/>
          <w:iCs/>
          <w:sz w:val="24"/>
          <w:szCs w:val="24"/>
        </w:rPr>
        <w:t xml:space="preserve"> · e</w:t>
      </w:r>
      <w:r>
        <w:rPr>
          <w:i/>
          <w:iCs/>
          <w:vertAlign w:val="subscript"/>
        </w:rPr>
        <w:t xml:space="preserve">j</w:t>
      </w:r>
      <w:r>
        <w:rPr>
          <w:i/>
          <w:iCs/>
          <w:sz w:val="24"/>
          <w:szCs w:val="24"/>
        </w:rPr>
        <w:t xml:space="preserve"> = (1 − α</w:t>
      </w:r>
      <w:r>
        <w:rPr>
          <w:i/>
          <w:iCs/>
          <w:vertAlign w:val="subscript"/>
        </w:rPr>
        <w:t xml:space="preserve">i</w:t>
      </w:r>
      <w:r>
        <w:rPr>
          <w:i/>
          <w:iCs/>
          <w:sz w:val="24"/>
          <w:szCs w:val="24"/>
        </w:rPr>
        <w:t xml:space="preserve">) · ( 4 W</w:t>
      </w:r>
      <w:r>
        <w:rPr>
          <w:i/>
          <w:iCs/>
          <w:vertAlign w:val="subscript"/>
        </w:rPr>
        <w:t xml:space="preserve">i</w:t>
      </w:r>
      <w:r>
        <w:rPr>
          <w:i/>
          <w:iCs/>
          <w:sz w:val="24"/>
          <w:szCs w:val="24"/>
        </w:rPr>
        <w:t xml:space="preserve"> + S</w:t>
      </w:r>
      <w:r>
        <w:rPr>
          <w:i/>
          <w:iCs/>
          <w:vertAlign w:val="subscript"/>
        </w:rPr>
        <w:t xml:space="preserve">i</w:t>
      </w:r>
      <w:r>
        <w:rPr>
          <w:i/>
          <w:iCs/>
          <w:sz w:val="24"/>
          <w:szCs w:val="24"/>
        </w:rPr>
        <w:t xml:space="preserve"> · E</w:t>
      </w:r>
      <w:r>
        <w:rPr>
          <w:i/>
          <w:iCs/>
          <w:vertAlign w:val="subscript"/>
        </w:rPr>
        <w:t xml:space="preserve">d,i</w:t>
      </w:r>
      <w:r>
        <w:rPr>
          <w:i/>
          <w:iCs/>
          <w:sz w:val="24"/>
          <w:szCs w:val="24"/>
        </w:rPr>
        <w:t xml:space="preserve"> )</w:t>
      </w:r>
    </w:p>
    <w:p>
      <w:r>
        <w:t xml:space="preserve">Here A</w:t>
      </w:r>
      <w:r>
        <w:rPr>
          <w:i/>
          <w:iCs/>
          <w:vertAlign w:val="subscript"/>
        </w:rPr>
        <w:t xml:space="preserve">i</w:t>
      </w:r>
      <w:r>
        <w:t xml:space="preserve"> = α</w:t>
      </w:r>
      <w:r>
        <w:rPr>
          <w:i/>
          <w:iCs/>
          <w:vertAlign w:val="subscript"/>
        </w:rPr>
        <w:t xml:space="preserve">i</w:t>
      </w:r>
      <w:r>
        <w:t xml:space="preserve"> S</w:t>
      </w:r>
      <w:r>
        <w:rPr>
          <w:i/>
          <w:iCs/>
          <w:vertAlign w:val="subscript"/>
        </w:rPr>
        <w:t xml:space="preserve">i</w:t>
      </w:r>
      <w:r>
        <w:t xml:space="preserve">; W</w:t>
      </w:r>
      <w:r>
        <w:rPr>
          <w:i/>
          <w:iCs/>
          <w:vertAlign w:val="subscript"/>
        </w:rPr>
        <w:t xml:space="preserve">i</w:t>
      </w:r>
      <w:r>
        <w:t xml:space="preserve"> is the sound power of the machines inside room i; and E</w:t>
      </w:r>
      <w:r>
        <w:rPr>
          <w:i/>
          <w:iCs/>
          <w:vertAlign w:val="subscript"/>
        </w:rPr>
        <w:t xml:space="preserve">d,i</w:t>
      </w:r>
      <w:r>
        <w:t xml:space="preserve"> is the room-average direct sound reaching room i from machines in other rooms (through doorways and walls, as in Section 4.4). For one room on its own this reduces exactly to the formula above. The reverberation time shown for each room is Sabine’s, and typing a measured value sets α from it:</w:t>
      </w:r>
    </w:p>
    <w:p>
      <w:pPr>
        <w:spacing w:after="120" w:before="120"/>
        <w:jc w:val="center"/>
      </w:pPr>
      <w:r>
        <w:rPr>
          <w:i/>
          <w:iCs/>
          <w:sz w:val="24"/>
          <w:szCs w:val="24"/>
        </w:rPr>
        <w:t xml:space="preserve">T</w:t>
      </w:r>
      <w:r>
        <w:rPr>
          <w:i/>
          <w:iCs/>
          <w:vertAlign w:val="subscript"/>
        </w:rPr>
        <w:t xml:space="preserve">60</w:t>
      </w:r>
      <w:r>
        <w:rPr>
          <w:i/>
          <w:iCs/>
          <w:sz w:val="24"/>
          <w:szCs w:val="24"/>
        </w:rPr>
        <w:t xml:space="preserve"> = 0.161 · V ⁄ ( α S + Σ C</w:t>
      </w:r>
      <w:r>
        <w:rPr>
          <w:i/>
          <w:iCs/>
          <w:vertAlign w:val="subscript"/>
        </w:rPr>
        <w:t xml:space="preserve">ij</w:t>
      </w:r>
      <w:r>
        <w:rPr>
          <w:i/>
          <w:iCs/>
          <w:sz w:val="24"/>
          <w:szCs w:val="24"/>
        </w:rPr>
        <w:t xml:space="preserve"> )</w:t>
      </w:r>
    </w:p>
    <w:p>
      <w:pPr>
        <w:spacing w:before="120" w:after="0"/>
      </w:pPr>
      <w:r>
        <w:rPr>
          <w:b/>
          <w:bCs/>
        </w:rPr>
        <w:t xml:space="preserve">Final level. </w:t>
      </w:r>
      <w:r>
        <w:t xml:space="preserve">At each location, the reverberant energy of the room it is in is added to the direct, around-the-wall and reflected sound of Section 4.4 by energy addition. The residual correction (Step 3 of Section 4.3) is then applied room by room: a room with SLM readings is corrected only by its own readings, and a room without readings borrows its neighbors’ corrections.</w:t>
      </w:r>
    </w:p>
    <w:p>
      <w:pPr>
        <w:pStyle w:val="Heading2"/>
      </w:pPr>
      <w:r>
        <w:t xml:space="preserve">4.6 Assumptions and limitations</w:t>
      </w:r>
    </w:p>
    <w:p>
      <w:pPr>
        <w:pStyle w:val="ListParagraph"/>
        <w:numPr>
          <w:ilvl w:val="0"/>
          <w:numId w:val="5"/>
        </w:numPr>
      </w:pPr>
      <w:r>
        <w:t xml:space="preserve">Sources are idealized points in a free field. Large machines behave as line or area sources, and reverberant rooms decay more slowly than 6 dB per doubling — indoors the model is a baseline, not an exact solution.</w:t>
      </w:r>
    </w:p>
    <w:p>
      <w:pPr>
        <w:pStyle w:val="ListParagraph"/>
        <w:numPr>
          <w:ilvl w:val="0"/>
          <w:numId w:val="5"/>
        </w:numPr>
      </w:pPr>
      <w:r>
        <w:t xml:space="preserve">Steady-state A-weighted levels are assumed; impulsive noise, tonal character, and duty-cycle variation are not modeled.</w:t>
      </w:r>
    </w:p>
    <w:p>
      <w:pPr>
        <w:pStyle w:val="ListParagraph"/>
        <w:numPr>
          <w:ilvl w:val="0"/>
          <w:numId w:val="5"/>
        </w:numPr>
      </w:pPr>
      <w:r>
        <w:t xml:space="preserve">Walls are modeled in 2-D with single-number (dBA) values: one reflection per wall and no reflections from the floor or ceiling. Real walls and barriers block high-pitched noise better than low rumble. Reverberation is included only in rooms that are drawn, as an evenly spread (diffuse) field; in long, low halls the reverberant level in fact falls slowly with distance, so far from machines the map may read slightly high. Without rooms, the model can show line-of-sight “beams” through doorways that reverberation would fill in. Residual correction compensates, mainly near the measurements.</w:t>
      </w:r>
    </w:p>
    <w:p>
      <w:pPr>
        <w:pStyle w:val="ListParagraph"/>
        <w:numPr>
          <w:ilvl w:val="0"/>
          <w:numId w:val="5"/>
        </w:numPr>
      </w:pPr>
      <w:r>
        <w:t xml:space="preserve">All interpolated or predicted values are estimates. Verify critical boundaries (for example, the 85 dBA action level) with additional measurements.</w:t>
      </w:r>
    </w:p>
    <w:p>
      <w:pPr>
        <w:pStyle w:val="ListParagraph"/>
        <w:numPr>
          <w:ilvl w:val="0"/>
          <w:numId w:val="5"/>
        </w:numPr>
      </w:pPr>
      <w:r>
        <w:t xml:space="preserve">The maps support area noise assessment, planning, and stakeholder communication. They are not a substitute for personal noise dosimetry or regulatory exposure determination.</w:t>
      </w:r>
    </w:p>
    <w:p>
      <w:pPr>
        <w:pStyle w:val="Heading2"/>
        <w:keepNext/>
      </w:pPr>
      <w:r>
        <w:t xml:space="preserve">4.7 Choosing 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30"/>
        <w:gridCol w:w="3230"/>
      </w:tblGrid>
      <w:tr>
        <w:tc>
          <w:tcPr>
            <w:tcW w:type="dxa" w:w="25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Method</w:t>
            </w:r>
          </w:p>
        </w:tc>
        <w:tc>
          <w:tcPr>
            <w:tcW w:type="dxa" w:w="363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Best when</w:t>
            </w:r>
          </w:p>
        </w:tc>
        <w:tc>
          <w:tcPr>
            <w:tcW w:type="dxa" w:w="323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Watch out for</w:t>
            </w:r>
          </w:p>
        </w:tc>
      </w:tr>
      <w:tr>
        <w:tc>
          <w:tcPr>
            <w:tcW w:type="dxa" w:w="2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IDW</w:t>
            </w:r>
          </w:p>
        </w:tc>
        <w:tc>
          <w:tcPr>
            <w:tcW w:type="dxa" w:w="36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Plenty of well-distributed measurements; fast survey maps</w:t>
            </w:r>
          </w:p>
        </w:tc>
        <w:tc>
          <w:tcPr>
            <w:tcW w:type="dxa" w:w="32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Bull's-eye patterns around isolated points; cannot show unmeasured hot spots</w:t>
            </w:r>
          </w:p>
        </w:tc>
      </w:tr>
      <w:tr>
        <w:tc>
          <w:tcPr>
            <w:tcW w:type="dxa" w:w="2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RBF</w:t>
            </w:r>
          </w:p>
        </w:tc>
        <w:tc>
          <w:tcPr>
            <w:tcW w:type="dxa" w:w="36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Sparse measurements over a smoothly varying area</w:t>
            </w:r>
          </w:p>
        </w:tc>
        <w:tc>
          <w:tcPr>
            <w:tcW w:type="dxa" w:w="32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Overshoot beyond the measured range near survey edges</w:t>
            </w:r>
          </w:p>
        </w:tc>
      </w:tr>
      <w:tr>
        <w:tc>
          <w:tcPr>
            <w:tcW w:type="dxa" w:w="2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Source model + residuals</w:t>
            </w:r>
          </w:p>
        </w:tc>
        <w:tc>
          <w:tcPr>
            <w:tcW w:type="dxa" w:w="36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Dominant equipment is known; what-if planning (adding, moving, or quieting machines)</w:t>
            </w:r>
          </w:p>
        </w:tc>
        <w:tc>
          <w:tcPr>
            <w:tcW w:type="dxa" w:w="323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Needs a calibrated scale and reliable source levels; first-order wall model; reverberation only in drawn rooms</w:t>
            </w:r>
          </w:p>
        </w:tc>
      </w:tr>
    </w:tbl>
    <w:p>
      <w:pPr>
        <w:pStyle w:val="Heading1"/>
        <w:pageBreakBefore/>
      </w:pPr>
      <w:r>
        <w:t xml:space="preserve">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Problem</w:t>
            </w:r>
          </w:p>
        </w:tc>
        <w:tc>
          <w:tcPr>
            <w:tcW w:type="dxa" w:w="5860"/>
            <w:tcBorders>
              <w:top w:val="single" w:color="BFC6CE" w:sz="1"/>
              <w:left w:val="single" w:color="BFC6CE" w:sz="1"/>
              <w:bottom w:val="single" w:color="BFC6CE" w:sz="1"/>
              <w:right w:val="single" w:color="BFC6CE" w:sz="1"/>
            </w:tcBorders>
            <w:shd w:fill="1A355E" w:val="clear"/>
            <w:tcMar>
              <w:top w:type="dxa" w:w="80"/>
              <w:left w:type="dxa" w:w="120"/>
              <w:bottom w:type="dxa" w:w="80"/>
              <w:right w:type="dxa" w:w="120"/>
            </w:tcMar>
          </w:tcPr>
          <w:p>
            <w:r>
              <w:rPr>
                <w:b/>
                <w:bCs/>
                <w:color w:val="FFFFFF"/>
              </w:rPr>
              <w:t xml:space="preserve">What to do</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“Windows protected your PC” appears</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Click More info, then Run anyway (see Section 2).</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The window opens but is blank/white</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The WebView2 Runtime is missing (rare). Download “Evergreen Bootstrapper” from Microsoft’s WebView2 page, run it, then start the app again.</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My PDF floor plan shows the wrong page</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Only page 1 of a PDF is used. Save the page you need as a separate PDF, or export it as a PNG/JPG image and load that.</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Imported CSV points land in the wrong place</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Check the units dropdown next to Import CSV (pixels, % of plan, or m/ft). For meters/feet, the scale must be calibrated and the origin set first, and the CSV coordinates must be measured from that same origin point (x right, y up).</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Source model shows an empty map</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The source model needs a calibrated scale (Section 6 in the sidebar) and at least one noise source placed with the Add source tool. Measurement points are optional but recommended — they calibrate the prediction.</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Part of the map is blank after drawing walls</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Walls close that area off from all your readings. Add a reading there, leave a gap for the doorway, or untick Measurements don’t pass through walls (sidebar section 3).</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Color “leaks” through a wall</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A corner probably has a small gap. In Pan mode, drag the wall end onto the other wall until the pink snap circle appears.</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Walls make no difference to the map</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Check the wall settings in sidebar section 3. Blocking and reflections apply to the source model only; IDW and RBF use walls to stop readings passing through them.</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A whole room is about the same color</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That is reverberation evening out the room, as in real hard rooms. If it looks too loud or too quiet, check the room’s finish and ceiling height, or type in a measured reverberation time. Readings in the room also correct it.</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Rooms make no difference</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Rooms affect only the source model, with Room reverberation ticked (sidebar section 3) and the scale set.</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A doorway between two rooms has no effect</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The two rooms must share an edge across the doorway. Drag the rooms’ corners until they snap together.</w:t>
            </w:r>
          </w:p>
        </w:tc>
      </w:tr>
      <w:tr>
        <w:tc>
          <w:tcPr>
            <w:tcW w:type="dxa" w:w="3500"/>
            <w:tcBorders>
              <w:top w:val="single" w:color="BFC6CE" w:sz="1"/>
              <w:left w:val="single" w:color="BFC6CE" w:sz="1"/>
              <w:bottom w:val="single" w:color="BFC6CE" w:sz="1"/>
              <w:right w:val="single" w:color="BFC6CE" w:sz="1"/>
            </w:tcBorders>
            <w:shd w:fill="EDF1F6" w:val="clear"/>
            <w:tcMar>
              <w:top w:type="dxa" w:w="80"/>
              <w:left w:type="dxa" w:w="120"/>
              <w:bottom w:type="dxa" w:w="80"/>
              <w:right w:type="dxa" w:w="120"/>
            </w:tcMar>
          </w:tcPr>
          <w:p>
            <w:r>
              <w:rPr>
                <w:b/>
                <w:bCs/>
                <w:color w:val="000000"/>
              </w:rPr>
              <w:t xml:space="preserve">I closed the app and lost my work</w:t>
            </w:r>
          </w:p>
        </w:tc>
        <w:tc>
          <w:tcPr>
            <w:tcW w:type="dxa" w:w="5860"/>
            <w:tcBorders>
              <w:top w:val="single" w:color="BFC6CE" w:sz="1"/>
              <w:left w:val="single" w:color="BFC6CE" w:sz="1"/>
              <w:bottom w:val="single" w:color="BFC6CE" w:sz="1"/>
              <w:right w:val="single" w:color="BFC6CE" w:sz="1"/>
            </w:tcBorders>
            <w:tcMar>
              <w:top w:type="dxa" w:w="80"/>
              <w:left w:type="dxa" w:w="120"/>
              <w:bottom w:type="dxa" w:w="80"/>
              <w:right w:type="dxa" w:w="120"/>
            </w:tcMar>
          </w:tcPr>
          <w:p>
            <w:r>
              <w:rPr>
                <w:b w:val="false"/>
                <w:bCs w:val="false"/>
                <w:color w:val="000000"/>
              </w:rPr>
              <w:t xml:space="preserve">Use Save project (Section 7 in the sidebar) while working. Opening the saved project file restores the plan, points, and settings exactly.</w:t>
            </w:r>
          </w:p>
        </w:tc>
      </w:tr>
    </w:tbl>
    <w:p>
      <w:pPr>
        <w:pStyle w:val="Heading1"/>
        <w:pageBreakBefore/>
      </w:pPr>
      <w:r>
        <w:t xml:space="preserve">Appendix A — Setting Up an Anthropic API Key (for AI-enabled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6CE" w:sz="1"/>
              <w:left w:val="single" w:color="BFC6CE" w:sz="1"/>
              <w:bottom w:val="single" w:color="BFC6CE" w:sz="1"/>
              <w:right w:val="single" w:color="BFC6CE" w:sz="1"/>
            </w:tcBorders>
            <w:shd w:fill="E8F0E8" w:val="clear"/>
            <w:tcMar>
              <w:top w:type="dxa" w:w="80"/>
              <w:left w:type="dxa" w:w="120"/>
              <w:bottom w:type="dxa" w:w="80"/>
              <w:right w:type="dxa" w:w="120"/>
            </w:tcMar>
          </w:tcPr>
          <w:p>
            <w:r>
              <w:rPr>
                <w:b/>
                <w:bCs/>
              </w:rPr>
              <w:t xml:space="preserve">The Noise Contour Mapper does not use an API key. </w:t>
            </w:r>
            <w:r>
              <w:t xml:space="preserve">This appendix applies only to companion tools with AI features — for example, the Robotic Cell Risk Assessment application’s photo/video analysis. Keep it for reference when you install those tools.</w:t>
            </w:r>
          </w:p>
        </w:tc>
      </w:tr>
    </w:tbl>
    <w:p/>
    <w:p>
      <w:pPr>
        <w:pStyle w:val="Heading2"/>
      </w:pPr>
      <w:r>
        <w:t xml:space="preserve">A.1 Get a key</w:t>
      </w:r>
    </w:p>
    <w:p>
      <w:pPr>
        <w:pStyle w:val="ListParagraph"/>
        <w:numPr>
          <w:ilvl w:val="0"/>
          <w:numId w:val="6"/>
        </w:numPr>
      </w:pPr>
      <w:r>
        <w:t xml:space="preserve">In a web browser, go to </w:t>
      </w:r>
      <w:hyperlink w:history="1" r:id="rIdgr8f8jatc9ff2v_e7if3e">
        <w:r>
          <w:rPr>
            <w:rStyle w:val="Hyperlink"/>
          </w:rPr>
          <w:t xml:space="preserve">https://console.anthropic.com</w:t>
        </w:r>
      </w:hyperlink>
      <w:r>
        <w:t xml:space="preserve"> and sign in (or create an account). Company accounts should be set up through your IT/procurement process so billing goes to the right place.</w:t>
      </w:r>
    </w:p>
    <w:p>
      <w:pPr>
        <w:pStyle w:val="ListParagraph"/>
        <w:numPr>
          <w:ilvl w:val="0"/>
          <w:numId w:val="6"/>
        </w:numPr>
      </w:pPr>
      <w:r>
        <w:t xml:space="preserve">Open </w:t>
      </w:r>
      <w:r>
        <w:rPr>
          <w:b/>
          <w:bCs/>
        </w:rPr>
        <w:t xml:space="preserve">API Keys</w:t>
      </w:r>
      <w:r>
        <w:t xml:space="preserve"> from the settings menu and click </w:t>
      </w:r>
      <w:r>
        <w:rPr>
          <w:b/>
          <w:bCs/>
        </w:rPr>
        <w:t xml:space="preserve">Create Key</w:t>
      </w:r>
      <w:r>
        <w:t xml:space="preserve">. Give it a name that identifies you and the tool (for example, “jsmith – risk assessment app”).</w:t>
      </w:r>
    </w:p>
    <w:p>
      <w:pPr>
        <w:pStyle w:val="ListParagraph"/>
        <w:numPr>
          <w:ilvl w:val="0"/>
          <w:numId w:val="6"/>
        </w:numPr>
      </w:pPr>
      <w:r>
        <w:t xml:space="preserve">Copy the key immediately — it starts with </w:t>
      </w:r>
      <w:r>
        <w:rPr>
          <w:b/>
          <w:bCs/>
        </w:rPr>
        <w:t xml:space="preserve">sk-ant-</w:t>
      </w:r>
      <w:r>
        <w:t xml:space="preserve"> and is shown </w:t>
      </w:r>
      <w:r>
        <w:rPr>
          <w:b/>
          <w:bCs/>
        </w:rPr>
        <w:t xml:space="preserve">only once</w:t>
      </w:r>
      <w:r>
        <w:t xml:space="preserve">. If you lose it, delete that key and create a new one.</w:t>
      </w:r>
    </w:p>
    <w:p>
      <w:pPr>
        <w:pStyle w:val="Heading2"/>
      </w:pPr>
      <w:r>
        <w:t xml:space="preserve">A.2 Enter the key in the tool</w:t>
      </w:r>
    </w:p>
    <w:p>
      <w:pPr>
        <w:pStyle w:val="ListParagraph"/>
        <w:numPr>
          <w:ilvl w:val="0"/>
          <w:numId w:val="7"/>
        </w:numPr>
      </w:pPr>
      <w:r>
        <w:t xml:space="preserve">In the AI-enabled application, open the </w:t>
      </w:r>
      <w:r>
        <w:rPr>
          <w:b/>
          <w:bCs/>
        </w:rPr>
        <w:t xml:space="preserve">Settings</w:t>
      </w:r>
      <w:r>
        <w:t xml:space="preserve"> screen.</w:t>
      </w:r>
    </w:p>
    <w:p>
      <w:pPr>
        <w:pStyle w:val="ListParagraph"/>
        <w:numPr>
          <w:ilvl w:val="0"/>
          <w:numId w:val="7"/>
        </w:numPr>
      </w:pPr>
      <w:r>
        <w:t xml:space="preserve">Paste the key into the API key field and click Save. The screen will confirm that a key is stored; you can update or clear it there at any time.</w:t>
      </w:r>
    </w:p>
    <w:p>
      <w:pPr>
        <w:pStyle w:val="ListParagraph"/>
        <w:numPr>
          <w:ilvl w:val="0"/>
          <w:numId w:val="7"/>
        </w:numPr>
      </w:pPr>
      <w:r>
        <w:t xml:space="preserve">The key is stored securely in the Windows Credential Manager on your computer — it is not written to a file and does not leave your machine except to authenticate your own requests to Anthropic.</w:t>
      </w:r>
    </w:p>
    <w:p>
      <w:pPr>
        <w:pStyle w:val="Heading2"/>
      </w:pPr>
      <w:r>
        <w:t xml:space="preserve">A.3 Key safety rules</w:t>
      </w:r>
    </w:p>
    <w:p>
      <w:pPr>
        <w:pStyle w:val="ListParagraph"/>
        <w:numPr>
          <w:ilvl w:val="0"/>
          <w:numId w:val="5"/>
        </w:numPr>
      </w:pPr>
      <w:r>
        <w:t xml:space="preserve">Treat the key like a password: never email it, paste it into chat tools, or share one key between several people.</w:t>
      </w:r>
    </w:p>
    <w:p>
      <w:pPr>
        <w:pStyle w:val="ListParagraph"/>
        <w:numPr>
          <w:ilvl w:val="0"/>
          <w:numId w:val="5"/>
        </w:numPr>
      </w:pPr>
      <w:r>
        <w:t xml:space="preserve">Each user should have their own key, so usage can be tracked and a key can be revoked without affecting others.</w:t>
      </w:r>
    </w:p>
    <w:p>
      <w:pPr>
        <w:pStyle w:val="ListParagraph"/>
        <w:numPr>
          <w:ilvl w:val="0"/>
          <w:numId w:val="5"/>
        </w:numPr>
      </w:pPr>
      <w:r>
        <w:t xml:space="preserve">If a key may have been exposed, revoke it in the Anthropic console immediately and create a new 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Noise Contour Mapper — Installation Guide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55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35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r8f8jatc9ff2v_e7if3e" Type="http://schemas.openxmlformats.org/officeDocument/2006/relationships/hyperlink" Target="https://console.anthropic.com" TargetMode="External"/><Relationship Id="rId8" Type="http://schemas.openxmlformats.org/officeDocument/2006/relationships/image" Target="media/0a6cf208db7bfc772875180263ca0c534b7fbc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2026-07-07T04:19:07.936Z</dcterms:created>
  <dcterms:modified xsi:type="dcterms:W3CDTF">2026-07-07T04:19:07.937Z</dcterms:modified>
</cp:coreProperties>
</file>

<file path=docProps/custom.xml><?xml version="1.0" encoding="utf-8"?>
<Properties xmlns="http://schemas.openxmlformats.org/officeDocument/2006/custom-properties" xmlns:vt="http://schemas.openxmlformats.org/officeDocument/2006/docPropsVTypes"/>
</file>