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8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234A3" w14:textId="069D2693" w:rsidR="00A278BA" w:rsidRPr="00DF45A9" w:rsidRDefault="007D2CCF" w:rsidP="00DF45A9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lastRenderedPageBreak/>
        <w:t>Abstract:</w:t>
      </w:r>
      <w:r w:rsidR="009C35F4" w:rsidRPr="009C35F4">
        <w:rPr>
          <w:sz w:val="20"/>
        </w:rPr>
        <w:t xml:space="preserve"> </w:t>
      </w:r>
      <w:r w:rsidR="009C35F4">
        <w:rPr>
          <w:sz w:val="20"/>
        </w:rPr>
        <w:t xml:space="preserve">The DFT (Design </w:t>
      </w:r>
      <w:proofErr w:type="gramStart"/>
      <w:r w:rsidR="009C35F4">
        <w:rPr>
          <w:sz w:val="20"/>
        </w:rPr>
        <w:t>For</w:t>
      </w:r>
      <w:proofErr w:type="gramEnd"/>
      <w:r w:rsidR="009C35F4">
        <w:rPr>
          <w:sz w:val="20"/>
        </w:rPr>
        <w:t xml:space="preserve"> Test) design is becoming more and more complex to satisfy test requirements for </w:t>
      </w:r>
      <w:r w:rsidR="009C35F4" w:rsidRPr="00D3257C">
        <w:rPr>
          <w:sz w:val="20"/>
          <w:lang w:eastAsia="zh-CN"/>
        </w:rPr>
        <w:t>ultra-l</w:t>
      </w:r>
      <w:r w:rsidR="009C35F4">
        <w:rPr>
          <w:sz w:val="20"/>
          <w:lang w:eastAsia="zh-CN"/>
        </w:rPr>
        <w:t>arge-scale SoC (System on Chip).</w:t>
      </w:r>
      <w:r w:rsidR="009C35F4" w:rsidRPr="009C35F4">
        <w:rPr>
          <w:sz w:val="20"/>
          <w:lang w:eastAsia="zh-CN"/>
        </w:rPr>
        <w:t xml:space="preserve"> </w:t>
      </w:r>
      <w:r w:rsidR="009C35F4">
        <w:rPr>
          <w:sz w:val="20"/>
          <w:lang w:eastAsia="zh-CN"/>
        </w:rPr>
        <w:t xml:space="preserve">From the perspective of test access method, nowadays IEEE 1149.1 protocol is usually adopted along with </w:t>
      </w:r>
      <w:r w:rsidR="009C35F4" w:rsidRPr="00D3257C">
        <w:rPr>
          <w:sz w:val="20"/>
          <w:lang w:eastAsia="zh-CN"/>
        </w:rPr>
        <w:t>IEEE 1687 and 1500 protocols</w:t>
      </w:r>
      <w:r w:rsidR="00921DD7">
        <w:rPr>
          <w:sz w:val="20"/>
          <w:lang w:eastAsia="zh-CN"/>
        </w:rPr>
        <w:t xml:space="preserve">, which </w:t>
      </w:r>
      <w:r w:rsidR="00915228">
        <w:rPr>
          <w:sz w:val="20"/>
          <w:lang w:eastAsia="zh-CN"/>
        </w:rPr>
        <w:t>enables</w:t>
      </w:r>
      <w:r w:rsidR="00921DD7">
        <w:rPr>
          <w:sz w:val="20"/>
          <w:lang w:eastAsia="zh-CN"/>
        </w:rPr>
        <w:t xml:space="preserve"> </w:t>
      </w:r>
      <w:r w:rsidR="00915228">
        <w:rPr>
          <w:sz w:val="20"/>
          <w:lang w:eastAsia="zh-CN"/>
        </w:rPr>
        <w:t xml:space="preserve">easy and modular integration of </w:t>
      </w:r>
      <w:r w:rsidR="00921DD7">
        <w:rPr>
          <w:sz w:val="20"/>
          <w:lang w:eastAsia="zh-CN"/>
        </w:rPr>
        <w:t>DFT IP</w:t>
      </w:r>
      <w:r w:rsidR="00597C8B">
        <w:rPr>
          <w:sz w:val="20"/>
          <w:lang w:eastAsia="zh-CN"/>
        </w:rPr>
        <w:t xml:space="preserve"> (Intellectual Property)</w:t>
      </w:r>
      <w:r w:rsidR="008B2CFC">
        <w:rPr>
          <w:sz w:val="20"/>
          <w:lang w:eastAsia="zh-CN"/>
        </w:rPr>
        <w:t xml:space="preserve"> </w:t>
      </w:r>
      <w:r w:rsidR="00524E79">
        <w:rPr>
          <w:sz w:val="20"/>
          <w:lang w:eastAsia="zh-CN"/>
        </w:rPr>
        <w:t xml:space="preserve">into SoC. </w:t>
      </w:r>
      <w:r w:rsidR="0050645A">
        <w:rPr>
          <w:sz w:val="20"/>
          <w:lang w:eastAsia="zh-CN"/>
        </w:rPr>
        <w:t>However,</w:t>
      </w:r>
      <w:r w:rsidR="00524E79">
        <w:rPr>
          <w:sz w:val="20"/>
          <w:lang w:eastAsia="zh-CN"/>
        </w:rPr>
        <w:t xml:space="preserve"> </w:t>
      </w:r>
      <w:r w:rsidR="00643F30">
        <w:rPr>
          <w:sz w:val="20"/>
          <w:lang w:eastAsia="zh-CN"/>
        </w:rPr>
        <w:t>this approach</w:t>
      </w:r>
      <w:r w:rsidR="00524E79">
        <w:rPr>
          <w:sz w:val="20"/>
          <w:lang w:eastAsia="zh-CN"/>
        </w:rPr>
        <w:t xml:space="preserve"> </w:t>
      </w:r>
      <w:r w:rsidR="00643F30">
        <w:rPr>
          <w:sz w:val="20"/>
          <w:lang w:eastAsia="zh-CN"/>
        </w:rPr>
        <w:t>make</w:t>
      </w:r>
      <w:r w:rsidR="00524E79">
        <w:rPr>
          <w:sz w:val="20"/>
          <w:lang w:eastAsia="zh-CN"/>
        </w:rPr>
        <w:t xml:space="preserve">s the DFT test access network complex and </w:t>
      </w:r>
      <w:r w:rsidR="00643F30">
        <w:rPr>
          <w:sz w:val="20"/>
          <w:lang w:eastAsia="zh-CN"/>
        </w:rPr>
        <w:t xml:space="preserve">it </w:t>
      </w:r>
      <w:r w:rsidR="00524E79">
        <w:rPr>
          <w:sz w:val="20"/>
          <w:lang w:eastAsia="zh-CN"/>
        </w:rPr>
        <w:t>need</w:t>
      </w:r>
      <w:r w:rsidR="00643F30">
        <w:rPr>
          <w:sz w:val="20"/>
          <w:lang w:eastAsia="zh-CN"/>
        </w:rPr>
        <w:t>s</w:t>
      </w:r>
      <w:r w:rsidR="00524E79">
        <w:rPr>
          <w:sz w:val="20"/>
          <w:lang w:eastAsia="zh-CN"/>
        </w:rPr>
        <w:t xml:space="preserve"> a serial of complex shift operations</w:t>
      </w:r>
      <w:r w:rsidR="00643F30">
        <w:rPr>
          <w:sz w:val="20"/>
          <w:lang w:eastAsia="zh-CN"/>
        </w:rPr>
        <w:t xml:space="preserve"> to access a TDR</w:t>
      </w:r>
      <w:r w:rsidR="00524E79">
        <w:rPr>
          <w:sz w:val="20"/>
          <w:lang w:eastAsia="zh-CN"/>
        </w:rPr>
        <w:t xml:space="preserve">. </w:t>
      </w:r>
      <w:r w:rsidR="00F658D4">
        <w:rPr>
          <w:sz w:val="20"/>
          <w:lang w:eastAsia="zh-CN"/>
        </w:rPr>
        <w:t>I</w:t>
      </w:r>
      <w:r w:rsidR="00524E79">
        <w:rPr>
          <w:sz w:val="20"/>
          <w:lang w:eastAsia="zh-CN"/>
        </w:rPr>
        <w:t xml:space="preserve">t </w:t>
      </w:r>
      <w:r w:rsidR="00F658D4">
        <w:rPr>
          <w:sz w:val="20"/>
          <w:lang w:eastAsia="zh-CN"/>
        </w:rPr>
        <w:t>will be</w:t>
      </w:r>
      <w:r w:rsidR="00524E79">
        <w:rPr>
          <w:sz w:val="20"/>
          <w:lang w:eastAsia="zh-CN"/>
        </w:rPr>
        <w:t xml:space="preserve"> </w:t>
      </w:r>
      <w:r w:rsidR="00F658D4">
        <w:rPr>
          <w:sz w:val="20"/>
          <w:lang w:eastAsia="zh-CN"/>
        </w:rPr>
        <w:t>beneficial</w:t>
      </w:r>
      <w:r w:rsidR="00524E79">
        <w:rPr>
          <w:sz w:val="20"/>
          <w:lang w:eastAsia="zh-CN"/>
        </w:rPr>
        <w:t xml:space="preserve"> </w:t>
      </w:r>
      <w:r w:rsidR="00F658D4">
        <w:rPr>
          <w:sz w:val="20"/>
          <w:lang w:eastAsia="zh-CN"/>
        </w:rPr>
        <w:t>if</w:t>
      </w:r>
      <w:r w:rsidR="00524E79">
        <w:rPr>
          <w:sz w:val="20"/>
          <w:lang w:eastAsia="zh-CN"/>
        </w:rPr>
        <w:t xml:space="preserve"> abstract</w:t>
      </w:r>
      <w:r w:rsidR="00F658D4">
        <w:rPr>
          <w:sz w:val="20"/>
          <w:lang w:eastAsia="zh-CN"/>
        </w:rPr>
        <w:t>ing</w:t>
      </w:r>
      <w:r w:rsidR="00524E79">
        <w:rPr>
          <w:sz w:val="20"/>
          <w:lang w:eastAsia="zh-CN"/>
        </w:rPr>
        <w:t xml:space="preserve"> DFT TDR access in RAL</w:t>
      </w:r>
      <w:r w:rsidR="00F658D4">
        <w:rPr>
          <w:sz w:val="20"/>
          <w:lang w:eastAsia="zh-CN"/>
        </w:rPr>
        <w:t>, so that</w:t>
      </w:r>
      <w:r w:rsidR="00524E79">
        <w:rPr>
          <w:sz w:val="20"/>
          <w:lang w:eastAsia="zh-CN"/>
        </w:rPr>
        <w:t xml:space="preserve"> test writers </w:t>
      </w:r>
      <w:r w:rsidR="00F658D4">
        <w:rPr>
          <w:sz w:val="20"/>
          <w:lang w:eastAsia="zh-CN"/>
        </w:rPr>
        <w:t xml:space="preserve">can </w:t>
      </w:r>
      <w:r w:rsidR="00524E79">
        <w:rPr>
          <w:sz w:val="20"/>
          <w:lang w:eastAsia="zh-CN"/>
        </w:rPr>
        <w:t xml:space="preserve">focus on test sequences and </w:t>
      </w:r>
      <w:r w:rsidR="009E3E85">
        <w:rPr>
          <w:sz w:val="20"/>
          <w:lang w:eastAsia="zh-CN"/>
        </w:rPr>
        <w:t xml:space="preserve">tests </w:t>
      </w:r>
      <w:r w:rsidR="00F658D4">
        <w:rPr>
          <w:sz w:val="20"/>
          <w:lang w:eastAsia="zh-CN"/>
        </w:rPr>
        <w:t>can easily migrate</w:t>
      </w:r>
      <w:r w:rsidR="009E3E85">
        <w:rPr>
          <w:sz w:val="20"/>
          <w:lang w:eastAsia="zh-CN"/>
        </w:rPr>
        <w:t xml:space="preserve"> from block level to system level</w:t>
      </w:r>
      <w:r w:rsidR="00524E79">
        <w:rPr>
          <w:sz w:val="20"/>
          <w:lang w:eastAsia="zh-CN"/>
        </w:rPr>
        <w:t xml:space="preserve">. </w:t>
      </w:r>
      <w:r w:rsidR="009C35F4">
        <w:rPr>
          <w:sz w:val="20"/>
          <w:lang w:eastAsia="zh-CN"/>
        </w:rPr>
        <w:t xml:space="preserve">This paper </w:t>
      </w:r>
      <w:r w:rsidR="00DF45A9">
        <w:rPr>
          <w:sz w:val="20"/>
          <w:lang w:eastAsia="zh-CN"/>
        </w:rPr>
        <w:t>introduces</w:t>
      </w:r>
      <w:r w:rsidR="009C35F4">
        <w:rPr>
          <w:sz w:val="20"/>
          <w:lang w:eastAsia="zh-CN"/>
        </w:rPr>
        <w:t xml:space="preserve"> </w:t>
      </w:r>
      <w:r w:rsidR="009C35F4" w:rsidRPr="00A278BA">
        <w:rPr>
          <w:sz w:val="20"/>
          <w:lang w:eastAsia="zh-CN"/>
        </w:rPr>
        <w:t xml:space="preserve">a </w:t>
      </w:r>
      <w:r w:rsidR="009C35F4" w:rsidRPr="00A278BA">
        <w:rPr>
          <w:sz w:val="20"/>
        </w:rPr>
        <w:t>layered</w:t>
      </w:r>
      <w:r w:rsidR="009C35F4">
        <w:rPr>
          <w:sz w:val="20"/>
        </w:rPr>
        <w:t xml:space="preserve"> structure to model DFT</w:t>
      </w:r>
      <w:r w:rsidR="00D13F97">
        <w:rPr>
          <w:sz w:val="20"/>
        </w:rPr>
        <w:t xml:space="preserve"> TDRs</w:t>
      </w:r>
      <w:r w:rsidR="00A278BA">
        <w:rPr>
          <w:sz w:val="20"/>
        </w:rPr>
        <w:t xml:space="preserve"> and its access</w:t>
      </w:r>
      <w:r w:rsidR="009E3E85">
        <w:rPr>
          <w:sz w:val="20"/>
        </w:rPr>
        <w:t xml:space="preserve"> </w:t>
      </w:r>
      <w:r w:rsidR="00A278BA">
        <w:rPr>
          <w:sz w:val="20"/>
        </w:rPr>
        <w:t>network</w:t>
      </w:r>
      <w:r w:rsidR="00F658D4">
        <w:rPr>
          <w:sz w:val="20"/>
        </w:rPr>
        <w:t>,</w:t>
      </w:r>
      <w:r w:rsidR="00A278BA">
        <w:rPr>
          <w:sz w:val="20"/>
        </w:rPr>
        <w:t xml:space="preserve"> which is </w:t>
      </w:r>
      <w:r w:rsidR="009C35F4">
        <w:rPr>
          <w:sz w:val="20"/>
        </w:rPr>
        <w:t>universal for different project</w:t>
      </w:r>
      <w:r w:rsidR="00F658D4">
        <w:rPr>
          <w:sz w:val="20"/>
        </w:rPr>
        <w:t>s.  Also we</w:t>
      </w:r>
      <w:r w:rsidR="00A278BA">
        <w:rPr>
          <w:sz w:val="20"/>
        </w:rPr>
        <w:t xml:space="preserve"> </w:t>
      </w:r>
      <w:r w:rsidR="00F658D4">
        <w:rPr>
          <w:sz w:val="20"/>
        </w:rPr>
        <w:t>introduce</w:t>
      </w:r>
      <w:r w:rsidR="00873485">
        <w:rPr>
          <w:sz w:val="20"/>
        </w:rPr>
        <w:t xml:space="preserve"> a </w:t>
      </w:r>
      <w:r w:rsidR="00F658D4">
        <w:rPr>
          <w:sz w:val="20"/>
        </w:rPr>
        <w:t xml:space="preserve">new </w:t>
      </w:r>
      <w:r w:rsidR="00873485">
        <w:rPr>
          <w:sz w:val="20"/>
        </w:rPr>
        <w:t xml:space="preserve">way </w:t>
      </w:r>
      <w:r w:rsidR="005820FC">
        <w:rPr>
          <w:sz w:val="20"/>
        </w:rPr>
        <w:t xml:space="preserve">to model ultra-long length registers in UVM </w:t>
      </w:r>
      <w:r w:rsidR="00F658D4">
        <w:rPr>
          <w:sz w:val="20"/>
        </w:rPr>
        <w:t>that</w:t>
      </w:r>
      <w:r w:rsidR="00873485">
        <w:rPr>
          <w:sz w:val="20"/>
        </w:rPr>
        <w:t xml:space="preserve"> </w:t>
      </w:r>
      <w:r w:rsidR="00CD1978">
        <w:rPr>
          <w:sz w:val="20"/>
        </w:rPr>
        <w:t>require</w:t>
      </w:r>
      <w:r w:rsidR="00F658D4">
        <w:rPr>
          <w:sz w:val="20"/>
        </w:rPr>
        <w:t>s</w:t>
      </w:r>
      <w:r w:rsidR="00CD1978">
        <w:rPr>
          <w:sz w:val="20"/>
        </w:rPr>
        <w:t xml:space="preserve"> smaller memory </w:t>
      </w:r>
      <w:r w:rsidR="005820FC">
        <w:rPr>
          <w:sz w:val="20"/>
        </w:rPr>
        <w:t xml:space="preserve">space </w:t>
      </w:r>
      <w:r w:rsidR="006C0F51">
        <w:rPr>
          <w:sz w:val="20"/>
        </w:rPr>
        <w:t xml:space="preserve">than </w:t>
      </w:r>
      <w:r w:rsidR="00F658D4">
        <w:rPr>
          <w:sz w:val="20"/>
        </w:rPr>
        <w:t xml:space="preserve">the </w:t>
      </w:r>
      <w:r w:rsidR="006C0F51">
        <w:rPr>
          <w:sz w:val="20"/>
        </w:rPr>
        <w:t>current UVM RAL solution</w:t>
      </w:r>
      <w:r w:rsidR="00A278BA">
        <w:rPr>
          <w:sz w:val="20"/>
        </w:rPr>
        <w:t>.</w:t>
      </w:r>
    </w:p>
    <w:p w14:paraId="0A10130B" w14:textId="05EB830C" w:rsidR="009B3D5E" w:rsidRDefault="00694048" w:rsidP="00FD6D5C">
      <w:pPr>
        <w:spacing w:line="240" w:lineRule="atLeast"/>
        <w:ind w:firstLine="288"/>
        <w:jc w:val="both"/>
        <w:outlineLvl w:val="0"/>
        <w:rPr>
          <w:sz w:val="20"/>
          <w:lang w:eastAsia="zh-CN"/>
        </w:rPr>
      </w:pPr>
      <w:r>
        <w:rPr>
          <w:b/>
          <w:sz w:val="20"/>
        </w:rPr>
        <w:t>Introduction:</w:t>
      </w:r>
      <w:r w:rsidR="00B35041">
        <w:rPr>
          <w:sz w:val="20"/>
        </w:rPr>
        <w:t xml:space="preserve"> </w:t>
      </w:r>
      <w:r w:rsidR="00FD6D5C">
        <w:rPr>
          <w:sz w:val="20"/>
        </w:rPr>
        <w:t>To model DFT TDR in UVM, t</w:t>
      </w:r>
      <w:r w:rsidR="00665AC3">
        <w:rPr>
          <w:sz w:val="20"/>
          <w:lang w:eastAsia="zh-CN"/>
        </w:rPr>
        <w:t xml:space="preserve">he first </w:t>
      </w:r>
      <w:r w:rsidR="00C90483">
        <w:rPr>
          <w:sz w:val="20"/>
          <w:lang w:eastAsia="zh-CN"/>
        </w:rPr>
        <w:t xml:space="preserve">challenge </w:t>
      </w:r>
      <w:r w:rsidR="00665AC3"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</w:t>
      </w:r>
      <w:r w:rsidR="003E2EFD">
        <w:rPr>
          <w:sz w:val="20"/>
          <w:lang w:eastAsia="zh-CN"/>
        </w:rPr>
        <w:t>ultra-long</w:t>
      </w:r>
      <w:r w:rsidR="004162D2">
        <w:rPr>
          <w:sz w:val="20"/>
          <w:lang w:eastAsia="zh-CN"/>
        </w:rPr>
        <w:t xml:space="preserve"> length</w:t>
      </w:r>
      <w:r w:rsidR="00215CE7">
        <w:rPr>
          <w:sz w:val="20"/>
          <w:lang w:eastAsia="zh-CN"/>
        </w:rPr>
        <w:t xml:space="preserve"> TDRs.</w:t>
      </w:r>
      <w:r w:rsidR="00665AC3"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 w:rsidR="00665AC3">
        <w:rPr>
          <w:sz w:val="20"/>
          <w:lang w:eastAsia="zh-CN"/>
        </w:rPr>
        <w:t xml:space="preserve">some DFT TDRs’ </w:t>
      </w:r>
      <w:r w:rsidR="004162D2">
        <w:rPr>
          <w:sz w:val="20"/>
          <w:lang w:eastAsia="zh-CN"/>
        </w:rPr>
        <w:t>length</w:t>
      </w:r>
      <w:r w:rsidR="00B442DF">
        <w:rPr>
          <w:sz w:val="20"/>
          <w:lang w:eastAsia="zh-CN"/>
        </w:rPr>
        <w:t>, compared</w:t>
      </w:r>
      <w:r w:rsidR="00A92B3E">
        <w:rPr>
          <w:sz w:val="20"/>
          <w:lang w:eastAsia="zh-CN"/>
        </w:rPr>
        <w:t xml:space="preserve"> to the functional registers of a SoC,</w:t>
      </w:r>
      <w:r w:rsidR="00665AC3"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 w:rsidR="009B3D5E">
        <w:rPr>
          <w:sz w:val="20"/>
          <w:lang w:eastAsia="zh-CN"/>
        </w:rPr>
        <w:t>s of</w:t>
      </w:r>
      <w:r w:rsidR="00665AC3">
        <w:rPr>
          <w:sz w:val="20"/>
          <w:lang w:eastAsia="zh-CN"/>
        </w:rPr>
        <w:t xml:space="preserve"> </w:t>
      </w:r>
      <w:proofErr w:type="gramStart"/>
      <w:r w:rsidR="009B3D5E">
        <w:rPr>
          <w:sz w:val="20"/>
          <w:lang w:eastAsia="zh-CN"/>
        </w:rPr>
        <w:t>bit</w:t>
      </w:r>
      <w:proofErr w:type="gramEnd"/>
      <w:r w:rsidR="004162D2">
        <w:rPr>
          <w:sz w:val="20"/>
          <w:lang w:eastAsia="zh-CN"/>
        </w:rPr>
        <w:t>. At some</w:t>
      </w:r>
      <w:r w:rsidR="00665AC3"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 w:rsidR="00665AC3"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</w:t>
      </w:r>
      <w:r w:rsidR="00FD6D5C">
        <w:rPr>
          <w:sz w:val="20"/>
          <w:lang w:eastAsia="zh-CN"/>
        </w:rPr>
        <w:t>Self-Test</w:t>
      </w:r>
      <w:r w:rsidR="003E3D85">
        <w:rPr>
          <w:sz w:val="20"/>
          <w:lang w:eastAsia="zh-CN"/>
        </w:rPr>
        <w:t xml:space="preserve">) </w:t>
      </w:r>
      <w:r w:rsidR="00665AC3"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 w:rsidR="00665AC3"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 w:rsidR="00665AC3"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</w:t>
      </w:r>
      <w:r w:rsidR="00DD1D4D">
        <w:rPr>
          <w:sz w:val="20"/>
          <w:lang w:eastAsia="zh-CN"/>
        </w:rPr>
        <w:t>at</w:t>
      </w:r>
      <w:r w:rsidR="00AD1E95">
        <w:rPr>
          <w:sz w:val="20"/>
          <w:lang w:eastAsia="zh-CN"/>
        </w:rPr>
        <w:t xml:space="preserve"> functional registers and </w:t>
      </w:r>
      <w:r w:rsidR="00DD1D4D">
        <w:rPr>
          <w:sz w:val="20"/>
          <w:lang w:eastAsia="zh-CN"/>
        </w:rPr>
        <w:t>subjects to</w:t>
      </w:r>
      <w:r w:rsidR="00AE696D">
        <w:rPr>
          <w:sz w:val="20"/>
          <w:lang w:eastAsia="zh-CN"/>
        </w:rPr>
        <w:t xml:space="preserve"> its limitation when model</w:t>
      </w:r>
      <w:r w:rsidR="00FB2691">
        <w:rPr>
          <w:sz w:val="20"/>
          <w:lang w:eastAsia="zh-CN"/>
        </w:rPr>
        <w:t xml:space="preserve">ling </w:t>
      </w:r>
      <w:r w:rsidR="009B3D5E">
        <w:rPr>
          <w:sz w:val="20"/>
          <w:lang w:eastAsia="zh-CN"/>
        </w:rPr>
        <w:t xml:space="preserve">the ultra-long length </w:t>
      </w:r>
      <w:r w:rsidR="00A92B3E">
        <w:rPr>
          <w:sz w:val="20"/>
          <w:lang w:eastAsia="zh-CN"/>
        </w:rPr>
        <w:t>DFT TDR</w:t>
      </w:r>
      <w:r w:rsidR="009B3D5E">
        <w:rPr>
          <w:sz w:val="20"/>
          <w:lang w:eastAsia="zh-CN"/>
        </w:rPr>
        <w:t>.</w:t>
      </w:r>
    </w:p>
    <w:p w14:paraId="216435A9" w14:textId="14B811A4" w:rsidR="00FB2691" w:rsidRDefault="00AD1E95" w:rsidP="00FD6D5C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sz w:val="20"/>
          <w:lang w:eastAsia="zh-CN"/>
        </w:rPr>
        <w:t xml:space="preserve"> </w:t>
      </w:r>
      <w:r w:rsidR="00FB2691">
        <w:rPr>
          <w:sz w:val="20"/>
          <w:lang w:eastAsia="zh-CN"/>
        </w:rPr>
        <w:t xml:space="preserve">If </w:t>
      </w:r>
      <w:r w:rsidR="009B3D5E">
        <w:rPr>
          <w:sz w:val="20"/>
          <w:lang w:eastAsia="zh-CN"/>
        </w:rPr>
        <w:t>we want to model</w:t>
      </w:r>
      <w:r w:rsidR="002D1775">
        <w:rPr>
          <w:sz w:val="20"/>
          <w:lang w:eastAsia="zh-CN"/>
        </w:rPr>
        <w:t xml:space="preserve">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DA4571">
        <w:rPr>
          <w:sz w:val="20"/>
          <w:lang w:eastAsia="zh-CN"/>
        </w:rPr>
        <w:t xml:space="preserve"> using </w:t>
      </w:r>
      <w:r w:rsidR="00CB3FEF">
        <w:rPr>
          <w:sz w:val="20"/>
          <w:lang w:eastAsia="zh-CN"/>
        </w:rPr>
        <w:t xml:space="preserve">the </w:t>
      </w:r>
      <w:r w:rsidR="00DA4571">
        <w:rPr>
          <w:sz w:val="20"/>
          <w:lang w:eastAsia="zh-CN"/>
        </w:rPr>
        <w:t xml:space="preserve">current UVM RAL </w:t>
      </w:r>
      <w:r w:rsidR="00A37824">
        <w:rPr>
          <w:sz w:val="20"/>
          <w:lang w:eastAsia="zh-CN"/>
        </w:rPr>
        <w:t>solution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CB3FEF">
        <w:rPr>
          <w:sz w:val="20"/>
          <w:lang w:eastAsia="zh-CN"/>
        </w:rPr>
        <w:t xml:space="preserve">the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 xml:space="preserve">length of the </w:t>
      </w:r>
      <w:r w:rsidR="00CB3FEF">
        <w:rPr>
          <w:sz w:val="20"/>
          <w:lang w:eastAsia="zh-CN"/>
        </w:rPr>
        <w:t xml:space="preserve">longest </w:t>
      </w:r>
      <w:r w:rsidR="00C14E0B">
        <w:rPr>
          <w:sz w:val="20"/>
          <w:lang w:eastAsia="zh-CN"/>
        </w:rPr>
        <w:t>DFT TDR</w:t>
      </w:r>
      <w:r w:rsidR="00C135D1">
        <w:rPr>
          <w:sz w:val="20"/>
          <w:lang w:eastAsia="zh-CN"/>
        </w:rPr>
        <w:t xml:space="preserve"> in the system</w:t>
      </w:r>
      <w:r w:rsidR="003E2EFD">
        <w:rPr>
          <w:sz w:val="20"/>
          <w:lang w:eastAsia="zh-CN"/>
        </w:rPr>
        <w:t>. The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CB3FEF">
        <w:rPr>
          <w:sz w:val="20"/>
          <w:lang w:eastAsia="zh-CN"/>
        </w:rPr>
        <w:t xml:space="preserve"> abovementioned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DB1687">
        <w:rPr>
          <w:sz w:val="20"/>
          <w:lang w:eastAsia="zh-CN"/>
        </w:rPr>
        <w:t xml:space="preserve"> macros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 xml:space="preserve">. These two data types are </w:t>
      </w:r>
      <w:r w:rsidR="009B3D5E">
        <w:rPr>
          <w:sz w:val="20"/>
          <w:lang w:eastAsia="zh-CN"/>
        </w:rPr>
        <w:t>constructed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</w:t>
      </w:r>
      <w:r w:rsidR="00CB3FEF">
        <w:rPr>
          <w:sz w:val="20"/>
          <w:lang w:eastAsia="zh-CN"/>
        </w:rPr>
        <w:t xml:space="preserve">are </w:t>
      </w:r>
      <w:r w:rsidR="00B037E4">
        <w:rPr>
          <w:sz w:val="20"/>
          <w:lang w:eastAsia="zh-CN"/>
        </w:rPr>
        <w:t>used almost everywhere in the RAL</w:t>
      </w:r>
      <w:r w:rsidR="00CB3FEF">
        <w:rPr>
          <w:sz w:val="20"/>
          <w:lang w:eastAsia="zh-CN"/>
        </w:rPr>
        <w:t>-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</w:t>
      </w:r>
      <w:r w:rsidR="003E2EFD">
        <w:rPr>
          <w:sz w:val="20"/>
          <w:lang w:eastAsia="zh-CN"/>
        </w:rPr>
        <w:t>Furthermore</w:t>
      </w:r>
      <w:r w:rsidR="00B037E4">
        <w:rPr>
          <w:sz w:val="20"/>
          <w:lang w:eastAsia="zh-CN"/>
        </w:rPr>
        <w:t xml:space="preserve">, </w:t>
      </w:r>
      <w:r w:rsidR="00DA4571">
        <w:rPr>
          <w:sz w:val="20"/>
          <w:lang w:eastAsia="zh-CN"/>
        </w:rPr>
        <w:t>when constructing a TDR</w:t>
      </w:r>
      <w:r w:rsidR="00D95197">
        <w:rPr>
          <w:sz w:val="20"/>
          <w:lang w:eastAsia="zh-CN"/>
        </w:rPr>
        <w:t>, every</w:t>
      </w:r>
      <w:r w:rsidR="00B037E4">
        <w:rPr>
          <w:sz w:val="20"/>
          <w:lang w:eastAsia="zh-CN"/>
        </w:rPr>
        <w:t xml:space="preserve"> field </w:t>
      </w:r>
      <w:r w:rsidR="00CB3FEF">
        <w:rPr>
          <w:sz w:val="20"/>
          <w:lang w:eastAsia="zh-CN"/>
        </w:rPr>
        <w:t xml:space="preserve">of that TDR </w:t>
      </w:r>
      <w:r w:rsidR="00D95197">
        <w:rPr>
          <w:sz w:val="20"/>
          <w:lang w:eastAsia="zh-CN"/>
        </w:rPr>
        <w:t xml:space="preserve">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CB3FEF" w:rsidRPr="00CB3FEF">
        <w:rPr>
          <w:sz w:val="20"/>
          <w:lang w:eastAsia="zh-CN"/>
        </w:rPr>
        <w:t xml:space="preserve"> </w:t>
      </w:r>
      <w:r w:rsidR="00CB3FEF">
        <w:rPr>
          <w:sz w:val="20"/>
          <w:lang w:eastAsia="zh-CN"/>
        </w:rPr>
        <w:t>that</w:t>
      </w:r>
      <w:r w:rsidR="00FB6531">
        <w:rPr>
          <w:sz w:val="20"/>
          <w:lang w:eastAsia="zh-CN"/>
        </w:rPr>
        <w:t xml:space="preserve">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344F26">
        <w:rPr>
          <w:sz w:val="20"/>
          <w:lang w:eastAsia="zh-CN"/>
        </w:rPr>
        <w:t>every</w:t>
      </w:r>
      <w:r w:rsidR="00553EDD">
        <w:rPr>
          <w:sz w:val="20"/>
          <w:lang w:eastAsia="zh-CN"/>
        </w:rPr>
        <w:t xml:space="preserve"> field </w:t>
      </w:r>
      <w:r w:rsidR="00344F26">
        <w:rPr>
          <w:sz w:val="20"/>
          <w:lang w:eastAsia="zh-CN"/>
        </w:rPr>
        <w:t>of</w:t>
      </w:r>
      <w:r w:rsidR="00553EDD">
        <w:rPr>
          <w:sz w:val="20"/>
          <w:lang w:eastAsia="zh-CN"/>
        </w:rPr>
        <w:t xml:space="preserve"> </w:t>
      </w:r>
      <w:r w:rsidR="00DA4571">
        <w:rPr>
          <w:sz w:val="20"/>
          <w:lang w:eastAsia="zh-CN"/>
        </w:rPr>
        <w:t>the</w:t>
      </w:r>
      <w:r w:rsidR="005F53A2">
        <w:rPr>
          <w:sz w:val="20"/>
          <w:lang w:eastAsia="zh-CN"/>
        </w:rPr>
        <w:t xml:space="preserve"> </w:t>
      </w:r>
      <w:r w:rsidR="009B3D5E">
        <w:rPr>
          <w:sz w:val="20"/>
          <w:lang w:eastAsia="zh-CN"/>
        </w:rPr>
        <w:t>DFT TDR</w:t>
      </w:r>
      <w:r w:rsidR="00D95197">
        <w:rPr>
          <w:sz w:val="20"/>
          <w:lang w:eastAsia="zh-CN"/>
        </w:rPr>
        <w:t xml:space="preserve"> </w:t>
      </w:r>
      <w:r w:rsidR="00344F26">
        <w:rPr>
          <w:sz w:val="20"/>
          <w:lang w:eastAsia="zh-CN"/>
        </w:rPr>
        <w:t>is not</w:t>
      </w:r>
      <w:r w:rsidR="00D95197">
        <w:rPr>
          <w:sz w:val="20"/>
          <w:lang w:eastAsia="zh-CN"/>
        </w:rPr>
        <w:t xml:space="preserve"> </w:t>
      </w:r>
      <w:r w:rsidR="00344F26">
        <w:rPr>
          <w:sz w:val="20"/>
          <w:lang w:eastAsia="zh-CN"/>
        </w:rPr>
        <w:t>long</w:t>
      </w:r>
      <w:r w:rsidR="00D95197">
        <w:rPr>
          <w:sz w:val="20"/>
          <w:lang w:eastAsia="zh-CN"/>
        </w:rPr>
        <w:t>.</w:t>
      </w:r>
      <w:r w:rsidR="00FB2691">
        <w:rPr>
          <w:sz w:val="20"/>
          <w:lang w:eastAsia="zh-CN"/>
        </w:rPr>
        <w:t xml:space="preserve"> </w:t>
      </w:r>
      <w:r w:rsidR="00DA4571">
        <w:rPr>
          <w:sz w:val="20"/>
          <w:lang w:eastAsia="zh-CN"/>
        </w:rPr>
        <w:t>As we can see t</w:t>
      </w:r>
      <w:r w:rsidR="00FB2691">
        <w:rPr>
          <w:sz w:val="20"/>
          <w:lang w:eastAsia="zh-CN"/>
        </w:rPr>
        <w:t xml:space="preserve">he </w:t>
      </w:r>
      <w:r w:rsidR="00344F26">
        <w:rPr>
          <w:sz w:val="20"/>
          <w:lang w:eastAsia="zh-CN"/>
        </w:rPr>
        <w:t xml:space="preserve">waste of </w:t>
      </w:r>
      <w:r w:rsidR="006C0F51">
        <w:rPr>
          <w:sz w:val="20"/>
          <w:lang w:eastAsia="zh-CN"/>
        </w:rPr>
        <w:t xml:space="preserve">storage </w:t>
      </w:r>
      <w:r w:rsidR="00FB2691">
        <w:rPr>
          <w:sz w:val="20"/>
          <w:lang w:eastAsia="zh-CN"/>
        </w:rPr>
        <w:t>in simulation is obvious</w:t>
      </w:r>
      <w:r w:rsidR="00553EDD">
        <w:rPr>
          <w:sz w:val="20"/>
          <w:lang w:eastAsia="zh-CN"/>
        </w:rPr>
        <w:t>.</w:t>
      </w:r>
    </w:p>
    <w:p w14:paraId="1C6B6578" w14:textId="70799AD4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</w:t>
      </w:r>
      <w:r w:rsidR="00C12BE8">
        <w:rPr>
          <w:sz w:val="20"/>
          <w:highlight w:val="yellow"/>
          <w:lang w:eastAsia="zh-CN"/>
        </w:rPr>
        <w:t>a new way to model</w:t>
      </w:r>
      <w:r w:rsidR="00C90483" w:rsidRPr="008F565D">
        <w:rPr>
          <w:sz w:val="20"/>
          <w:highlight w:val="yellow"/>
          <w:lang w:eastAsia="zh-CN"/>
        </w:rPr>
        <w:t xml:space="preserve"> </w:t>
      </w:r>
      <w:r w:rsidR="00DF45A9" w:rsidRPr="008F565D">
        <w:rPr>
          <w:sz w:val="20"/>
          <w:highlight w:val="yellow"/>
          <w:lang w:eastAsia="zh-CN"/>
        </w:rPr>
        <w:t>ultra-long</w:t>
      </w:r>
      <w:r w:rsidR="00C90483" w:rsidRPr="008F565D">
        <w:rPr>
          <w:sz w:val="20"/>
          <w:highlight w:val="yellow"/>
          <w:lang w:eastAsia="zh-CN"/>
        </w:rPr>
        <w:t xml:space="preserve">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C12BE8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 xml:space="preserve">with </w:t>
      </w:r>
      <w:r w:rsidR="00344F26">
        <w:rPr>
          <w:sz w:val="20"/>
          <w:highlight w:val="yellow"/>
          <w:lang w:eastAsia="zh-CN"/>
        </w:rPr>
        <w:t xml:space="preserve">a </w:t>
      </w:r>
      <w:r w:rsidR="00E01D9E">
        <w:rPr>
          <w:sz w:val="20"/>
          <w:highlight w:val="yellow"/>
          <w:lang w:eastAsia="zh-CN"/>
        </w:rPr>
        <w:t>minor</w:t>
      </w:r>
      <w:r w:rsidR="00344F26">
        <w:rPr>
          <w:sz w:val="20"/>
          <w:highlight w:val="yellow"/>
          <w:lang w:eastAsia="zh-CN"/>
        </w:rPr>
        <w:t xml:space="preserve"> amount of</w:t>
      </w:r>
      <w:r w:rsidR="00E01D9E">
        <w:rPr>
          <w:sz w:val="20"/>
          <w:highlight w:val="yellow"/>
          <w:lang w:eastAsia="zh-CN"/>
        </w:rPr>
        <w:t xml:space="preserve"> work needed to override the </w:t>
      </w:r>
      <w:r w:rsidR="006C0F51">
        <w:rPr>
          <w:sz w:val="20"/>
          <w:highlight w:val="yellow"/>
          <w:lang w:eastAsia="zh-CN"/>
        </w:rPr>
        <w:t>methods</w:t>
      </w:r>
      <w:r w:rsidR="00E01D9E">
        <w:rPr>
          <w:sz w:val="20"/>
          <w:highlight w:val="yellow"/>
          <w:lang w:eastAsia="zh-CN"/>
        </w:rPr>
        <w:t xml:space="preserve">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5F207499" w14:textId="46AA2CFD" w:rsidR="007837AD" w:rsidRDefault="00D07D74" w:rsidP="00A90502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</w:t>
      </w:r>
      <w:r w:rsidR="00344F26">
        <w:rPr>
          <w:sz w:val="20"/>
          <w:lang w:eastAsia="zh-CN"/>
        </w:rPr>
        <w:t>,</w:t>
      </w:r>
      <w:r w:rsidRPr="00D3257C">
        <w:rPr>
          <w:sz w:val="20"/>
          <w:lang w:eastAsia="zh-CN"/>
        </w:rPr>
        <w:t xml:space="preserve">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344F26">
        <w:rPr>
          <w:sz w:val="20"/>
          <w:lang w:eastAsia="zh-CN"/>
        </w:rPr>
        <w:t xml:space="preserve">which </w:t>
      </w:r>
      <w:r w:rsidR="002B5A96">
        <w:rPr>
          <w:sz w:val="20"/>
          <w:lang w:eastAsia="zh-CN"/>
        </w:rPr>
        <w:t>resu</w:t>
      </w:r>
      <w:r w:rsidR="00344F26">
        <w:rPr>
          <w:sz w:val="20"/>
          <w:lang w:eastAsia="zh-CN"/>
        </w:rPr>
        <w:t>lts</w:t>
      </w:r>
      <w:r w:rsidR="002B5A96">
        <w:rPr>
          <w:sz w:val="20"/>
          <w:lang w:eastAsia="zh-CN"/>
        </w:rPr>
        <w:t xml:space="preserve"> in the second challenge: </w:t>
      </w:r>
      <w:r w:rsidR="00C12BE8">
        <w:rPr>
          <w:sz w:val="20"/>
          <w:lang w:eastAsia="zh-CN"/>
        </w:rPr>
        <w:t>h</w:t>
      </w:r>
      <w:r w:rsidR="00B85F55">
        <w:rPr>
          <w:sz w:val="20"/>
          <w:lang w:eastAsia="zh-CN"/>
        </w:rPr>
        <w:t>ow to get the necessary information to convert the abstracted generic TDR access operation into a series of IEEE 1149.1 shift operations (hereinafter called JTAG operations)</w:t>
      </w:r>
      <w:r w:rsidR="00A90502">
        <w:rPr>
          <w:sz w:val="20"/>
          <w:lang w:eastAsia="zh-CN"/>
        </w:rPr>
        <w:t xml:space="preserve"> – a</w:t>
      </w:r>
      <w:r w:rsidR="00B85F55">
        <w:rPr>
          <w:sz w:val="20"/>
          <w:lang w:eastAsia="zh-CN"/>
        </w:rPr>
        <w:t xml:space="preserve">nd </w:t>
      </w:r>
      <w:r w:rsidR="00A90502">
        <w:rPr>
          <w:sz w:val="20"/>
          <w:lang w:eastAsia="zh-CN"/>
        </w:rPr>
        <w:t xml:space="preserve">ideally this solution </w:t>
      </w:r>
      <w:r w:rsidR="00B85F55">
        <w:rPr>
          <w:sz w:val="20"/>
          <w:lang w:eastAsia="zh-CN"/>
        </w:rPr>
        <w:t xml:space="preserve">can be applied to different projects. </w:t>
      </w:r>
      <w:r w:rsidR="00BE77CD">
        <w:rPr>
          <w:sz w:val="20"/>
          <w:lang w:eastAsia="zh-CN"/>
        </w:rPr>
        <w:t>Recently the author</w:t>
      </w:r>
      <w:r w:rsidR="00864B36">
        <w:rPr>
          <w:sz w:val="20"/>
          <w:lang w:eastAsia="zh-CN"/>
        </w:rPr>
        <w:t xml:space="preserve"> [1]</w:t>
      </w:r>
      <w:r w:rsidR="00BE77CD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</w:t>
      </w:r>
      <w:r w:rsidR="008C5175">
        <w:rPr>
          <w:sz w:val="20"/>
          <w:lang w:eastAsia="zh-CN"/>
        </w:rPr>
        <w:t xml:space="preserve">to model DFT TDR access network, where </w:t>
      </w:r>
      <w:r w:rsidR="00BF3078">
        <w:rPr>
          <w:sz w:val="20"/>
          <w:lang w:eastAsia="zh-CN"/>
        </w:rPr>
        <w:t xml:space="preserve">functional equivalent elements </w:t>
      </w:r>
      <w:r w:rsidR="008C5175">
        <w:rPr>
          <w:sz w:val="20"/>
          <w:lang w:eastAsia="zh-CN"/>
        </w:rPr>
        <w:t xml:space="preserve">are created </w:t>
      </w:r>
      <w:r w:rsidR="00BF3078">
        <w:rPr>
          <w:sz w:val="20"/>
          <w:lang w:eastAsia="zh-CN"/>
        </w:rPr>
        <w:t xml:space="preserve">as the DUT and </w:t>
      </w:r>
      <w:r w:rsidR="0018506B">
        <w:rPr>
          <w:sz w:val="20"/>
          <w:lang w:eastAsia="zh-CN"/>
        </w:rPr>
        <w:t>information required in converting a</w:t>
      </w:r>
      <w:r w:rsidR="00B2728F">
        <w:rPr>
          <w:sz w:val="20"/>
          <w:lang w:eastAsia="zh-CN"/>
        </w:rPr>
        <w:t>n</w:t>
      </w:r>
      <w:r w:rsidR="0018506B">
        <w:rPr>
          <w:sz w:val="20"/>
          <w:lang w:eastAsia="zh-CN"/>
        </w:rPr>
        <w:t xml:space="preserve"> abstracted TDR access to JTAG operations</w:t>
      </w:r>
      <w:r w:rsidR="008C5175">
        <w:rPr>
          <w:sz w:val="20"/>
          <w:lang w:eastAsia="zh-CN"/>
        </w:rPr>
        <w:t xml:space="preserve"> is encoded</w:t>
      </w:r>
      <w:r w:rsidR="0018506B">
        <w:rPr>
          <w:sz w:val="20"/>
          <w:lang w:eastAsia="zh-CN"/>
        </w:rPr>
        <w:t xml:space="preserve"> </w:t>
      </w:r>
      <w:r w:rsidR="00864B36">
        <w:rPr>
          <w:sz w:val="20"/>
          <w:lang w:eastAsia="zh-CN"/>
        </w:rPr>
        <w:t>in</w:t>
      </w:r>
      <w:r w:rsidR="0018506B">
        <w:rPr>
          <w:sz w:val="20"/>
          <w:lang w:eastAsia="zh-CN"/>
        </w:rPr>
        <w:t>to the TDR’s address.</w:t>
      </w:r>
      <w:r w:rsidR="004B4217">
        <w:rPr>
          <w:sz w:val="20"/>
          <w:lang w:eastAsia="zh-CN"/>
        </w:rPr>
        <w:t xml:space="preserve"> </w:t>
      </w:r>
    </w:p>
    <w:p w14:paraId="7B2600C6" w14:textId="5F74FE07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that,</w:t>
      </w:r>
      <w:r w:rsidR="00C84775">
        <w:rPr>
          <w:sz w:val="20"/>
          <w:lang w:eastAsia="zh-CN"/>
        </w:rPr>
        <w:t xml:space="preserve"> when a TDR</w:t>
      </w:r>
      <w:r w:rsidR="008C5175">
        <w:rPr>
          <w:sz w:val="20"/>
          <w:lang w:eastAsia="zh-CN"/>
        </w:rPr>
        <w:t xml:space="preserve"> is accessed</w:t>
      </w:r>
      <w:r w:rsidR="00C84775">
        <w:rPr>
          <w:sz w:val="20"/>
          <w:lang w:eastAsia="zh-CN"/>
        </w:rPr>
        <w:t>, its</w:t>
      </w:r>
      <w:r>
        <w:rPr>
          <w:sz w:val="20"/>
          <w:lang w:eastAsia="zh-CN"/>
        </w:rPr>
        <w:t xml:space="preserve">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>lt value</w:t>
      </w:r>
      <w:r w:rsidR="008C5175">
        <w:rPr>
          <w:sz w:val="20"/>
          <w:lang w:eastAsia="zh-CN"/>
        </w:rPr>
        <w:t>s</w:t>
      </w:r>
      <w:r w:rsidR="008B0868">
        <w:rPr>
          <w:sz w:val="20"/>
          <w:lang w:eastAsia="zh-CN"/>
        </w:rPr>
        <w:t xml:space="preserve">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controlled</w:t>
      </w:r>
      <w:r w:rsidR="008B0868">
        <w:rPr>
          <w:sz w:val="20"/>
          <w:lang w:eastAsia="zh-CN"/>
        </w:rPr>
        <w:t xml:space="preserve"> by </w:t>
      </w:r>
      <w:r w:rsidR="008C5175">
        <w:rPr>
          <w:sz w:val="20"/>
          <w:lang w:eastAsia="zh-CN"/>
        </w:rPr>
        <w:t xml:space="preserve">identical </w:t>
      </w:r>
      <w:r w:rsidR="008B0868">
        <w:rPr>
          <w:sz w:val="20"/>
          <w:lang w:eastAsia="zh-CN"/>
        </w:rPr>
        <w:t xml:space="preserve">SIBs are </w:t>
      </w:r>
      <w:r w:rsidR="002C5C7C">
        <w:rPr>
          <w:sz w:val="20"/>
          <w:lang w:eastAsia="zh-CN"/>
        </w:rPr>
        <w:t xml:space="preserve">accessed </w:t>
      </w:r>
      <w:r w:rsidR="008C5175">
        <w:rPr>
          <w:sz w:val="20"/>
          <w:lang w:eastAsia="zh-CN"/>
        </w:rPr>
        <w:t xml:space="preserve">probably </w:t>
      </w:r>
      <w:r w:rsidR="002C5C7C">
        <w:rPr>
          <w:sz w:val="20"/>
          <w:lang w:eastAsia="zh-CN"/>
        </w:rPr>
        <w:t>in tandem</w:t>
      </w:r>
      <w:r w:rsidR="008B0868">
        <w:rPr>
          <w:sz w:val="20"/>
          <w:lang w:eastAsia="zh-CN"/>
        </w:rPr>
        <w:t xml:space="preserve">, which means </w:t>
      </w:r>
      <w:r w:rsidR="008C5175">
        <w:rPr>
          <w:sz w:val="20"/>
          <w:lang w:eastAsia="zh-CN"/>
        </w:rPr>
        <w:t xml:space="preserve">that </w:t>
      </w:r>
      <w:r w:rsidR="008B0868">
        <w:rPr>
          <w:sz w:val="20"/>
          <w:lang w:eastAsia="zh-CN"/>
        </w:rPr>
        <w:t xml:space="preserve">we can save </w:t>
      </w:r>
      <w:r w:rsidR="008C5175">
        <w:rPr>
          <w:sz w:val="20"/>
          <w:lang w:eastAsia="zh-CN"/>
        </w:rPr>
        <w:t>some</w:t>
      </w:r>
      <w:r w:rsidR="008B0868">
        <w:rPr>
          <w:sz w:val="20"/>
          <w:lang w:eastAsia="zh-CN"/>
        </w:rPr>
        <w:t xml:space="preserve">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</w:t>
      </w:r>
      <w:r w:rsidR="0018506B">
        <w:rPr>
          <w:sz w:val="20"/>
          <w:lang w:eastAsia="zh-CN"/>
        </w:rPr>
        <w:t xml:space="preserve">JTAG </w:t>
      </w:r>
      <w:r w:rsidR="008B0868">
        <w:rPr>
          <w:sz w:val="20"/>
          <w:lang w:eastAsia="zh-CN"/>
        </w:rPr>
        <w:t>operations</w:t>
      </w:r>
      <w:r w:rsidR="00421E91">
        <w:rPr>
          <w:sz w:val="20"/>
          <w:lang w:eastAsia="zh-CN"/>
        </w:rPr>
        <w:t xml:space="preserve">, </w:t>
      </w:r>
      <w:r w:rsidR="006903F4">
        <w:rPr>
          <w:sz w:val="20"/>
          <w:lang w:eastAsia="zh-CN"/>
        </w:rPr>
        <w:t>and thus</w:t>
      </w:r>
      <w:r w:rsidR="00421E91">
        <w:rPr>
          <w:sz w:val="20"/>
          <w:lang w:eastAsia="zh-CN"/>
        </w:rPr>
        <w:t xml:space="preserve"> </w:t>
      </w:r>
      <w:r w:rsidR="006903F4">
        <w:rPr>
          <w:sz w:val="20"/>
          <w:lang w:eastAsia="zh-CN"/>
        </w:rPr>
        <w:t>some</w:t>
      </w:r>
      <w:r w:rsidR="00887C24">
        <w:rPr>
          <w:sz w:val="20"/>
          <w:lang w:eastAsia="zh-CN"/>
        </w:rPr>
        <w:t xml:space="preserve">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26DF3ECD" w14:textId="2BE164E1" w:rsidR="002660E2" w:rsidRDefault="00887C24" w:rsidP="00EB4714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</w:t>
      </w:r>
      <w:r w:rsidR="006903F4">
        <w:rPr>
          <w:sz w:val="20"/>
          <w:lang w:eastAsia="zh-CN"/>
        </w:rPr>
        <w:t>tries to improve</w:t>
      </w:r>
      <w:r>
        <w:rPr>
          <w:sz w:val="20"/>
          <w:lang w:eastAsia="zh-CN"/>
        </w:rPr>
        <w:t xml:space="preserve"> the efficiency </w:t>
      </w:r>
      <w:r w:rsidR="00C756B0">
        <w:rPr>
          <w:sz w:val="20"/>
          <w:lang w:eastAsia="zh-CN"/>
        </w:rPr>
        <w:t>of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</w:t>
      </w:r>
      <w:r w:rsidR="00C756B0">
        <w:rPr>
          <w:sz w:val="20"/>
          <w:lang w:eastAsia="zh-CN"/>
        </w:rPr>
        <w:t xml:space="preserve"> means of</w:t>
      </w:r>
      <w:r>
        <w:rPr>
          <w:sz w:val="20"/>
          <w:lang w:eastAsia="zh-CN"/>
        </w:rPr>
        <w:t xml:space="preserve">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2D866D17" w14:textId="48F5766B" w:rsidR="00013D1C" w:rsidRDefault="00013D1C" w:rsidP="00013D1C">
      <w:pPr>
        <w:spacing w:line="240" w:lineRule="atLeast"/>
        <w:ind w:firstLine="288"/>
        <w:jc w:val="both"/>
        <w:rPr>
          <w:sz w:val="20"/>
        </w:rPr>
      </w:pPr>
      <w:r w:rsidRPr="00EB4714">
        <w:rPr>
          <w:rFonts w:ascii="TimesNewRomanPSMT" w:hAnsi="TimesNewRomanPSMT"/>
          <w:b/>
          <w:color w:val="000000"/>
          <w:sz w:val="20"/>
        </w:rPr>
        <w:t>Structure of This Paper</w:t>
      </w:r>
      <w:r>
        <w:rPr>
          <w:rFonts w:ascii="TimesNewRomanPSMT" w:hAnsi="TimesNewRomanPSMT"/>
          <w:color w:val="000000"/>
          <w:sz w:val="20"/>
        </w:rPr>
        <w:t>: This paper introduces a layered structure to model DFT TDR. A</w:t>
      </w:r>
      <w:r>
        <w:rPr>
          <w:sz w:val="20"/>
        </w:rPr>
        <w:t xml:space="preserve">s shown in Figure 1, the DFT TDR layer is divided into two layers. In the Register Layer One, the generic DFT TDR access is converted into the generic </w:t>
      </w:r>
      <w:r w:rsidRPr="00C801EC">
        <w:rPr>
          <w:i/>
          <w:sz w:val="20"/>
        </w:rPr>
        <w:t>dft_reg_transaction</w:t>
      </w:r>
      <w:r w:rsidRPr="00C756B0">
        <w:rPr>
          <w:sz w:val="20"/>
        </w:rPr>
        <w:t>,</w:t>
      </w:r>
      <w:r>
        <w:rPr>
          <w:sz w:val="20"/>
        </w:rPr>
        <w:t xml:space="preserve"> and the </w:t>
      </w:r>
      <w:proofErr w:type="spellStart"/>
      <w:r w:rsidRPr="00C756B0">
        <w:rPr>
          <w:i/>
          <w:sz w:val="20"/>
        </w:rPr>
        <w:t>dft_reg_monitor</w:t>
      </w:r>
      <w:proofErr w:type="spellEnd"/>
      <w:r>
        <w:rPr>
          <w:sz w:val="20"/>
        </w:rPr>
        <w:t xml:space="preserve"> writes the observed </w:t>
      </w:r>
      <w:r w:rsidRPr="00013D1C">
        <w:rPr>
          <w:i/>
          <w:sz w:val="20"/>
        </w:rPr>
        <w:t>dft_reg_transaction</w:t>
      </w:r>
      <w:r>
        <w:rPr>
          <w:sz w:val="20"/>
        </w:rPr>
        <w:t xml:space="preserve"> to </w:t>
      </w:r>
      <w:proofErr w:type="spellStart"/>
      <w:r w:rsidRPr="00013D1C">
        <w:rPr>
          <w:i/>
          <w:sz w:val="20"/>
        </w:rPr>
        <w:t>dft_reg_predictor</w:t>
      </w:r>
      <w:proofErr w:type="spellEnd"/>
      <w:r>
        <w:rPr>
          <w:sz w:val="20"/>
        </w:rPr>
        <w:t xml:space="preserve">.  In the Register Layer Two,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is converted into several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s, and the </w:t>
      </w:r>
      <w:r w:rsidRPr="00013D1C">
        <w:rPr>
          <w:i/>
          <w:sz w:val="20"/>
        </w:rPr>
        <w:t>dft_tdr_network</w:t>
      </w:r>
      <w:r>
        <w:rPr>
          <w:sz w:val="20"/>
        </w:rPr>
        <w:t xml:space="preserve"> returns the </w:t>
      </w:r>
      <w:r w:rsidRPr="00013D1C">
        <w:rPr>
          <w:i/>
          <w:sz w:val="20"/>
        </w:rPr>
        <w:t>dft_reg_transaction</w:t>
      </w:r>
      <w:r>
        <w:rPr>
          <w:sz w:val="20"/>
        </w:rPr>
        <w:t xml:space="preserve"> by observing </w:t>
      </w:r>
      <w:r w:rsidRPr="00013D1C">
        <w:rPr>
          <w:i/>
          <w:sz w:val="20"/>
        </w:rPr>
        <w:t>jtag_transactions</w:t>
      </w:r>
      <w:r>
        <w:rPr>
          <w:sz w:val="20"/>
        </w:rPr>
        <w:t xml:space="preserve"> written by </w:t>
      </w:r>
      <w:r w:rsidRPr="00013D1C">
        <w:rPr>
          <w:i/>
          <w:sz w:val="20"/>
        </w:rPr>
        <w:t>the jtag_monitor</w:t>
      </w:r>
      <w:r>
        <w:rPr>
          <w:sz w:val="20"/>
        </w:rPr>
        <w:t xml:space="preserve">. In the transaction layer, the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 are passed to the </w:t>
      </w:r>
      <w:r w:rsidRPr="00F2108E">
        <w:rPr>
          <w:i/>
          <w:sz w:val="20"/>
        </w:rPr>
        <w:t>jtag_driver</w:t>
      </w:r>
      <w:r>
        <w:rPr>
          <w:sz w:val="20"/>
        </w:rPr>
        <w:t xml:space="preserve"> to toggle JTGA interface.</w:t>
      </w:r>
    </w:p>
    <w:p w14:paraId="2854197C" w14:textId="4505A51D" w:rsidR="00013D1C" w:rsidRDefault="00013D1C" w:rsidP="00013D1C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sz w:val="20"/>
        </w:rPr>
        <w:lastRenderedPageBreak/>
        <w:t>Accordingly, t</w:t>
      </w:r>
      <w:r>
        <w:rPr>
          <w:rFonts w:ascii="TimesNewRomanPSMT" w:hAnsi="TimesNewRomanPSMT"/>
          <w:color w:val="000000"/>
          <w:sz w:val="20"/>
        </w:rPr>
        <w:t xml:space="preserve">his paper is divided into three sections. The first section is about how to model </w:t>
      </w:r>
      <w:r>
        <w:rPr>
          <w:sz w:val="20"/>
        </w:rPr>
        <w:t>ultra-l</w:t>
      </w:r>
      <w:r w:rsidRPr="004E65AD">
        <w:rPr>
          <w:sz w:val="20"/>
        </w:rPr>
        <w:t xml:space="preserve">ong </w:t>
      </w:r>
      <w:r>
        <w:rPr>
          <w:sz w:val="20"/>
        </w:rPr>
        <w:t>length</w:t>
      </w:r>
      <w:r w:rsidRPr="004E65AD">
        <w:rPr>
          <w:sz w:val="20"/>
        </w:rPr>
        <w:t xml:space="preserve"> TDR in </w:t>
      </w:r>
      <w:r>
        <w:rPr>
          <w:sz w:val="20"/>
        </w:rPr>
        <w:t>the Register layer 1, while t</w:t>
      </w:r>
      <w:r w:rsidRPr="004E65AD">
        <w:rPr>
          <w:sz w:val="20"/>
        </w:rPr>
        <w:t xml:space="preserve">he second </w:t>
      </w:r>
      <w:r>
        <w:rPr>
          <w:sz w:val="20"/>
        </w:rPr>
        <w:t>section</w:t>
      </w:r>
      <w:r w:rsidRPr="004E65AD">
        <w:rPr>
          <w:sz w:val="20"/>
        </w:rPr>
        <w:t xml:space="preserve"> </w:t>
      </w:r>
      <w:r>
        <w:rPr>
          <w:sz w:val="20"/>
        </w:rPr>
        <w:t>explains</w:t>
      </w:r>
      <w:r w:rsidRPr="004E65AD">
        <w:rPr>
          <w:sz w:val="20"/>
        </w:rPr>
        <w:t xml:space="preserve"> how to model DFT TDR access </w:t>
      </w:r>
      <w:proofErr w:type="gramStart"/>
      <w:r w:rsidRPr="004E65AD">
        <w:rPr>
          <w:sz w:val="20"/>
        </w:rPr>
        <w:t>network  in</w:t>
      </w:r>
      <w:proofErr w:type="gramEnd"/>
      <w:r w:rsidRPr="004E65AD">
        <w:rPr>
          <w:sz w:val="20"/>
        </w:rPr>
        <w:t xml:space="preserve"> </w:t>
      </w:r>
      <w:r>
        <w:rPr>
          <w:sz w:val="20"/>
        </w:rPr>
        <w:t>the R</w:t>
      </w:r>
      <w:r w:rsidRPr="004E65AD">
        <w:rPr>
          <w:sz w:val="20"/>
        </w:rPr>
        <w:t xml:space="preserve">egister </w:t>
      </w:r>
      <w:r>
        <w:rPr>
          <w:sz w:val="20"/>
        </w:rPr>
        <w:t>L</w:t>
      </w:r>
      <w:r w:rsidRPr="004E65AD">
        <w:rPr>
          <w:sz w:val="20"/>
        </w:rPr>
        <w:t xml:space="preserve">ayer </w:t>
      </w:r>
      <w:r>
        <w:rPr>
          <w:sz w:val="20"/>
        </w:rPr>
        <w:t>Two</w:t>
      </w:r>
      <w:r w:rsidRPr="004E65AD">
        <w:rPr>
          <w:sz w:val="20"/>
        </w:rPr>
        <w:t>. The</w:t>
      </w:r>
      <w:r>
        <w:rPr>
          <w:rFonts w:ascii="TimesNewRomanPSMT" w:hAnsi="TimesNewRomanPSMT"/>
          <w:color w:val="000000"/>
          <w:sz w:val="20"/>
        </w:rPr>
        <w:t xml:space="preserve"> third part is result and discussion.</w:t>
      </w:r>
    </w:p>
    <w:p w14:paraId="02E6E121" w14:textId="58DDDF3A" w:rsidR="00013D1C" w:rsidRPr="00013D1C" w:rsidRDefault="00013D1C" w:rsidP="00013D1C">
      <w:pPr>
        <w:spacing w:line="240" w:lineRule="atLeast"/>
        <w:ind w:firstLine="288"/>
        <w:jc w:val="both"/>
        <w:rPr>
          <w:sz w:val="20"/>
        </w:rPr>
      </w:pPr>
      <w:r w:rsidRPr="00013D1C">
        <w:rPr>
          <w:sz w:val="20"/>
        </w:rPr>
        <w:t xml:space="preserve">In </w:t>
      </w:r>
      <w:r>
        <w:rPr>
          <w:sz w:val="20"/>
        </w:rPr>
        <w:t>each of the first and second parts</w:t>
      </w:r>
      <w:r w:rsidRPr="00013D1C">
        <w:rPr>
          <w:sz w:val="20"/>
        </w:rPr>
        <w:t>, a general</w:t>
      </w:r>
      <w:r>
        <w:rPr>
          <w:sz w:val="20"/>
        </w:rPr>
        <w:t xml:space="preserve"> </w:t>
      </w:r>
      <w:r w:rsidRPr="00013D1C">
        <w:rPr>
          <w:sz w:val="20"/>
        </w:rPr>
        <w:t>overview will be provided</w:t>
      </w:r>
      <w:r>
        <w:rPr>
          <w:sz w:val="20"/>
        </w:rPr>
        <w:t xml:space="preserve"> </w:t>
      </w:r>
      <w:r w:rsidRPr="00013D1C">
        <w:rPr>
          <w:sz w:val="20"/>
        </w:rPr>
        <w:t>first</w:t>
      </w:r>
      <w:r>
        <w:rPr>
          <w:sz w:val="20"/>
        </w:rPr>
        <w:t>ly</w:t>
      </w:r>
      <w:r w:rsidRPr="00013D1C">
        <w:rPr>
          <w:sz w:val="20"/>
        </w:rPr>
        <w:t>, and then the detailed implementation will be elaborated with reference to example</w:t>
      </w:r>
      <w:r>
        <w:rPr>
          <w:sz w:val="20"/>
        </w:rPr>
        <w:t>s</w:t>
      </w:r>
      <w:r w:rsidRPr="00013D1C">
        <w:rPr>
          <w:sz w:val="20"/>
        </w:rPr>
        <w:t>.</w:t>
      </w:r>
    </w:p>
    <w:p w14:paraId="787B4420" w14:textId="67259864" w:rsidR="001C590D" w:rsidRPr="000B41B9" w:rsidRDefault="001C590D" w:rsidP="000B41B9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0B610397" w14:textId="1F9AAF4C" w:rsidR="00AF21E9" w:rsidRPr="00F1522F" w:rsidRDefault="00F05B6D" w:rsidP="00F1522F">
      <w:pPr>
        <w:pStyle w:val="ListParagraph"/>
        <w:numPr>
          <w:ilvl w:val="0"/>
          <w:numId w:val="9"/>
        </w:numPr>
        <w:spacing w:line="240" w:lineRule="atLeast"/>
        <w:jc w:val="both"/>
        <w:rPr>
          <w:sz w:val="20"/>
        </w:rPr>
      </w:pPr>
      <w:r w:rsidRPr="00F1522F">
        <w:rPr>
          <w:b/>
          <w:sz w:val="20"/>
        </w:rPr>
        <w:t>Ultra-Long Length TDR Modelling</w:t>
      </w:r>
      <w:r w:rsidR="008E6F27" w:rsidRPr="00F1522F">
        <w:rPr>
          <w:b/>
          <w:sz w:val="20"/>
        </w:rPr>
        <w:t xml:space="preserve"> in Register Layer </w:t>
      </w:r>
      <w:r w:rsidR="000E25BD" w:rsidRPr="00F1522F">
        <w:rPr>
          <w:b/>
          <w:sz w:val="20"/>
        </w:rPr>
        <w:t>One</w:t>
      </w:r>
      <w:r w:rsidR="00B95710" w:rsidRPr="00F1522F">
        <w:rPr>
          <w:sz w:val="20"/>
        </w:rPr>
        <w:t>:</w:t>
      </w:r>
    </w:p>
    <w:p w14:paraId="653D9B29" w14:textId="587CE95A" w:rsidR="009F0C95" w:rsidRPr="0019203A" w:rsidRDefault="0019203A" w:rsidP="006618AA">
      <w:pPr>
        <w:spacing w:line="240" w:lineRule="atLeast"/>
        <w:ind w:firstLine="288"/>
        <w:jc w:val="both"/>
        <w:rPr>
          <w:b/>
          <w:sz w:val="20"/>
        </w:rPr>
      </w:pPr>
      <w:r w:rsidRPr="0019203A">
        <w:rPr>
          <w:b/>
          <w:sz w:val="20"/>
        </w:rPr>
        <w:t xml:space="preserve">1.1 </w:t>
      </w:r>
      <w:r w:rsidR="00AC227B" w:rsidRPr="0019203A">
        <w:rPr>
          <w:b/>
          <w:sz w:val="20"/>
        </w:rPr>
        <w:t>Idea Overview</w:t>
      </w:r>
      <w:r w:rsidR="009F0C95" w:rsidRPr="0019203A">
        <w:rPr>
          <w:b/>
          <w:sz w:val="20"/>
        </w:rPr>
        <w:t>:</w:t>
      </w:r>
    </w:p>
    <w:p w14:paraId="22CD0C96" w14:textId="23A06CDF" w:rsidR="006832EA" w:rsidRDefault="00F1522F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Regarding to UVM register modelling on ultra-long length TDR, the author </w:t>
      </w:r>
      <w:r w:rsidR="00EE3E0A">
        <w:rPr>
          <w:sz w:val="20"/>
        </w:rPr>
        <w:t>analyz</w:t>
      </w:r>
      <w:r>
        <w:rPr>
          <w:sz w:val="20"/>
        </w:rPr>
        <w:t>ed</w:t>
      </w:r>
      <w:r w:rsidR="00EE3E0A">
        <w:rPr>
          <w:sz w:val="20"/>
        </w:rPr>
        <w:t xml:space="preserve"> the </w:t>
      </w:r>
      <w:r w:rsidR="00173328">
        <w:rPr>
          <w:sz w:val="20"/>
        </w:rPr>
        <w:t>methods</w:t>
      </w:r>
      <w:r w:rsidR="00E80A19">
        <w:rPr>
          <w:sz w:val="20"/>
        </w:rPr>
        <w:t xml:space="preserve"> being called during </w:t>
      </w:r>
      <w:r w:rsidR="00797A1D">
        <w:rPr>
          <w:sz w:val="20"/>
        </w:rPr>
        <w:t xml:space="preserve">a </w:t>
      </w:r>
      <w:r w:rsidR="00EE3E0A">
        <w:rPr>
          <w:sz w:val="20"/>
        </w:rPr>
        <w:t xml:space="preserve">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</w:t>
      </w:r>
      <w:r w:rsidR="000E25BD" w:rsidRPr="000E25BD">
        <w:rPr>
          <w:sz w:val="20"/>
        </w:rPr>
        <w:t xml:space="preserve"> </w:t>
      </w:r>
      <w:r w:rsidR="000E25BD">
        <w:rPr>
          <w:sz w:val="20"/>
        </w:rPr>
        <w:t>UVM</w:t>
      </w:r>
      <w:r w:rsidR="00AA66AB">
        <w:rPr>
          <w:sz w:val="20"/>
        </w:rPr>
        <w:t xml:space="preserve"> RAL,</w:t>
      </w:r>
      <w:r>
        <w:rPr>
          <w:sz w:val="20"/>
        </w:rPr>
        <w:t xml:space="preserve"> and</w:t>
      </w:r>
      <w:r w:rsidR="00AA66AB">
        <w:rPr>
          <w:sz w:val="20"/>
        </w:rPr>
        <w:t xml:space="preserve"> </w:t>
      </w:r>
      <w:r>
        <w:rPr>
          <w:sz w:val="20"/>
        </w:rPr>
        <w:t>found that</w:t>
      </w:r>
      <w:r w:rsidR="00AA66AB">
        <w:rPr>
          <w:sz w:val="20"/>
        </w:rPr>
        <w:t xml:space="preserve">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2290DFED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173328">
        <w:rPr>
          <w:sz w:val="20"/>
        </w:rPr>
        <w:t>methods</w:t>
      </w:r>
      <w:r w:rsidR="00673B7B" w:rsidRPr="00CD611C">
        <w:rPr>
          <w:sz w:val="20"/>
        </w:rPr>
        <w:t xml:space="preserve">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</w:t>
      </w:r>
      <w:proofErr w:type="gramStart"/>
      <w:r w:rsidR="00673B7B" w:rsidRPr="00CD611C">
        <w:rPr>
          <w:i/>
          <w:sz w:val="20"/>
        </w:rPr>
        <w:t>reg::</w:t>
      </w:r>
      <w:proofErr w:type="gramEnd"/>
      <w:r w:rsidR="00673B7B" w:rsidRPr="00CD611C">
        <w:rPr>
          <w:i/>
          <w:sz w:val="20"/>
        </w:rPr>
        <w:t>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54944A93" w:rsidR="002462DA" w:rsidRPr="002462DA" w:rsidRDefault="00173328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>Most methods</w:t>
      </w:r>
      <w:r w:rsidR="00497B2C">
        <w:rPr>
          <w:sz w:val="20"/>
        </w:rPr>
        <w:t xml:space="preserve"> in UVM RAL suppose</w:t>
      </w:r>
      <w:r w:rsidR="00F1522F">
        <w:rPr>
          <w:sz w:val="20"/>
        </w:rPr>
        <w:t xml:space="preserve"> that</w:t>
      </w:r>
      <w:r w:rsidR="00497B2C">
        <w:rPr>
          <w:sz w:val="20"/>
        </w:rPr>
        <w:t xml:space="preserve"> the dynamic array size of </w:t>
      </w:r>
      <w:r w:rsidR="00497B2C" w:rsidRPr="00497B2C">
        <w:rPr>
          <w:i/>
          <w:sz w:val="20"/>
        </w:rPr>
        <w:t>uvm_reg_item.</w:t>
      </w:r>
      <w:proofErr w:type="gramStart"/>
      <w:r w:rsidR="00497B2C" w:rsidRPr="00497B2C">
        <w:rPr>
          <w:i/>
          <w:sz w:val="20"/>
        </w:rPr>
        <w:t>value</w:t>
      </w:r>
      <w:r w:rsidR="00497B2C" w:rsidRPr="00AC227B">
        <w:rPr>
          <w:sz w:val="20"/>
        </w:rPr>
        <w:t>[</w:t>
      </w:r>
      <w:proofErr w:type="gramEnd"/>
      <w:r w:rsidR="00497B2C" w:rsidRPr="00AC227B">
        <w:rPr>
          <w:sz w:val="20"/>
        </w:rPr>
        <w:t>]</w:t>
      </w:r>
      <w:r>
        <w:rPr>
          <w:sz w:val="20"/>
        </w:rPr>
        <w:t xml:space="preserve"> is one</w:t>
      </w:r>
      <w:r w:rsidR="00497B2C">
        <w:rPr>
          <w:sz w:val="20"/>
        </w:rPr>
        <w:t>.</w:t>
      </w:r>
    </w:p>
    <w:p w14:paraId="44416E63" w14:textId="190396F5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 xml:space="preserve">o </w:t>
      </w:r>
      <w:r w:rsidR="00F1522F">
        <w:rPr>
          <w:sz w:val="20"/>
        </w:rPr>
        <w:t>eliminate</w:t>
      </w:r>
      <w:r w:rsidR="00E94F6F">
        <w:rPr>
          <w:sz w:val="20"/>
        </w:rPr>
        <w:t xml:space="preserve"> these limitations</w:t>
      </w:r>
      <w:r>
        <w:rPr>
          <w:sz w:val="20"/>
        </w:rPr>
        <w:t xml:space="preserve">, </w:t>
      </w:r>
      <w:r w:rsidR="00F1522F">
        <w:rPr>
          <w:sz w:val="20"/>
        </w:rPr>
        <w:t xml:space="preserve">the </w:t>
      </w:r>
      <w:r w:rsidR="006F1F31">
        <w:rPr>
          <w:sz w:val="20"/>
        </w:rPr>
        <w:t xml:space="preserve">following steps </w:t>
      </w:r>
      <w:r w:rsidR="00F1522F">
        <w:rPr>
          <w:sz w:val="20"/>
        </w:rPr>
        <w:t>can be</w:t>
      </w:r>
      <w:r w:rsidR="006F1F31">
        <w:rPr>
          <w:sz w:val="20"/>
        </w:rPr>
        <w:t xml:space="preserve"> taken:</w:t>
      </w:r>
    </w:p>
    <w:p w14:paraId="475E05B0" w14:textId="212A1E41" w:rsidR="001532CB" w:rsidRPr="00DA051B" w:rsidRDefault="0053423B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A</w:t>
      </w:r>
      <w:r w:rsidRPr="006F1F31">
        <w:rPr>
          <w:sz w:val="20"/>
        </w:rPr>
        <w:t xml:space="preserve">s </w:t>
      </w:r>
      <w:r>
        <w:rPr>
          <w:sz w:val="20"/>
        </w:rPr>
        <w:t>shown in Figure 2, t</w:t>
      </w:r>
      <w:r w:rsidR="00673B7B" w:rsidRPr="006F1F31">
        <w:rPr>
          <w:sz w:val="20"/>
        </w:rPr>
        <w:t xml:space="preserve">he </w:t>
      </w:r>
      <w:proofErr w:type="spellStart"/>
      <w:r w:rsidR="00673B7B" w:rsidRPr="006F1F31">
        <w:rPr>
          <w:i/>
          <w:sz w:val="20"/>
        </w:rPr>
        <w:t>dft_reg</w:t>
      </w:r>
      <w:proofErr w:type="spellEnd"/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</w:t>
      </w:r>
      <w:r w:rsidR="00673B7B" w:rsidRPr="006F1F31">
        <w:rPr>
          <w:sz w:val="20"/>
        </w:rPr>
        <w:t xml:space="preserve">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</w:t>
      </w:r>
      <w:r w:rsidR="000B41B9">
        <w:rPr>
          <w:sz w:val="20"/>
        </w:rPr>
        <w:t>methods</w:t>
      </w:r>
      <w:r w:rsidR="00FA320C" w:rsidRPr="006F1F31">
        <w:rPr>
          <w:sz w:val="20"/>
        </w:rPr>
        <w:t xml:space="preserve"> </w:t>
      </w:r>
      <w:r>
        <w:rPr>
          <w:sz w:val="20"/>
        </w:rPr>
        <w:t>with</w:t>
      </w:r>
      <w:r w:rsidR="007044E0" w:rsidRPr="006F1F31">
        <w:rPr>
          <w:sz w:val="20"/>
        </w:rPr>
        <w:t xml:space="preserve"> “</w:t>
      </w:r>
      <w:proofErr w:type="spellStart"/>
      <w:r w:rsidR="007044E0" w:rsidRPr="006F1F31">
        <w:rPr>
          <w:sz w:val="20"/>
        </w:rPr>
        <w:t>dft</w:t>
      </w:r>
      <w:proofErr w:type="spellEnd"/>
      <w:r w:rsidR="007044E0" w:rsidRPr="006F1F31">
        <w:rPr>
          <w:sz w:val="20"/>
        </w:rPr>
        <w:t>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</w:t>
      </w:r>
      <w:r>
        <w:rPr>
          <w:sz w:val="20"/>
        </w:rPr>
        <w:t>ing</w:t>
      </w:r>
      <w:r w:rsidR="00632BD3" w:rsidRPr="006F1F31">
        <w:rPr>
          <w:sz w:val="20"/>
        </w:rPr>
        <w:t xml:space="preserve"> one</w:t>
      </w:r>
      <w:r>
        <w:rPr>
          <w:sz w:val="20"/>
        </w:rPr>
        <w:t>s</w:t>
      </w:r>
      <w:r w:rsidR="00632BD3" w:rsidRPr="006F1F31">
        <w:rPr>
          <w:sz w:val="20"/>
        </w:rPr>
        <w:t xml:space="preserve">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</w:t>
      </w:r>
      <w:r w:rsidR="000B41B9">
        <w:rPr>
          <w:sz w:val="20"/>
        </w:rPr>
        <w:t>methods</w:t>
      </w:r>
      <w:r w:rsidR="00DA051B">
        <w:rPr>
          <w:sz w:val="20"/>
        </w:rPr>
        <w:t xml:space="preserve">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proofErr w:type="spellStart"/>
      <w:r w:rsidR="00006EDD">
        <w:rPr>
          <w:sz w:val="20"/>
        </w:rPr>
        <w:t>dft_reg_data_t</w:t>
      </w:r>
      <w:proofErr w:type="spellEnd"/>
      <w:r>
        <w:rPr>
          <w:sz w:val="20"/>
        </w:rPr>
        <w:t>,</w:t>
      </w:r>
      <w:r w:rsidR="00006EDD">
        <w:rPr>
          <w:sz w:val="20"/>
        </w:rPr>
        <w:t xml:space="preserve"> </w:t>
      </w:r>
      <w:r w:rsidR="005A7351">
        <w:rPr>
          <w:sz w:val="20"/>
        </w:rPr>
        <w:t xml:space="preserve">which is </w:t>
      </w:r>
      <w:r>
        <w:rPr>
          <w:sz w:val="20"/>
        </w:rPr>
        <w:t>a</w:t>
      </w:r>
      <w:r w:rsidR="00DA051B">
        <w:rPr>
          <w:sz w:val="20"/>
        </w:rPr>
        <w:t xml:space="preserve"> queue of bit type</w:t>
      </w:r>
      <w:r w:rsidR="005A7351">
        <w:rPr>
          <w:sz w:val="20"/>
        </w:rPr>
        <w:t xml:space="preserve">, </w:t>
      </w:r>
      <w:r w:rsidR="00DA051B">
        <w:rPr>
          <w:sz w:val="20"/>
        </w:rPr>
        <w:t xml:space="preserve">as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3CCF91B8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</w:t>
      </w:r>
      <w:r w:rsidR="000B41B9">
        <w:rPr>
          <w:sz w:val="20"/>
        </w:rPr>
        <w:t>methods</w:t>
      </w:r>
      <w:r>
        <w:rPr>
          <w:sz w:val="20"/>
        </w:rPr>
        <w:t xml:space="preserve"> </w:t>
      </w:r>
      <w:r w:rsidR="0053423B">
        <w:rPr>
          <w:sz w:val="20"/>
        </w:rPr>
        <w:t>supposing</w:t>
      </w:r>
      <w:r>
        <w:rPr>
          <w:sz w:val="20"/>
        </w:rPr>
        <w:t xml:space="preserve"> the dynamic array size of </w:t>
      </w:r>
      <w:r w:rsidRPr="00497B2C">
        <w:rPr>
          <w:i/>
          <w:sz w:val="20"/>
        </w:rPr>
        <w:t>uvm_reg_item.</w:t>
      </w:r>
      <w:proofErr w:type="gramStart"/>
      <w:r w:rsidRPr="00497B2C">
        <w:rPr>
          <w:i/>
          <w:sz w:val="20"/>
        </w:rPr>
        <w:t>value</w:t>
      </w:r>
      <w:r w:rsidRPr="00AC227B">
        <w:rPr>
          <w:sz w:val="20"/>
        </w:rPr>
        <w:t>[</w:t>
      </w:r>
      <w:proofErr w:type="gramEnd"/>
      <w:r w:rsidRPr="00AC227B">
        <w:rPr>
          <w:sz w:val="20"/>
        </w:rPr>
        <w:t>]</w:t>
      </w:r>
      <w:r>
        <w:rPr>
          <w:sz w:val="20"/>
        </w:rPr>
        <w:t xml:space="preserve"> </w:t>
      </w:r>
      <w:r w:rsidR="0053423B">
        <w:rPr>
          <w:sz w:val="20"/>
        </w:rPr>
        <w:t>to be</w:t>
      </w:r>
      <w:r>
        <w:rPr>
          <w:sz w:val="20"/>
        </w:rPr>
        <w:t xml:space="preserve"> </w:t>
      </w:r>
      <w:r w:rsidR="000B41B9">
        <w:rPr>
          <w:sz w:val="20"/>
        </w:rPr>
        <w:t>one</w:t>
      </w:r>
      <w:r>
        <w:rPr>
          <w:sz w:val="20"/>
        </w:rPr>
        <w:t xml:space="preserve">, </w:t>
      </w:r>
      <w:r w:rsidR="0053423B">
        <w:rPr>
          <w:sz w:val="20"/>
        </w:rPr>
        <w:t>so that they</w:t>
      </w:r>
      <w:r>
        <w:rPr>
          <w:sz w:val="20"/>
        </w:rPr>
        <w:t xml:space="preserve">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="00EE7BD5">
        <w:rPr>
          <w:sz w:val="20"/>
        </w:rPr>
        <w:t>rding to the bit length of the data being processed, or they fetch</w:t>
      </w:r>
      <w:r w:rsidRPr="00AC227B">
        <w:rPr>
          <w:sz w:val="20"/>
        </w:rPr>
        <w:t xml:space="preserve"> </w:t>
      </w:r>
      <w:r w:rsidRPr="00EE7BD5">
        <w:rPr>
          <w:sz w:val="20"/>
        </w:rPr>
        <w:t xml:space="preserve">the </w:t>
      </w:r>
      <w:r w:rsidR="00EE7BD5" w:rsidRPr="00EE7BD5">
        <w:rPr>
          <w:sz w:val="20"/>
        </w:rPr>
        <w:t>data in</w:t>
      </w:r>
      <w:r w:rsidR="00EE7BD5"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="00EE7BD5">
        <w:rPr>
          <w:sz w:val="20"/>
        </w:rPr>
        <w:t>array by checking it</w:t>
      </w:r>
      <w:r w:rsidRPr="00AC227B">
        <w:rPr>
          <w:sz w:val="20"/>
        </w:rPr>
        <w:t>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021608C1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proofErr w:type="spellStart"/>
      <w:r w:rsidRPr="00F262AB">
        <w:rPr>
          <w:i/>
          <w:sz w:val="20"/>
        </w:rPr>
        <w:t>dft_</w:t>
      </w:r>
      <w:proofErr w:type="gramStart"/>
      <w:r w:rsidRPr="00F262AB">
        <w:rPr>
          <w:i/>
          <w:sz w:val="20"/>
        </w:rPr>
        <w:t>reg</w:t>
      </w:r>
      <w:proofErr w:type="spellEnd"/>
      <w:r w:rsidRPr="00F262AB">
        <w:rPr>
          <w:i/>
          <w:sz w:val="20"/>
        </w:rPr>
        <w:t>::</w:t>
      </w:r>
      <w:proofErr w:type="spellStart"/>
      <w:proofErr w:type="gramEnd"/>
      <w:r w:rsidR="009E1616">
        <w:rPr>
          <w:i/>
          <w:sz w:val="20"/>
        </w:rPr>
        <w:t>dft_</w:t>
      </w:r>
      <w:r w:rsidRPr="00F262AB">
        <w:rPr>
          <w:i/>
          <w:sz w:val="20"/>
        </w:rPr>
        <w:t>write</w:t>
      </w:r>
      <w:proofErr w:type="spellEnd"/>
      <w:r w:rsidRPr="00F262AB">
        <w:rPr>
          <w:i/>
          <w:sz w:val="20"/>
        </w:rPr>
        <w:t>()</w:t>
      </w:r>
      <w:r>
        <w:rPr>
          <w:sz w:val="20"/>
        </w:rPr>
        <w:t xml:space="preserve"> by the </w:t>
      </w:r>
      <w:proofErr w:type="spellStart"/>
      <w:r w:rsidR="00625745" w:rsidRPr="00625745">
        <w:rPr>
          <w:i/>
          <w:sz w:val="20"/>
        </w:rPr>
        <w:t>value_q</w:t>
      </w:r>
      <w:proofErr w:type="spellEnd"/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proofErr w:type="spellStart"/>
      <w:r w:rsidR="00625745">
        <w:rPr>
          <w:i/>
          <w:sz w:val="20"/>
        </w:rPr>
        <w:t>dft_reg_data_t</w:t>
      </w:r>
      <w:proofErr w:type="spellEnd"/>
      <w:r w:rsidR="00D45DA5">
        <w:rPr>
          <w:sz w:val="20"/>
        </w:rPr>
        <w:t xml:space="preserve"> type</w:t>
      </w:r>
      <w:r>
        <w:rPr>
          <w:sz w:val="20"/>
        </w:rPr>
        <w:t xml:space="preserve">, instead of </w:t>
      </w:r>
      <w:r w:rsidR="00EE7BD5">
        <w:rPr>
          <w:sz w:val="20"/>
        </w:rPr>
        <w:t xml:space="preserve">by </w:t>
      </w:r>
      <w:r>
        <w:rPr>
          <w:sz w:val="20"/>
        </w:rPr>
        <w:t xml:space="preserve">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C801EC">
        <w:rPr>
          <w:i/>
          <w:sz w:val="20"/>
        </w:rPr>
        <w:t>dft_</w:t>
      </w:r>
      <w:proofErr w:type="gramStart"/>
      <w:r w:rsidRPr="00C801EC">
        <w:rPr>
          <w:i/>
          <w:sz w:val="20"/>
        </w:rPr>
        <w:t>reg</w:t>
      </w:r>
      <w:proofErr w:type="spellEnd"/>
      <w:r w:rsidRPr="00C801EC">
        <w:rPr>
          <w:i/>
          <w:sz w:val="20"/>
        </w:rPr>
        <w:t>::</w:t>
      </w:r>
      <w:proofErr w:type="spellStart"/>
      <w:proofErr w:type="gramEnd"/>
      <w:r w:rsidR="009E1616">
        <w:rPr>
          <w:i/>
          <w:sz w:val="20"/>
        </w:rPr>
        <w:t>dft_</w:t>
      </w:r>
      <w:r w:rsidRPr="00C801EC">
        <w:rPr>
          <w:i/>
          <w:sz w:val="20"/>
        </w:rPr>
        <w:t>set</w:t>
      </w:r>
      <w:proofErr w:type="spellEnd"/>
      <w:r w:rsidRPr="00C801EC">
        <w:rPr>
          <w:i/>
          <w:sz w:val="20"/>
        </w:rPr>
        <w:t>()</w:t>
      </w:r>
      <w:r>
        <w:rPr>
          <w:sz w:val="20"/>
        </w:rPr>
        <w:t xml:space="preserve"> converts </w:t>
      </w:r>
      <w:proofErr w:type="spellStart"/>
      <w:r w:rsidRPr="00F262AB">
        <w:rPr>
          <w:i/>
          <w:sz w:val="20"/>
        </w:rPr>
        <w:t>value_q</w:t>
      </w:r>
      <w:proofErr w:type="spellEnd"/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F262AB">
        <w:rPr>
          <w:i/>
          <w:sz w:val="20"/>
        </w:rPr>
        <w:t>dft_</w:t>
      </w:r>
      <w:proofErr w:type="gramStart"/>
      <w:r w:rsidRPr="00F262AB">
        <w:rPr>
          <w:i/>
          <w:sz w:val="20"/>
        </w:rPr>
        <w:t>reg</w:t>
      </w:r>
      <w:proofErr w:type="spellEnd"/>
      <w:r w:rsidRPr="00F262AB">
        <w:rPr>
          <w:i/>
          <w:sz w:val="20"/>
        </w:rPr>
        <w:t>::</w:t>
      </w:r>
      <w:proofErr w:type="gramEnd"/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proofErr w:type="spellStart"/>
      <w:r w:rsidRPr="00F262AB">
        <w:rPr>
          <w:i/>
          <w:sz w:val="20"/>
        </w:rPr>
        <w:t>uvm_reg_item</w:t>
      </w:r>
      <w:proofErr w:type="spellEnd"/>
      <w:r>
        <w:rPr>
          <w:sz w:val="20"/>
        </w:rPr>
        <w:t xml:space="preserve"> object to store the </w:t>
      </w:r>
      <w:proofErr w:type="spellStart"/>
      <w:r w:rsidRPr="00F262AB">
        <w:rPr>
          <w:i/>
          <w:sz w:val="20"/>
        </w:rPr>
        <w:t>value_q</w:t>
      </w:r>
      <w:proofErr w:type="spellEnd"/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F262AB">
        <w:rPr>
          <w:i/>
          <w:sz w:val="20"/>
        </w:rPr>
        <w:t>dft_</w:t>
      </w:r>
      <w:proofErr w:type="gramStart"/>
      <w:r w:rsidRPr="00F262AB">
        <w:rPr>
          <w:i/>
          <w:sz w:val="20"/>
        </w:rPr>
        <w:t>reg</w:t>
      </w:r>
      <w:proofErr w:type="spellEnd"/>
      <w:r w:rsidRPr="00F262AB">
        <w:rPr>
          <w:i/>
          <w:sz w:val="20"/>
        </w:rPr>
        <w:t>::</w:t>
      </w:r>
      <w:proofErr w:type="gramEnd"/>
      <w:r w:rsidRPr="00F262AB">
        <w:rPr>
          <w:i/>
          <w:sz w:val="20"/>
        </w:rPr>
        <w:t>do_write()</w:t>
      </w:r>
      <w:r>
        <w:rPr>
          <w:sz w:val="20"/>
        </w:rPr>
        <w:t xml:space="preserve"> passes the written data to </w:t>
      </w:r>
      <w:proofErr w:type="spellStart"/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proofErr w:type="spellEnd"/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proofErr w:type="spellStart"/>
      <w:r w:rsidRPr="00F262AB">
        <w:rPr>
          <w:i/>
          <w:sz w:val="20"/>
        </w:rPr>
        <w:t>uvm_reg_item</w:t>
      </w:r>
      <w:proofErr w:type="spellEnd"/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F262AB">
        <w:rPr>
          <w:i/>
          <w:sz w:val="20"/>
        </w:rPr>
        <w:t>dft_reg_</w:t>
      </w:r>
      <w:proofErr w:type="gramStart"/>
      <w:r w:rsidRPr="00F262AB">
        <w:rPr>
          <w:i/>
          <w:sz w:val="20"/>
        </w:rPr>
        <w:t>map</w:t>
      </w:r>
      <w:proofErr w:type="spellEnd"/>
      <w:r w:rsidRPr="00F262AB">
        <w:rPr>
          <w:i/>
          <w:sz w:val="20"/>
        </w:rPr>
        <w:t>::</w:t>
      </w:r>
      <w:proofErr w:type="spellStart"/>
      <w:proofErr w:type="gramEnd"/>
      <w:r w:rsidRPr="00F262AB">
        <w:rPr>
          <w:i/>
          <w:sz w:val="20"/>
        </w:rPr>
        <w:t>do_bus_write</w:t>
      </w:r>
      <w:proofErr w:type="spellEnd"/>
      <w:r w:rsidRPr="00F262AB">
        <w:rPr>
          <w:i/>
          <w:sz w:val="20"/>
        </w:rPr>
        <w:t>()</w:t>
      </w:r>
      <w:r>
        <w:rPr>
          <w:sz w:val="20"/>
        </w:rPr>
        <w:t xml:space="preserve"> converts the written data stored in the dynamic array to several </w:t>
      </w:r>
      <w:proofErr w:type="spellStart"/>
      <w:r w:rsidRPr="000619E1">
        <w:rPr>
          <w:i/>
          <w:sz w:val="20"/>
        </w:rPr>
        <w:t>uvm_reg_bus_op</w:t>
      </w:r>
      <w:proofErr w:type="spellEnd"/>
      <w:r>
        <w:rPr>
          <w:sz w:val="20"/>
        </w:rPr>
        <w:t xml:space="preserve"> packages, which are passed to the </w:t>
      </w:r>
      <w:proofErr w:type="spellStart"/>
      <w:r w:rsidRPr="000619E1">
        <w:rPr>
          <w:i/>
          <w:sz w:val="20"/>
        </w:rPr>
        <w:t>dft_reg_adapter</w:t>
      </w:r>
      <w:proofErr w:type="spellEnd"/>
      <w:r>
        <w:rPr>
          <w:sz w:val="20"/>
        </w:rPr>
        <w:t xml:space="preserve">. </w:t>
      </w:r>
    </w:p>
    <w:p w14:paraId="35737920" w14:textId="69EA3A91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>of the addr</w:t>
      </w:r>
      <w:r w:rsidR="0019203A">
        <w:rPr>
          <w:sz w:val="20"/>
        </w:rPr>
        <w:t>ess (encoded in Figure 4) as a</w:t>
      </w:r>
      <w:r>
        <w:rPr>
          <w:sz w:val="20"/>
        </w:rPr>
        <w:t xml:space="preserve"> flag bit that indicates the last package of the written data, the </w:t>
      </w:r>
      <w:proofErr w:type="spellStart"/>
      <w:r w:rsidRPr="000619E1">
        <w:rPr>
          <w:i/>
          <w:sz w:val="20"/>
        </w:rPr>
        <w:t>dft_reg_</w:t>
      </w:r>
      <w:proofErr w:type="gramStart"/>
      <w:r w:rsidRPr="000619E1">
        <w:rPr>
          <w:i/>
          <w:sz w:val="20"/>
        </w:rPr>
        <w:t>adapter</w:t>
      </w:r>
      <w:proofErr w:type="spellEnd"/>
      <w:r w:rsidRPr="000619E1">
        <w:rPr>
          <w:i/>
          <w:sz w:val="20"/>
        </w:rPr>
        <w:t>::</w:t>
      </w:r>
      <w:proofErr w:type="gramEnd"/>
      <w:r w:rsidRPr="000619E1">
        <w:rPr>
          <w:i/>
          <w:sz w:val="20"/>
        </w:rPr>
        <w:t>reg2bus()</w:t>
      </w:r>
      <w:r>
        <w:rPr>
          <w:sz w:val="20"/>
        </w:rPr>
        <w:t xml:space="preserve"> knows </w:t>
      </w:r>
      <w:r w:rsidR="0019203A">
        <w:rPr>
          <w:sz w:val="20"/>
        </w:rPr>
        <w:t xml:space="preserve">the time </w:t>
      </w:r>
      <w:r>
        <w:rPr>
          <w:sz w:val="20"/>
        </w:rPr>
        <w:t xml:space="preserve">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</w:t>
      </w:r>
      <w:r w:rsidR="0019203A">
        <w:rPr>
          <w:sz w:val="20"/>
        </w:rPr>
        <w:t>to return the complete</w:t>
      </w:r>
      <w:r>
        <w:rPr>
          <w:sz w:val="20"/>
        </w:rPr>
        <w:t xml:space="preserve">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proofErr w:type="spellStart"/>
      <w:r w:rsidR="001827E8" w:rsidRPr="00F262AB">
        <w:rPr>
          <w:i/>
          <w:sz w:val="20"/>
        </w:rPr>
        <w:t>dft_reg_map</w:t>
      </w:r>
      <w:proofErr w:type="spellEnd"/>
      <w:r w:rsidR="001827E8" w:rsidRPr="00F262AB">
        <w:rPr>
          <w:i/>
          <w:sz w:val="20"/>
        </w:rPr>
        <w:t>::</w:t>
      </w:r>
      <w:proofErr w:type="spellStart"/>
      <w:r w:rsidR="001827E8" w:rsidRPr="00F262AB">
        <w:rPr>
          <w:i/>
          <w:sz w:val="20"/>
        </w:rPr>
        <w:t>do_bus_write</w:t>
      </w:r>
      <w:proofErr w:type="spellEnd"/>
      <w:r w:rsidR="001827E8" w:rsidRPr="00F262AB">
        <w:rPr>
          <w:i/>
          <w:sz w:val="20"/>
        </w:rPr>
        <w:t>()</w:t>
      </w:r>
      <w:r w:rsidR="001827E8">
        <w:rPr>
          <w:sz w:val="20"/>
        </w:rPr>
        <w:t xml:space="preserve"> is going to send to </w:t>
      </w:r>
      <w:proofErr w:type="spellStart"/>
      <w:r w:rsidR="001827E8">
        <w:rPr>
          <w:sz w:val="20"/>
        </w:rPr>
        <w:t>dft_reg_sequencer</w:t>
      </w:r>
      <w:proofErr w:type="spellEnd"/>
      <w:r>
        <w:rPr>
          <w:sz w:val="20"/>
        </w:rPr>
        <w:t>.</w:t>
      </w:r>
    </w:p>
    <w:p w14:paraId="29FAA122" w14:textId="59D5CE86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0619E1">
        <w:rPr>
          <w:i/>
          <w:sz w:val="20"/>
        </w:rPr>
        <w:t>dft_reg_</w:t>
      </w:r>
      <w:proofErr w:type="gramStart"/>
      <w:r w:rsidRPr="000619E1">
        <w:rPr>
          <w:i/>
          <w:sz w:val="20"/>
        </w:rPr>
        <w:t>predict</w:t>
      </w:r>
      <w:proofErr w:type="spellEnd"/>
      <w:r w:rsidRPr="000619E1">
        <w:rPr>
          <w:i/>
          <w:sz w:val="20"/>
        </w:rPr>
        <w:t>::</w:t>
      </w:r>
      <w:proofErr w:type="gramEnd"/>
      <w:r w:rsidRPr="000619E1">
        <w:rPr>
          <w:i/>
          <w:sz w:val="20"/>
        </w:rPr>
        <w:t>write()</w:t>
      </w:r>
      <w:r>
        <w:rPr>
          <w:sz w:val="20"/>
        </w:rPr>
        <w:t xml:space="preserve"> calls </w:t>
      </w:r>
      <w:proofErr w:type="spellStart"/>
      <w:r w:rsidRPr="000619E1">
        <w:rPr>
          <w:i/>
          <w:sz w:val="20"/>
        </w:rPr>
        <w:t>dft_reg_adapter</w:t>
      </w:r>
      <w:proofErr w:type="spellEnd"/>
      <w:r w:rsidRPr="000619E1">
        <w:rPr>
          <w:i/>
          <w:sz w:val="20"/>
        </w:rPr>
        <w:t>::bus2reg()</w:t>
      </w:r>
      <w:r>
        <w:rPr>
          <w:sz w:val="20"/>
        </w:rPr>
        <w:t xml:space="preserve"> for several times until the MSB of the </w:t>
      </w:r>
      <w:proofErr w:type="spellStart"/>
      <w:r w:rsidRPr="000619E1">
        <w:rPr>
          <w:i/>
          <w:sz w:val="20"/>
        </w:rPr>
        <w:t>uvm_reg_bus_op.addr</w:t>
      </w:r>
      <w:proofErr w:type="spellEnd"/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proofErr w:type="spellStart"/>
      <w:r w:rsidR="00762865" w:rsidRPr="000619E1">
        <w:rPr>
          <w:i/>
          <w:sz w:val="20"/>
        </w:rPr>
        <w:t>dft_reg_adapter</w:t>
      </w:r>
      <w:proofErr w:type="spellEnd"/>
      <w:r w:rsidR="00762865" w:rsidRPr="000619E1">
        <w:rPr>
          <w:i/>
          <w:sz w:val="20"/>
        </w:rPr>
        <w:t>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>indicate</w:t>
      </w:r>
      <w:r w:rsidR="0019203A">
        <w:rPr>
          <w:sz w:val="20"/>
        </w:rPr>
        <w:t xml:space="preserve"> that</w:t>
      </w:r>
      <w:r w:rsidR="002D65E8">
        <w:rPr>
          <w:sz w:val="20"/>
        </w:rPr>
        <w:t xml:space="preserve">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0619E1">
        <w:rPr>
          <w:i/>
          <w:sz w:val="20"/>
        </w:rPr>
        <w:t>dft_reg_</w:t>
      </w:r>
      <w:proofErr w:type="gramStart"/>
      <w:r w:rsidRPr="000619E1">
        <w:rPr>
          <w:i/>
          <w:sz w:val="20"/>
        </w:rPr>
        <w:t>predict</w:t>
      </w:r>
      <w:proofErr w:type="spellEnd"/>
      <w:r w:rsidRPr="000619E1">
        <w:rPr>
          <w:i/>
          <w:sz w:val="20"/>
        </w:rPr>
        <w:t>::</w:t>
      </w:r>
      <w:proofErr w:type="gramEnd"/>
      <w:r w:rsidRPr="000619E1">
        <w:rPr>
          <w:i/>
          <w:sz w:val="20"/>
        </w:rPr>
        <w:t>write()</w:t>
      </w:r>
      <w:r>
        <w:rPr>
          <w:sz w:val="20"/>
        </w:rPr>
        <w:t xml:space="preserve"> creates a </w:t>
      </w:r>
      <w:proofErr w:type="spellStart"/>
      <w:r w:rsidRPr="000619E1">
        <w:rPr>
          <w:i/>
          <w:sz w:val="20"/>
        </w:rPr>
        <w:t>uvm_reg_item</w:t>
      </w:r>
      <w:proofErr w:type="spellEnd"/>
      <w:r>
        <w:rPr>
          <w:sz w:val="20"/>
        </w:rPr>
        <w:t xml:space="preserve"> object </w:t>
      </w:r>
      <w:r w:rsidR="002B0D2F">
        <w:rPr>
          <w:sz w:val="20"/>
        </w:rPr>
        <w:t xml:space="preserve">and stores the </w:t>
      </w:r>
      <w:proofErr w:type="spellStart"/>
      <w:r w:rsidR="002B0D2F">
        <w:rPr>
          <w:sz w:val="20"/>
        </w:rPr>
        <w:t>uvm_reg_bus_op.</w:t>
      </w:r>
      <w:r w:rsidR="001A0119">
        <w:rPr>
          <w:sz w:val="20"/>
        </w:rPr>
        <w:t>data</w:t>
      </w:r>
      <w:proofErr w:type="spellEnd"/>
      <w:r w:rsidR="001A0119">
        <w:rPr>
          <w:sz w:val="20"/>
        </w:rPr>
        <w:t xml:space="preserve">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proofErr w:type="spellStart"/>
      <w:r w:rsidRPr="000619E1">
        <w:rPr>
          <w:i/>
          <w:sz w:val="20"/>
        </w:rPr>
        <w:t>dft_reg</w:t>
      </w:r>
      <w:proofErr w:type="spellEnd"/>
      <w:r w:rsidRPr="000619E1">
        <w:rPr>
          <w:i/>
          <w:sz w:val="20"/>
        </w:rPr>
        <w:t>::</w:t>
      </w:r>
      <w:proofErr w:type="spellStart"/>
      <w:r w:rsidRPr="000619E1">
        <w:rPr>
          <w:i/>
          <w:sz w:val="20"/>
        </w:rPr>
        <w:t>do_predict</w:t>
      </w:r>
      <w:proofErr w:type="spellEnd"/>
      <w:r w:rsidRPr="000619E1">
        <w:rPr>
          <w:i/>
          <w:sz w:val="20"/>
        </w:rPr>
        <w:t>()</w:t>
      </w:r>
      <w:r>
        <w:rPr>
          <w:sz w:val="20"/>
        </w:rPr>
        <w:t>.</w:t>
      </w:r>
    </w:p>
    <w:p w14:paraId="399AD771" w14:textId="6A6B17B5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 w:rsidRPr="000619E1">
        <w:rPr>
          <w:i/>
          <w:sz w:val="20"/>
        </w:rPr>
        <w:t>dft_</w:t>
      </w:r>
      <w:proofErr w:type="gramStart"/>
      <w:r w:rsidRPr="000619E1">
        <w:rPr>
          <w:i/>
          <w:sz w:val="20"/>
        </w:rPr>
        <w:t>reg</w:t>
      </w:r>
      <w:proofErr w:type="spellEnd"/>
      <w:r w:rsidRPr="000619E1">
        <w:rPr>
          <w:i/>
          <w:sz w:val="20"/>
        </w:rPr>
        <w:t>::</w:t>
      </w:r>
      <w:proofErr w:type="spellStart"/>
      <w:proofErr w:type="gramEnd"/>
      <w:r w:rsidRPr="000619E1">
        <w:rPr>
          <w:i/>
          <w:sz w:val="20"/>
        </w:rPr>
        <w:t>do_predict</w:t>
      </w:r>
      <w:proofErr w:type="spellEnd"/>
      <w:r w:rsidRPr="000619E1">
        <w:rPr>
          <w:i/>
          <w:sz w:val="20"/>
        </w:rPr>
        <w:t>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19203A">
        <w:rPr>
          <w:sz w:val="20"/>
        </w:rPr>
        <w:t xml:space="preserve"> to </w:t>
      </w:r>
      <w:proofErr w:type="spellStart"/>
      <w:r w:rsidR="0019203A">
        <w:rPr>
          <w:sz w:val="20"/>
        </w:rPr>
        <w:t>dft_reg_data_t</w:t>
      </w:r>
      <w:proofErr w:type="spellEnd"/>
      <w:r w:rsidR="0019203A">
        <w:rPr>
          <w:sz w:val="20"/>
        </w:rPr>
        <w:t xml:space="preserve"> type, </w:t>
      </w:r>
      <w:r w:rsidR="00B25C06">
        <w:rPr>
          <w:sz w:val="20"/>
        </w:rPr>
        <w:t>disassemble</w:t>
      </w:r>
      <w:r w:rsidR="0019203A">
        <w:rPr>
          <w:sz w:val="20"/>
        </w:rPr>
        <w:t>s</w:t>
      </w:r>
      <w:r w:rsidR="00B25C06">
        <w:rPr>
          <w:sz w:val="20"/>
        </w:rPr>
        <w:t xml:space="preserve"> it into several uvm_reg_data_t type according to the TDR’s </w:t>
      </w:r>
      <w:r w:rsidR="0069074D">
        <w:rPr>
          <w:sz w:val="20"/>
        </w:rPr>
        <w:t>field width</w:t>
      </w:r>
      <w:r w:rsidR="0019203A">
        <w:rPr>
          <w:sz w:val="20"/>
        </w:rPr>
        <w:t>,</w:t>
      </w:r>
      <w:r w:rsidR="0069074D">
        <w:rPr>
          <w:sz w:val="20"/>
        </w:rPr>
        <w:t xml:space="preserve"> and then pass</w:t>
      </w:r>
      <w:r w:rsidR="0019203A">
        <w:rPr>
          <w:sz w:val="20"/>
        </w:rPr>
        <w:t>es</w:t>
      </w:r>
      <w:r w:rsidR="0069074D">
        <w:rPr>
          <w:sz w:val="20"/>
        </w:rPr>
        <w:t xml:space="preserve"> them to uvm_reg_field::</w:t>
      </w:r>
      <w:proofErr w:type="spellStart"/>
      <w:r w:rsidR="0069074D">
        <w:rPr>
          <w:sz w:val="20"/>
        </w:rPr>
        <w:t>do_predict</w:t>
      </w:r>
      <w:proofErr w:type="spellEnd"/>
      <w:r w:rsidR="0069074D">
        <w:rPr>
          <w:sz w:val="20"/>
        </w:rPr>
        <w:t>().</w:t>
      </w:r>
    </w:p>
    <w:p w14:paraId="70D7AFAB" w14:textId="31DF2741" w:rsidR="00155970" w:rsidRPr="0019203A" w:rsidRDefault="00342DB5" w:rsidP="0019203A">
      <w:pPr>
        <w:pStyle w:val="ListParagraph"/>
        <w:numPr>
          <w:ilvl w:val="1"/>
          <w:numId w:val="9"/>
        </w:numPr>
        <w:spacing w:line="240" w:lineRule="atLeast"/>
        <w:jc w:val="both"/>
        <w:rPr>
          <w:b/>
          <w:sz w:val="20"/>
        </w:rPr>
      </w:pPr>
      <w:proofErr w:type="spellStart"/>
      <w:r w:rsidRPr="0019203A">
        <w:rPr>
          <w:b/>
          <w:sz w:val="20"/>
        </w:rPr>
        <w:t>dft_reg</w:t>
      </w:r>
      <w:proofErr w:type="spellEnd"/>
      <w:r w:rsidRPr="0019203A">
        <w:rPr>
          <w:b/>
          <w:sz w:val="20"/>
        </w:rPr>
        <w:t xml:space="preserve"> Class Implementation:</w:t>
      </w:r>
    </w:p>
    <w:p w14:paraId="7AD5B64F" w14:textId="23AF013E" w:rsidR="00342DB5" w:rsidRPr="00B77621" w:rsidRDefault="002D5DCF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2</w:t>
      </w:r>
      <w:r w:rsidR="00B77621">
        <w:rPr>
          <w:sz w:val="20"/>
          <w:lang w:eastAsia="zh-CN"/>
        </w:rPr>
        <w:t xml:space="preserve">, the </w:t>
      </w:r>
      <w:r>
        <w:rPr>
          <w:sz w:val="20"/>
          <w:lang w:eastAsia="zh-CN"/>
        </w:rPr>
        <w:t>methods</w:t>
      </w:r>
      <w:r w:rsidR="00BC7385">
        <w:rPr>
          <w:sz w:val="20"/>
          <w:lang w:eastAsia="zh-CN"/>
        </w:rPr>
        <w:t xml:space="preserve"> </w:t>
      </w:r>
      <w:r w:rsidR="0019203A">
        <w:rPr>
          <w:sz w:val="20"/>
          <w:lang w:eastAsia="zh-CN"/>
        </w:rPr>
        <w:t>with</w:t>
      </w:r>
      <w:r w:rsidR="00B77621">
        <w:rPr>
          <w:sz w:val="20"/>
          <w:lang w:eastAsia="zh-CN"/>
        </w:rPr>
        <w:t xml:space="preserve"> “</w:t>
      </w:r>
      <w:proofErr w:type="spellStart"/>
      <w:r w:rsidR="00B77621">
        <w:rPr>
          <w:sz w:val="20"/>
          <w:lang w:eastAsia="zh-CN"/>
        </w:rPr>
        <w:t>dft</w:t>
      </w:r>
      <w:proofErr w:type="spellEnd"/>
      <w:r w:rsidR="00B77621">
        <w:rPr>
          <w:sz w:val="20"/>
          <w:lang w:eastAsia="zh-CN"/>
        </w:rPr>
        <w:t>_” prefix are ne</w:t>
      </w:r>
      <w:r w:rsidR="00943234">
        <w:rPr>
          <w:sz w:val="20"/>
          <w:lang w:eastAsia="zh-CN"/>
        </w:rPr>
        <w:t xml:space="preserve">wly added </w:t>
      </w:r>
      <w:r w:rsidR="0019203A">
        <w:rPr>
          <w:sz w:val="20"/>
          <w:lang w:eastAsia="zh-CN"/>
        </w:rPr>
        <w:t xml:space="preserve">(shown in green) </w:t>
      </w:r>
      <w:r w:rsidR="00943234">
        <w:rPr>
          <w:sz w:val="20"/>
          <w:lang w:eastAsia="zh-CN"/>
        </w:rPr>
        <w:t>for DFT TDR access. To implement this newly added functions and tasks, we can</w:t>
      </w:r>
      <w:r w:rsidR="00B77621">
        <w:rPr>
          <w:sz w:val="20"/>
          <w:lang w:eastAsia="zh-CN"/>
        </w:rPr>
        <w:t xml:space="preserve"> copy the corresponding one</w:t>
      </w:r>
      <w:r w:rsidR="0019203A">
        <w:rPr>
          <w:sz w:val="20"/>
          <w:lang w:eastAsia="zh-CN"/>
        </w:rPr>
        <w:t>s</w:t>
      </w:r>
      <w:r w:rsidR="00B77621">
        <w:rPr>
          <w:sz w:val="20"/>
          <w:lang w:eastAsia="zh-CN"/>
        </w:rPr>
        <w:t xml:space="preserve"> in uvm_reg class and modify the input argument </w:t>
      </w:r>
      <w:r w:rsidR="00F66A16">
        <w:rPr>
          <w:sz w:val="20"/>
          <w:lang w:eastAsia="zh-CN"/>
        </w:rPr>
        <w:t>(</w:t>
      </w:r>
      <w:r w:rsidR="00B77621">
        <w:rPr>
          <w:sz w:val="20"/>
          <w:lang w:eastAsia="zh-CN"/>
        </w:rPr>
        <w:t>or return type</w:t>
      </w:r>
      <w:r w:rsidR="00F66A16">
        <w:rPr>
          <w:sz w:val="20"/>
          <w:lang w:eastAsia="zh-CN"/>
        </w:rPr>
        <w:t>)</w:t>
      </w:r>
      <w:r w:rsidR="00B77621">
        <w:rPr>
          <w:sz w:val="20"/>
          <w:lang w:eastAsia="zh-CN"/>
        </w:rPr>
        <w:t xml:space="preserve"> to </w:t>
      </w:r>
      <w:proofErr w:type="spellStart"/>
      <w:r w:rsidR="00B77621">
        <w:rPr>
          <w:sz w:val="20"/>
          <w:lang w:eastAsia="zh-CN"/>
        </w:rPr>
        <w:t>dft_reg_data_t</w:t>
      </w:r>
      <w:proofErr w:type="spellEnd"/>
      <w:r w:rsidR="00B77621">
        <w:rPr>
          <w:sz w:val="20"/>
          <w:lang w:eastAsia="zh-CN"/>
        </w:rPr>
        <w:t xml:space="preserve"> instead of uvm_reg_data_t. </w:t>
      </w:r>
      <w:r w:rsidR="00943234">
        <w:rPr>
          <w:sz w:val="20"/>
          <w:lang w:eastAsia="zh-CN"/>
        </w:rPr>
        <w:t>Then</w:t>
      </w:r>
      <w:r w:rsidR="00B77621">
        <w:rPr>
          <w:sz w:val="20"/>
          <w:lang w:eastAsia="zh-CN"/>
        </w:rPr>
        <w:t xml:space="preserve"> </w:t>
      </w:r>
      <w:r w:rsidR="00F66A16">
        <w:rPr>
          <w:sz w:val="20"/>
          <w:lang w:eastAsia="zh-CN"/>
        </w:rPr>
        <w:t xml:space="preserve">the </w:t>
      </w:r>
      <w:r w:rsidR="00B77621">
        <w:rPr>
          <w:sz w:val="20"/>
          <w:lang w:eastAsia="zh-CN"/>
        </w:rPr>
        <w:t>data type conversion</w:t>
      </w:r>
      <w:r w:rsidR="00F66A16">
        <w:rPr>
          <w:sz w:val="20"/>
          <w:lang w:eastAsia="zh-CN"/>
        </w:rPr>
        <w:t xml:space="preserve"> is added when it is needed</w:t>
      </w:r>
      <w:r w:rsidR="00BC7385">
        <w:rPr>
          <w:sz w:val="20"/>
          <w:lang w:eastAsia="zh-CN"/>
        </w:rPr>
        <w:t>.</w:t>
      </w:r>
      <w:r w:rsidR="00B77621">
        <w:rPr>
          <w:sz w:val="20"/>
          <w:lang w:eastAsia="zh-CN"/>
        </w:rPr>
        <w:t xml:space="preserve"> </w:t>
      </w:r>
      <w:r w:rsidR="00737EDE">
        <w:rPr>
          <w:sz w:val="20"/>
          <w:lang w:eastAsia="zh-CN"/>
        </w:rPr>
        <w:t xml:space="preserve">Because </w:t>
      </w:r>
      <w:proofErr w:type="gramStart"/>
      <w:r w:rsidR="00737EDE">
        <w:rPr>
          <w:sz w:val="20"/>
          <w:lang w:eastAsia="zh-CN"/>
        </w:rPr>
        <w:t xml:space="preserve">the </w:t>
      </w:r>
      <w:r w:rsidR="00943234">
        <w:rPr>
          <w:sz w:val="20"/>
          <w:lang w:eastAsia="zh-CN"/>
        </w:rPr>
        <w:t xml:space="preserve"> uvm</w:t>
      </w:r>
      <w:proofErr w:type="gramEnd"/>
      <w:r w:rsidR="00943234">
        <w:rPr>
          <w:sz w:val="20"/>
          <w:lang w:eastAsia="zh-CN"/>
        </w:rPr>
        <w:t>_reg::</w:t>
      </w:r>
      <w:proofErr w:type="spellStart"/>
      <w:r w:rsidR="00943234">
        <w:rPr>
          <w:sz w:val="20"/>
          <w:lang w:eastAsia="zh-CN"/>
        </w:rPr>
        <w:t>do_predict</w:t>
      </w:r>
      <w:proofErr w:type="spellEnd"/>
      <w:r w:rsidR="00943234">
        <w:rPr>
          <w:sz w:val="20"/>
          <w:lang w:eastAsia="zh-CN"/>
        </w:rPr>
        <w:t>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737EDE">
        <w:rPr>
          <w:sz w:val="20"/>
        </w:rPr>
        <w:t xml:space="preserve"> size </w:t>
      </w:r>
      <w:r w:rsidR="00F66A16">
        <w:rPr>
          <w:sz w:val="20"/>
        </w:rPr>
        <w:t>to be</w:t>
      </w:r>
      <w:r w:rsidR="00737EDE">
        <w:rPr>
          <w:sz w:val="20"/>
        </w:rPr>
        <w:t xml:space="preserve"> one,</w:t>
      </w:r>
      <w:r w:rsidR="00943234">
        <w:rPr>
          <w:sz w:val="20"/>
        </w:rPr>
        <w:t xml:space="preserve"> we need </w:t>
      </w:r>
      <w:r w:rsidR="00E86771">
        <w:rPr>
          <w:sz w:val="20"/>
        </w:rPr>
        <w:t xml:space="preserve">to </w:t>
      </w:r>
      <w:r w:rsidR="00943234">
        <w:rPr>
          <w:sz w:val="20"/>
        </w:rPr>
        <w:t xml:space="preserve">use </w:t>
      </w:r>
      <w:proofErr w:type="spellStart"/>
      <w:r w:rsidR="00943234">
        <w:rPr>
          <w:sz w:val="20"/>
        </w:rPr>
        <w:t>dft</w:t>
      </w:r>
      <w:r w:rsidR="00CB04B0">
        <w:rPr>
          <w:sz w:val="20"/>
        </w:rPr>
        <w:t>_reg</w:t>
      </w:r>
      <w:proofErr w:type="spellEnd"/>
      <w:r w:rsidR="00CB04B0">
        <w:rPr>
          <w:sz w:val="20"/>
        </w:rPr>
        <w:t>::</w:t>
      </w:r>
      <w:proofErr w:type="spellStart"/>
      <w:r w:rsidR="00CB04B0">
        <w:rPr>
          <w:sz w:val="20"/>
        </w:rPr>
        <w:t>do_predict</w:t>
      </w:r>
      <w:proofErr w:type="spellEnd"/>
      <w:r w:rsidR="00CB04B0">
        <w:rPr>
          <w:sz w:val="20"/>
        </w:rPr>
        <w:t>() to override it</w:t>
      </w:r>
      <w:r w:rsidR="00DD625B">
        <w:rPr>
          <w:sz w:val="20"/>
        </w:rPr>
        <w:t>.</w:t>
      </w:r>
    </w:p>
    <w:p w14:paraId="595D647D" w14:textId="58F1A754" w:rsidR="00DD625B" w:rsidRPr="00E86771" w:rsidRDefault="00E86771" w:rsidP="00DD625B">
      <w:pPr>
        <w:spacing w:line="240" w:lineRule="atLeast"/>
        <w:ind w:firstLine="300"/>
        <w:jc w:val="both"/>
        <w:rPr>
          <w:b/>
          <w:sz w:val="20"/>
        </w:rPr>
      </w:pPr>
      <w:r w:rsidRPr="00E86771">
        <w:rPr>
          <w:b/>
          <w:sz w:val="20"/>
          <w:lang w:eastAsia="zh-CN"/>
        </w:rPr>
        <w:t xml:space="preserve">1.3 </w:t>
      </w:r>
      <w:proofErr w:type="spellStart"/>
      <w:r w:rsidR="00DD625B" w:rsidRPr="00E86771">
        <w:rPr>
          <w:b/>
          <w:sz w:val="20"/>
        </w:rPr>
        <w:t>dft_reg_block</w:t>
      </w:r>
      <w:proofErr w:type="spellEnd"/>
      <w:r w:rsidR="00DD625B" w:rsidRPr="00E86771">
        <w:rPr>
          <w:b/>
          <w:sz w:val="20"/>
        </w:rPr>
        <w:t xml:space="preserve"> Class Implementation:</w:t>
      </w:r>
    </w:p>
    <w:p w14:paraId="75551DA9" w14:textId="5CF0A6C1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lastRenderedPageBreak/>
        <w:t xml:space="preserve">The </w:t>
      </w:r>
      <w:proofErr w:type="spellStart"/>
      <w:r>
        <w:rPr>
          <w:sz w:val="20"/>
        </w:rPr>
        <w:t>dft_</w:t>
      </w:r>
      <w:r w:rsidR="00E86771">
        <w:rPr>
          <w:sz w:val="20"/>
        </w:rPr>
        <w:t>reg_blcok</w:t>
      </w:r>
      <w:proofErr w:type="spellEnd"/>
      <w:r w:rsidR="00E86771">
        <w:rPr>
          <w:sz w:val="20"/>
        </w:rPr>
        <w:t xml:space="preserve"> class is extended from</w:t>
      </w:r>
      <w:r>
        <w:rPr>
          <w:sz w:val="20"/>
        </w:rPr>
        <w:t xml:space="preserve"> </w:t>
      </w:r>
      <w:r w:rsidR="003C5442">
        <w:rPr>
          <w:sz w:val="20"/>
        </w:rPr>
        <w:t xml:space="preserve">the </w:t>
      </w:r>
      <w:proofErr w:type="spellStart"/>
      <w:r>
        <w:rPr>
          <w:sz w:val="20"/>
        </w:rPr>
        <w:t>uv</w:t>
      </w:r>
      <w:r w:rsidR="003C5442">
        <w:rPr>
          <w:sz w:val="20"/>
        </w:rPr>
        <w:t>m_reg_block</w:t>
      </w:r>
      <w:proofErr w:type="spellEnd"/>
      <w:r w:rsidR="003C5442">
        <w:rPr>
          <w:sz w:val="20"/>
        </w:rPr>
        <w:t xml:space="preserve"> shown in Figure 2</w:t>
      </w:r>
      <w:r>
        <w:rPr>
          <w:sz w:val="20"/>
        </w:rPr>
        <w:t xml:space="preserve">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</w:t>
      </w:r>
      <w:r w:rsidR="003C5442">
        <w:rPr>
          <w:sz w:val="20"/>
        </w:rPr>
        <w:t>methods</w:t>
      </w:r>
      <w:r w:rsidR="000A5160">
        <w:rPr>
          <w:sz w:val="20"/>
        </w:rPr>
        <w:t xml:space="preserve"> use </w:t>
      </w:r>
      <w:r w:rsidR="00DD625B">
        <w:rPr>
          <w:sz w:val="20"/>
        </w:rPr>
        <w:t xml:space="preserve">local variables in </w:t>
      </w:r>
      <w:proofErr w:type="spellStart"/>
      <w:r w:rsidR="00DD625B">
        <w:rPr>
          <w:sz w:val="20"/>
        </w:rPr>
        <w:t>uvm_reg_block</w:t>
      </w:r>
      <w:proofErr w:type="spellEnd"/>
      <w:r w:rsidR="00DD625B">
        <w:rPr>
          <w:sz w:val="20"/>
        </w:rPr>
        <w:t xml:space="preserve"> class</w:t>
      </w:r>
      <w:r w:rsidR="000A5160">
        <w:rPr>
          <w:sz w:val="20"/>
        </w:rPr>
        <w:t xml:space="preserve"> which cannot be seen by extended class</w:t>
      </w:r>
      <w:r w:rsidR="00A355EA">
        <w:rPr>
          <w:sz w:val="20"/>
        </w:rPr>
        <w:t>es</w:t>
      </w:r>
      <w:r w:rsidR="000A5160">
        <w:rPr>
          <w:sz w:val="20"/>
        </w:rPr>
        <w:t>, we copy all code</w:t>
      </w:r>
      <w:r w:rsidR="00A355EA">
        <w:rPr>
          <w:sz w:val="20"/>
        </w:rPr>
        <w:t>s</w:t>
      </w:r>
      <w:r w:rsidR="000A5160">
        <w:rPr>
          <w:sz w:val="20"/>
        </w:rPr>
        <w:t xml:space="preserve"> in </w:t>
      </w:r>
      <w:proofErr w:type="spellStart"/>
      <w:r w:rsidR="000A5160">
        <w:rPr>
          <w:sz w:val="20"/>
        </w:rPr>
        <w:t>uvm_reg_blcok</w:t>
      </w:r>
      <w:proofErr w:type="spellEnd"/>
      <w:r w:rsidR="000A5160">
        <w:rPr>
          <w:sz w:val="20"/>
        </w:rPr>
        <w:t xml:space="preserve"> to </w:t>
      </w:r>
      <w:proofErr w:type="spellStart"/>
      <w:r w:rsidR="000A5160">
        <w:rPr>
          <w:sz w:val="20"/>
        </w:rPr>
        <w:t>dft_reg_block</w:t>
      </w:r>
      <w:proofErr w:type="spellEnd"/>
      <w:r w:rsidR="000A5160">
        <w:rPr>
          <w:sz w:val="20"/>
        </w:rPr>
        <w:t xml:space="preserve"> class and </w:t>
      </w:r>
      <w:r>
        <w:rPr>
          <w:sz w:val="20"/>
        </w:rPr>
        <w:t xml:space="preserve">do </w:t>
      </w:r>
      <w:r w:rsidR="00A355EA">
        <w:rPr>
          <w:sz w:val="20"/>
        </w:rPr>
        <w:t xml:space="preserve">the </w:t>
      </w:r>
      <w:r>
        <w:rPr>
          <w:sz w:val="20"/>
        </w:rPr>
        <w:t>following changes.</w:t>
      </w:r>
    </w:p>
    <w:p w14:paraId="61253347" w14:textId="79EDCD35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Remove the fatal error check that </w:t>
      </w:r>
      <w:proofErr w:type="spellStart"/>
      <w:r>
        <w:rPr>
          <w:sz w:val="20"/>
        </w:rPr>
        <w:t>uvm_reg_</w:t>
      </w:r>
      <w:proofErr w:type="gramStart"/>
      <w:r>
        <w:rPr>
          <w:sz w:val="20"/>
        </w:rPr>
        <w:t>block</w:t>
      </w:r>
      <w:proofErr w:type="spellEnd"/>
      <w:r>
        <w:rPr>
          <w:sz w:val="20"/>
        </w:rPr>
        <w:t>::</w:t>
      </w:r>
      <w:proofErr w:type="spellStart"/>
      <w:proofErr w:type="gramEnd"/>
      <w:r>
        <w:rPr>
          <w:sz w:val="20"/>
        </w:rPr>
        <w:t>max_size</w:t>
      </w:r>
      <w:proofErr w:type="spellEnd"/>
      <w:r>
        <w:rPr>
          <w:sz w:val="20"/>
        </w:rPr>
        <w:t xml:space="preserve"> should not </w:t>
      </w:r>
      <w:r w:rsidR="00A355EA">
        <w:rPr>
          <w:sz w:val="20"/>
        </w:rPr>
        <w:t xml:space="preserve">be larger than </w:t>
      </w:r>
      <w:r>
        <w:rPr>
          <w:sz w:val="20"/>
        </w:rPr>
        <w:t>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 xml:space="preserve">in </w:t>
      </w:r>
      <w:proofErr w:type="spellStart"/>
      <w:r>
        <w:rPr>
          <w:sz w:val="20"/>
        </w:rPr>
        <w:t>lock_model</w:t>
      </w:r>
      <w:proofErr w:type="spellEnd"/>
      <w:r>
        <w:rPr>
          <w:sz w:val="20"/>
        </w:rPr>
        <w:t>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Enhance </w:t>
      </w:r>
      <w:proofErr w:type="spellStart"/>
      <w:r>
        <w:rPr>
          <w:sz w:val="20"/>
        </w:rPr>
        <w:t>Xinit_address_</w:t>
      </w:r>
      <w:proofErr w:type="gramStart"/>
      <w:r>
        <w:rPr>
          <w:sz w:val="20"/>
        </w:rPr>
        <w:t>mapsX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function to support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Add </w:t>
      </w:r>
      <w:proofErr w:type="spellStart"/>
      <w:r>
        <w:rPr>
          <w:sz w:val="20"/>
        </w:rPr>
        <w:t>create_dft_</w:t>
      </w:r>
      <w:proofErr w:type="gramStart"/>
      <w:r>
        <w:rPr>
          <w:sz w:val="20"/>
        </w:rPr>
        <w:t>map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function to return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 register map.</w:t>
      </w:r>
    </w:p>
    <w:p w14:paraId="645FBE55" w14:textId="2FB4B598" w:rsidR="00E86794" w:rsidRPr="00964D85" w:rsidRDefault="00A355EA" w:rsidP="00A355EA">
      <w:pPr>
        <w:spacing w:line="240" w:lineRule="atLeast"/>
        <w:ind w:firstLine="300"/>
        <w:jc w:val="both"/>
        <w:rPr>
          <w:b/>
          <w:sz w:val="20"/>
          <w:lang w:eastAsia="zh-CN"/>
        </w:rPr>
      </w:pPr>
      <w:r w:rsidRPr="00A355EA">
        <w:rPr>
          <w:b/>
          <w:sz w:val="20"/>
          <w:lang w:eastAsia="zh-CN"/>
        </w:rPr>
        <w:t>1.4</w:t>
      </w:r>
      <w:r w:rsidR="00E86794" w:rsidRPr="00A355EA">
        <w:rPr>
          <w:b/>
          <w:sz w:val="20"/>
          <w:lang w:eastAsia="zh-CN"/>
        </w:rPr>
        <w:t xml:space="preserve"> </w:t>
      </w:r>
      <w:proofErr w:type="spellStart"/>
      <w:r w:rsidR="00E86794" w:rsidRPr="00964D85">
        <w:rPr>
          <w:b/>
          <w:sz w:val="20"/>
          <w:lang w:eastAsia="zh-CN"/>
        </w:rPr>
        <w:t>dft_reg</w:t>
      </w:r>
      <w:r w:rsidR="00964D85">
        <w:rPr>
          <w:b/>
          <w:sz w:val="20"/>
          <w:lang w:eastAsia="zh-CN"/>
        </w:rPr>
        <w:t>_map</w:t>
      </w:r>
      <w:proofErr w:type="spellEnd"/>
      <w:r w:rsidR="00E86794" w:rsidRPr="00964D85">
        <w:rPr>
          <w:b/>
          <w:sz w:val="20"/>
          <w:lang w:eastAsia="zh-CN"/>
        </w:rPr>
        <w:t xml:space="preserve"> Class Implementation:</w:t>
      </w:r>
    </w:p>
    <w:p w14:paraId="71374825" w14:textId="6409C39F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dft_reg_map</w:t>
      </w:r>
      <w:proofErr w:type="spellEnd"/>
      <w:r w:rsidR="00E86794" w:rsidRPr="00964D85">
        <w:rPr>
          <w:sz w:val="20"/>
        </w:rPr>
        <w:t xml:space="preserve"> class is ex</w:t>
      </w:r>
      <w:r>
        <w:rPr>
          <w:sz w:val="20"/>
        </w:rPr>
        <w:t xml:space="preserve">tended </w:t>
      </w:r>
      <w:r w:rsidR="00A355EA">
        <w:rPr>
          <w:sz w:val="20"/>
        </w:rPr>
        <w:t>from</w:t>
      </w:r>
      <w:r>
        <w:rPr>
          <w:sz w:val="20"/>
        </w:rPr>
        <w:t xml:space="preserve"> </w:t>
      </w:r>
      <w:r w:rsidR="003C5442">
        <w:rPr>
          <w:sz w:val="20"/>
        </w:rPr>
        <w:t xml:space="preserve">the </w:t>
      </w:r>
      <w:r>
        <w:rPr>
          <w:sz w:val="20"/>
        </w:rPr>
        <w:t>uvm_reg_map</w:t>
      </w:r>
      <w:r w:rsidR="003C5442">
        <w:rPr>
          <w:sz w:val="20"/>
        </w:rPr>
        <w:t xml:space="preserve"> shown in Figure 2</w:t>
      </w:r>
      <w:r w:rsidR="00E86794" w:rsidRPr="00964D85">
        <w:rPr>
          <w:sz w:val="20"/>
        </w:rPr>
        <w:t xml:space="preserve">. </w:t>
      </w:r>
      <w:r w:rsidR="003C5442">
        <w:rPr>
          <w:sz w:val="20"/>
        </w:rPr>
        <w:t xml:space="preserve">Similar </w:t>
      </w:r>
      <w:r w:rsidR="00A355EA">
        <w:rPr>
          <w:sz w:val="20"/>
        </w:rPr>
        <w:t>to</w:t>
      </w:r>
      <w:r w:rsidR="003C5442">
        <w:rPr>
          <w:sz w:val="20"/>
        </w:rPr>
        <w:t xml:space="preserve"> the </w:t>
      </w:r>
      <w:proofErr w:type="spellStart"/>
      <w:r w:rsidR="003C5442">
        <w:rPr>
          <w:sz w:val="20"/>
        </w:rPr>
        <w:t>uvm_reg_block</w:t>
      </w:r>
      <w:proofErr w:type="spellEnd"/>
      <w:r w:rsidR="003C5442">
        <w:rPr>
          <w:sz w:val="20"/>
        </w:rPr>
        <w:t>, many methods of the uvm_reg_map</w:t>
      </w:r>
      <w:r w:rsidR="003C5442" w:rsidRPr="00964D85">
        <w:rPr>
          <w:sz w:val="20"/>
        </w:rPr>
        <w:t xml:space="preserve"> </w:t>
      </w:r>
      <w:r w:rsidR="00E86794" w:rsidRPr="00964D85">
        <w:rPr>
          <w:sz w:val="20"/>
        </w:rPr>
        <w:t xml:space="preserve">use </w:t>
      </w:r>
      <w:r>
        <w:rPr>
          <w:sz w:val="20"/>
        </w:rPr>
        <w:t>local variables</w:t>
      </w:r>
      <w:r w:rsidR="00E86794" w:rsidRPr="00964D85">
        <w:rPr>
          <w:sz w:val="20"/>
        </w:rPr>
        <w:t xml:space="preserve">, </w:t>
      </w:r>
      <w:r w:rsidR="003C5442">
        <w:rPr>
          <w:sz w:val="20"/>
        </w:rPr>
        <w:t xml:space="preserve">so </w:t>
      </w:r>
      <w:r w:rsidR="00E86794" w:rsidRPr="00964D85">
        <w:rPr>
          <w:sz w:val="20"/>
        </w:rPr>
        <w:t xml:space="preserve">we copy </w:t>
      </w:r>
      <w:r>
        <w:rPr>
          <w:sz w:val="20"/>
        </w:rPr>
        <w:t>all code</w:t>
      </w:r>
      <w:r w:rsidR="00A355EA">
        <w:rPr>
          <w:sz w:val="20"/>
        </w:rPr>
        <w:t>s</w:t>
      </w:r>
      <w:r>
        <w:rPr>
          <w:sz w:val="20"/>
        </w:rPr>
        <w:t xml:space="preserve"> in uvm_reg_map to </w:t>
      </w:r>
      <w:proofErr w:type="spellStart"/>
      <w:r>
        <w:rPr>
          <w:sz w:val="20"/>
        </w:rPr>
        <w:t>dft_reg_map</w:t>
      </w:r>
      <w:proofErr w:type="spellEnd"/>
      <w:r w:rsidR="00E86794" w:rsidRPr="00964D85">
        <w:rPr>
          <w:sz w:val="20"/>
        </w:rPr>
        <w:t xml:space="preserve"> class and do</w:t>
      </w:r>
      <w:r w:rsidR="00A355EA">
        <w:rPr>
          <w:sz w:val="20"/>
        </w:rPr>
        <w:t xml:space="preserve"> the</w:t>
      </w:r>
      <w:r w:rsidR="00E86794" w:rsidRPr="00964D85">
        <w:rPr>
          <w:sz w:val="20"/>
        </w:rPr>
        <w:t xml:space="preserve"> following changes.</w:t>
      </w:r>
    </w:p>
    <w:p w14:paraId="27674ABC" w14:textId="564B9A85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</w:t>
      </w:r>
      <w:r w:rsidR="003C5442">
        <w:rPr>
          <w:sz w:val="20"/>
        </w:rPr>
        <w:t xml:space="preserve">the </w:t>
      </w:r>
      <w:proofErr w:type="spellStart"/>
      <w:r>
        <w:rPr>
          <w:sz w:val="20"/>
        </w:rPr>
        <w:t>do_bus_</w:t>
      </w:r>
      <w:proofErr w:type="gramStart"/>
      <w:r>
        <w:rPr>
          <w:sz w:val="20"/>
        </w:rPr>
        <w:t>write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</w:t>
      </w:r>
      <w:r w:rsidR="003C5442">
        <w:rPr>
          <w:sz w:val="20"/>
        </w:rPr>
        <w:t>method</w:t>
      </w:r>
      <w:r w:rsidR="008C572D">
        <w:rPr>
          <w:sz w:val="20"/>
        </w:rPr>
        <w:t xml:space="preserve"> to convert each element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</w:t>
      </w:r>
      <w:proofErr w:type="spellStart"/>
      <w:r w:rsidR="008C572D">
        <w:rPr>
          <w:sz w:val="20"/>
        </w:rPr>
        <w:t>uvm_bus_reg_op.data</w:t>
      </w:r>
      <w:proofErr w:type="spellEnd"/>
      <w:r w:rsidR="008C572D">
        <w:rPr>
          <w:sz w:val="20"/>
        </w:rPr>
        <w:t xml:space="preserve"> and set the MSB of the last </w:t>
      </w:r>
      <w:proofErr w:type="spellStart"/>
      <w:r w:rsidR="008C572D">
        <w:rPr>
          <w:sz w:val="20"/>
        </w:rPr>
        <w:t>uvm_bus_reg_op.a</w:t>
      </w:r>
      <w:r w:rsidR="003C5442">
        <w:rPr>
          <w:sz w:val="20"/>
        </w:rPr>
        <w:t>ddr</w:t>
      </w:r>
      <w:proofErr w:type="spellEnd"/>
      <w:r w:rsidR="003C5442">
        <w:rPr>
          <w:sz w:val="20"/>
        </w:rPr>
        <w:t xml:space="preserve"> to one </w:t>
      </w:r>
      <w:r w:rsidR="00A355EA">
        <w:rPr>
          <w:sz w:val="20"/>
        </w:rPr>
        <w:t xml:space="preserve">so as </w:t>
      </w:r>
      <w:r w:rsidR="003C5442">
        <w:rPr>
          <w:sz w:val="20"/>
        </w:rPr>
        <w:t xml:space="preserve">to indicate </w:t>
      </w:r>
      <w:r w:rsidR="00A355EA">
        <w:rPr>
          <w:sz w:val="20"/>
        </w:rPr>
        <w:t xml:space="preserve">that </w:t>
      </w:r>
      <w:r w:rsidR="003C5442">
        <w:rPr>
          <w:sz w:val="20"/>
        </w:rPr>
        <w:t xml:space="preserve">all </w:t>
      </w:r>
      <w:r w:rsidR="00A355EA">
        <w:rPr>
          <w:sz w:val="20"/>
        </w:rPr>
        <w:t xml:space="preserve">the </w:t>
      </w:r>
      <w:r w:rsidR="003C5442">
        <w:rPr>
          <w:sz w:val="20"/>
        </w:rPr>
        <w:t>written</w:t>
      </w:r>
      <w:r w:rsidR="008C572D">
        <w:rPr>
          <w:sz w:val="20"/>
        </w:rPr>
        <w:t xml:space="preserve"> data have been transferred as shown in </w:t>
      </w:r>
      <w:r w:rsidR="0013249A">
        <w:rPr>
          <w:sz w:val="20"/>
        </w:rPr>
        <w:t xml:space="preserve">black arrow in </w:t>
      </w:r>
      <w:r w:rsidR="008C572D">
        <w:rPr>
          <w:sz w:val="20"/>
        </w:rPr>
        <w:t>Figure</w:t>
      </w:r>
      <w:r w:rsidR="003C5442">
        <w:rPr>
          <w:sz w:val="20"/>
        </w:rPr>
        <w:t xml:space="preserve"> 4</w:t>
      </w:r>
      <w:r w:rsidR="008C572D">
        <w:rPr>
          <w:sz w:val="20"/>
        </w:rPr>
        <w:t xml:space="preserve">. </w:t>
      </w:r>
      <w:r w:rsidR="00A355EA">
        <w:rPr>
          <w:sz w:val="20"/>
        </w:rPr>
        <w:t>T</w:t>
      </w:r>
      <w:r w:rsidR="008C572D">
        <w:rPr>
          <w:sz w:val="20"/>
        </w:rPr>
        <w:t xml:space="preserve">hen </w:t>
      </w:r>
      <w:proofErr w:type="spellStart"/>
      <w:r w:rsidR="008C572D">
        <w:rPr>
          <w:sz w:val="20"/>
        </w:rPr>
        <w:t>dft_reg_</w:t>
      </w:r>
      <w:proofErr w:type="gramStart"/>
      <w:r w:rsidR="008C572D">
        <w:rPr>
          <w:sz w:val="20"/>
        </w:rPr>
        <w:t>adpater</w:t>
      </w:r>
      <w:proofErr w:type="spellEnd"/>
      <w:r w:rsidR="008C572D">
        <w:rPr>
          <w:sz w:val="20"/>
        </w:rPr>
        <w:t>::</w:t>
      </w:r>
      <w:proofErr w:type="gramEnd"/>
      <w:r w:rsidR="008C572D">
        <w:rPr>
          <w:sz w:val="20"/>
        </w:rPr>
        <w:t>reg2bus() return</w:t>
      </w:r>
      <w:r w:rsidR="00A355EA">
        <w:rPr>
          <w:sz w:val="20"/>
        </w:rPr>
        <w:t>s</w:t>
      </w:r>
      <w:r w:rsidR="008C572D">
        <w:rPr>
          <w:sz w:val="20"/>
        </w:rPr>
        <w:t xml:space="preserve"> a complete generic dft_reg_transaction to </w:t>
      </w:r>
      <w:proofErr w:type="spellStart"/>
      <w:r w:rsidR="008C572D">
        <w:rPr>
          <w:sz w:val="20"/>
        </w:rPr>
        <w:t>do_bus_write</w:t>
      </w:r>
      <w:proofErr w:type="spellEnd"/>
      <w:r w:rsidR="008C572D">
        <w:rPr>
          <w:sz w:val="20"/>
        </w:rPr>
        <w:t>().</w:t>
      </w:r>
    </w:p>
    <w:p w14:paraId="542EC82B" w14:textId="16690C24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 xml:space="preserve">Modify </w:t>
      </w:r>
      <w:proofErr w:type="spellStart"/>
      <w:r w:rsidRPr="003208B2">
        <w:rPr>
          <w:sz w:val="20"/>
        </w:rPr>
        <w:t>get_physical_</w:t>
      </w:r>
      <w:proofErr w:type="gramStart"/>
      <w:r w:rsidRPr="003208B2">
        <w:rPr>
          <w:sz w:val="20"/>
        </w:rPr>
        <w:t>adresses</w:t>
      </w:r>
      <w:proofErr w:type="spellEnd"/>
      <w:r w:rsidRPr="003208B2">
        <w:rPr>
          <w:sz w:val="20"/>
        </w:rPr>
        <w:t>(</w:t>
      </w:r>
      <w:proofErr w:type="gramEnd"/>
      <w:r w:rsidRPr="003208B2">
        <w:rPr>
          <w:sz w:val="20"/>
        </w:rPr>
        <w:t>) to only return</w:t>
      </w:r>
      <w:r w:rsidR="00AB30A2">
        <w:rPr>
          <w:sz w:val="20"/>
        </w:rPr>
        <w:t>ing</w:t>
      </w:r>
      <w:r w:rsidRPr="003208B2">
        <w:rPr>
          <w:sz w:val="20"/>
        </w:rPr>
        <w:t xml:space="preserve">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570386AF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</w:t>
      </w:r>
      <w:proofErr w:type="spellStart"/>
      <w:r w:rsidRPr="00184141">
        <w:rPr>
          <w:sz w:val="20"/>
        </w:rPr>
        <w:t>top_map</w:t>
      </w:r>
      <w:proofErr w:type="spellEnd"/>
      <w:r w:rsidRPr="00184141">
        <w:rPr>
          <w:sz w:val="20"/>
        </w:rPr>
        <w:t xml:space="preserve"> to </w:t>
      </w:r>
      <w:proofErr w:type="spellStart"/>
      <w:r w:rsidRPr="00184141">
        <w:rPr>
          <w:sz w:val="20"/>
        </w:rPr>
        <w:t>dft_reg_map</w:t>
      </w:r>
      <w:proofErr w:type="spellEnd"/>
      <w:r w:rsidRPr="00184141">
        <w:rPr>
          <w:sz w:val="20"/>
        </w:rPr>
        <w:t xml:space="preserve"> type instead of uvm_reg_map type in </w:t>
      </w:r>
      <w:proofErr w:type="spellStart"/>
      <w:r w:rsidR="003208B2" w:rsidRPr="00184141">
        <w:rPr>
          <w:sz w:val="20"/>
        </w:rPr>
        <w:t>Xinit_address_</w:t>
      </w:r>
      <w:proofErr w:type="gramStart"/>
      <w:r w:rsidR="003208B2" w:rsidRPr="00184141">
        <w:rPr>
          <w:sz w:val="20"/>
        </w:rPr>
        <w:t>mapX</w:t>
      </w:r>
      <w:proofErr w:type="spellEnd"/>
      <w:r w:rsidR="003208B2" w:rsidRPr="00184141">
        <w:rPr>
          <w:sz w:val="20"/>
        </w:rPr>
        <w:t>(</w:t>
      </w:r>
      <w:proofErr w:type="gramEnd"/>
      <w:r w:rsidR="003208B2" w:rsidRPr="00184141">
        <w:rPr>
          <w:sz w:val="20"/>
        </w:rPr>
        <w:t>)</w:t>
      </w:r>
      <w:r>
        <w:rPr>
          <w:sz w:val="20"/>
        </w:rPr>
        <w:t xml:space="preserve">, </w:t>
      </w:r>
      <w:proofErr w:type="spellStart"/>
      <w:r w:rsidRPr="00184141">
        <w:rPr>
          <w:sz w:val="20"/>
        </w:rPr>
        <w:t>m_set_reg_offset</w:t>
      </w:r>
      <w:proofErr w:type="spellEnd"/>
      <w:r w:rsidRPr="00184141">
        <w:rPr>
          <w:sz w:val="20"/>
        </w:rPr>
        <w:t>()</w:t>
      </w:r>
      <w:r>
        <w:rPr>
          <w:sz w:val="20"/>
        </w:rPr>
        <w:t xml:space="preserve"> and </w:t>
      </w:r>
      <w:proofErr w:type="spellStart"/>
      <w:r w:rsidRPr="00184141">
        <w:rPr>
          <w:sz w:val="20"/>
        </w:rPr>
        <w:t>m_set_mem_offset</w:t>
      </w:r>
      <w:proofErr w:type="spellEnd"/>
      <w:r w:rsidRPr="00184141">
        <w:rPr>
          <w:sz w:val="20"/>
        </w:rPr>
        <w:t>()</w:t>
      </w:r>
      <w:r>
        <w:rPr>
          <w:sz w:val="20"/>
        </w:rPr>
        <w:t>.</w:t>
      </w:r>
    </w:p>
    <w:p w14:paraId="32C80854" w14:textId="3D52DDF6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proofErr w:type="spellStart"/>
      <w:r w:rsidR="003208B2" w:rsidRPr="00184141">
        <w:rPr>
          <w:sz w:val="20"/>
        </w:rPr>
        <w:t>add_parent_</w:t>
      </w:r>
      <w:proofErr w:type="gramStart"/>
      <w:r w:rsidR="003208B2" w:rsidRPr="00184141">
        <w:rPr>
          <w:sz w:val="20"/>
        </w:rPr>
        <w:t>map</w:t>
      </w:r>
      <w:proofErr w:type="spellEnd"/>
      <w:r w:rsidR="003208B2" w:rsidRPr="00184141">
        <w:rPr>
          <w:sz w:val="20"/>
        </w:rPr>
        <w:t>(</w:t>
      </w:r>
      <w:proofErr w:type="gramEnd"/>
      <w:r w:rsidR="003208B2" w:rsidRPr="00184141">
        <w:rPr>
          <w:sz w:val="20"/>
        </w:rPr>
        <w:t>)</w:t>
      </w:r>
      <w:r>
        <w:rPr>
          <w:sz w:val="20"/>
        </w:rPr>
        <w:t xml:space="preserve"> to support</w:t>
      </w:r>
      <w:r w:rsidR="00AB30A2">
        <w:rPr>
          <w:sz w:val="20"/>
        </w:rPr>
        <w:t>ing</w:t>
      </w:r>
      <w:r>
        <w:rPr>
          <w:sz w:val="20"/>
        </w:rPr>
        <w:t xml:space="preserve">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type.</w:t>
      </w:r>
    </w:p>
    <w:p w14:paraId="27824B46" w14:textId="2F19FFE8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local variable </w:t>
      </w:r>
      <w:proofErr w:type="spellStart"/>
      <w:r>
        <w:rPr>
          <w:sz w:val="20"/>
        </w:rPr>
        <w:t>m_</w:t>
      </w:r>
      <w:proofErr w:type="gramStart"/>
      <w:r>
        <w:rPr>
          <w:sz w:val="20"/>
        </w:rPr>
        <w:t>parent</w:t>
      </w:r>
      <w:proofErr w:type="spellEnd"/>
      <w:r>
        <w:rPr>
          <w:sz w:val="20"/>
        </w:rPr>
        <w:t xml:space="preserve">  to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dft_reg_blcok</w:t>
      </w:r>
      <w:proofErr w:type="spellEnd"/>
      <w:r>
        <w:rPr>
          <w:sz w:val="20"/>
        </w:rPr>
        <w:t xml:space="preserve"> type</w:t>
      </w:r>
      <w:r w:rsidR="00AB30A2">
        <w:rPr>
          <w:sz w:val="20"/>
        </w:rPr>
        <w:t>,</w:t>
      </w:r>
      <w:r>
        <w:rPr>
          <w:sz w:val="20"/>
        </w:rPr>
        <w:t xml:space="preserve"> and modify configure() function according</w:t>
      </w:r>
      <w:r w:rsidR="001A1465">
        <w:rPr>
          <w:sz w:val="20"/>
        </w:rPr>
        <w:t>ly</w:t>
      </w:r>
      <w:r>
        <w:rPr>
          <w:sz w:val="20"/>
        </w:rPr>
        <w:t>.</w:t>
      </w:r>
    </w:p>
    <w:p w14:paraId="04AE6FDB" w14:textId="089E9300" w:rsidR="00184141" w:rsidRPr="00184141" w:rsidRDefault="00B83EFB" w:rsidP="00B83EFB">
      <w:pPr>
        <w:spacing w:line="240" w:lineRule="atLeast"/>
        <w:ind w:firstLine="300"/>
        <w:jc w:val="both"/>
        <w:rPr>
          <w:b/>
          <w:sz w:val="20"/>
          <w:lang w:eastAsia="zh-CN"/>
        </w:rPr>
      </w:pPr>
      <w:r w:rsidRPr="00B83EFB">
        <w:rPr>
          <w:b/>
          <w:sz w:val="20"/>
          <w:lang w:eastAsia="zh-CN"/>
        </w:rPr>
        <w:t xml:space="preserve">1.5 </w:t>
      </w:r>
      <w:proofErr w:type="spellStart"/>
      <w:r w:rsidR="00184141" w:rsidRPr="00184141">
        <w:rPr>
          <w:b/>
          <w:sz w:val="20"/>
          <w:lang w:eastAsia="zh-CN"/>
        </w:rPr>
        <w:t>dft_reg</w:t>
      </w:r>
      <w:r w:rsidR="00184141">
        <w:rPr>
          <w:b/>
          <w:sz w:val="20"/>
          <w:lang w:eastAsia="zh-CN"/>
        </w:rPr>
        <w:t>_predictor</w:t>
      </w:r>
      <w:proofErr w:type="spellEnd"/>
      <w:r w:rsidR="00184141" w:rsidRPr="00184141">
        <w:rPr>
          <w:b/>
          <w:sz w:val="20"/>
          <w:lang w:eastAsia="zh-CN"/>
        </w:rPr>
        <w:t xml:space="preserve"> Class Implementation:</w:t>
      </w:r>
    </w:p>
    <w:p w14:paraId="1835E428" w14:textId="03E44585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dft_reg_predictor</w:t>
      </w:r>
      <w:proofErr w:type="spellEnd"/>
      <w:r w:rsidRPr="00964D85">
        <w:rPr>
          <w:sz w:val="20"/>
        </w:rPr>
        <w:t xml:space="preserve"> class is ex</w:t>
      </w:r>
      <w:r>
        <w:rPr>
          <w:sz w:val="20"/>
        </w:rPr>
        <w:t xml:space="preserve">tended </w:t>
      </w:r>
      <w:r w:rsidR="00B83EFB">
        <w:rPr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sz w:val="20"/>
        </w:rPr>
        <w:t>uvm_reg_predictor</w:t>
      </w:r>
      <w:proofErr w:type="spellEnd"/>
      <w:r w:rsidRPr="00964D85">
        <w:rPr>
          <w:sz w:val="20"/>
        </w:rPr>
        <w:t>.</w:t>
      </w:r>
      <w:r>
        <w:rPr>
          <w:sz w:val="20"/>
        </w:rPr>
        <w:t xml:space="preserve"> Add </w:t>
      </w:r>
      <w:proofErr w:type="spellStart"/>
      <w:r>
        <w:rPr>
          <w:sz w:val="20"/>
        </w:rPr>
        <w:t>dft_map</w:t>
      </w:r>
      <w:proofErr w:type="spellEnd"/>
      <w:r>
        <w:rPr>
          <w:sz w:val="20"/>
        </w:rPr>
        <w:t xml:space="preserve"> variable of </w:t>
      </w:r>
      <w:proofErr w:type="spellStart"/>
      <w:r>
        <w:rPr>
          <w:sz w:val="20"/>
        </w:rPr>
        <w:t>dft_reg_map</w:t>
      </w:r>
      <w:proofErr w:type="spellEnd"/>
      <w:r>
        <w:rPr>
          <w:sz w:val="20"/>
        </w:rPr>
        <w:t xml:space="preserve"> type and modify </w:t>
      </w:r>
      <w:proofErr w:type="gramStart"/>
      <w:r>
        <w:rPr>
          <w:sz w:val="20"/>
        </w:rPr>
        <w:t>write(</w:t>
      </w:r>
      <w:proofErr w:type="gramEnd"/>
      <w:r>
        <w:rPr>
          <w:sz w:val="20"/>
        </w:rPr>
        <w:t xml:space="preserve">) task to let it call </w:t>
      </w:r>
      <w:proofErr w:type="spellStart"/>
      <w:r>
        <w:rPr>
          <w:sz w:val="20"/>
        </w:rPr>
        <w:t>dft_reg_adpater</w:t>
      </w:r>
      <w:proofErr w:type="spellEnd"/>
      <w:r>
        <w:rPr>
          <w:sz w:val="20"/>
        </w:rPr>
        <w:t>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</w:t>
      </w:r>
      <w:proofErr w:type="spellStart"/>
      <w:r w:rsidR="00F34F16">
        <w:rPr>
          <w:sz w:val="20"/>
        </w:rPr>
        <w:t>uvm_reg_bus_op.addr</w:t>
      </w:r>
      <w:proofErr w:type="spellEnd"/>
      <w:r w:rsidR="00F34F16">
        <w:rPr>
          <w:sz w:val="20"/>
        </w:rPr>
        <w:t xml:space="preserve"> is set, </w:t>
      </w:r>
      <w:r w:rsidR="00B83EFB">
        <w:rPr>
          <w:sz w:val="20"/>
        </w:rPr>
        <w:t xml:space="preserve">which </w:t>
      </w:r>
      <w:r w:rsidR="00F34F16">
        <w:rPr>
          <w:sz w:val="20"/>
        </w:rPr>
        <w:t>indicat</w:t>
      </w:r>
      <w:r w:rsidR="00B83EFB">
        <w:rPr>
          <w:sz w:val="20"/>
        </w:rPr>
        <w:t>es that</w:t>
      </w:r>
      <w:r w:rsidR="00F34F16">
        <w:rPr>
          <w:sz w:val="20"/>
        </w:rPr>
        <w:t xml:space="preserve"> the observed </w:t>
      </w:r>
      <w:proofErr w:type="spellStart"/>
      <w:r w:rsidR="00F34F16">
        <w:rPr>
          <w:sz w:val="20"/>
        </w:rPr>
        <w:t>dft_register_transaction</w:t>
      </w:r>
      <w:proofErr w:type="spellEnd"/>
      <w:r w:rsidR="00F34F16">
        <w:rPr>
          <w:sz w:val="20"/>
        </w:rPr>
        <w:t xml:space="preserve"> has been converted to several </w:t>
      </w:r>
      <w:proofErr w:type="spellStart"/>
      <w:r w:rsidR="00F34F16">
        <w:rPr>
          <w:sz w:val="20"/>
        </w:rPr>
        <w:t>uvm_reg_bus_op</w:t>
      </w:r>
      <w:proofErr w:type="spellEnd"/>
      <w:r w:rsidR="00F34F16">
        <w:rPr>
          <w:sz w:val="20"/>
        </w:rPr>
        <w:t xml:space="preserve"> packages</w:t>
      </w:r>
      <w:r w:rsidR="00B83EFB">
        <w:rPr>
          <w:sz w:val="20"/>
        </w:rPr>
        <w:t>,</w:t>
      </w:r>
      <w:r w:rsidR="00F34F16">
        <w:rPr>
          <w:sz w:val="20"/>
        </w:rPr>
        <w:t xml:space="preserve"> as show in </w:t>
      </w:r>
      <w:r w:rsidR="0013249A">
        <w:rPr>
          <w:sz w:val="20"/>
        </w:rPr>
        <w:t>red arrow in Figure 4</w:t>
      </w:r>
      <w:r w:rsidR="00F34F16">
        <w:rPr>
          <w:sz w:val="20"/>
        </w:rPr>
        <w:t xml:space="preserve">. Then the </w:t>
      </w:r>
      <w:proofErr w:type="gramStart"/>
      <w:r w:rsidR="00F34F16">
        <w:rPr>
          <w:sz w:val="20"/>
        </w:rPr>
        <w:t>write(</w:t>
      </w:r>
      <w:proofErr w:type="gramEnd"/>
      <w:r w:rsidR="00F34F16">
        <w:rPr>
          <w:sz w:val="20"/>
        </w:rPr>
        <w:t xml:space="preserve">) task create a </w:t>
      </w:r>
      <w:proofErr w:type="spellStart"/>
      <w:r w:rsidR="00F34F16">
        <w:rPr>
          <w:sz w:val="20"/>
        </w:rPr>
        <w:t>uvm_reg_item</w:t>
      </w:r>
      <w:proofErr w:type="spellEnd"/>
      <w:r w:rsidR="00F34F16">
        <w:rPr>
          <w:sz w:val="20"/>
        </w:rPr>
        <w:t xml:space="preserve"> object to store the returned packages and pass the object to </w:t>
      </w:r>
      <w:proofErr w:type="spellStart"/>
      <w:r w:rsidR="00F34F16">
        <w:rPr>
          <w:sz w:val="20"/>
        </w:rPr>
        <w:t>dft_reg</w:t>
      </w:r>
      <w:proofErr w:type="spellEnd"/>
      <w:r w:rsidR="00F34F16">
        <w:rPr>
          <w:sz w:val="20"/>
        </w:rPr>
        <w:t>::</w:t>
      </w:r>
      <w:proofErr w:type="spellStart"/>
      <w:r w:rsidR="00F34F16">
        <w:rPr>
          <w:sz w:val="20"/>
        </w:rPr>
        <w:t>do_predictor</w:t>
      </w:r>
      <w:proofErr w:type="spellEnd"/>
      <w:r w:rsidR="00F34F16">
        <w:rPr>
          <w:sz w:val="20"/>
        </w:rPr>
        <w:t>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 </w:t>
      </w:r>
    </w:p>
    <w:p w14:paraId="1B6EB1B4" w14:textId="5B9BA3FF" w:rsidR="00266CA6" w:rsidRPr="00B83EFB" w:rsidRDefault="00673B7B" w:rsidP="00B83EFB">
      <w:pPr>
        <w:pStyle w:val="ListParagraph"/>
        <w:numPr>
          <w:ilvl w:val="0"/>
          <w:numId w:val="9"/>
        </w:numPr>
        <w:spacing w:line="240" w:lineRule="atLeast"/>
        <w:jc w:val="both"/>
        <w:rPr>
          <w:b/>
          <w:sz w:val="20"/>
        </w:rPr>
      </w:pPr>
      <w:r w:rsidRPr="00B83EFB">
        <w:rPr>
          <w:b/>
          <w:sz w:val="20"/>
        </w:rPr>
        <w:t>DFT Test Access Network Modelling:</w:t>
      </w:r>
    </w:p>
    <w:p w14:paraId="6E21F851" w14:textId="5B1C1C59" w:rsidR="002F09FB" w:rsidRDefault="008B504E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 xml:space="preserve">2.1 </w:t>
      </w:r>
      <w:r w:rsidR="00266CA6">
        <w:rPr>
          <w:b/>
          <w:sz w:val="20"/>
        </w:rPr>
        <w:t xml:space="preserve">Idea Overview: </w:t>
      </w:r>
      <w:r w:rsidR="00673B7B">
        <w:rPr>
          <w:sz w:val="20"/>
        </w:rPr>
        <w:t>Figure 5</w:t>
      </w:r>
      <w:r w:rsidR="00673B7B" w:rsidRPr="00F10F1E">
        <w:rPr>
          <w:sz w:val="20"/>
        </w:rPr>
        <w:t xml:space="preserve"> is an example for DFT </w:t>
      </w:r>
      <w:r w:rsidR="00673B7B">
        <w:rPr>
          <w:sz w:val="20"/>
        </w:rPr>
        <w:t>test access network. In Figure 6</w:t>
      </w:r>
      <w:r w:rsidR="00673B7B" w:rsidRPr="00F10F1E">
        <w:rPr>
          <w:sz w:val="20"/>
        </w:rPr>
        <w:t xml:space="preserve">, a </w:t>
      </w:r>
      <w:proofErr w:type="gramStart"/>
      <w:r w:rsidR="00673B7B" w:rsidRPr="00F10F1E">
        <w:rPr>
          <w:sz w:val="20"/>
        </w:rPr>
        <w:t xml:space="preserve">SIB </w:t>
      </w:r>
      <w:r w:rsidR="0062154F">
        <w:rPr>
          <w:sz w:val="20"/>
        </w:rPr>
        <w:t xml:space="preserve"> </w:t>
      </w:r>
      <w:r w:rsidR="00673B7B" w:rsidRPr="00F10F1E">
        <w:rPr>
          <w:sz w:val="20"/>
        </w:rPr>
        <w:t>is</w:t>
      </w:r>
      <w:proofErr w:type="gramEnd"/>
      <w:r w:rsidR="00673B7B" w:rsidRPr="00F10F1E">
        <w:rPr>
          <w:sz w:val="20"/>
        </w:rPr>
        <w:t xml:space="preserve"> modelled as </w:t>
      </w:r>
      <w:r w:rsidR="00673B7B" w:rsidRPr="000619E1">
        <w:rPr>
          <w:i/>
          <w:sz w:val="20"/>
        </w:rPr>
        <w:t>sib_node</w:t>
      </w:r>
      <w:r>
        <w:rPr>
          <w:sz w:val="20"/>
        </w:rPr>
        <w:t xml:space="preserve">, </w:t>
      </w:r>
      <w:r w:rsidR="00B83EFB">
        <w:rPr>
          <w:sz w:val="20"/>
        </w:rPr>
        <w:t>and a D flip-</w:t>
      </w:r>
      <w:r w:rsidR="00673B7B" w:rsidRPr="00F10F1E">
        <w:rPr>
          <w:sz w:val="20"/>
        </w:rPr>
        <w:t xml:space="preserve">flop is modelled as </w:t>
      </w:r>
      <w:r w:rsidR="00673B7B" w:rsidRPr="000619E1">
        <w:rPr>
          <w:i/>
          <w:sz w:val="20"/>
        </w:rPr>
        <w:t>reg_</w:t>
      </w:r>
      <w:r w:rsidR="00673B7B" w:rsidRPr="0070688E">
        <w:rPr>
          <w:i/>
          <w:sz w:val="20"/>
        </w:rPr>
        <w:t>node</w:t>
      </w:r>
      <w:r w:rsidR="00673B7B" w:rsidRPr="0070688E">
        <w:rPr>
          <w:sz w:val="26"/>
          <w:szCs w:val="26"/>
        </w:rPr>
        <w:t xml:space="preserve">. </w:t>
      </w:r>
      <w:r w:rsidR="0062154F">
        <w:rPr>
          <w:rFonts w:ascii="TimesNewRomanPSMT" w:hAnsi="TimesNewRomanPSMT"/>
          <w:color w:val="000000"/>
          <w:sz w:val="20"/>
        </w:rPr>
        <w:t xml:space="preserve">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out_update </w:t>
      </w:r>
      <w:r w:rsidR="0062154F">
        <w:rPr>
          <w:rFonts w:ascii="TimesNewRomanPSMT" w:hAnsi="TimesNewRomanPSMT"/>
          <w:color w:val="000000"/>
          <w:sz w:val="20"/>
        </w:rPr>
        <w:t>() method model</w:t>
      </w:r>
      <w:r w:rsidR="00B83EFB">
        <w:rPr>
          <w:rFonts w:ascii="TimesNewRomanPSMT" w:hAnsi="TimesNewRomanPSMT"/>
          <w:color w:val="000000"/>
          <w:sz w:val="20"/>
        </w:rPr>
        <w:t>s</w:t>
      </w:r>
      <w:r w:rsidR="0062154F">
        <w:rPr>
          <w:rFonts w:ascii="TimesNewRomanPSMT" w:hAnsi="TimesNewRomanPSMT"/>
          <w:color w:val="000000"/>
          <w:sz w:val="20"/>
        </w:rPr>
        <w:t xml:space="preserve"> the active clock edge that triggers the </w:t>
      </w:r>
      <w:r w:rsidR="00B83EFB">
        <w:rPr>
          <w:rFonts w:ascii="TimesNewRomanPSMT" w:hAnsi="TimesNewRomanPSMT"/>
          <w:color w:val="000000"/>
          <w:sz w:val="20"/>
        </w:rPr>
        <w:t xml:space="preserve">shift register bit during shift </w:t>
      </w:r>
      <w:r w:rsidR="0062154F">
        <w:rPr>
          <w:rFonts w:ascii="TimesNewRomanPSMT" w:hAnsi="TimesNewRomanPSMT"/>
          <w:color w:val="000000"/>
          <w:sz w:val="20"/>
        </w:rPr>
        <w:t xml:space="preserve">operation, </w:t>
      </w:r>
      <w:r w:rsidR="00B83EFB">
        <w:rPr>
          <w:rFonts w:ascii="TimesNewRomanPSMT" w:hAnsi="TimesNewRomanPSMT"/>
          <w:color w:val="000000"/>
          <w:sz w:val="20"/>
        </w:rPr>
        <w:t>while</w:t>
      </w:r>
      <w:r w:rsidR="0062154F">
        <w:rPr>
          <w:rFonts w:ascii="TimesNewRomanPSMT" w:hAnsi="TimesNewRomanPSMT"/>
          <w:color w:val="000000"/>
          <w:sz w:val="20"/>
        </w:rPr>
        <w:t xml:space="preserve"> 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value_update </w:t>
      </w:r>
      <w:r w:rsidR="0062154F">
        <w:rPr>
          <w:rFonts w:ascii="TimesNewRomanPSMT" w:hAnsi="TimesNewRomanPSMT"/>
          <w:color w:val="000000"/>
          <w:sz w:val="20"/>
        </w:rPr>
        <w:t xml:space="preserve">() method </w:t>
      </w:r>
      <w:r w:rsidR="00B83EFB">
        <w:rPr>
          <w:rFonts w:ascii="TimesNewRomanPSMT" w:hAnsi="TimesNewRomanPSMT"/>
          <w:color w:val="000000"/>
          <w:sz w:val="20"/>
        </w:rPr>
        <w:t>models</w:t>
      </w:r>
      <w:r w:rsidR="0062154F">
        <w:rPr>
          <w:rFonts w:ascii="TimesNewRomanPSMT" w:hAnsi="TimesNewRomanPSMT"/>
          <w:color w:val="000000"/>
          <w:sz w:val="20"/>
        </w:rPr>
        <w:t xml:space="preserve"> the active clock edge that triggers</w:t>
      </w:r>
      <w:r w:rsidR="00B83EFB">
        <w:rPr>
          <w:rFonts w:ascii="TimesNewRomanPSMT" w:hAnsi="TimesNewRomanPSMT"/>
          <w:color w:val="000000"/>
          <w:sz w:val="20"/>
        </w:rPr>
        <w:t xml:space="preserve"> the update register bit </w:t>
      </w:r>
      <w:r w:rsidR="0062154F">
        <w:rPr>
          <w:rFonts w:ascii="TimesNewRomanPSMT" w:hAnsi="TimesNewRomanPSMT"/>
          <w:color w:val="000000"/>
          <w:sz w:val="20"/>
        </w:rPr>
        <w:t>during the update operation.</w:t>
      </w:r>
      <w:r w:rsidR="002F09FB">
        <w:rPr>
          <w:rFonts w:ascii="TimesNewRomanPSMT" w:hAnsi="TimesNewRomanPSMT"/>
          <w:color w:val="000000"/>
          <w:sz w:val="20"/>
        </w:rPr>
        <w:t xml:space="preserve"> </w:t>
      </w:r>
      <w:r w:rsidR="00266CA6" w:rsidRPr="0070688E">
        <w:rPr>
          <w:sz w:val="20"/>
        </w:rPr>
        <w:t xml:space="preserve">By using the </w:t>
      </w:r>
      <w:r w:rsidR="00266CA6" w:rsidRPr="00B83EFB">
        <w:rPr>
          <w:i/>
          <w:sz w:val="20"/>
        </w:rPr>
        <w:t>sib_node</w:t>
      </w:r>
      <w:r w:rsidR="00266CA6" w:rsidRPr="0070688E">
        <w:rPr>
          <w:sz w:val="20"/>
        </w:rPr>
        <w:t xml:space="preserve"> and </w:t>
      </w:r>
      <w:r w:rsidR="00266CA6" w:rsidRPr="00B83EFB">
        <w:rPr>
          <w:i/>
          <w:sz w:val="20"/>
        </w:rPr>
        <w:t>reg_node</w:t>
      </w:r>
      <w:r w:rsidR="00266CA6">
        <w:rPr>
          <w:sz w:val="20"/>
        </w:rPr>
        <w:t xml:space="preserve"> we can constructs</w:t>
      </w:r>
      <w:r w:rsidR="00FC270C">
        <w:rPr>
          <w:sz w:val="20"/>
        </w:rPr>
        <w:t xml:space="preserve"> the elements </w:t>
      </w:r>
      <w:r w:rsidR="00B83EFB">
        <w:rPr>
          <w:sz w:val="20"/>
        </w:rPr>
        <w:t>of</w:t>
      </w:r>
      <w:r w:rsidR="00A2055B">
        <w:rPr>
          <w:sz w:val="20"/>
        </w:rPr>
        <w:t xml:space="preserve"> the test access network. The possible paths from TDI to TDO can be described by System Verilog conditional statements.</w:t>
      </w:r>
      <w:r w:rsidR="002D3196">
        <w:rPr>
          <w:sz w:val="20"/>
        </w:rPr>
        <w:t xml:space="preserve"> As such, a functional equivalent dft_tdr_network is </w:t>
      </w:r>
      <w:r>
        <w:rPr>
          <w:sz w:val="20"/>
        </w:rPr>
        <w:t>obtained</w:t>
      </w:r>
      <w:r w:rsidR="002D3196">
        <w:rPr>
          <w:sz w:val="20"/>
        </w:rPr>
        <w:t>.</w:t>
      </w:r>
    </w:p>
    <w:p w14:paraId="3872FD4B" w14:textId="056EF5DF" w:rsidR="00266CA6" w:rsidRDefault="008B504E" w:rsidP="00673B7B">
      <w:pPr>
        <w:spacing w:line="240" w:lineRule="atLeast"/>
        <w:ind w:firstLine="288"/>
        <w:jc w:val="both"/>
        <w:rPr>
          <w:b/>
          <w:sz w:val="20"/>
        </w:rPr>
      </w:pPr>
      <w:r>
        <w:rPr>
          <w:b/>
          <w:sz w:val="20"/>
        </w:rPr>
        <w:t xml:space="preserve">2.2 </w:t>
      </w:r>
      <w:r w:rsidR="00576E85">
        <w:rPr>
          <w:b/>
          <w:sz w:val="20"/>
        </w:rPr>
        <w:t>dft_reg_transaction and jtag</w:t>
      </w:r>
      <w:r w:rsidR="00266CA6" w:rsidRPr="00266CA6">
        <w:rPr>
          <w:b/>
          <w:sz w:val="20"/>
        </w:rPr>
        <w:t>_transaction definition:</w:t>
      </w:r>
    </w:p>
    <w:p w14:paraId="7245D49C" w14:textId="20DCD6B6" w:rsidR="00C10403" w:rsidRDefault="00C10403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Figure 7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shows the properties of</w:t>
      </w:r>
      <w:r>
        <w:rPr>
          <w:rFonts w:ascii="TimesNewRomanPSMT" w:hAnsi="TimesNewRomanPSMT"/>
          <w:color w:val="000000"/>
          <w:sz w:val="20"/>
        </w:rPr>
        <w:t xml:space="preserve"> dft_reg_transaction </w:t>
      </w:r>
      <w:proofErr w:type="gramStart"/>
      <w:r>
        <w:rPr>
          <w:rFonts w:ascii="TimesNewRomanPSMT" w:hAnsi="TimesNewRomanPSMT"/>
          <w:color w:val="000000"/>
          <w:sz w:val="20"/>
        </w:rPr>
        <w:t xml:space="preserve">and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jtag</w:t>
      </w:r>
      <w:proofErr w:type="gramEnd"/>
      <w:r w:rsidR="00576E85" w:rsidRPr="00C10403">
        <w:rPr>
          <w:rFonts w:ascii="TimesNewRomanPSMT" w:hAnsi="TimesNewRomanPSMT"/>
          <w:color w:val="000000"/>
          <w:sz w:val="20"/>
        </w:rPr>
        <w:t>_transaction class. </w:t>
      </w:r>
    </w:p>
    <w:p w14:paraId="0B188BB9" w14:textId="4FD1F35F" w:rsidR="000144EA" w:rsidRDefault="0034640E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the dft_reg_transaction, t</w:t>
      </w:r>
      <w:r w:rsidR="000144EA">
        <w:rPr>
          <w:rFonts w:ascii="TimesNewRomanPSMT" w:hAnsi="TimesNewRomanPSMT"/>
          <w:color w:val="000000"/>
          <w:sz w:val="20"/>
        </w:rPr>
        <w:t xml:space="preserve">he read_not_write indicates whether the transaction is a read or </w:t>
      </w:r>
      <w:r w:rsidR="008B504E">
        <w:rPr>
          <w:rFonts w:ascii="TimesNewRomanPSMT" w:hAnsi="TimesNewRomanPSMT"/>
          <w:color w:val="000000"/>
          <w:sz w:val="20"/>
        </w:rPr>
        <w:t xml:space="preserve">a </w:t>
      </w:r>
      <w:r w:rsidR="000144EA">
        <w:rPr>
          <w:rFonts w:ascii="TimesNewRomanPSMT" w:hAnsi="TimesNewRomanPSMT"/>
          <w:color w:val="000000"/>
          <w:sz w:val="20"/>
        </w:rPr>
        <w:t>write operation.</w:t>
      </w:r>
    </w:p>
    <w:p w14:paraId="3FFD2D10" w14:textId="73430E0E" w:rsidR="00324A86" w:rsidRDefault="00324A86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>
        <w:rPr>
          <w:rFonts w:ascii="TimesNewRomanPSMT" w:hAnsi="TimesNewRomanPSMT"/>
          <w:color w:val="000000"/>
          <w:sz w:val="20"/>
        </w:rPr>
        <w:t>addr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 is the TDR’s encoded address</w:t>
      </w:r>
      <w:r w:rsidR="008B504E">
        <w:rPr>
          <w:rFonts w:ascii="TimesNewRomanPSMT" w:hAnsi="TimesNewRomanPSMT"/>
          <w:color w:val="000000"/>
          <w:sz w:val="20"/>
        </w:rPr>
        <w:t>,</w:t>
      </w:r>
      <w:r>
        <w:rPr>
          <w:rFonts w:ascii="TimesNewRomanPSMT" w:hAnsi="TimesNewRomanPSMT"/>
          <w:color w:val="000000"/>
          <w:sz w:val="20"/>
        </w:rPr>
        <w:t xml:space="preserve"> as shown in Figure</w:t>
      </w:r>
      <w:r w:rsidR="008B504E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8.</w:t>
      </w:r>
    </w:p>
    <w:p w14:paraId="41832E62" w14:textId="5F0E11A9" w:rsidR="00324A86" w:rsidRDefault="00324A86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wr_data_q </w:t>
      </w:r>
      <w:r w:rsidR="00675D22">
        <w:rPr>
          <w:rFonts w:ascii="TimesNewRomanPSMT" w:hAnsi="TimesNewRomanPSMT"/>
          <w:color w:val="000000"/>
          <w:sz w:val="20"/>
        </w:rPr>
        <w:t>stores the data to be written.</w:t>
      </w:r>
    </w:p>
    <w:p w14:paraId="62F42063" w14:textId="465CD5DE" w:rsidR="00675D22" w:rsidRDefault="00675D22" w:rsidP="00675D2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>
        <w:rPr>
          <w:rFonts w:ascii="TimesNewRomanPSMT" w:hAnsi="TimesNewRomanPSMT"/>
          <w:color w:val="000000"/>
          <w:sz w:val="20"/>
        </w:rPr>
        <w:t>rd_data_q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 stores data returning by the </w:t>
      </w:r>
      <w:proofErr w:type="spellStart"/>
      <w:r>
        <w:rPr>
          <w:rFonts w:ascii="TimesNewRomanPSMT" w:hAnsi="TimesNewRomanPSMT"/>
          <w:color w:val="000000"/>
          <w:sz w:val="20"/>
        </w:rPr>
        <w:t>dft_reg_monitor</w:t>
      </w:r>
      <w:proofErr w:type="spellEnd"/>
      <w:r>
        <w:rPr>
          <w:rFonts w:ascii="TimesNewRomanPSMT" w:hAnsi="TimesNewRomanPSMT"/>
          <w:color w:val="000000"/>
          <w:sz w:val="20"/>
        </w:rPr>
        <w:t>.</w:t>
      </w:r>
    </w:p>
    <w:p w14:paraId="72858B2C" w14:textId="655E1150" w:rsidR="00675D22" w:rsidRDefault="00675D22" w:rsidP="00675D2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The reg_length in</w:t>
      </w:r>
      <w:r w:rsidR="0034640E">
        <w:rPr>
          <w:rFonts w:ascii="TimesNewRomanPSMT" w:hAnsi="TimesNewRomanPSMT"/>
          <w:color w:val="000000"/>
          <w:sz w:val="20"/>
        </w:rPr>
        <w:t>dicates the TDR’s length.</w:t>
      </w:r>
    </w:p>
    <w:p w14:paraId="29240199" w14:textId="5E13678D" w:rsidR="0034640E" w:rsidRDefault="0034640E" w:rsidP="00675D2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extension is used to send side information to the </w:t>
      </w:r>
      <w:proofErr w:type="spellStart"/>
      <w:r>
        <w:rPr>
          <w:rFonts w:ascii="TimesNewRomanPSMT" w:hAnsi="TimesNewRomanPSMT"/>
          <w:color w:val="000000"/>
          <w:sz w:val="20"/>
        </w:rPr>
        <w:t>dft_reg_adapter</w:t>
      </w:r>
      <w:proofErr w:type="spellEnd"/>
      <w:r>
        <w:rPr>
          <w:rFonts w:ascii="TimesNewRomanPSMT" w:hAnsi="TimesNewRomanPSMT"/>
          <w:color w:val="000000"/>
          <w:sz w:val="20"/>
        </w:rPr>
        <w:t>.</w:t>
      </w:r>
    </w:p>
    <w:p w14:paraId="59FFE788" w14:textId="77777777" w:rsidR="00A34D7C" w:rsidRDefault="0034640E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lastRenderedPageBreak/>
        <w:t xml:space="preserve">In the jtag_transaction, the </w:t>
      </w:r>
      <w:r w:rsidR="00124AF0">
        <w:rPr>
          <w:rFonts w:ascii="TimesNewRomanPSMT" w:hAnsi="TimesNewRomanPSMT"/>
          <w:color w:val="000000"/>
          <w:sz w:val="20"/>
        </w:rPr>
        <w:t xml:space="preserve">o_ir </w:t>
      </w:r>
      <w:r w:rsidR="00576E85" w:rsidRPr="00C10403">
        <w:rPr>
          <w:rFonts w:ascii="TimesNewRomanPSMT" w:hAnsi="TimesNewRomanPSMT"/>
          <w:color w:val="000000"/>
          <w:sz w:val="20"/>
        </w:rPr>
        <w:t>store</w:t>
      </w:r>
      <w:r w:rsidR="00124AF0">
        <w:rPr>
          <w:rFonts w:ascii="TimesNewRomanPSMT" w:hAnsi="TimesNewRomanPSMT"/>
          <w:color w:val="000000"/>
          <w:sz w:val="20"/>
        </w:rPr>
        <w:t xml:space="preserve">s the TDR’s OPCODE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and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o_ir_length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 is its size.</w:t>
      </w:r>
      <w:r w:rsidR="00124AF0">
        <w:rPr>
          <w:rFonts w:ascii="TimesNewRomanPSMT" w:hAnsi="TimesNewRomanPSMT"/>
          <w:color w:val="000000"/>
          <w:sz w:val="20"/>
        </w:rPr>
        <w:t xml:space="preserve"> The </w:t>
      </w:r>
      <w:proofErr w:type="spellStart"/>
      <w:r w:rsidR="00124AF0">
        <w:rPr>
          <w:rFonts w:ascii="TimesNewRomanPSMT" w:hAnsi="TimesNewRomanPSMT"/>
          <w:color w:val="000000"/>
          <w:sz w:val="20"/>
        </w:rPr>
        <w:t>o_dr</w:t>
      </w:r>
      <w:proofErr w:type="spellEnd"/>
      <w:r w:rsidR="00124AF0">
        <w:rPr>
          <w:rFonts w:ascii="TimesNewRomanPSMT" w:hAnsi="TimesNewRomanPSMT"/>
          <w:color w:val="000000"/>
          <w:sz w:val="20"/>
        </w:rPr>
        <w:t xml:space="preserve"> </w:t>
      </w:r>
      <w:r w:rsidR="00576E85" w:rsidRPr="00C10403">
        <w:rPr>
          <w:rFonts w:ascii="TimesNewRomanPSMT" w:hAnsi="TimesNewRomanPSMT"/>
          <w:color w:val="000000"/>
          <w:sz w:val="20"/>
        </w:rPr>
        <w:t>store</w:t>
      </w:r>
      <w:r w:rsidR="00124AF0">
        <w:rPr>
          <w:rFonts w:ascii="TimesNewRomanPSMT" w:hAnsi="TimesNewRomanPSMT"/>
          <w:color w:val="000000"/>
          <w:sz w:val="20"/>
        </w:rPr>
        <w:t>s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the data being </w:t>
      </w:r>
      <w:r w:rsidR="00A34D7C">
        <w:rPr>
          <w:rFonts w:ascii="TimesNewRomanPSMT" w:hAnsi="TimesNewRomanPSMT"/>
          <w:color w:val="000000"/>
          <w:sz w:val="20"/>
        </w:rPr>
        <w:t xml:space="preserve">written to the TDR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and </w:t>
      </w:r>
      <w:r w:rsidR="00A34D7C"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o_dr_length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 is its size. </w:t>
      </w:r>
    </w:p>
    <w:p w14:paraId="23F416BE" w14:textId="7C2D25BE" w:rsidR="00A34D7C" w:rsidRDefault="00A34D7C" w:rsidP="00576E8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tdo_dr_queue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,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tdo_ir_queue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,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tdi_dr_queue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>, and tdi_ir_queue store the data during shift</w:t>
      </w:r>
      <w:r w:rsidR="008B504E">
        <w:rPr>
          <w:rFonts w:ascii="TimesNewRomanPSMT" w:hAnsi="TimesNewRomanPSMT"/>
          <w:color w:val="000000"/>
          <w:sz w:val="20"/>
        </w:rPr>
        <w:t>ing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IR or </w:t>
      </w:r>
      <w:r w:rsidR="008B504E">
        <w:rPr>
          <w:rFonts w:ascii="TimesNewRomanPSMT" w:hAnsi="TimesNewRomanPSMT"/>
          <w:color w:val="000000"/>
          <w:sz w:val="20"/>
        </w:rPr>
        <w:t xml:space="preserve">shifting 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DR state monitored by </w:t>
      </w: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8B504E">
        <w:rPr>
          <w:rFonts w:ascii="TimesNewRomanPSMT" w:hAnsi="TimesNewRomanPSMT"/>
          <w:color w:val="000000"/>
          <w:sz w:val="20"/>
        </w:rPr>
        <w:t>jtag_moniton</w:t>
      </w:r>
      <w:proofErr w:type="spellEnd"/>
      <w:r w:rsidR="008B504E">
        <w:rPr>
          <w:rFonts w:ascii="TimesNewRomanPSMT" w:hAnsi="TimesNewRomanPSMT"/>
          <w:color w:val="000000"/>
          <w:sz w:val="20"/>
        </w:rPr>
        <w:t>.</w:t>
      </w:r>
    </w:p>
    <w:p w14:paraId="614E35A0" w14:textId="2FBEE587" w:rsidR="00A34D7C" w:rsidRDefault="00A34D7C" w:rsidP="00A34D7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chk_ir_tdo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 and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chk_dr_tdo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 are flags to </w:t>
      </w:r>
      <w:r w:rsidR="00CE5F2B">
        <w:rPr>
          <w:rFonts w:ascii="TimesNewRomanPSMT" w:hAnsi="TimesNewRomanPSMT"/>
          <w:color w:val="000000"/>
          <w:sz w:val="20"/>
        </w:rPr>
        <w:t>inform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jtag_driver whether to check TDO cycle-by-cycle during shift</w:t>
      </w:r>
      <w:r w:rsidR="00CE5F2B">
        <w:rPr>
          <w:rFonts w:ascii="TimesNewRomanPSMT" w:hAnsi="TimesNewRomanPSMT"/>
          <w:color w:val="000000"/>
          <w:sz w:val="20"/>
        </w:rPr>
        <w:t>ing</w:t>
      </w:r>
      <w:r w:rsidR="00576E85" w:rsidRPr="00C10403">
        <w:rPr>
          <w:rFonts w:ascii="TimesNewRomanPSMT" w:hAnsi="TimesNewRomanPSMT"/>
          <w:color w:val="000000"/>
          <w:sz w:val="20"/>
        </w:rPr>
        <w:t xml:space="preserve"> IR or </w:t>
      </w:r>
      <w:r w:rsidR="00CE5F2B">
        <w:rPr>
          <w:rFonts w:ascii="TimesNewRomanPSMT" w:hAnsi="TimesNewRomanPSMT"/>
          <w:color w:val="000000"/>
          <w:sz w:val="20"/>
        </w:rPr>
        <w:t xml:space="preserve">shifting </w:t>
      </w:r>
      <w:r w:rsidR="00576E85" w:rsidRPr="00C10403">
        <w:rPr>
          <w:rFonts w:ascii="TimesNewRomanPSMT" w:hAnsi="TimesNewRomanPSMT"/>
          <w:color w:val="000000"/>
          <w:sz w:val="20"/>
        </w:rPr>
        <w:t>DR state. </w:t>
      </w: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>exp_tdo_dr_queue is the golden data expecting the DUT TDO output during shift</w:t>
      </w:r>
      <w:r w:rsidR="00CE5F2B">
        <w:rPr>
          <w:rFonts w:ascii="TimesNewRomanPSMT" w:hAnsi="TimesNewRomanPSMT"/>
          <w:color w:val="000000"/>
          <w:sz w:val="20"/>
        </w:rPr>
        <w:t>ing DR state</w:t>
      </w:r>
      <w:r w:rsidR="00576E85" w:rsidRPr="00C10403">
        <w:rPr>
          <w:rFonts w:ascii="TimesNewRomanPSMT" w:hAnsi="TimesNewRomanPSMT"/>
          <w:color w:val="000000"/>
          <w:sz w:val="20"/>
        </w:rPr>
        <w:t>. </w:t>
      </w:r>
    </w:p>
    <w:p w14:paraId="1C5D4FF7" w14:textId="5438EDB7" w:rsidR="00A34D7C" w:rsidRDefault="00A34D7C" w:rsidP="00A34D7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576E85" w:rsidRPr="00C10403">
        <w:rPr>
          <w:rFonts w:ascii="TimesNewRomanPSMT" w:hAnsi="TimesNewRomanPSMT"/>
          <w:color w:val="000000"/>
          <w:sz w:val="20"/>
        </w:rPr>
        <w:t>exp_tdo_dr_mask_queue</w:t>
      </w:r>
      <w:proofErr w:type="spellEnd"/>
      <w:r w:rsidR="00576E85" w:rsidRPr="00C10403">
        <w:rPr>
          <w:rFonts w:ascii="TimesNewRomanPSMT" w:hAnsi="TimesNewRomanPSMT"/>
          <w:color w:val="000000"/>
          <w:sz w:val="20"/>
        </w:rPr>
        <w:t xml:space="preserve"> indicates which bit in exp_tdo_dr_queue needs not to </w:t>
      </w:r>
      <w:r w:rsidR="00CE5F2B">
        <w:rPr>
          <w:rFonts w:ascii="TimesNewRomanPSMT" w:hAnsi="TimesNewRomanPSMT"/>
          <w:color w:val="000000"/>
          <w:sz w:val="20"/>
        </w:rPr>
        <w:t xml:space="preserve">be </w:t>
      </w:r>
      <w:r w:rsidR="00576E85" w:rsidRPr="00C10403">
        <w:rPr>
          <w:rFonts w:ascii="TimesNewRomanPSMT" w:hAnsi="TimesNewRomanPSMT"/>
          <w:color w:val="000000"/>
          <w:sz w:val="20"/>
        </w:rPr>
        <w:t>check</w:t>
      </w:r>
      <w:r w:rsidR="00CE5F2B">
        <w:rPr>
          <w:rFonts w:ascii="TimesNewRomanPSMT" w:hAnsi="TimesNewRomanPSMT"/>
          <w:color w:val="000000"/>
          <w:sz w:val="20"/>
        </w:rPr>
        <w:t>ed</w:t>
      </w:r>
      <w:r w:rsidR="00576E85" w:rsidRPr="00C10403">
        <w:rPr>
          <w:rFonts w:ascii="TimesNewRomanPSMT" w:hAnsi="TimesNewRomanPSMT"/>
          <w:color w:val="000000"/>
          <w:sz w:val="20"/>
        </w:rPr>
        <w:t>. </w:t>
      </w:r>
    </w:p>
    <w:p w14:paraId="64596CC4" w14:textId="14A45D1B" w:rsidR="00576E85" w:rsidRPr="00C10403" w:rsidRDefault="00A34D7C" w:rsidP="00BD5D6E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The </w:t>
      </w:r>
      <w:r w:rsidR="00576E85" w:rsidRPr="00C10403">
        <w:rPr>
          <w:rFonts w:ascii="TimesNewRomanPSMT" w:hAnsi="TimesNewRomanPSMT"/>
          <w:color w:val="000000"/>
          <w:sz w:val="20"/>
        </w:rPr>
        <w:t>exp_tdo_ir_queue is the golden data expecting the DUT TDO output during shift</w:t>
      </w:r>
      <w:r w:rsidR="00CE5F2B">
        <w:rPr>
          <w:rFonts w:ascii="TimesNewRomanPSMT" w:hAnsi="TimesNewRomanPSMT"/>
          <w:color w:val="000000"/>
          <w:sz w:val="20"/>
        </w:rPr>
        <w:t>ing IR state.</w:t>
      </w:r>
    </w:p>
    <w:p w14:paraId="3B8EFAF4" w14:textId="77777777" w:rsidR="00A4750F" w:rsidRPr="00266CA6" w:rsidRDefault="00A4750F" w:rsidP="00673B7B">
      <w:pPr>
        <w:spacing w:line="240" w:lineRule="atLeast"/>
        <w:ind w:firstLine="288"/>
        <w:jc w:val="both"/>
        <w:rPr>
          <w:b/>
          <w:sz w:val="20"/>
        </w:rPr>
      </w:pPr>
    </w:p>
    <w:p w14:paraId="167F31FC" w14:textId="1D7DB891" w:rsidR="0062154F" w:rsidRDefault="00BD5D6E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b/>
          <w:sz w:val="20"/>
        </w:rPr>
        <w:t xml:space="preserve">2.3 </w:t>
      </w:r>
      <w:r w:rsidR="00266CA6" w:rsidRPr="00266CA6">
        <w:rPr>
          <w:b/>
          <w:sz w:val="20"/>
        </w:rPr>
        <w:t>DFT TDR Encode:</w:t>
      </w:r>
      <w:r w:rsidR="00266CA6">
        <w:rPr>
          <w:rFonts w:ascii="TimesNewRomanPSMT" w:hAnsi="TimesNewRomanPSMT"/>
          <w:color w:val="000000"/>
          <w:sz w:val="20"/>
        </w:rPr>
        <w:t xml:space="preserve"> </w:t>
      </w:r>
      <w:r w:rsidR="002F09FB">
        <w:rPr>
          <w:rFonts w:ascii="TimesNewRomanPSMT" w:hAnsi="TimesNewRomanPSMT"/>
          <w:color w:val="000000"/>
          <w:sz w:val="20"/>
        </w:rPr>
        <w:t xml:space="preserve">A DFT TDR’s address is encoded </w:t>
      </w:r>
      <w:r>
        <w:rPr>
          <w:rFonts w:ascii="TimesNewRomanPSMT" w:hAnsi="TimesNewRomanPSMT"/>
          <w:color w:val="000000"/>
          <w:sz w:val="20"/>
        </w:rPr>
        <w:t>in</w:t>
      </w:r>
      <w:r w:rsidR="002F09FB">
        <w:rPr>
          <w:rFonts w:ascii="TimesNewRomanPSMT" w:hAnsi="TimesNewRomanPSMT"/>
          <w:color w:val="000000"/>
          <w:sz w:val="20"/>
        </w:rPr>
        <w:t xml:space="preserve"> Figure</w:t>
      </w:r>
      <w:r w:rsidR="00A34D7C">
        <w:rPr>
          <w:rFonts w:ascii="TimesNewRomanPSMT" w:hAnsi="TimesNewRomanPSMT"/>
          <w:color w:val="000000"/>
          <w:sz w:val="20"/>
        </w:rPr>
        <w:t xml:space="preserve"> 8</w:t>
      </w:r>
      <w:r w:rsidR="002F09FB">
        <w:rPr>
          <w:rFonts w:ascii="TimesNewRomanPSMT" w:hAnsi="TimesNewRomanPSMT"/>
          <w:color w:val="000000"/>
          <w:sz w:val="20"/>
        </w:rPr>
        <w:t xml:space="preserve">. It composes </w:t>
      </w:r>
      <w:r>
        <w:rPr>
          <w:rFonts w:ascii="TimesNewRomanPSMT" w:hAnsi="TimesNewRomanPSMT"/>
          <w:color w:val="000000"/>
          <w:sz w:val="20"/>
        </w:rPr>
        <w:t xml:space="preserve">of </w:t>
      </w:r>
      <w:r w:rsidR="002F09FB">
        <w:rPr>
          <w:rFonts w:ascii="TimesNewRomanPSMT" w:hAnsi="TimesNewRomanPSMT"/>
          <w:color w:val="000000"/>
          <w:sz w:val="20"/>
        </w:rPr>
        <w:t xml:space="preserve">three segments, the </w:t>
      </w:r>
      <w:r w:rsidR="008B5910">
        <w:rPr>
          <w:rFonts w:ascii="TimesNewRomanPSMT" w:hAnsi="TimesNewRomanPSMT"/>
          <w:color w:val="000000"/>
          <w:sz w:val="20"/>
        </w:rPr>
        <w:t>first segment</w:t>
      </w:r>
      <w:r w:rsidR="002F09FB">
        <w:rPr>
          <w:rFonts w:ascii="TimesNewRomanPSMT" w:hAnsi="TimesNewRomanPSMT"/>
          <w:color w:val="000000"/>
          <w:sz w:val="20"/>
        </w:rPr>
        <w:t xml:space="preserve"> is the reserved flag bit for </w:t>
      </w:r>
      <w:proofErr w:type="spellStart"/>
      <w:r w:rsidR="00BE2759">
        <w:rPr>
          <w:rFonts w:ascii="TimesNewRomanPSMT" w:hAnsi="TimesNewRomanPSMT"/>
          <w:color w:val="000000"/>
          <w:sz w:val="20"/>
        </w:rPr>
        <w:t>dft_reg_map</w:t>
      </w:r>
      <w:proofErr w:type="spellEnd"/>
      <w:r w:rsidR="00BE2759">
        <w:rPr>
          <w:rFonts w:ascii="TimesNewRomanPSMT" w:hAnsi="TimesNewRomanPSMT"/>
          <w:color w:val="000000"/>
          <w:sz w:val="20"/>
        </w:rPr>
        <w:t xml:space="preserve"> and </w:t>
      </w:r>
      <w:proofErr w:type="spellStart"/>
      <w:r w:rsidR="00BE2759">
        <w:rPr>
          <w:rFonts w:ascii="TimesNewRomanPSMT" w:hAnsi="TimesNewRomanPSMT"/>
          <w:color w:val="000000"/>
          <w:sz w:val="20"/>
        </w:rPr>
        <w:t>dft_reg_predictor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 that</w:t>
      </w:r>
      <w:r w:rsidR="00BE2759">
        <w:rPr>
          <w:rFonts w:ascii="TimesNewRomanPSMT" w:hAnsi="TimesNewRomanPSMT"/>
          <w:color w:val="000000"/>
          <w:sz w:val="20"/>
        </w:rPr>
        <w:t xml:space="preserve"> communicate with </w:t>
      </w:r>
      <w:proofErr w:type="spellStart"/>
      <w:r w:rsidR="00BE2759">
        <w:rPr>
          <w:rFonts w:ascii="TimesNewRomanPSMT" w:hAnsi="TimesNewRomanPSMT"/>
          <w:color w:val="000000"/>
          <w:sz w:val="20"/>
        </w:rPr>
        <w:t>dft_reg_adapter</w:t>
      </w:r>
      <w:proofErr w:type="spellEnd"/>
      <w:r w:rsidR="00BE2759">
        <w:rPr>
          <w:rFonts w:ascii="TimesNewRomanPSMT" w:hAnsi="TimesNewRomanPSMT"/>
          <w:color w:val="000000"/>
          <w:sz w:val="20"/>
        </w:rPr>
        <w:t xml:space="preserve"> as mentioned </w:t>
      </w:r>
      <w:r w:rsidR="002F09FB">
        <w:rPr>
          <w:rFonts w:ascii="TimesNewRomanPSMT" w:hAnsi="TimesNewRomanPSMT"/>
          <w:color w:val="000000"/>
          <w:sz w:val="20"/>
        </w:rPr>
        <w:t xml:space="preserve">in </w:t>
      </w:r>
      <w:r w:rsidR="0092296C">
        <w:rPr>
          <w:rFonts w:ascii="TimesNewRomanPSMT" w:hAnsi="TimesNewRomanPSMT"/>
          <w:color w:val="000000"/>
          <w:sz w:val="20"/>
        </w:rPr>
        <w:t>ultra-long length</w:t>
      </w:r>
      <w:r w:rsidR="008B5910">
        <w:rPr>
          <w:rFonts w:ascii="TimesNewRomanPSMT" w:hAnsi="TimesNewRomanPSMT"/>
          <w:color w:val="000000"/>
          <w:sz w:val="20"/>
        </w:rPr>
        <w:t xml:space="preserve"> TDR modelling section.</w:t>
      </w:r>
      <w:r w:rsidR="002F09FB">
        <w:rPr>
          <w:rFonts w:ascii="TimesNewRomanPSMT" w:hAnsi="TimesNewRomanPSMT"/>
          <w:color w:val="000000"/>
          <w:sz w:val="20"/>
        </w:rPr>
        <w:t xml:space="preserve">  </w:t>
      </w:r>
      <w:r w:rsidR="008B5910">
        <w:rPr>
          <w:rFonts w:ascii="TimesNewRomanPSMT" w:hAnsi="TimesNewRomanPSMT"/>
          <w:color w:val="000000"/>
          <w:sz w:val="20"/>
        </w:rPr>
        <w:t>The second segment is the TDR’s OPCODE</w:t>
      </w:r>
      <w:r>
        <w:rPr>
          <w:rFonts w:ascii="TimesNewRomanPSMT" w:hAnsi="TimesNewRomanPSMT"/>
          <w:color w:val="000000"/>
          <w:sz w:val="20"/>
        </w:rPr>
        <w:t>,</w:t>
      </w:r>
      <w:r w:rsidR="008B5910">
        <w:rPr>
          <w:rFonts w:ascii="TimesNewRomanPSMT" w:hAnsi="TimesNewRomanPSMT"/>
          <w:color w:val="000000"/>
          <w:sz w:val="20"/>
        </w:rPr>
        <w:t xml:space="preserve"> and the third segment is the TDR’s location information in the test access network. </w:t>
      </w:r>
      <w:r w:rsidR="00085919">
        <w:rPr>
          <w:rFonts w:ascii="TimesNewRomanPSMT" w:hAnsi="TimesNewRomanPSMT"/>
          <w:color w:val="000000"/>
          <w:sz w:val="20"/>
        </w:rPr>
        <w:t xml:space="preserve">In Figure 5, </w:t>
      </w:r>
      <w:r w:rsidR="00BE2759">
        <w:rPr>
          <w:rFonts w:ascii="TimesNewRomanPSMT" w:hAnsi="TimesNewRomanPSMT"/>
          <w:color w:val="000000"/>
          <w:sz w:val="20"/>
        </w:rPr>
        <w:t>WIR1</w:t>
      </w:r>
      <w:r w:rsidR="00085919">
        <w:rPr>
          <w:rFonts w:ascii="TimesNewRomanPSMT" w:hAnsi="TimesNewRomanPSMT"/>
          <w:color w:val="000000"/>
          <w:sz w:val="20"/>
        </w:rPr>
        <w:t>’s OPCODE is 8’hFE and is controlled by LEVEL0_SIB1, so its address is encoded as 13’h0FE2.</w:t>
      </w:r>
      <w:r w:rsidR="00BE2759">
        <w:rPr>
          <w:rFonts w:ascii="TimesNewRomanPSMT" w:hAnsi="TimesNewRomanPSMT"/>
          <w:color w:val="000000"/>
          <w:sz w:val="20"/>
        </w:rPr>
        <w:t xml:space="preserve"> </w:t>
      </w:r>
      <w:r w:rsidR="00085919">
        <w:rPr>
          <w:rFonts w:ascii="TimesNewRomanPSMT" w:hAnsi="TimesNewRomanPSMT"/>
          <w:color w:val="000000"/>
          <w:sz w:val="20"/>
        </w:rPr>
        <w:t xml:space="preserve"> </w:t>
      </w:r>
      <w:r>
        <w:rPr>
          <w:rFonts w:ascii="TimesNewRomanPSMT" w:hAnsi="TimesNewRomanPSMT"/>
          <w:color w:val="000000"/>
          <w:sz w:val="20"/>
        </w:rPr>
        <w:t>Similarly, t</w:t>
      </w:r>
      <w:r w:rsidR="00085919">
        <w:rPr>
          <w:rFonts w:ascii="TimesNewRomanPSMT" w:hAnsi="TimesNewRomanPSMT"/>
          <w:color w:val="000000"/>
          <w:sz w:val="20"/>
        </w:rPr>
        <w:t xml:space="preserve">he WIR2’s OPCODE is 8’h36 and </w:t>
      </w:r>
      <w:r w:rsidR="00BE2759">
        <w:rPr>
          <w:rFonts w:ascii="TimesNewRomanPSMT" w:hAnsi="TimesNewRomanPSMT"/>
          <w:color w:val="000000"/>
          <w:sz w:val="20"/>
        </w:rPr>
        <w:t xml:space="preserve">is controlled by LEVEL0_SIB0 and LEVEL1_SIB0, </w:t>
      </w:r>
      <w:r w:rsidR="00431F00">
        <w:rPr>
          <w:rFonts w:ascii="TimesNewRomanPSMT" w:hAnsi="TimesNewRomanPSMT"/>
          <w:color w:val="000000"/>
          <w:sz w:val="20"/>
        </w:rPr>
        <w:t>so its address is encoded as 13’h0365</w:t>
      </w:r>
      <w:r w:rsidR="00BE2759">
        <w:rPr>
          <w:rFonts w:ascii="TimesNewRomanPSMT" w:hAnsi="TimesNewRomanPSMT"/>
          <w:color w:val="000000"/>
          <w:sz w:val="20"/>
        </w:rPr>
        <w:t>.</w:t>
      </w:r>
      <w:r w:rsidR="00FF4471">
        <w:rPr>
          <w:rFonts w:ascii="TimesNewRomanPSMT" w:hAnsi="TimesNewRomanPSMT"/>
          <w:color w:val="000000"/>
          <w:sz w:val="20"/>
        </w:rPr>
        <w:t xml:space="preserve"> For IEEE1149.1 type TDR, we can simply fill the third segment to zero.</w:t>
      </w:r>
    </w:p>
    <w:p w14:paraId="1B748429" w14:textId="19511024" w:rsidR="00116F8D" w:rsidRPr="00716805" w:rsidRDefault="002D5918" w:rsidP="00716805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 xml:space="preserve">2.4 </w:t>
      </w:r>
      <w:r w:rsidR="00116F8D">
        <w:rPr>
          <w:rFonts w:ascii="TimesNewRomanPSMT" w:hAnsi="TimesNewRomanPSMT"/>
          <w:b/>
          <w:color w:val="000000"/>
          <w:sz w:val="20"/>
        </w:rPr>
        <w:t xml:space="preserve">dft_reg_tx_to_jtag_tx_sequence Implementation: </w:t>
      </w:r>
      <w:r w:rsidR="00116F8D" w:rsidRPr="00116F8D">
        <w:rPr>
          <w:rFonts w:ascii="TimesNewRomanPSMT" w:hAnsi="TimesNewRomanPSMT"/>
          <w:color w:val="000000"/>
          <w:sz w:val="20"/>
        </w:rPr>
        <w:t>The dft_reg_tx_to_jtag_tx_sequence</w:t>
      </w:r>
      <w:r w:rsidR="00116F8D">
        <w:rPr>
          <w:rFonts w:ascii="TimesNewRomanPSMT" w:hAnsi="TimesNewRomanPSMT"/>
          <w:color w:val="000000"/>
          <w:sz w:val="20"/>
        </w:rPr>
        <w:t xml:space="preserve"> is a virtual sequence, which get</w:t>
      </w:r>
      <w:r>
        <w:rPr>
          <w:rFonts w:ascii="TimesNewRomanPSMT" w:hAnsi="TimesNewRomanPSMT"/>
          <w:color w:val="000000"/>
          <w:sz w:val="20"/>
        </w:rPr>
        <w:t>s</w:t>
      </w:r>
      <w:r w:rsidR="00116F8D">
        <w:rPr>
          <w:rFonts w:ascii="TimesNewRomanPSMT" w:hAnsi="TimesNewRomanPSMT"/>
          <w:color w:val="000000"/>
          <w:sz w:val="20"/>
        </w:rPr>
        <w:t xml:space="preserve"> the dft_reg_transaction from </w:t>
      </w:r>
      <w:r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 w:rsidR="00116F8D">
        <w:rPr>
          <w:rFonts w:ascii="TimesNewRomanPSMT" w:hAnsi="TimesNewRomanPSMT"/>
          <w:color w:val="000000"/>
          <w:sz w:val="20"/>
        </w:rPr>
        <w:t>dft_reg_sequencer</w:t>
      </w:r>
      <w:proofErr w:type="spellEnd"/>
      <w:r w:rsidR="00116F8D">
        <w:rPr>
          <w:rFonts w:ascii="TimesNewRomanPSMT" w:hAnsi="TimesNewRomanPSMT"/>
          <w:color w:val="000000"/>
          <w:sz w:val="20"/>
        </w:rPr>
        <w:t xml:space="preserve">, converts it </w:t>
      </w:r>
      <w:r w:rsidR="007F5158">
        <w:rPr>
          <w:rFonts w:ascii="TimesNewRomanPSMT" w:hAnsi="TimesNewRomanPSMT"/>
          <w:color w:val="000000"/>
          <w:sz w:val="20"/>
        </w:rPr>
        <w:t xml:space="preserve">into jtag_transactions and </w:t>
      </w:r>
      <w:r w:rsidR="00116F8D">
        <w:rPr>
          <w:rFonts w:ascii="TimesNewRomanPSMT" w:hAnsi="TimesNewRomanPSMT"/>
          <w:color w:val="000000"/>
          <w:sz w:val="20"/>
        </w:rPr>
        <w:t>send</w:t>
      </w:r>
      <w:r>
        <w:rPr>
          <w:rFonts w:ascii="TimesNewRomanPSMT" w:hAnsi="TimesNewRomanPSMT"/>
          <w:color w:val="000000"/>
          <w:sz w:val="20"/>
        </w:rPr>
        <w:t>s</w:t>
      </w:r>
      <w:r w:rsidR="00116F8D">
        <w:rPr>
          <w:rFonts w:ascii="TimesNewRomanPSMT" w:hAnsi="TimesNewRomanPSMT"/>
          <w:color w:val="000000"/>
          <w:sz w:val="20"/>
        </w:rPr>
        <w:t xml:space="preserve"> them to the jtag_sequencer. </w:t>
      </w:r>
      <w:r w:rsidR="00116F8D" w:rsidRPr="00116F8D">
        <w:rPr>
          <w:rFonts w:ascii="TimesNewRomanPSMT" w:hAnsi="TimesNewRomanPSMT"/>
          <w:color w:val="000000"/>
          <w:sz w:val="20"/>
        </w:rPr>
        <w:t>The dft_reg_tx_to_jtag_tx_sequence</w:t>
      </w:r>
      <w:r w:rsidR="00116F8D">
        <w:rPr>
          <w:rFonts w:ascii="TimesNewRomanPSMT" w:hAnsi="TimesNewRomanPSMT"/>
          <w:color w:val="000000"/>
          <w:sz w:val="20"/>
        </w:rPr>
        <w:t xml:space="preserve"> decodes </w:t>
      </w:r>
      <w:proofErr w:type="spellStart"/>
      <w:r w:rsidR="00116F8D">
        <w:rPr>
          <w:rFonts w:ascii="TimesNewRomanPSMT" w:hAnsi="TimesNewRomanPSMT"/>
          <w:color w:val="000000"/>
          <w:sz w:val="20"/>
        </w:rPr>
        <w:t>dft_reg_</w:t>
      </w:r>
      <w:proofErr w:type="gramStart"/>
      <w:r w:rsidR="00116F8D">
        <w:rPr>
          <w:rFonts w:ascii="TimesNewRomanPSMT" w:hAnsi="TimesNewRomanPSMT"/>
          <w:color w:val="000000"/>
          <w:sz w:val="20"/>
        </w:rPr>
        <w:t>transaction.addr</w:t>
      </w:r>
      <w:proofErr w:type="spellEnd"/>
      <w:proofErr w:type="gramEnd"/>
      <w:r w:rsidR="00116F8D">
        <w:rPr>
          <w:rFonts w:ascii="TimesNewRomanPSMT" w:hAnsi="TimesNewRomanPSMT"/>
          <w:color w:val="000000"/>
          <w:sz w:val="20"/>
        </w:rPr>
        <w:t xml:space="preserve"> to get the TDR’s location information in the network</w:t>
      </w:r>
      <w:r w:rsidR="0032492F">
        <w:rPr>
          <w:rFonts w:ascii="TimesNewRomanPSMT" w:hAnsi="TimesNewRomanPSMT"/>
          <w:color w:val="000000"/>
          <w:sz w:val="20"/>
        </w:rPr>
        <w:t xml:space="preserve">. </w:t>
      </w:r>
      <w:r w:rsidR="009E7266">
        <w:rPr>
          <w:rFonts w:ascii="TimesNewRomanPSMT" w:hAnsi="TimesNewRomanPSMT"/>
          <w:color w:val="000000"/>
          <w:sz w:val="20"/>
        </w:rPr>
        <w:t xml:space="preserve"> Figure 9 shows </w:t>
      </w:r>
      <w:r w:rsidR="0032492F">
        <w:rPr>
          <w:rFonts w:ascii="TimesNewRomanPSMT" w:hAnsi="TimesNewRomanPSMT"/>
          <w:color w:val="000000"/>
          <w:sz w:val="20"/>
        </w:rPr>
        <w:t xml:space="preserve">The WIR2 in Figure 5 </w:t>
      </w:r>
      <w:r w:rsidR="00154A69">
        <w:rPr>
          <w:rFonts w:ascii="TimesNewRomanPSMT" w:hAnsi="TimesNewRomanPSMT"/>
          <w:color w:val="000000"/>
          <w:sz w:val="20"/>
        </w:rPr>
        <w:t xml:space="preserve">because the bit 3 to bit 0 </w:t>
      </w:r>
      <w:r w:rsidR="00827C90">
        <w:rPr>
          <w:rFonts w:ascii="TimesNewRomanPSMT" w:hAnsi="TimesNewRomanPSMT"/>
          <w:color w:val="000000"/>
          <w:sz w:val="20"/>
        </w:rPr>
        <w:t xml:space="preserve">of </w:t>
      </w:r>
      <w:r>
        <w:rPr>
          <w:rFonts w:ascii="TimesNewRomanPSMT" w:hAnsi="TimesNewRomanPSMT"/>
          <w:color w:val="000000"/>
          <w:sz w:val="20"/>
        </w:rPr>
        <w:t xml:space="preserve">the </w:t>
      </w:r>
      <w:r>
        <w:rPr>
          <w:rFonts w:ascii="TimesNewRomanPSMT" w:hAnsi="TimesNewRomanPSMT"/>
          <w:color w:val="000000"/>
          <w:sz w:val="20"/>
        </w:rPr>
        <w:t>WIR2</w:t>
      </w:r>
      <w:r>
        <w:rPr>
          <w:rFonts w:ascii="TimesNewRomanPSMT" w:hAnsi="TimesNewRomanPSMT"/>
          <w:color w:val="000000"/>
          <w:sz w:val="20"/>
        </w:rPr>
        <w:t xml:space="preserve">’s address </w:t>
      </w:r>
      <w:r w:rsidR="00154A69">
        <w:rPr>
          <w:rFonts w:ascii="TimesNewRomanPSMT" w:hAnsi="TimesNewRomanPSMT"/>
          <w:color w:val="000000"/>
          <w:sz w:val="20"/>
        </w:rPr>
        <w:t>is 4’b0101, t</w:t>
      </w:r>
      <w:r w:rsidR="00154A69" w:rsidRPr="00116F8D">
        <w:rPr>
          <w:rFonts w:ascii="TimesNewRomanPSMT" w:hAnsi="TimesNewRomanPSMT"/>
          <w:color w:val="000000"/>
          <w:sz w:val="20"/>
        </w:rPr>
        <w:t>he dft_reg_tx_to_jtag_tx_sequence</w:t>
      </w:r>
      <w:r w:rsidR="00154A69">
        <w:rPr>
          <w:rFonts w:ascii="TimesNewRomanPSMT" w:hAnsi="TimesNewRomanPSMT"/>
          <w:color w:val="000000"/>
          <w:sz w:val="20"/>
        </w:rPr>
        <w:t xml:space="preserve"> know</w:t>
      </w:r>
      <w:r w:rsidR="00716805">
        <w:rPr>
          <w:rFonts w:ascii="TimesNewRomanPSMT" w:hAnsi="TimesNewRomanPSMT"/>
          <w:color w:val="000000"/>
          <w:sz w:val="20"/>
        </w:rPr>
        <w:t>s to access</w:t>
      </w:r>
      <w:r>
        <w:rPr>
          <w:rFonts w:ascii="TimesNewRomanPSMT" w:hAnsi="TimesNewRomanPSMT"/>
          <w:color w:val="000000"/>
          <w:sz w:val="20"/>
        </w:rPr>
        <w:t>.</w:t>
      </w:r>
      <w:r w:rsidR="00716805">
        <w:rPr>
          <w:rFonts w:ascii="TimesNewRomanPSMT" w:hAnsi="TimesNewRomanPSMT"/>
          <w:color w:val="000000"/>
          <w:sz w:val="20"/>
        </w:rPr>
        <w:t xml:space="preserve"> i</w:t>
      </w:r>
      <w:r w:rsidR="00174AA7">
        <w:rPr>
          <w:rFonts w:ascii="TimesNewRomanPSMT" w:hAnsi="TimesNewRomanPSMT"/>
          <w:color w:val="000000"/>
          <w:sz w:val="20"/>
        </w:rPr>
        <w:t>t need to open LEVEL0</w:t>
      </w:r>
      <w:r w:rsidR="00716805">
        <w:rPr>
          <w:rFonts w:ascii="TimesNewRomanPSMT" w:hAnsi="TimesNewRomanPSMT"/>
          <w:color w:val="000000"/>
          <w:sz w:val="20"/>
        </w:rPr>
        <w:t>_SIB0 first, and then open LEVEL1_SIB0, and last shift WIR2’s OPCODE and written.</w:t>
      </w:r>
      <w:r w:rsidR="00016917">
        <w:rPr>
          <w:rFonts w:ascii="TimesNewRomanPSMT" w:hAnsi="TimesNewRomanPSMT"/>
          <w:color w:val="000000"/>
          <w:sz w:val="20"/>
        </w:rPr>
        <w:t xml:space="preserve"> Figure 9</w:t>
      </w:r>
      <w:r w:rsidR="00325160">
        <w:rPr>
          <w:rFonts w:ascii="TimesNewRomanPSMT" w:hAnsi="TimesNewRomanPSMT"/>
          <w:color w:val="000000"/>
          <w:sz w:val="20"/>
        </w:rPr>
        <w:t xml:space="preserve"> shows how a generic dft_reg_transaction is converted to </w:t>
      </w:r>
      <w:r w:rsidR="006B1A6E">
        <w:rPr>
          <w:rFonts w:ascii="TimesNewRomanPSMT" w:hAnsi="TimesNewRomanPSMT"/>
          <w:color w:val="000000"/>
          <w:sz w:val="20"/>
        </w:rPr>
        <w:t>a serial of jtag_transactions.</w:t>
      </w:r>
      <w:r w:rsidR="00147320">
        <w:rPr>
          <w:rFonts w:ascii="TimesNewRomanPSMT" w:hAnsi="TimesNewRomanPSMT"/>
          <w:color w:val="000000"/>
          <w:sz w:val="20"/>
        </w:rPr>
        <w:t xml:space="preserve"> </w:t>
      </w:r>
      <w:r w:rsidR="003A32BE">
        <w:rPr>
          <w:rFonts w:ascii="TimesNewRomanPSMT" w:hAnsi="TimesNewRomanPSMT"/>
          <w:color w:val="000000"/>
          <w:sz w:val="20"/>
        </w:rPr>
        <w:t xml:space="preserve">Because the </w:t>
      </w:r>
      <w:proofErr w:type="spellStart"/>
      <w:r w:rsidR="00B10E6D">
        <w:rPr>
          <w:rFonts w:ascii="TimesNewRomanPSMT" w:hAnsi="TimesNewRomanPSMT"/>
          <w:color w:val="000000"/>
          <w:sz w:val="20"/>
        </w:rPr>
        <w:t>dft_reg_</w:t>
      </w:r>
      <w:proofErr w:type="gramStart"/>
      <w:r w:rsidR="00B10E6D">
        <w:rPr>
          <w:rFonts w:ascii="TimesNewRomanPSMT" w:hAnsi="TimesNewRomanPSMT"/>
          <w:color w:val="000000"/>
          <w:sz w:val="20"/>
        </w:rPr>
        <w:t>transaction.addr</w:t>
      </w:r>
      <w:proofErr w:type="spellEnd"/>
      <w:proofErr w:type="gramEnd"/>
      <w:r w:rsidR="00B10E6D">
        <w:rPr>
          <w:rFonts w:ascii="TimesNewRomanPSMT" w:hAnsi="TimesNewRomanPSMT"/>
          <w:color w:val="000000"/>
          <w:sz w:val="20"/>
        </w:rPr>
        <w:t>[3:0] is 4’b0101,</w:t>
      </w:r>
      <w:r w:rsidR="003A32BE">
        <w:rPr>
          <w:rFonts w:ascii="TimesNewRomanPSMT" w:hAnsi="TimesNewRomanPSMT"/>
          <w:color w:val="000000"/>
          <w:sz w:val="20"/>
        </w:rPr>
        <w:t xml:space="preserve"> the TDR being access is controlled by </w:t>
      </w:r>
      <w:r w:rsidR="003A32BE">
        <w:rPr>
          <w:rFonts w:ascii="TimesNewRomanPSMT" w:hAnsi="TimesNewRomanPSMT"/>
          <w:color w:val="000000"/>
          <w:sz w:val="20"/>
        </w:rPr>
        <w:t xml:space="preserve">LEVEL0_SIB0 </w:t>
      </w:r>
      <w:r w:rsidR="003A32BE">
        <w:rPr>
          <w:rFonts w:ascii="TimesNewRomanPSMT" w:hAnsi="TimesNewRomanPSMT"/>
          <w:color w:val="000000"/>
          <w:sz w:val="20"/>
        </w:rPr>
        <w:t>and</w:t>
      </w:r>
      <w:r w:rsidR="003A32BE">
        <w:rPr>
          <w:rFonts w:ascii="TimesNewRomanPSMT" w:hAnsi="TimesNewRomanPSMT"/>
          <w:color w:val="000000"/>
          <w:sz w:val="20"/>
        </w:rPr>
        <w:t xml:space="preserve"> LEVEL1_SIB0</w:t>
      </w:r>
      <w:r w:rsidR="003A32BE">
        <w:rPr>
          <w:rFonts w:ascii="TimesNewRomanPSMT" w:hAnsi="TimesNewRomanPSMT"/>
          <w:color w:val="000000"/>
          <w:sz w:val="20"/>
        </w:rPr>
        <w:t xml:space="preserve">. </w:t>
      </w:r>
      <w:bookmarkStart w:id="0" w:name="_GoBack"/>
      <w:bookmarkEnd w:id="0"/>
    </w:p>
    <w:p w14:paraId="799B4333" w14:textId="0E94F6F3" w:rsidR="00D84A97" w:rsidRDefault="00266CA6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 w:rsidRPr="00266CA6">
        <w:rPr>
          <w:rFonts w:ascii="TimesNewRomanPSMT" w:hAnsi="TimesNewRomanPSMT"/>
          <w:b/>
          <w:color w:val="000000"/>
          <w:sz w:val="20"/>
        </w:rPr>
        <w:t xml:space="preserve">The </w:t>
      </w:r>
      <w:proofErr w:type="spellStart"/>
      <w:r w:rsidRPr="00266CA6">
        <w:rPr>
          <w:rFonts w:ascii="TimesNewRomanPSMT" w:hAnsi="TimesNewRomanPSMT"/>
          <w:b/>
          <w:color w:val="000000"/>
          <w:sz w:val="20"/>
        </w:rPr>
        <w:t>dft_reg_network</w:t>
      </w:r>
      <w:proofErr w:type="spellEnd"/>
      <w:r w:rsidRPr="00266CA6">
        <w:rPr>
          <w:rFonts w:ascii="TimesNewRomanPSMT" w:hAnsi="TimesNewRomanPSMT"/>
          <w:b/>
          <w:color w:val="000000"/>
          <w:sz w:val="20"/>
        </w:rPr>
        <w:t xml:space="preserve"> Implementation:</w:t>
      </w:r>
      <w:r>
        <w:rPr>
          <w:rFonts w:ascii="TimesNewRomanPSMT" w:hAnsi="TimesNewRomanPSMT"/>
          <w:b/>
          <w:color w:val="000000"/>
          <w:sz w:val="20"/>
        </w:rPr>
        <w:t xml:space="preserve"> </w:t>
      </w:r>
      <w:r w:rsidR="00DB083E">
        <w:rPr>
          <w:sz w:val="20"/>
        </w:rPr>
        <w:t>For the test</w:t>
      </w:r>
      <w:r w:rsidR="00016917">
        <w:rPr>
          <w:sz w:val="20"/>
        </w:rPr>
        <w:t xml:space="preserve"> access network in Figure 5</w:t>
      </w:r>
      <w:r w:rsidR="001D71FF">
        <w:rPr>
          <w:sz w:val="20"/>
        </w:rPr>
        <w:t xml:space="preserve">, </w:t>
      </w:r>
      <w:r w:rsidR="00D84A97">
        <w:rPr>
          <w:sz w:val="20"/>
        </w:rPr>
        <w:t xml:space="preserve">its elements can be modelled as shown in Figure </w:t>
      </w:r>
      <w:r w:rsidR="00016917">
        <w:rPr>
          <w:sz w:val="20"/>
        </w:rPr>
        <w:t>10</w:t>
      </w:r>
      <w:r w:rsidR="002F09FB">
        <w:rPr>
          <w:rFonts w:ascii="TimesNewRomanPSMT" w:hAnsi="TimesNewRomanPSMT"/>
          <w:color w:val="000000"/>
          <w:sz w:val="20"/>
        </w:rPr>
        <w:t>.</w:t>
      </w:r>
      <w:r w:rsidR="00D84A97">
        <w:rPr>
          <w:rFonts w:ascii="TimesNewRomanPSMT" w:hAnsi="TimesNewRomanPSMT"/>
          <w:color w:val="000000"/>
          <w:sz w:val="20"/>
        </w:rPr>
        <w:t xml:space="preserve"> The IEEE 1500 client in the test access network can be divided into two types, the first is controlled by level 0 SIBs and the second is controlled by level 1 SIBs. Because we suppose only access a WDR in </w:t>
      </w:r>
      <w:r w:rsidR="00573739">
        <w:rPr>
          <w:rFonts w:ascii="TimesNewRomanPSMT" w:hAnsi="TimesNewRomanPSMT"/>
          <w:color w:val="000000"/>
          <w:sz w:val="20"/>
        </w:rPr>
        <w:t xml:space="preserve">a </w:t>
      </w:r>
      <w:r w:rsidR="00D84A97">
        <w:rPr>
          <w:rFonts w:ascii="TimesNewRomanPSMT" w:hAnsi="TimesNewRomanPSMT"/>
          <w:color w:val="000000"/>
          <w:sz w:val="20"/>
        </w:rPr>
        <w:t xml:space="preserve">IEEE 1500 client, it is unnecessary to model every IEEE 1500 client and all the WDRs in it. </w:t>
      </w:r>
      <w:r w:rsidR="00363CFA">
        <w:rPr>
          <w:rFonts w:ascii="TimesNewRomanPSMT" w:hAnsi="TimesNewRomanPSMT"/>
          <w:color w:val="000000"/>
          <w:sz w:val="20"/>
        </w:rPr>
        <w:t xml:space="preserve">It only need to </w:t>
      </w:r>
      <w:r w:rsidR="00147320">
        <w:rPr>
          <w:rFonts w:ascii="TimesNewRomanPSMT" w:hAnsi="TimesNewRomanPSMT"/>
          <w:color w:val="000000"/>
          <w:sz w:val="20"/>
        </w:rPr>
        <w:t xml:space="preserve">model the SEL_WIR, the WIR and a WDR of each type of IEEE 1500 client. </w:t>
      </w:r>
      <w:r w:rsidR="00D84A97">
        <w:rPr>
          <w:rFonts w:ascii="TimesNewRomanPSMT" w:hAnsi="TimesNewRomanPSMT"/>
          <w:color w:val="000000"/>
          <w:sz w:val="20"/>
        </w:rPr>
        <w:t xml:space="preserve">The WDR’s length is dynamic, which can be calculated by the </w:t>
      </w:r>
      <w:proofErr w:type="spellStart"/>
      <w:r w:rsidR="00D84A97">
        <w:rPr>
          <w:rFonts w:ascii="TimesNewRomanPSMT" w:hAnsi="TimesNewRomanPSMT"/>
          <w:color w:val="000000"/>
          <w:sz w:val="20"/>
        </w:rPr>
        <w:t>jtag_</w:t>
      </w:r>
      <w:proofErr w:type="gramStart"/>
      <w:r w:rsidR="00D84A97">
        <w:rPr>
          <w:rFonts w:ascii="TimesNewRomanPSMT" w:hAnsi="TimesNewRomanPSMT"/>
          <w:color w:val="000000"/>
          <w:sz w:val="20"/>
        </w:rPr>
        <w:t>transaction.o</w:t>
      </w:r>
      <w:proofErr w:type="gramEnd"/>
      <w:r w:rsidR="00D84A97">
        <w:rPr>
          <w:rFonts w:ascii="TimesNewRomanPSMT" w:hAnsi="TimesNewRomanPSMT"/>
          <w:color w:val="000000"/>
          <w:sz w:val="20"/>
        </w:rPr>
        <w:t>_dr_length</w:t>
      </w:r>
      <w:proofErr w:type="spellEnd"/>
      <w:r w:rsidR="00D84A97">
        <w:rPr>
          <w:rFonts w:ascii="TimesNewRomanPSMT" w:hAnsi="TimesNewRomanPSMT"/>
          <w:color w:val="000000"/>
          <w:sz w:val="20"/>
        </w:rPr>
        <w:t xml:space="preserve"> and the current </w:t>
      </w:r>
      <w:proofErr w:type="spellStart"/>
      <w:r w:rsidR="00D84A97">
        <w:rPr>
          <w:rFonts w:ascii="TimesNewRomanPSMT" w:hAnsi="TimesNewRomanPSMT"/>
          <w:color w:val="000000"/>
          <w:sz w:val="20"/>
        </w:rPr>
        <w:t>SIBs’</w:t>
      </w:r>
      <w:proofErr w:type="spellEnd"/>
      <w:r w:rsidR="00D84A97">
        <w:rPr>
          <w:rFonts w:ascii="TimesNewRomanPSMT" w:hAnsi="TimesNewRomanPSMT"/>
          <w:color w:val="000000"/>
          <w:sz w:val="20"/>
        </w:rPr>
        <w:t xml:space="preserve"> value in the dft_tdr_network.</w:t>
      </w:r>
    </w:p>
    <w:p w14:paraId="04E235F7" w14:textId="7C11BDCD" w:rsidR="000E3C6D" w:rsidRDefault="00DB083E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 By a serial of conditional judgments </w:t>
      </w:r>
      <w:r w:rsidR="00996215">
        <w:rPr>
          <w:rFonts w:ascii="TimesNewRomanPSMT" w:hAnsi="TimesNewRomanPSMT"/>
          <w:color w:val="000000"/>
          <w:sz w:val="20"/>
        </w:rPr>
        <w:t xml:space="preserve">based on the </w:t>
      </w:r>
      <w:r w:rsidR="00C248E0">
        <w:rPr>
          <w:rFonts w:ascii="TimesNewRomanPSMT" w:hAnsi="TimesNewRomanPSMT"/>
          <w:color w:val="000000"/>
          <w:sz w:val="20"/>
        </w:rPr>
        <w:t xml:space="preserve">possible </w:t>
      </w:r>
      <w:r w:rsidR="00996215">
        <w:rPr>
          <w:rFonts w:ascii="TimesNewRomanPSMT" w:hAnsi="TimesNewRomanPSMT"/>
          <w:color w:val="000000"/>
          <w:sz w:val="20"/>
        </w:rPr>
        <w:t xml:space="preserve">paths between TDI and TDO in the TDR access network </w:t>
      </w:r>
      <w:r>
        <w:rPr>
          <w:rFonts w:ascii="TimesNewRomanPSMT" w:hAnsi="TimesNewRomanPSMT"/>
          <w:color w:val="000000"/>
          <w:sz w:val="20"/>
        </w:rPr>
        <w:t xml:space="preserve">and </w:t>
      </w:r>
      <w:r w:rsidR="005C1C9A">
        <w:rPr>
          <w:rFonts w:ascii="TimesNewRomanPSMT" w:hAnsi="TimesNewRomanPSMT"/>
          <w:color w:val="000000"/>
          <w:sz w:val="20"/>
        </w:rPr>
        <w:t xml:space="preserve">the </w:t>
      </w:r>
      <w:r>
        <w:rPr>
          <w:rFonts w:ascii="TimesNewRomanPSMT" w:hAnsi="TimesNewRomanPSMT"/>
          <w:color w:val="000000"/>
          <w:sz w:val="20"/>
        </w:rPr>
        <w:t xml:space="preserve">jtag_transactions observed by the jtag_monitor, the dft_tdr_network can return a generic </w:t>
      </w:r>
      <w:proofErr w:type="spellStart"/>
      <w:r>
        <w:rPr>
          <w:rFonts w:ascii="TimesNewRomanPSMT" w:hAnsi="TimesNewRomanPSMT"/>
          <w:color w:val="000000"/>
          <w:sz w:val="20"/>
        </w:rPr>
        <w:t>dft_reg_trsaction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 to </w:t>
      </w:r>
      <w:r w:rsidR="006A6523"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>
        <w:rPr>
          <w:rFonts w:ascii="TimesNewRomanPSMT" w:hAnsi="TimesNewRomanPSMT"/>
          <w:color w:val="000000"/>
          <w:sz w:val="20"/>
        </w:rPr>
        <w:t>dft_reg_monitor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, who passes it to the </w:t>
      </w:r>
      <w:proofErr w:type="spellStart"/>
      <w:r>
        <w:rPr>
          <w:rFonts w:ascii="TimesNewRomanPSMT" w:hAnsi="TimesNewRomanPSMT"/>
          <w:color w:val="000000"/>
          <w:sz w:val="20"/>
        </w:rPr>
        <w:t>dft_reg_predictor</w:t>
      </w:r>
      <w:proofErr w:type="spellEnd"/>
      <w:r>
        <w:rPr>
          <w:rFonts w:ascii="TimesNewRomanPSMT" w:hAnsi="TimesNewRomanPSMT"/>
          <w:color w:val="000000"/>
          <w:sz w:val="20"/>
        </w:rPr>
        <w:t>.</w:t>
      </w:r>
      <w:r w:rsidR="00716805">
        <w:rPr>
          <w:rFonts w:ascii="TimesNewRomanPSMT" w:hAnsi="TimesNewRomanPSMT"/>
          <w:color w:val="000000"/>
          <w:sz w:val="20"/>
        </w:rPr>
        <w:t xml:space="preserve"> </w:t>
      </w:r>
    </w:p>
    <w:p w14:paraId="43D121CE" w14:textId="77777777" w:rsidR="006D2A17" w:rsidRDefault="00996215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Figure 9</w:t>
      </w:r>
      <w:r w:rsidR="00147320">
        <w:rPr>
          <w:rFonts w:ascii="TimesNewRomanPSMT" w:hAnsi="TimesNewRomanPSMT"/>
          <w:color w:val="000000"/>
          <w:sz w:val="20"/>
        </w:rPr>
        <w:t xml:space="preserve">, </w:t>
      </w:r>
      <w:r w:rsidR="00401987">
        <w:rPr>
          <w:rFonts w:ascii="TimesNewRomanPSMT" w:hAnsi="TimesNewRomanPSMT"/>
          <w:color w:val="000000"/>
          <w:sz w:val="20"/>
        </w:rPr>
        <w:t>t</w:t>
      </w:r>
      <w:r w:rsidR="00625B54">
        <w:rPr>
          <w:rFonts w:ascii="TimesNewRomanPSMT" w:hAnsi="TimesNewRomanPSMT"/>
          <w:color w:val="000000"/>
          <w:sz w:val="20"/>
        </w:rPr>
        <w:t>he step</w:t>
      </w:r>
      <w:r w:rsidR="00D60B44">
        <w:rPr>
          <w:rFonts w:ascii="TimesNewRomanPSMT" w:hAnsi="TimesNewRomanPSMT"/>
          <w:color w:val="000000"/>
          <w:sz w:val="20"/>
        </w:rPr>
        <w:t>1</w:t>
      </w:r>
      <w:r w:rsidR="00401987">
        <w:rPr>
          <w:rFonts w:ascii="TimesNewRomanPSMT" w:hAnsi="TimesNewRomanPSMT"/>
          <w:color w:val="000000"/>
          <w:sz w:val="20"/>
        </w:rPr>
        <w:t xml:space="preserve"> to step3 are used to open SIBs </w:t>
      </w:r>
      <w:r w:rsidR="00D60B44">
        <w:rPr>
          <w:rFonts w:ascii="TimesNewRomanPSMT" w:hAnsi="TimesNewRomanPSMT"/>
          <w:color w:val="000000"/>
          <w:sz w:val="20"/>
        </w:rPr>
        <w:t xml:space="preserve">for the reason </w:t>
      </w:r>
      <w:proofErr w:type="gramStart"/>
      <w:r w:rsidR="00D60B44">
        <w:rPr>
          <w:rFonts w:ascii="TimesNewRomanPSMT" w:hAnsi="TimesNewRomanPSMT"/>
          <w:color w:val="000000"/>
          <w:sz w:val="20"/>
        </w:rPr>
        <w:t xml:space="preserve">of </w:t>
      </w:r>
      <w:r w:rsidR="00147320">
        <w:rPr>
          <w:rFonts w:ascii="TimesNewRomanPSMT" w:hAnsi="TimesNewRomanPSMT"/>
          <w:color w:val="000000"/>
          <w:sz w:val="20"/>
        </w:rPr>
        <w:t xml:space="preserve"> </w:t>
      </w:r>
      <w:r w:rsidR="00D60B44">
        <w:rPr>
          <w:rFonts w:ascii="TimesNewRomanPSMT" w:hAnsi="TimesNewRomanPSMT"/>
          <w:color w:val="000000"/>
          <w:sz w:val="20"/>
        </w:rPr>
        <w:t>restoring</w:t>
      </w:r>
      <w:proofErr w:type="gramEnd"/>
      <w:r w:rsidR="00D60B44">
        <w:rPr>
          <w:rFonts w:ascii="TimesNewRomanPSMT" w:hAnsi="TimesNewRomanPSMT"/>
          <w:color w:val="000000"/>
          <w:sz w:val="20"/>
        </w:rPr>
        <w:t xml:space="preserve"> the default state of SIBs and SEL_WIRs for the convenience of access next WDR. </w:t>
      </w:r>
      <w:r w:rsidR="00401987">
        <w:rPr>
          <w:rFonts w:ascii="TimesNewRomanPSMT" w:hAnsi="TimesNewRomanPSMT"/>
          <w:color w:val="000000"/>
          <w:sz w:val="20"/>
        </w:rPr>
        <w:t xml:space="preserve">If we want to access another TDR in the same IEEE1500 client, with the current solution, the five steps in Figure 9 </w:t>
      </w:r>
      <w:r w:rsidR="006D2A17">
        <w:rPr>
          <w:rFonts w:ascii="TimesNewRomanPSMT" w:hAnsi="TimesNewRomanPSMT"/>
          <w:color w:val="000000"/>
          <w:sz w:val="20"/>
        </w:rPr>
        <w:t xml:space="preserve">are repeated. In </w:t>
      </w:r>
      <w:proofErr w:type="gramStart"/>
      <w:r w:rsidR="006D2A17">
        <w:rPr>
          <w:rFonts w:ascii="TimesNewRomanPSMT" w:hAnsi="TimesNewRomanPSMT"/>
          <w:color w:val="000000"/>
          <w:sz w:val="20"/>
        </w:rPr>
        <w:t>fact</w:t>
      </w:r>
      <w:proofErr w:type="gramEnd"/>
      <w:r w:rsidR="006D2A17">
        <w:rPr>
          <w:rFonts w:ascii="TimesNewRomanPSMT" w:hAnsi="TimesNewRomanPSMT"/>
          <w:color w:val="000000"/>
          <w:sz w:val="20"/>
        </w:rPr>
        <w:t xml:space="preserve"> the first three steps can skip if we do not close them in the step5 as shown in Figure 9. </w:t>
      </w:r>
      <w:r w:rsidR="00D60B44">
        <w:rPr>
          <w:rFonts w:ascii="TimesNewRomanPSMT" w:hAnsi="TimesNewRomanPSMT"/>
          <w:color w:val="000000"/>
          <w:sz w:val="20"/>
        </w:rPr>
        <w:t xml:space="preserve">As mentioned above, the </w:t>
      </w:r>
      <w:r w:rsidR="00D60B44">
        <w:rPr>
          <w:sz w:val="20"/>
          <w:lang w:eastAsia="zh-CN"/>
        </w:rPr>
        <w:t xml:space="preserve">WDRs controlled by same SIBs are accessed in tandem with a high possibility. If the </w:t>
      </w:r>
      <w:r w:rsidR="00D74572" w:rsidRPr="00116F8D">
        <w:rPr>
          <w:rFonts w:ascii="TimesNewRomanPSMT" w:hAnsi="TimesNewRomanPSMT"/>
          <w:color w:val="000000"/>
          <w:sz w:val="20"/>
        </w:rPr>
        <w:t>dft_reg_tx_to_jtag_tx_sequence</w:t>
      </w:r>
      <w:r w:rsidR="009E0F79">
        <w:rPr>
          <w:rFonts w:ascii="TimesNewRomanPSMT" w:hAnsi="TimesNewRomanPSMT"/>
          <w:color w:val="000000"/>
          <w:sz w:val="20"/>
        </w:rPr>
        <w:t xml:space="preserve"> knew</w:t>
      </w:r>
      <w:r w:rsidR="00D74572">
        <w:rPr>
          <w:rFonts w:ascii="TimesNewRomanPSMT" w:hAnsi="TimesNewRomanPSMT"/>
          <w:color w:val="000000"/>
          <w:sz w:val="20"/>
        </w:rPr>
        <w:t xml:space="preserve"> each SIB’s status in the network, then </w:t>
      </w:r>
      <w:r w:rsidR="00B91D5F">
        <w:rPr>
          <w:rFonts w:ascii="TimesNewRomanPSMT" w:hAnsi="TimesNewRomanPSMT"/>
          <w:color w:val="000000"/>
          <w:sz w:val="20"/>
        </w:rPr>
        <w:t>it could</w:t>
      </w:r>
      <w:r w:rsidR="00D74572">
        <w:rPr>
          <w:rFonts w:ascii="TimesNewRomanPSMT" w:hAnsi="TimesNewRomanPSMT"/>
          <w:color w:val="000000"/>
          <w:sz w:val="20"/>
        </w:rPr>
        <w:t xml:space="preserve"> open and close SIBs smartly according to the current WDR being access, so as to save</w:t>
      </w:r>
      <w:r w:rsidR="001906FA">
        <w:rPr>
          <w:rFonts w:ascii="TimesNewRomanPSMT" w:hAnsi="TimesNewRomanPSMT"/>
          <w:color w:val="000000"/>
          <w:sz w:val="20"/>
        </w:rPr>
        <w:t xml:space="preserve"> unnecessary SIB opening steps. In this way</w:t>
      </w:r>
      <w:r w:rsidR="00D74572">
        <w:rPr>
          <w:rFonts w:ascii="TimesNewRomanPSMT" w:hAnsi="TimesNewRomanPSMT"/>
          <w:color w:val="000000"/>
          <w:sz w:val="20"/>
        </w:rPr>
        <w:t xml:space="preserve"> we can save the test time in ATE test.</w:t>
      </w:r>
    </w:p>
    <w:p w14:paraId="24B04431" w14:textId="43EA1F16" w:rsidR="00595492" w:rsidRDefault="005718F5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 To realize this, a </w:t>
      </w:r>
      <w:proofErr w:type="spellStart"/>
      <w:r w:rsidR="00154352">
        <w:rPr>
          <w:rFonts w:ascii="TimesNewRomanPSMT" w:hAnsi="TimesNewRomanPSMT"/>
          <w:color w:val="000000"/>
          <w:sz w:val="20"/>
        </w:rPr>
        <w:t>dft_ntwk_info</w:t>
      </w:r>
      <w:proofErr w:type="spellEnd"/>
      <w:r w:rsidR="00595492">
        <w:rPr>
          <w:rFonts w:ascii="TimesNewRomanPSMT" w:hAnsi="TimesNewRomanPSMT"/>
          <w:color w:val="000000"/>
          <w:sz w:val="20"/>
        </w:rPr>
        <w:t xml:space="preserve"> </w:t>
      </w:r>
      <w:r w:rsidR="00996215">
        <w:rPr>
          <w:rFonts w:ascii="TimesNewRomanPSMT" w:hAnsi="TimesNewRomanPSMT"/>
          <w:color w:val="000000"/>
          <w:sz w:val="20"/>
        </w:rPr>
        <w:t>is defined</w:t>
      </w:r>
      <w:r w:rsidR="00595492">
        <w:rPr>
          <w:rFonts w:ascii="TimesNewRomanPSMT" w:hAnsi="TimesNewRomanPSMT"/>
          <w:color w:val="000000"/>
          <w:sz w:val="20"/>
        </w:rPr>
        <w:t xml:space="preserve">. </w:t>
      </w:r>
      <w:r w:rsidR="00996215">
        <w:rPr>
          <w:rFonts w:ascii="TimesNewRomanPSMT" w:hAnsi="TimesNewRomanPSMT"/>
          <w:color w:val="000000"/>
          <w:sz w:val="20"/>
        </w:rPr>
        <w:t>Figure 11</w:t>
      </w:r>
      <w:r w:rsidR="00595492">
        <w:rPr>
          <w:rFonts w:ascii="TimesNewRomanPSMT" w:hAnsi="TimesNewRomanPSMT"/>
          <w:color w:val="000000"/>
          <w:sz w:val="20"/>
        </w:rPr>
        <w:t xml:space="preserve"> shows the properties of the </w:t>
      </w:r>
      <w:proofErr w:type="spellStart"/>
      <w:r w:rsidR="00154352">
        <w:rPr>
          <w:rFonts w:ascii="TimesNewRomanPSMT" w:hAnsi="TimesNewRomanPSMT"/>
          <w:color w:val="000000"/>
          <w:sz w:val="20"/>
        </w:rPr>
        <w:t>dft_ntwk_info</w:t>
      </w:r>
      <w:proofErr w:type="spellEnd"/>
      <w:r w:rsidR="00595492">
        <w:rPr>
          <w:rFonts w:ascii="TimesNewRomanPSMT" w:hAnsi="TimesNewRomanPSMT"/>
          <w:color w:val="000000"/>
          <w:sz w:val="20"/>
        </w:rPr>
        <w:t xml:space="preserve"> </w:t>
      </w:r>
      <w:proofErr w:type="gramStart"/>
      <w:r w:rsidR="00595492">
        <w:rPr>
          <w:rFonts w:ascii="TimesNewRomanPSMT" w:hAnsi="TimesNewRomanPSMT"/>
          <w:color w:val="000000"/>
          <w:sz w:val="20"/>
        </w:rPr>
        <w:t>class.</w:t>
      </w:r>
      <w:r w:rsidR="00E51285">
        <w:rPr>
          <w:rFonts w:ascii="TimesNewRomanPSMT" w:hAnsi="TimesNewRomanPSMT"/>
          <w:color w:val="000000"/>
          <w:sz w:val="20"/>
        </w:rPr>
        <w:t>.</w:t>
      </w:r>
      <w:proofErr w:type="gramEnd"/>
      <w:r w:rsidR="00E51285">
        <w:rPr>
          <w:rFonts w:ascii="TimesNewRomanPSMT" w:hAnsi="TimesNewRomanPSMT"/>
          <w:color w:val="000000"/>
          <w:sz w:val="20"/>
        </w:rPr>
        <w:t xml:space="preserve"> </w:t>
      </w:r>
    </w:p>
    <w:p w14:paraId="45651D36" w14:textId="720D3BD8" w:rsidR="00D60B44" w:rsidRDefault="00E51285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 xml:space="preserve">A uvm_blocking_put_port is added in </w:t>
      </w:r>
      <w:r w:rsidR="004326E3">
        <w:rPr>
          <w:rFonts w:ascii="TimesNewRomanPSMT" w:hAnsi="TimesNewRomanPSMT"/>
          <w:color w:val="000000"/>
          <w:sz w:val="20"/>
        </w:rPr>
        <w:t xml:space="preserve">the </w:t>
      </w:r>
      <w:proofErr w:type="spellStart"/>
      <w:r>
        <w:rPr>
          <w:rFonts w:ascii="TimesNewRomanPSMT" w:hAnsi="TimesNewRomanPSMT"/>
          <w:color w:val="000000"/>
          <w:sz w:val="20"/>
        </w:rPr>
        <w:t>dft_reg_</w:t>
      </w:r>
      <w:proofErr w:type="gramStart"/>
      <w:r>
        <w:rPr>
          <w:rFonts w:ascii="TimesNewRomanPSMT" w:hAnsi="TimesNewRomanPSMT"/>
          <w:color w:val="000000"/>
          <w:sz w:val="20"/>
        </w:rPr>
        <w:t>monitor</w:t>
      </w:r>
      <w:proofErr w:type="spellEnd"/>
      <w:r>
        <w:rPr>
          <w:rFonts w:ascii="TimesNewRomanPSMT" w:hAnsi="TimesNewRomanPSMT"/>
          <w:color w:val="000000"/>
          <w:sz w:val="20"/>
        </w:rPr>
        <w:t xml:space="preserve"> </w:t>
      </w:r>
      <w:r w:rsidR="004326E3">
        <w:rPr>
          <w:rFonts w:ascii="TimesNewRomanPSMT" w:hAnsi="TimesNewRomanPSMT"/>
          <w:color w:val="000000"/>
          <w:sz w:val="20"/>
        </w:rPr>
        <w:t xml:space="preserve"> and</w:t>
      </w:r>
      <w:proofErr w:type="gramEnd"/>
      <w:r w:rsidR="004326E3">
        <w:rPr>
          <w:rFonts w:ascii="TimesNewRomanPSMT" w:hAnsi="TimesNewRomanPSMT"/>
          <w:color w:val="000000"/>
          <w:sz w:val="20"/>
        </w:rPr>
        <w:t xml:space="preserve"> a uvm_blocking_put_imp port is added in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dft_reg_sequencer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</w:t>
      </w:r>
      <w:r w:rsidR="00996215">
        <w:rPr>
          <w:rFonts w:ascii="TimesNewRomanPSMT" w:hAnsi="TimesNewRomanPSMT"/>
          <w:color w:val="000000"/>
          <w:sz w:val="20"/>
        </w:rPr>
        <w:t>as show in Figure 1</w:t>
      </w:r>
      <w:r>
        <w:rPr>
          <w:rFonts w:ascii="TimesNewRomanPSMT" w:hAnsi="TimesNewRomanPSMT"/>
          <w:color w:val="000000"/>
          <w:sz w:val="20"/>
        </w:rPr>
        <w:t>.</w:t>
      </w:r>
      <w:r w:rsidR="00154352">
        <w:rPr>
          <w:rFonts w:ascii="TimesNewRomanPSMT" w:hAnsi="TimesNewRomanPSMT"/>
          <w:color w:val="000000"/>
          <w:sz w:val="20"/>
        </w:rPr>
        <w:t xml:space="preserve"> The </w:t>
      </w:r>
      <w:proofErr w:type="spellStart"/>
      <w:r w:rsidR="00154352">
        <w:rPr>
          <w:rFonts w:ascii="TimesNewRomanPSMT" w:hAnsi="TimesNewRomanPSMT"/>
          <w:color w:val="000000"/>
          <w:sz w:val="20"/>
        </w:rPr>
        <w:t>dft_net</w:t>
      </w:r>
      <w:r w:rsidR="004326E3">
        <w:rPr>
          <w:rFonts w:ascii="TimesNewRomanPSMT" w:hAnsi="TimesNewRomanPSMT"/>
          <w:color w:val="000000"/>
          <w:sz w:val="20"/>
        </w:rPr>
        <w:t>wk_info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is passed from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dft_reg_monitor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to the </w:t>
      </w:r>
      <w:proofErr w:type="spellStart"/>
      <w:r w:rsidR="004326E3">
        <w:rPr>
          <w:rFonts w:ascii="TimesNewRomanPSMT" w:hAnsi="TimesNewRomanPSMT"/>
          <w:color w:val="000000"/>
          <w:sz w:val="20"/>
        </w:rPr>
        <w:t>dft_reg_sequencer</w:t>
      </w:r>
      <w:proofErr w:type="spellEnd"/>
      <w:r w:rsidR="004326E3">
        <w:rPr>
          <w:rFonts w:ascii="TimesNewRomanPSMT" w:hAnsi="TimesNewRomanPSMT"/>
          <w:color w:val="000000"/>
          <w:sz w:val="20"/>
        </w:rPr>
        <w:t xml:space="preserve"> whenever the dft_tdr_network update SIBs.</w:t>
      </w:r>
    </w:p>
    <w:p w14:paraId="5FF2D0D5" w14:textId="636D9D6E" w:rsidR="00544929" w:rsidRDefault="00544929" w:rsidP="006D2A17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lastRenderedPageBreak/>
        <w:t xml:space="preserve">Suppose we want to access the WIR2 </w:t>
      </w:r>
      <w:r w:rsidR="00E71974">
        <w:rPr>
          <w:rFonts w:ascii="TimesNewRomanPSMT" w:hAnsi="TimesNewRomanPSMT"/>
          <w:color w:val="000000"/>
          <w:sz w:val="20"/>
        </w:rPr>
        <w:t>continually five times, it takes</w:t>
      </w:r>
      <w:r>
        <w:rPr>
          <w:rFonts w:ascii="TimesNewRomanPSMT" w:hAnsi="TimesNewRomanPSMT"/>
          <w:color w:val="000000"/>
          <w:sz w:val="20"/>
        </w:rPr>
        <w:t xml:space="preserve"> </w:t>
      </w:r>
      <w:r w:rsidR="00E71974">
        <w:rPr>
          <w:rFonts w:ascii="TimesNewRomanPSMT" w:hAnsi="TimesNewRomanPSMT"/>
          <w:color w:val="000000"/>
          <w:sz w:val="20"/>
        </w:rPr>
        <w:t xml:space="preserve">840 shift cycles not counting the FSM transaction cycles before passing the </w:t>
      </w:r>
      <w:proofErr w:type="spellStart"/>
      <w:r w:rsidR="00E71974">
        <w:rPr>
          <w:rFonts w:ascii="TimesNewRomanPSMT" w:hAnsi="TimesNewRomanPSMT"/>
          <w:color w:val="000000"/>
          <w:sz w:val="20"/>
        </w:rPr>
        <w:t>dft_ntwk_info</w:t>
      </w:r>
      <w:proofErr w:type="spellEnd"/>
      <w:r w:rsidR="00E71974">
        <w:rPr>
          <w:rFonts w:ascii="TimesNewRomanPSMT" w:hAnsi="TimesNewRomanPSMT"/>
          <w:color w:val="000000"/>
          <w:sz w:val="20"/>
        </w:rPr>
        <w:t xml:space="preserve"> to the </w:t>
      </w:r>
      <w:r w:rsidR="00E71974" w:rsidRPr="00116F8D">
        <w:rPr>
          <w:rFonts w:ascii="TimesNewRomanPSMT" w:hAnsi="TimesNewRomanPSMT"/>
          <w:color w:val="000000"/>
          <w:sz w:val="20"/>
        </w:rPr>
        <w:t>dft_reg_tx_to_jtag_tx_sequence</w:t>
      </w:r>
      <w:r w:rsidR="00E71974">
        <w:rPr>
          <w:rFonts w:ascii="TimesNewRomanPSMT" w:hAnsi="TimesNewRomanPSMT"/>
          <w:color w:val="000000"/>
          <w:sz w:val="20"/>
        </w:rPr>
        <w:t>, now it only takes 632 shift cycles.</w:t>
      </w:r>
      <w:r w:rsidR="007722C0">
        <w:rPr>
          <w:rFonts w:ascii="TimesNewRomanPSMT" w:hAnsi="TimesNewRomanPSMT"/>
          <w:color w:val="000000"/>
          <w:sz w:val="20"/>
        </w:rPr>
        <w:t xml:space="preserve"> About 25% test time is saved.</w:t>
      </w:r>
    </w:p>
    <w:p w14:paraId="56EE5922" w14:textId="10DE555B" w:rsidR="00F81A6F" w:rsidRPr="004D35FF" w:rsidRDefault="00F81A6F" w:rsidP="00D60B44">
      <w:pPr>
        <w:spacing w:line="240" w:lineRule="atLeast"/>
        <w:jc w:val="both"/>
        <w:rPr>
          <w:b/>
          <w:sz w:val="20"/>
          <w:lang w:eastAsia="zh-CN"/>
        </w:rPr>
      </w:pPr>
      <w:r w:rsidRPr="004D35FF">
        <w:rPr>
          <w:rFonts w:ascii="TimesNewRomanPSMT" w:hAnsi="TimesNewRomanPSMT"/>
          <w:b/>
          <w:color w:val="000000"/>
          <w:sz w:val="20"/>
        </w:rPr>
        <w:t>Results and Discussion:</w:t>
      </w:r>
    </w:p>
    <w:p w14:paraId="0F829A99" w14:textId="77777777" w:rsidR="002F09FB" w:rsidRDefault="002F09FB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1EA32B94" w14:textId="372FEDEA" w:rsidR="00673B7B" w:rsidRDefault="002F09FB" w:rsidP="00D40D73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rFonts w:ascii="TimesNewRomanPSMT" w:hAnsi="TimesNewRomanPSMT"/>
          <w:color w:val="000000"/>
          <w:sz w:val="20"/>
        </w:rPr>
        <w:br/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1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5DD0B467" w:rsidR="000F2AB7" w:rsidRDefault="00D357BB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2AA5C6F6" wp14:editId="017B9270">
            <wp:extent cx="2971800" cy="32369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6403633F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  <w:r w:rsidR="00A015BC">
        <w:rPr>
          <w:sz w:val="20"/>
        </w:rPr>
        <w:t xml:space="preserve"> DFT TDR Modelling Block Diagram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6410DF21" w:rsidR="001F2144" w:rsidRDefault="003C46E0" w:rsidP="001F2144">
      <w:pPr>
        <w:spacing w:line="240" w:lineRule="atLeast"/>
        <w:jc w:val="both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764CDD36" wp14:editId="3954B39E">
            <wp:extent cx="2980944" cy="2084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A1F" w14:textId="562B5C51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7404579A" w:rsidR="006F5D16" w:rsidRDefault="006F5D16" w:rsidP="001F2144">
      <w:pPr>
        <w:spacing w:line="240" w:lineRule="atLeast"/>
        <w:jc w:val="center"/>
        <w:rPr>
          <w:sz w:val="20"/>
        </w:rPr>
      </w:pP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p w14:paraId="7EDF2CC9" w14:textId="77777777" w:rsidR="002660E2" w:rsidRDefault="002660E2" w:rsidP="00F10F1E">
      <w:pPr>
        <w:spacing w:line="240" w:lineRule="atLeast"/>
        <w:ind w:firstLine="288"/>
        <w:jc w:val="both"/>
        <w:rPr>
          <w:sz w:val="20"/>
        </w:rPr>
      </w:pPr>
    </w:p>
    <w:p w14:paraId="52C619A6" w14:textId="5EBCA46D" w:rsidR="002660E2" w:rsidRDefault="000B41B9" w:rsidP="00F10F1E">
      <w:pPr>
        <w:spacing w:line="240" w:lineRule="atLeast"/>
        <w:ind w:firstLine="288"/>
        <w:jc w:val="both"/>
        <w:rPr>
          <w:sz w:val="20"/>
        </w:rPr>
      </w:pPr>
      <w:r w:rsidRPr="00E96CB5">
        <w:rPr>
          <w:b/>
          <w:sz w:val="20"/>
        </w:rPr>
        <w:t>Results and Discussion</w:t>
      </w:r>
      <w:r>
        <w:rPr>
          <w:sz w:val="20"/>
        </w:rPr>
        <w:t>:</w:t>
      </w:r>
    </w:p>
    <w:p w14:paraId="39A35280" w14:textId="77777777" w:rsidR="003850FD" w:rsidRDefault="004C7105" w:rsidP="0006429E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This paper introduces a layered structure to model DFT TDR in UVM. The register layer one and the transaction layer can be used directly for different projects. </w:t>
      </w:r>
      <w:r w:rsidR="000B41B9" w:rsidRPr="004C7105">
        <w:rPr>
          <w:sz w:val="20"/>
        </w:rPr>
        <w:t xml:space="preserve">The </w:t>
      </w:r>
      <w:proofErr w:type="spellStart"/>
      <w:r w:rsidR="0006429E">
        <w:rPr>
          <w:i/>
          <w:sz w:val="20"/>
        </w:rPr>
        <w:t>dft_reg</w:t>
      </w:r>
      <w:r w:rsidR="000B41B9" w:rsidRPr="004C7105">
        <w:rPr>
          <w:i/>
          <w:sz w:val="20"/>
        </w:rPr>
        <w:t>_network</w:t>
      </w:r>
      <w:proofErr w:type="spellEnd"/>
      <w:r w:rsidR="000B41B9" w:rsidRPr="004C7105">
        <w:rPr>
          <w:sz w:val="20"/>
        </w:rPr>
        <w:t xml:space="preserve"> component and the </w:t>
      </w:r>
      <w:r w:rsidR="000B41B9" w:rsidRPr="004C7105">
        <w:rPr>
          <w:i/>
          <w:sz w:val="20"/>
        </w:rPr>
        <w:t>dft_reg_tx_to_jtag_tx_sequence</w:t>
      </w:r>
      <w:r w:rsidR="000B41B9" w:rsidRPr="004C7105">
        <w:rPr>
          <w:sz w:val="20"/>
        </w:rPr>
        <w:t xml:space="preserve"> virtual sequence</w:t>
      </w:r>
      <w:r w:rsidRPr="004C7105">
        <w:rPr>
          <w:sz w:val="20"/>
        </w:rPr>
        <w:t xml:space="preserve"> in register layer two are</w:t>
      </w:r>
      <w:r w:rsidR="000B41B9" w:rsidRPr="004C7105">
        <w:rPr>
          <w:sz w:val="20"/>
        </w:rPr>
        <w:t xml:space="preserve"> project-specific. Users need to model the </w:t>
      </w:r>
      <w:r w:rsidR="000B41B9" w:rsidRPr="004C7105">
        <w:rPr>
          <w:i/>
          <w:sz w:val="20"/>
        </w:rPr>
        <w:t>dft_tdr_network</w:t>
      </w:r>
      <w:r w:rsidR="000B41B9" w:rsidRPr="004C7105">
        <w:rPr>
          <w:sz w:val="20"/>
        </w:rPr>
        <w:t xml:space="preserve"> component and program the </w:t>
      </w:r>
      <w:r w:rsidR="000B41B9" w:rsidRPr="004C7105">
        <w:rPr>
          <w:i/>
          <w:sz w:val="20"/>
        </w:rPr>
        <w:t>dft_reg_tx_to_jtag_tx_sequence</w:t>
      </w:r>
      <w:r w:rsidR="000B41B9" w:rsidRPr="004C7105">
        <w:rPr>
          <w:sz w:val="20"/>
        </w:rPr>
        <w:t xml:space="preserve"> according to their project’s TDR test access network architecture.</w:t>
      </w:r>
      <w:r w:rsidR="0006429E">
        <w:rPr>
          <w:sz w:val="20"/>
        </w:rPr>
        <w:t xml:space="preserve"> The current </w:t>
      </w:r>
      <w:proofErr w:type="spellStart"/>
      <w:r w:rsidR="0006429E">
        <w:rPr>
          <w:sz w:val="20"/>
        </w:rPr>
        <w:t>dft_reg_network</w:t>
      </w:r>
      <w:proofErr w:type="spellEnd"/>
      <w:r w:rsidR="0006429E">
        <w:rPr>
          <w:sz w:val="20"/>
        </w:rPr>
        <w:t xml:space="preserve"> and </w:t>
      </w:r>
      <w:r w:rsidR="0006429E" w:rsidRPr="004C7105">
        <w:rPr>
          <w:sz w:val="20"/>
        </w:rPr>
        <w:t xml:space="preserve">the </w:t>
      </w:r>
      <w:r w:rsidR="0006429E" w:rsidRPr="004C7105">
        <w:rPr>
          <w:i/>
          <w:sz w:val="20"/>
        </w:rPr>
        <w:t>dft_reg_tx_to_jtag_tx_sequence</w:t>
      </w:r>
      <w:r w:rsidR="0006429E" w:rsidRPr="004C7105">
        <w:rPr>
          <w:sz w:val="20"/>
        </w:rPr>
        <w:t xml:space="preserve"> virtual sequence</w:t>
      </w:r>
      <w:r w:rsidR="0006429E">
        <w:rPr>
          <w:sz w:val="20"/>
        </w:rPr>
        <w:t xml:space="preserve"> </w:t>
      </w:r>
      <w:proofErr w:type="gramStart"/>
      <w:r w:rsidR="0006429E">
        <w:rPr>
          <w:sz w:val="20"/>
        </w:rPr>
        <w:t>are</w:t>
      </w:r>
      <w:proofErr w:type="gramEnd"/>
      <w:r w:rsidR="0006429E">
        <w:rPr>
          <w:sz w:val="20"/>
        </w:rPr>
        <w:t xml:space="preserve"> based on the assumption that an abstracted DFT TDR access only access a TDR each time. The next step </w:t>
      </w:r>
      <w:r w:rsidR="00B9574D">
        <w:rPr>
          <w:sz w:val="20"/>
        </w:rPr>
        <w:t xml:space="preserve">of </w:t>
      </w:r>
      <w:r w:rsidR="0006429E">
        <w:rPr>
          <w:sz w:val="20"/>
        </w:rPr>
        <w:t xml:space="preserve">work is to enhance to support broadcast mode which means the TDR has same OPCODE in different IEEE1500 clients can be access at the same time, so that to </w:t>
      </w:r>
      <w:r w:rsidR="00B9574D">
        <w:rPr>
          <w:sz w:val="20"/>
        </w:rPr>
        <w:t xml:space="preserve">improve DFT TDR configure efficiency furthermore. </w:t>
      </w:r>
      <w:r w:rsidR="0006429E">
        <w:rPr>
          <w:sz w:val="20"/>
        </w:rPr>
        <w:t xml:space="preserve"> </w:t>
      </w:r>
    </w:p>
    <w:p w14:paraId="5A072CF1" w14:textId="1243B0CF" w:rsidR="004C7105" w:rsidRDefault="003850FD" w:rsidP="0006429E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Following tables shows an experiment results. </w:t>
      </w:r>
      <w:r w:rsidR="0006429E">
        <w:rPr>
          <w:sz w:val="20"/>
        </w:rPr>
        <w:t xml:space="preserve">  </w:t>
      </w:r>
    </w:p>
    <w:p w14:paraId="6053F004" w14:textId="77777777" w:rsidR="004C7105" w:rsidRPr="004C7105" w:rsidRDefault="004C7105" w:rsidP="004C7105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236"/>
        <w:gridCol w:w="1288"/>
        <w:gridCol w:w="1236"/>
        <w:gridCol w:w="1236"/>
        <w:gridCol w:w="1002"/>
        <w:gridCol w:w="1002"/>
        <w:gridCol w:w="1002"/>
      </w:tblGrid>
      <w:tr w:rsidR="004C7105" w14:paraId="413497A3" w14:textId="5DCF2B70" w:rsidTr="004C7105">
        <w:tc>
          <w:tcPr>
            <w:tcW w:w="1348" w:type="dxa"/>
          </w:tcPr>
          <w:p w14:paraId="2B059D80" w14:textId="09312D72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</w:t>
            </w:r>
          </w:p>
        </w:tc>
        <w:tc>
          <w:tcPr>
            <w:tcW w:w="1236" w:type="dxa"/>
          </w:tcPr>
          <w:p w14:paraId="117805F4" w14:textId="3EA932E6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  <w:tc>
          <w:tcPr>
            <w:tcW w:w="1288" w:type="dxa"/>
          </w:tcPr>
          <w:p w14:paraId="44891BEF" w14:textId="04E46B18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8192</w:t>
            </w:r>
          </w:p>
        </w:tc>
        <w:tc>
          <w:tcPr>
            <w:tcW w:w="1236" w:type="dxa"/>
          </w:tcPr>
          <w:p w14:paraId="5B0185CD" w14:textId="3F09F66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36" w:type="dxa"/>
          </w:tcPr>
          <w:p w14:paraId="6476EB7A" w14:textId="5EB2961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002" w:type="dxa"/>
          </w:tcPr>
          <w:p w14:paraId="5C791F3C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42CF018A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6FC2554E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35832396" w14:textId="0D4F8794" w:rsidTr="004C7105">
        <w:tc>
          <w:tcPr>
            <w:tcW w:w="1348" w:type="dxa"/>
          </w:tcPr>
          <w:p w14:paraId="19AA2CC5" w14:textId="0844EE61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236" w:type="dxa"/>
          </w:tcPr>
          <w:p w14:paraId="30845244" w14:textId="7C127C24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955.2</w:t>
            </w:r>
          </w:p>
        </w:tc>
        <w:tc>
          <w:tcPr>
            <w:tcW w:w="1288" w:type="dxa"/>
          </w:tcPr>
          <w:p w14:paraId="5F54C63B" w14:textId="794ED904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1025.0</w:t>
            </w:r>
          </w:p>
        </w:tc>
        <w:tc>
          <w:tcPr>
            <w:tcW w:w="1236" w:type="dxa"/>
          </w:tcPr>
          <w:p w14:paraId="5245A2DE" w14:textId="7C3EAD79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872.8</w:t>
            </w:r>
          </w:p>
        </w:tc>
        <w:tc>
          <w:tcPr>
            <w:tcW w:w="1236" w:type="dxa"/>
          </w:tcPr>
          <w:p w14:paraId="54860BE5" w14:textId="04347C46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833.4</w:t>
            </w:r>
          </w:p>
        </w:tc>
        <w:tc>
          <w:tcPr>
            <w:tcW w:w="1002" w:type="dxa"/>
          </w:tcPr>
          <w:p w14:paraId="5AC390D0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751F939D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3F10DE28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1369122E" w14:textId="05277083" w:rsidTr="004C7105">
        <w:tc>
          <w:tcPr>
            <w:tcW w:w="1348" w:type="dxa"/>
          </w:tcPr>
          <w:p w14:paraId="02F911B4" w14:textId="5779BD5A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236" w:type="dxa"/>
          </w:tcPr>
          <w:p w14:paraId="2828E28F" w14:textId="6C316211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651.1</w:t>
            </w:r>
          </w:p>
        </w:tc>
        <w:tc>
          <w:tcPr>
            <w:tcW w:w="1288" w:type="dxa"/>
          </w:tcPr>
          <w:p w14:paraId="43885C52" w14:textId="2931DF43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720.8</w:t>
            </w:r>
          </w:p>
        </w:tc>
        <w:tc>
          <w:tcPr>
            <w:tcW w:w="1236" w:type="dxa"/>
          </w:tcPr>
          <w:p w14:paraId="614A947F" w14:textId="0B91F5EB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568.9</w:t>
            </w:r>
          </w:p>
        </w:tc>
        <w:tc>
          <w:tcPr>
            <w:tcW w:w="1236" w:type="dxa"/>
          </w:tcPr>
          <w:p w14:paraId="052FBCC2" w14:textId="6C90385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529.2</w:t>
            </w:r>
          </w:p>
        </w:tc>
        <w:tc>
          <w:tcPr>
            <w:tcW w:w="1002" w:type="dxa"/>
          </w:tcPr>
          <w:p w14:paraId="19B3CB13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52B9CE4F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55140C1C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24AE499D" w14:textId="7D2162B0" w:rsidTr="004C7105">
        <w:tc>
          <w:tcPr>
            <w:tcW w:w="1348" w:type="dxa"/>
          </w:tcPr>
          <w:p w14:paraId="40EB2EED" w14:textId="746215C9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236" w:type="dxa"/>
          </w:tcPr>
          <w:p w14:paraId="19740720" w14:textId="3D8C231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288" w:type="dxa"/>
          </w:tcPr>
          <w:p w14:paraId="134225FA" w14:textId="60E859D3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36" w:type="dxa"/>
          </w:tcPr>
          <w:p w14:paraId="6BB7A901" w14:textId="7993EEB1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36" w:type="dxa"/>
          </w:tcPr>
          <w:p w14:paraId="7FDB8C9C" w14:textId="73CE09D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002" w:type="dxa"/>
          </w:tcPr>
          <w:p w14:paraId="1DCF22B5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6EB99EBE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04D3F5F3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76E09706" w14:textId="528F1011" w:rsidTr="004C7105">
        <w:tc>
          <w:tcPr>
            <w:tcW w:w="1348" w:type="dxa"/>
          </w:tcPr>
          <w:p w14:paraId="4D4AD923" w14:textId="71EAB60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private memory size</w:t>
            </w:r>
          </w:p>
        </w:tc>
        <w:tc>
          <w:tcPr>
            <w:tcW w:w="1236" w:type="dxa"/>
          </w:tcPr>
          <w:p w14:paraId="4B78EA08" w14:textId="442AAEAD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649.3</w:t>
            </w:r>
          </w:p>
        </w:tc>
        <w:tc>
          <w:tcPr>
            <w:tcW w:w="1288" w:type="dxa"/>
          </w:tcPr>
          <w:p w14:paraId="78B71855" w14:textId="4CCAD8BB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719.6</w:t>
            </w:r>
          </w:p>
        </w:tc>
        <w:tc>
          <w:tcPr>
            <w:tcW w:w="1236" w:type="dxa"/>
          </w:tcPr>
          <w:p w14:paraId="232D7682" w14:textId="3B38F09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567.6</w:t>
            </w:r>
          </w:p>
        </w:tc>
        <w:tc>
          <w:tcPr>
            <w:tcW w:w="1236" w:type="dxa"/>
          </w:tcPr>
          <w:p w14:paraId="222815FF" w14:textId="425C6BC6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528.0</w:t>
            </w:r>
          </w:p>
        </w:tc>
        <w:tc>
          <w:tcPr>
            <w:tcW w:w="1002" w:type="dxa"/>
          </w:tcPr>
          <w:p w14:paraId="154A2EB6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7CD8A1E1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55683D22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4C7105" w14:paraId="135D5E02" w14:textId="1AFE1CD7" w:rsidTr="004C7105">
        <w:tc>
          <w:tcPr>
            <w:tcW w:w="1348" w:type="dxa"/>
          </w:tcPr>
          <w:p w14:paraId="210EB4A5" w14:textId="54562E0B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236" w:type="dxa"/>
          </w:tcPr>
          <w:p w14:paraId="4C34F455" w14:textId="347BF8B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88" w:type="dxa"/>
          </w:tcPr>
          <w:p w14:paraId="268E4B47" w14:textId="1CE9590D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1236" w:type="dxa"/>
          </w:tcPr>
          <w:p w14:paraId="3BEAB9EF" w14:textId="1272A71A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6" w:type="dxa"/>
          </w:tcPr>
          <w:p w14:paraId="36EBE92E" w14:textId="6E9F6FB5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2" w:type="dxa"/>
          </w:tcPr>
          <w:p w14:paraId="341B342B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7E6671F2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002" w:type="dxa"/>
          </w:tcPr>
          <w:p w14:paraId="21A535A1" w14:textId="77777777" w:rsidR="004C7105" w:rsidRDefault="004C7105" w:rsidP="00F10F1E">
            <w:pPr>
              <w:spacing w:line="240" w:lineRule="atLeast"/>
              <w:jc w:val="both"/>
              <w:rPr>
                <w:sz w:val="20"/>
              </w:rPr>
            </w:pPr>
          </w:p>
        </w:tc>
      </w:tr>
    </w:tbl>
    <w:p w14:paraId="4C141AE4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6844A9A1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10120FBA" w14:textId="77777777" w:rsidTr="006B69D1">
        <w:tc>
          <w:tcPr>
            <w:tcW w:w="1870" w:type="dxa"/>
          </w:tcPr>
          <w:p w14:paraId="1C1816C2" w14:textId="18FB604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My(200)</w:t>
            </w:r>
          </w:p>
        </w:tc>
        <w:tc>
          <w:tcPr>
            <w:tcW w:w="1870" w:type="dxa"/>
          </w:tcPr>
          <w:p w14:paraId="632DC48D" w14:textId="163CBBE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DE2433">
              <w:rPr>
                <w:sz w:val="20"/>
              </w:rPr>
              <w:t xml:space="preserve"> (477 + 474.4)</w:t>
            </w:r>
          </w:p>
        </w:tc>
        <w:tc>
          <w:tcPr>
            <w:tcW w:w="1870" w:type="dxa"/>
          </w:tcPr>
          <w:p w14:paraId="6DDA3846" w14:textId="1EBE88C9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67ADDA93" w14:textId="0E924F41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13A73111" w14:textId="0323592A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  <w:r w:rsidR="005C69CF">
              <w:rPr>
                <w:sz w:val="20"/>
              </w:rPr>
              <w:t xml:space="preserve"> (4901)</w:t>
            </w:r>
          </w:p>
        </w:tc>
      </w:tr>
      <w:tr w:rsidR="00222EFB" w14:paraId="44F3BAE3" w14:textId="77777777" w:rsidTr="006B69D1">
        <w:tc>
          <w:tcPr>
            <w:tcW w:w="1870" w:type="dxa"/>
          </w:tcPr>
          <w:p w14:paraId="1FF20F0A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bookmarkStart w:id="1" w:name="_Hlk466281572"/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2437BC84" w14:textId="11C372F7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894.9</w:t>
            </w:r>
          </w:p>
        </w:tc>
        <w:tc>
          <w:tcPr>
            <w:tcW w:w="1870" w:type="dxa"/>
          </w:tcPr>
          <w:p w14:paraId="0947CB2E" w14:textId="3C2D24A8" w:rsidR="00222EFB" w:rsidRDefault="00C12BE8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984.4</w:t>
            </w:r>
          </w:p>
        </w:tc>
        <w:tc>
          <w:tcPr>
            <w:tcW w:w="1870" w:type="dxa"/>
          </w:tcPr>
          <w:p w14:paraId="224A522B" w14:textId="342C5A1D" w:rsidR="00222EFB" w:rsidRDefault="0082299A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1186.9</w:t>
            </w:r>
          </w:p>
        </w:tc>
        <w:tc>
          <w:tcPr>
            <w:tcW w:w="1870" w:type="dxa"/>
          </w:tcPr>
          <w:p w14:paraId="183F06C7" w14:textId="4E7337A0" w:rsidR="00222EFB" w:rsidRDefault="005C69CF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1635.1</w:t>
            </w:r>
          </w:p>
        </w:tc>
      </w:tr>
      <w:tr w:rsidR="00222EFB" w14:paraId="77BBF527" w14:textId="77777777" w:rsidTr="006B69D1">
        <w:tc>
          <w:tcPr>
            <w:tcW w:w="1870" w:type="dxa"/>
          </w:tcPr>
          <w:p w14:paraId="555571F4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4A016F2A" w14:textId="2F455699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590.9</w:t>
            </w:r>
          </w:p>
        </w:tc>
        <w:tc>
          <w:tcPr>
            <w:tcW w:w="1870" w:type="dxa"/>
          </w:tcPr>
          <w:p w14:paraId="341269B6" w14:textId="2AE42177" w:rsidR="00222EFB" w:rsidRDefault="00C12BE8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680.6</w:t>
            </w:r>
          </w:p>
        </w:tc>
        <w:tc>
          <w:tcPr>
            <w:tcW w:w="1870" w:type="dxa"/>
          </w:tcPr>
          <w:p w14:paraId="416E4196" w14:textId="2489DB63" w:rsidR="00222EFB" w:rsidRDefault="0082299A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882.5</w:t>
            </w:r>
          </w:p>
        </w:tc>
        <w:tc>
          <w:tcPr>
            <w:tcW w:w="1870" w:type="dxa"/>
          </w:tcPr>
          <w:p w14:paraId="3DD6E27F" w14:textId="3529C872" w:rsidR="00222EFB" w:rsidRDefault="005C69CF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1331.4</w:t>
            </w:r>
          </w:p>
        </w:tc>
      </w:tr>
      <w:tr w:rsidR="00DC3E00" w14:paraId="6921963F" w14:textId="77777777" w:rsidTr="006B69D1">
        <w:tc>
          <w:tcPr>
            <w:tcW w:w="1870" w:type="dxa"/>
          </w:tcPr>
          <w:p w14:paraId="00B8E344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4FF35230" w14:textId="04E9F0CF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44A4D4E7" w14:textId="6A40E905" w:rsidR="00DC3E00" w:rsidRDefault="00677E6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02888294" w14:textId="57B21811" w:rsidR="00DC3E00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4A062761" w14:textId="1EFB96A8" w:rsidR="00DC3E00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</w:tr>
      <w:tr w:rsidR="00DC3E00" w14:paraId="2E663550" w14:textId="77777777" w:rsidTr="006B69D1">
        <w:tc>
          <w:tcPr>
            <w:tcW w:w="1870" w:type="dxa"/>
          </w:tcPr>
          <w:p w14:paraId="488DCFD8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036B6CF6" w14:textId="02435C2B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587.7</w:t>
            </w:r>
          </w:p>
        </w:tc>
        <w:tc>
          <w:tcPr>
            <w:tcW w:w="1870" w:type="dxa"/>
          </w:tcPr>
          <w:p w14:paraId="4B3FC487" w14:textId="18DDA3C5" w:rsidR="00DC3E00" w:rsidRDefault="00677E6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678.6</w:t>
            </w:r>
          </w:p>
        </w:tc>
        <w:tc>
          <w:tcPr>
            <w:tcW w:w="1870" w:type="dxa"/>
          </w:tcPr>
          <w:p w14:paraId="68633A7E" w14:textId="6652195E" w:rsidR="00DC3E00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881.3</w:t>
            </w:r>
          </w:p>
        </w:tc>
        <w:tc>
          <w:tcPr>
            <w:tcW w:w="1870" w:type="dxa"/>
          </w:tcPr>
          <w:p w14:paraId="41C7F09B" w14:textId="34CF6B52" w:rsidR="00DC3E00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1330.2</w:t>
            </w:r>
          </w:p>
        </w:tc>
      </w:tr>
      <w:bookmarkEnd w:id="1"/>
      <w:tr w:rsidR="00DC3E00" w14:paraId="48DFF160" w14:textId="77777777" w:rsidTr="006B69D1">
        <w:tc>
          <w:tcPr>
            <w:tcW w:w="1870" w:type="dxa"/>
          </w:tcPr>
          <w:p w14:paraId="22181116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1054365D" w14:textId="1D128FF7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09B63833" w14:textId="1DA88BCD" w:rsidR="00DC3E00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1870" w:type="dxa"/>
          </w:tcPr>
          <w:p w14:paraId="2E96A8A9" w14:textId="3B0122F5" w:rsidR="00DC3E00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64D134B5" w14:textId="39433D5B" w:rsidR="00DC3E00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</w:tr>
    </w:tbl>
    <w:p w14:paraId="2D2C6B2B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5E74A0C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62CE8DEC" w14:textId="77777777" w:rsidTr="006B69D1">
        <w:tc>
          <w:tcPr>
            <w:tcW w:w="1870" w:type="dxa"/>
          </w:tcPr>
          <w:p w14:paraId="2544E0B5" w14:textId="6B197FE6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 (200)</w:t>
            </w:r>
          </w:p>
        </w:tc>
        <w:tc>
          <w:tcPr>
            <w:tcW w:w="1870" w:type="dxa"/>
          </w:tcPr>
          <w:p w14:paraId="5E6D3819" w14:textId="1DDA3AD2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786CF7">
              <w:rPr>
                <w:sz w:val="20"/>
              </w:rPr>
              <w:t xml:space="preserve"> (362+357.2)</w:t>
            </w:r>
          </w:p>
        </w:tc>
        <w:tc>
          <w:tcPr>
            <w:tcW w:w="1870" w:type="dxa"/>
          </w:tcPr>
          <w:p w14:paraId="1F0E07B4" w14:textId="4C4C918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784A3817" w14:textId="3078460F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5256B0EE" w14:textId="39786220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  <w:r w:rsidR="005C69CF">
              <w:rPr>
                <w:sz w:val="20"/>
              </w:rPr>
              <w:t xml:space="preserve"> (4306)</w:t>
            </w:r>
          </w:p>
        </w:tc>
      </w:tr>
      <w:tr w:rsidR="00222EFB" w14:paraId="22C45C3E" w14:textId="77777777" w:rsidTr="006B69D1">
        <w:tc>
          <w:tcPr>
            <w:tcW w:w="1870" w:type="dxa"/>
          </w:tcPr>
          <w:p w14:paraId="2927936B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6E4F2CEF" w14:textId="06EF9077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985.9</w:t>
            </w:r>
          </w:p>
        </w:tc>
        <w:tc>
          <w:tcPr>
            <w:tcW w:w="1870" w:type="dxa"/>
          </w:tcPr>
          <w:p w14:paraId="6E7BCE73" w14:textId="6608003A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1122.5</w:t>
            </w:r>
          </w:p>
        </w:tc>
        <w:tc>
          <w:tcPr>
            <w:tcW w:w="1870" w:type="dxa"/>
          </w:tcPr>
          <w:p w14:paraId="1EABF4E9" w14:textId="76A41924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1607</w:t>
            </w:r>
          </w:p>
        </w:tc>
        <w:tc>
          <w:tcPr>
            <w:tcW w:w="1870" w:type="dxa"/>
          </w:tcPr>
          <w:p w14:paraId="45DF4E1C" w14:textId="1454FCC9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3290.8</w:t>
            </w:r>
          </w:p>
        </w:tc>
      </w:tr>
      <w:tr w:rsidR="00222EFB" w14:paraId="6AF43EA5" w14:textId="77777777" w:rsidTr="006B69D1">
        <w:tc>
          <w:tcPr>
            <w:tcW w:w="1870" w:type="dxa"/>
          </w:tcPr>
          <w:p w14:paraId="621388B8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2270DEA6" w14:textId="351E0112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681.</w:t>
            </w:r>
            <w:r w:rsidR="003015E8">
              <w:rPr>
                <w:sz w:val="20"/>
              </w:rPr>
              <w:t>8</w:t>
            </w:r>
          </w:p>
        </w:tc>
        <w:tc>
          <w:tcPr>
            <w:tcW w:w="1870" w:type="dxa"/>
          </w:tcPr>
          <w:p w14:paraId="5F1A5E0B" w14:textId="5BFD9938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818.5</w:t>
            </w:r>
          </w:p>
        </w:tc>
        <w:tc>
          <w:tcPr>
            <w:tcW w:w="1870" w:type="dxa"/>
          </w:tcPr>
          <w:p w14:paraId="1196C0BD" w14:textId="10656CCC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1302.8</w:t>
            </w:r>
          </w:p>
        </w:tc>
        <w:tc>
          <w:tcPr>
            <w:tcW w:w="1870" w:type="dxa"/>
          </w:tcPr>
          <w:p w14:paraId="5F6CC5FC" w14:textId="1B727640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2986.4</w:t>
            </w:r>
          </w:p>
        </w:tc>
      </w:tr>
      <w:tr w:rsidR="00222EFB" w14:paraId="5C02B8CD" w14:textId="77777777" w:rsidTr="006B69D1">
        <w:tc>
          <w:tcPr>
            <w:tcW w:w="1870" w:type="dxa"/>
          </w:tcPr>
          <w:p w14:paraId="37142193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1A58D1F5" w14:textId="02766961" w:rsidR="00222EFB" w:rsidRDefault="003015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5C7B5767" w14:textId="2AEBE59E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02D4FB7D" w14:textId="1E0B852F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1870" w:type="dxa"/>
          </w:tcPr>
          <w:p w14:paraId="3FC0A18F" w14:textId="112F36D1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</w:tr>
      <w:tr w:rsidR="00222EFB" w14:paraId="70DEED6D" w14:textId="77777777" w:rsidTr="006B69D1">
        <w:tc>
          <w:tcPr>
            <w:tcW w:w="1870" w:type="dxa"/>
          </w:tcPr>
          <w:p w14:paraId="6F7876BF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7B707B43" w14:textId="0F592E3D" w:rsidR="00222EFB" w:rsidRDefault="003015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651.3</w:t>
            </w:r>
          </w:p>
        </w:tc>
        <w:tc>
          <w:tcPr>
            <w:tcW w:w="1870" w:type="dxa"/>
          </w:tcPr>
          <w:p w14:paraId="2535BF8A" w14:textId="36D4A3EF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788</w:t>
            </w:r>
          </w:p>
        </w:tc>
        <w:tc>
          <w:tcPr>
            <w:tcW w:w="1870" w:type="dxa"/>
          </w:tcPr>
          <w:p w14:paraId="1A01D0E6" w14:textId="35A6E466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1272.3</w:t>
            </w:r>
          </w:p>
        </w:tc>
        <w:tc>
          <w:tcPr>
            <w:tcW w:w="1870" w:type="dxa"/>
          </w:tcPr>
          <w:p w14:paraId="52B7D122" w14:textId="5B56A0ED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2955.9</w:t>
            </w:r>
          </w:p>
        </w:tc>
      </w:tr>
      <w:tr w:rsidR="00222EFB" w14:paraId="20CA4161" w14:textId="77777777" w:rsidTr="006B69D1">
        <w:tc>
          <w:tcPr>
            <w:tcW w:w="1870" w:type="dxa"/>
          </w:tcPr>
          <w:p w14:paraId="334753E7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526A8E92" w14:textId="18B3807B" w:rsidR="00222EFB" w:rsidRDefault="003015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833</w:t>
            </w:r>
          </w:p>
        </w:tc>
        <w:tc>
          <w:tcPr>
            <w:tcW w:w="1870" w:type="dxa"/>
          </w:tcPr>
          <w:p w14:paraId="5CEC6615" w14:textId="16A1D0E2" w:rsidR="00222EFB" w:rsidRDefault="00C12BE8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1870" w:type="dxa"/>
          </w:tcPr>
          <w:p w14:paraId="741514CF" w14:textId="5E94FD43" w:rsidR="00222EFB" w:rsidRDefault="0082299A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1870" w:type="dxa"/>
          </w:tcPr>
          <w:p w14:paraId="67CC3997" w14:textId="25689C5C" w:rsidR="00222EFB" w:rsidRDefault="005C69CF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</w:tr>
    </w:tbl>
    <w:p w14:paraId="316C3831" w14:textId="77777777" w:rsidR="00EB4714" w:rsidRDefault="00EB4714" w:rsidP="00EB4714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The author improved the method in [1] by adding a pair of </w:t>
      </w:r>
      <w:r w:rsidRPr="000619E1">
        <w:rPr>
          <w:i/>
          <w:sz w:val="20"/>
          <w:lang w:eastAsia="zh-CN"/>
        </w:rPr>
        <w:t>uvm_blocking_put</w:t>
      </w:r>
      <w:r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proofErr w:type="spellStart"/>
      <w:r w:rsidRPr="000619E1">
        <w:rPr>
          <w:i/>
          <w:sz w:val="20"/>
          <w:lang w:eastAsia="zh-CN"/>
        </w:rPr>
        <w:t>dft_reg_sequencer</w:t>
      </w:r>
      <w:proofErr w:type="spellEnd"/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Pr="000619E1">
        <w:rPr>
          <w:i/>
          <w:sz w:val="20"/>
          <w:lang w:eastAsia="zh-CN"/>
        </w:rPr>
        <w:t>dft_reg_t</w:t>
      </w:r>
      <w:r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3B4A1CE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sectPr w:rsidR="00222EFB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C49E8" w14:textId="77777777" w:rsidR="001D3EA6" w:rsidRDefault="001D3EA6">
      <w:r>
        <w:separator/>
      </w:r>
    </w:p>
  </w:endnote>
  <w:endnote w:type="continuationSeparator" w:id="0">
    <w:p w14:paraId="3CD1BC04" w14:textId="77777777" w:rsidR="001D3EA6" w:rsidRDefault="001D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ItalicMT"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30D31" w14:textId="77777777" w:rsidR="001D3EA6" w:rsidRDefault="001D3EA6">
      <w:r>
        <w:separator/>
      </w:r>
    </w:p>
  </w:footnote>
  <w:footnote w:type="continuationSeparator" w:id="0">
    <w:p w14:paraId="3AEDABA6" w14:textId="77777777" w:rsidR="001D3EA6" w:rsidRDefault="001D3E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B36"/>
    <w:multiLevelType w:val="multilevel"/>
    <w:tmpl w:val="E63E7410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8" w:hanging="1440"/>
      </w:pPr>
      <w:rPr>
        <w:rFonts w:hint="default"/>
      </w:rPr>
    </w:lvl>
  </w:abstractNum>
  <w:abstractNum w:abstractNumId="1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oNotDisplayPageBoundaries/>
  <w:printFractionalCharacterWidth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06EDD"/>
    <w:rsid w:val="00012916"/>
    <w:rsid w:val="00013D1C"/>
    <w:rsid w:val="000144EA"/>
    <w:rsid w:val="00016917"/>
    <w:rsid w:val="00017F02"/>
    <w:rsid w:val="00042BAB"/>
    <w:rsid w:val="0004327C"/>
    <w:rsid w:val="0005044E"/>
    <w:rsid w:val="000578DA"/>
    <w:rsid w:val="0006011F"/>
    <w:rsid w:val="000619E1"/>
    <w:rsid w:val="0006429E"/>
    <w:rsid w:val="000651CC"/>
    <w:rsid w:val="00073E72"/>
    <w:rsid w:val="000773C3"/>
    <w:rsid w:val="000843ED"/>
    <w:rsid w:val="00085919"/>
    <w:rsid w:val="000A5160"/>
    <w:rsid w:val="000A79B6"/>
    <w:rsid w:val="000B41B9"/>
    <w:rsid w:val="000D1584"/>
    <w:rsid w:val="000E25BD"/>
    <w:rsid w:val="000E26F2"/>
    <w:rsid w:val="000E3096"/>
    <w:rsid w:val="000E3C6D"/>
    <w:rsid w:val="000F2AB7"/>
    <w:rsid w:val="000F73F8"/>
    <w:rsid w:val="00106B14"/>
    <w:rsid w:val="00116F8D"/>
    <w:rsid w:val="00124AF0"/>
    <w:rsid w:val="001252DC"/>
    <w:rsid w:val="0013249A"/>
    <w:rsid w:val="00147320"/>
    <w:rsid w:val="001532CB"/>
    <w:rsid w:val="00154352"/>
    <w:rsid w:val="00154A69"/>
    <w:rsid w:val="00155970"/>
    <w:rsid w:val="00156114"/>
    <w:rsid w:val="00173328"/>
    <w:rsid w:val="00174AA7"/>
    <w:rsid w:val="00174D46"/>
    <w:rsid w:val="001827E8"/>
    <w:rsid w:val="00184141"/>
    <w:rsid w:val="0018506B"/>
    <w:rsid w:val="0018646A"/>
    <w:rsid w:val="001906FA"/>
    <w:rsid w:val="0019203A"/>
    <w:rsid w:val="001A0119"/>
    <w:rsid w:val="001A1465"/>
    <w:rsid w:val="001A3F3F"/>
    <w:rsid w:val="001B0808"/>
    <w:rsid w:val="001B0884"/>
    <w:rsid w:val="001C56CF"/>
    <w:rsid w:val="001C590D"/>
    <w:rsid w:val="001D3EA6"/>
    <w:rsid w:val="001D71FF"/>
    <w:rsid w:val="001F2144"/>
    <w:rsid w:val="001F51A1"/>
    <w:rsid w:val="00212188"/>
    <w:rsid w:val="00215CE7"/>
    <w:rsid w:val="00220009"/>
    <w:rsid w:val="00222EFB"/>
    <w:rsid w:val="00236C3D"/>
    <w:rsid w:val="00240864"/>
    <w:rsid w:val="002441CD"/>
    <w:rsid w:val="002462DA"/>
    <w:rsid w:val="00257C59"/>
    <w:rsid w:val="002660E2"/>
    <w:rsid w:val="00266CA6"/>
    <w:rsid w:val="002676D8"/>
    <w:rsid w:val="00280C03"/>
    <w:rsid w:val="00291B4A"/>
    <w:rsid w:val="002931CD"/>
    <w:rsid w:val="00295023"/>
    <w:rsid w:val="00297B2C"/>
    <w:rsid w:val="002B0D2F"/>
    <w:rsid w:val="002B2CFE"/>
    <w:rsid w:val="002B5A96"/>
    <w:rsid w:val="002C3CA1"/>
    <w:rsid w:val="002C5C7C"/>
    <w:rsid w:val="002D1775"/>
    <w:rsid w:val="002D3196"/>
    <w:rsid w:val="002D5918"/>
    <w:rsid w:val="002D5DCF"/>
    <w:rsid w:val="002D65E8"/>
    <w:rsid w:val="002E09F5"/>
    <w:rsid w:val="002F09FB"/>
    <w:rsid w:val="002F58A1"/>
    <w:rsid w:val="002F7990"/>
    <w:rsid w:val="003015E8"/>
    <w:rsid w:val="003019A2"/>
    <w:rsid w:val="00305E35"/>
    <w:rsid w:val="003206DF"/>
    <w:rsid w:val="003208B2"/>
    <w:rsid w:val="0032492F"/>
    <w:rsid w:val="00324A86"/>
    <w:rsid w:val="00325160"/>
    <w:rsid w:val="00336364"/>
    <w:rsid w:val="00342DB5"/>
    <w:rsid w:val="00344F26"/>
    <w:rsid w:val="0034640E"/>
    <w:rsid w:val="003472AD"/>
    <w:rsid w:val="00352193"/>
    <w:rsid w:val="00363CFA"/>
    <w:rsid w:val="00372070"/>
    <w:rsid w:val="003779A9"/>
    <w:rsid w:val="003850FD"/>
    <w:rsid w:val="003A32BE"/>
    <w:rsid w:val="003A5B8F"/>
    <w:rsid w:val="003A6024"/>
    <w:rsid w:val="003B53A3"/>
    <w:rsid w:val="003C0D8E"/>
    <w:rsid w:val="003C46E0"/>
    <w:rsid w:val="003C5442"/>
    <w:rsid w:val="003C6DEF"/>
    <w:rsid w:val="003E06B7"/>
    <w:rsid w:val="003E2EFD"/>
    <w:rsid w:val="003E3D85"/>
    <w:rsid w:val="003E785A"/>
    <w:rsid w:val="003F3D4C"/>
    <w:rsid w:val="003F4BEC"/>
    <w:rsid w:val="00401987"/>
    <w:rsid w:val="00406D2C"/>
    <w:rsid w:val="004162D2"/>
    <w:rsid w:val="00421E91"/>
    <w:rsid w:val="0042439B"/>
    <w:rsid w:val="00431F00"/>
    <w:rsid w:val="004326E3"/>
    <w:rsid w:val="0045168F"/>
    <w:rsid w:val="00463CC9"/>
    <w:rsid w:val="0046568D"/>
    <w:rsid w:val="00473388"/>
    <w:rsid w:val="00476970"/>
    <w:rsid w:val="00493ADC"/>
    <w:rsid w:val="00497B2C"/>
    <w:rsid w:val="004B4217"/>
    <w:rsid w:val="004B6625"/>
    <w:rsid w:val="004C2F80"/>
    <w:rsid w:val="004C2FE4"/>
    <w:rsid w:val="004C7105"/>
    <w:rsid w:val="004D35FF"/>
    <w:rsid w:val="004D48D4"/>
    <w:rsid w:val="004E65AD"/>
    <w:rsid w:val="004F263B"/>
    <w:rsid w:val="004F52DB"/>
    <w:rsid w:val="0050645A"/>
    <w:rsid w:val="0051281D"/>
    <w:rsid w:val="005129FE"/>
    <w:rsid w:val="00516F60"/>
    <w:rsid w:val="00524E79"/>
    <w:rsid w:val="00525240"/>
    <w:rsid w:val="0053423B"/>
    <w:rsid w:val="00535480"/>
    <w:rsid w:val="005401AD"/>
    <w:rsid w:val="00544929"/>
    <w:rsid w:val="00553EDD"/>
    <w:rsid w:val="00554F66"/>
    <w:rsid w:val="00566BFB"/>
    <w:rsid w:val="00570D03"/>
    <w:rsid w:val="005718F5"/>
    <w:rsid w:val="00571D25"/>
    <w:rsid w:val="00573739"/>
    <w:rsid w:val="00576E85"/>
    <w:rsid w:val="005820FC"/>
    <w:rsid w:val="0058320E"/>
    <w:rsid w:val="00595492"/>
    <w:rsid w:val="00597C8B"/>
    <w:rsid w:val="005A7351"/>
    <w:rsid w:val="005B1CD4"/>
    <w:rsid w:val="005B4ED2"/>
    <w:rsid w:val="005C1C9A"/>
    <w:rsid w:val="005C69CF"/>
    <w:rsid w:val="005D2300"/>
    <w:rsid w:val="005E62AE"/>
    <w:rsid w:val="005F25BE"/>
    <w:rsid w:val="005F53A2"/>
    <w:rsid w:val="006033A0"/>
    <w:rsid w:val="006055A1"/>
    <w:rsid w:val="0061354F"/>
    <w:rsid w:val="0062154F"/>
    <w:rsid w:val="00625745"/>
    <w:rsid w:val="00625B54"/>
    <w:rsid w:val="00632BD3"/>
    <w:rsid w:val="00632FB9"/>
    <w:rsid w:val="00633910"/>
    <w:rsid w:val="00641B80"/>
    <w:rsid w:val="006432AA"/>
    <w:rsid w:val="00643F30"/>
    <w:rsid w:val="006445B8"/>
    <w:rsid w:val="0064753F"/>
    <w:rsid w:val="006618AA"/>
    <w:rsid w:val="00661A37"/>
    <w:rsid w:val="00663633"/>
    <w:rsid w:val="00665AC3"/>
    <w:rsid w:val="00665F15"/>
    <w:rsid w:val="00671348"/>
    <w:rsid w:val="00672B41"/>
    <w:rsid w:val="00672E93"/>
    <w:rsid w:val="00673B7B"/>
    <w:rsid w:val="006753CD"/>
    <w:rsid w:val="00675D22"/>
    <w:rsid w:val="00677E63"/>
    <w:rsid w:val="006832EA"/>
    <w:rsid w:val="006903F4"/>
    <w:rsid w:val="0069074D"/>
    <w:rsid w:val="00694048"/>
    <w:rsid w:val="006963C5"/>
    <w:rsid w:val="00697A48"/>
    <w:rsid w:val="006A013B"/>
    <w:rsid w:val="006A128D"/>
    <w:rsid w:val="006A6523"/>
    <w:rsid w:val="006B1A6E"/>
    <w:rsid w:val="006B3026"/>
    <w:rsid w:val="006B60BD"/>
    <w:rsid w:val="006C00F9"/>
    <w:rsid w:val="006C0F51"/>
    <w:rsid w:val="006D27BF"/>
    <w:rsid w:val="006D2A17"/>
    <w:rsid w:val="006D6083"/>
    <w:rsid w:val="006E22D2"/>
    <w:rsid w:val="006F1F31"/>
    <w:rsid w:val="006F5D16"/>
    <w:rsid w:val="00701F06"/>
    <w:rsid w:val="007044E0"/>
    <w:rsid w:val="0070688E"/>
    <w:rsid w:val="00707614"/>
    <w:rsid w:val="00716805"/>
    <w:rsid w:val="00716E40"/>
    <w:rsid w:val="00716F44"/>
    <w:rsid w:val="00737EDE"/>
    <w:rsid w:val="007506AB"/>
    <w:rsid w:val="00750C72"/>
    <w:rsid w:val="00762865"/>
    <w:rsid w:val="00763DA0"/>
    <w:rsid w:val="007717C3"/>
    <w:rsid w:val="007722C0"/>
    <w:rsid w:val="007837AD"/>
    <w:rsid w:val="00786CF7"/>
    <w:rsid w:val="00787B31"/>
    <w:rsid w:val="00793806"/>
    <w:rsid w:val="00793F4A"/>
    <w:rsid w:val="00797A1D"/>
    <w:rsid w:val="007B1E3C"/>
    <w:rsid w:val="007B3A2D"/>
    <w:rsid w:val="007B749C"/>
    <w:rsid w:val="007C788C"/>
    <w:rsid w:val="007D2CCF"/>
    <w:rsid w:val="007E6586"/>
    <w:rsid w:val="007E73DA"/>
    <w:rsid w:val="007F5158"/>
    <w:rsid w:val="008010A1"/>
    <w:rsid w:val="008073F9"/>
    <w:rsid w:val="008113E3"/>
    <w:rsid w:val="008120AE"/>
    <w:rsid w:val="00813CDC"/>
    <w:rsid w:val="0082299A"/>
    <w:rsid w:val="00827C90"/>
    <w:rsid w:val="00830FAB"/>
    <w:rsid w:val="00832D82"/>
    <w:rsid w:val="00837D5A"/>
    <w:rsid w:val="00841385"/>
    <w:rsid w:val="00841B5C"/>
    <w:rsid w:val="0084329B"/>
    <w:rsid w:val="00850554"/>
    <w:rsid w:val="00851DB3"/>
    <w:rsid w:val="00853334"/>
    <w:rsid w:val="008553CB"/>
    <w:rsid w:val="008570C9"/>
    <w:rsid w:val="00861CD1"/>
    <w:rsid w:val="00864B36"/>
    <w:rsid w:val="0087340D"/>
    <w:rsid w:val="00873485"/>
    <w:rsid w:val="00887C24"/>
    <w:rsid w:val="008917FD"/>
    <w:rsid w:val="008A2677"/>
    <w:rsid w:val="008B0868"/>
    <w:rsid w:val="008B2CFC"/>
    <w:rsid w:val="008B504E"/>
    <w:rsid w:val="008B5910"/>
    <w:rsid w:val="008C5175"/>
    <w:rsid w:val="008C572D"/>
    <w:rsid w:val="008D2EF7"/>
    <w:rsid w:val="008D4646"/>
    <w:rsid w:val="008E6F27"/>
    <w:rsid w:val="008E7C4E"/>
    <w:rsid w:val="008F565D"/>
    <w:rsid w:val="009107CE"/>
    <w:rsid w:val="00911082"/>
    <w:rsid w:val="0091185E"/>
    <w:rsid w:val="00915228"/>
    <w:rsid w:val="00921DD7"/>
    <w:rsid w:val="0092296C"/>
    <w:rsid w:val="00931736"/>
    <w:rsid w:val="009323BD"/>
    <w:rsid w:val="00943234"/>
    <w:rsid w:val="00954CA8"/>
    <w:rsid w:val="0096145B"/>
    <w:rsid w:val="00964D85"/>
    <w:rsid w:val="0097053F"/>
    <w:rsid w:val="0098631B"/>
    <w:rsid w:val="00990F1A"/>
    <w:rsid w:val="00994FD3"/>
    <w:rsid w:val="00995464"/>
    <w:rsid w:val="00996215"/>
    <w:rsid w:val="009A7505"/>
    <w:rsid w:val="009B2466"/>
    <w:rsid w:val="009B3D5E"/>
    <w:rsid w:val="009C064E"/>
    <w:rsid w:val="009C1626"/>
    <w:rsid w:val="009C18E0"/>
    <w:rsid w:val="009C35F4"/>
    <w:rsid w:val="009D2157"/>
    <w:rsid w:val="009E0F79"/>
    <w:rsid w:val="009E1616"/>
    <w:rsid w:val="009E3E85"/>
    <w:rsid w:val="009E7266"/>
    <w:rsid w:val="009F0C95"/>
    <w:rsid w:val="009F1236"/>
    <w:rsid w:val="00A015BC"/>
    <w:rsid w:val="00A2055B"/>
    <w:rsid w:val="00A25AA8"/>
    <w:rsid w:val="00A278BA"/>
    <w:rsid w:val="00A30B7B"/>
    <w:rsid w:val="00A338A2"/>
    <w:rsid w:val="00A34D7C"/>
    <w:rsid w:val="00A355EA"/>
    <w:rsid w:val="00A37824"/>
    <w:rsid w:val="00A4750F"/>
    <w:rsid w:val="00A53760"/>
    <w:rsid w:val="00A60C6D"/>
    <w:rsid w:val="00A61E9B"/>
    <w:rsid w:val="00A70347"/>
    <w:rsid w:val="00A7654F"/>
    <w:rsid w:val="00A7779F"/>
    <w:rsid w:val="00A8260B"/>
    <w:rsid w:val="00A8421C"/>
    <w:rsid w:val="00A878B9"/>
    <w:rsid w:val="00A879B6"/>
    <w:rsid w:val="00A90502"/>
    <w:rsid w:val="00A92B3E"/>
    <w:rsid w:val="00A92C3E"/>
    <w:rsid w:val="00A9713A"/>
    <w:rsid w:val="00AA66AB"/>
    <w:rsid w:val="00AB30A2"/>
    <w:rsid w:val="00AB459A"/>
    <w:rsid w:val="00AB5F01"/>
    <w:rsid w:val="00AC227B"/>
    <w:rsid w:val="00AD1E95"/>
    <w:rsid w:val="00AE3964"/>
    <w:rsid w:val="00AE696D"/>
    <w:rsid w:val="00AF21E9"/>
    <w:rsid w:val="00AF5E19"/>
    <w:rsid w:val="00B00064"/>
    <w:rsid w:val="00B037E4"/>
    <w:rsid w:val="00B06832"/>
    <w:rsid w:val="00B10E6D"/>
    <w:rsid w:val="00B13607"/>
    <w:rsid w:val="00B20D73"/>
    <w:rsid w:val="00B25C06"/>
    <w:rsid w:val="00B2728F"/>
    <w:rsid w:val="00B33B7E"/>
    <w:rsid w:val="00B35041"/>
    <w:rsid w:val="00B442DF"/>
    <w:rsid w:val="00B51311"/>
    <w:rsid w:val="00B66E1F"/>
    <w:rsid w:val="00B7292E"/>
    <w:rsid w:val="00B73EDA"/>
    <w:rsid w:val="00B74BD0"/>
    <w:rsid w:val="00B77621"/>
    <w:rsid w:val="00B80055"/>
    <w:rsid w:val="00B83EFB"/>
    <w:rsid w:val="00B85F55"/>
    <w:rsid w:val="00B91D5F"/>
    <w:rsid w:val="00B95710"/>
    <w:rsid w:val="00B9574D"/>
    <w:rsid w:val="00BB2440"/>
    <w:rsid w:val="00BB74C3"/>
    <w:rsid w:val="00BC03C6"/>
    <w:rsid w:val="00BC18AA"/>
    <w:rsid w:val="00BC7385"/>
    <w:rsid w:val="00BD5D6E"/>
    <w:rsid w:val="00BD6EA4"/>
    <w:rsid w:val="00BE2759"/>
    <w:rsid w:val="00BE77CD"/>
    <w:rsid w:val="00BF3078"/>
    <w:rsid w:val="00BF3D10"/>
    <w:rsid w:val="00BF5C40"/>
    <w:rsid w:val="00C10403"/>
    <w:rsid w:val="00C12BE8"/>
    <w:rsid w:val="00C135D1"/>
    <w:rsid w:val="00C14E0B"/>
    <w:rsid w:val="00C21303"/>
    <w:rsid w:val="00C248E0"/>
    <w:rsid w:val="00C342A0"/>
    <w:rsid w:val="00C35038"/>
    <w:rsid w:val="00C61308"/>
    <w:rsid w:val="00C750D6"/>
    <w:rsid w:val="00C756B0"/>
    <w:rsid w:val="00C801EC"/>
    <w:rsid w:val="00C81EA3"/>
    <w:rsid w:val="00C84775"/>
    <w:rsid w:val="00C84AB7"/>
    <w:rsid w:val="00C90483"/>
    <w:rsid w:val="00C96980"/>
    <w:rsid w:val="00CA55DE"/>
    <w:rsid w:val="00CA7AC5"/>
    <w:rsid w:val="00CB04B0"/>
    <w:rsid w:val="00CB3FEF"/>
    <w:rsid w:val="00CB4A61"/>
    <w:rsid w:val="00CB54BF"/>
    <w:rsid w:val="00CC0C7E"/>
    <w:rsid w:val="00CD1978"/>
    <w:rsid w:val="00CD611C"/>
    <w:rsid w:val="00CE18E4"/>
    <w:rsid w:val="00CE5F2B"/>
    <w:rsid w:val="00CF3411"/>
    <w:rsid w:val="00CF37E1"/>
    <w:rsid w:val="00D00341"/>
    <w:rsid w:val="00D0270F"/>
    <w:rsid w:val="00D07D74"/>
    <w:rsid w:val="00D12FFC"/>
    <w:rsid w:val="00D13F97"/>
    <w:rsid w:val="00D253BF"/>
    <w:rsid w:val="00D253E1"/>
    <w:rsid w:val="00D26CA1"/>
    <w:rsid w:val="00D30969"/>
    <w:rsid w:val="00D3257C"/>
    <w:rsid w:val="00D357BB"/>
    <w:rsid w:val="00D40D73"/>
    <w:rsid w:val="00D45DA5"/>
    <w:rsid w:val="00D601EB"/>
    <w:rsid w:val="00D60B44"/>
    <w:rsid w:val="00D67EB2"/>
    <w:rsid w:val="00D74572"/>
    <w:rsid w:val="00D76076"/>
    <w:rsid w:val="00D8317D"/>
    <w:rsid w:val="00D84A97"/>
    <w:rsid w:val="00D9317F"/>
    <w:rsid w:val="00D95197"/>
    <w:rsid w:val="00DA051B"/>
    <w:rsid w:val="00DA20D9"/>
    <w:rsid w:val="00DA22B7"/>
    <w:rsid w:val="00DA4571"/>
    <w:rsid w:val="00DA61F4"/>
    <w:rsid w:val="00DB083E"/>
    <w:rsid w:val="00DB08C2"/>
    <w:rsid w:val="00DB1687"/>
    <w:rsid w:val="00DC05F3"/>
    <w:rsid w:val="00DC3E00"/>
    <w:rsid w:val="00DD1D4D"/>
    <w:rsid w:val="00DD2F0B"/>
    <w:rsid w:val="00DD625B"/>
    <w:rsid w:val="00DE0C69"/>
    <w:rsid w:val="00DE2433"/>
    <w:rsid w:val="00DF45A9"/>
    <w:rsid w:val="00E01D9E"/>
    <w:rsid w:val="00E038C6"/>
    <w:rsid w:val="00E068AD"/>
    <w:rsid w:val="00E10F06"/>
    <w:rsid w:val="00E129B7"/>
    <w:rsid w:val="00E1345E"/>
    <w:rsid w:val="00E3629C"/>
    <w:rsid w:val="00E41CD5"/>
    <w:rsid w:val="00E51285"/>
    <w:rsid w:val="00E52A0C"/>
    <w:rsid w:val="00E561CC"/>
    <w:rsid w:val="00E659B1"/>
    <w:rsid w:val="00E71974"/>
    <w:rsid w:val="00E71A30"/>
    <w:rsid w:val="00E71C21"/>
    <w:rsid w:val="00E80A19"/>
    <w:rsid w:val="00E81D7F"/>
    <w:rsid w:val="00E838DC"/>
    <w:rsid w:val="00E86771"/>
    <w:rsid w:val="00E86794"/>
    <w:rsid w:val="00E91C9C"/>
    <w:rsid w:val="00E94F6F"/>
    <w:rsid w:val="00E96CB5"/>
    <w:rsid w:val="00EA4AB9"/>
    <w:rsid w:val="00EB42FB"/>
    <w:rsid w:val="00EB4714"/>
    <w:rsid w:val="00EC3F4C"/>
    <w:rsid w:val="00ED353A"/>
    <w:rsid w:val="00EE3E0A"/>
    <w:rsid w:val="00EE7A3A"/>
    <w:rsid w:val="00EE7BD5"/>
    <w:rsid w:val="00EF0C97"/>
    <w:rsid w:val="00EF5F25"/>
    <w:rsid w:val="00F05B6D"/>
    <w:rsid w:val="00F10F1E"/>
    <w:rsid w:val="00F1522F"/>
    <w:rsid w:val="00F2108E"/>
    <w:rsid w:val="00F25C16"/>
    <w:rsid w:val="00F262AB"/>
    <w:rsid w:val="00F26B56"/>
    <w:rsid w:val="00F322BF"/>
    <w:rsid w:val="00F34F16"/>
    <w:rsid w:val="00F54AC8"/>
    <w:rsid w:val="00F658D4"/>
    <w:rsid w:val="00F66A16"/>
    <w:rsid w:val="00F726C7"/>
    <w:rsid w:val="00F80BB2"/>
    <w:rsid w:val="00F81A6F"/>
    <w:rsid w:val="00FA320C"/>
    <w:rsid w:val="00FA5F1D"/>
    <w:rsid w:val="00FB11FB"/>
    <w:rsid w:val="00FB2691"/>
    <w:rsid w:val="00FB6531"/>
    <w:rsid w:val="00FB78D0"/>
    <w:rsid w:val="00FC270C"/>
    <w:rsid w:val="00FC72CD"/>
    <w:rsid w:val="00FD6D2F"/>
    <w:rsid w:val="00FD6D5C"/>
    <w:rsid w:val="00FE308E"/>
    <w:rsid w:val="00FF4471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  <w:style w:type="table" w:styleId="TableGrid">
    <w:name w:val="Table Grid"/>
    <w:basedOn w:val="TableNormal"/>
    <w:rsid w:val="00DC3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vents.dvcon.org/events/proceedings.aspx?id=199-6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ui.Huang@amd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B5EF-37D5-4440-90A2-E2DE46BB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</TotalTime>
  <Pages>9</Pages>
  <Words>2914</Words>
  <Characters>16613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 Rui</cp:lastModifiedBy>
  <cp:revision>100</cp:revision>
  <cp:lastPrinted>2016-08-18T23:45:00Z</cp:lastPrinted>
  <dcterms:created xsi:type="dcterms:W3CDTF">2016-08-18T23:45:00Z</dcterms:created>
  <dcterms:modified xsi:type="dcterms:W3CDTF">2016-11-07T13:13:00Z</dcterms:modified>
</cp:coreProperties>
</file>