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背景</w:t>
      </w:r>
    </w:p>
    <w:p>
      <w:pPr>
        <w:spacing w:before="120" w:after="120" w:line="288" w:lineRule="auto"/>
        <w:ind w:left="0"/>
        <w:jc w:val="left"/>
      </w:pPr>
      <w:r>
        <w:rPr>
          <w:rFonts w:eastAsia="等线" w:ascii="Arial" w:cs="Arial" w:hAnsi="Arial"/>
          <w:sz w:val="22"/>
        </w:rPr>
        <w:t xml:space="preserve">       分布式服务下数据一致性问题凸显，交易中心作为用户下单、支付、履约的入口数据的准确性和一致性问题直接会导致公司和用户的资金安全问题，进而影响用户的产品体验和公司的信誉。交易中心在数据一致性的挑战主要集中在以下三方面</w:t>
      </w:r>
    </w:p>
    <w:p>
      <w:pPr>
        <w:spacing w:before="120" w:after="120" w:line="288" w:lineRule="auto"/>
        <w:ind w:left="0"/>
        <w:jc w:val="left"/>
      </w:pPr>
      <w:r>
        <w:rPr>
          <w:rFonts w:eastAsia="等线" w:ascii="Arial" w:cs="Arial" w:hAnsi="Arial"/>
          <w:sz w:val="22"/>
        </w:rPr>
        <w:t>1）业务现状：支持业务多，交互方多，交互链路长，渠道接入方多，作为交易动作的协调者，数据一致性挑战大</w:t>
      </w:r>
    </w:p>
    <w:p>
      <w:pPr>
        <w:spacing w:before="120" w:after="120" w:line="288" w:lineRule="auto"/>
        <w:ind w:left="0"/>
        <w:jc w:val="center"/>
      </w:pPr>
      <w:r>
        <w:drawing>
          <wp:inline distT="0" distR="0" distB="0" distL="0">
            <wp:extent cx="5257800" cy="48958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4895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2）研发处理问题：响应码、状态、金额处理不合理，幂等和并发处理不当等造成数据不一致乃至资损</w:t>
      </w:r>
    </w:p>
    <w:p>
      <w:pPr>
        <w:spacing w:before="120" w:after="120" w:line="288" w:lineRule="auto"/>
        <w:ind w:left="0"/>
        <w:jc w:val="left"/>
      </w:pPr>
      <w:r>
        <w:rPr>
          <w:rFonts w:eastAsia="等线" w:ascii="Arial" w:cs="Arial" w:hAnsi="Arial"/>
          <w:sz w:val="22"/>
        </w:rPr>
        <w:t>3）软硬件问题：网络抖动问题、rpc调用超时、mq消息丢失、mysql2es数据同步延迟等问题对数据一致性造成影响</w:t>
      </w:r>
    </w:p>
    <w:p>
      <w:pPr>
        <w:spacing w:before="120" w:after="120" w:line="288" w:lineRule="auto"/>
        <w:ind w:left="0"/>
        <w:jc w:val="left"/>
      </w:pPr>
      <w:r>
        <w:rPr>
          <w:rFonts w:eastAsia="等线" w:ascii="Arial" w:cs="Arial" w:hAnsi="Arial"/>
          <w:sz w:val="22"/>
        </w:rPr>
        <w:t xml:space="preserve">      尽管逻辑处理我们采用重试+补偿/回滚关单方式来实现最终一致，但全链路的数据一致性没有三方系统进行核对，问题数据发现延迟性高，整体体验较差。基于以上点，我们搭建实时核对平台来实现高效及时发现一致性问题，保证资金安全，避免资损。</w:t>
      </w:r>
    </w:p>
    <w:p>
      <w:pPr>
        <w:pStyle w:val="1"/>
        <w:spacing w:before="380" w:after="140" w:line="288" w:lineRule="auto"/>
        <w:ind w:left="0"/>
        <w:jc w:val="left"/>
        <w:outlineLvl w:val="0"/>
      </w:pPr>
      <w:bookmarkStart w:name="heading_0" w:id="0"/>
      <w:r>
        <w:rPr>
          <w:rFonts w:eastAsia="等线" w:ascii="Arial" w:cs="Arial" w:hAnsi="Arial"/>
          <w:b w:val="true"/>
          <w:sz w:val="36"/>
        </w:rPr>
        <w:t>目标</w:t>
      </w:r>
      <w:bookmarkEnd w:id="0"/>
    </w:p>
    <w:p>
      <w:pPr>
        <w:numPr>
          <w:numId w:val="1"/>
        </w:numPr>
        <w:spacing w:before="120" w:after="120" w:line="288" w:lineRule="auto"/>
        <w:ind w:left="0"/>
        <w:jc w:val="left"/>
      </w:pPr>
      <w:r>
        <w:rPr>
          <w:rFonts w:eastAsia="等线" w:ascii="Arial" w:cs="Arial" w:hAnsi="Arial"/>
          <w:sz w:val="22"/>
        </w:rPr>
        <w:t>平台化解决方案，能够让业务方更便捷，更透明接入，适应各个平台的需求承载</w:t>
      </w:r>
    </w:p>
    <w:p>
      <w:pPr>
        <w:numPr>
          <w:numId w:val="2"/>
        </w:numPr>
        <w:spacing w:before="120" w:after="120" w:line="288" w:lineRule="auto"/>
        <w:ind w:left="0"/>
        <w:jc w:val="left"/>
      </w:pPr>
      <w:r>
        <w:rPr>
          <w:rFonts w:eastAsia="等线" w:ascii="Arial" w:cs="Arial" w:hAnsi="Arial"/>
          <w:sz w:val="22"/>
        </w:rPr>
        <w:t>高效实时的发现业务脏数据和不一致逻辑，第一时间发现并通知反馈</w:t>
      </w:r>
    </w:p>
    <w:p>
      <w:pPr>
        <w:numPr>
          <w:numId w:val="3"/>
        </w:numPr>
        <w:spacing w:before="120" w:after="120" w:line="288" w:lineRule="auto"/>
        <w:ind w:left="0"/>
        <w:jc w:val="left"/>
      </w:pPr>
      <w:r>
        <w:rPr>
          <w:rFonts w:eastAsia="等线" w:ascii="Arial" w:cs="Arial" w:hAnsi="Arial"/>
          <w:sz w:val="22"/>
        </w:rPr>
        <w:t>高可扩展性，能够和业务侧解耦，可以灵活的对接业务甚至衍化成更深度的资损平台</w:t>
      </w:r>
    </w:p>
    <w:p>
      <w:pPr>
        <w:pStyle w:val="1"/>
        <w:spacing w:before="380" w:after="140" w:line="288" w:lineRule="auto"/>
        <w:ind w:left="0"/>
        <w:jc w:val="left"/>
        <w:outlineLvl w:val="0"/>
      </w:pPr>
      <w:bookmarkStart w:name="heading_1" w:id="1"/>
      <w:r>
        <w:rPr>
          <w:rFonts w:eastAsia="等线" w:ascii="Arial" w:cs="Arial" w:hAnsi="Arial"/>
          <w:b w:val="true"/>
          <w:sz w:val="36"/>
        </w:rPr>
        <w:t>系统调研</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1.美团BCP</w:t>
      </w:r>
      <w:bookmarkEnd w:id="2"/>
    </w:p>
    <w:p>
      <w:pPr>
        <w:spacing w:before="120" w:after="120" w:line="288" w:lineRule="auto"/>
        <w:ind w:left="0"/>
        <w:jc w:val="center"/>
      </w:pPr>
      <w:r>
        <w:drawing>
          <wp:inline distT="0" distR="0" distB="0" distL="0">
            <wp:extent cx="5257800" cy="19812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981200"/>
                    </a:xfrm>
                    <a:prstGeom prst="rect">
                      <a:avLst/>
                    </a:prstGeom>
                  </pic:spPr>
                </pic:pic>
              </a:graphicData>
            </a:graphic>
          </wp:inline>
        </w:drawing>
      </w:r>
    </w:p>
    <w:p>
      <w:pPr>
        <w:pStyle w:val="2"/>
        <w:spacing w:before="320" w:after="120" w:line="288" w:lineRule="auto"/>
        <w:ind w:left="0"/>
        <w:jc w:val="left"/>
        <w:outlineLvl w:val="1"/>
      </w:pPr>
      <w:bookmarkStart w:name="heading_3" w:id="3"/>
      <w:r>
        <w:rPr>
          <w:rFonts w:eastAsia="等线" w:ascii="Arial" w:cs="Arial" w:hAnsi="Arial"/>
          <w:b w:val="true"/>
          <w:sz w:val="32"/>
        </w:rPr>
        <w:t>2.阿里BCP</w:t>
      </w:r>
      <w:bookmarkEnd w:id="3"/>
    </w:p>
    <w:p>
      <w:pPr>
        <w:spacing w:before="120" w:after="120" w:line="288" w:lineRule="auto"/>
        <w:ind w:left="0"/>
        <w:jc w:val="center"/>
      </w:pPr>
      <w:r>
        <w:drawing>
          <wp:inline distT="0" distR="0" distB="0" distL="0">
            <wp:extent cx="5257800" cy="21336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133600"/>
                    </a:xfrm>
                    <a:prstGeom prst="rect">
                      <a:avLst/>
                    </a:prstGeom>
                  </pic:spPr>
                </pic:pic>
              </a:graphicData>
            </a:graphic>
          </wp:inline>
        </w:drawing>
      </w:r>
    </w:p>
    <w:p>
      <w:pPr>
        <w:pStyle w:val="2"/>
        <w:spacing w:before="320" w:after="120" w:line="288" w:lineRule="auto"/>
        <w:ind w:left="0"/>
        <w:jc w:val="left"/>
        <w:outlineLvl w:val="1"/>
      </w:pPr>
      <w:bookmarkStart w:name="heading_4" w:id="4"/>
      <w:r>
        <w:rPr>
          <w:rFonts w:eastAsia="等线" w:ascii="Arial" w:cs="Arial" w:hAnsi="Arial"/>
          <w:b w:val="true"/>
          <w:sz w:val="32"/>
        </w:rPr>
        <w:t>3.有赞核对系统</w:t>
      </w:r>
      <w:bookmarkEnd w:id="4"/>
    </w:p>
    <w:p>
      <w:pPr>
        <w:spacing w:before="120" w:after="120" w:line="288" w:lineRule="auto"/>
        <w:ind w:left="0"/>
        <w:jc w:val="center"/>
      </w:pPr>
      <w:r>
        <w:drawing>
          <wp:inline distT="0" distR="0" distB="0" distL="0">
            <wp:extent cx="5257800" cy="27432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743200"/>
                    </a:xfrm>
                    <a:prstGeom prst="rect">
                      <a:avLst/>
                    </a:prstGeom>
                  </pic:spPr>
                </pic:pic>
              </a:graphicData>
            </a:graphic>
          </wp:inline>
        </w:drawing>
      </w:r>
    </w:p>
    <w:p>
      <w:pPr>
        <w:pStyle w:val="2"/>
        <w:spacing w:before="320" w:after="120" w:line="288" w:lineRule="auto"/>
        <w:ind w:left="0"/>
        <w:jc w:val="left"/>
        <w:outlineLvl w:val="1"/>
      </w:pPr>
      <w:bookmarkStart w:name="heading_5" w:id="5"/>
      <w:r>
        <w:rPr>
          <w:rFonts w:eastAsia="等线" w:ascii="Arial" w:cs="Arial" w:hAnsi="Arial"/>
          <w:b w:val="true"/>
          <w:sz w:val="32"/>
        </w:rPr>
        <w:t>4.横向对比</w:t>
      </w:r>
      <w:bookmarkEnd w:id="5"/>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960"/>
        <w:gridCol w:w="960"/>
        <w:gridCol w:w="960"/>
        <w:gridCol w:w="960"/>
        <w:gridCol w:w="960"/>
        <w:gridCol w:w="1200"/>
        <w:gridCol w:w="1155"/>
        <w:gridCol w:w="1155"/>
      </w:tblGrid>
      <w:tr>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系统名称</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实时核对</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双流</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单流</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多流</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数据源</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规则脚本</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备注</w:t>
            </w:r>
          </w:p>
        </w:tc>
      </w:tr>
      <w:tr>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阿里BCP</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p>
            <w:pPr>
              <w:spacing w:before="120" w:after="120" w:line="288" w:lineRule="auto"/>
              <w:ind w:left="0"/>
              <w:jc w:val="left"/>
            </w:pP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MQ、binlog、日志</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Groovy</w:t>
            </w:r>
          </w:p>
        </w:tc>
        <w:tc>
          <w:tcPr>
            <w:tcW w:w="1155" w:type="dxa"/>
            <w:tcMar>
              <w:top w:type="dxa" w:w="60"/>
              <w:left w:type="dxa" w:w="120"/>
              <w:bottom w:type="dxa" w:w="30"/>
              <w:right w:type="dxa" w:w="120"/>
            </w:tcMar>
          </w:tcPr>
          <w:p>
            <w:pPr>
              <w:spacing w:before="120" w:after="120" w:line="288" w:lineRule="auto"/>
              <w:ind w:left="0"/>
              <w:jc w:val="left"/>
            </w:pPr>
          </w:p>
        </w:tc>
      </w:tr>
      <w:tr>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美团BCP</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MQ</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aviator、java</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基于redis zset</w:t>
            </w:r>
          </w:p>
        </w:tc>
      </w:tr>
      <w:tr>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有赞核对系统</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MQ</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Groovy</w:t>
            </w:r>
          </w:p>
          <w:p>
            <w:pPr>
              <w:spacing w:before="120" w:after="120" w:line="288" w:lineRule="auto"/>
              <w:ind w:left="0"/>
              <w:jc w:val="left"/>
            </w:pP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基于hbase、定时任务</w:t>
            </w:r>
          </w:p>
        </w:tc>
      </w:tr>
      <w:tr>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团油实时核对</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p>
            <w:pPr>
              <w:spacing w:before="120" w:after="120" w:line="288" w:lineRule="auto"/>
              <w:ind w:left="0"/>
              <w:jc w:val="left"/>
            </w:pPr>
          </w:p>
        </w:tc>
        <w:tc>
          <w:tcPr>
            <w:tcW w:w="9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MQ、http单边、es单边、binlog</w:t>
            </w:r>
          </w:p>
          <w:p>
            <w:pPr>
              <w:spacing w:before="120" w:after="120" w:line="288" w:lineRule="auto"/>
              <w:ind w:left="0"/>
              <w:jc w:val="left"/>
            </w:pP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Groovy、java</w:t>
            </w:r>
          </w:p>
          <w:p>
            <w:pPr>
              <w:spacing w:before="120" w:after="120" w:line="288" w:lineRule="auto"/>
              <w:ind w:left="0"/>
              <w:jc w:val="left"/>
            </w:pP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基于rocketmq、redis</w:t>
            </w:r>
          </w:p>
        </w:tc>
      </w:tr>
    </w:tbl>
    <w:p>
      <w:pPr>
        <w:pStyle w:val="1"/>
        <w:spacing w:before="380" w:after="140" w:line="288" w:lineRule="auto"/>
        <w:ind w:left="0"/>
        <w:jc w:val="left"/>
        <w:outlineLvl w:val="0"/>
      </w:pPr>
      <w:bookmarkStart w:name="heading_6" w:id="6"/>
      <w:r>
        <w:rPr>
          <w:rFonts w:eastAsia="等线" w:ascii="Arial" w:cs="Arial" w:hAnsi="Arial"/>
          <w:b w:val="true"/>
          <w:sz w:val="36"/>
        </w:rPr>
        <w:t>整体设计</w:t>
      </w:r>
      <w:bookmarkEnd w:id="6"/>
    </w:p>
    <w:p>
      <w:pPr>
        <w:pStyle w:val="2"/>
        <w:spacing w:before="320" w:after="120" w:line="288" w:lineRule="auto"/>
        <w:ind w:left="0"/>
        <w:jc w:val="left"/>
        <w:outlineLvl w:val="1"/>
      </w:pPr>
      <w:bookmarkStart w:name="heading_7" w:id="7"/>
      <w:r>
        <w:rPr>
          <w:rFonts w:eastAsia="等线" w:ascii="Arial" w:cs="Arial" w:hAnsi="Arial"/>
          <w:b w:val="true"/>
          <w:sz w:val="32"/>
        </w:rPr>
        <w:t>1.流程设计</w:t>
      </w:r>
      <w:bookmarkEnd w:id="7"/>
    </w:p>
    <w:p>
      <w:pPr>
        <w:spacing w:before="120" w:after="120" w:line="288" w:lineRule="auto"/>
        <w:ind w:left="0"/>
        <w:jc w:val="center"/>
      </w:pPr>
      <w:r>
        <w:drawing>
          <wp:inline distT="0" distR="0" distB="0" distL="0">
            <wp:extent cx="5257800" cy="25527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552700"/>
                    </a:xfrm>
                    <a:prstGeom prst="rect">
                      <a:avLst/>
                    </a:prstGeom>
                  </pic:spPr>
                </pic:pic>
              </a:graphicData>
            </a:graphic>
          </wp:inline>
        </w:drawing>
      </w:r>
    </w:p>
    <w:p>
      <w:pPr>
        <w:pStyle w:val="2"/>
        <w:spacing w:before="320" w:after="120" w:line="288" w:lineRule="auto"/>
        <w:ind w:left="0"/>
        <w:jc w:val="left"/>
        <w:outlineLvl w:val="1"/>
      </w:pPr>
      <w:bookmarkStart w:name="heading_8" w:id="8"/>
      <w:r>
        <w:rPr>
          <w:rFonts w:eastAsia="等线" w:ascii="Arial" w:cs="Arial" w:hAnsi="Arial"/>
          <w:b w:val="true"/>
          <w:sz w:val="32"/>
        </w:rPr>
        <w:t>2.规则执行过程</w:t>
      </w:r>
      <w:bookmarkEnd w:id="8"/>
    </w:p>
    <w:p>
      <w:pPr>
        <w:spacing w:before="120" w:after="120" w:line="288" w:lineRule="auto"/>
        <w:ind w:left="0"/>
        <w:jc w:val="center"/>
      </w:pPr>
      <w:r>
        <w:drawing>
          <wp:inline distT="0" distR="0" distB="0" distL="0">
            <wp:extent cx="5257800" cy="27051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705100"/>
                    </a:xfrm>
                    <a:prstGeom prst="rect">
                      <a:avLst/>
                    </a:prstGeom>
                  </pic:spPr>
                </pic:pic>
              </a:graphicData>
            </a:graphic>
          </wp:inline>
        </w:drawing>
      </w:r>
    </w:p>
    <w:p>
      <w:pPr>
        <w:pStyle w:val="2"/>
        <w:spacing w:before="320" w:after="120" w:line="288" w:lineRule="auto"/>
        <w:ind w:left="0"/>
        <w:jc w:val="left"/>
        <w:outlineLvl w:val="1"/>
      </w:pPr>
      <w:bookmarkStart w:name="heading_9" w:id="9"/>
      <w:r>
        <w:rPr>
          <w:rFonts w:eastAsia="等线" w:ascii="Arial" w:cs="Arial" w:hAnsi="Arial"/>
          <w:b w:val="true"/>
          <w:sz w:val="32"/>
        </w:rPr>
        <w:t>3.业务架构</w:t>
      </w:r>
      <w:bookmarkEnd w:id="9"/>
    </w:p>
    <w:p>
      <w:pPr>
        <w:spacing w:before="120" w:after="120" w:line="288" w:lineRule="auto"/>
        <w:ind w:left="0"/>
        <w:jc w:val="center"/>
      </w:pPr>
      <w:r>
        <w:drawing>
          <wp:inline distT="0" distR="0" distB="0" distL="0">
            <wp:extent cx="5257800" cy="30670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3067050"/>
                    </a:xfrm>
                    <a:prstGeom prst="rect">
                      <a:avLst/>
                    </a:prstGeom>
                  </pic:spPr>
                </pic:pic>
              </a:graphicData>
            </a:graphic>
          </wp:inline>
        </w:drawing>
      </w:r>
    </w:p>
    <w:p>
      <w:pPr>
        <w:pStyle w:val="2"/>
        <w:spacing w:before="320" w:after="120" w:line="288" w:lineRule="auto"/>
        <w:ind w:left="0"/>
        <w:jc w:val="left"/>
        <w:outlineLvl w:val="1"/>
      </w:pPr>
      <w:bookmarkStart w:name="heading_10" w:id="10"/>
      <w:r>
        <w:rPr>
          <w:rFonts w:eastAsia="等线" w:ascii="Arial" w:cs="Arial" w:hAnsi="Arial"/>
          <w:b w:val="true"/>
          <w:sz w:val="32"/>
        </w:rPr>
        <w:t>4.系统架构</w:t>
      </w:r>
      <w:bookmarkEnd w:id="10"/>
    </w:p>
    <w:p>
      <w:pPr>
        <w:spacing w:before="120" w:after="120" w:line="288" w:lineRule="auto"/>
        <w:ind w:left="0"/>
        <w:jc w:val="center"/>
      </w:pPr>
      <w:r>
        <w:drawing>
          <wp:inline distT="0" distR="0" distB="0" distL="0">
            <wp:extent cx="5257800" cy="14097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140970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11" w:id="11"/>
      <w:r>
        <w:rPr>
          <w:rFonts w:eastAsia="等线" w:ascii="Arial" w:cs="Arial" w:hAnsi="Arial"/>
          <w:b w:val="true"/>
          <w:sz w:val="32"/>
        </w:rPr>
        <w:t>5.数据模型</w:t>
      </w:r>
      <w:bookmarkEnd w:id="11"/>
    </w:p>
    <w:p>
      <w:pPr>
        <w:spacing w:before="120" w:after="120" w:line="288" w:lineRule="auto"/>
        <w:ind w:left="0"/>
        <w:jc w:val="center"/>
      </w:pPr>
      <w:r>
        <w:drawing>
          <wp:inline distT="0" distR="0" distB="0" distL="0">
            <wp:extent cx="5257800" cy="34004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400425"/>
                    </a:xfrm>
                    <a:prstGeom prst="rect">
                      <a:avLst/>
                    </a:prstGeom>
                  </pic:spPr>
                </pic:pic>
              </a:graphicData>
            </a:graphic>
          </wp:inline>
        </w:drawing>
      </w:r>
    </w:p>
    <w:p>
      <w:pPr>
        <w:pStyle w:val="2"/>
        <w:spacing w:before="320" w:after="120" w:line="288" w:lineRule="auto"/>
        <w:ind w:left="0"/>
        <w:jc w:val="left"/>
        <w:outlineLvl w:val="1"/>
      </w:pPr>
      <w:bookmarkStart w:name="heading_12" w:id="12"/>
      <w:r>
        <w:rPr>
          <w:rFonts w:eastAsia="等线" w:ascii="Arial" w:cs="Arial" w:hAnsi="Arial"/>
          <w:b w:val="true"/>
          <w:sz w:val="32"/>
        </w:rPr>
        <w:t>6.管理系统</w:t>
      </w:r>
      <w:bookmarkEnd w:id="12"/>
    </w:p>
    <w:p>
      <w:pPr>
        <w:spacing w:before="120" w:after="120" w:line="288" w:lineRule="auto"/>
        <w:ind w:left="0"/>
        <w:jc w:val="left"/>
      </w:pPr>
      <w:r>
        <w:rPr>
          <w:rFonts w:eastAsia="等线" w:ascii="Arial" w:cs="Arial" w:hAnsi="Arial"/>
          <w:sz w:val="22"/>
        </w:rPr>
        <w:t>1）任务管理页面</w:t>
      </w:r>
    </w:p>
    <w:p>
      <w:pPr>
        <w:spacing w:before="120" w:after="120" w:line="288" w:lineRule="auto"/>
        <w:ind w:left="0"/>
        <w:jc w:val="center"/>
      </w:pPr>
      <w:r>
        <w:drawing>
          <wp:inline distT="0" distR="0" distB="0" distL="0">
            <wp:extent cx="5257800" cy="18383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838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2）差错处理</w:t>
      </w:r>
    </w:p>
    <w:p>
      <w:pPr>
        <w:spacing w:before="120" w:after="120" w:line="288" w:lineRule="auto"/>
        <w:ind w:left="0"/>
        <w:jc w:val="center"/>
      </w:pPr>
      <w:r>
        <w:drawing>
          <wp:inline distT="0" distR="0" distB="0" distL="0">
            <wp:extent cx="5257800" cy="25527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2552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3）用户组管理</w:t>
      </w:r>
    </w:p>
    <w:p>
      <w:pPr>
        <w:spacing w:before="120" w:after="120" w:line="288" w:lineRule="auto"/>
        <w:ind w:left="0"/>
        <w:jc w:val="center"/>
      </w:pPr>
      <w:r>
        <w:drawing>
          <wp:inline distT="0" distR="0" distB="0" distL="0">
            <wp:extent cx="5257800" cy="33718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4）运行情况</w:t>
      </w:r>
    </w:p>
    <w:p>
      <w:pPr>
        <w:spacing w:before="120" w:after="120" w:line="288" w:lineRule="auto"/>
        <w:ind w:left="0"/>
        <w:jc w:val="center"/>
      </w:pPr>
      <w:r>
        <w:drawing>
          <wp:inline distT="0" distR="0" distB="0" distL="0">
            <wp:extent cx="5257800" cy="34575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457575"/>
                    </a:xfrm>
                    <a:prstGeom prst="rect">
                      <a:avLst/>
                    </a:prstGeom>
                  </pic:spPr>
                </pic:pic>
              </a:graphicData>
            </a:graphic>
          </wp:inline>
        </w:drawing>
      </w:r>
    </w:p>
    <w:p>
      <w:pPr>
        <w:pStyle w:val="1"/>
        <w:spacing w:before="380" w:after="140" w:line="288" w:lineRule="auto"/>
        <w:ind w:left="0"/>
        <w:jc w:val="left"/>
        <w:outlineLvl w:val="0"/>
      </w:pPr>
      <w:bookmarkStart w:name="heading_13" w:id="13"/>
      <w:r>
        <w:rPr>
          <w:rFonts w:eastAsia="等线" w:ascii="Arial" w:cs="Arial" w:hAnsi="Arial"/>
          <w:b w:val="true"/>
          <w:sz w:val="36"/>
        </w:rPr>
        <w:t>整体规划</w:t>
      </w:r>
      <w:bookmarkEnd w:id="13"/>
    </w:p>
    <w:p>
      <w:pPr>
        <w:spacing w:before="120" w:after="120" w:line="288" w:lineRule="auto"/>
        <w:ind w:left="0"/>
        <w:jc w:val="center"/>
      </w:pPr>
      <w:r>
        <w:drawing>
          <wp:inline distT="0" distR="0" distB="0" distL="0">
            <wp:extent cx="5257800" cy="22479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2247900"/>
                    </a:xfrm>
                    <a:prstGeom prst="rect">
                      <a:avLst/>
                    </a:prstGeom>
                  </pic:spPr>
                </pic:pic>
              </a:graphicData>
            </a:graphic>
          </wp:inline>
        </w:drawing>
      </w:r>
    </w:p>
    <w:p>
      <w:pPr>
        <w:spacing w:before="120" w:after="120" w:line="288" w:lineRule="auto"/>
        <w:ind w:left="0"/>
        <w:jc w:val="left"/>
      </w:pPr>
    </w:p>
    <w:sectPr>
      <w:footerReference w:type="default" r:id="rId3"/>
      <w:headerReference w:type="default" r:id="rId19"/>
      <w:headerReference w:type="first" r:id="rId20"/>
      <w:headerReference w:type="even" r:id="rId2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4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黄瑞瀛 huangruiying 007046 2024年2月23日 10:26"/>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黄瑞瀛 huangruiying 007046 2024年2月23日 10:26"/>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黄瑞瀛 huangruiying 007046 2024年2月23日 10:26"/>
        </v:shape>
      </w:pict>
    </w:r>
  </w:p>
</w:hdr>
</file>

<file path=word/numbering.xml><?xml version="1.0" encoding="utf-8"?>
<w:numbering xmlns:w="http://schemas.openxmlformats.org/wordprocessingml/2006/main">
  <w:abstractNum w:abstractNumId="91981">
    <w:lvl>
      <w:numFmt w:val="bullet"/>
      <w:suff w:val="tab"/>
      <w:lvlText w:val="•"/>
      <w:rPr>
        <w:color w:val="3370ff"/>
      </w:rPr>
    </w:lvl>
  </w:abstractNum>
  <w:abstractNum w:abstractNumId="91982">
    <w:lvl>
      <w:numFmt w:val="bullet"/>
      <w:suff w:val="tab"/>
      <w:lvlText w:val="•"/>
      <w:rPr>
        <w:color w:val="3370ff"/>
      </w:rPr>
    </w:lvl>
  </w:abstractNum>
  <w:abstractNum w:abstractNumId="91983">
    <w:lvl>
      <w:numFmt w:val="bullet"/>
      <w:suff w:val="tab"/>
      <w:lvlText w:val="•"/>
      <w:rPr>
        <w:color w:val="3370ff"/>
      </w:rPr>
    </w:lvl>
  </w:abstractNum>
  <w:num w:numId="1">
    <w:abstractNumId w:val="91981"/>
  </w:num>
  <w:num w:numId="2">
    <w:abstractNumId w:val="91982"/>
  </w:num>
  <w:num w:numId="3">
    <w:abstractNumId w:val="9198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jpeg" Type="http://schemas.openxmlformats.org/officeDocument/2006/relationships/image"/><Relationship Id="rId11" Target="media/image7.jpeg" Type="http://schemas.openxmlformats.org/officeDocument/2006/relationships/image"/><Relationship Id="rId12" Target="media/image8.jpeg" Type="http://schemas.openxmlformats.org/officeDocument/2006/relationships/image"/><Relationship Id="rId13" Target="media/image9.jpe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jpeg" Type="http://schemas.openxmlformats.org/officeDocument/2006/relationships/image"/><Relationship Id="rId19" Target="header1.xml" Type="http://schemas.openxmlformats.org/officeDocument/2006/relationships/header"/><Relationship Id="rId2" Target="styles.xml" Type="http://schemas.openxmlformats.org/officeDocument/2006/relationships/styles"/><Relationship Id="rId20" Target="header2.xml" Type="http://schemas.openxmlformats.org/officeDocument/2006/relationships/header"/><Relationship Id="rId21" Target="header3.xml" Type="http://schemas.openxmlformats.org/officeDocument/2006/relationships/header"/><Relationship Id="rId3" Target="footer1.xml" Type="http://schemas.openxmlformats.org/officeDocument/2006/relationships/footer"/><Relationship Id="rId4" Target="media/image1.jpe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2024-02-23T02:26:38Z</dcterms:created>
  <dc:creator>Apache POI</dc:creator>
</cp:coreProperties>
</file>