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</w:pPr>
    </w:p>
    <w:p>
      <w:pPr>
        <w:spacing w:after="300"/>
        <w:jc w:val="center"/>
      </w:pPr>
      <w:r>
        <w:rPr>
          <w:rFonts w:ascii="微软雅黑" w:cs="微软雅黑" w:eastAsia="微软雅黑" w:hAnsi="微软雅黑"/>
          <w:b/>
          <w:bCs/>
          <w:color w:val="1F4E79"/>
          <w:sz w:val="72"/>
          <w:szCs w:val="72"/>
        </w:rPr>
        <w:t xml:space="preserve">资金心电图</w:t>
      </w:r>
    </w:p>
    <w:p>
      <w:pPr>
        <w:spacing w:after="600"/>
        <w:jc w:val="center"/>
      </w:pPr>
      <w:r>
        <w:rPr>
          <w:rFonts w:ascii="微软雅黑" w:cs="微软雅黑" w:eastAsia="微软雅黑" w:hAnsi="微软雅黑"/>
          <w:color w:val="595959"/>
          <w:sz w:val="28"/>
          <w:szCs w:val="28"/>
        </w:rPr>
        <w:t xml:space="preserve">企业经营财务风险模拟与预警系统</w:t>
      </w:r>
    </w:p>
    <w:p>
      <w:pPr>
        <w:spacing w:after="200"/>
        <w:jc w:val="center"/>
      </w:pPr>
      <w:r>
        <w:rPr>
          <w:rFonts w:ascii="微软雅黑" w:cs="微软雅黑" w:eastAsia="微软雅黑" w:hAnsi="微软雅黑"/>
          <w:b/>
          <w:bCs/>
          <w:color w:val="000000"/>
          <w:sz w:val="36"/>
          <w:szCs w:val="36"/>
        </w:rPr>
        <w:t xml:space="preserve">产品需求文档（PRD）</w:t>
      </w:r>
    </w:p>
    <w:p>
      <w:pPr>
        <w:spacing w:after="2200"/>
        <w:jc w:val="center"/>
      </w:pPr>
      <w:r>
        <w:rPr>
          <w:rFonts w:ascii="微软雅黑" w:cs="微软雅黑" w:eastAsia="微软雅黑" w:hAnsi="微软雅黑"/>
          <w:color w:val="808080"/>
          <w:sz w:val="26"/>
          <w:szCs w:val="26"/>
        </w:rPr>
        <w:t xml:space="preserve">版本 V1.0</w:t>
      </w:r>
    </w:p>
    <w:p>
      <w:pPr>
        <w:spacing w:before="400"/>
        <w:jc w:val="center"/>
      </w:pP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2708"/>
        <w:gridCol w:w="6318"/>
      </w:tblGrid>
      <w:tr>
        <w:trPr>
          <w:tblHeader/>
        </w:trPr>
        <w:tc>
          <w:tcPr>
            <w:tcW w:type="dxa" w:w="2708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1F4E79"/>
                <w:sz w:val="20"/>
                <w:szCs w:val="20"/>
              </w:rPr>
              <w:t xml:space="preserve">项目</w:t>
            </w:r>
          </w:p>
        </w:tc>
        <w:tc>
          <w:tcPr>
            <w:tcW w:type="dxa" w:w="6318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1F4E79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70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文档编号</w:t>
            </w:r>
          </w:p>
        </w:tc>
        <w:tc>
          <w:tcPr>
            <w:tcW w:type="dxa" w:w="631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XDT-PRD-2026-001</w:t>
            </w:r>
          </w:p>
        </w:tc>
      </w:tr>
      <w:tr>
        <w:tc>
          <w:tcPr>
            <w:tcW w:type="dxa" w:w="270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当前状态</w:t>
            </w:r>
          </w:p>
        </w:tc>
        <w:tc>
          <w:tcPr>
            <w:tcW w:type="dxa" w:w="631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草案（待评审）</w:t>
            </w:r>
          </w:p>
        </w:tc>
      </w:tr>
      <w:tr>
        <w:tc>
          <w:tcPr>
            <w:tcW w:type="dxa" w:w="270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编制人</w:t>
            </w:r>
          </w:p>
        </w:tc>
        <w:tc>
          <w:tcPr>
            <w:tcW w:type="dxa" w:w="631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70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编制日期</w:t>
            </w:r>
          </w:p>
        </w:tc>
        <w:tc>
          <w:tcPr>
            <w:tcW w:type="dxa" w:w="631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2026年8月25日</w:t>
            </w:r>
          </w:p>
        </w:tc>
      </w:tr>
      <w:tr>
        <w:tc>
          <w:tcPr>
            <w:tcW w:type="dxa" w:w="270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密级</w:t>
            </w:r>
          </w:p>
        </w:tc>
        <w:tc>
          <w:tcPr>
            <w:tcW w:type="dxa" w:w="631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公开</w:t>
            </w:r>
          </w:p>
        </w:tc>
      </w:tr>
    </w:tbl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修订记录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083"/>
        <w:gridCol w:w="1625"/>
        <w:gridCol w:w="4964"/>
        <w:gridCol w:w="1354"/>
      </w:tblGrid>
      <w:tr>
        <w:trPr>
          <w:tblHeader/>
        </w:trPr>
        <w:tc>
          <w:tcPr>
            <w:tcW w:type="dxa" w:w="1083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1F4E79"/>
                <w:sz w:val="20"/>
                <w:szCs w:val="20"/>
              </w:rPr>
              <w:t xml:space="preserve">版本</w:t>
            </w:r>
          </w:p>
        </w:tc>
        <w:tc>
          <w:tcPr>
            <w:tcW w:type="dxa" w:w="1625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1F4E79"/>
                <w:sz w:val="20"/>
                <w:szCs w:val="20"/>
              </w:rPr>
              <w:t xml:space="preserve">日期</w:t>
            </w:r>
          </w:p>
        </w:tc>
        <w:tc>
          <w:tcPr>
            <w:tcW w:type="dxa" w:w="4964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1F4E79"/>
                <w:sz w:val="20"/>
                <w:szCs w:val="20"/>
              </w:rPr>
              <w:t xml:space="preserve">修订内容</w:t>
            </w:r>
          </w:p>
        </w:tc>
        <w:tc>
          <w:tcPr>
            <w:tcW w:type="dxa" w:w="1354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1F4E79"/>
                <w:sz w:val="20"/>
                <w:szCs w:val="20"/>
              </w:rPr>
              <w:t xml:space="preserve">修订人</w:t>
            </w:r>
          </w:p>
        </w:tc>
      </w:tr>
      <w:tr>
        <w:tc>
          <w:tcPr>
            <w:tcW w:type="dxa" w:w="108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V1.0</w:t>
            </w:r>
          </w:p>
        </w:tc>
        <w:tc>
          <w:tcPr>
            <w:tcW w:type="dxa" w:w="162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2026-08-25</w:t>
            </w:r>
          </w:p>
        </w:tc>
        <w:tc>
          <w:tcPr>
            <w:tcW w:type="dxa" w:w="496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初稿。相对概念稿的关键调整：①输入层以银行流水与合同为核心；②免费版改为浅体检，预测能力全部入墙；③新增LLM处理层与60案先验库；④英雄指标改为断粮日+回本日；⑤移出蒙特卡洛至V2.0</w:t>
            </w:r>
          </w:p>
        </w:tc>
        <w:tc>
          <w:tcPr>
            <w:tcW w:type="dxa" w:w="135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</w:pPr>
      <w:r>
        <w:t xml:space="preserve">目录</w:t>
      </w:r>
    </w:p>
    <w:p>
      <w:pPr>
        <w:spacing w:after="100" w:before="0" w:line="320"/>
        <w:jc w:val="both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2"/>
          <w:szCs w:val="22"/>
        </w:rPr>
        <w:t xml:space="preserve">1. 产品概述</w:t>
      </w:r>
    </w:p>
    <w:p>
      <w:pPr>
        <w:spacing w:after="100" w:before="0" w:line="320"/>
        <w:jc w:val="both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2"/>
          <w:szCs w:val="22"/>
        </w:rPr>
        <w:t xml:space="preserve">2. 核心概念体系</w:t>
      </w:r>
    </w:p>
    <w:p>
      <w:pPr>
        <w:spacing w:after="100" w:before="0" w:line="320"/>
        <w:jc w:val="both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2"/>
          <w:szCs w:val="22"/>
        </w:rPr>
        <w:t xml:space="preserve">3. V1.0功能规格</w:t>
      </w:r>
    </w:p>
    <w:p>
      <w:pPr>
        <w:spacing w:after="100" w:before="0" w:line="320"/>
        <w:jc w:val="both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2"/>
          <w:szCs w:val="22"/>
        </w:rPr>
        <w:t xml:space="preserve">4. 60案先验库设计</w:t>
      </w:r>
    </w:p>
    <w:p>
      <w:pPr>
        <w:spacing w:after="100" w:before="0" w:line="320"/>
        <w:jc w:val="both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2"/>
          <w:szCs w:val="22"/>
        </w:rPr>
        <w:t xml:space="preserve">5. 收费分层</w:t>
      </w:r>
    </w:p>
    <w:p>
      <w:pPr>
        <w:spacing w:after="100" w:before="0" w:line="320"/>
        <w:jc w:val="both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2"/>
          <w:szCs w:val="22"/>
        </w:rPr>
        <w:t xml:space="preserve">6. 责任声明与合规</w:t>
      </w:r>
    </w:p>
    <w:p>
      <w:pPr>
        <w:spacing w:after="100" w:before="0" w:line="320"/>
        <w:jc w:val="both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2"/>
          <w:szCs w:val="22"/>
        </w:rPr>
        <w:t xml:space="preserve">7. V0.1规格（首单项目脚本模拟器）</w:t>
      </w:r>
    </w:p>
    <w:p>
      <w:pPr>
        <w:spacing w:after="100" w:before="0" w:line="320"/>
        <w:jc w:val="both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2"/>
          <w:szCs w:val="22"/>
        </w:rPr>
        <w:t xml:space="preserve">8. 技术架构概览</w:t>
      </w:r>
    </w:p>
    <w:p>
      <w:pPr>
        <w:spacing w:after="100" w:before="0" w:line="320"/>
        <w:jc w:val="both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2"/>
          <w:szCs w:val="22"/>
        </w:rPr>
        <w:t xml:space="preserve">9. 里程碑与排期</w:t>
      </w:r>
    </w:p>
    <w:p>
      <w:pPr>
        <w:spacing w:after="160"/>
      </w:pPr>
    </w:p>
    <w:p>
      <w:pPr>
        <w:pStyle w:val="Heading1"/>
      </w:pPr>
      <w:r>
        <w:t xml:space="preserve">1. 产品概述</w:t>
      </w:r>
    </w:p>
    <w:p>
      <w:pPr>
        <w:pStyle w:val="Heading2"/>
      </w:pPr>
      <w:r>
        <w:t xml:space="preserve">1.1 一句话定位</w:t>
      </w:r>
    </w:p>
    <w:p>
      <w:pPr>
        <w:spacing w:after="120" w:before="0" w:line="320"/>
        <w:jc w:val="both"/>
      </w:pPr>
      <w:r>
        <w:rPr>
          <w:rFonts w:ascii="宋体" w:cs="宋体" w:eastAsia="宋体" w:hAnsi="宋体"/>
          <w:b w:val="false"/>
          <w:bCs w:val="false"/>
          <w:color w:val="000000"/>
          <w:sz w:val="21"/>
          <w:szCs w:val="21"/>
        </w:rPr>
        <w:t xml:space="preserve">AI驱动的企业资金流模拟、推演与预警工具——把企业的银行流水和合同变成一张资金心电图，让决策者在断粮之前看到断粮日。</w:t>
      </w:r>
    </w:p>
    <w:p>
      <w:pPr>
        <w:pStyle w:val="Heading2"/>
      </w:pPr>
      <w:r>
        <w:t xml:space="preserve">1.2 目标用户画像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805"/>
        <w:gridCol w:w="2708"/>
        <w:gridCol w:w="2527"/>
        <w:gridCol w:w="1986"/>
      </w:tblGrid>
      <w:tr>
        <w:trPr>
          <w:tblHeader/>
        </w:trPr>
        <w:tc>
          <w:tcPr>
            <w:tcW w:type="dxa" w:w="1805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1F4E79"/>
                <w:sz w:val="20"/>
                <w:szCs w:val="20"/>
              </w:rPr>
              <w:t xml:space="preserve">用户群</w:t>
            </w:r>
          </w:p>
        </w:tc>
        <w:tc>
          <w:tcPr>
            <w:tcW w:type="dxa" w:w="2708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1F4E79"/>
                <w:sz w:val="20"/>
                <w:szCs w:val="20"/>
              </w:rPr>
              <w:t xml:space="preserve">特征</w:t>
            </w:r>
          </w:p>
        </w:tc>
        <w:tc>
          <w:tcPr>
            <w:tcW w:type="dxa" w:w="2527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1F4E79"/>
                <w:sz w:val="20"/>
                <w:szCs w:val="20"/>
              </w:rPr>
              <w:t xml:space="preserve">核心痛点</w:t>
            </w:r>
          </w:p>
        </w:tc>
        <w:tc>
          <w:tcPr>
            <w:tcW w:type="dxa" w:w="1986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1F4E79"/>
                <w:sz w:val="20"/>
                <w:szCs w:val="20"/>
              </w:rPr>
              <w:t xml:space="preserve">付费动机</w:t>
            </w:r>
          </w:p>
        </w:tc>
      </w:tr>
      <w:tr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中小项目公司决策者</w:t>
            </w:r>
          </w:p>
        </w:tc>
        <w:tc>
          <w:tcPr>
            <w:tcW w:type="dxa" w:w="270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房地产、建安、生产型企业；无专职财务总监，老板一支笔管资金</w:t>
            </w:r>
          </w:p>
        </w:tc>
        <w:tc>
          <w:tcPr>
            <w:tcW w:type="dxa" w:w="252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不知道钱什么时候不够用；签了合同忘了付款节奏</w:t>
            </w:r>
          </w:p>
        </w:tc>
        <w:tc>
          <w:tcPr>
            <w:tcW w:type="dxa" w:w="198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免于突然断链</w:t>
            </w:r>
          </w:p>
        </w:tc>
      </w:tr>
      <w:tr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政府专班与处置机构</w:t>
            </w:r>
          </w:p>
        </w:tc>
        <w:tc>
          <w:tcPr>
            <w:tcW w:type="dxa" w:w="270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保交楼、烂尾项目处置；多方案比选需求强</w:t>
            </w:r>
          </w:p>
        </w:tc>
        <w:tc>
          <w:tcPr>
            <w:tcW w:type="dxa" w:w="252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方案比选缺乏动态工具，拍脑决策</w:t>
            </w:r>
          </w:p>
        </w:tc>
        <w:tc>
          <w:tcPr>
            <w:tcW w:type="dxa" w:w="198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维稳责任压力</w:t>
            </w:r>
          </w:p>
        </w:tc>
      </w:tr>
      <w:tr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金融机构（银行、AMC）</w:t>
            </w:r>
          </w:p>
        </w:tc>
        <w:tc>
          <w:tcPr>
            <w:tcW w:type="dxa" w:w="270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贷后监测、不良资产收购定价</w:t>
            </w:r>
          </w:p>
        </w:tc>
        <w:tc>
          <w:tcPr>
            <w:tcW w:type="dxa" w:w="252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预警滞后于暴雷；收购定价缺依据</w:t>
            </w:r>
          </w:p>
        </w:tc>
        <w:tc>
          <w:tcPr>
            <w:tcW w:type="dxa" w:w="198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风控合规要求</w:t>
            </w:r>
          </w:p>
        </w:tc>
      </w:tr>
      <w:tr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破产管理人与清算组</w:t>
            </w:r>
          </w:p>
        </w:tc>
        <w:tc>
          <w:tcPr>
            <w:tcW w:type="dxa" w:w="270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清算价值测算、续建可行性判断</w:t>
            </w:r>
          </w:p>
        </w:tc>
        <w:tc>
          <w:tcPr>
            <w:tcW w:type="dxa" w:w="252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缺少可信的测算工具</w:t>
            </w:r>
          </w:p>
        </w:tc>
        <w:tc>
          <w:tcPr>
            <w:tcW w:type="dxa" w:w="198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法定职责需要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1.3 核心价值主张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宋体" w:cs="宋体" w:eastAsia="宋体" w:hAnsi="宋体"/>
          <w:sz w:val="21"/>
          <w:szCs w:val="21"/>
        </w:rPr>
        <w:t xml:space="preserve">以现金流而非利润为唯一主线。利润是观点，现金是事实；所有输出围绕资金余额曲线展开。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宋体" w:cs="宋体" w:eastAsia="宋体" w:hAnsi="宋体"/>
          <w:sz w:val="21"/>
          <w:szCs w:val="21"/>
        </w:rPr>
        <w:t xml:space="preserve">尸检校准的先验。风险参数来自60余个真实困境项目的审计底稿，而非教科书假设；每个预警阈值能回答“依据是什么”。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宋体" w:cs="宋体" w:eastAsia="宋体" w:hAnsi="宋体"/>
          <w:sz w:val="21"/>
          <w:szCs w:val="21"/>
        </w:rPr>
        <w:t xml:space="preserve">数据质量透明。ABCD分级，输出强度与数据可信度挂钩；宁可不算，不可乱算。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宋体" w:cs="宋体" w:eastAsia="宋体" w:hAnsi="宋体"/>
          <w:sz w:val="21"/>
          <w:szCs w:val="21"/>
        </w:rPr>
        <w:t xml:space="preserve">决策即游戏。拖动滑杆看日期变化，英雄指标是断粮日与回本日；白箱可溯源，每个数字能点开看它怎么来的。</w:t>
      </w:r>
    </w:p>
    <w:p>
      <w:pPr>
        <w:pStyle w:val="Heading2"/>
      </w:pPr>
      <w:r>
        <w:t xml:space="preserve">1.4 与传统工具的差异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444"/>
        <w:gridCol w:w="1895"/>
        <w:gridCol w:w="1895"/>
        <w:gridCol w:w="1895"/>
        <w:gridCol w:w="1895"/>
      </w:tblGrid>
      <w:tr>
        <w:trPr>
          <w:tblHeader/>
        </w:trPr>
        <w:tc>
          <w:tcPr>
            <w:tcW w:type="dxa" w:w="1444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1F4E79"/>
                <w:sz w:val="20"/>
                <w:szCs w:val="20"/>
              </w:rPr>
              <w:t xml:space="preserve">维度</w:t>
            </w:r>
          </w:p>
        </w:tc>
        <w:tc>
          <w:tcPr>
            <w:tcW w:type="dxa" w:w="1895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1F4E79"/>
                <w:sz w:val="20"/>
                <w:szCs w:val="20"/>
              </w:rPr>
              <w:t xml:space="preserve">记账财务软件</w:t>
            </w:r>
          </w:p>
        </w:tc>
        <w:tc>
          <w:tcPr>
            <w:tcW w:type="dxa" w:w="1895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1F4E79"/>
                <w:sz w:val="20"/>
                <w:szCs w:val="20"/>
              </w:rPr>
              <w:t xml:space="preserve">Excel模型</w:t>
            </w:r>
          </w:p>
        </w:tc>
        <w:tc>
          <w:tcPr>
            <w:tcW w:type="dxa" w:w="1895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1F4E79"/>
                <w:sz w:val="20"/>
                <w:szCs w:val="20"/>
              </w:rPr>
              <w:t xml:space="preserve">BI报表</w:t>
            </w:r>
          </w:p>
        </w:tc>
        <w:tc>
          <w:tcPr>
            <w:tcW w:type="dxa" w:w="1895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1F4E79"/>
                <w:sz w:val="20"/>
                <w:szCs w:val="20"/>
              </w:rPr>
              <w:t xml:space="preserve">资金心电图</w:t>
            </w:r>
          </w:p>
        </w:tc>
      </w:tr>
      <w:tr>
        <w:tc>
          <w:tcPr>
            <w:tcW w:type="dxa" w:w="144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时间方向</w:t>
            </w:r>
          </w:p>
        </w:tc>
        <w:tc>
          <w:tcPr>
            <w:tcW w:type="dxa" w:w="189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向后看，记录已发生</w:t>
            </w:r>
          </w:p>
        </w:tc>
        <w:tc>
          <w:tcPr>
            <w:tcW w:type="dxa" w:w="189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静态一次性</w:t>
            </w:r>
          </w:p>
        </w:tc>
        <w:tc>
          <w:tcPr>
            <w:tcW w:type="dxa" w:w="189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展示历史</w:t>
            </w:r>
          </w:p>
        </w:tc>
        <w:tc>
          <w:tcPr>
            <w:tcW w:type="dxa" w:w="189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向前看，推演未来12个月</w:t>
            </w:r>
          </w:p>
        </w:tc>
      </w:tr>
      <w:tr>
        <w:tc>
          <w:tcPr>
            <w:tcW w:type="dxa" w:w="144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交互性</w:t>
            </w:r>
          </w:p>
        </w:tc>
        <w:tc>
          <w:tcPr>
            <w:tcW w:type="dxa" w:w="189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无</w:t>
            </w:r>
          </w:p>
        </w:tc>
        <w:tc>
          <w:tcPr>
            <w:tcW w:type="dxa" w:w="189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改公式易错</w:t>
            </w:r>
          </w:p>
        </w:tc>
        <w:tc>
          <w:tcPr>
            <w:tcW w:type="dxa" w:w="189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筛选下钻</w:t>
            </w:r>
          </w:p>
        </w:tc>
        <w:tc>
          <w:tcPr>
            <w:tcW w:type="dxa" w:w="189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滑杆实时重算，对话式推演</w:t>
            </w:r>
          </w:p>
        </w:tc>
      </w:tr>
      <w:tr>
        <w:tc>
          <w:tcPr>
            <w:tcW w:type="dxa" w:w="144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风险知识</w:t>
            </w:r>
          </w:p>
        </w:tc>
        <w:tc>
          <w:tcPr>
            <w:tcW w:type="dxa" w:w="189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无</w:t>
            </w:r>
          </w:p>
        </w:tc>
        <w:tc>
          <w:tcPr>
            <w:tcW w:type="dxa" w:w="189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依赖建模者水平</w:t>
            </w:r>
          </w:p>
        </w:tc>
        <w:tc>
          <w:tcPr>
            <w:tcW w:type="dxa" w:w="189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无</w:t>
            </w:r>
          </w:p>
        </w:tc>
        <w:tc>
          <w:tcPr>
            <w:tcW w:type="dxa" w:w="189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60案先验库+六类死亡剧本预警</w:t>
            </w:r>
          </w:p>
        </w:tc>
      </w:tr>
      <w:tr>
        <w:tc>
          <w:tcPr>
            <w:tcW w:type="dxa" w:w="144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数据诚信</w:t>
            </w:r>
          </w:p>
        </w:tc>
        <w:tc>
          <w:tcPr>
            <w:tcW w:type="dxa" w:w="189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不评估</w:t>
            </w:r>
          </w:p>
        </w:tc>
        <w:tc>
          <w:tcPr>
            <w:tcW w:type="dxa" w:w="189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不评估</w:t>
            </w:r>
          </w:p>
        </w:tc>
        <w:tc>
          <w:tcPr>
            <w:tcW w:type="dxa" w:w="189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不评估</w:t>
            </w:r>
          </w:p>
        </w:tc>
        <w:tc>
          <w:tcPr>
            <w:tcW w:type="dxa" w:w="189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ABCD分级，输出随质量降级</w:t>
            </w:r>
          </w:p>
        </w:tc>
      </w:tr>
      <w:tr>
        <w:tc>
          <w:tcPr>
            <w:tcW w:type="dxa" w:w="144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可解释性</w:t>
            </w:r>
          </w:p>
        </w:tc>
        <w:tc>
          <w:tcPr>
            <w:tcW w:type="dxa" w:w="189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黑箱</w:t>
            </w:r>
          </w:p>
        </w:tc>
        <w:tc>
          <w:tcPr>
            <w:tcW w:type="dxa" w:w="189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在个人脑子里</w:t>
            </w:r>
          </w:p>
        </w:tc>
        <w:tc>
          <w:tcPr>
            <w:tcW w:type="dxa" w:w="189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黑箱</w:t>
            </w:r>
          </w:p>
        </w:tc>
        <w:tc>
          <w:tcPr>
            <w:tcW w:type="dxa" w:w="189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白箱溯源，逐笔可追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2. 核心概念体系</w:t>
      </w:r>
    </w:p>
    <w:p>
      <w:pPr>
        <w:pStyle w:val="Heading2"/>
      </w:pPr>
      <w:r>
        <w:t xml:space="preserve">2.1 资金心电图（三条曲线）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历史真实曲线：</w:t>
      </w:r>
      <w:r>
        <w:rPr>
          <w:rFonts w:ascii="宋体" w:cs="宋体" w:eastAsia="宋体" w:hAnsi="宋体"/>
          <w:sz w:val="21"/>
          <w:szCs w:val="21"/>
        </w:rPr>
        <w:t xml:space="preserve">银行流水汇总的月度净流量与余额，一切分析的锚点。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未来义务曲线：</w:t>
      </w:r>
      <w:r>
        <w:rPr>
          <w:rFonts w:ascii="宋体" w:cs="宋体" w:eastAsia="宋体" w:hAnsi="宋体"/>
          <w:sz w:val="21"/>
          <w:szCs w:val="21"/>
        </w:rPr>
        <w:t xml:space="preserve">合同付款节点与固定支出排布的未来12个月刚性支出；解决“签了合同忘了付款节奏”这一最常见盲区。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预算情景曲线：</w:t>
      </w:r>
      <w:r>
        <w:rPr>
          <w:rFonts w:ascii="宋体" w:cs="宋体" w:eastAsia="宋体" w:hAnsi="宋体"/>
          <w:sz w:val="21"/>
          <w:szCs w:val="21"/>
        </w:rPr>
        <w:t xml:space="preserve">用户预算或AI草稿，随决策滑杆实时变形。</w:t>
      </w:r>
    </w:p>
    <w:p>
      <w:pPr>
        <w:pStyle w:val="Heading2"/>
      </w:pPr>
      <w:r>
        <w:t xml:space="preserve">2.2 英雄指标：断粮日与回本日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断粮日：</w:t>
      </w:r>
      <w:r>
        <w:rPr>
          <w:rFonts w:ascii="宋体" w:cs="宋体" w:eastAsia="宋体" w:hAnsi="宋体"/>
          <w:sz w:val="21"/>
          <w:szCs w:val="21"/>
        </w:rPr>
        <w:t xml:space="preserve">预测资金余额首次穿零的日期。精度随数据等级变化：A级±15天，B级±45天，C级±120天，D级不给具体日期，只给高危状态。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回本日：</w:t>
      </w:r>
      <w:r>
        <w:rPr>
          <w:rFonts w:ascii="宋体" w:cs="宋体" w:eastAsia="宋体" w:hAnsi="宋体"/>
          <w:sz w:val="21"/>
          <w:szCs w:val="21"/>
        </w:rPr>
        <w:t xml:space="preserve">累计现金流由负转正的日期。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映射规则：</w:t>
      </w:r>
      <w:r>
        <w:rPr>
          <w:rFonts w:ascii="宋体" w:cs="宋体" w:eastAsia="宋体" w:hAnsi="宋体"/>
          <w:sz w:val="21"/>
          <w:szCs w:val="21"/>
        </w:rPr>
        <w:t xml:space="preserve">所有滑杆操作最终都映射为这两个日期的变化量（天数），界面高亮显示。决策者记日期，不记金额。</w:t>
      </w:r>
    </w:p>
    <w:p>
      <w:pPr>
        <w:pStyle w:val="Heading2"/>
      </w:pPr>
      <w:r>
        <w:t xml:space="preserve">2.3 健康分（90天义务覆盖率）</w:t>
      </w:r>
    </w:p>
    <w:p>
      <w:pPr>
        <w:spacing w:after="120" w:before="0" w:line="320"/>
        <w:jc w:val="both"/>
      </w:pPr>
      <w:r>
        <w:rPr>
          <w:rFonts w:ascii="宋体" w:cs="宋体" w:eastAsia="宋体" w:hAnsi="宋体"/>
          <w:b w:val="false"/>
          <w:bCs w:val="false"/>
          <w:color w:val="000000"/>
          <w:sz w:val="21"/>
          <w:szCs w:val="21"/>
        </w:rPr>
        <w:t xml:space="preserve">健康分 = 可用资金 ÷ 未来90天刚性支出。一屏一数一色：≥1.5绿；1.0～1.5黄；&lt;1.0红；数据不足灰。</w:t>
      </w:r>
    </w:p>
    <w:p>
      <w:pPr>
        <w:pStyle w:val="Heading2"/>
      </w:pPr>
      <w:r>
        <w:t xml:space="preserve">2.4 六类死亡剧本（风险分类学）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722"/>
        <w:gridCol w:w="1444"/>
        <w:gridCol w:w="2708"/>
        <w:gridCol w:w="4152"/>
      </w:tblGrid>
      <w:tr>
        <w:trPr>
          <w:tblHeader/>
        </w:trPr>
        <w:tc>
          <w:tcPr>
            <w:tcW w:type="dxa" w:w="722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1F4E79"/>
                <w:sz w:val="20"/>
                <w:szCs w:val="20"/>
              </w:rPr>
              <w:t xml:space="preserve">编号</w:t>
            </w:r>
          </w:p>
        </w:tc>
        <w:tc>
          <w:tcPr>
            <w:tcW w:type="dxa" w:w="1444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1F4E79"/>
                <w:sz w:val="20"/>
                <w:szCs w:val="20"/>
              </w:rPr>
              <w:t xml:space="preserve">剧本名称</w:t>
            </w:r>
          </w:p>
        </w:tc>
        <w:tc>
          <w:tcPr>
            <w:tcW w:type="dxa" w:w="2708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1F4E79"/>
                <w:sz w:val="20"/>
                <w:szCs w:val="20"/>
              </w:rPr>
              <w:t xml:space="preserve">关键征兆（信号）</w:t>
            </w:r>
          </w:p>
        </w:tc>
        <w:tc>
          <w:tcPr>
            <w:tcW w:type="dxa" w:w="4152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1F4E79"/>
                <w:sz w:val="20"/>
                <w:szCs w:val="20"/>
              </w:rPr>
              <w:t xml:space="preserve">锚点案例（脱敏）</w:t>
            </w:r>
          </w:p>
        </w:tc>
      </w:tr>
      <w:tr>
        <w:tc>
          <w:tcPr>
            <w:tcW w:type="dxa" w:w="72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S1</w:t>
            </w:r>
          </w:p>
        </w:tc>
        <w:tc>
          <w:tcPr>
            <w:tcW w:type="dxa" w:w="144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抽逃断链型</w:t>
            </w:r>
          </w:p>
        </w:tc>
        <w:tc>
          <w:tcPr>
            <w:tcW w:type="dxa" w:w="270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贷款到账当日或次日等额转出；其他应收款激增</w:t>
            </w:r>
          </w:p>
        </w:tc>
        <w:tc>
          <w:tcPr>
            <w:tcW w:type="dxa" w:w="415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某项目3000万贷款到账当天转入关联往来，体外循环</w:t>
            </w:r>
          </w:p>
        </w:tc>
      </w:tr>
      <w:tr>
        <w:tc>
          <w:tcPr>
            <w:tcW w:type="dxa" w:w="72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S2</w:t>
            </w:r>
          </w:p>
        </w:tc>
        <w:tc>
          <w:tcPr>
            <w:tcW w:type="dxa" w:w="144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扩张失血型</w:t>
            </w:r>
          </w:p>
        </w:tc>
        <w:tc>
          <w:tcPr>
            <w:tcW w:type="dxa" w:w="270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经营性现金持续为负且投资性流出大额刚性</w:t>
            </w:r>
          </w:p>
        </w:tc>
        <w:tc>
          <w:tcPr>
            <w:tcW w:type="dxa" w:w="415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大型房企挪预售资金拿地，高周转扩张崩盘</w:t>
            </w:r>
          </w:p>
        </w:tc>
      </w:tr>
      <w:tr>
        <w:tc>
          <w:tcPr>
            <w:tcW w:type="dxa" w:w="72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S3</w:t>
            </w:r>
          </w:p>
        </w:tc>
        <w:tc>
          <w:tcPr>
            <w:tcW w:type="dxa" w:w="144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高息拖垮型</w:t>
            </w:r>
          </w:p>
        </w:tc>
        <w:tc>
          <w:tcPr>
            <w:tcW w:type="dxa" w:w="270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融资源从银行→信托→民间借贷逐级降级；综合融资成本高于资产回报率</w:t>
            </w:r>
          </w:p>
        </w:tc>
        <w:tc>
          <w:tcPr>
            <w:tcW w:type="dxa" w:w="415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某项目民间借贷2490万；监理费合约130万拖成600余万的时间失血</w:t>
            </w:r>
          </w:p>
        </w:tc>
      </w:tr>
      <w:tr>
        <w:tc>
          <w:tcPr>
            <w:tcW w:type="dxa" w:w="72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S4</w:t>
            </w:r>
          </w:p>
        </w:tc>
        <w:tc>
          <w:tcPr>
            <w:tcW w:type="dxa" w:w="144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合同义务失控型</w:t>
            </w:r>
          </w:p>
        </w:tc>
        <w:tc>
          <w:tcPr>
            <w:tcW w:type="dxa" w:w="270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无付款计划合同占比上升；90天义务覆盖率骤降；签约主体与收款主体不一致</w:t>
            </w:r>
          </w:p>
        </w:tc>
        <w:tc>
          <w:tcPr>
            <w:tcW w:type="dxa" w:w="415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某配电合同签约主体与实际收款方不一致，内控失效</w:t>
            </w:r>
          </w:p>
        </w:tc>
      </w:tr>
      <w:tr>
        <w:tc>
          <w:tcPr>
            <w:tcW w:type="dxa" w:w="72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S5</w:t>
            </w:r>
          </w:p>
        </w:tc>
        <w:tc>
          <w:tcPr>
            <w:tcW w:type="dxa" w:w="144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账期漂移型</w:t>
            </w:r>
          </w:p>
        </w:tc>
        <w:tc>
          <w:tcPr>
            <w:tcW w:type="dxa" w:w="270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应付账款账期逐季拉长；新增商票支付；供应商诉讼激增</w:t>
            </w:r>
          </w:p>
        </w:tc>
        <w:tc>
          <w:tcPr>
            <w:tcW w:type="dxa" w:w="415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行业性商票危机，大企业占压供应链资金</w:t>
            </w:r>
          </w:p>
        </w:tc>
      </w:tr>
      <w:tr>
        <w:tc>
          <w:tcPr>
            <w:tcW w:type="dxa" w:w="72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S6</w:t>
            </w:r>
          </w:p>
        </w:tc>
        <w:tc>
          <w:tcPr>
            <w:tcW w:type="dxa" w:w="144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停工空转型</w:t>
            </w:r>
          </w:p>
        </w:tc>
        <w:tc>
          <w:tcPr>
            <w:tcW w:type="dxa" w:w="270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监理费、租赁、留守工资等纯消耗性支出占比攀升，产值停滞</w:t>
            </w:r>
          </w:p>
        </w:tc>
        <w:tc>
          <w:tcPr>
            <w:tcW w:type="dxa" w:w="415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停工期间费用空转，付款与产值增长脱钩</w:t>
            </w:r>
          </w:p>
        </w:tc>
      </w:tr>
    </w:tbl>
    <w:p>
      <w:pPr>
        <w:spacing w:after="160"/>
      </w:pPr>
    </w:p>
    <w:p>
      <w:pPr>
        <w:spacing w:after="120" w:before="0" w:line="320"/>
        <w:jc w:val="both"/>
      </w:pPr>
      <w:r>
        <w:rPr>
          <w:rFonts w:ascii="宋体" w:cs="宋体" w:eastAsia="宋体" w:hAnsi="宋体"/>
          <w:b w:val="false"/>
          <w:bCs w:val="false"/>
          <w:color w:val="000000"/>
          <w:sz w:val="21"/>
          <w:szCs w:val="21"/>
        </w:rPr>
        <w:t xml:space="preserve">六类剧本同时用作：预警分类语言、流水打标体系、反方唱票的质疑规则、先验库的案例归档结构。分类学本身就是产品语言。</w:t>
      </w:r>
    </w:p>
    <w:p>
      <w:pPr>
        <w:pStyle w:val="Heading2"/>
      </w:pPr>
      <w:r>
        <w:t xml:space="preserve">2.5 数据质量评分（ABCD四级）</w:t>
      </w:r>
    </w:p>
    <w:p>
      <w:pPr>
        <w:pStyle w:val="Heading3"/>
      </w:pPr>
      <w:r>
        <w:t xml:space="preserve">2.5.1 四维度打分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625"/>
        <w:gridCol w:w="1083"/>
        <w:gridCol w:w="6318"/>
      </w:tblGrid>
      <w:tr>
        <w:trPr>
          <w:tblHeader/>
        </w:trPr>
        <w:tc>
          <w:tcPr>
            <w:tcW w:type="dxa" w:w="1625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1F4E79"/>
                <w:sz w:val="20"/>
                <w:szCs w:val="20"/>
              </w:rPr>
              <w:t xml:space="preserve">维度</w:t>
            </w:r>
          </w:p>
        </w:tc>
        <w:tc>
          <w:tcPr>
            <w:tcW w:type="dxa" w:w="1083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1F4E79"/>
                <w:sz w:val="20"/>
                <w:szCs w:val="20"/>
              </w:rPr>
              <w:t xml:space="preserve">权重</w:t>
            </w:r>
          </w:p>
        </w:tc>
        <w:tc>
          <w:tcPr>
            <w:tcW w:type="dxa" w:w="6318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1F4E79"/>
                <w:sz w:val="20"/>
                <w:szCs w:val="20"/>
              </w:rPr>
              <w:t xml:space="preserve">评分要点</w:t>
            </w:r>
          </w:p>
        </w:tc>
      </w:tr>
      <w:tr>
        <w:tc>
          <w:tcPr>
            <w:tcW w:type="dxa" w:w="162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来源可靠性</w:t>
            </w:r>
          </w:p>
        </w:tc>
        <w:tc>
          <w:tcPr>
            <w:tcW w:type="dxa" w:w="108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25%</w:t>
            </w:r>
          </w:p>
        </w:tc>
        <w:tc>
          <w:tcPr>
            <w:tcW w:type="dxa" w:w="631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银行流水原始导出=满分；账套导出次之；手工录入降半；口头估算最低</w:t>
            </w:r>
          </w:p>
        </w:tc>
      </w:tr>
      <w:tr>
        <w:tc>
          <w:tcPr>
            <w:tcW w:type="dxa" w:w="162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一致性</w:t>
            </w:r>
          </w:p>
        </w:tc>
        <w:tc>
          <w:tcPr>
            <w:tcW w:type="dxa" w:w="108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25%</w:t>
            </w:r>
          </w:p>
        </w:tc>
        <w:tc>
          <w:tcPr>
            <w:tcW w:type="dxa" w:w="631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流水、账套、报表三口径勾稽差异率：&lt;1%满分，&gt;10%零分</w:t>
            </w:r>
          </w:p>
        </w:tc>
      </w:tr>
      <w:tr>
        <w:tc>
          <w:tcPr>
            <w:tcW w:type="dxa" w:w="162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完整性</w:t>
            </w:r>
          </w:p>
        </w:tc>
        <w:tc>
          <w:tcPr>
            <w:tcW w:type="dxa" w:w="108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25%</w:t>
            </w:r>
          </w:p>
        </w:tc>
        <w:tc>
          <w:tcPr>
            <w:tcW w:type="dxa" w:w="631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时间覆盖≥36个月且账户齐全；按缺失月数比例扣分</w:t>
            </w:r>
          </w:p>
        </w:tc>
      </w:tr>
      <w:tr>
        <w:tc>
          <w:tcPr>
            <w:tcW w:type="dxa" w:w="162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时效性</w:t>
            </w:r>
          </w:p>
        </w:tc>
        <w:tc>
          <w:tcPr>
            <w:tcW w:type="dxa" w:w="108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25%</w:t>
            </w:r>
          </w:p>
        </w:tc>
        <w:tc>
          <w:tcPr>
            <w:tcW w:type="dxa" w:w="631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最新数据距今天数：≤30天满分，&gt;180天零分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2.5.2 四级判定与输出影响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903"/>
        <w:gridCol w:w="1264"/>
        <w:gridCol w:w="1986"/>
        <w:gridCol w:w="4874"/>
      </w:tblGrid>
      <w:tr>
        <w:trPr>
          <w:tblHeader/>
        </w:trPr>
        <w:tc>
          <w:tcPr>
            <w:tcW w:type="dxa" w:w="903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1F4E79"/>
                <w:sz w:val="20"/>
                <w:szCs w:val="20"/>
              </w:rPr>
              <w:t xml:space="preserve">等级</w:t>
            </w:r>
          </w:p>
        </w:tc>
        <w:tc>
          <w:tcPr>
            <w:tcW w:type="dxa" w:w="1264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1F4E79"/>
                <w:sz w:val="20"/>
                <w:szCs w:val="20"/>
              </w:rPr>
              <w:t xml:space="preserve">分数段</w:t>
            </w:r>
          </w:p>
        </w:tc>
        <w:tc>
          <w:tcPr>
            <w:tcW w:type="dxa" w:w="1986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1F4E79"/>
                <w:sz w:val="20"/>
                <w:szCs w:val="20"/>
              </w:rPr>
              <w:t xml:space="preserve">断粮日精度</w:t>
            </w:r>
          </w:p>
        </w:tc>
        <w:tc>
          <w:tcPr>
            <w:tcW w:type="dxa" w:w="4874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1F4E79"/>
                <w:sz w:val="20"/>
                <w:szCs w:val="20"/>
              </w:rPr>
              <w:t xml:space="preserve">功能边界</w:t>
            </w:r>
          </w:p>
        </w:tc>
      </w:tr>
      <w:tr>
        <w:tc>
          <w:tcPr>
            <w:tcW w:type="dxa" w:w="90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A</w:t>
            </w:r>
          </w:p>
        </w:tc>
        <w:tc>
          <w:tcPr>
            <w:tcW w:type="dxa" w:w="126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≥85</w:t>
            </w:r>
          </w:p>
        </w:tc>
        <w:tc>
          <w:tcPr>
            <w:tcW w:type="dxa" w:w="198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±15天</w:t>
            </w:r>
          </w:p>
        </w:tc>
        <w:tc>
          <w:tcPr>
            <w:tcW w:type="dxa" w:w="487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全功能，预警强提示，完整白箱</w:t>
            </w:r>
          </w:p>
        </w:tc>
      </w:tr>
      <w:tr>
        <w:tc>
          <w:tcPr>
            <w:tcW w:type="dxa" w:w="90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B</w:t>
            </w:r>
          </w:p>
        </w:tc>
        <w:tc>
          <w:tcPr>
            <w:tcW w:type="dxa" w:w="126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70～84</w:t>
            </w:r>
          </w:p>
        </w:tc>
        <w:tc>
          <w:tcPr>
            <w:tcW w:type="dxa" w:w="198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±45天</w:t>
            </w:r>
          </w:p>
        </w:tc>
        <w:tc>
          <w:tcPr>
            <w:tcW w:type="dxa" w:w="487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全功能，预警正常提示</w:t>
            </w:r>
          </w:p>
        </w:tc>
      </w:tr>
      <w:tr>
        <w:tc>
          <w:tcPr>
            <w:tcW w:type="dxa" w:w="90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126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50～69</w:t>
            </w:r>
          </w:p>
        </w:tc>
        <w:tc>
          <w:tcPr>
            <w:tcW w:type="dxa" w:w="198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±120天（季度级）</w:t>
            </w:r>
          </w:p>
        </w:tc>
        <w:tc>
          <w:tcPr>
            <w:tcW w:type="dxa" w:w="487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禁用精细输出（如蒙特卡洛类），预警中提示</w:t>
            </w:r>
          </w:p>
        </w:tc>
      </w:tr>
      <w:tr>
        <w:tc>
          <w:tcPr>
            <w:tcW w:type="dxa" w:w="90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D</w:t>
            </w:r>
          </w:p>
        </w:tc>
        <w:tc>
          <w:tcPr>
            <w:tcW w:type="dxa" w:w="126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&lt;50</w:t>
            </w:r>
          </w:p>
        </w:tc>
        <w:tc>
          <w:tcPr>
            <w:tcW w:type="dxa" w:w="198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不给日期</w:t>
            </w:r>
          </w:p>
        </w:tc>
        <w:tc>
          <w:tcPr>
            <w:tcW w:type="dxa" w:w="487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不出预测结论，仅出体检清单与数据改进建议</w:t>
            </w:r>
          </w:p>
        </w:tc>
      </w:tr>
    </w:tbl>
    <w:p>
      <w:pPr>
        <w:spacing w:after="160"/>
      </w:pPr>
    </w:p>
    <w:p>
      <w:pPr>
        <w:spacing w:after="120" w:before="0" w:line="320"/>
        <w:jc w:val="both"/>
      </w:pPr>
      <w:r>
        <w:rPr>
          <w:rFonts w:ascii="宋体" w:cs="宋体" w:eastAsia="宋体" w:hAnsi="宋体"/>
          <w:b w:val="false"/>
          <w:bCs w:val="false"/>
          <w:color w:val="000000"/>
          <w:sz w:val="21"/>
          <w:szCs w:val="21"/>
        </w:rPr>
        <w:t xml:space="preserve">产品诚实原则：宁可不算，不可乱算。D级数据上的沉默是产品信用的建立，不是功能缺陷。</w:t>
      </w:r>
    </w:p>
    <w:p>
      <w:pPr>
        <w:pStyle w:val="Heading1"/>
      </w:pPr>
      <w:r>
        <w:t xml:space="preserve">3. V1.0功能规格</w:t>
      </w:r>
    </w:p>
    <w:p>
      <w:pPr>
        <w:pStyle w:val="Heading2"/>
      </w:pPr>
      <w:r>
        <w:t xml:space="preserve">3.1 输入层</w:t>
      </w:r>
    </w:p>
    <w:p>
      <w:pPr>
        <w:pStyle w:val="Heading3"/>
      </w:pPr>
      <w:r>
        <w:t xml:space="preserve">3.1.1 银行流水导入</w:t>
      </w:r>
    </w:p>
    <w:p>
      <w:pPr>
        <w:spacing w:after="120" w:before="0" w:line="320"/>
        <w:jc w:val="both"/>
      </w:pPr>
      <w:r>
        <w:rPr>
          <w:rFonts w:ascii="宋体" w:cs="宋体" w:eastAsia="宋体" w:hAnsi="宋体"/>
          <w:b w:val="false"/>
          <w:bCs w:val="false"/>
          <w:color w:val="000000"/>
          <w:sz w:val="21"/>
          <w:szCs w:val="21"/>
        </w:rPr>
        <w:t xml:space="preserve">格式CSV/XLSX，内置20余家主流网银导出模板识别规则；字段自动映射（交易日期、金额、对方户名、摘要）；支持多账户合并；同一账户重复文件按流水号自动去重。流水是唯一造假困难的真值锚，一切分析以它为基准。</w:t>
      </w:r>
    </w:p>
    <w:p>
      <w:pPr>
        <w:pStyle w:val="Heading3"/>
      </w:pPr>
      <w:r>
        <w:t xml:space="preserve">3.1.2 合同上传与结构化抽取</w:t>
      </w:r>
    </w:p>
    <w:p>
      <w:pPr>
        <w:spacing w:after="120" w:before="0" w:line="320"/>
        <w:jc w:val="both"/>
      </w:pPr>
      <w:r>
        <w:rPr>
          <w:rFonts w:ascii="宋体" w:cs="宋体" w:eastAsia="宋体" w:hAnsi="宋体"/>
          <w:b w:val="false"/>
          <w:bCs w:val="false"/>
          <w:color w:val="000000"/>
          <w:sz w:val="21"/>
          <w:szCs w:val="21"/>
        </w:rPr>
        <w:t xml:space="preserve">支持PDF、Word、扫描件（OCR）。抽取字段：合同编号、对手方、金额、付款计划节点、质保金条款、争议解决条款。抽取结果经人工确认后入库（人机协同，AI抽取+人工一键确认）。风险条款即时提示：无付款计划、无限连带责任、解约权不对等。</w:t>
      </w:r>
    </w:p>
    <w:p>
      <w:pPr>
        <w:pStyle w:val="Heading3"/>
      </w:pPr>
      <w:r>
        <w:t xml:space="preserve">3.1.3 手工补录</w:t>
      </w:r>
    </w:p>
    <w:p>
      <w:pPr>
        <w:spacing w:after="120" w:before="0" w:line="320"/>
        <w:jc w:val="both"/>
      </w:pPr>
      <w:r>
        <w:rPr>
          <w:rFonts w:ascii="宋体" w:cs="宋体" w:eastAsia="宋体" w:hAnsi="宋体"/>
          <w:b w:val="false"/>
          <w:bCs w:val="false"/>
          <w:color w:val="000000"/>
          <w:sz w:val="21"/>
          <w:szCs w:val="21"/>
        </w:rPr>
        <w:t xml:space="preserve">所有手工条目强制标记来源为手工，评分时降权；补录项在曲线上以空心点显示，与实证数据区分。</w:t>
      </w:r>
    </w:p>
    <w:p>
      <w:pPr>
        <w:pStyle w:val="Heading2"/>
      </w:pPr>
      <w:r>
        <w:t xml:space="preserve">3.2 LLM处理层</w:t>
      </w:r>
    </w:p>
    <w:p>
      <w:pPr>
        <w:pStyle w:val="Heading3"/>
      </w:pPr>
      <w:r>
        <w:t xml:space="preserve">3.2.1 流水智能清洗与打标</w:t>
      </w:r>
    </w:p>
    <w:p>
      <w:pPr>
        <w:spacing w:after="120" w:before="0" w:line="320"/>
        <w:jc w:val="both"/>
      </w:pPr>
      <w:r>
        <w:rPr>
          <w:rFonts w:ascii="宋体" w:cs="宋体" w:eastAsia="宋体" w:hAnsi="宋体"/>
          <w:b w:val="false"/>
          <w:bCs w:val="false"/>
          <w:color w:val="000000"/>
          <w:sz w:val="21"/>
          <w:szCs w:val="21"/>
        </w:rPr>
        <w:t xml:space="preserve">分类体系：经营流入、工程与货款支付、税费、工资、融资进出、关联往来、费用、异常待审。规则引擎优先（金额+户名+摘要规则），冲突或低置信度交LLM二次判断，仍不确定标待人工。性能目标：单万行流水处理时间小于3分钟。</w:t>
      </w:r>
    </w:p>
    <w:p>
      <w:pPr>
        <w:pStyle w:val="Heading3"/>
      </w:pPr>
      <w:r>
        <w:t xml:space="preserve">3.2.2 合同关键信息抽取</w:t>
      </w:r>
    </w:p>
    <w:p>
      <w:pPr>
        <w:spacing w:after="120" w:before="0" w:line="320"/>
        <w:jc w:val="both"/>
      </w:pPr>
      <w:r>
        <w:rPr>
          <w:rFonts w:ascii="宋体" w:cs="宋体" w:eastAsia="宋体" w:hAnsi="宋体"/>
          <w:b w:val="false"/>
          <w:bCs w:val="false"/>
          <w:color w:val="000000"/>
          <w:sz w:val="21"/>
          <w:szCs w:val="21"/>
        </w:rPr>
        <w:t xml:space="preserve">见第3.1.2节，抽取字段与风险条款提示同此处理，抽取置信度低的字段标黄邀请人工复核。</w:t>
      </w:r>
    </w:p>
    <w:p>
      <w:pPr>
        <w:pStyle w:val="Heading3"/>
      </w:pPr>
      <w:r>
        <w:t xml:space="preserve">3.2.3 对话式推演（受限域）</w:t>
      </w:r>
    </w:p>
    <w:p>
      <w:pPr>
        <w:spacing w:after="120" w:before="0" w:line="320"/>
        <w:jc w:val="both"/>
      </w:pPr>
      <w:r>
        <w:rPr>
          <w:rFonts w:ascii="宋体" w:cs="宋体" w:eastAsia="宋体" w:hAnsi="宋体"/>
          <w:b w:val="false"/>
          <w:bCs w:val="false"/>
          <w:color w:val="000000"/>
          <w:sz w:val="21"/>
          <w:szCs w:val="21"/>
        </w:rPr>
        <w:t xml:space="preserve">仅回答资金与财务风险域问题。反幻觉铁律：LLM只负责理解意图和组织语言，回答中的每一个数字必须引自确定性引擎的计算结果，禁止LLM自由生成数值。典型问法：“下个月拿2000万拿地行不行”“回款晚两个月会怎样”“再融资500万断粮日推后多少天”。</w:t>
      </w:r>
    </w:p>
    <w:p>
      <w:pPr>
        <w:pStyle w:val="Heading3"/>
      </w:pPr>
      <w:r>
        <w:t xml:space="preserve">3.2.4 反方唱票</w:t>
      </w:r>
    </w:p>
    <w:p>
      <w:pPr>
        <w:spacing w:after="120" w:before="0" w:line="320"/>
        <w:jc w:val="both"/>
      </w:pPr>
      <w:r>
        <w:rPr>
          <w:rFonts w:ascii="宋体" w:cs="宋体" w:eastAsia="宋体" w:hAnsi="宋体"/>
          <w:b w:val="false"/>
          <w:bCs w:val="false"/>
          <w:color w:val="000000"/>
          <w:sz w:val="21"/>
          <w:szCs w:val="21"/>
        </w:rPr>
        <w:t xml:space="preserve">每次重大参数调整或新合同入库，自动匹配六类剧本并生成质疑（例：“该付款计划使S4合同义务失控概率上调，因为……”）。质疑必须引用具体证据（哪笔流水、哪份合同第几条）。用户可忽略，但系统留痕。</w:t>
      </w:r>
    </w:p>
    <w:p>
      <w:pPr>
        <w:pStyle w:val="Heading2"/>
      </w:pPr>
      <w:r>
        <w:t xml:space="preserve">3.3 数据质量评分层</w:t>
      </w:r>
    </w:p>
    <w:p>
      <w:pPr>
        <w:spacing w:after="120" w:before="0" w:line="320"/>
        <w:jc w:val="both"/>
      </w:pPr>
      <w:r>
        <w:rPr>
          <w:rFonts w:ascii="宋体" w:cs="宋体" w:eastAsia="宋体" w:hAnsi="宋体"/>
          <w:b w:val="false"/>
          <w:bCs w:val="false"/>
          <w:color w:val="000000"/>
          <w:sz w:val="21"/>
          <w:szCs w:val="21"/>
        </w:rPr>
        <w:t xml:space="preserve">算法见第2.5节。每次导入自动重评；评分报告列出问题清单与改进建议（例：“缺少2025年3至5月流水，建议补导”“手工录入占比过高，建议改为网银导出”）。评分变化历史可查。</w:t>
      </w:r>
    </w:p>
    <w:p>
      <w:pPr>
        <w:pStyle w:val="Heading2"/>
      </w:pPr>
      <w:r>
        <w:t xml:space="preserve">3.4 推理引擎层</w:t>
      </w:r>
    </w:p>
    <w:p>
      <w:pPr>
        <w:pStyle w:val="Heading3"/>
      </w:pPr>
      <w:r>
        <w:t xml:space="preserve">3.4.1 逐月现金流模型</w:t>
      </w:r>
    </w:p>
    <w:p>
      <w:pPr>
        <w:spacing w:after="120" w:before="0" w:line="320"/>
        <w:jc w:val="both"/>
      </w:pPr>
      <w:r>
        <w:rPr>
          <w:rFonts w:ascii="宋体" w:cs="宋体" w:eastAsia="宋体" w:hAnsi="宋体"/>
          <w:b w:val="false"/>
          <w:bCs w:val="false"/>
          <w:color w:val="000000"/>
          <w:sz w:val="21"/>
          <w:szCs w:val="21"/>
        </w:rPr>
        <w:t xml:space="preserve">期初余额+流入-流出=期末余额，逐月递推；历史月用实际值，未来月用义务排布与情景参数。未来90天内切换周粒度。</w:t>
      </w:r>
    </w:p>
    <w:p>
      <w:pPr>
        <w:pStyle w:val="Heading3"/>
      </w:pPr>
      <w:r>
        <w:t xml:space="preserve">3.4.2 盈亏平衡分析</w:t>
      </w:r>
    </w:p>
    <w:p>
      <w:pPr>
        <w:spacing w:after="120" w:before="0" w:line="320"/>
        <w:jc w:val="both"/>
      </w:pPr>
      <w:r>
        <w:rPr>
          <w:rFonts w:ascii="宋体" w:cs="宋体" w:eastAsia="宋体" w:hAnsi="宋体"/>
          <w:b w:val="false"/>
          <w:bCs w:val="false"/>
          <w:color w:val="000000"/>
          <w:sz w:val="21"/>
          <w:szCs w:val="21"/>
        </w:rPr>
        <w:t xml:space="preserve">月度固定成本、变动成本率、盈亏平衡收入线；项目型业务输出盈亏平衡去化速度（套/月）。</w:t>
      </w:r>
    </w:p>
    <w:p>
      <w:pPr>
        <w:pStyle w:val="Heading3"/>
      </w:pPr>
      <w:r>
        <w:t xml:space="preserve">3.4.3 六类剧本预警逻辑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903"/>
        <w:gridCol w:w="5596"/>
        <w:gridCol w:w="2527"/>
      </w:tblGrid>
      <w:tr>
        <w:trPr>
          <w:tblHeader/>
        </w:trPr>
        <w:tc>
          <w:tcPr>
            <w:tcW w:type="dxa" w:w="903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1F4E79"/>
                <w:sz w:val="20"/>
                <w:szCs w:val="20"/>
              </w:rPr>
              <w:t xml:space="preserve">编号</w:t>
            </w:r>
          </w:p>
        </w:tc>
        <w:tc>
          <w:tcPr>
            <w:tcW w:type="dxa" w:w="5596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1F4E79"/>
                <w:sz w:val="20"/>
                <w:szCs w:val="20"/>
              </w:rPr>
              <w:t xml:space="preserve">触发阈值示例（V1.0初始值，可配置）</w:t>
            </w:r>
          </w:p>
        </w:tc>
        <w:tc>
          <w:tcPr>
            <w:tcW w:type="dxa" w:w="2527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1F4E79"/>
                <w:sz w:val="20"/>
                <w:szCs w:val="20"/>
              </w:rPr>
              <w:t xml:space="preserve">预警分级</w:t>
            </w:r>
          </w:p>
        </w:tc>
      </w:tr>
      <w:tr>
        <w:tc>
          <w:tcPr>
            <w:tcW w:type="dxa" w:w="90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S1</w:t>
            </w:r>
          </w:p>
        </w:tc>
        <w:tc>
          <w:tcPr>
            <w:tcW w:type="dxa" w:w="559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单笔流出≥500万且到账后3日内转关联方；其他应收款季增幅&gt;40%</w:t>
            </w:r>
          </w:p>
        </w:tc>
        <w:tc>
          <w:tcPr>
            <w:tcW w:type="dxa" w:w="252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关注/警告/危险</w:t>
            </w:r>
          </w:p>
        </w:tc>
      </w:tr>
      <w:tr>
        <w:tc>
          <w:tcPr>
            <w:tcW w:type="dxa" w:w="90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S2</w:t>
            </w:r>
          </w:p>
        </w:tc>
        <w:tc>
          <w:tcPr>
            <w:tcW w:type="dxa" w:w="559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经营性现金连续6月为负且投资性流出占流入&gt;50%</w:t>
            </w:r>
          </w:p>
        </w:tc>
        <w:tc>
          <w:tcPr>
            <w:tcW w:type="dxa" w:w="252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同上</w:t>
            </w:r>
          </w:p>
        </w:tc>
      </w:tr>
      <w:tr>
        <w:tc>
          <w:tcPr>
            <w:tcW w:type="dxa" w:w="90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S3</w:t>
            </w:r>
          </w:p>
        </w:tc>
        <w:tc>
          <w:tcPr>
            <w:tcW w:type="dxa" w:w="559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新增融资年化利率&gt;15%；利息支出占营收&gt;20%</w:t>
            </w:r>
          </w:p>
        </w:tc>
        <w:tc>
          <w:tcPr>
            <w:tcW w:type="dxa" w:w="252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同上</w:t>
            </w:r>
          </w:p>
        </w:tc>
      </w:tr>
      <w:tr>
        <w:tc>
          <w:tcPr>
            <w:tcW w:type="dxa" w:w="90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S4</w:t>
            </w:r>
          </w:p>
        </w:tc>
        <w:tc>
          <w:tcPr>
            <w:tcW w:type="dxa" w:w="559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90天义务覆盖率&lt;1.0；无付款条款合同金额占比&gt;30%</w:t>
            </w:r>
          </w:p>
        </w:tc>
        <w:tc>
          <w:tcPr>
            <w:tcW w:type="dxa" w:w="252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同上</w:t>
            </w:r>
          </w:p>
        </w:tc>
      </w:tr>
      <w:tr>
        <w:tc>
          <w:tcPr>
            <w:tcW w:type="dxa" w:w="90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S5</w:t>
            </w:r>
          </w:p>
        </w:tc>
        <w:tc>
          <w:tcPr>
            <w:tcW w:type="dxa" w:w="559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应付账款平均账期连续2季拉长&gt;15%；新增商票开立</w:t>
            </w:r>
          </w:p>
        </w:tc>
        <w:tc>
          <w:tcPr>
            <w:tcW w:type="dxa" w:w="252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同上</w:t>
            </w:r>
          </w:p>
        </w:tc>
      </w:tr>
      <w:tr>
        <w:tc>
          <w:tcPr>
            <w:tcW w:type="dxa" w:w="90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S6</w:t>
            </w:r>
          </w:p>
        </w:tc>
        <w:tc>
          <w:tcPr>
            <w:tcW w:type="dxa" w:w="559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纯消耗性支出占比连续3月&gt;25%且产值增长≤0</w:t>
            </w:r>
          </w:p>
        </w:tc>
        <w:tc>
          <w:tcPr>
            <w:tcW w:type="dxa" w:w="252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同上</w:t>
            </w:r>
          </w:p>
        </w:tc>
      </w:tr>
    </w:tbl>
    <w:p>
      <w:pPr>
        <w:spacing w:after="160"/>
      </w:pPr>
    </w:p>
    <w:p>
      <w:pPr>
        <w:spacing w:after="120" w:before="0" w:line="320"/>
        <w:jc w:val="both"/>
      </w:pPr>
      <w:r>
        <w:rPr>
          <w:rFonts w:ascii="宋体" w:cs="宋体" w:eastAsia="宋体" w:hAnsi="宋体"/>
          <w:b w:val="false"/>
          <w:bCs w:val="false"/>
          <w:color w:val="000000"/>
          <w:sz w:val="21"/>
          <w:szCs w:val="21"/>
        </w:rPr>
        <w:t xml:space="preserve">命中即点亮预警灯，每条预警附证据链（具体流水、合同、科目）。阈值依60案先验库校准，随回测迭代。</w:t>
      </w:r>
    </w:p>
    <w:p>
      <w:pPr>
        <w:pStyle w:val="Heading3"/>
      </w:pPr>
      <w:r>
        <w:t xml:space="preserve">3.4.4 敏感性分析</w:t>
      </w:r>
    </w:p>
    <w:p>
      <w:pPr>
        <w:spacing w:after="120" w:before="0" w:line="320"/>
        <w:jc w:val="both"/>
      </w:pPr>
      <w:r>
        <w:rPr>
          <w:rFonts w:ascii="宋体" w:cs="宋体" w:eastAsia="宋体" w:hAnsi="宋体"/>
          <w:b w:val="false"/>
          <w:bCs w:val="false"/>
          <w:color w:val="000000"/>
          <w:sz w:val="21"/>
          <w:szCs w:val="21"/>
        </w:rPr>
        <w:t xml:space="preserve">龙卷风图。变量集：回款速度±30%、大额抽调、融资成本±200bp、工期延误N月、单价波动±10%。输出各变量对断粮日的位移排序——告诉决策者哪个变量最先弄死企业。</w:t>
      </w:r>
    </w:p>
    <w:p>
      <w:pPr>
        <w:pStyle w:val="Heading3"/>
      </w:pPr>
      <w:r>
        <w:t xml:space="preserve">3.4.5 场景对比</w:t>
      </w:r>
    </w:p>
    <w:p>
      <w:pPr>
        <w:spacing w:after="120" w:before="0" w:line="320"/>
        <w:jc w:val="both"/>
      </w:pPr>
      <w:r>
        <w:rPr>
          <w:rFonts w:ascii="宋体" w:cs="宋体" w:eastAsia="宋体" w:hAnsi="宋体"/>
          <w:b w:val="false"/>
          <w:bCs w:val="false"/>
          <w:color w:val="000000"/>
          <w:sz w:val="21"/>
          <w:szCs w:val="21"/>
        </w:rPr>
        <w:t xml:space="preserve">乐观、中性、悲观三场景并行渲染三条曲线，附参数差异表。</w:t>
      </w:r>
    </w:p>
    <w:p>
      <w:pPr>
        <w:pStyle w:val="Heading2"/>
      </w:pPr>
      <w:r>
        <w:t xml:space="preserve">3.5 仪表盘层</w:t>
      </w:r>
    </w:p>
    <w:p>
      <w:pPr>
        <w:spacing w:after="120" w:before="0" w:line="320"/>
        <w:jc w:val="both"/>
      </w:pPr>
      <w:r>
        <w:rPr>
          <w:rFonts w:ascii="宋体" w:cs="宋体" w:eastAsia="宋体" w:hAnsi="宋体"/>
          <w:b w:val="false"/>
          <w:bCs w:val="false"/>
          <w:color w:val="000000"/>
          <w:sz w:val="21"/>
          <w:szCs w:val="21"/>
        </w:rPr>
        <w:t xml:space="preserve">首屏布局：顶部健康分（一屏一数一色）与英雄指标区（断粮日、回本日及其置信区间）；中部三条曲线主图；底部六类预警灯区。所有数字带数据来源等级角标（实证、陈述、愿望）。</w:t>
      </w:r>
    </w:p>
    <w:p>
      <w:pPr>
        <w:pStyle w:val="Heading2"/>
      </w:pPr>
      <w:r>
        <w:t xml:space="preserve">3.6 交互层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决策滑杆：</w:t>
      </w:r>
      <w:r>
        <w:rPr>
          <w:rFonts w:ascii="宋体" w:cs="宋体" w:eastAsia="宋体" w:hAnsi="宋体"/>
          <w:sz w:val="21"/>
          <w:szCs w:val="21"/>
        </w:rPr>
        <w:t xml:space="preserve">月去化、回款延迟天数、新增融资额与成本、一次性支出、抽调金额、工期。拖动实时重算，响应目标小于500ms（引擎本地确定性计算保障）。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方案对比：</w:t>
      </w:r>
      <w:r>
        <w:rPr>
          <w:rFonts w:ascii="宋体" w:cs="宋体" w:eastAsia="宋体" w:hAnsi="宋体"/>
          <w:sz w:val="21"/>
          <w:szCs w:val="21"/>
        </w:rPr>
        <w:t xml:space="preserve">保存当前参数为方案快照，A/B并排对比断粮日与回本日的变化量及90天覆盖率差异。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白箱溯源：</w:t>
      </w:r>
      <w:r>
        <w:rPr>
          <w:rFonts w:ascii="宋体" w:cs="宋体" w:eastAsia="宋体" w:hAnsi="宋体"/>
          <w:sz w:val="21"/>
          <w:szCs w:val="21"/>
        </w:rPr>
        <w:t xml:space="preserve">曲线上任一点击开展：当月流入流出明细（按标签聚合）、取数来源（流水批次号、合同编号、手工补录）、计算公式。</w:t>
      </w:r>
    </w:p>
    <w:p>
      <w:pPr>
        <w:pStyle w:val="Heading1"/>
      </w:pPr>
      <w:r>
        <w:t xml:space="preserve">4. 60案先验库设计</w:t>
      </w:r>
    </w:p>
    <w:p>
      <w:pPr>
        <w:spacing w:after="120" w:before="0" w:line="320"/>
        <w:jc w:val="both"/>
      </w:pPr>
      <w:r>
        <w:rPr>
          <w:rFonts w:ascii="宋体" w:cs="宋体" w:eastAsia="宋体" w:hAnsi="宋体"/>
          <w:b w:val="false"/>
          <w:bCs w:val="false"/>
          <w:color w:val="000000"/>
          <w:sz w:val="21"/>
          <w:szCs w:val="21"/>
        </w:rPr>
        <w:t xml:space="preserve">先验库是本产品相对通用BI与财务工具的核心壁垒：其他产品拍脑袋设参数，本产品用建筑与房地产困境领域60余个真实审计案例回归校准参数。</w:t>
      </w:r>
    </w:p>
    <w:p>
      <w:pPr>
        <w:pStyle w:val="Heading2"/>
      </w:pPr>
      <w:r>
        <w:t xml:space="preserve">4.1 行业基准值库</w:t>
      </w:r>
    </w:p>
    <w:p>
      <w:pPr>
        <w:spacing w:after="120" w:before="0" w:line="320"/>
        <w:jc w:val="both"/>
      </w:pPr>
      <w:r>
        <w:rPr>
          <w:rFonts w:ascii="宋体" w:cs="宋体" w:eastAsia="宋体" w:hAnsi="宋体"/>
          <w:b w:val="false"/>
          <w:bCs w:val="false"/>
          <w:color w:val="000000"/>
          <w:sz w:val="21"/>
          <w:szCs w:val="21"/>
        </w:rPr>
        <w:t xml:space="preserve">从审计底稿提取：行业毛利率、月度管理费用基线、工程款支付节奏、质保金比例、停工概率与时长分布等。每项标注样本量与离散度，供引擎在客户自身数据不足时作默认值。</w:t>
      </w:r>
    </w:p>
    <w:p>
      <w:pPr>
        <w:pStyle w:val="Heading2"/>
      </w:pPr>
      <w:r>
        <w:t xml:space="preserve">4.2 贝叶斯先验分布</w:t>
      </w:r>
    </w:p>
    <w:p>
      <w:pPr>
        <w:spacing w:after="120" w:before="0" w:line="320"/>
        <w:jc w:val="both"/>
      </w:pPr>
      <w:r>
        <w:rPr>
          <w:rFonts w:ascii="宋体" w:cs="宋体" w:eastAsia="宋体" w:hAnsi="宋体"/>
          <w:b w:val="false"/>
          <w:bCs w:val="false"/>
          <w:color w:val="000000"/>
          <w:sz w:val="21"/>
          <w:szCs w:val="21"/>
        </w:rPr>
        <w:t xml:space="preserve">关键不确定参数（回款速度因子、抽逃概率等）以先验分布注入模拟；客户实际数据到达后按贝叶斯更新收敛至客户自身分布。单次更新幅度设上限（不超过先验方差的一定比例），异常偏差弹人工确认，防过拟合与黑天鹅污染。</w:t>
      </w:r>
    </w:p>
    <w:p>
      <w:pPr>
        <w:pStyle w:val="Heading2"/>
      </w:pPr>
      <w:r>
        <w:t xml:space="preserve">4.3 死亡剧本库</w:t>
      </w:r>
    </w:p>
    <w:p>
      <w:pPr>
        <w:spacing w:after="120" w:before="0" w:line="320"/>
        <w:jc w:val="both"/>
      </w:pPr>
      <w:r>
        <w:rPr>
          <w:rFonts w:ascii="宋体" w:cs="宋体" w:eastAsia="宋体" w:hAnsi="宋体"/>
          <w:b w:val="false"/>
          <w:bCs w:val="false"/>
          <w:color w:val="000000"/>
          <w:sz w:val="21"/>
          <w:szCs w:val="21"/>
        </w:rPr>
        <w:t xml:space="preserve">六类剧本的量化特征向量+案例叙事+脱敏判例引用。用于反方唱票的质疑生成与预警阈值校准。</w:t>
      </w:r>
    </w:p>
    <w:p>
      <w:pPr>
        <w:pStyle w:val="Heading2"/>
      </w:pPr>
      <w:r>
        <w:t xml:space="preserve">4.4 更新与脱敏机制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宋体" w:cs="宋体" w:eastAsia="宋体" w:hAnsi="宋体"/>
          <w:sz w:val="21"/>
          <w:szCs w:val="21"/>
        </w:rPr>
        <w:t xml:space="preserve">新案例按流程入库：审计报告→标准化特征向量→双人复核→入库。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宋体" w:cs="宋体" w:eastAsia="宋体" w:hAnsi="宋体"/>
          <w:sz w:val="21"/>
          <w:szCs w:val="21"/>
        </w:rPr>
        <w:t xml:space="preserve">全部案例脱敏：公司名代号化，金额可等比缩放。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宋体" w:cs="宋体" w:eastAsia="宋体" w:hAnsi="宋体"/>
          <w:sz w:val="21"/>
          <w:szCs w:val="21"/>
        </w:rPr>
        <w:t xml:space="preserve">隐私铁律：客户自有数据永不进入共享库，仅用于该客户自身计算。</w:t>
      </w:r>
    </w:p>
    <w:p>
      <w:pPr>
        <w:pStyle w:val="Heading1"/>
      </w:pPr>
      <w:r>
        <w:t xml:space="preserve">5. 收费分层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444"/>
        <w:gridCol w:w="4874"/>
        <w:gridCol w:w="2708"/>
      </w:tblGrid>
      <w:tr>
        <w:trPr>
          <w:tblHeader/>
        </w:trPr>
        <w:tc>
          <w:tcPr>
            <w:tcW w:type="dxa" w:w="1444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1F4E79"/>
                <w:sz w:val="20"/>
                <w:szCs w:val="20"/>
              </w:rPr>
              <w:t xml:space="preserve">版本</w:t>
            </w:r>
          </w:p>
        </w:tc>
        <w:tc>
          <w:tcPr>
            <w:tcW w:type="dxa" w:w="4874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1F4E79"/>
                <w:sz w:val="20"/>
                <w:szCs w:val="20"/>
              </w:rPr>
              <w:t xml:space="preserve">功能范围</w:t>
            </w:r>
          </w:p>
        </w:tc>
        <w:tc>
          <w:tcPr>
            <w:tcW w:type="dxa" w:w="2708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1F4E79"/>
                <w:sz w:val="20"/>
                <w:szCs w:val="20"/>
              </w:rPr>
              <w:t xml:space="preserve">定位</w:t>
            </w:r>
          </w:p>
        </w:tc>
      </w:tr>
      <w:tr>
        <w:tc>
          <w:tcPr>
            <w:tcW w:type="dxa" w:w="144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免费版（浅体检）</w:t>
            </w:r>
          </w:p>
        </w:tc>
        <w:tc>
          <w:tcPr>
            <w:tcW w:type="dxa" w:w="487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上传流水→自动打标→数据质量评分→健康分；</w:t>
            </w:r>
          </w:p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D级数据给诊断建议。</w:t>
            </w:r>
          </w:p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边界：无预测曲线、无滑杆、无预警明细</w:t>
            </w:r>
          </w:p>
        </w:tc>
        <w:tc>
          <w:tcPr>
            <w:tcW w:type="dxa" w:w="270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获客与教育；评分结果自然生长付费动机</w:t>
            </w:r>
          </w:p>
        </w:tc>
      </w:tr>
      <w:tr>
        <w:tc>
          <w:tcPr>
            <w:tcW w:type="dxa" w:w="144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付费版（完整版）</w:t>
            </w:r>
          </w:p>
        </w:tc>
        <w:tc>
          <w:tcPr>
            <w:tcW w:type="dxa" w:w="487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三条曲线、英雄指标、六类预警、敏感性分析、场景对比、</w:t>
            </w:r>
          </w:p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决策滑杆、方案对比、白箱溯源、对话推演、反方唱票、</w:t>
            </w:r>
          </w:p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数据质量报告</w:t>
            </w:r>
          </w:p>
        </w:tc>
        <w:tc>
          <w:tcPr>
            <w:tcW w:type="dxa" w:w="270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按年订阅+按项目数阶梯</w:t>
            </w:r>
          </w:p>
        </w:tc>
      </w:tr>
      <w:tr>
        <w:tc>
          <w:tcPr>
            <w:tcW w:type="dxa" w:w="144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企业版（预留）</w:t>
            </w:r>
          </w:p>
        </w:tc>
        <w:tc>
          <w:tcPr>
            <w:tcW w:type="dxa" w:w="487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API对接、银行直连、多项目管理、私有化部署、先验库行业子库定制</w:t>
            </w:r>
          </w:p>
        </w:tc>
        <w:tc>
          <w:tcPr>
            <w:tcW w:type="dxa" w:w="270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单独报价</w:t>
            </w:r>
          </w:p>
        </w:tc>
      </w:tr>
    </w:tbl>
    <w:p>
      <w:pPr>
        <w:spacing w:after="160"/>
      </w:pPr>
    </w:p>
    <w:p>
      <w:pPr>
        <w:spacing w:after="120" w:before="0" w:line="320"/>
        <w:jc w:val="both"/>
      </w:pPr>
      <w:r>
        <w:rPr>
          <w:rFonts w:ascii="宋体" w:cs="宋体" w:eastAsia="宋体" w:hAnsi="宋体"/>
          <w:b w:val="false"/>
          <w:bCs w:val="false"/>
          <w:color w:val="000000"/>
          <w:sz w:val="21"/>
          <w:szCs w:val="21"/>
        </w:rPr>
        <w:t xml:space="preserve">订阅与定价策略要点：预测能力不免费——免费送出错的预测会无声砸招牌，白箱才可辩护；政府专班与处置机构项目单独报价，可与咨询服务打包。</w:t>
      </w:r>
    </w:p>
    <w:p>
      <w:pPr>
        <w:pStyle w:val="Heading1"/>
      </w:pPr>
      <w:r>
        <w:t xml:space="preserve">6. 责任声明与合规</w:t>
      </w:r>
    </w:p>
    <w:p>
      <w:pPr>
        <w:pStyle w:val="Heading2"/>
      </w:pPr>
      <w:r>
        <w:t xml:space="preserve">6.1 输出声明</w:t>
      </w:r>
    </w:p>
    <w:p>
      <w:pPr>
        <w:spacing w:after="120" w:before="0" w:line="320"/>
        <w:jc w:val="both"/>
      </w:pPr>
      <w:r>
        <w:rPr>
          <w:rFonts w:ascii="宋体" w:cs="宋体" w:eastAsia="宋体" w:hAnsi="宋体"/>
          <w:b w:val="false"/>
          <w:bCs w:val="false"/>
          <w:color w:val="000000"/>
          <w:sz w:val="21"/>
          <w:szCs w:val="21"/>
        </w:rPr>
        <w:t xml:space="preserve">每份导出报告首页固定声明：本报告为基于所提供数据的情景推演结果，不构成审计意见、鉴证结论或投资建议；预测存在不确定性，实际结果可能与推演显著不同。</w:t>
      </w:r>
    </w:p>
    <w:p>
      <w:pPr>
        <w:pStyle w:val="Heading2"/>
      </w:pPr>
      <w:r>
        <w:t xml:space="preserve">6.2 数据安全</w:t>
      </w:r>
    </w:p>
    <w:p>
      <w:pPr>
        <w:spacing w:after="120" w:before="0" w:line="320"/>
        <w:jc w:val="both"/>
      </w:pPr>
      <w:r>
        <w:rPr>
          <w:rFonts w:ascii="宋体" w:cs="宋体" w:eastAsia="宋体" w:hAnsi="宋体"/>
          <w:b w:val="false"/>
          <w:bCs w:val="false"/>
          <w:color w:val="000000"/>
          <w:sz w:val="21"/>
          <w:szCs w:val="21"/>
        </w:rPr>
        <w:t xml:space="preserve">客户数据封闭循环，仅用于该客户自身计算；LLM调用采用不留存训练策略的服务接口；提供私有化部署选项。</w:t>
      </w:r>
    </w:p>
    <w:p>
      <w:pPr>
        <w:pStyle w:val="Heading2"/>
      </w:pPr>
      <w:r>
        <w:t xml:space="preserve">6.3 免责边界</w:t>
      </w:r>
    </w:p>
    <w:p>
      <w:pPr>
        <w:spacing w:after="120" w:before="0" w:line="320"/>
        <w:jc w:val="both"/>
      </w:pPr>
      <w:r>
        <w:rPr>
          <w:rFonts w:ascii="宋体" w:cs="宋体" w:eastAsia="宋体" w:hAnsi="宋体"/>
          <w:b w:val="false"/>
          <w:bCs w:val="false"/>
          <w:color w:val="000000"/>
          <w:sz w:val="21"/>
          <w:szCs w:val="21"/>
        </w:rPr>
        <w:t xml:space="preserve">D级数据不出结论；所有预测带置信区间；重大决策前提示建议结合尽职调查与专业意见。把职业怀疑写进产品基因。</w:t>
      </w:r>
    </w:p>
    <w:p>
      <w:pPr>
        <w:pStyle w:val="Heading1"/>
      </w:pPr>
      <w:r>
        <w:t xml:space="preserve">7. V0.1规格（首单项目脚本模拟器）</w:t>
      </w:r>
    </w:p>
    <w:p>
      <w:pPr>
        <w:pStyle w:val="Heading2"/>
      </w:pPr>
      <w:r>
        <w:t xml:space="preserve">7.1 背景</w:t>
      </w:r>
    </w:p>
    <w:p>
      <w:pPr>
        <w:spacing w:after="120" w:before="0" w:line="320"/>
        <w:jc w:val="both"/>
      </w:pPr>
      <w:r>
        <w:rPr>
          <w:rFonts w:ascii="宋体" w:cs="宋体" w:eastAsia="宋体" w:hAnsi="宋体"/>
          <w:b w:val="false"/>
          <w:bCs w:val="false"/>
          <w:color w:val="000000"/>
          <w:sz w:val="21"/>
          <w:szCs w:val="21"/>
        </w:rPr>
        <w:t xml:space="preserve">华南某保交楼住宅项目（政府专班委托），政府专班两方案比选：全部完成3栋 vs 先完成2#、3#栋。V0.1目标是用最小成本验证引擎逻辑，并在专班汇报场景实战演示，不做产品化UI。</w:t>
      </w:r>
    </w:p>
    <w:p>
      <w:pPr>
        <w:pStyle w:val="Heading2"/>
      </w:pPr>
      <w:r>
        <w:t xml:space="preserve">7.2 三滑杆定义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986"/>
        <w:gridCol w:w="2708"/>
        <w:gridCol w:w="1625"/>
        <w:gridCol w:w="2708"/>
      </w:tblGrid>
      <w:tr>
        <w:trPr>
          <w:tblHeader/>
        </w:trPr>
        <w:tc>
          <w:tcPr>
            <w:tcW w:type="dxa" w:w="1986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1F4E79"/>
                <w:sz w:val="20"/>
                <w:szCs w:val="20"/>
              </w:rPr>
              <w:t xml:space="preserve">滑杆</w:t>
            </w:r>
          </w:p>
        </w:tc>
        <w:tc>
          <w:tcPr>
            <w:tcW w:type="dxa" w:w="2708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1F4E79"/>
                <w:sz w:val="20"/>
                <w:szCs w:val="20"/>
              </w:rPr>
              <w:t xml:space="preserve">取值范围</w:t>
            </w:r>
          </w:p>
        </w:tc>
        <w:tc>
          <w:tcPr>
            <w:tcW w:type="dxa" w:w="1625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1F4E79"/>
                <w:sz w:val="20"/>
                <w:szCs w:val="20"/>
              </w:rPr>
              <w:t xml:space="preserve">默认值</w:t>
            </w:r>
          </w:p>
        </w:tc>
        <w:tc>
          <w:tcPr>
            <w:tcW w:type="dxa" w:w="2708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1F4E79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98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续建范围</w:t>
            </w:r>
          </w:p>
        </w:tc>
        <w:tc>
          <w:tcPr>
            <w:tcW w:type="dxa" w:w="270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全部3栋 / 仅2#、3#栋</w:t>
            </w:r>
          </w:p>
        </w:tc>
        <w:tc>
          <w:tcPr>
            <w:tcW w:type="dxa" w:w="162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全部3栋</w:t>
            </w:r>
          </w:p>
        </w:tc>
        <w:tc>
          <w:tcPr>
            <w:tcW w:type="dxa" w:w="270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决定续建支出总盘与工期</w:t>
            </w:r>
          </w:p>
        </w:tc>
      </w:tr>
      <w:tr>
        <w:tc>
          <w:tcPr>
            <w:tcW w:type="dxa" w:w="198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月去化套数</w:t>
            </w:r>
          </w:p>
        </w:tc>
        <w:tc>
          <w:tcPr>
            <w:tcW w:type="dxa" w:w="270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0～20套</w:t>
            </w:r>
          </w:p>
        </w:tc>
        <w:tc>
          <w:tcPr>
            <w:tcW w:type="dxa" w:w="162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当前销售速率</w:t>
            </w:r>
          </w:p>
        </w:tc>
        <w:tc>
          <w:tcPr>
            <w:tcW w:type="dxa" w:w="270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决定回款节奏</w:t>
            </w:r>
          </w:p>
        </w:tc>
      </w:tr>
      <w:tr>
        <w:tc>
          <w:tcPr>
            <w:tcW w:type="dxa" w:w="198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专户资金到位节奏</w:t>
            </w:r>
          </w:p>
        </w:tc>
        <w:tc>
          <w:tcPr>
            <w:tcW w:type="dxa" w:w="270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一次性 / 按工程节点分期</w:t>
            </w:r>
          </w:p>
        </w:tc>
        <w:tc>
          <w:tcPr>
            <w:tcW w:type="dxa" w:w="162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按节点分期</w:t>
            </w:r>
          </w:p>
        </w:tc>
        <w:tc>
          <w:tcPr>
            <w:tcW w:type="dxa" w:w="270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决定可用资金分布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7.3 一曲线定义</w:t>
      </w:r>
    </w:p>
    <w:p>
      <w:pPr>
        <w:spacing w:after="120" w:before="0" w:line="320"/>
        <w:jc w:val="both"/>
      </w:pPr>
      <w:r>
        <w:rPr>
          <w:rFonts w:ascii="宋体" w:cs="宋体" w:eastAsia="宋体" w:hAnsi="宋体"/>
          <w:b w:val="false"/>
          <w:bCs w:val="false"/>
          <w:color w:val="000000"/>
          <w:sz w:val="21"/>
          <w:szCs w:val="21"/>
        </w:rPr>
        <w:t xml:space="preserve">专户资金余额曲线，未来18个月、月粒度。支出侧：分栋续建产值+管理人员工资（按每月口径）+备案费用；流入侧：销售回款+专户拨款。穿零点标红。</w:t>
      </w:r>
    </w:p>
    <w:p>
      <w:pPr>
        <w:pStyle w:val="Heading2"/>
      </w:pPr>
      <w:r>
        <w:t xml:space="preserve">7.4 两方案对比</w:t>
      </w:r>
    </w:p>
    <w:p>
      <w:pPr>
        <w:spacing w:after="120" w:before="0" w:line="320"/>
        <w:jc w:val="both"/>
      </w:pPr>
      <w:r>
        <w:rPr>
          <w:rFonts w:ascii="宋体" w:cs="宋体" w:eastAsia="宋体" w:hAnsi="宋体"/>
          <w:b w:val="false"/>
          <w:bCs w:val="false"/>
          <w:color w:val="000000"/>
          <w:sz w:val="21"/>
          <w:szCs w:val="21"/>
        </w:rPr>
        <w:t xml:space="preserve">A方案（全部完成）vs B方案（先完成2#、3#栋）并排输出：完工所需总资金峰值、资金穿零风险点、各方案交付时间。</w:t>
      </w:r>
    </w:p>
    <w:p>
      <w:pPr>
        <w:pStyle w:val="Heading2"/>
      </w:pPr>
      <w:r>
        <w:t xml:space="preserve">7.5 校准与验收</w:t>
      </w:r>
    </w:p>
    <w:p>
      <w:pPr>
        <w:spacing w:after="120" w:before="0" w:line="320"/>
        <w:jc w:val="both"/>
      </w:pPr>
      <w:r>
        <w:rPr>
          <w:rFonts w:ascii="宋体" w:cs="宋体" w:eastAsia="宋体" w:hAnsi="宋体"/>
          <w:b w:val="false"/>
          <w:bCs w:val="false"/>
          <w:color w:val="000000"/>
          <w:sz w:val="21"/>
          <w:szCs w:val="21"/>
        </w:rPr>
        <w:t xml:space="preserve">使用首单项目审核报告（编号略）核定数据：未完工程产值、已付未付、分栋测算系数（直接归属+面积分摊23.24%/76.76%）。验收标准：V0.1输出的续建总盘子与报告审定值偏差小于5%；实际向专班演示一次。</w:t>
      </w:r>
    </w:p>
    <w:p>
      <w:pPr>
        <w:pStyle w:val="Heading2"/>
      </w:pPr>
      <w:r>
        <w:t xml:space="preserve">7.6 技术形态</w:t>
      </w:r>
    </w:p>
    <w:p>
      <w:pPr>
        <w:spacing w:after="120" w:before="0" w:line="320"/>
        <w:jc w:val="both"/>
      </w:pPr>
      <w:r>
        <w:rPr>
          <w:rFonts w:ascii="宋体" w:cs="宋体" w:eastAsia="宋体" w:hAnsi="宋体"/>
          <w:b w:val="false"/>
          <w:bCs w:val="false"/>
          <w:color w:val="000000"/>
          <w:sz w:val="21"/>
          <w:szCs w:val="21"/>
        </w:rPr>
        <w:t xml:space="preserve">Python脚本+简易Web页面；参数与口径写死在配置文件中，与报告数据同源可追。</w:t>
      </w:r>
    </w:p>
    <w:p>
      <w:pPr>
        <w:pStyle w:val="Heading1"/>
      </w:pPr>
      <w:r>
        <w:t xml:space="preserve">8. 技术架构概览</w:t>
      </w:r>
    </w:p>
    <w:p>
      <w:pPr>
        <w:pStyle w:val="Heading2"/>
      </w:pPr>
      <w:r>
        <w:t xml:space="preserve">8.1 模块划分</w:t>
      </w:r>
    </w:p>
    <w:p>
      <w:pPr>
        <w:spacing w:after="120" w:before="0" w:line="320"/>
        <w:jc w:val="both"/>
      </w:pPr>
      <w:r>
        <w:rPr>
          <w:rFonts w:ascii="宋体" w:cs="宋体" w:eastAsia="宋体" w:hAnsi="宋体"/>
          <w:b w:val="false"/>
          <w:bCs w:val="false"/>
          <w:color w:val="000000"/>
          <w:sz w:val="21"/>
          <w:szCs w:val="21"/>
        </w:rPr>
        <w:t xml:space="preserve">输入适配模块→清洗打标模块→数据质量评分模块→确定性计算引擎（现金流递推、敏感性、场景）→展示层（仪表盘、滑杆、溯源）→对话编排层（LLM意图识别+话术组织，数字全部引自引擎）。</w:t>
      </w:r>
    </w:p>
    <w:p>
      <w:pPr>
        <w:pStyle w:val="Heading2"/>
      </w:pPr>
      <w:r>
        <w:t xml:space="preserve">8.2 数据流</w:t>
      </w:r>
    </w:p>
    <w:p>
      <w:pPr>
        <w:spacing w:after="120" w:before="0" w:line="320"/>
        <w:jc w:val="both"/>
      </w:pPr>
      <w:r>
        <w:rPr>
          <w:rFonts w:ascii="宋体" w:cs="宋体" w:eastAsia="宋体" w:hAnsi="宋体"/>
          <w:b w:val="false"/>
          <w:bCs w:val="false"/>
          <w:color w:val="000000"/>
          <w:sz w:val="21"/>
          <w:szCs w:val="21"/>
        </w:rPr>
        <w:t xml:space="preserve">原始凭证→结构化入库（SQLite/PostgreSQL）→标签层→引擎层→展示层。每层带版本戳，支持任意结果回溯到输入批次。</w:t>
      </w:r>
    </w:p>
    <w:p>
      <w:pPr>
        <w:pStyle w:val="Heading2"/>
      </w:pPr>
      <w:r>
        <w:t xml:space="preserve">8.3 LLM调用边界（铁律）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宋体" w:cs="宋体" w:eastAsia="宋体" w:hAnsi="宋体"/>
          <w:sz w:val="21"/>
          <w:szCs w:val="21"/>
        </w:rPr>
        <w:t xml:space="preserve">LLM不产出任何进入计算的数字。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宋体" w:cs="宋体" w:eastAsia="宋体" w:hAnsi="宋体"/>
          <w:sz w:val="21"/>
          <w:szCs w:val="21"/>
        </w:rPr>
        <w:t xml:space="preserve">LLM输出仅限：分类标签建议、抽取建议、解释文本、质疑文本。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宋体" w:cs="宋体" w:eastAsia="宋体" w:hAnsi="宋体"/>
          <w:sz w:val="21"/>
          <w:szCs w:val="21"/>
        </w:rPr>
        <w:t xml:space="preserve">所有数值经确定性引擎复核后才可展示。</w:t>
      </w:r>
    </w:p>
    <w:p>
      <w:pPr>
        <w:pStyle w:val="Heading1"/>
      </w:pPr>
      <w:r>
        <w:t xml:space="preserve">9. 里程碑与排期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264"/>
        <w:gridCol w:w="1444"/>
        <w:gridCol w:w="3971"/>
        <w:gridCol w:w="2347"/>
      </w:tblGrid>
      <w:tr>
        <w:trPr>
          <w:tblHeader/>
        </w:trPr>
        <w:tc>
          <w:tcPr>
            <w:tcW w:type="dxa" w:w="1264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1F4E79"/>
                <w:sz w:val="20"/>
                <w:szCs w:val="20"/>
              </w:rPr>
              <w:t xml:space="preserve">阶段</w:t>
            </w:r>
          </w:p>
        </w:tc>
        <w:tc>
          <w:tcPr>
            <w:tcW w:type="dxa" w:w="1444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1F4E79"/>
                <w:sz w:val="20"/>
                <w:szCs w:val="20"/>
              </w:rPr>
              <w:t xml:space="preserve">时间</w:t>
            </w:r>
          </w:p>
        </w:tc>
        <w:tc>
          <w:tcPr>
            <w:tcW w:type="dxa" w:w="3971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1F4E79"/>
                <w:sz w:val="20"/>
                <w:szCs w:val="20"/>
              </w:rPr>
              <w:t xml:space="preserve">内容</w:t>
            </w:r>
          </w:p>
        </w:tc>
        <w:tc>
          <w:tcPr>
            <w:tcW w:type="dxa" w:w="2347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1F4E79"/>
                <w:sz w:val="20"/>
                <w:szCs w:val="20"/>
              </w:rPr>
              <w:t xml:space="preserve">验收标准</w:t>
            </w:r>
          </w:p>
        </w:tc>
      </w:tr>
      <w:tr>
        <w:tc>
          <w:tcPr>
            <w:tcW w:type="dxa" w:w="126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V0.1</w:t>
            </w:r>
          </w:p>
        </w:tc>
        <w:tc>
          <w:tcPr>
            <w:tcW w:type="dxa" w:w="144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第1～2周</w:t>
            </w:r>
          </w:p>
        </w:tc>
        <w:tc>
          <w:tcPr>
            <w:tcW w:type="dxa" w:w="397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W1：引擎+数据录入；W2：滑杆+方案对比+校验报告</w:t>
            </w:r>
          </w:p>
        </w:tc>
        <w:tc>
          <w:tcPr>
            <w:tcW w:type="dxa" w:w="234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专班场景演示一次，续建盘子偏差&lt;5%</w:t>
            </w:r>
          </w:p>
        </w:tc>
      </w:tr>
      <w:tr>
        <w:tc>
          <w:tcPr>
            <w:tcW w:type="dxa" w:w="126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V1.0</w:t>
            </w:r>
          </w:p>
        </w:tc>
        <w:tc>
          <w:tcPr>
            <w:tcW w:type="dxa" w:w="144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第1～3月</w:t>
            </w:r>
          </w:p>
        </w:tc>
        <w:tc>
          <w:tcPr>
            <w:tcW w:type="dxa" w:w="397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M1：输入层+打标；M2：评分+引擎完善+仪表盘；M3：交互+对话+内测</w:t>
            </w:r>
          </w:p>
        </w:tc>
        <w:tc>
          <w:tcPr>
            <w:tcW w:type="dxa" w:w="234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3家真实企业试点（含1家专班）</w:t>
            </w:r>
          </w:p>
        </w:tc>
      </w:tr>
      <w:tr>
        <w:tc>
          <w:tcPr>
            <w:tcW w:type="dxa" w:w="126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V2.0</w:t>
            </w:r>
          </w:p>
        </w:tc>
        <w:tc>
          <w:tcPr>
            <w:tcW w:type="dxa" w:w="144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规划</w:t>
            </w:r>
          </w:p>
        </w:tc>
        <w:tc>
          <w:tcPr>
            <w:tcW w:type="dxa" w:w="397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动态学习闭环、蒙特卡洛、市场风险插件、银行API、移动端查看</w:t>
            </w:r>
          </w:p>
        </w:tc>
        <w:tc>
          <w:tcPr>
            <w:tcW w:type="dxa" w:w="234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另行评审</w:t>
            </w:r>
          </w:p>
        </w:tc>
      </w:tr>
    </w:tbl>
    <w:p>
      <w:pPr>
        <w:spacing w:after="160"/>
      </w:pPr>
    </w:p>
    <w:p>
      <w:pPr>
        <w:spacing w:after="120" w:before="0" w:line="320"/>
        <w:jc w:val="both"/>
      </w:pPr>
      <w:r>
        <w:rPr>
          <w:rFonts w:ascii="宋体" w:cs="宋体" w:eastAsia="宋体" w:hAnsi="宋体"/>
          <w:b w:val="false"/>
          <w:bCs w:val="false"/>
          <w:color w:val="595959"/>
          <w:sz w:val="21"/>
          <w:szCs w:val="21"/>
        </w:rPr>
        <w:t xml:space="preserve">明确移出 V1.0：蒙特卡洛模拟（决策者需要确定性区间而非概率云）、插件层实现（仅预留接口定义）、移动端。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宋体" w:cs="宋体" w:eastAsia="宋体" w:hAnsi="宋体"/>
        <w:color w:val="808080"/>
        <w:sz w:val="16"/>
        <w:szCs w:val="16"/>
      </w:rPr>
      <w:t xml:space="preserve">— </w:t>
      <w:fldChar w:fldCharType="begin"/>
      <w:instrText xml:space="preserve">PAGE</w:instrText>
      <w:fldChar w:fldCharType="separate"/>
      <w:fldChar w:fldCharType="end"/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20" w:before="400"/>
    </w:pPr>
    <w:rPr>
      <w:rFonts w:ascii="微软雅黑" w:cs="微软雅黑" w:eastAsia="微软雅黑" w:hAnsi="微软雅黑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60" w:before="280"/>
    </w:pPr>
    <w:rPr>
      <w:rFonts w:ascii="微软雅黑" w:cs="微软雅黑" w:eastAsia="微软雅黑" w:hAnsi="微软雅黑"/>
      <w:b/>
      <w:bCs/>
      <w:color w:val="2E5E8C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20" w:before="200"/>
    </w:pPr>
    <w:rPr>
      <w:rFonts w:ascii="宋体" w:cs="宋体" w:eastAsia="宋体" w:hAnsi="宋体"/>
      <w:b/>
      <w:bCs/>
      <w:color w:val="000000"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资金心电图 产品需求文档 V1.0</dc:title>
  <cp:lastModifiedBy>Un-named</cp:lastModifiedBy>
  <cp:revision>1</cp:revision>
  <dcterms:created xsi:type="dcterms:W3CDTF">2026-08-30T15:33:06.118Z</dcterms:created>
  <dcterms:modified xsi:type="dcterms:W3CDTF">2026-08-30T15:33:06.119Z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