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8306" w:type="dxa"/>
            <w:shd w:val="clear" w:color="auto" w:fill="auto"/>
            <w:tcMar>
              <w:top w:w="30" w:type="dxa"/>
              <w:bottom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eastAsia" w:asciiTheme="minorEastAsia" w:hAnsiTheme="minorEastAsia" w:eastAsiaTheme="minorEastAsia" w:cstheme="minorEastAsia"/>
                <w:b w:val="0"/>
                <w:i w:val="0"/>
                <w:caps w:val="0"/>
                <w:color w:val="333333"/>
                <w:spacing w:val="0"/>
                <w:sz w:val="39"/>
                <w:szCs w:val="39"/>
                <w:u w:val="none"/>
              </w:rPr>
            </w:pPr>
            <w:r>
              <w:rPr>
                <w:rFonts w:hint="eastAsia" w:asciiTheme="minorEastAsia" w:hAnsiTheme="minorEastAsia" w:eastAsiaTheme="minorEastAsia" w:cstheme="minorEastAsia"/>
                <w:b w:val="0"/>
                <w:i w:val="0"/>
                <w:caps w:val="0"/>
                <w:color w:val="333333"/>
                <w:spacing w:val="0"/>
                <w:kern w:val="0"/>
                <w:sz w:val="36"/>
                <w:szCs w:val="36"/>
                <w:u w:val="none"/>
                <w:lang w:val="en-US" w:eastAsia="zh-CN" w:bidi="ar"/>
              </w:rPr>
              <w:t>国家药品监督管理局关于公布新修订免于进行临床试验医疗器械目录的通告（2018年第94号）</w:t>
            </w:r>
            <w:r>
              <w:rPr>
                <w:rFonts w:hint="eastAsia" w:asciiTheme="minorEastAsia" w:hAnsiTheme="minorEastAsia" w:eastAsiaTheme="minorEastAsia" w:cstheme="minorEastAsia"/>
                <w:b w:val="0"/>
                <w:i w:val="0"/>
                <w:caps w:val="0"/>
                <w:color w:val="333333"/>
                <w:spacing w:val="0"/>
                <w:kern w:val="0"/>
                <w:sz w:val="39"/>
                <w:szCs w:val="39"/>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8306" w:type="dxa"/>
            <w:shd w:val="clear" w:color="auto" w:fill="auto"/>
            <w:tcMar>
              <w:top w:w="1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right"/>
              <w:textAlignment w:val="auto"/>
              <w:rPr>
                <w:rFonts w:hint="eastAsia" w:asciiTheme="minorEastAsia" w:hAnsiTheme="minorEastAsia" w:eastAsiaTheme="minorEastAsia" w:cstheme="minorEastAsia"/>
                <w:i w:val="0"/>
                <w:caps w:val="0"/>
                <w:color w:val="919191"/>
                <w:spacing w:val="0"/>
                <w:sz w:val="21"/>
                <w:szCs w:val="21"/>
                <w:u w:val="none"/>
              </w:rPr>
            </w:pPr>
            <w:r>
              <w:rPr>
                <w:rFonts w:hint="eastAsia" w:asciiTheme="minorEastAsia" w:hAnsiTheme="minorEastAsia" w:eastAsiaTheme="minorEastAsia" w:cstheme="minorEastAsia"/>
                <w:i w:val="0"/>
                <w:caps w:val="0"/>
                <w:color w:val="919191"/>
                <w:spacing w:val="0"/>
                <w:kern w:val="0"/>
                <w:sz w:val="21"/>
                <w:szCs w:val="21"/>
                <w:u w:val="none"/>
                <w:lang w:val="en-US" w:eastAsia="zh-CN" w:bidi="ar"/>
              </w:rPr>
              <w:t xml:space="preserve">2018年09月30日 发布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8306" w:type="dxa"/>
            <w:shd w:val="clear" w:color="auto" w:fill="auto"/>
            <w:tcMar>
              <w:top w:w="300"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u w:val="none"/>
              </w:rPr>
              <w:t>　　为贯彻落实中共中央办公厅、国务院办公厅《关于深化审评审批制度改革鼓励药品医疗器械创新的意见》（厅字〔2017〕42号）、国务院深化“放管服”改革要求，进一步做好医疗器械注册管理工作，根据《医疗器械监督管理条例》《医疗器械注册管理办法》《体外诊断试剂注册管理办法》，国家药品监督管理局组织遴选了新一批免于进行临床试验的医疗器械（含体外诊断试剂）目录。为配合实施新修订的《医疗器械分类目录》，组织对前期已发布的三批免于进行临床试验的医疗器械（含体外诊断试剂）目录进行了修订和汇总，现将修订汇总后的《免于进行临床试验的医疗器械目录（修订）》《免于进行临床试验的体外诊断试剂目录（修订）》予以公布，自公布之日起施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u w:val="none"/>
              </w:rPr>
              <w:t>　　《关于发布免于进行临床试验的第二类医疗器械目录的通告》（2014年第12号）、《关于发布免于进行临床试验的第三类医疗器械目录的通告》（2014年第13号）、《关于发布第二批免于进行临床试验医疗器械目录的通告》（2016年第133号）、《关于发布第三批免于进行临床试验医疗器械目录的通告》（2017年第170号）同时废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u w:val="none"/>
              </w:rPr>
              <w:t>　　特此通告。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u w:val="none"/>
              </w:rPr>
              <w:t>　　附件：1.免于进行临床试验的医疗器械目录（修订）</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4"/>
                <w:szCs w:val="24"/>
                <w:u w:val="none"/>
              </w:rPr>
              <w:t>　　　　　2.免于进行临床试验的体外诊断试剂目录（修订）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righ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4"/>
                <w:szCs w:val="24"/>
                <w:u w:val="none"/>
              </w:rPr>
              <w:t>国家药品监督管理局</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4"/>
                <w:szCs w:val="24"/>
                <w:u w:val="none"/>
              </w:rPr>
              <w:t>2018年9月28日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color w:val="000000"/>
                <w:sz w:val="24"/>
                <w:szCs w:val="24"/>
              </w:rPr>
            </w:pPr>
          </w:p>
        </w:tc>
      </w:tr>
    </w:tbl>
    <w:p/>
    <w:p/>
    <w:p>
      <w:pPr>
        <w:spacing w:line="360" w:lineRule="auto"/>
        <w:jc w:val="center"/>
        <w:rPr>
          <w:sz w:val="36"/>
          <w:szCs w:val="36"/>
        </w:rPr>
      </w:pPr>
      <w:r>
        <w:rPr>
          <w:rFonts w:hint="eastAsia"/>
          <w:sz w:val="36"/>
          <w:szCs w:val="36"/>
        </w:rPr>
        <w:t>免于进行临床试验医疗器械目录</w:t>
      </w:r>
    </w:p>
    <w:tbl>
      <w:tblPr>
        <w:tblStyle w:val="3"/>
        <w:tblW w:w="9420" w:type="dxa"/>
        <w:jc w:val="center"/>
        <w:shd w:val="clear" w:color="auto" w:fill="auto"/>
        <w:tblLayout w:type="fixed"/>
        <w:tblCellMar>
          <w:top w:w="0" w:type="dxa"/>
          <w:left w:w="0" w:type="dxa"/>
          <w:bottom w:w="0" w:type="dxa"/>
          <w:right w:w="0" w:type="dxa"/>
        </w:tblCellMar>
      </w:tblPr>
      <w:tblGrid>
        <w:gridCol w:w="825"/>
        <w:gridCol w:w="1335"/>
        <w:gridCol w:w="1592"/>
        <w:gridCol w:w="4348"/>
        <w:gridCol w:w="660"/>
        <w:gridCol w:w="660"/>
      </w:tblGrid>
      <w:tr>
        <w:tblPrEx>
          <w:shd w:val="clear" w:color="auto" w:fill="auto"/>
          <w:tblCellMar>
            <w:top w:w="0" w:type="dxa"/>
            <w:left w:w="0" w:type="dxa"/>
            <w:bottom w:w="0" w:type="dxa"/>
            <w:right w:w="0" w:type="dxa"/>
          </w:tblCellMar>
        </w:tblPrEx>
        <w:trPr>
          <w:trHeight w:val="2237"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分类编码</w:t>
            </w:r>
          </w:p>
        </w:tc>
        <w:tc>
          <w:tcPr>
            <w:tcW w:w="15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产品名称</w:t>
            </w:r>
          </w:p>
        </w:tc>
        <w:tc>
          <w:tcPr>
            <w:tcW w:w="434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产品描述</w:t>
            </w: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类别</w:t>
            </w: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b/>
                <w:i w:val="0"/>
                <w:color w:val="000000"/>
                <w:kern w:val="0"/>
                <w:sz w:val="24"/>
                <w:szCs w:val="24"/>
                <w:u w:val="none"/>
                <w:lang w:val="en-US" w:eastAsia="zh-CN" w:bidi="ar"/>
              </w:rPr>
              <w:t>备注</w:t>
            </w:r>
          </w:p>
        </w:tc>
      </w:tr>
      <w:tr>
        <w:tblPrEx>
          <w:tblCellMar>
            <w:top w:w="0" w:type="dxa"/>
            <w:left w:w="0" w:type="dxa"/>
            <w:bottom w:w="0" w:type="dxa"/>
            <w:right w:w="0" w:type="dxa"/>
          </w:tblCellMar>
        </w:tblPrEx>
        <w:trPr>
          <w:trHeight w:val="2237" w:hRule="atLeast"/>
          <w:jc w:val="center"/>
        </w:trPr>
        <w:tc>
          <w:tcPr>
            <w:tcW w:w="8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797</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21-03</w:t>
            </w:r>
          </w:p>
        </w:tc>
        <w:tc>
          <w:tcPr>
            <w:tcW w:w="15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数据处理软件</w:t>
            </w:r>
          </w:p>
        </w:tc>
        <w:tc>
          <w:tcPr>
            <w:tcW w:w="434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用于监护数据的传输、集中实时显示、报警或者用于生理数据的传输、显示和处理。</w:t>
            </w: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Ⅱ</w:t>
            </w: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4"/>
                <w:szCs w:val="24"/>
                <w:u w:val="none"/>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34C79"/>
    <w:rsid w:val="1D8C7AF0"/>
    <w:rsid w:val="40F34C79"/>
    <w:rsid w:val="5833687A"/>
    <w:rsid w:val="591172E1"/>
    <w:rsid w:val="649F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2019-10-28T02:50:00Z</dcterms:created>
  <dc:creator>小多头</dc:creator>
  <cp:lastModifiedBy>123</cp:lastModifiedBy>
  <dcterms:modified xsi:type="dcterms:W3CDTF">2020-05-31T23:53:40Z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