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宋体" w:hAnsi="宋体" w:eastAsia="宋体"/>
          <w:sz w:val="32"/>
          <w:szCs w:val="32"/>
        </w:rPr>
      </w:pPr>
      <w:r>
        <w:rPr>
          <w:rFonts w:hint="eastAsia" w:ascii="宋体" w:hAnsi="宋体" w:eastAsia="宋体"/>
          <w:sz w:val="32"/>
          <w:szCs w:val="32"/>
        </w:rPr>
        <w:t>控制软件网络安全描述文档</w:t>
      </w:r>
    </w:p>
    <w:p>
      <w:pPr>
        <w:spacing w:line="360" w:lineRule="auto"/>
        <w:jc w:val="left"/>
        <w:rPr>
          <w:rFonts w:ascii="宋体" w:hAnsi="宋体" w:eastAsia="宋体"/>
          <w:sz w:val="24"/>
          <w:szCs w:val="24"/>
        </w:rPr>
      </w:pPr>
      <w:r>
        <w:rPr>
          <w:rFonts w:hint="eastAsia" w:ascii="宋体" w:hAnsi="宋体" w:eastAsia="宋体"/>
          <w:sz w:val="24"/>
          <w:szCs w:val="24"/>
        </w:rPr>
        <w:t>一、基本信息</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十二导联动态心电数据记录仪的控制软件与通过移动终端的无线网络进行电子数据的交换，交换的数据主要为设备数据，数据主要用来保存用户使用设备的情况（包括设备I</w:t>
      </w:r>
      <w:r>
        <w:rPr>
          <w:rFonts w:ascii="宋体" w:hAnsi="宋体" w:eastAsia="宋体"/>
          <w:sz w:val="24"/>
          <w:szCs w:val="24"/>
        </w:rPr>
        <w:t>D</w:t>
      </w:r>
      <w:r>
        <w:rPr>
          <w:rFonts w:hint="eastAsia" w:ascii="宋体" w:hAnsi="宋体" w:eastAsia="宋体"/>
          <w:sz w:val="24"/>
          <w:szCs w:val="24"/>
        </w:rPr>
        <w:t>，开始记录时间、结束记录时间等）。</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控制软件可以运行于移动终端自身配置的手机管家监控下，已经测试华为、小米、</w:t>
      </w:r>
      <w:r>
        <w:rPr>
          <w:rFonts w:ascii="宋体" w:hAnsi="宋体" w:eastAsia="宋体"/>
          <w:sz w:val="24"/>
          <w:szCs w:val="24"/>
        </w:rPr>
        <w:t>VIVO</w:t>
      </w:r>
      <w:r>
        <w:rPr>
          <w:rFonts w:hint="eastAsia" w:ascii="宋体" w:hAnsi="宋体" w:eastAsia="宋体"/>
          <w:sz w:val="24"/>
          <w:szCs w:val="24"/>
        </w:rPr>
        <w:t>、O</w:t>
      </w:r>
      <w:r>
        <w:rPr>
          <w:rFonts w:ascii="宋体" w:hAnsi="宋体" w:eastAsia="宋体"/>
          <w:sz w:val="24"/>
          <w:szCs w:val="24"/>
        </w:rPr>
        <w:t>PP</w:t>
      </w:r>
      <w:r>
        <w:rPr>
          <w:rFonts w:hint="default" w:ascii="宋体" w:hAnsi="宋体" w:eastAsia="宋体"/>
          <w:sz w:val="24"/>
          <w:szCs w:val="24"/>
          <w:lang w:val="en-US"/>
        </w:rPr>
        <w:t>O</w:t>
      </w:r>
      <w:r>
        <w:rPr>
          <w:rFonts w:hint="eastAsia" w:ascii="宋体" w:hAnsi="宋体" w:eastAsia="宋体"/>
          <w:sz w:val="24"/>
          <w:szCs w:val="24"/>
        </w:rPr>
        <w:t>、三星厂家的品牌手机管家，均适用。</w:t>
      </w:r>
    </w:p>
    <w:p>
      <w:pPr>
        <w:spacing w:line="360" w:lineRule="auto"/>
        <w:jc w:val="left"/>
        <w:rPr>
          <w:rFonts w:ascii="宋体" w:hAnsi="宋体" w:eastAsia="宋体"/>
          <w:sz w:val="24"/>
          <w:szCs w:val="24"/>
        </w:rPr>
      </w:pPr>
      <w:r>
        <w:rPr>
          <w:rFonts w:hint="eastAsia" w:ascii="宋体" w:hAnsi="宋体" w:eastAsia="宋体"/>
          <w:sz w:val="24"/>
          <w:szCs w:val="24"/>
        </w:rPr>
        <w:t>二、</w:t>
      </w:r>
      <w:r>
        <w:rPr>
          <w:rFonts w:ascii="宋体" w:hAnsi="宋体" w:eastAsia="宋体"/>
          <w:sz w:val="24"/>
          <w:szCs w:val="24"/>
        </w:rPr>
        <w:t>风险管理</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公司的体系文件规定了风险管理过程，按照</w:t>
      </w:r>
      <w:r>
        <w:rPr>
          <w:rFonts w:ascii="宋体" w:hAnsi="宋体" w:eastAsia="宋体"/>
          <w:sz w:val="24"/>
          <w:szCs w:val="24"/>
        </w:rPr>
        <w:t>YY/T 0316-20</w:t>
      </w:r>
      <w:r>
        <w:rPr>
          <w:rFonts w:hint="default" w:ascii="宋体" w:hAnsi="宋体" w:eastAsia="宋体"/>
          <w:sz w:val="24"/>
          <w:szCs w:val="24"/>
          <w:lang w:val="en-US"/>
        </w:rPr>
        <w:t>16</w:t>
      </w:r>
      <w:r>
        <w:rPr>
          <w:rFonts w:ascii="宋体" w:hAnsi="宋体" w:eastAsia="宋体"/>
          <w:sz w:val="24"/>
          <w:szCs w:val="24"/>
        </w:rPr>
        <w:t xml:space="preserve"> idt ISO</w:t>
      </w:r>
      <w:r>
        <w:rPr>
          <w:rFonts w:hint="eastAsia" w:ascii="宋体" w:hAnsi="宋体" w:eastAsia="宋体"/>
          <w:sz w:val="24"/>
          <w:szCs w:val="24"/>
          <w:lang w:val="en-US" w:eastAsia="zh-CN"/>
        </w:rPr>
        <w:t xml:space="preserve"> </w:t>
      </w:r>
      <w:bookmarkStart w:id="0" w:name="_GoBack"/>
      <w:bookmarkEnd w:id="0"/>
      <w:r>
        <w:rPr>
          <w:rFonts w:ascii="宋体" w:hAnsi="宋体" w:eastAsia="宋体"/>
          <w:sz w:val="24"/>
          <w:szCs w:val="24"/>
        </w:rPr>
        <w:t>14971:2007《医疗器械 风险管理对医疗器械的应用》与相关的控制程序，在产品和软件风险分析的基础上，根据《医疗器械网络安全注册技术审查指导原则》的要求，对网络安全进行风险管理评审。</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风险管理报告见申报材料</w:t>
      </w:r>
      <w:r>
        <w:rPr>
          <w:rFonts w:ascii="宋体" w:hAnsi="宋体" w:eastAsia="宋体"/>
          <w:sz w:val="24"/>
          <w:szCs w:val="24"/>
        </w:rPr>
        <w:t>风险管理报告。</w:t>
      </w:r>
    </w:p>
    <w:p>
      <w:pPr>
        <w:spacing w:line="360" w:lineRule="auto"/>
        <w:jc w:val="left"/>
        <w:rPr>
          <w:rFonts w:ascii="宋体" w:hAnsi="宋体" w:eastAsia="宋体"/>
          <w:sz w:val="24"/>
          <w:szCs w:val="24"/>
        </w:rPr>
      </w:pPr>
      <w:r>
        <w:rPr>
          <w:rFonts w:hint="eastAsia" w:ascii="宋体" w:hAnsi="宋体" w:eastAsia="宋体"/>
          <w:sz w:val="24"/>
          <w:szCs w:val="24"/>
        </w:rPr>
        <w:t>三、</w:t>
      </w:r>
      <w:r>
        <w:rPr>
          <w:rFonts w:ascii="宋体" w:hAnsi="宋体" w:eastAsia="宋体"/>
          <w:sz w:val="24"/>
          <w:szCs w:val="24"/>
        </w:rPr>
        <w:t>验证与确认</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本公司对记录仪进行了网络安全测试，证实医疗器械产品的网络安全需求（保密性、完整性、可得性等特性）均已得到满足。具体见《网络安全测试报告》。</w:t>
      </w:r>
    </w:p>
    <w:p>
      <w:pPr>
        <w:spacing w:line="360" w:lineRule="auto"/>
        <w:ind w:firstLine="480" w:firstLineChars="200"/>
        <w:jc w:val="left"/>
        <w:rPr>
          <w:rFonts w:ascii="宋体" w:hAnsi="宋体" w:eastAsia="宋体"/>
          <w:sz w:val="24"/>
          <w:szCs w:val="24"/>
        </w:rPr>
      </w:pPr>
      <w:r>
        <w:rPr>
          <w:rFonts w:hint="eastAsia" w:ascii="宋体" w:hAnsi="宋体" w:eastAsia="宋体"/>
          <w:sz w:val="24"/>
          <w:szCs w:val="24"/>
        </w:rPr>
        <w:t>网络安全可追溯性分析</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567"/>
        <w:gridCol w:w="1843"/>
        <w:gridCol w:w="1701"/>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line="360" w:lineRule="auto"/>
              <w:jc w:val="center"/>
              <w:rPr>
                <w:rFonts w:ascii="宋体" w:hAnsi="宋体" w:eastAsia="宋体"/>
                <w:sz w:val="24"/>
                <w:szCs w:val="24"/>
              </w:rPr>
            </w:pPr>
            <w:r>
              <w:rPr>
                <w:rFonts w:hint="eastAsia" w:ascii="宋体" w:hAnsi="宋体" w:eastAsia="宋体"/>
                <w:sz w:val="24"/>
                <w:szCs w:val="24"/>
              </w:rPr>
              <w:t>序号</w:t>
            </w:r>
          </w:p>
        </w:tc>
        <w:tc>
          <w:tcPr>
            <w:tcW w:w="1567" w:type="dxa"/>
          </w:tcPr>
          <w:p>
            <w:pPr>
              <w:spacing w:line="360" w:lineRule="auto"/>
              <w:jc w:val="center"/>
              <w:rPr>
                <w:rFonts w:ascii="宋体" w:hAnsi="宋体" w:eastAsia="宋体"/>
                <w:sz w:val="24"/>
                <w:szCs w:val="24"/>
              </w:rPr>
            </w:pPr>
            <w:r>
              <w:rPr>
                <w:rFonts w:hint="eastAsia" w:ascii="宋体" w:hAnsi="宋体" w:eastAsia="宋体"/>
                <w:sz w:val="24"/>
                <w:szCs w:val="24"/>
              </w:rPr>
              <w:t>风险源编号</w:t>
            </w:r>
          </w:p>
        </w:tc>
        <w:tc>
          <w:tcPr>
            <w:tcW w:w="1843" w:type="dxa"/>
          </w:tcPr>
          <w:p>
            <w:pPr>
              <w:spacing w:line="360" w:lineRule="auto"/>
              <w:jc w:val="center"/>
              <w:rPr>
                <w:rFonts w:ascii="宋体" w:hAnsi="宋体" w:eastAsia="宋体"/>
                <w:sz w:val="24"/>
                <w:szCs w:val="24"/>
              </w:rPr>
            </w:pPr>
            <w:r>
              <w:rPr>
                <w:rFonts w:hint="eastAsia" w:ascii="宋体" w:hAnsi="宋体" w:eastAsia="宋体"/>
                <w:sz w:val="24"/>
                <w:szCs w:val="24"/>
              </w:rPr>
              <w:t>分析方案编号</w:t>
            </w:r>
          </w:p>
        </w:tc>
        <w:tc>
          <w:tcPr>
            <w:tcW w:w="1701" w:type="dxa"/>
          </w:tcPr>
          <w:p>
            <w:pPr>
              <w:spacing w:line="360" w:lineRule="auto"/>
              <w:jc w:val="center"/>
              <w:rPr>
                <w:rFonts w:ascii="宋体" w:hAnsi="宋体" w:eastAsia="宋体"/>
                <w:sz w:val="24"/>
                <w:szCs w:val="24"/>
              </w:rPr>
            </w:pPr>
            <w:r>
              <w:rPr>
                <w:rFonts w:hint="eastAsia" w:ascii="宋体" w:hAnsi="宋体" w:eastAsia="宋体"/>
                <w:sz w:val="24"/>
                <w:szCs w:val="24"/>
              </w:rPr>
              <w:t>控制措施编号</w:t>
            </w:r>
          </w:p>
        </w:tc>
        <w:tc>
          <w:tcPr>
            <w:tcW w:w="2126" w:type="dxa"/>
          </w:tcPr>
          <w:p>
            <w:pPr>
              <w:spacing w:line="360" w:lineRule="auto"/>
              <w:jc w:val="center"/>
              <w:rPr>
                <w:rFonts w:ascii="宋体" w:hAnsi="宋体" w:eastAsia="宋体"/>
                <w:sz w:val="24"/>
                <w:szCs w:val="24"/>
              </w:rPr>
            </w:pPr>
            <w:r>
              <w:rPr>
                <w:rFonts w:hint="eastAsia" w:ascii="宋体" w:hAnsi="宋体" w:eastAsia="宋体"/>
                <w:sz w:val="24"/>
                <w:szCs w:val="24"/>
              </w:rPr>
              <w:t>测试报告项目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line="360" w:lineRule="auto"/>
              <w:jc w:val="center"/>
              <w:rPr>
                <w:rFonts w:ascii="宋体" w:hAnsi="宋体" w:eastAsia="宋体"/>
                <w:sz w:val="24"/>
                <w:szCs w:val="24"/>
              </w:rPr>
            </w:pPr>
            <w:r>
              <w:rPr>
                <w:rFonts w:hint="eastAsia" w:ascii="宋体" w:hAnsi="宋体" w:eastAsia="宋体"/>
                <w:sz w:val="24"/>
                <w:szCs w:val="24"/>
              </w:rPr>
              <w:t>1</w:t>
            </w:r>
          </w:p>
        </w:tc>
        <w:tc>
          <w:tcPr>
            <w:tcW w:w="1567" w:type="dxa"/>
          </w:tcPr>
          <w:p>
            <w:pPr>
              <w:spacing w:line="360" w:lineRule="auto"/>
              <w:jc w:val="center"/>
              <w:rPr>
                <w:rFonts w:ascii="宋体" w:hAnsi="宋体" w:eastAsia="宋体"/>
                <w:sz w:val="24"/>
                <w:szCs w:val="24"/>
              </w:rPr>
            </w:pPr>
            <w:r>
              <w:rPr>
                <w:rFonts w:ascii="宋体" w:hAnsi="宋体" w:eastAsia="宋体"/>
                <w:sz w:val="24"/>
                <w:szCs w:val="24"/>
              </w:rPr>
              <w:t>C2.11</w:t>
            </w:r>
          </w:p>
        </w:tc>
        <w:tc>
          <w:tcPr>
            <w:tcW w:w="1843"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4-3</w:t>
            </w:r>
          </w:p>
        </w:tc>
        <w:tc>
          <w:tcPr>
            <w:tcW w:w="1701"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4-3</w:t>
            </w:r>
          </w:p>
        </w:tc>
        <w:tc>
          <w:tcPr>
            <w:tcW w:w="2126" w:type="dxa"/>
          </w:tcPr>
          <w:p>
            <w:pPr>
              <w:spacing w:line="360" w:lineRule="auto"/>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1.2.12</w:t>
            </w:r>
          </w:p>
          <w:p>
            <w:pPr>
              <w:spacing w:line="360" w:lineRule="auto"/>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line="360" w:lineRule="auto"/>
              <w:jc w:val="center"/>
              <w:rPr>
                <w:rFonts w:ascii="宋体" w:hAnsi="宋体" w:eastAsia="宋体"/>
                <w:sz w:val="24"/>
                <w:szCs w:val="24"/>
              </w:rPr>
            </w:pPr>
            <w:r>
              <w:rPr>
                <w:rFonts w:hint="eastAsia" w:ascii="宋体" w:hAnsi="宋体" w:eastAsia="宋体"/>
                <w:sz w:val="24"/>
                <w:szCs w:val="24"/>
              </w:rPr>
              <w:t>2</w:t>
            </w:r>
          </w:p>
        </w:tc>
        <w:tc>
          <w:tcPr>
            <w:tcW w:w="1567" w:type="dxa"/>
          </w:tcPr>
          <w:p>
            <w:pPr>
              <w:spacing w:line="360" w:lineRule="auto"/>
              <w:jc w:val="center"/>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2.12</w:t>
            </w:r>
          </w:p>
        </w:tc>
        <w:tc>
          <w:tcPr>
            <w:tcW w:w="1843"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5-2</w:t>
            </w:r>
          </w:p>
        </w:tc>
        <w:tc>
          <w:tcPr>
            <w:tcW w:w="1701"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5-2</w:t>
            </w:r>
          </w:p>
        </w:tc>
        <w:tc>
          <w:tcPr>
            <w:tcW w:w="2126" w:type="dxa"/>
          </w:tcPr>
          <w:p>
            <w:pPr>
              <w:spacing w:line="360" w:lineRule="auto"/>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1.2.12</w:t>
            </w:r>
          </w:p>
          <w:p>
            <w:pPr>
              <w:spacing w:line="360" w:lineRule="auto"/>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line="360" w:lineRule="auto"/>
              <w:jc w:val="center"/>
              <w:rPr>
                <w:rFonts w:ascii="宋体" w:hAnsi="宋体" w:eastAsia="宋体"/>
                <w:sz w:val="24"/>
                <w:szCs w:val="24"/>
              </w:rPr>
            </w:pPr>
            <w:r>
              <w:rPr>
                <w:rFonts w:hint="eastAsia" w:ascii="宋体" w:hAnsi="宋体" w:eastAsia="宋体"/>
                <w:sz w:val="24"/>
                <w:szCs w:val="24"/>
              </w:rPr>
              <w:t>3</w:t>
            </w:r>
          </w:p>
        </w:tc>
        <w:tc>
          <w:tcPr>
            <w:tcW w:w="1567" w:type="dxa"/>
          </w:tcPr>
          <w:p>
            <w:pPr>
              <w:spacing w:line="360" w:lineRule="auto"/>
              <w:jc w:val="center"/>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2.19</w:t>
            </w:r>
          </w:p>
        </w:tc>
        <w:tc>
          <w:tcPr>
            <w:tcW w:w="1843"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10-3</w:t>
            </w:r>
          </w:p>
        </w:tc>
        <w:tc>
          <w:tcPr>
            <w:tcW w:w="1701"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10-3</w:t>
            </w:r>
          </w:p>
        </w:tc>
        <w:tc>
          <w:tcPr>
            <w:tcW w:w="2126" w:type="dxa"/>
          </w:tcPr>
          <w:p>
            <w:pPr>
              <w:spacing w:line="360" w:lineRule="auto"/>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line="360" w:lineRule="auto"/>
              <w:jc w:val="center"/>
              <w:rPr>
                <w:rFonts w:ascii="宋体" w:hAnsi="宋体" w:eastAsia="宋体"/>
                <w:sz w:val="24"/>
                <w:szCs w:val="24"/>
              </w:rPr>
            </w:pPr>
            <w:r>
              <w:rPr>
                <w:rFonts w:hint="eastAsia" w:ascii="宋体" w:hAnsi="宋体" w:eastAsia="宋体"/>
                <w:sz w:val="24"/>
                <w:szCs w:val="24"/>
              </w:rPr>
              <w:t>4</w:t>
            </w:r>
          </w:p>
        </w:tc>
        <w:tc>
          <w:tcPr>
            <w:tcW w:w="1567" w:type="dxa"/>
          </w:tcPr>
          <w:p>
            <w:pPr>
              <w:spacing w:line="360" w:lineRule="auto"/>
              <w:jc w:val="center"/>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2.19</w:t>
            </w:r>
          </w:p>
        </w:tc>
        <w:tc>
          <w:tcPr>
            <w:tcW w:w="1843"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10-4</w:t>
            </w:r>
          </w:p>
        </w:tc>
        <w:tc>
          <w:tcPr>
            <w:tcW w:w="1701"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10-4</w:t>
            </w:r>
          </w:p>
        </w:tc>
        <w:tc>
          <w:tcPr>
            <w:tcW w:w="2126" w:type="dxa"/>
          </w:tcPr>
          <w:p>
            <w:pPr>
              <w:spacing w:line="360" w:lineRule="auto"/>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line="360" w:lineRule="auto"/>
              <w:jc w:val="center"/>
              <w:rPr>
                <w:rFonts w:ascii="宋体" w:hAnsi="宋体" w:eastAsia="宋体"/>
                <w:sz w:val="24"/>
                <w:szCs w:val="24"/>
              </w:rPr>
            </w:pPr>
            <w:r>
              <w:rPr>
                <w:rFonts w:hint="eastAsia" w:ascii="宋体" w:hAnsi="宋体" w:eastAsia="宋体"/>
                <w:sz w:val="24"/>
                <w:szCs w:val="24"/>
              </w:rPr>
              <w:t>5</w:t>
            </w:r>
          </w:p>
        </w:tc>
        <w:tc>
          <w:tcPr>
            <w:tcW w:w="1567" w:type="dxa"/>
          </w:tcPr>
          <w:p>
            <w:pPr>
              <w:spacing w:line="360" w:lineRule="auto"/>
              <w:jc w:val="center"/>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2.29.4</w:t>
            </w:r>
          </w:p>
        </w:tc>
        <w:tc>
          <w:tcPr>
            <w:tcW w:w="1843"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20-4</w:t>
            </w:r>
          </w:p>
        </w:tc>
        <w:tc>
          <w:tcPr>
            <w:tcW w:w="1701"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20-2</w:t>
            </w:r>
          </w:p>
        </w:tc>
        <w:tc>
          <w:tcPr>
            <w:tcW w:w="2126" w:type="dxa"/>
          </w:tcPr>
          <w:p>
            <w:pPr>
              <w:spacing w:line="360" w:lineRule="auto"/>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line="360" w:lineRule="auto"/>
              <w:jc w:val="center"/>
              <w:rPr>
                <w:rFonts w:ascii="宋体" w:hAnsi="宋体" w:eastAsia="宋体"/>
                <w:sz w:val="24"/>
                <w:szCs w:val="24"/>
              </w:rPr>
            </w:pPr>
            <w:r>
              <w:rPr>
                <w:rFonts w:hint="eastAsia" w:ascii="宋体" w:hAnsi="宋体" w:eastAsia="宋体"/>
                <w:sz w:val="24"/>
                <w:szCs w:val="24"/>
              </w:rPr>
              <w:t>6</w:t>
            </w:r>
          </w:p>
        </w:tc>
        <w:tc>
          <w:tcPr>
            <w:tcW w:w="1567" w:type="dxa"/>
          </w:tcPr>
          <w:p>
            <w:pPr>
              <w:spacing w:line="360" w:lineRule="auto"/>
              <w:jc w:val="center"/>
              <w:rPr>
                <w:rFonts w:ascii="宋体" w:hAnsi="宋体" w:eastAsia="宋体"/>
                <w:sz w:val="24"/>
                <w:szCs w:val="24"/>
              </w:rPr>
            </w:pPr>
            <w:r>
              <w:rPr>
                <w:rFonts w:hint="eastAsia" w:ascii="宋体" w:hAnsi="宋体" w:eastAsia="宋体"/>
                <w:sz w:val="24"/>
                <w:szCs w:val="24"/>
              </w:rPr>
              <w:t>C</w:t>
            </w:r>
            <w:r>
              <w:rPr>
                <w:rFonts w:ascii="宋体" w:hAnsi="宋体" w:eastAsia="宋体"/>
                <w:sz w:val="24"/>
                <w:szCs w:val="24"/>
              </w:rPr>
              <w:t>2.32</w:t>
            </w:r>
          </w:p>
        </w:tc>
        <w:tc>
          <w:tcPr>
            <w:tcW w:w="1843"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26-3</w:t>
            </w:r>
          </w:p>
        </w:tc>
        <w:tc>
          <w:tcPr>
            <w:tcW w:w="1701" w:type="dxa"/>
          </w:tcPr>
          <w:p>
            <w:pPr>
              <w:spacing w:line="360" w:lineRule="auto"/>
              <w:jc w:val="center"/>
              <w:rPr>
                <w:rFonts w:ascii="宋体" w:hAnsi="宋体" w:eastAsia="宋体"/>
                <w:sz w:val="24"/>
                <w:szCs w:val="24"/>
              </w:rPr>
            </w:pPr>
            <w:r>
              <w:rPr>
                <w:rFonts w:hint="eastAsia" w:ascii="宋体" w:hAnsi="宋体" w:eastAsia="宋体"/>
                <w:sz w:val="24"/>
                <w:szCs w:val="24"/>
              </w:rPr>
              <w:t>H</w:t>
            </w:r>
            <w:r>
              <w:rPr>
                <w:rFonts w:ascii="宋体" w:hAnsi="宋体" w:eastAsia="宋体"/>
                <w:sz w:val="24"/>
                <w:szCs w:val="24"/>
              </w:rPr>
              <w:t>26-3</w:t>
            </w:r>
          </w:p>
        </w:tc>
        <w:tc>
          <w:tcPr>
            <w:tcW w:w="2126" w:type="dxa"/>
          </w:tcPr>
          <w:p>
            <w:pPr>
              <w:spacing w:line="360" w:lineRule="auto"/>
              <w:jc w:val="cente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1.2.4</w:t>
            </w:r>
          </w:p>
        </w:tc>
      </w:tr>
    </w:tbl>
    <w:p>
      <w:pPr>
        <w:spacing w:line="360" w:lineRule="auto"/>
        <w:jc w:val="left"/>
        <w:rPr>
          <w:rFonts w:ascii="宋体" w:hAnsi="宋体" w:eastAsia="宋体"/>
          <w:sz w:val="24"/>
          <w:szCs w:val="24"/>
        </w:rPr>
      </w:pPr>
    </w:p>
    <w:p>
      <w:pPr>
        <w:spacing w:line="360" w:lineRule="auto"/>
        <w:jc w:val="left"/>
        <w:rPr>
          <w:rFonts w:ascii="宋体" w:hAnsi="宋体" w:eastAsia="宋体"/>
          <w:sz w:val="24"/>
          <w:szCs w:val="24"/>
        </w:rPr>
      </w:pPr>
      <w:r>
        <w:rPr>
          <w:rFonts w:hint="eastAsia" w:ascii="宋体" w:hAnsi="宋体" w:eastAsia="宋体"/>
          <w:sz w:val="24"/>
          <w:szCs w:val="24"/>
        </w:rPr>
        <w:t>四、</w:t>
      </w:r>
      <w:r>
        <w:rPr>
          <w:rFonts w:ascii="宋体" w:hAnsi="宋体" w:eastAsia="宋体"/>
          <w:sz w:val="24"/>
          <w:szCs w:val="24"/>
        </w:rPr>
        <w:t>维护计划</w:t>
      </w:r>
    </w:p>
    <w:p>
      <w:pPr>
        <w:spacing w:line="360" w:lineRule="auto"/>
        <w:ind w:firstLine="480" w:firstLineChars="200"/>
        <w:rPr>
          <w:rFonts w:ascii="宋体" w:hAnsi="宋体" w:eastAsia="宋体"/>
          <w:sz w:val="24"/>
          <w:szCs w:val="24"/>
        </w:rPr>
      </w:pPr>
      <w:r>
        <w:rPr>
          <w:rFonts w:ascii="宋体" w:hAnsi="宋体" w:eastAsia="宋体"/>
          <w:sz w:val="24"/>
          <w:szCs w:val="24"/>
        </w:rPr>
        <w:t>公司制定了</w:t>
      </w:r>
      <w:r>
        <w:rPr>
          <w:rFonts w:hint="eastAsia" w:ascii="宋体" w:hAnsi="宋体" w:eastAsia="宋体"/>
          <w:sz w:val="24"/>
          <w:szCs w:val="24"/>
        </w:rPr>
        <w:t>软件维护过程控制程序、软件配置管理过程控制程序和软件问题解决过程控制程序，并按照软件风险管理过程控制程序对软件维护可能产生的风险进行分析和控制，以确保软件维护可能造成的风险可接受。</w:t>
      </w:r>
    </w:p>
    <w:p>
      <w:pPr>
        <w:spacing w:line="360" w:lineRule="auto"/>
        <w:ind w:firstLine="480" w:firstLineChars="200"/>
        <w:rPr>
          <w:rFonts w:ascii="宋体" w:hAnsi="宋体" w:eastAsia="宋体"/>
          <w:sz w:val="24"/>
          <w:szCs w:val="24"/>
        </w:rPr>
      </w:pPr>
      <w:r>
        <w:rPr>
          <w:rFonts w:ascii="宋体" w:hAnsi="宋体" w:eastAsia="宋体"/>
          <w:sz w:val="24"/>
          <w:szCs w:val="24"/>
        </w:rPr>
        <w:t>软件网络安全更新维护的流程如下</w:t>
      </w:r>
      <w:r>
        <w:rPr>
          <w:rFonts w:hint="eastAsia" w:ascii="宋体" w:hAnsi="宋体" w:eastAsia="宋体"/>
          <w:sz w:val="24"/>
          <w:szCs w:val="24"/>
        </w:rPr>
        <w:t>：</w:t>
      </w:r>
    </w:p>
    <w:p>
      <w:pPr>
        <w:spacing w:line="360" w:lineRule="auto"/>
        <w:ind w:firstLine="480" w:firstLineChars="200"/>
        <w:jc w:val="left"/>
        <w:rPr>
          <w:rFonts w:ascii="宋体" w:hAnsi="宋体" w:eastAsia="宋体"/>
          <w:sz w:val="24"/>
          <w:szCs w:val="24"/>
        </w:rPr>
      </w:pPr>
      <w:r>
        <w:rPr>
          <w:rFonts w:ascii="宋体" w:hAnsi="宋体" w:eastAsia="宋体"/>
          <w:sz w:val="24"/>
          <w:szCs w:val="24"/>
        </w:rPr>
        <w:drawing>
          <wp:inline distT="0" distB="0" distL="0" distR="0">
            <wp:extent cx="3905885" cy="44284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916507" cy="4440592"/>
                    </a:xfrm>
                    <a:prstGeom prst="rect">
                      <a:avLst/>
                    </a:prstGeom>
                    <a:noFill/>
                    <a:ln>
                      <a:noFill/>
                    </a:ln>
                  </pic:spPr>
                </pic:pic>
              </a:graphicData>
            </a:graphic>
          </wp:inline>
        </w:drawing>
      </w:r>
    </w:p>
    <w:p>
      <w:pPr>
        <w:spacing w:line="360" w:lineRule="auto"/>
        <w:ind w:firstLine="480" w:firstLineChars="200"/>
        <w:rPr>
          <w:rFonts w:ascii="宋体" w:hAnsi="宋体" w:eastAsia="宋体"/>
          <w:sz w:val="24"/>
          <w:szCs w:val="24"/>
        </w:rPr>
      </w:pPr>
      <w:r>
        <w:rPr>
          <w:rFonts w:hint="eastAsia" w:ascii="宋体" w:hAnsi="宋体" w:eastAsia="宋体"/>
          <w:sz w:val="24"/>
          <w:szCs w:val="24"/>
        </w:rPr>
        <w:t>研发部会同品质注册部对每个问题报告进行问题研究并评审，确定网络安全问题的严重程度，以决定其对软件产品的网络安全性有何种影响，是否有必要对软件产品进行更改以解决问题。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如果判定问题与网络安全性无关，指导解决，并确认问题是否关闭，如未解决重新进行问题研究。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如果判定问题与网络安全性有关，研发部会同品质注册部正确识别问题，需要立即解决的问题，研发部制定《软件变更实施计划》；可以以后解决的问题，研发部制定《软件问题解决计划》，通过评审后通知相关方。然后研发部实施软件问题解决流程，进行软件改进，并形成《软件</w:t>
      </w:r>
      <w:r>
        <w:rPr>
          <w:rFonts w:ascii="宋体" w:hAnsi="宋体" w:eastAsia="宋体"/>
          <w:sz w:val="24"/>
          <w:szCs w:val="24"/>
        </w:rPr>
        <w:t>问题</w:t>
      </w:r>
      <w:r>
        <w:rPr>
          <w:rFonts w:hint="eastAsia" w:ascii="宋体" w:hAnsi="宋体" w:eastAsia="宋体"/>
          <w:sz w:val="24"/>
          <w:szCs w:val="24"/>
        </w:rPr>
        <w:t>修改</w:t>
      </w:r>
      <w:r>
        <w:rPr>
          <w:rFonts w:ascii="宋体" w:hAnsi="宋体" w:eastAsia="宋体"/>
          <w:sz w:val="24"/>
          <w:szCs w:val="24"/>
        </w:rPr>
        <w:t>报告单</w:t>
      </w:r>
      <w:r>
        <w:rPr>
          <w:rFonts w:hint="eastAsia" w:ascii="宋体" w:hAnsi="宋体" w:eastAsia="宋体"/>
          <w:sz w:val="24"/>
          <w:szCs w:val="24"/>
        </w:rPr>
        <w:t>》。品质注册部对改进进行验证，确认问题是否解决。如未解决重新进行问题研究。</w:t>
      </w:r>
    </w:p>
    <w:p>
      <w:pPr>
        <w:spacing w:line="360" w:lineRule="auto"/>
        <w:ind w:firstLine="480" w:firstLineChars="200"/>
        <w:rPr>
          <w:rFonts w:ascii="宋体" w:hAnsi="宋体" w:eastAsia="宋体"/>
          <w:sz w:val="24"/>
          <w:szCs w:val="24"/>
        </w:rPr>
      </w:pPr>
      <w:r>
        <w:rPr>
          <w:rFonts w:ascii="宋体" w:hAnsi="宋体" w:eastAsia="宋体"/>
          <w:sz w:val="24"/>
          <w:szCs w:val="24"/>
        </w:rPr>
        <w:t>问题解决后</w:t>
      </w:r>
      <w:r>
        <w:rPr>
          <w:rFonts w:hint="eastAsia" w:ascii="宋体" w:hAnsi="宋体" w:eastAsia="宋体"/>
          <w:sz w:val="24"/>
          <w:szCs w:val="24"/>
        </w:rPr>
        <w:t>，</w:t>
      </w:r>
      <w:r>
        <w:rPr>
          <w:rFonts w:ascii="宋体" w:hAnsi="宋体" w:eastAsia="宋体"/>
          <w:sz w:val="24"/>
          <w:szCs w:val="24"/>
        </w:rPr>
        <w:t>问题报告给予关闭</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公司</w:t>
      </w:r>
      <w:r>
        <w:rPr>
          <w:rFonts w:hint="eastAsia" w:ascii="宋体" w:hAnsi="宋体" w:eastAsia="宋体"/>
          <w:sz w:val="24"/>
          <w:szCs w:val="24"/>
        </w:rPr>
        <w:t>品质注册部在获知《软件变更实施计划》或《软件问题解决计划》后，进行评估是否触发药监主管部门备案或注册许可，如</w:t>
      </w:r>
    </w:p>
    <w:p>
      <w:pPr>
        <w:spacing w:line="360" w:lineRule="auto"/>
        <w:ind w:firstLine="480" w:firstLineChars="200"/>
        <w:rPr>
          <w:rFonts w:ascii="宋体" w:hAnsi="宋体" w:eastAsia="宋体"/>
          <w:sz w:val="24"/>
          <w:szCs w:val="24"/>
        </w:rPr>
      </w:pPr>
      <w:r>
        <w:rPr>
          <w:rFonts w:ascii="宋体" w:hAnsi="宋体" w:eastAsia="宋体"/>
          <w:sz w:val="24"/>
          <w:szCs w:val="24"/>
        </w:rPr>
        <w:t>软件工程师按照</w:t>
      </w:r>
      <w:r>
        <w:rPr>
          <w:rFonts w:hint="eastAsia" w:ascii="宋体" w:hAnsi="宋体" w:eastAsia="宋体"/>
          <w:sz w:val="24"/>
          <w:szCs w:val="24"/>
        </w:rPr>
        <w:t>《软件变更实施计划》或《软件问题解决计划》进行软件改进操作。完成维护后，如果需要对用户软件进行更新，应通知用户软件进行更新以及维护的主要内容。如软件问题涉及重大安全隐患，应通知监管部门。至少应告知用户和监管部门以下信息：</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（1）已发行软件产品中的任何问题和不更改继续使用的后果。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（2）已发行软件产品的任何可获得的更改的性质，以及如何获得并安装更改内容。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维护申请提出用户对维护结果进行反馈和评价。</w:t>
      </w:r>
    </w:p>
    <w:p>
      <w:pPr>
        <w:spacing w:line="360" w:lineRule="auto"/>
        <w:ind w:firstLine="480" w:firstLineChars="200"/>
        <w:jc w:val="left"/>
        <w:rPr>
          <w:rFonts w:ascii="宋体" w:hAnsi="宋体" w:eastAsia="宋体"/>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2182000"/>
      <w:docPartObj>
        <w:docPartGallery w:val="autotext"/>
      </w:docPartObj>
    </w:sdtPr>
    <w:sdtContent>
      <w:p>
        <w:pPr>
          <w:pStyle w:val="5"/>
          <w:jc w:val="center"/>
        </w:pPr>
        <w:r>
          <w:fldChar w:fldCharType="begin"/>
        </w:r>
        <w:r>
          <w:instrText xml:space="preserve">PAGE   \* MERGEFORMAT</w:instrText>
        </w:r>
        <w:r>
          <w:fldChar w:fldCharType="separate"/>
        </w:r>
        <w:r>
          <w:rPr>
            <w:lang w:val="zh-CN"/>
          </w:rPr>
          <w:t>3</w:t>
        </w:r>
        <w:r>
          <w:fldChar w:fldCharType="end"/>
        </w:r>
      </w:p>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18"/>
    <w:rsid w:val="00027C3E"/>
    <w:rsid w:val="00063E7F"/>
    <w:rsid w:val="001855AD"/>
    <w:rsid w:val="001C54B0"/>
    <w:rsid w:val="001D54BE"/>
    <w:rsid w:val="001E0518"/>
    <w:rsid w:val="00236B41"/>
    <w:rsid w:val="00246CF7"/>
    <w:rsid w:val="00266C22"/>
    <w:rsid w:val="00290344"/>
    <w:rsid w:val="0029513C"/>
    <w:rsid w:val="003D1C11"/>
    <w:rsid w:val="00410AD2"/>
    <w:rsid w:val="0043263B"/>
    <w:rsid w:val="00561992"/>
    <w:rsid w:val="005C6E67"/>
    <w:rsid w:val="0062628C"/>
    <w:rsid w:val="00645D09"/>
    <w:rsid w:val="006B0DE5"/>
    <w:rsid w:val="00723A0E"/>
    <w:rsid w:val="00750710"/>
    <w:rsid w:val="00831E16"/>
    <w:rsid w:val="00935AE2"/>
    <w:rsid w:val="00995736"/>
    <w:rsid w:val="00A918CA"/>
    <w:rsid w:val="00AE30D5"/>
    <w:rsid w:val="00AF68C5"/>
    <w:rsid w:val="00B24430"/>
    <w:rsid w:val="00BC07EB"/>
    <w:rsid w:val="00BD3B83"/>
    <w:rsid w:val="00C83308"/>
    <w:rsid w:val="00C96010"/>
    <w:rsid w:val="00DB7E17"/>
    <w:rsid w:val="00E72046"/>
    <w:rsid w:val="00F3688D"/>
    <w:rsid w:val="00F7185B"/>
    <w:rsid w:val="00F96947"/>
    <w:rsid w:val="00FE0588"/>
    <w:rsid w:val="3B1E7206"/>
    <w:rsid w:val="5DC51545"/>
    <w:rsid w:val="5EDF64B5"/>
    <w:rsid w:val="61795B1F"/>
    <w:rsid w:val="64B45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4"/>
    <w:semiHidden/>
    <w:unhideWhenUsed/>
    <w:uiPriority w:val="99"/>
    <w:pPr>
      <w:jc w:val="left"/>
    </w:pPr>
  </w:style>
  <w:style w:type="paragraph" w:styleId="4">
    <w:name w:val="Balloon Text"/>
    <w:basedOn w:val="1"/>
    <w:link w:val="16"/>
    <w:semiHidden/>
    <w:unhideWhenUsed/>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5"/>
    <w:semiHidden/>
    <w:unhideWhenUsed/>
    <w:qFormat/>
    <w:uiPriority w:val="99"/>
    <w:rPr>
      <w:b/>
      <w:bCs/>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semiHidden/>
    <w:unhideWhenUsed/>
    <w:qFormat/>
    <w:uiPriority w:val="99"/>
    <w:rPr>
      <w:sz w:val="21"/>
      <w:szCs w:val="21"/>
    </w:rPr>
  </w:style>
  <w:style w:type="character" w:customStyle="1" w:styleId="12">
    <w:name w:val="页眉 字符"/>
    <w:basedOn w:val="10"/>
    <w:link w:val="6"/>
    <w:qFormat/>
    <w:uiPriority w:val="99"/>
    <w:rPr>
      <w:sz w:val="18"/>
      <w:szCs w:val="18"/>
    </w:rPr>
  </w:style>
  <w:style w:type="character" w:customStyle="1" w:styleId="13">
    <w:name w:val="页脚 字符"/>
    <w:basedOn w:val="10"/>
    <w:link w:val="5"/>
    <w:qFormat/>
    <w:uiPriority w:val="99"/>
    <w:rPr>
      <w:sz w:val="18"/>
      <w:szCs w:val="18"/>
    </w:rPr>
  </w:style>
  <w:style w:type="character" w:customStyle="1" w:styleId="14">
    <w:name w:val="批注文字 字符"/>
    <w:basedOn w:val="10"/>
    <w:link w:val="3"/>
    <w:semiHidden/>
    <w:qFormat/>
    <w:uiPriority w:val="99"/>
  </w:style>
  <w:style w:type="character" w:customStyle="1" w:styleId="15">
    <w:name w:val="批注主题 字符"/>
    <w:basedOn w:val="14"/>
    <w:link w:val="7"/>
    <w:semiHidden/>
    <w:qFormat/>
    <w:uiPriority w:val="99"/>
    <w:rPr>
      <w:b/>
      <w:bCs/>
    </w:rPr>
  </w:style>
  <w:style w:type="character" w:customStyle="1" w:styleId="16">
    <w:name w:val="批注框文本 字符"/>
    <w:basedOn w:val="10"/>
    <w:link w:val="4"/>
    <w:semiHidden/>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标题 1 字符"/>
    <w:basedOn w:val="10"/>
    <w:link w:val="2"/>
    <w:qFormat/>
    <w:uiPriority w:val="9"/>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661687-D06E-443D-831A-EC463022EABD}">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1124</Words>
  <Characters>1271</Characters>
  <Lines>9</Lines>
  <Paragraphs>2</Paragraphs>
  <TotalTime>105</TotalTime>
  <ScaleCrop>false</ScaleCrop>
  <LinksUpToDate>false</LinksUpToDate>
  <CharactersWithSpaces>1276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2020-02-15T08:43:00Z</dcterms:created>
  <dc:creator>Huo Beata</dc:creator>
  <cp:lastModifiedBy>小多</cp:lastModifiedBy>
  <cp:lastPrinted>2020-04-14T07:56:00Z</cp:lastPrinted>
  <dcterms:modified xsi:type="dcterms:W3CDTF">2020-04-22T01:30:06Z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