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黑体" w:hAnsi="黑体" w:eastAsia="黑体"/>
          <w:b/>
          <w:sz w:val="36"/>
        </w:rPr>
        <w:t>清华大学工业工程系</w:t>
      </w:r>
    </w:p>
    <w:p>
      <w:pPr>
        <w:spacing w:before="280"/>
        <w:jc w:val="center"/>
      </w:pPr>
      <w:r>
        <w:rPr>
          <w:rFonts w:ascii="黑体" w:hAnsi="黑体" w:eastAsia="黑体"/>
          <w:b/>
          <w:sz w:val="44"/>
        </w:rPr>
        <w:t>《工业工程生产实践》</w:t>
      </w:r>
    </w:p>
    <w:p>
      <w:pPr>
        <w:spacing w:before="360"/>
        <w:jc w:val="center"/>
      </w:pPr>
      <w:r>
        <w:rPr>
          <w:rFonts w:ascii="黑体" w:hAnsi="黑体" w:eastAsia="黑体"/>
          <w:b/>
          <w:sz w:val="52"/>
        </w:rPr>
        <w:t>生产实习中期报告</w:t>
      </w:r>
    </w:p>
    <w:p>
      <w:pPr>
        <w:spacing w:before="1400"/>
        <w:jc w:val="center"/>
      </w:pPr>
    </w:p>
    <w:p>
      <w:pPr>
        <w:spacing w:after="180"/>
        <w:jc w:val="center"/>
      </w:pPr>
      <w:r>
        <w:rPr>
          <w:rFonts w:ascii="宋体" w:hAnsi="宋体" w:eastAsia="宋体"/>
          <w:b w:val="0"/>
          <w:sz w:val="28"/>
        </w:rPr>
        <w:t>姓名：黄诗琅</w:t>
      </w:r>
    </w:p>
    <w:p>
      <w:pPr>
        <w:spacing w:after="180"/>
        <w:jc w:val="center"/>
      </w:pPr>
      <w:r>
        <w:rPr>
          <w:rFonts w:ascii="宋体" w:hAnsi="宋体" w:eastAsia="宋体"/>
          <w:b w:val="0"/>
          <w:sz w:val="28"/>
        </w:rPr>
        <w:t>学号：2023010366</w:t>
      </w:r>
    </w:p>
    <w:p>
      <w:pPr>
        <w:spacing w:after="180"/>
        <w:jc w:val="center"/>
      </w:pPr>
      <w:r>
        <w:rPr>
          <w:rFonts w:ascii="宋体" w:hAnsi="宋体" w:eastAsia="宋体"/>
          <w:b w:val="0"/>
          <w:sz w:val="28"/>
        </w:rPr>
        <w:t>实习单位：北京人形机器人创新中心有限公司</w:t>
      </w:r>
    </w:p>
    <w:p>
      <w:pPr>
        <w:spacing w:after="180"/>
        <w:jc w:val="center"/>
      </w:pPr>
      <w:r>
        <w:rPr>
          <w:rFonts w:ascii="宋体" w:hAnsi="宋体" w:eastAsia="宋体"/>
          <w:b w:val="0"/>
          <w:sz w:val="28"/>
        </w:rPr>
        <w:t>实习阶段：2026年7月6日—2026年8月9日</w:t>
      </w:r>
    </w:p>
    <w:p>
      <w:pPr>
        <w:spacing w:after="180"/>
        <w:jc w:val="center"/>
      </w:pPr>
      <w:r>
        <w:rPr>
          <w:rFonts w:ascii="宋体" w:hAnsi="宋体" w:eastAsia="宋体"/>
          <w:b w:val="0"/>
          <w:sz w:val="28"/>
        </w:rPr>
        <w:t>校内导师：刘俊驿</w:t>
      </w:r>
    </w:p>
    <w:p>
      <w:pPr>
        <w:spacing w:before="840"/>
        <w:jc w:val="center"/>
      </w:pPr>
      <w:r>
        <w:rPr>
          <w:rFonts w:ascii="宋体" w:hAnsi="宋体" w:eastAsia="宋体"/>
          <w:b w:val="0"/>
          <w:sz w:val="28"/>
        </w:rPr>
        <w:t>2026年8月</w:t>
      </w:r>
    </w:p>
    <w:p>
      <w:pPr>
        <w:sectPr>
          <w:footerReference w:type="default" r:id="rId9"/>
          <w:pgSz w:w="12240" w:h="15840"/>
          <w:pgMar w:top="1440" w:right="1474" w:bottom="1440" w:left="1587" w:header="850" w:footer="850" w:gutter="0"/>
          <w:cols w:space="720"/>
          <w:docGrid w:linePitch="360"/>
        </w:sectPr>
      </w:pPr>
    </w:p>
    <w:p>
      <w:pPr>
        <w:spacing w:after="200"/>
        <w:jc w:val="center"/>
      </w:pPr>
      <w:r>
        <w:rPr>
          <w:rFonts w:ascii="黑体" w:hAnsi="黑体" w:eastAsia="黑体"/>
          <w:b/>
          <w:sz w:val="36"/>
        </w:rPr>
        <w:t>生产实习中期报告</w:t>
      </w:r>
    </w:p>
    <w:p>
      <w:pPr>
        <w:keepNext/>
        <w:spacing w:before="160" w:after="80" w:line="276" w:lineRule="auto"/>
      </w:pPr>
      <w:r>
        <w:rPr>
          <w:rFonts w:ascii="Noto Sans CJK SC" w:hAnsi="Noto Sans CJK SC" w:eastAsia="Noto Sans CJK SC"/>
          <w:b/>
          <w:sz w:val="30"/>
        </w:rPr>
        <w:t>一、背景信息</w:t>
      </w:r>
    </w:p>
    <w:p>
      <w:pPr>
        <w:keepNext/>
        <w:spacing w:before="100" w:after="80" w:line="276" w:lineRule="auto"/>
      </w:pPr>
      <w:r>
        <w:rPr>
          <w:rFonts w:ascii="Noto Sans CJK SC" w:hAnsi="Noto Sans CJK SC" w:eastAsia="Noto Sans CJK SC"/>
          <w:b/>
          <w:sz w:val="27"/>
        </w:rPr>
        <w:t>1. 实习单位与工作方向</w:t>
      </w:r>
    </w:p>
    <w:p>
      <w:pPr>
        <w:spacing w:before="0" w:after="0" w:line="276" w:lineRule="auto"/>
        <w:ind w:firstLine="420"/>
        <w:jc w:val="both"/>
      </w:pPr>
      <w:r>
        <w:rPr>
          <w:rFonts w:ascii="宋体" w:hAnsi="宋体" w:eastAsia="宋体"/>
          <w:b w:val="0"/>
          <w:sz w:val="24"/>
        </w:rPr>
        <w:t>本人在北京人形机器人创新中心有限公司开展生产实习。前五周的工作主要集中在人形机器人强化学习与运动控制相关研发流程，包括仿真环境配置、强化学习训练、全身动作模仿、策略评估、模型导出、MuJoCo sim2sim 验证以及训练数据与代码的版本管理。实习内容具有较强的研发生产属性：一方面需要理解算法原理和机器人控制接口，另一方面需要按照工程流程完成数据检查、环境搭建、训练执行、质量验收和部署验证。</w:t>
      </w:r>
    </w:p>
    <w:p>
      <w:pPr>
        <w:keepNext/>
        <w:spacing w:before="100" w:after="80" w:line="276" w:lineRule="auto"/>
      </w:pPr>
      <w:r>
        <w:rPr>
          <w:rFonts w:ascii="Noto Sans CJK SC" w:hAnsi="Noto Sans CJK SC" w:eastAsia="Noto Sans CJK SC"/>
          <w:b/>
          <w:sz w:val="27"/>
        </w:rPr>
        <w:t>2. 前五周阶段性工作安排</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1020"/>
            <w:shd w:fill="D9EAF7"/>
            <w:vAlign w:val="center"/>
            <w:tcMar>
              <w:top w:w="80" w:type="dxa"/>
              <w:start w:w="80" w:type="dxa"/>
              <w:bottom w:w="80" w:type="dxa"/>
              <w:end w:w="80" w:type="dxa"/>
            </w:tcMar>
          </w:tcPr>
          <w:p>
            <w:pPr>
              <w:jc w:val="center"/>
            </w:pPr>
            <w:r>
              <w:rPr>
                <w:rFonts w:ascii="宋体" w:hAnsi="宋体" w:eastAsia="宋体"/>
                <w:b/>
                <w:sz w:val="21"/>
              </w:rPr>
              <w:t>阶段</w:t>
            </w:r>
          </w:p>
        </w:tc>
        <w:tc>
          <w:tcPr>
            <w:tcW w:type="dxa" w:w="1757"/>
            <w:shd w:fill="D9EAF7"/>
            <w:vAlign w:val="center"/>
            <w:tcMar>
              <w:top w:w="80" w:type="dxa"/>
              <w:start w:w="80" w:type="dxa"/>
              <w:bottom w:w="80" w:type="dxa"/>
              <w:end w:w="80" w:type="dxa"/>
            </w:tcMar>
          </w:tcPr>
          <w:p>
            <w:pPr>
              <w:jc w:val="center"/>
            </w:pPr>
            <w:r>
              <w:rPr>
                <w:rFonts w:ascii="宋体" w:hAnsi="宋体" w:eastAsia="宋体"/>
                <w:b/>
                <w:sz w:val="21"/>
              </w:rPr>
              <w:t>工作重点</w:t>
            </w:r>
          </w:p>
        </w:tc>
        <w:tc>
          <w:tcPr>
            <w:tcW w:type="dxa" w:w="5669"/>
            <w:shd w:fill="D9EAF7"/>
            <w:vAlign w:val="center"/>
            <w:tcMar>
              <w:top w:w="80" w:type="dxa"/>
              <w:start w:w="80" w:type="dxa"/>
              <w:bottom w:w="80" w:type="dxa"/>
              <w:end w:w="80" w:type="dxa"/>
            </w:tcMar>
          </w:tcPr>
          <w:p>
            <w:pPr>
              <w:jc w:val="center"/>
            </w:pPr>
            <w:r>
              <w:rPr>
                <w:rFonts w:ascii="宋体" w:hAnsi="宋体" w:eastAsia="宋体"/>
                <w:b/>
                <w:sz w:val="21"/>
              </w:rPr>
              <w:t>主要内容与成果</w:t>
            </w:r>
          </w:p>
        </w:tc>
      </w:tr>
      <w:tr>
        <w:trPr>
          <w:cantSplit/>
        </w:trPr>
        <w:tc>
          <w:tcPr>
            <w:tcW w:type="dxa" w:w="1020"/>
            <w:vAlign w:val="center"/>
            <w:tcMar>
              <w:top w:w="80" w:type="dxa"/>
              <w:start w:w="80" w:type="dxa"/>
              <w:bottom w:w="80" w:type="dxa"/>
              <w:end w:w="80" w:type="dxa"/>
            </w:tcMar>
          </w:tcPr>
          <w:p>
            <w:pPr>
              <w:spacing w:line="252" w:lineRule="auto" w:after="0"/>
              <w:jc w:val="center"/>
            </w:pPr>
            <w:r>
              <w:rPr>
                <w:rFonts w:ascii="宋体" w:hAnsi="宋体" w:eastAsia="宋体"/>
                <w:b w:val="0"/>
                <w:sz w:val="21"/>
              </w:rPr>
              <w:t>第一周</w:t>
            </w:r>
          </w:p>
        </w:tc>
        <w:tc>
          <w:tcPr>
            <w:tcW w:type="dxa" w:w="1757"/>
            <w:vAlign w:val="center"/>
            <w:tcMar>
              <w:top w:w="80" w:type="dxa"/>
              <w:start w:w="80" w:type="dxa"/>
              <w:bottom w:w="80" w:type="dxa"/>
              <w:end w:w="80" w:type="dxa"/>
            </w:tcMar>
          </w:tcPr>
          <w:p>
            <w:pPr>
              <w:spacing w:line="252" w:lineRule="auto" w:after="0"/>
              <w:jc w:val="center"/>
            </w:pPr>
            <w:r>
              <w:rPr>
                <w:rFonts w:ascii="宋体" w:hAnsi="宋体" w:eastAsia="宋体"/>
                <w:b w:val="0"/>
                <w:sz w:val="21"/>
              </w:rPr>
              <w:t>项目与方向熟悉</w:t>
            </w:r>
          </w:p>
        </w:tc>
        <w:tc>
          <w:tcPr>
            <w:tcW w:type="dxa" w:w="5669"/>
            <w:vAlign w:val="center"/>
            <w:tcMar>
              <w:top w:w="80" w:type="dxa"/>
              <w:start w:w="80" w:type="dxa"/>
              <w:bottom w:w="80" w:type="dxa"/>
              <w:end w:w="80" w:type="dxa"/>
            </w:tcMar>
          </w:tcPr>
          <w:p>
            <w:pPr>
              <w:spacing w:line="252" w:lineRule="auto" w:after="0"/>
              <w:jc w:val="both"/>
            </w:pPr>
            <w:r>
              <w:rPr>
                <w:rFonts w:ascii="宋体" w:hAnsi="宋体" w:eastAsia="宋体"/>
                <w:b w:val="0"/>
                <w:sz w:val="21"/>
              </w:rPr>
              <w:t>熟悉人形机器人强化学习项目、仓库结构和基础运行环境，明确后续以 TienKung-Lab 与 xMimic 为主要实践载体。</w:t>
            </w:r>
          </w:p>
        </w:tc>
      </w:tr>
      <w:tr>
        <w:trPr>
          <w:cantSplit/>
        </w:trPr>
        <w:tc>
          <w:tcPr>
            <w:tcW w:type="dxa" w:w="1020"/>
            <w:vAlign w:val="center"/>
            <w:tcMar>
              <w:top w:w="80" w:type="dxa"/>
              <w:start w:w="80" w:type="dxa"/>
              <w:bottom w:w="80" w:type="dxa"/>
              <w:end w:w="80" w:type="dxa"/>
            </w:tcMar>
          </w:tcPr>
          <w:p>
            <w:pPr>
              <w:spacing w:line="252" w:lineRule="auto" w:after="0"/>
              <w:jc w:val="center"/>
            </w:pPr>
            <w:r>
              <w:rPr>
                <w:rFonts w:ascii="宋体" w:hAnsi="宋体" w:eastAsia="宋体"/>
                <w:b w:val="0"/>
                <w:sz w:val="21"/>
              </w:rPr>
              <w:t>第二周</w:t>
            </w:r>
          </w:p>
        </w:tc>
        <w:tc>
          <w:tcPr>
            <w:tcW w:type="dxa" w:w="1757"/>
            <w:vAlign w:val="center"/>
            <w:tcMar>
              <w:top w:w="80" w:type="dxa"/>
              <w:start w:w="80" w:type="dxa"/>
              <w:bottom w:w="80" w:type="dxa"/>
              <w:end w:w="80" w:type="dxa"/>
            </w:tcMar>
          </w:tcPr>
          <w:p>
            <w:pPr>
              <w:spacing w:line="252" w:lineRule="auto" w:after="0"/>
              <w:jc w:val="center"/>
            </w:pPr>
            <w:r>
              <w:rPr>
                <w:rFonts w:ascii="宋体" w:hAnsi="宋体" w:eastAsia="宋体"/>
                <w:b w:val="0"/>
                <w:sz w:val="21"/>
              </w:rPr>
              <w:t>TienKung-Lab 训练闭环</w:t>
            </w:r>
          </w:p>
        </w:tc>
        <w:tc>
          <w:tcPr>
            <w:tcW w:type="dxa" w:w="5669"/>
            <w:vAlign w:val="center"/>
            <w:tcMar>
              <w:top w:w="80" w:type="dxa"/>
              <w:start w:w="80" w:type="dxa"/>
              <w:bottom w:w="80" w:type="dxa"/>
              <w:end w:w="80" w:type="dxa"/>
            </w:tcMar>
          </w:tcPr>
          <w:p>
            <w:pPr>
              <w:spacing w:line="252" w:lineRule="auto" w:after="0"/>
              <w:jc w:val="both"/>
            </w:pPr>
            <w:r>
              <w:rPr>
                <w:rFonts w:ascii="宋体" w:hAnsi="宋体" w:eastAsia="宋体"/>
                <w:b w:val="0"/>
                <w:sz w:val="21"/>
              </w:rPr>
              <w:t>完成 Isaac Lab/Python 环境配置与依赖调试；使用 1024 个并行环境完成 walk 任务 50000 次迭代，系统学习 PPO、GAE、AMP 及模型导出流程。</w:t>
            </w:r>
          </w:p>
        </w:tc>
      </w:tr>
      <w:tr>
        <w:trPr>
          <w:cantSplit/>
        </w:trPr>
        <w:tc>
          <w:tcPr>
            <w:tcW w:type="dxa" w:w="1020"/>
            <w:vAlign w:val="center"/>
            <w:tcMar>
              <w:top w:w="80" w:type="dxa"/>
              <w:start w:w="80" w:type="dxa"/>
              <w:bottom w:w="80" w:type="dxa"/>
              <w:end w:w="80" w:type="dxa"/>
            </w:tcMar>
          </w:tcPr>
          <w:p>
            <w:pPr>
              <w:spacing w:line="252" w:lineRule="auto" w:after="0"/>
              <w:jc w:val="center"/>
            </w:pPr>
            <w:r>
              <w:rPr>
                <w:rFonts w:ascii="宋体" w:hAnsi="宋体" w:eastAsia="宋体"/>
                <w:b w:val="0"/>
                <w:sz w:val="21"/>
              </w:rPr>
              <w:t>第三周</w:t>
            </w:r>
          </w:p>
        </w:tc>
        <w:tc>
          <w:tcPr>
            <w:tcW w:type="dxa" w:w="1757"/>
            <w:vAlign w:val="center"/>
            <w:tcMar>
              <w:top w:w="80" w:type="dxa"/>
              <w:start w:w="80" w:type="dxa"/>
              <w:bottom w:w="80" w:type="dxa"/>
              <w:end w:w="80" w:type="dxa"/>
            </w:tcMar>
          </w:tcPr>
          <w:p>
            <w:pPr>
              <w:spacing w:line="252" w:lineRule="auto" w:after="0"/>
              <w:jc w:val="center"/>
            </w:pPr>
            <w:r>
              <w:rPr>
                <w:rFonts w:ascii="宋体" w:hAnsi="宋体" w:eastAsia="宋体"/>
                <w:b w:val="0"/>
                <w:sz w:val="21"/>
              </w:rPr>
              <w:t>结果分析与 xMimic 切换</w:t>
            </w:r>
          </w:p>
        </w:tc>
        <w:tc>
          <w:tcPr>
            <w:tcW w:type="dxa" w:w="5669"/>
            <w:vAlign w:val="center"/>
            <w:tcMar>
              <w:top w:w="80" w:type="dxa"/>
              <w:start w:w="80" w:type="dxa"/>
              <w:bottom w:w="80" w:type="dxa"/>
              <w:end w:w="80" w:type="dxa"/>
            </w:tcMar>
          </w:tcPr>
          <w:p>
            <w:pPr>
              <w:spacing w:line="252" w:lineRule="auto" w:after="0"/>
              <w:jc w:val="both"/>
            </w:pPr>
            <w:r>
              <w:rPr>
                <w:rFonts w:ascii="宋体" w:hAnsi="宋体" w:eastAsia="宋体"/>
                <w:b w:val="0"/>
                <w:sz w:val="21"/>
              </w:rPr>
              <w:t>完善 walk 策略结果分析和 MuJoCo sim2sim 流程；整理代码与 Git LFS；完成 xMimic 代码链路、23 维动作、观测、奖励和随机化机制分析。</w:t>
            </w:r>
          </w:p>
        </w:tc>
      </w:tr>
      <w:tr>
        <w:trPr>
          <w:cantSplit/>
        </w:trPr>
        <w:tc>
          <w:tcPr>
            <w:tcW w:type="dxa" w:w="1020"/>
            <w:vAlign w:val="center"/>
            <w:tcMar>
              <w:top w:w="80" w:type="dxa"/>
              <w:start w:w="80" w:type="dxa"/>
              <w:bottom w:w="80" w:type="dxa"/>
              <w:end w:w="80" w:type="dxa"/>
            </w:tcMar>
          </w:tcPr>
          <w:p>
            <w:pPr>
              <w:spacing w:line="252" w:lineRule="auto" w:after="0"/>
              <w:jc w:val="center"/>
            </w:pPr>
            <w:r>
              <w:rPr>
                <w:rFonts w:ascii="宋体" w:hAnsi="宋体" w:eastAsia="宋体"/>
                <w:b w:val="0"/>
                <w:sz w:val="21"/>
              </w:rPr>
              <w:t>第四周</w:t>
            </w:r>
          </w:p>
        </w:tc>
        <w:tc>
          <w:tcPr>
            <w:tcW w:type="dxa" w:w="1757"/>
            <w:vAlign w:val="center"/>
            <w:tcMar>
              <w:top w:w="80" w:type="dxa"/>
              <w:start w:w="80" w:type="dxa"/>
              <w:bottom w:w="80" w:type="dxa"/>
              <w:end w:w="80" w:type="dxa"/>
            </w:tcMar>
          </w:tcPr>
          <w:p>
            <w:pPr>
              <w:spacing w:line="252" w:lineRule="auto" w:after="0"/>
              <w:jc w:val="center"/>
            </w:pPr>
            <w:r>
              <w:rPr>
                <w:rFonts w:ascii="宋体" w:hAnsi="宋体" w:eastAsia="宋体"/>
                <w:b w:val="0"/>
                <w:sz w:val="21"/>
              </w:rPr>
              <w:t>dance1 长时程优化</w:t>
            </w:r>
          </w:p>
        </w:tc>
        <w:tc>
          <w:tcPr>
            <w:tcW w:type="dxa" w:w="5669"/>
            <w:vAlign w:val="center"/>
            <w:tcMar>
              <w:top w:w="80" w:type="dxa"/>
              <w:start w:w="80" w:type="dxa"/>
              <w:bottom w:w="80" w:type="dxa"/>
              <w:end w:w="80" w:type="dxa"/>
            </w:tcMar>
          </w:tcPr>
          <w:p>
            <w:pPr>
              <w:spacing w:line="252" w:lineRule="auto" w:after="0"/>
              <w:jc w:val="both"/>
            </w:pPr>
            <w:r>
              <w:rPr>
                <w:rFonts w:ascii="宋体" w:hAnsi="宋体" w:eastAsia="宋体"/>
                <w:b w:val="0"/>
                <w:sz w:val="21"/>
              </w:rPr>
              <w:t>使用 4096 环境开展 dance1 全身动作模仿训练，针对长期 XY 漂移实施 5/10/20/39.72 s 分阶段优化、状态反馈和奖励改进，最终严格验收 4/4 PASS。</w:t>
            </w:r>
          </w:p>
        </w:tc>
      </w:tr>
      <w:tr>
        <w:trPr>
          <w:cantSplit/>
        </w:trPr>
        <w:tc>
          <w:tcPr>
            <w:tcW w:type="dxa" w:w="1020"/>
            <w:vAlign w:val="center"/>
            <w:tcMar>
              <w:top w:w="80" w:type="dxa"/>
              <w:start w:w="80" w:type="dxa"/>
              <w:bottom w:w="80" w:type="dxa"/>
              <w:end w:w="80" w:type="dxa"/>
            </w:tcMar>
          </w:tcPr>
          <w:p>
            <w:pPr>
              <w:spacing w:line="252" w:lineRule="auto" w:after="0"/>
              <w:jc w:val="center"/>
            </w:pPr>
            <w:r>
              <w:rPr>
                <w:rFonts w:ascii="宋体" w:hAnsi="宋体" w:eastAsia="宋体"/>
                <w:b w:val="0"/>
                <w:sz w:val="21"/>
              </w:rPr>
              <w:t>第五周</w:t>
            </w:r>
          </w:p>
        </w:tc>
        <w:tc>
          <w:tcPr>
            <w:tcW w:type="dxa" w:w="1757"/>
            <w:vAlign w:val="center"/>
            <w:tcMar>
              <w:top w:w="80" w:type="dxa"/>
              <w:start w:w="80" w:type="dxa"/>
              <w:bottom w:w="80" w:type="dxa"/>
              <w:end w:w="80" w:type="dxa"/>
            </w:tcMar>
          </w:tcPr>
          <w:p>
            <w:pPr>
              <w:spacing w:line="252" w:lineRule="auto" w:after="0"/>
              <w:jc w:val="center"/>
            </w:pPr>
            <w:r>
              <w:rPr>
                <w:rFonts w:ascii="宋体" w:hAnsi="宋体" w:eastAsia="宋体"/>
                <w:b w:val="0"/>
                <w:sz w:val="21"/>
              </w:rPr>
              <w:t>多动作与 sim2sim 扩展</w:t>
            </w:r>
          </w:p>
        </w:tc>
        <w:tc>
          <w:tcPr>
            <w:tcW w:type="dxa" w:w="5669"/>
            <w:vAlign w:val="center"/>
            <w:tcMar>
              <w:top w:w="80" w:type="dxa"/>
              <w:start w:w="80" w:type="dxa"/>
              <w:bottom w:w="80" w:type="dxa"/>
              <w:end w:w="80" w:type="dxa"/>
            </w:tcMar>
          </w:tcPr>
          <w:p>
            <w:pPr>
              <w:spacing w:line="252" w:lineRule="auto" w:after="0"/>
              <w:jc w:val="both"/>
            </w:pPr>
            <w:r>
              <w:rPr>
                <w:rFonts w:ascii="宋体" w:hAnsi="宋体" w:eastAsia="宋体"/>
                <w:b w:val="0"/>
                <w:sz w:val="21"/>
              </w:rPr>
              <w:t>完成 dance2_medium 和 weibst_hard 的训练与全轨迹验证，打通 xMIGCS/xSIM_MUJOCO 的 ROS 2 闭环；构建 LAFAN1→xGMR→训练文件的新动作数据链路。</w:t>
            </w:r>
          </w:p>
        </w:tc>
      </w:tr>
    </w:tbl>
    <w:p>
      <w:pPr>
        <w:keepNext/>
        <w:spacing w:before="160" w:after="80" w:line="276" w:lineRule="auto"/>
      </w:pPr>
      <w:r>
        <w:rPr>
          <w:rFonts w:ascii="Noto Sans CJK SC" w:hAnsi="Noto Sans CJK SC" w:eastAsia="Noto Sans CJK SC"/>
          <w:b/>
          <w:sz w:val="30"/>
        </w:rPr>
        <w:t>二、典型一线生产、运作实践与调研总结</w:t>
      </w:r>
    </w:p>
    <w:p>
      <w:pPr>
        <w:keepNext/>
        <w:spacing w:before="100" w:after="80" w:line="276" w:lineRule="auto"/>
      </w:pPr>
      <w:r>
        <w:rPr>
          <w:rFonts w:ascii="Noto Sans CJK SC" w:hAnsi="Noto Sans CJK SC" w:eastAsia="Noto Sans CJK SC"/>
          <w:b/>
          <w:sz w:val="27"/>
        </w:rPr>
        <w:t>1. 所参与的一线研发运作实践</w:t>
      </w:r>
    </w:p>
    <w:p>
      <w:pPr>
        <w:spacing w:before="0" w:after="0" w:line="276" w:lineRule="auto"/>
        <w:ind w:firstLine="420"/>
        <w:jc w:val="both"/>
      </w:pPr>
      <w:r>
        <w:rPr>
          <w:rFonts w:ascii="宋体" w:hAnsi="宋体" w:eastAsia="宋体"/>
          <w:b w:val="0"/>
          <w:sz w:val="24"/>
        </w:rPr>
        <w:t>实习期间，我参与的核心实践不是单一的“运行训练脚本”，而是一条从任务数据到可部署策略的完整研发运作链。TienKung-Lab 阶段以人形机器人行走策略为对象，完成环境依赖配置、AMP-PPO 并行训练、训练日志分析、策略回放和模型导出；xMimic 阶段进一步以人体参考动作为输入，围绕 dance1、dance2 和 weibst 等动作开展数据核验、策略训练、长时程回放、多随机种子验收和 sim2sim 部署。第五周又将流程扩展到新动作数据生产，通过 LAFAN1 片段筛选、xGMR 重映射、100 Hz 插值与身体名称标注生成可训练数据。</w:t>
      </w:r>
    </w:p>
    <w:p>
      <w:pPr>
        <w:keepNext/>
        <w:spacing w:before="100" w:after="80" w:line="276" w:lineRule="auto"/>
      </w:pPr>
      <w:r>
        <w:rPr>
          <w:rFonts w:ascii="Noto Sans CJK SC" w:hAnsi="Noto Sans CJK SC" w:eastAsia="Noto Sans CJK SC"/>
          <w:b/>
          <w:sz w:val="27"/>
        </w:rPr>
        <w:t>2. 一线研发运作流程</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cantSplit/>
        </w:trPr>
        <w:tc>
          <w:tcPr>
            <w:tcW w:type="dxa" w:w="2351"/>
            <w:shd w:fill="EAF2F8"/>
            <w:tcMar>
              <w:top w:w="120" w:type="dxa"/>
              <w:start w:w="80" w:type="dxa"/>
              <w:bottom w:w="120" w:type="dxa"/>
              <w:end w:w="80" w:type="dxa"/>
            </w:tcMar>
            <w:vAlign w:val="center"/>
          </w:tcPr>
          <w:p>
            <w:pPr>
              <w:spacing w:line="240" w:lineRule="auto" w:after="0"/>
              <w:jc w:val="center"/>
            </w:pPr>
            <w:r>
              <w:rPr>
                <w:rFonts w:ascii="宋体" w:hAnsi="宋体" w:eastAsia="宋体"/>
                <w:b w:val="0"/>
                <w:sz w:val="21"/>
              </w:rPr>
              <w:t>1. 动作/任务数据准备</w:t>
            </w:r>
          </w:p>
        </w:tc>
        <w:tc>
          <w:tcPr>
            <w:tcW w:type="dxa" w:w="2351"/>
            <w:shd w:fill="EAF2F8"/>
            <w:tcMar>
              <w:top w:w="120" w:type="dxa"/>
              <w:start w:w="80" w:type="dxa"/>
              <w:bottom w:w="120" w:type="dxa"/>
              <w:end w:w="80" w:type="dxa"/>
            </w:tcMar>
            <w:vAlign w:val="center"/>
          </w:tcPr>
          <w:p>
            <w:pPr>
              <w:spacing w:line="240" w:lineRule="auto" w:after="0"/>
              <w:jc w:val="center"/>
            </w:pPr>
            <w:r>
              <w:rPr>
                <w:rFonts w:ascii="宋体" w:hAnsi="宋体" w:eastAsia="宋体"/>
                <w:b w:val="0"/>
                <w:sz w:val="21"/>
              </w:rPr>
              <w:t>2. 仿真环境与接口配置</w:t>
            </w:r>
          </w:p>
        </w:tc>
        <w:tc>
          <w:tcPr>
            <w:tcW w:type="dxa" w:w="2351"/>
            <w:shd w:fill="EAF2F8"/>
            <w:tcMar>
              <w:top w:w="120" w:type="dxa"/>
              <w:start w:w="80" w:type="dxa"/>
              <w:bottom w:w="120" w:type="dxa"/>
              <w:end w:w="80" w:type="dxa"/>
            </w:tcMar>
            <w:vAlign w:val="center"/>
          </w:tcPr>
          <w:p>
            <w:pPr>
              <w:spacing w:line="240" w:lineRule="auto" w:after="0"/>
              <w:jc w:val="center"/>
            </w:pPr>
            <w:r>
              <w:rPr>
                <w:rFonts w:ascii="宋体" w:hAnsi="宋体" w:eastAsia="宋体"/>
                <w:b w:val="0"/>
                <w:sz w:val="21"/>
              </w:rPr>
              <w:t>3. 并行采样与 PPO 训练</w:t>
            </w:r>
          </w:p>
        </w:tc>
        <w:tc>
          <w:tcPr>
            <w:tcW w:type="dxa" w:w="2351"/>
            <w:shd w:fill="EAF2F8"/>
            <w:tcMar>
              <w:top w:w="120" w:type="dxa"/>
              <w:start w:w="80" w:type="dxa"/>
              <w:bottom w:w="120" w:type="dxa"/>
              <w:end w:w="80" w:type="dxa"/>
            </w:tcMar>
            <w:vAlign w:val="center"/>
          </w:tcPr>
          <w:p>
            <w:pPr>
              <w:spacing w:line="240" w:lineRule="auto" w:after="0"/>
              <w:jc w:val="center"/>
            </w:pPr>
            <w:r>
              <w:rPr>
                <w:rFonts w:ascii="宋体" w:hAnsi="宋体" w:eastAsia="宋体"/>
                <w:b w:val="0"/>
                <w:sz w:val="21"/>
              </w:rPr>
              <w:t>4. 训练日志与指标分析</w:t>
            </w:r>
          </w:p>
        </w:tc>
      </w:tr>
      <w:tr>
        <w:trPr>
          <w:cantSplit/>
        </w:trPr>
        <w:tc>
          <w:tcPr>
            <w:tcW w:type="dxa" w:w="2351"/>
            <w:shd w:fill="F5F5F5"/>
            <w:tcMar>
              <w:top w:w="120" w:type="dxa"/>
              <w:start w:w="80" w:type="dxa"/>
              <w:bottom w:w="120" w:type="dxa"/>
              <w:end w:w="80" w:type="dxa"/>
            </w:tcMar>
            <w:vAlign w:val="center"/>
          </w:tcPr>
          <w:p>
            <w:pPr>
              <w:spacing w:line="240" w:lineRule="auto" w:after="0"/>
              <w:jc w:val="center"/>
            </w:pPr>
            <w:r>
              <w:rPr>
                <w:rFonts w:ascii="宋体" w:hAnsi="宋体" w:eastAsia="宋体"/>
                <w:b w:val="0"/>
                <w:sz w:val="21"/>
              </w:rPr>
              <w:t>5. 完整轨迹回放验收</w:t>
            </w:r>
          </w:p>
        </w:tc>
        <w:tc>
          <w:tcPr>
            <w:tcW w:type="dxa" w:w="2351"/>
            <w:shd w:fill="F5F5F5"/>
            <w:tcMar>
              <w:top w:w="120" w:type="dxa"/>
              <w:start w:w="80" w:type="dxa"/>
              <w:bottom w:w="120" w:type="dxa"/>
              <w:end w:w="80" w:type="dxa"/>
            </w:tcMar>
            <w:vAlign w:val="center"/>
          </w:tcPr>
          <w:p>
            <w:pPr>
              <w:spacing w:line="240" w:lineRule="auto" w:after="0"/>
              <w:jc w:val="center"/>
            </w:pPr>
            <w:r>
              <w:rPr>
                <w:rFonts w:ascii="宋体" w:hAnsi="宋体" w:eastAsia="宋体"/>
                <w:b w:val="0"/>
                <w:sz w:val="21"/>
              </w:rPr>
              <w:t>6. Checkpoint 筛选与 ONNX 导出</w:t>
            </w:r>
          </w:p>
        </w:tc>
        <w:tc>
          <w:tcPr>
            <w:tcW w:type="dxa" w:w="2351"/>
            <w:shd w:fill="F5F5F5"/>
            <w:tcMar>
              <w:top w:w="120" w:type="dxa"/>
              <w:start w:w="80" w:type="dxa"/>
              <w:bottom w:w="120" w:type="dxa"/>
              <w:end w:w="80" w:type="dxa"/>
            </w:tcMar>
            <w:vAlign w:val="center"/>
          </w:tcPr>
          <w:p>
            <w:pPr>
              <w:spacing w:line="240" w:lineRule="auto" w:after="0"/>
              <w:jc w:val="center"/>
            </w:pPr>
            <w:r>
              <w:rPr>
                <w:rFonts w:ascii="宋体" w:hAnsi="宋体" w:eastAsia="宋体"/>
                <w:b w:val="0"/>
                <w:sz w:val="21"/>
              </w:rPr>
              <w:t>7. MuJoCo/ROS sim2sim 验证</w:t>
            </w:r>
          </w:p>
        </w:tc>
        <w:tc>
          <w:tcPr>
            <w:tcW w:type="dxa" w:w="2351"/>
            <w:vAlign w:val="center"/>
          </w:tcPr>
          <w:p>
            <w:pPr>
              <w:spacing w:line="240" w:lineRule="auto" w:after="0"/>
              <w:jc w:val="center"/>
            </w:pPr>
            <w:r>
              <w:rPr>
                <w:rFonts w:ascii="宋体" w:hAnsi="宋体" w:eastAsia="宋体"/>
                <w:b w:val="0"/>
                <w:sz w:val="21"/>
              </w:rPr>
            </w:r>
          </w:p>
        </w:tc>
      </w:tr>
    </w:tbl>
    <w:p>
      <w:pPr>
        <w:spacing w:before="60" w:after="80"/>
        <w:jc w:val="center"/>
      </w:pPr>
      <w:r>
        <w:rPr>
          <w:rFonts w:ascii="宋体" w:hAnsi="宋体" w:eastAsia="宋体"/>
          <w:b w:val="0"/>
          <w:sz w:val="21"/>
        </w:rPr>
        <w:t>图1  人形机器人策略训练与验证的阶段性工作流程</w:t>
      </w:r>
    </w:p>
    <w:p>
      <w:pPr>
        <w:keepNext/>
        <w:spacing w:before="100" w:after="80" w:line="276" w:lineRule="auto"/>
      </w:pPr>
      <w:r>
        <w:rPr>
          <w:rFonts w:ascii="Noto Sans CJK SC" w:hAnsi="Noto Sans CJK SC" w:eastAsia="Noto Sans CJK SC"/>
          <w:b/>
          <w:sz w:val="27"/>
        </w:rPr>
        <w:t>3. 实践与调研总结</w:t>
      </w:r>
    </w:p>
    <w:p>
      <w:pPr>
        <w:spacing w:before="0" w:after="0" w:line="276" w:lineRule="auto"/>
        <w:ind w:firstLine="420"/>
        <w:jc w:val="both"/>
      </w:pPr>
      <w:r>
        <w:rPr>
          <w:rFonts w:ascii="宋体" w:hAnsi="宋体" w:eastAsia="宋体"/>
          <w:b w:val="0"/>
          <w:sz w:val="24"/>
        </w:rPr>
        <w:t>通过前五周实践，我对企业算法研发的理解由“模型能够运行”转向“流程能够稳定复现、结果能够量化验收、模型能够跨仿真环境部署”。例如，在 TienKung-Lab 中，训练指标不仅包括 mean reward，还需要结合回合长度、速度跟踪、姿态稳定性、关节控制和 AMP 指标判断策略质量；在 xMimic 中，仅观察视频中“动作能跑完”同样不足，还需要检查完整帧序列、骨盆 XY 漂移、身体与关节误差、终止条件和多随机种子表现。</w:t>
      </w:r>
    </w:p>
    <w:p>
      <w:pPr>
        <w:spacing w:before="0" w:after="0" w:line="276" w:lineRule="auto"/>
        <w:ind w:firstLine="420"/>
        <w:jc w:val="both"/>
      </w:pPr>
      <w:r>
        <w:rPr>
          <w:rFonts w:ascii="宋体" w:hAnsi="宋体" w:eastAsia="宋体"/>
          <w:b w:val="0"/>
          <w:sz w:val="24"/>
        </w:rPr>
        <w:t>工程运行中还暴露出依赖版本、GPU 驱动、Python 包搜索路径、动作身体名称映射、Actor 观测维度、关节顺序和控制节点启动顺序等问题。这些问题说明机器人算法开发具有明显的系统工程特征：数据、算法、仿真器和部署接口任何一处不一致，都可能使训练结果失真或在 sim2sim 中失效。因此我逐步建立了配置记录、哈希校验、日志归档、Git/Git LFS 版本管理和分阶段验收的工作习惯。</w:t>
      </w:r>
    </w:p>
    <w:p>
      <w:pPr>
        <w:keepNext/>
        <w:spacing w:before="160" w:after="80" w:line="276" w:lineRule="auto"/>
      </w:pPr>
      <w:r>
        <w:rPr>
          <w:rFonts w:ascii="Noto Sans CJK SC" w:hAnsi="Noto Sans CJK SC" w:eastAsia="Noto Sans CJK SC"/>
          <w:b/>
          <w:sz w:val="30"/>
        </w:rPr>
        <w:t>三、专题项目改善总结</w:t>
      </w:r>
    </w:p>
    <w:p>
      <w:pPr>
        <w:keepNext/>
        <w:spacing w:before="100" w:after="80" w:line="276" w:lineRule="auto"/>
      </w:pPr>
      <w:r>
        <w:rPr>
          <w:rFonts w:ascii="Noto Sans CJK SC" w:hAnsi="Noto Sans CJK SC" w:eastAsia="Noto Sans CJK SC"/>
          <w:b/>
          <w:sz w:val="27"/>
        </w:rPr>
        <w:t>1. 专题项目背景、范围与目标</w:t>
      </w:r>
    </w:p>
    <w:p>
      <w:pPr>
        <w:spacing w:before="0" w:after="0" w:line="276" w:lineRule="auto"/>
        <w:ind w:firstLine="420"/>
        <w:jc w:val="both"/>
      </w:pPr>
      <w:r>
        <w:rPr>
          <w:rFonts w:ascii="宋体" w:hAnsi="宋体" w:eastAsia="宋体"/>
          <w:b w:val="0"/>
          <w:sz w:val="24"/>
        </w:rPr>
        <w:t>中期阶段的个人专题项目可概括为“基于 xMimic 的人形机器人长时程全身动作模仿策略优化与 sim2sim 验证”。项目范围覆盖参考动作数据检查、Isaac Lab 并行训练、观测和奖励设计、完整轨迹评估、checkpoint 选择、ONNX 导出与 MuJoCo/ROS 闭环验证。阶段目标不是单纯提高训练 reward，而是使机器人在完整动作时域内保持动作连续、位置与姿态误差可控，并在名义工况和随机动力学条件下稳定执行。</w:t>
      </w:r>
    </w:p>
    <w:p>
      <w:pPr>
        <w:keepNext/>
        <w:spacing w:before="100" w:after="80" w:line="276" w:lineRule="auto"/>
      </w:pPr>
      <w:r>
        <w:rPr>
          <w:rFonts w:ascii="Noto Sans CJK SC" w:hAnsi="Noto Sans CJK SC" w:eastAsia="Noto Sans CJK SC"/>
          <w:b/>
          <w:sz w:val="27"/>
        </w:rPr>
        <w:t>2. 问题描述与结构化分析</w:t>
      </w:r>
    </w:p>
    <w:p>
      <w:pPr>
        <w:spacing w:before="0" w:after="0" w:line="276" w:lineRule="auto"/>
        <w:ind w:firstLine="420"/>
        <w:jc w:val="both"/>
      </w:pPr>
      <w:r>
        <w:rPr>
          <w:rFonts w:ascii="宋体" w:hAnsi="宋体" w:eastAsia="宋体"/>
          <w:b w:val="0"/>
          <w:sz w:val="24"/>
        </w:rPr>
        <w:t>该专题属于算法改进、实验优化与工程流程改善相结合的问题。需要决策的核心变量包括训练 episode 时域、参考动作起始采样方式、Actor 观测项、奖励项及权重、随机化设置和 checkpoint 选择；评价指标包括动作完成率、XY 位置误差 P95/最大值、身体位置误差、关节姿态误差、骨盆姿态误差、是否提前终止以及不同随机种子下的鲁棒性；约束条件包括 100 Hz 控制频率、固定关节和观测维度、仿真平台安全边界、动作文件时间长度以及训练端与部署端的接口一致性。</w:t>
      </w:r>
    </w:p>
    <w:tbl>
      <w:tblPr>
        <w:tblStyle w:val="TableGrid"/>
        <w:tblW w:type="auto" w:w="0"/>
        <w:jc w:val="center"/>
        <w:tblLayout w:type="fixed"/>
        <w:tblLook w:firstColumn="1" w:firstRow="1" w:lastColumn="0" w:lastRow="0" w:noHBand="0" w:noVBand="1" w:val="04A0"/>
      </w:tblPr>
      <w:tblGrid>
        <w:gridCol w:w="3135"/>
        <w:gridCol w:w="3135"/>
        <w:gridCol w:w="3135"/>
      </w:tblGrid>
      <w:tr>
        <w:trPr>
          <w:cantSplit/>
        </w:trPr>
        <w:tc>
          <w:tcPr>
            <w:tcW w:type="dxa" w:w="3135"/>
            <w:shd w:fill="D9EAF7"/>
            <w:tcMar>
              <w:top w:w="80" w:type="dxa"/>
              <w:start w:w="80" w:type="dxa"/>
              <w:bottom w:w="80" w:type="dxa"/>
              <w:end w:w="80" w:type="dxa"/>
            </w:tcMar>
          </w:tcPr>
          <w:p>
            <w:pPr>
              <w:jc w:val="center"/>
            </w:pPr>
            <w:r>
              <w:rPr>
                <w:rFonts w:ascii="宋体" w:hAnsi="宋体" w:eastAsia="宋体"/>
                <w:b/>
                <w:sz w:val="21"/>
              </w:rPr>
              <w:t>问题类别</w:t>
            </w:r>
          </w:p>
        </w:tc>
        <w:tc>
          <w:tcPr>
            <w:tcW w:type="dxa" w:w="3135"/>
            <w:shd w:fill="D9EAF7"/>
            <w:tcMar>
              <w:top w:w="80" w:type="dxa"/>
              <w:start w:w="80" w:type="dxa"/>
              <w:bottom w:w="80" w:type="dxa"/>
              <w:end w:w="80" w:type="dxa"/>
            </w:tcMar>
          </w:tcPr>
          <w:p>
            <w:pPr>
              <w:jc w:val="center"/>
            </w:pPr>
            <w:r>
              <w:rPr>
                <w:rFonts w:ascii="宋体" w:hAnsi="宋体" w:eastAsia="宋体"/>
                <w:b/>
                <w:sz w:val="21"/>
              </w:rPr>
              <w:t>典型表现</w:t>
            </w:r>
          </w:p>
        </w:tc>
        <w:tc>
          <w:tcPr>
            <w:tcW w:type="dxa" w:w="3135"/>
            <w:shd w:fill="D9EAF7"/>
            <w:tcMar>
              <w:top w:w="80" w:type="dxa"/>
              <w:start w:w="80" w:type="dxa"/>
              <w:bottom w:w="80" w:type="dxa"/>
              <w:end w:w="80" w:type="dxa"/>
            </w:tcMar>
          </w:tcPr>
          <w:p>
            <w:pPr>
              <w:jc w:val="center"/>
            </w:pPr>
            <w:r>
              <w:rPr>
                <w:rFonts w:ascii="宋体" w:hAnsi="宋体" w:eastAsia="宋体"/>
                <w:b/>
                <w:sz w:val="21"/>
              </w:rPr>
              <w:t>对应改善方向</w:t>
            </w:r>
          </w:p>
        </w:tc>
      </w:tr>
      <w:tr>
        <w:trPr>
          <w:cantSplit/>
        </w:trPr>
        <w:tc>
          <w:tcPr>
            <w:tcW w:type="dxa" w:w="3135"/>
            <w:tcMar>
              <w:top w:w="80" w:type="dxa"/>
              <w:start w:w="80" w:type="dxa"/>
              <w:bottom w:w="80" w:type="dxa"/>
              <w:end w:w="80" w:type="dxa"/>
            </w:tcMar>
          </w:tcPr>
          <w:p>
            <w:pPr>
              <w:spacing w:line="240" w:lineRule="auto" w:after="0"/>
              <w:jc w:val="both"/>
            </w:pPr>
            <w:r>
              <w:rPr>
                <w:rFonts w:ascii="宋体" w:hAnsi="宋体" w:eastAsia="宋体"/>
                <w:b w:val="0"/>
                <w:sz w:val="21"/>
              </w:rPr>
              <w:t>数据/接口一致性</w:t>
            </w:r>
          </w:p>
        </w:tc>
        <w:tc>
          <w:tcPr>
            <w:tcW w:type="dxa" w:w="3135"/>
            <w:tcMar>
              <w:top w:w="80" w:type="dxa"/>
              <w:start w:w="80" w:type="dxa"/>
              <w:bottom w:w="80" w:type="dxa"/>
              <w:end w:w="80" w:type="dxa"/>
            </w:tcMar>
          </w:tcPr>
          <w:p>
            <w:pPr>
              <w:spacing w:line="240" w:lineRule="auto" w:after="0"/>
              <w:jc w:val="both"/>
            </w:pPr>
            <w:r>
              <w:rPr>
                <w:rFonts w:ascii="宋体" w:hAnsi="宋体" w:eastAsia="宋体"/>
                <w:b w:val="0"/>
                <w:sz w:val="21"/>
              </w:rPr>
              <w:t>动作 body 索引错位、130/133 维观测不一致、23 个策略关节与 29 个 MuJoCo 电机映射差异</w:t>
            </w:r>
          </w:p>
        </w:tc>
        <w:tc>
          <w:tcPr>
            <w:tcW w:type="dxa" w:w="3135"/>
            <w:tcMar>
              <w:top w:w="80" w:type="dxa"/>
              <w:start w:w="80" w:type="dxa"/>
              <w:bottom w:w="80" w:type="dxa"/>
              <w:end w:w="80" w:type="dxa"/>
            </w:tcMar>
          </w:tcPr>
          <w:p>
            <w:pPr>
              <w:spacing w:line="240" w:lineRule="auto" w:after="0"/>
              <w:jc w:val="both"/>
            </w:pPr>
            <w:r>
              <w:rPr>
                <w:rFonts w:ascii="宋体" w:hAnsi="宋体" w:eastAsia="宋体"/>
                <w:b w:val="0"/>
                <w:sz w:val="21"/>
              </w:rPr>
              <w:t>按名称映射、维度校验、文件哈希和部署接口逐项核对</w:t>
            </w:r>
          </w:p>
        </w:tc>
      </w:tr>
      <w:tr>
        <w:trPr>
          <w:cantSplit/>
        </w:trPr>
        <w:tc>
          <w:tcPr>
            <w:tcW w:type="dxa" w:w="3135"/>
            <w:tcMar>
              <w:top w:w="80" w:type="dxa"/>
              <w:start w:w="80" w:type="dxa"/>
              <w:bottom w:w="80" w:type="dxa"/>
              <w:end w:w="80" w:type="dxa"/>
            </w:tcMar>
          </w:tcPr>
          <w:p>
            <w:pPr>
              <w:spacing w:line="240" w:lineRule="auto" w:after="0"/>
              <w:jc w:val="both"/>
            </w:pPr>
            <w:r>
              <w:rPr>
                <w:rFonts w:ascii="宋体" w:hAnsi="宋体" w:eastAsia="宋体"/>
                <w:b w:val="0"/>
                <w:sz w:val="21"/>
              </w:rPr>
              <w:t>长时程稳定性</w:t>
            </w:r>
          </w:p>
        </w:tc>
        <w:tc>
          <w:tcPr>
            <w:tcW w:type="dxa" w:w="3135"/>
            <w:tcMar>
              <w:top w:w="80" w:type="dxa"/>
              <w:start w:w="80" w:type="dxa"/>
              <w:bottom w:w="80" w:type="dxa"/>
              <w:end w:w="80" w:type="dxa"/>
            </w:tcMar>
          </w:tcPr>
          <w:p>
            <w:pPr>
              <w:spacing w:line="240" w:lineRule="auto" w:after="0"/>
              <w:jc w:val="both"/>
            </w:pPr>
            <w:r>
              <w:rPr>
                <w:rFonts w:ascii="宋体" w:hAnsi="宋体" w:eastAsia="宋体"/>
                <w:b w:val="0"/>
                <w:sz w:val="21"/>
              </w:rPr>
              <w:t>短 episode 训练后完整动作出现 XY 累计漂移，MuJoCo 长时间运行失稳</w:t>
            </w:r>
          </w:p>
        </w:tc>
        <w:tc>
          <w:tcPr>
            <w:tcW w:type="dxa" w:w="3135"/>
            <w:tcMar>
              <w:top w:w="80" w:type="dxa"/>
              <w:start w:w="80" w:type="dxa"/>
              <w:bottom w:w="80" w:type="dxa"/>
              <w:end w:w="80" w:type="dxa"/>
            </w:tcMar>
          </w:tcPr>
          <w:p>
            <w:pPr>
              <w:spacing w:line="240" w:lineRule="auto" w:after="0"/>
              <w:jc w:val="both"/>
            </w:pPr>
            <w:r>
              <w:rPr>
                <w:rFonts w:ascii="宋体" w:hAnsi="宋体" w:eastAsia="宋体"/>
                <w:b w:val="0"/>
                <w:sz w:val="21"/>
              </w:rPr>
              <w:t>采用 5→10→20→完整时域训练并开展全轨迹验收</w:t>
            </w:r>
          </w:p>
        </w:tc>
      </w:tr>
      <w:tr>
        <w:trPr>
          <w:cantSplit/>
        </w:trPr>
        <w:tc>
          <w:tcPr>
            <w:tcW w:type="dxa" w:w="3135"/>
            <w:tcMar>
              <w:top w:w="80" w:type="dxa"/>
              <w:start w:w="80" w:type="dxa"/>
              <w:bottom w:w="80" w:type="dxa"/>
              <w:end w:w="80" w:type="dxa"/>
            </w:tcMar>
          </w:tcPr>
          <w:p>
            <w:pPr>
              <w:spacing w:line="240" w:lineRule="auto" w:after="0"/>
              <w:jc w:val="both"/>
            </w:pPr>
            <w:r>
              <w:rPr>
                <w:rFonts w:ascii="宋体" w:hAnsi="宋体" w:eastAsia="宋体"/>
                <w:b w:val="0"/>
                <w:sz w:val="21"/>
              </w:rPr>
              <w:t>目标权衡</w:t>
            </w:r>
          </w:p>
        </w:tc>
        <w:tc>
          <w:tcPr>
            <w:tcW w:type="dxa" w:w="3135"/>
            <w:tcMar>
              <w:top w:w="80" w:type="dxa"/>
              <w:start w:w="80" w:type="dxa"/>
              <w:bottom w:w="80" w:type="dxa"/>
              <w:end w:w="80" w:type="dxa"/>
            </w:tcMar>
          </w:tcPr>
          <w:p>
            <w:pPr>
              <w:spacing w:line="240" w:lineRule="auto" w:after="0"/>
              <w:jc w:val="both"/>
            </w:pPr>
            <w:r>
              <w:rPr>
                <w:rFonts w:ascii="宋体" w:hAnsi="宋体" w:eastAsia="宋体"/>
                <w:b w:val="0"/>
                <w:sz w:val="21"/>
              </w:rPr>
              <w:t>加强骨盆路径跟踪后可能牺牲局部关节动作保真</w:t>
            </w:r>
          </w:p>
        </w:tc>
        <w:tc>
          <w:tcPr>
            <w:tcW w:type="dxa" w:w="3135"/>
            <w:tcMar>
              <w:top w:w="80" w:type="dxa"/>
              <w:start w:w="80" w:type="dxa"/>
              <w:bottom w:w="80" w:type="dxa"/>
              <w:end w:w="80" w:type="dxa"/>
            </w:tcMar>
          </w:tcPr>
          <w:p>
            <w:pPr>
              <w:spacing w:line="240" w:lineRule="auto" w:after="0"/>
              <w:jc w:val="both"/>
            </w:pPr>
            <w:r>
              <w:rPr>
                <w:rFonts w:ascii="宋体" w:hAnsi="宋体" w:eastAsia="宋体"/>
                <w:b w:val="0"/>
                <w:sz w:val="21"/>
              </w:rPr>
              <w:t>增加关节位置保真奖励并基于多指标选择 checkpoint</w:t>
            </w:r>
          </w:p>
        </w:tc>
      </w:tr>
      <w:tr>
        <w:trPr>
          <w:cantSplit/>
        </w:trPr>
        <w:tc>
          <w:tcPr>
            <w:tcW w:type="dxa" w:w="3135"/>
            <w:tcMar>
              <w:top w:w="80" w:type="dxa"/>
              <w:start w:w="80" w:type="dxa"/>
              <w:bottom w:w="80" w:type="dxa"/>
              <w:end w:w="80" w:type="dxa"/>
            </w:tcMar>
          </w:tcPr>
          <w:p>
            <w:pPr>
              <w:spacing w:line="240" w:lineRule="auto" w:after="0"/>
              <w:jc w:val="both"/>
            </w:pPr>
            <w:r>
              <w:rPr>
                <w:rFonts w:ascii="宋体" w:hAnsi="宋体" w:eastAsia="宋体"/>
                <w:b w:val="0"/>
                <w:sz w:val="21"/>
              </w:rPr>
              <w:t>结果选择</w:t>
            </w:r>
          </w:p>
        </w:tc>
        <w:tc>
          <w:tcPr>
            <w:tcW w:type="dxa" w:w="3135"/>
            <w:tcMar>
              <w:top w:w="80" w:type="dxa"/>
              <w:start w:w="80" w:type="dxa"/>
              <w:bottom w:w="80" w:type="dxa"/>
              <w:end w:w="80" w:type="dxa"/>
            </w:tcMar>
          </w:tcPr>
          <w:p>
            <w:pPr>
              <w:spacing w:line="240" w:lineRule="auto" w:after="0"/>
              <w:jc w:val="both"/>
            </w:pPr>
            <w:r>
              <w:rPr>
                <w:rFonts w:ascii="宋体" w:hAnsi="宋体" w:eastAsia="宋体"/>
                <w:b w:val="0"/>
                <w:sz w:val="21"/>
              </w:rPr>
              <w:t>训练曲线稳定或最后一轮模型不一定具有最优确定性回放</w:t>
            </w:r>
          </w:p>
        </w:tc>
        <w:tc>
          <w:tcPr>
            <w:tcW w:type="dxa" w:w="3135"/>
            <w:tcMar>
              <w:top w:w="80" w:type="dxa"/>
              <w:start w:w="80" w:type="dxa"/>
              <w:bottom w:w="80" w:type="dxa"/>
              <w:end w:w="80" w:type="dxa"/>
            </w:tcMar>
          </w:tcPr>
          <w:p>
            <w:pPr>
              <w:spacing w:line="240" w:lineRule="auto" w:after="0"/>
              <w:jc w:val="both"/>
            </w:pPr>
            <w:r>
              <w:rPr>
                <w:rFonts w:ascii="宋体" w:hAnsi="宋体" w:eastAsia="宋体"/>
                <w:b w:val="0"/>
                <w:sz w:val="21"/>
              </w:rPr>
              <w:t>用固定协议、多种子、完整动作指标进行模型筛选</w:t>
            </w:r>
          </w:p>
        </w:tc>
      </w:tr>
    </w:tbl>
    <w:p>
      <w:pPr>
        <w:keepNext/>
        <w:spacing w:before="100" w:after="80" w:line="276" w:lineRule="auto"/>
      </w:pPr>
      <w:r>
        <w:rPr>
          <w:rFonts w:ascii="Noto Sans CJK SC" w:hAnsi="Noto Sans CJK SC" w:eastAsia="Noto Sans CJK SC"/>
          <w:b/>
          <w:sz w:val="27"/>
        </w:rPr>
        <w:t>3. 调研与解决方案形成过程</w:t>
      </w:r>
    </w:p>
    <w:p>
      <w:pPr>
        <w:spacing w:before="0" w:after="0" w:line="276" w:lineRule="auto"/>
        <w:ind w:firstLine="420"/>
        <w:jc w:val="both"/>
      </w:pPr>
      <w:r>
        <w:rPr>
          <w:rFonts w:ascii="宋体" w:hAnsi="宋体" w:eastAsia="宋体"/>
          <w:b w:val="0"/>
          <w:sz w:val="24"/>
        </w:rPr>
        <w:t>第二、三周我从 TienKung-Lab 的实际训练代码出发，系统梳理 PPO、GAE、AMP、Actor-Critic、rollout storage、奖励计算以及模型导出流程，并通过 1024 环境的 walk 正式训练将算法概念和工程实现对应起来。随后切换到 xMimic，重点分析 MotionLoader、MotionCommand、ObservationManager、RewardManager 和 PPO Runner 的调用关系，理解参考动作条件输入、非对称 Actor-Critic 观测、执行器延迟、域随机化与提前终止机制。该过程为后续问题定位提供了代码级依据。</w:t>
      </w:r>
    </w:p>
    <w:p>
      <w:pPr>
        <w:spacing w:before="0" w:after="0" w:line="276" w:lineRule="auto"/>
        <w:ind w:firstLine="420"/>
        <w:jc w:val="both"/>
      </w:pPr>
      <w:r>
        <w:rPr>
          <w:rFonts w:ascii="宋体" w:hAnsi="宋体" w:eastAsia="宋体"/>
          <w:b w:val="0"/>
          <w:sz w:val="24"/>
        </w:rPr>
        <w:t>在 dance1 实验中，首先修复动作文件身体索引与运行时机器人连杆可能错位的问题，通过 body_names 按名称解析，并增加缺失名称、重复名称、索引越界和帧率检查。之后针对 39.72 s 动作在 5 s episode 下长期漂移的问题，构建 5 s、10 s、20 s 和 39.72 s 的分阶段训练；建立 State-Feedback 路线，将参考骨盆相对位置和基座线速度加入 Actor，使观测从 124 维扩展至 130 维；同时增加骨盆世界坐标 XY 位置、XY 速度及关节位置保真奖励。</w:t>
      </w:r>
    </w:p>
    <w:p>
      <w:pPr>
        <w:spacing w:before="0" w:after="0" w:line="276" w:lineRule="auto"/>
        <w:ind w:firstLine="420"/>
        <w:jc w:val="both"/>
      </w:pPr>
      <w:r>
        <w:rPr>
          <w:rFonts w:ascii="宋体" w:hAnsi="宋体" w:eastAsia="宋体"/>
          <w:b w:val="0"/>
          <w:sz w:val="24"/>
        </w:rPr>
        <w:t>模型选择阶段不再以最后一次迭代为唯一依据，而是使用完整动作和多随机种子进行严格验收。第五周在 dance2 和 weibst 上进一步验证了这一思路：dance2 初始模型在 Isaac Lab 中看似正常，但 MuJoCo 运行约一分钟后失稳，因此继续完整时域训练并重新筛选 checkpoint；weibst 则明确保留“能够完成动作但部分精度指标未达门槛”的结论，避免把完成率等同于可部署性。</w:t>
      </w:r>
    </w:p>
    <w:p>
      <w:pPr>
        <w:keepNext/>
        <w:spacing w:before="100" w:after="80" w:line="276" w:lineRule="auto"/>
      </w:pPr>
      <w:r>
        <w:rPr>
          <w:rFonts w:ascii="Noto Sans CJK SC" w:hAnsi="Noto Sans CJK SC" w:eastAsia="Noto Sans CJK SC"/>
          <w:b/>
          <w:sz w:val="27"/>
        </w:rPr>
        <w:t>4. 阶段性实施结果与改进效果</w:t>
      </w:r>
    </w:p>
    <w:tbl>
      <w:tblPr>
        <w:tblStyle w:val="TableGrid"/>
        <w:tblW w:type="auto" w:w="0"/>
        <w:jc w:val="center"/>
        <w:tblLayout w:type="fixed"/>
        <w:tblLook w:firstColumn="1" w:firstRow="1" w:lastColumn="0" w:lastRow="0" w:noHBand="0" w:noVBand="1" w:val="04A0"/>
      </w:tblPr>
      <w:tblGrid>
        <w:gridCol w:w="3135"/>
        <w:gridCol w:w="3135"/>
        <w:gridCol w:w="3135"/>
      </w:tblGrid>
      <w:tr>
        <w:trPr>
          <w:cantSplit/>
        </w:trPr>
        <w:tc>
          <w:tcPr>
            <w:tcW w:type="dxa" w:w="3135"/>
            <w:shd w:fill="D9EAF7"/>
            <w:tcMar>
              <w:top w:w="80" w:type="dxa"/>
              <w:start w:w="80" w:type="dxa"/>
              <w:bottom w:w="80" w:type="dxa"/>
              <w:end w:w="80" w:type="dxa"/>
            </w:tcMar>
          </w:tcPr>
          <w:p>
            <w:pPr>
              <w:jc w:val="center"/>
            </w:pPr>
            <w:r>
              <w:rPr>
                <w:rFonts w:ascii="宋体" w:hAnsi="宋体" w:eastAsia="宋体"/>
                <w:b/>
                <w:sz w:val="21"/>
              </w:rPr>
              <w:t>对象</w:t>
            </w:r>
          </w:p>
        </w:tc>
        <w:tc>
          <w:tcPr>
            <w:tcW w:type="dxa" w:w="3135"/>
            <w:shd w:fill="D9EAF7"/>
            <w:tcMar>
              <w:top w:w="80" w:type="dxa"/>
              <w:start w:w="80" w:type="dxa"/>
              <w:bottom w:w="80" w:type="dxa"/>
              <w:end w:w="80" w:type="dxa"/>
            </w:tcMar>
          </w:tcPr>
          <w:p>
            <w:pPr>
              <w:jc w:val="center"/>
            </w:pPr>
            <w:r>
              <w:rPr>
                <w:rFonts w:ascii="宋体" w:hAnsi="宋体" w:eastAsia="宋体"/>
                <w:b/>
                <w:sz w:val="21"/>
              </w:rPr>
              <w:t>规模/时域</w:t>
            </w:r>
          </w:p>
        </w:tc>
        <w:tc>
          <w:tcPr>
            <w:tcW w:type="dxa" w:w="3135"/>
            <w:shd w:fill="D9EAF7"/>
            <w:tcMar>
              <w:top w:w="80" w:type="dxa"/>
              <w:start w:w="80" w:type="dxa"/>
              <w:bottom w:w="80" w:type="dxa"/>
              <w:end w:w="80" w:type="dxa"/>
            </w:tcMar>
          </w:tcPr>
          <w:p>
            <w:pPr>
              <w:jc w:val="center"/>
            </w:pPr>
            <w:r>
              <w:rPr>
                <w:rFonts w:ascii="宋体" w:hAnsi="宋体" w:eastAsia="宋体"/>
                <w:b/>
                <w:sz w:val="21"/>
              </w:rPr>
              <w:t>阶段性结果</w:t>
            </w:r>
          </w:p>
        </w:tc>
      </w:tr>
      <w:tr>
        <w:trPr>
          <w:cantSplit/>
        </w:trPr>
        <w:tc>
          <w:tcPr>
            <w:tcW w:type="dxa" w:w="3135"/>
            <w:tcMar>
              <w:top w:w="80" w:type="dxa"/>
              <w:start w:w="80" w:type="dxa"/>
              <w:bottom w:w="80" w:type="dxa"/>
              <w:end w:w="80" w:type="dxa"/>
            </w:tcMar>
          </w:tcPr>
          <w:p>
            <w:pPr>
              <w:spacing w:line="240" w:lineRule="auto" w:after="0"/>
              <w:jc w:val="center"/>
            </w:pPr>
            <w:r>
              <w:rPr>
                <w:rFonts w:ascii="宋体" w:hAnsi="宋体" w:eastAsia="宋体"/>
                <w:b w:val="0"/>
                <w:sz w:val="21"/>
              </w:rPr>
              <w:t>TienKung walk</w:t>
            </w:r>
          </w:p>
        </w:tc>
        <w:tc>
          <w:tcPr>
            <w:tcW w:type="dxa" w:w="3135"/>
            <w:tcMar>
              <w:top w:w="80" w:type="dxa"/>
              <w:start w:w="80" w:type="dxa"/>
              <w:bottom w:w="80" w:type="dxa"/>
              <w:end w:w="80" w:type="dxa"/>
            </w:tcMar>
          </w:tcPr>
          <w:p>
            <w:pPr>
              <w:spacing w:line="240" w:lineRule="auto" w:after="0"/>
              <w:jc w:val="center"/>
            </w:pPr>
            <w:r>
              <w:rPr>
                <w:rFonts w:ascii="宋体" w:hAnsi="宋体" w:eastAsia="宋体"/>
                <w:b w:val="0"/>
                <w:sz w:val="21"/>
              </w:rPr>
              <w:t>1024 环境、50000 次迭代</w:t>
            </w:r>
          </w:p>
        </w:tc>
        <w:tc>
          <w:tcPr>
            <w:tcW w:type="dxa" w:w="3135"/>
            <w:tcMar>
              <w:top w:w="80" w:type="dxa"/>
              <w:start w:w="80" w:type="dxa"/>
              <w:bottom w:w="80" w:type="dxa"/>
              <w:end w:w="80" w:type="dxa"/>
            </w:tcMar>
          </w:tcPr>
          <w:p>
            <w:pPr>
              <w:spacing w:line="240" w:lineRule="auto" w:after="0"/>
              <w:jc w:val="both"/>
            </w:pPr>
            <w:r>
              <w:rPr>
                <w:rFonts w:ascii="宋体" w:hAnsi="宋体" w:eastAsia="宋体"/>
                <w:b w:val="0"/>
                <w:sz w:val="21"/>
              </w:rPr>
              <w:t>完成训练闭环；掌握 PPO/GAE/AMP 与回放、导出、sim2sim 流程。</w:t>
            </w:r>
          </w:p>
        </w:tc>
      </w:tr>
      <w:tr>
        <w:trPr>
          <w:cantSplit/>
        </w:trPr>
        <w:tc>
          <w:tcPr>
            <w:tcW w:type="dxa" w:w="3135"/>
            <w:tcMar>
              <w:top w:w="80" w:type="dxa"/>
              <w:start w:w="80" w:type="dxa"/>
              <w:bottom w:w="80" w:type="dxa"/>
              <w:end w:w="80" w:type="dxa"/>
            </w:tcMar>
          </w:tcPr>
          <w:p>
            <w:pPr>
              <w:spacing w:line="240" w:lineRule="auto" w:after="0"/>
              <w:jc w:val="center"/>
            </w:pPr>
            <w:r>
              <w:rPr>
                <w:rFonts w:ascii="宋体" w:hAnsi="宋体" w:eastAsia="宋体"/>
                <w:b w:val="0"/>
                <w:sz w:val="21"/>
              </w:rPr>
              <w:t>dance1</w:t>
            </w:r>
          </w:p>
        </w:tc>
        <w:tc>
          <w:tcPr>
            <w:tcW w:type="dxa" w:w="3135"/>
            <w:tcMar>
              <w:top w:w="80" w:type="dxa"/>
              <w:start w:w="80" w:type="dxa"/>
              <w:bottom w:w="80" w:type="dxa"/>
              <w:end w:w="80" w:type="dxa"/>
            </w:tcMar>
          </w:tcPr>
          <w:p>
            <w:pPr>
              <w:spacing w:line="240" w:lineRule="auto" w:after="0"/>
              <w:jc w:val="center"/>
            </w:pPr>
            <w:r>
              <w:rPr>
                <w:rFonts w:ascii="宋体" w:hAnsi="宋体" w:eastAsia="宋体"/>
                <w:b w:val="0"/>
                <w:sz w:val="21"/>
              </w:rPr>
              <w:t>3972 帧，39.72 s</w:t>
            </w:r>
          </w:p>
        </w:tc>
        <w:tc>
          <w:tcPr>
            <w:tcW w:type="dxa" w:w="3135"/>
            <w:tcMar>
              <w:top w:w="80" w:type="dxa"/>
              <w:start w:w="80" w:type="dxa"/>
              <w:bottom w:w="80" w:type="dxa"/>
              <w:end w:w="80" w:type="dxa"/>
            </w:tcMar>
          </w:tcPr>
          <w:p>
            <w:pPr>
              <w:spacing w:line="240" w:lineRule="auto" w:after="0"/>
              <w:jc w:val="both"/>
            </w:pPr>
            <w:r>
              <w:rPr>
                <w:rFonts w:ascii="宋体" w:hAnsi="宋体" w:eastAsia="宋体"/>
                <w:b w:val="0"/>
                <w:sz w:val="21"/>
              </w:rPr>
              <w:t>最终名义 seed42 与随机 seed0/1/2 共 4/4 PASS；四工况平均 XY P95 从 0.8111 m 降至 0.1848 m，改善约 77.2%。</w:t>
            </w:r>
          </w:p>
        </w:tc>
      </w:tr>
      <w:tr>
        <w:trPr>
          <w:cantSplit/>
        </w:trPr>
        <w:tc>
          <w:tcPr>
            <w:tcW w:type="dxa" w:w="3135"/>
            <w:tcMar>
              <w:top w:w="80" w:type="dxa"/>
              <w:start w:w="80" w:type="dxa"/>
              <w:bottom w:w="80" w:type="dxa"/>
              <w:end w:w="80" w:type="dxa"/>
            </w:tcMar>
          </w:tcPr>
          <w:p>
            <w:pPr>
              <w:spacing w:line="240" w:lineRule="auto" w:after="0"/>
              <w:jc w:val="center"/>
            </w:pPr>
            <w:r>
              <w:rPr>
                <w:rFonts w:ascii="宋体" w:hAnsi="宋体" w:eastAsia="宋体"/>
                <w:b w:val="0"/>
                <w:sz w:val="21"/>
              </w:rPr>
              <w:t>dance2_medium</w:t>
            </w:r>
          </w:p>
        </w:tc>
        <w:tc>
          <w:tcPr>
            <w:tcW w:type="dxa" w:w="3135"/>
            <w:tcMar>
              <w:top w:w="80" w:type="dxa"/>
              <w:start w:w="80" w:type="dxa"/>
              <w:bottom w:w="80" w:type="dxa"/>
              <w:end w:w="80" w:type="dxa"/>
            </w:tcMar>
          </w:tcPr>
          <w:p>
            <w:pPr>
              <w:spacing w:line="240" w:lineRule="auto" w:after="0"/>
              <w:jc w:val="center"/>
            </w:pPr>
            <w:r>
              <w:rPr>
                <w:rFonts w:ascii="宋体" w:hAnsi="宋体" w:eastAsia="宋体"/>
                <w:b w:val="0"/>
                <w:sz w:val="21"/>
              </w:rPr>
              <w:t>10299 帧，102.99 s</w:t>
            </w:r>
          </w:p>
        </w:tc>
        <w:tc>
          <w:tcPr>
            <w:tcW w:type="dxa" w:w="3135"/>
            <w:tcMar>
              <w:top w:w="80" w:type="dxa"/>
              <w:start w:w="80" w:type="dxa"/>
              <w:bottom w:w="80" w:type="dxa"/>
              <w:end w:w="80" w:type="dxa"/>
            </w:tcMar>
          </w:tcPr>
          <w:p>
            <w:pPr>
              <w:spacing w:line="240" w:lineRule="auto" w:after="0"/>
              <w:jc w:val="both"/>
            </w:pPr>
            <w:r>
              <w:rPr>
                <w:rFonts w:ascii="宋体" w:hAnsi="宋体" w:eastAsia="宋体"/>
                <w:b w:val="0"/>
                <w:sz w:val="21"/>
              </w:rPr>
              <w:t>完整时域续训后 model_11500 四工况均完成全轨迹；seed1 XY P95 从 4.763 m 降至 0.213 m，最大误差 0.264 m。</w:t>
            </w:r>
          </w:p>
        </w:tc>
      </w:tr>
      <w:tr>
        <w:trPr>
          <w:cantSplit/>
        </w:trPr>
        <w:tc>
          <w:tcPr>
            <w:tcW w:type="dxa" w:w="3135"/>
            <w:tcMar>
              <w:top w:w="80" w:type="dxa"/>
              <w:start w:w="80" w:type="dxa"/>
              <w:bottom w:w="80" w:type="dxa"/>
              <w:end w:w="80" w:type="dxa"/>
            </w:tcMar>
          </w:tcPr>
          <w:p>
            <w:pPr>
              <w:spacing w:line="240" w:lineRule="auto" w:after="0"/>
              <w:jc w:val="center"/>
            </w:pPr>
            <w:r>
              <w:rPr>
                <w:rFonts w:ascii="宋体" w:hAnsi="宋体" w:eastAsia="宋体"/>
                <w:b w:val="0"/>
                <w:sz w:val="21"/>
              </w:rPr>
              <w:t>weibst_hard</w:t>
            </w:r>
          </w:p>
        </w:tc>
        <w:tc>
          <w:tcPr>
            <w:tcW w:type="dxa" w:w="3135"/>
            <w:tcMar>
              <w:top w:w="80" w:type="dxa"/>
              <w:start w:w="80" w:type="dxa"/>
              <w:bottom w:w="80" w:type="dxa"/>
              <w:end w:w="80" w:type="dxa"/>
            </w:tcMar>
          </w:tcPr>
          <w:p>
            <w:pPr>
              <w:spacing w:line="240" w:lineRule="auto" w:after="0"/>
              <w:jc w:val="center"/>
            </w:pPr>
            <w:r>
              <w:rPr>
                <w:rFonts w:ascii="宋体" w:hAnsi="宋体" w:eastAsia="宋体"/>
                <w:b w:val="0"/>
                <w:sz w:val="21"/>
              </w:rPr>
              <w:t>1327 帧，13.27 s</w:t>
            </w:r>
          </w:p>
        </w:tc>
        <w:tc>
          <w:tcPr>
            <w:tcW w:type="dxa" w:w="3135"/>
            <w:tcMar>
              <w:top w:w="80" w:type="dxa"/>
              <w:start w:w="80" w:type="dxa"/>
              <w:bottom w:w="80" w:type="dxa"/>
              <w:end w:w="80" w:type="dxa"/>
            </w:tcMar>
          </w:tcPr>
          <w:p>
            <w:pPr>
              <w:spacing w:line="240" w:lineRule="auto" w:after="0"/>
              <w:jc w:val="both"/>
            </w:pPr>
            <w:r>
              <w:rPr>
                <w:rFonts w:ascii="宋体" w:hAnsi="宋体" w:eastAsia="宋体"/>
                <w:b w:val="0"/>
                <w:sz w:val="21"/>
              </w:rPr>
              <w:t>40000+10000 轮训练后四工况均完整执行且无倒地/越界/NaN；综合跟踪分数改善 14.17%，但部分严格精度指标仍未达标。</w:t>
            </w:r>
          </w:p>
        </w:tc>
      </w:tr>
      <w:tr>
        <w:trPr>
          <w:cantSplit/>
        </w:trPr>
        <w:tc>
          <w:tcPr>
            <w:tcW w:type="dxa" w:w="3135"/>
            <w:tcMar>
              <w:top w:w="80" w:type="dxa"/>
              <w:start w:w="80" w:type="dxa"/>
              <w:bottom w:w="80" w:type="dxa"/>
              <w:end w:w="80" w:type="dxa"/>
            </w:tcMar>
          </w:tcPr>
          <w:p>
            <w:pPr>
              <w:spacing w:line="240" w:lineRule="auto" w:after="0"/>
              <w:jc w:val="center"/>
            </w:pPr>
            <w:r>
              <w:rPr>
                <w:rFonts w:ascii="宋体" w:hAnsi="宋体" w:eastAsia="宋体"/>
                <w:b w:val="0"/>
                <w:sz w:val="21"/>
              </w:rPr>
              <w:t>sim2sim 与新动作链路</w:t>
            </w:r>
          </w:p>
        </w:tc>
        <w:tc>
          <w:tcPr>
            <w:tcW w:type="dxa" w:w="3135"/>
            <w:tcMar>
              <w:top w:w="80" w:type="dxa"/>
              <w:start w:w="80" w:type="dxa"/>
              <w:bottom w:w="80" w:type="dxa"/>
              <w:end w:w="80" w:type="dxa"/>
            </w:tcMar>
          </w:tcPr>
          <w:p>
            <w:pPr>
              <w:spacing w:line="240" w:lineRule="auto" w:after="0"/>
              <w:jc w:val="center"/>
            </w:pPr>
            <w:r>
              <w:rPr>
                <w:rFonts w:ascii="宋体" w:hAnsi="宋体" w:eastAsia="宋体"/>
                <w:b w:val="0"/>
                <w:sz w:val="21"/>
              </w:rPr>
              <w:t>ROS 2 + MuJoCo；LAFAN1/xGMR</w:t>
            </w:r>
          </w:p>
        </w:tc>
        <w:tc>
          <w:tcPr>
            <w:tcW w:type="dxa" w:w="3135"/>
            <w:tcMar>
              <w:top w:w="80" w:type="dxa"/>
              <w:start w:w="80" w:type="dxa"/>
              <w:bottom w:w="80" w:type="dxa"/>
              <w:end w:w="80" w:type="dxa"/>
            </w:tcMar>
          </w:tcPr>
          <w:p>
            <w:pPr>
              <w:spacing w:line="240" w:lineRule="auto" w:after="0"/>
              <w:jc w:val="both"/>
            </w:pPr>
            <w:r>
              <w:rPr>
                <w:rFonts w:ascii="宋体" w:hAnsi="宋体" w:eastAsia="宋体"/>
                <w:b w:val="0"/>
                <w:sz w:val="21"/>
              </w:rPr>
              <w:t>weibst 完成 15 s 闭环测试并保持直立；完成 1837 帧、18.36 s 起身动作数据，64 环境冒烟通过并启动 4096 环境正式训练。</w:t>
            </w:r>
          </w:p>
        </w:tc>
      </w:tr>
    </w:tbl>
    <w:p>
      <w:pPr>
        <w:keepNext/>
        <w:spacing w:before="100" w:after="80" w:line="276" w:lineRule="auto"/>
      </w:pPr>
      <w:r>
        <w:rPr>
          <w:rFonts w:ascii="Noto Sans CJK SC" w:hAnsi="Noto Sans CJK SC" w:eastAsia="Noto Sans CJK SC"/>
          <w:b/>
          <w:sz w:val="27"/>
        </w:rPr>
        <w:t>5. 当前不足与后续改进思路</w:t>
      </w:r>
    </w:p>
    <w:p>
      <w:pPr>
        <w:spacing w:before="0" w:after="0" w:line="276" w:lineRule="auto"/>
        <w:ind w:firstLine="420"/>
        <w:jc w:val="both"/>
      </w:pPr>
      <w:r>
        <w:rPr>
          <w:rFonts w:ascii="宋体" w:hAnsi="宋体"/>
          <w:b w:val="0"/>
          <w:sz w:val="24"/>
        </w:rPr>
        <w:t>当前专题已形成较完整的训练—评估—部署闭环，但仍存在三类不足：其一，当前动作大多采用单动作单策略训练，多动作统一策略与未见动作泛化尚未验证；其二，weibst 等高难度动作虽能完整执行，但身体、关节和骨盆朝向精度仍有提升空间；其三，随机化因素和 sim2sim 误差来源尚未完全拆分。下一阶段将把第二届世界人形机器人运动会清华武术联队的备赛作为重要应用场景，在继续完善起身、武术及其他高难度动作训练的同时，将现有训练、严格评估和 sim2sim 流程进一步面向比赛动作与实机验证。后续还将对质量、摩擦、push、执行器延迟、地形和观测噪声开展结构化单因素评估，并持续检查 ONNX、关节映射、控制频率与真实机器人接口的一致性。</w:t>
      </w:r>
    </w:p>
    <w:p>
      <w:pPr>
        <w:keepNext/>
        <w:spacing w:before="160" w:after="80" w:line="276" w:lineRule="auto"/>
      </w:pPr>
      <w:r>
        <w:rPr>
          <w:rFonts w:ascii="Noto Sans CJK SC" w:hAnsi="Noto Sans CJK SC" w:eastAsia="Noto Sans CJK SC"/>
          <w:b/>
          <w:sz w:val="30"/>
        </w:rPr>
        <w:t>四、生产实习中期总结</w:t>
      </w:r>
    </w:p>
    <w:p>
      <w:pPr>
        <w:keepNext/>
        <w:spacing w:before="100" w:after="80" w:line="276" w:lineRule="auto"/>
      </w:pPr>
      <w:r>
        <w:rPr>
          <w:rFonts w:ascii="Noto Sans CJK SC" w:hAnsi="Noto Sans CJK SC" w:eastAsia="Noto Sans CJK SC"/>
          <w:b/>
          <w:sz w:val="27"/>
        </w:rPr>
        <w:t>1. 客观总结</w:t>
      </w:r>
    </w:p>
    <w:p>
      <w:pPr>
        <w:spacing w:before="0" w:after="0" w:line="276" w:lineRule="auto"/>
        <w:ind w:firstLine="420"/>
        <w:jc w:val="both"/>
      </w:pPr>
      <w:r>
        <w:rPr>
          <w:rFonts w:ascii="宋体" w:hAnsi="宋体" w:eastAsia="宋体"/>
          <w:b w:val="0"/>
          <w:sz w:val="24"/>
        </w:rPr>
        <w:t>前五周实习已经完成从“熟悉项目”到“独立承担训练与验证任务”的过渡。具体而言，我完成了 TienKung-Lab 行走策略训练与算法链路学习，建立训练日志和 sim2sim 分析方法；完成 xMimic 环境部署、核心代码理解和 dance1 长时程策略优化；将优化流程迁移到 dance2 和 weibst 等动作；打通 xMIGCS 与 xSIM_MUJOCO 的 ROS 2 闭环；并开始建设从公开动作数据到机器人训练数据的新动作生产链路。过程中还完成了代码、模型、日志和分析结果的 Git/Git LFS 管理，使阶段性实验具有较好的可追溯性。</w:t>
      </w:r>
    </w:p>
    <w:p>
      <w:pPr>
        <w:keepNext/>
        <w:spacing w:before="100" w:after="80" w:line="276" w:lineRule="auto"/>
      </w:pPr>
      <w:r>
        <w:rPr>
          <w:rFonts w:ascii="Noto Sans CJK SC" w:hAnsi="Noto Sans CJK SC" w:eastAsia="Noto Sans CJK SC"/>
          <w:b/>
          <w:sz w:val="27"/>
        </w:rPr>
        <w:t>2. 主观总结</w:t>
      </w:r>
    </w:p>
    <w:p>
      <w:pPr>
        <w:spacing w:before="0" w:after="0" w:line="276" w:lineRule="auto"/>
        <w:ind w:firstLine="420"/>
        <w:jc w:val="both"/>
      </w:pPr>
      <w:r>
        <w:rPr>
          <w:rFonts w:ascii="宋体" w:hAnsi="宋体" w:eastAsia="宋体"/>
          <w:b w:val="0"/>
          <w:sz w:val="24"/>
        </w:rPr>
        <w:t>本阶段最大的体会是，机器人强化学习的工程价值不能由单一训练曲线判断。一个 reward 较高的策略仍可能在完整动作后半段产生累计漂移，一个 Isaac Lab 中看起来正常的策略也可能在 MuJoCo 中逐渐失稳。因此，完整轨迹、多随机种子、跨仿真器和接口一致性验证本身就是研发流程的重要组成部分。这一认识使我开始用工业工程中的过程视角和质量控制思维看待算法研发：明确输入、流程、评价指标和约束，建立标准化验收，再根据数据定位瓶颈。</w:t>
      </w:r>
    </w:p>
    <w:p>
      <w:pPr>
        <w:spacing w:before="0" w:after="0" w:line="276" w:lineRule="auto"/>
        <w:ind w:firstLine="420"/>
        <w:jc w:val="both"/>
      </w:pPr>
      <w:r>
        <w:rPr>
          <w:rFonts w:ascii="宋体" w:hAnsi="宋体" w:eastAsia="宋体"/>
          <w:b w:val="0"/>
          <w:sz w:val="24"/>
        </w:rPr>
        <w:t>同时，实习提升了我处理复杂工程问题的能力。面对依赖冲突、CUDA 上下文、动作身体映射、观测维度、关节映射和 ROS 启动顺序等问题，我逐渐形成“先复现现象—划分模块—记录变量—做对照实验—保留日志—验证修复”的工作方式。后续我希望进一步把这种结构化分析能力用于多动作训练、随机化消融和 sim2sim/实机部署，使算法改进能够形成更加稳定、可复用的工程方案。</w:t>
      </w:r>
    </w:p>
    <w:p>
      <w:pPr>
        <w:keepNext/>
        <w:spacing w:before="100" w:after="80" w:line="276" w:lineRule="auto"/>
      </w:pPr>
      <w:r>
        <w:rPr>
          <w:rFonts w:ascii="Noto Sans CJK SC" w:hAnsi="Noto Sans CJK SC" w:eastAsia="Noto Sans CJK SC"/>
          <w:b/>
          <w:sz w:val="27"/>
        </w:rPr>
        <w:t>3. 后半程工作计划</w:t>
      </w:r>
    </w:p>
    <w:p>
      <w:pPr>
        <w:spacing w:before="0" w:after="0" w:line="276" w:lineRule="auto"/>
        <w:ind w:left="420" w:hanging="283"/>
        <w:jc w:val="both"/>
      </w:pPr>
      <w:r>
        <w:rPr>
          <w:rFonts w:ascii="宋体" w:hAnsi="宋体"/>
          <w:b w:val="0"/>
          <w:sz w:val="24"/>
        </w:rPr>
        <w:t>（1）参与第二届世界人形机器人运动会清华武术联队备赛，结合联队任务需求，将前期形成的 xMimic 强化学习训练、完整轨迹评估和 sim2sim 流程用于比赛动作策略准备与实机验证；</w:t>
      </w:r>
    </w:p>
    <w:p>
      <w:pPr>
        <w:spacing w:before="0" w:after="0" w:line="276" w:lineRule="auto"/>
        <w:ind w:left="420" w:hanging="283"/>
        <w:jc w:val="both"/>
      </w:pPr>
      <w:r>
        <w:rPr>
          <w:rFonts w:ascii="宋体" w:hAnsi="宋体"/>
          <w:b w:val="0"/>
          <w:sz w:val="24"/>
        </w:rPr>
        <w:t>（2）完成 fallAndGetUp 起身动作的 4096 环境正式训练、全轨迹评估和 sim2sim 验证，并按已建立的数据链路继续扩展武术及其他候选动作；</w:t>
      </w:r>
    </w:p>
    <w:p>
      <w:pPr>
        <w:spacing w:before="0" w:after="0" w:line="276" w:lineRule="auto"/>
        <w:ind w:left="420" w:hanging="283"/>
        <w:jc w:val="both"/>
      </w:pPr>
      <w:r>
        <w:rPr>
          <w:rFonts w:ascii="宋体" w:hAnsi="宋体"/>
          <w:b w:val="0"/>
          <w:sz w:val="24"/>
        </w:rPr>
        <w:t>（3）围绕拟用于比赛和实机测试的策略，继续开展完整时域、多随机种子和随机化单因素评估，识别质量、摩擦、push、延迟和地形对稳定性与动作精度的主要影响；</w:t>
      </w:r>
    </w:p>
    <w:p>
      <w:pPr>
        <w:spacing w:before="0" w:after="0" w:line="276" w:lineRule="auto"/>
        <w:ind w:left="420" w:hanging="283"/>
        <w:jc w:val="both"/>
      </w:pPr>
      <w:r>
        <w:rPr>
          <w:rFonts w:ascii="宋体" w:hAnsi="宋体"/>
          <w:b w:val="0"/>
          <w:sz w:val="24"/>
        </w:rPr>
        <w:t>（4）推进 ONNX、ROS 2、MuJoCo 与真实机器人控制接口验证，重点检查观测维度、关节映射、动作缩放、控制频率和安全边界，形成面向比赛部署的可复用检查清单；</w:t>
      </w:r>
    </w:p>
    <w:p>
      <w:pPr>
        <w:spacing w:before="0" w:after="0" w:line="276" w:lineRule="auto"/>
        <w:ind w:left="420" w:hanging="283"/>
        <w:jc w:val="both"/>
      </w:pPr>
      <w:r>
        <w:rPr>
          <w:rFonts w:ascii="宋体" w:hAnsi="宋体"/>
          <w:b w:val="0"/>
          <w:sz w:val="24"/>
        </w:rPr>
        <w:t>（5）整理比赛备赛过程、实验数据、流程图、核心指标和个人贡献，为后续联队训练、最终总结报告和实习成果展示做好材料准备。</w:t>
      </w:r>
    </w:p>
    <w:sectPr w:rsidR="00FC693F" w:rsidRPr="0006063C" w:rsidSect="00034616">
      <w:footerReference w:type="default" r:id="rId10"/>
      <w:pgSz w:w="12240" w:h="15840"/>
      <w:pgMar w:top="1304" w:right="1361" w:bottom="1304" w:left="1474" w:header="680" w:footer="68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21"/>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一级标题">
    <w:name w:val="一级标题"/>
    <w:pPr>
      <w:keepNext/>
      <w:spacing w:before="160" w:after="80" w:line="276" w:lineRule="auto"/>
    </w:pPr>
    <w:rPr>
      <w:rFonts w:ascii="宋体" w:hAnsi="宋体" w:eastAsia="宋体"/>
      <w:b/>
      <w:sz w:val="30"/>
    </w:rPr>
  </w:style>
  <w:style w:type="paragraph" w:customStyle="1" w:styleId="二级标题">
    <w:name w:val="二级标题"/>
    <w:pPr>
      <w:keepNext/>
      <w:spacing w:before="100" w:after="80" w:line="276" w:lineRule="auto"/>
    </w:pPr>
    <w:rPr>
      <w:rFonts w:ascii="宋体" w:hAnsi="宋体" w:eastAsia="宋体"/>
      <w:b/>
      <w:sz w:val="2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