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8983C">
      <w:pPr>
        <w:pStyle w:val="2"/>
        <w:keepNext w:val="0"/>
        <w:keepLines w:val="0"/>
        <w:widowControl/>
        <w:suppressLineNumbers w:val="0"/>
      </w:pPr>
      <w:r>
        <w:t>0713—0719 实习周报</w:t>
      </w:r>
    </w:p>
    <w:p w14:paraId="1959B683">
      <w:pPr>
        <w:pStyle w:val="3"/>
        <w:keepNext w:val="0"/>
        <w:keepLines w:val="0"/>
        <w:widowControl/>
        <w:suppressLineNumbers w:val="0"/>
      </w:pPr>
      <w:r>
        <w:t>姓名：黄诗琅</w:t>
        <w:br/>
        <w:t>实习单位：北京人形机器人创新中心有限公司</w:t>
        <w:br/>
        <w:t>实习时间：2026 年 7 月 13 日—2026 年 7 月 19 日</w:t>
      </w:r>
    </w:p>
    <w:p w14:paraId="532522D4">
      <w:pPr>
        <w:pStyle w:val="3"/>
        <w:keepNext w:val="0"/>
        <w:keepLines w:val="0"/>
        <w:widowControl/>
        <w:suppressLineNumbers w:val="0"/>
      </w:pPr>
      <w:r>
        <w:t>本周为实习第二周，工作重点由第一周的项目方向熟悉进一步转向 TienKung-Lab 强化学习训练环境的实际搭建、代码调试和训练流程分析。我围绕人形机器人行走策略训练开展实践，从依赖安装、训练启动、日志观察到算法原理和代码实现逐步深入，初步建立了对“仿真采样—奖励计算—网络更新—模型验证”完整闭环的认识。</w:t>
      </w:r>
    </w:p>
    <w:p w14:paraId="17168192">
      <w:pPr>
        <w:pStyle w:val="3"/>
        <w:keepNext w:val="0"/>
        <w:keepLines w:val="0"/>
        <w:widowControl/>
        <w:suppressLineNumbers w:val="0"/>
      </w:pPr>
      <w:r>
        <w:t>环境配置与代码调试方面，我在 Ubuntu 和 VS Code 环境下完成了项目部署，使用 Conda 配置 Python、Isaac Lab 及相关依赖，并通过可编辑安装连接本地代码。启动训练时曾遇到 rsl_rl 包中缺少 AmpOnPolicyRunner 的导入问题，随后通过检查包来源和项目目录，重新安装仓库内置的 rsl_rl 版本，最终解决依赖冲突并成功启动训练。通过这一过程，我进一步理解了 Python 包搜索路径、可编辑安装和项目自定义算法模块之间的关系。</w:t>
      </w:r>
    </w:p>
    <w:p w14:paraId="69C34901">
      <w:pPr>
        <w:pStyle w:val="3"/>
        <w:keepNext w:val="0"/>
        <w:keepLines w:val="0"/>
        <w:widowControl/>
        <w:suppressLineNumbers w:val="0"/>
      </w:pPr>
      <w:r>
        <w:t>训练实践方面，本周使用 1024 个并行环境在 RTX 5090 GPU 上完成了 walk 任务训练。训练共运行 50000 次迭代，累计采集 1,228,800,000 个控制步，耗时约 11 小时 45 分钟，并生成了模型检查点。通过观察平均奖励、平均回合长度、Value loss、Surrogate loss、动作噪声标准差和 AMP 指标，我学习了如何判断策略收敛情况，也了解了 play 脚本加载检查点、可视化策略及导出 JIT、ONNX 模型的作用。</w:t>
      </w:r>
    </w:p>
    <w:p w14:paraId="31C28D2D">
      <w:pPr>
        <w:pStyle w:val="3"/>
        <w:keepNext w:val="0"/>
        <w:keepLines w:val="0"/>
        <w:widowControl/>
        <w:suppressLineNumbers w:val="0"/>
      </w:pPr>
      <w:r>
        <w:t>强化学习原理方面，本周重点深入学习了 PPO 的实际训练过程。每次迭代中，策略在 1024 个环境中连续采集 24 个控制步，共形成 24576 条 transition，记录观测、20 维动作、奖励、终止标志、旧 Value 和旧动作概率等数据。采集结束后，Critic 对 rollout 末端状态进行自举估计，GAE 再从后向前计算 Advantage 和 Return；随后将时间维和环境维展平、随机打乱，划分为 4 个 mini-batch，并重复训练 5 个 epoch，共执行 20 次参数更新。通过代码分析，我理解了 rollout、episode 和 transition 的区别，以及时间顺序在 GAE 阶段必须保留、在前馈 MLP 更新阶段可以打乱的原因。</w:t>
      </w:r>
    </w:p>
    <w:p w14:paraId="76A80207">
      <w:pPr>
        <w:pStyle w:val="3"/>
        <w:keepNext w:val="0"/>
        <w:keepLines w:val="0"/>
        <w:widowControl/>
        <w:suppressLineNumbers w:val="0"/>
      </w:pPr>
      <w:r>
        <w:t>网络更新与 AMP 机制方面，我进一步梳理了 Actor-Critic 的计算链路。Actor 根据历史观测输出 20 维高斯动作分布，Critic 估计状态的未来累计回报；PPO 利用 Advantage、新旧动作概率比、clipped loss 和 entropy 项稳定更新，并通过反向传播和 Adam 优化器修改网络参数。环境将归一化动作转换为 20 个关节位置目标，再由执行器和 PhysX 完成仿真。同时，我学习了 AMP 如何把专家相邻状态对作为正样本、策略状态对作为负样本，通过判别器、均方误差和零中心梯度惩罚学习运动风格，再将 style reward 与任务奖励混合用于 PPO 训练。</w:t>
      </w:r>
    </w:p>
    <w:p w14:paraId="5C655C78">
      <w:pPr>
        <w:pStyle w:val="3"/>
        <w:keepNext w:val="0"/>
        <w:keepLines w:val="0"/>
        <w:widowControl/>
        <w:suppressLineNumbers w:val="0"/>
      </w:pPr>
      <w:r>
        <w:t>本周的主要收获是将 PPO、GAE 和 AMP 概念与真实训练代码建立对应。下周计划对比不同检查点，分析 reward 和超参数对步态的影响，并继续学习 sim2sim、模型导出和部署模块，为后续真机调试做准备。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ED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2026-07-12T10:30:48Z</dcterms:created>
  <dc:creator>黄诗琅</dc:creator>
  <cp:lastModifiedBy>黄诗琅</cp:lastModifiedBy>
  <dcterms:modified xsi:type="dcterms:W3CDTF">2026-07-12T10:31:15Z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eyJoZGlkIjoiNGQ4YjZjYmU3OGZhNGIxNWNjM2M3YzFiZWYzYzdhYTAiLCJ1c2VySWQiOiIxMjM1NzU5MjQ2In0=</vt:lpwstr>
  </property>
  <property fmtid="{D5CDD505-2E9C-101B-9397-08002B2CF9AE}" pid="4" name="ICV">
    <vt:lpwstr>0D8C1BFF12644D5DB914B43AB04AE101_12</vt:lpwstr>
  </property>
</Properties>
</file>