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Noto Sans SC Thin"/>
          <w:b/>
          <w:color w:val="243447"/>
          <w:sz w:val="48"/>
        </w:rPr>
        <w:t>论文与代码一致性诊断报告</w:t>
      </w:r>
    </w:p>
    <w:p>
      <w:pPr>
        <w:spacing w:after="280"/>
      </w:pPr>
      <w:r>
        <w:rPr>
          <w:rFonts w:ascii="Calibri" w:hAnsi="Calibri" w:eastAsia="Noto Sans SC Thin"/>
          <w:color w:val="667085"/>
          <w:sz w:val="28"/>
        </w:rPr>
        <w:t>跨工况PMSM定子故障诊断与抗遗忘迁移学习项目</w:t>
      </w:r>
    </w:p>
    <w:p>
      <w:pPr>
        <w:spacing w:after="40"/>
      </w:pPr>
      <w:r>
        <w:rPr>
          <w:rFonts w:ascii="Calibri" w:hAnsi="Calibri" w:eastAsia="Noto Sans SC Thin"/>
          <w:b/>
          <w:color w:val="1F4D78"/>
          <w:sz w:val="21"/>
        </w:rPr>
        <w:t>项目仓库：</w:t>
      </w:r>
      <w:r>
        <w:rPr>
          <w:rFonts w:ascii="Calibri" w:hAnsi="Calibri" w:eastAsia="Noto Sans SC Thin"/>
          <w:sz w:val="21"/>
        </w:rPr>
        <w:t>huangsl123/phm-pmsm</w:t>
      </w:r>
    </w:p>
    <w:p>
      <w:pPr>
        <w:spacing w:after="40"/>
      </w:pPr>
      <w:r>
        <w:rPr>
          <w:rFonts w:ascii="Calibri" w:hAnsi="Calibri" w:eastAsia="Noto Sans SC Thin"/>
          <w:b/>
          <w:color w:val="1F4D78"/>
          <w:sz w:val="21"/>
        </w:rPr>
        <w:t>复核对象：</w:t>
      </w:r>
      <w:r>
        <w:rPr>
          <w:rFonts w:ascii="Calibri" w:hAnsi="Calibri" w:eastAsia="Noto Sans SC Thin"/>
          <w:sz w:val="21"/>
        </w:rPr>
        <w:t>最终论文、数据处理、CrossViT模型、EXP1—EXP3 V4迁移脚本、仓库三份完整CSV及Mendeley源数据说明</w:t>
      </w:r>
    </w:p>
    <w:p>
      <w:pPr>
        <w:spacing w:after="40"/>
      </w:pPr>
      <w:r>
        <w:rPr>
          <w:rFonts w:ascii="Calibri" w:hAnsi="Calibri" w:eastAsia="Noto Sans SC Thin"/>
          <w:b/>
          <w:color w:val="1F4D78"/>
          <w:sz w:val="21"/>
        </w:rPr>
        <w:t>报告目的：</w:t>
      </w:r>
      <w:r>
        <w:rPr>
          <w:rFonts w:ascii="Calibri" w:hAnsi="Calibri" w:eastAsia="Noto Sans SC Thin"/>
          <w:sz w:val="21"/>
        </w:rPr>
        <w:t>集中记录会影响实验有效性、算法表述和论文可信度的问题</w:t>
      </w:r>
    </w:p>
    <w:p>
      <w:pPr>
        <w:spacing w:after="40"/>
      </w:pPr>
      <w:r>
        <w:rPr>
          <w:rFonts w:ascii="Calibri" w:hAnsi="Calibri" w:eastAsia="Noto Sans SC Thin"/>
          <w:b/>
          <w:color w:val="1F4D78"/>
          <w:sz w:val="21"/>
        </w:rPr>
        <w:t>诊断原则：</w:t>
      </w:r>
      <w:r>
        <w:rPr>
          <w:rFonts w:ascii="Calibri" w:hAnsi="Calibri" w:eastAsia="Noto Sans SC Thin"/>
          <w:sz w:val="21"/>
        </w:rPr>
        <w:t>先判断是否影响结论，再判断是否属于方法、实验或写作问题</w:t>
      </w:r>
    </w:p>
    <w:p>
      <w:pPr>
        <w:spacing w:before="200" w:after="200"/>
        <w:pBdr>
          <w:bottom w:val="single" w:sz="12" w:space="1" w:color="2E74B5"/>
        </w:pBdr>
      </w:pPr>
    </w:p>
    <w:p>
      <w:pPr>
        <w:pStyle w:val="CriticalCallout"/>
        <w:shd w:fill="FDECEC"/>
        <w:pBdr>
          <w:left w:val="single" w:sz="18" w:space="8" w:color="B42318"/>
        </w:pBdr>
      </w:pPr>
      <w:r>
        <w:rPr>
          <w:rFonts w:ascii="Calibri" w:hAnsi="Calibri" w:eastAsia="Noto Sans SC Thin"/>
          <w:b/>
          <w:color w:val="B42318"/>
        </w:rPr>
        <w:t>修订后的总判断：</w:t>
      </w:r>
      <w:r>
        <w:rPr>
          <w:rFonts w:ascii="Calibri" w:hAnsi="Calibri" w:eastAsia="Noto Sans SC Thin"/>
          <w:color w:val="243447"/>
        </w:rPr>
        <w:t>Mendeley源数据在每种功率下均有16个实验类别：intercoil与interturn各8类，每组含1个0%健康基线和7个非零故障严重度。当前问题不是“源数据缺少类别”，而是CSV解析和代码标签键错误：主实验中1.0 kW被异常解析成16个唯一fault_code，3.0 kW只有15个唯一fault_code，且两域数字标签完全没有按故障类型与严重度等级对齐。再叠加滑窗泄漏和测试集选模，现有91.03%、89.10%与99.10不能作为最终论文证据。</w:t>
      </w:r>
    </w:p>
    <w:p>
      <w:pPr>
        <w:pStyle w:val="Heading1"/>
        <w:keepNext/>
        <w:keepLines/>
      </w:pPr>
      <w:r>
        <w:t>一、问题分级与阅读说明</w:t>
      </w:r>
    </w:p>
    <w:p>
      <w:r>
        <w:t>本报告将问题分为四级。P0表示会直接破坏实验有效性或使结果无法解释；P1表示算法、数据处理或论文陈述存在高风险矛盾；P2表示实验论证不足；P3表示定位、术语、复现与写作问题。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850"/>
        <w:gridCol w:w="3340"/>
        <w:gridCol w:w="3220"/>
      </w:tblGrid>
      <w:tr>
        <w:trPr>
          <w:tblHeader w:val="true"/>
        </w:trPr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级别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对当前论文的影响</w:t>
            </w:r>
          </w:p>
        </w:tc>
        <w:tc>
          <w:tcPr>
            <w:tcW w:type="dxa" w:w="32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处理原则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P0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致命有效性问题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现有核心数字不能作为最终结论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先修复，再重新生成数据与实验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P1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高风险方法问题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算法贡献或物理解释可能不成立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修改代码或降低论文表述强度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P2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实验论证问题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不能证明提升来自所提方法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补充公平对比、消融与统计检验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P3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定位与复现问题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容易被审稿人质疑严谨性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统一术语、配置与论文边界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二、P0：会使现有实验结论失效的问题</w:t>
      </w:r>
    </w:p>
    <w:p>
      <w:pPr>
        <w:pStyle w:val="Heading2"/>
        <w:keepNext/>
        <w:keepLines/>
      </w:pPr>
      <w:r>
        <w:t>P0-1  16类定义正确，但代码使用了错误的类别键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源数据每种功率包含8个intercoil状态和8个interturn状态。两组各自保留0_00健康基线，因此数据集协议是16个实验类别、14个非零故障状态和2个健康基线。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正确类别应由(fault_category, fault_code)共同决定；data_type只表示current或vibration模态，power_kW表示域。当前代码只使用fault_code，导致(coil, 0_00)与(interturn, 0_00)被合并。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即使CSV完全正确，1.5 kW与3.0 kW也会从16个实验类别塌缩为15个数字标签，论文所称共享16类无法在当前代码中实现。</w:t>
      </w:r>
    </w:p>
    <w:p>
      <w:r>
        <w:rPr>
          <w:rFonts w:ascii="Calibri" w:hAnsi="Calibri" w:eastAsia="Noto Sans SC Thin"/>
          <w:b/>
          <w:color w:val="B42318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2180"/>
        <w:gridCol w:w="2180"/>
        <w:gridCol w:w="220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统一标签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故障组</w:t>
            </w:r>
          </w:p>
        </w:tc>
        <w:tc>
          <w:tcPr>
            <w:tcW w:type="dxa" w:w="2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1.0 kW</w:t>
            </w:r>
          </w:p>
        </w:tc>
        <w:tc>
          <w:tcPr>
            <w:tcW w:type="dxa" w:w="2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1.5 kW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3.0 kW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intercoil健康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0.00%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0.00%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0.00%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1—7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intercoil等级1—7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0.68—7.56%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4.79—37.66%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2.49—23.48%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interturn健康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0.00%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0.00%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0.00%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9—15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interturn等级1—7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2.26—21.69%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1.57—16.08%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1.78—17.86%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P0-2  1.0 kW的1.01%文件名被错误拆分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仓库CSV中约6000行记录表现为fault_code=1.01_current、data_type=coil、fault_category=unknown；同一物理状态的振动记录则是fault_code=1_01、data_type=vibration、fault_category=coil。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原始文件名1000W_1.01_current_intercoil.tdms中的小数点格式与常见下划线格式不一致，转换程序把字段位置拆错。当前处理器又把1.01_current当成独立合法类别。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同一1.01% intercoil状态的电流和振动被拆成两个代码；1.0 kW显示出的“第16个唯一fault_code”是解析异常制造出来的，不是正确保留了两个0_00健康类别。</w:t>
      </w:r>
    </w:p>
    <w:p>
      <w:r>
        <w:rPr>
          <w:rFonts w:ascii="Calibri" w:hAnsi="Calibri" w:eastAsia="Noto Sans SC Thin"/>
          <w:b/>
          <w:color w:val="B42318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600"/>
        <w:gridCol w:w="2300"/>
        <w:gridCol w:w="4360"/>
      </w:tblGrid>
      <w:tr>
        <w:trPr>
          <w:tblHeader w:val="true"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功率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唯一fault_code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(fault_category, fault_code)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真实含义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1.0 kW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16（异常）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17（含1个错误pair）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正确应为16个pair；1.01%解析错位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1.5 kW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16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两个0_00被fault_code去重合并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3.0 kW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16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两个0_00被fault_code去重合并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P0-3  主实验形成“源域16类、目标域15类”的假象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1.0 kW→3.0 kW主实验中，source_data[n_classes]由1.0 kW的16个唯一fault_code得到，目标3.0 kW只有15个唯一fault_code。模型用源域n_classes建立16维输出，但目标标签只取0—14。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1.0 kW中的1_01只有振动行，三相电流列全空，转成零后通常被常数窗口检查丢弃；1.01_current则承载电流并被当成另一标签。因此“16维分类器”并不等于16个有效、正确的源类。目标训练还会留下一个没有对应目标类别的输出节点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源目标分类任务的输出空间不一致，交叉熵、蒸馏、混淆矩阵和所谓源知识保持均失去统一语义。</w:t>
      </w:r>
    </w:p>
    <w:p>
      <w:r>
        <w:rPr>
          <w:rFonts w:ascii="Calibri" w:hAnsi="Calibri" w:eastAsia="Noto Sans SC Thin"/>
          <w:b/>
          <w:color w:val="B42318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p>
      <w:pPr>
        <w:pStyle w:val="Heading2"/>
        <w:keepNext/>
        <w:keepLines/>
      </w:pPr>
      <w:r>
        <w:t>P0-4  各功率分别排序编码，数字标签语义完全错配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代码对每个CSV独立执行sorted(unique fault_code)，再映射为0、1、2……。例如数字标签1在1.0 kW代表0_68，在3.0 kW代表13_30；标签2分别代表0_81和17_86。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跨功率的严重度百分比本来就不同，必须用“故障类型+组内严重度等级”建立一张全局映射。字符串字典序既不表示数值大小，也不表示相同物理故障。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同一logit在两域对应不同故障。学生对目标标签的学习会主动覆盖源域标签语义，所谓灾难性遗忘与抗遗忘结果无法被物理解释。</w:t>
      </w:r>
    </w:p>
    <w:p>
      <w:r>
        <w:rPr>
          <w:rFonts w:ascii="Calibri" w:hAnsi="Calibri" w:eastAsia="Noto Sans SC Thin"/>
          <w:b/>
          <w:color w:val="B42318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450"/>
        <w:gridCol w:w="2450"/>
        <w:gridCol w:w="3410"/>
      </w:tblGrid>
      <w:tr>
        <w:trPr>
          <w:tblHeader w:val="true"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数字标签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1.0 kW原始代码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3.0 kW原始代码</w:t>
            </w:r>
          </w:p>
        </w:tc>
        <w:tc>
          <w:tcPr>
            <w:tcW w:type="dxa" w:w="3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9"/>
              </w:rPr>
              <w:t>是否可直接对应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0_00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0_00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仍需核实类别含义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0_68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13_30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0_81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17_86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9"/>
              </w:rPr>
              <w:t>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1.01_current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1_78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9"/>
              </w:rPr>
              <w:t>否；源端还是解析异常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P0-5  不同实验、故障组和传感器模态被拼接后跨边界滑窗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处理器只按fault_code筛选。0_00会同时混入coil与interturn两次独立健康实验；每个普通fault_code又同时包含current行和vibration行。代码随后只取channel1—3，把振动行的NaN变成0，并把整组数据当作一条连续信号滑窗。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纯振动零窗口会被丢弃，但电流段与零段交界处的混合窗口可能通过方差检查；两个健康实验连接处也可能产生现实中不存在的拼接窗口。CSV没有保留可靠的原始文件/记录ID，使边界难以追踪。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模型可能学习采集段边界、补零模式或人工拼接，而不是故障特征。该问题必须在重新转换原始TDMS时解决。</w:t>
      </w:r>
    </w:p>
    <w:p>
      <w:r>
        <w:rPr>
          <w:rFonts w:ascii="Calibri" w:hAnsi="Calibri" w:eastAsia="Noto Sans SC Thin"/>
          <w:b/>
          <w:color w:val="B42318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p>
      <w:pPr>
        <w:pStyle w:val="Heading2"/>
        <w:keepNext/>
        <w:keepLines/>
      </w:pPr>
      <w:r>
        <w:t>P0-6  高度重叠滑窗生成后再随机划分，造成数据泄漏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窗口长度为1024、步长为128，相邻窗口共享896个点，重叠率为87.5%。程序先生成所有窗口，再通过train_test_split随机分成训练、验证和测试集。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相邻近重复窗口会随机落入不同集合。测试样本可能与训练样本共享绝大部分原始采样点，模型并未真正面对独立采集段。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单域准确率、源域保持率和目标域准确率都可能显著偏高；现有87.82%、91.03%、89.10%等数字需要在无泄漏划分下重跑。</w:t>
      </w:r>
    </w:p>
    <w:p>
      <w:r>
        <w:rPr>
          <w:rFonts w:ascii="Calibri" w:hAnsi="Calibri" w:eastAsia="Noto Sans SC Thin"/>
          <w:b/>
          <w:color w:val="B42318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p>
      <w:pPr>
        <w:pStyle w:val="NoteCallout"/>
        <w:shd w:fill="E8EEF5"/>
        <w:pBdr>
          <w:left w:val="single" w:sz="18" w:space="8" w:color="2E74B5"/>
        </w:pBdr>
      </w:pPr>
      <w:r>
        <w:rPr>
          <w:rFonts w:ascii="Calibri" w:hAnsi="Calibri" w:eastAsia="Noto Sans SC Thin"/>
          <w:b/>
          <w:color w:val="2E74B5"/>
        </w:rPr>
        <w:t>重叠率计算：</w:t>
      </w:r>
      <w:r>
        <w:rPr>
          <w:rFonts w:ascii="Calibri" w:hAnsi="Calibri" w:eastAsia="Noto Sans SC Thin"/>
          <w:color w:val="243447"/>
        </w:rPr>
        <w:t>相邻窗口重叠点数=1024-128=896；重叠率=896/1024=87.5%。问题不在“使用滑窗”，而在“先滑窗、后随机划分”。</w:t>
      </w:r>
    </w:p>
    <w:p>
      <w:pPr>
        <w:pStyle w:val="Heading2"/>
        <w:keepNext/>
        <w:keepLines/>
      </w:pPr>
      <w:r>
        <w:t>P0-7  目标测试集被用于模型选择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EXP3会在每个配置后读取目标测试准确率，以target test accuracy挑选best model和top-2模型，同时使用源、目标测试结果计算Balance Score并确定推荐配置。论文Algorithm 3也明确用source test set和target test set选模型。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测试集只能在模型结构、超参数和选择规则完全确定后使用一次。反复查看测试结果并据此选模型，相当于把测试答案反馈给开发过程。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最终报告的测试成绩存在选择偏差，不再是对未知数据的无偏估计。</w:t>
      </w:r>
    </w:p>
    <w:p>
      <w:r>
        <w:rPr>
          <w:rFonts w:ascii="Calibri" w:hAnsi="Calibri" w:eastAsia="Noto Sans SC Thin"/>
          <w:b/>
          <w:color w:val="B42318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p>
      <w:pPr>
        <w:pStyle w:val="Heading2"/>
        <w:keepNext/>
        <w:keepLines/>
      </w:pPr>
      <w:r>
        <w:t>P0-8  Balance Score论文公式与代码公式不一致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论文定义为目标准确率减去源域遗忘惩罚；代码实际计算为target_acc + max(0, min(source_retention-40, 20))/2，即给源域保持添加最多10分奖励。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两种公式的方向、参考值、上限和解释都不同。按代码，89.10%的目标准确率加10分得到99.10，99.10并不是分类准确率，也不是论文公式的结果。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论文核心选模指标不可复现，且“99.10”容易被误读成99.10%的综合正确率。</w:t>
      </w:r>
    </w:p>
    <w:p>
      <w:r>
        <w:rPr>
          <w:rFonts w:ascii="Calibri" w:hAnsi="Calibri" w:eastAsia="Noto Sans SC Thin"/>
          <w:b/>
          <w:color w:val="B42318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p>
      <w:pPr>
        <w:pStyle w:val="Heading1"/>
        <w:keepNext/>
        <w:keepLines/>
      </w:pPr>
      <w:r>
        <w:t>三、P1：数据处理与模型算法的高风险问题</w:t>
      </w:r>
    </w:p>
    <w:p>
      <w:pPr>
        <w:pStyle w:val="Heading2"/>
        <w:keepNext/>
        <w:keepLines/>
      </w:pPr>
      <w:r>
        <w:t>P1-1  模型实际使用三相电流，论文多处写成三通道振动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完整CSV同时保存三相电流行和单通道振动行，但数据处理脚本只读取channel1、channel2、channel3，从未读取vibration_signal。所谓时域分支和STFT分支都来自同一组三相电流。论文摘要、方法与图注却写成time-domain vibration windows、vibration branch和three-channel vibration。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传感器模态决定故障机理、采样率和特征含义。这里不是“电流+振动多传感器融合”，而是“同一三相电流的时域+STFT双表示”。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多模态贡献、25.6 kHz振动采样率的输入解释及图8的物理描述均不成立；应改写为dual-view/time-frequency current model，或真正重做电流—振动融合。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必须统一论文表述，并重新核对采样率与通道含义</w:t>
      </w:r>
    </w:p>
    <w:p>
      <w:pPr>
        <w:pStyle w:val="Heading2"/>
        <w:keepNext/>
        <w:keepLines/>
      </w:pPr>
      <w:r>
        <w:t>P1-2  Min-Max归一化沿三相通道而非沿时间执行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窗口形状为(1024,3)，代码使用axis=-1求最小值和最大值，因此每个时间点都在三个相位之间单独归一化。每一时刻的最小相被映射为-1，最大相被映射为+1。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常规时序归一化通常对每个相位的1024个时间点处理。当前实现会删除绝对电流幅值，并改变三相之间的真实比例。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容量差异和故障严重度相关的幅值信息可能被人为消除；论文以“容量导致幅值分布变化”为迁移动机，却在预处理中删除相关信息。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p>
      <w:pPr>
        <w:pStyle w:val="Heading2"/>
        <w:keepNext/>
        <w:keepLines/>
      </w:pPr>
      <w:r>
        <w:t>P1-3  STFT时频图被从约129×17强行插值为128×128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1024点信号采用n_fft=256、hop_length=64，原始STFT约为129个频率点和17个时间帧；代码随后使用图像插值拉伸至128×128。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时间轴被放大约7.5倍，插值会产生人工平滑纹理和重复结构，模型可能学习插值特征而非真实时频演化。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时频分支的真实性和可解释性不足；需证明拉伸不会主导结果，并核对图中横轴时间、纵轴频率的标注。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需要重新设计或至少进行消融验证</w:t>
      </w:r>
    </w:p>
    <w:p>
      <w:pPr>
        <w:pStyle w:val="Heading2"/>
        <w:keepNext/>
        <w:keepLines/>
      </w:pPr>
      <w:r>
        <w:t>P1-4  交叉注意力在全局池化后仅接收单个token，注意力退化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时域129个token和频谱64个token分别经过Transformer后先做mean pooling，均变成(B,D)，再unsqueeze为(B,1,D)进入cross-attention。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键序列长度为1时，softmax只作用于一个分数，结果恒等于1。模块无法在不同时间patch与频谱patch之间选择性匹配，只能对另一个模态的全局向量做线性投影和残差融合。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论文不能据此声称实现token级跨模态依赖、时间—频率局部对应或真正的跨patch注意力。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修改模型，或将贡献表述降为模态级全局特征融合</w:t>
      </w:r>
    </w:p>
    <w:p>
      <w:pPr>
        <w:pStyle w:val="NoteCallout"/>
        <w:shd w:fill="E8EEF5"/>
        <w:pBdr>
          <w:left w:val="single" w:sz="18" w:space="8" w:color="2E74B5"/>
        </w:pBdr>
      </w:pPr>
      <w:r>
        <w:rPr>
          <w:rFonts w:ascii="Calibri" w:hAnsi="Calibri" w:eastAsia="Noto Sans SC Thin"/>
          <w:b/>
          <w:color w:val="2E74B5"/>
        </w:rPr>
        <w:t>数学原因：</w:t>
      </w:r>
      <w:r>
        <w:rPr>
          <w:rFonts w:ascii="Calibri" w:hAnsi="Calibri" w:eastAsia="Noto Sans SC Thin"/>
          <w:color w:val="243447"/>
        </w:rPr>
        <w:t>当Q、K、V的序列长度均为1时，注意力矩阵只有一个元素：softmax([a])=[1]。输出不再取决于Q与K的相似度，只剩V的投影结果。</w:t>
      </w:r>
    </w:p>
    <w:p>
      <w:pPr>
        <w:pStyle w:val="Heading2"/>
        <w:keepNext/>
        <w:keepLines/>
      </w:pPr>
      <w:r>
        <w:t>P1-5  频谱多尺度patch的有效性尚未得到证明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4×4、8×8、16×16三种卷积尺度最后全部AdaptiveAvgPool到8×8，再拼接成64个token。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细尺度分支的大量位置被平均压缩，三种尺度最后共享同样的8×8空间布局。不同尺度是否真正提供互补信息不能从结构本身推出。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“多尺度频谱建模”目前是设计设想，不是已被实验验证的贡献。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需要单尺度与多尺度消融</w:t>
      </w:r>
    </w:p>
    <w:p>
      <w:pPr>
        <w:pStyle w:val="Heading2"/>
        <w:keepNext/>
        <w:keepLines/>
      </w:pPr>
      <w:r>
        <w:t>P1-6  最终迁移属于有监督目标域微调，不是无监督域适应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Distill+LWF训练直接读取target_data[y_train]，并用目标真实标签计算交叉熵；目标域训练集约占目标数据的70%。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无监督域适应要求目标训练样本没有人工标签。当前方法本质上是有监督跨工况迁移或有监督微调。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若论文使用unsupervised、unlabeled target或少样本等表述，会与代码和实验协议冲突。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必须重新界定任务类型</w:t>
      </w:r>
    </w:p>
    <w:p>
      <w:pPr>
        <w:pStyle w:val="Heading2"/>
        <w:keepNext/>
        <w:keepLines/>
      </w:pPr>
      <w:r>
        <w:t>P1-7  Distill+LWF命名不够准确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方法保存并重放源域原始窗口，同时用冻结教师约束学生。经典Learning without Forgetting的核心场景通常是不访问旧任务原始数据，而依靠旧模型输出保留旧知识。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当前方法更接近source-replay-assisted knowledge distillation，即源域回放辅助的教师—学生蒸馏，而不是标准LwF。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方法名称可能夸大与经典LwF的一致性，创新点和基线关系也容易被质疑。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建议采用LwF-inspired或replay-assisted distillation等准确表述</w:t>
      </w:r>
    </w:p>
    <w:p>
      <w:pPr>
        <w:pStyle w:val="Heading2"/>
        <w:keepNext/>
        <w:keepLines/>
      </w:pPr>
      <w:r>
        <w:t>P1-8  源域教师在目标域上可能提供错误软标签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冻结教师只在1.0 kW数据上训练，却对混合批次中的3.0 kW目标样本同样产生蒸馏目标。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当域差异较大时，教师的目标域预测可能错误；真实目标标签要求学生适应，教师软标签却可能要求学生保留错误源域判断，两个损失发生冲突。当前标签语义未对齐会进一步放大问题。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蒸馏提升是否来自有效知识保持无法直接确认，也可能只是额外正则化。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必须先完成标签对齐，再分别验证蒸馏施加在源样本和目标样本上的效果</w:t>
      </w:r>
    </w:p>
    <w:p>
      <w:pPr>
        <w:pStyle w:val="Heading2"/>
        <w:keepNext/>
        <w:keepLines/>
      </w:pPr>
      <w:r>
        <w:t>P1-9  mix_source_ratio=0.3并非混合数据中源样本占30%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代码取源训练集总数的30%，然后与全部目标训练样本拼接。实际源样本比例为0.3Ns/(0.3Ns+Nt)，随两域样本量变化。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参数名称会让读者误以为每批或整个混合集固定30%源样本，实际不是。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不同数据规模下实验不可直接复现，源域保持强度也无法由该参数直观解释。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需要更名并报告实际混合比例</w:t>
      </w:r>
    </w:p>
    <w:p>
      <w:pPr>
        <w:pStyle w:val="Heading2"/>
        <w:keepNext/>
        <w:keepLines/>
      </w:pPr>
      <w:r>
        <w:t>P1-10  论文组合算法与最终运行配置不完全一致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论文Algorithm 2把freezing、EWC、distillation和LWF replay放在同一完整流程中；最终推荐的Distill+LWF配置却设置freeze_backbone=False、freeze_embedding=False，损失中也未加入EWC项。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候选机制、可选机制和最终实际启用机制没有被清楚区分。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读者可能误以为最终91.03/89.10结果由四种机制联合产生，实际主要是蒸馏加源域回放。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论文需要逐配置明确启用项</w:t>
      </w:r>
    </w:p>
    <w:p>
      <w:pPr>
        <w:pStyle w:val="Heading2"/>
        <w:keepNext/>
        <w:keepLines/>
      </w:pPr>
      <w:r>
        <w:t>P1-11  V4中的MMD损失没有执行分布对齐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fine_tune_with_mmd在torch.no_grad()中提取source_feat和target_feat，因此MMD项无法把梯度传回主模型。MMDLoss.forward最终计算的是两个域各自围绕各自均值的方差之和，没有计算源目标均值差或核均值嵌入差；已写的Gaussian核函数也没有被调用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该损失既没有优化主干特征，又不是真正的MMD距离。它对模型更新几乎只贡献一个与参数无关的常数项。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论文不能用当前V4结果评价“MMD导致源域遗忘”或比较MMD有效性；该候选方法需要重写后重跑。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p>
      <w:pPr>
        <w:pStyle w:val="Heading2"/>
        <w:keepNext/>
        <w:keepLines/>
      </w:pPr>
      <w:r>
        <w:t>P1-12  V4中的DANN梯度反转无法更新特征提取器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fine_tune_with_dann同样在torch.no_grad()中计算source_feat和target_feat，再送入Gradient Reversal Layer。因为特征已经detach，反转梯度只能训练域判别器，不能回到CrossViT编码器。代码还把总损失系数硬编码为0.1，与配置中的dann_lambda作用混乱。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DANN的核心是让域分类损失反向推动特征提取器学习域不变表示；梯度链被切断后，这一机制不存在。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当前DANN消融结果无效，不能支持“域不变性不等于抗遗忘”的定量结论。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p>
      <w:pPr>
        <w:pStyle w:val="Heading2"/>
        <w:keepNext/>
        <w:keepLines/>
      </w:pPr>
      <w:r>
        <w:t>P1-13  CrossAttentionFusion的num_layers参数未被使用</w:t>
      </w:r>
    </w:p>
    <w:p>
      <w:r>
        <w:rPr>
          <w:rFonts w:ascii="Calibri" w:hAnsi="Calibri" w:eastAsia="Noto Sans SC Thin"/>
          <w:b/>
          <w:color w:val="1F4D78"/>
        </w:rPr>
        <w:t>已确认现象：</w:t>
      </w:r>
      <w:r>
        <w:rPr>
          <w:rFonts w:ascii="Calibri" w:hAnsi="Calibri" w:eastAsia="Noto Sans SC Thin"/>
        </w:rPr>
        <w:t>模块构造函数接收num_layers=2，但内部没有按该参数建立或循环任何层，实际只有一轮双向投影、注意力、残差与归一化。</w:t>
      </w:r>
    </w:p>
    <w:p>
      <w:r>
        <w:rPr>
          <w:rFonts w:ascii="Calibri" w:hAnsi="Calibri" w:eastAsia="Noto Sans SC Thin"/>
          <w:b/>
          <w:color w:val="1F4D78"/>
        </w:rPr>
        <w:t>为什么构成问题：</w:t>
      </w:r>
      <w:r>
        <w:rPr>
          <w:rFonts w:ascii="Calibri" w:hAnsi="Calibri" w:eastAsia="Noto Sans SC Thin"/>
        </w:rPr>
        <w:t>论文或配置若将其解释为两层交叉注意力，会与实际模型不符。</w:t>
      </w:r>
    </w:p>
    <w:p>
      <w:r>
        <w:rPr>
          <w:rFonts w:ascii="Calibri" w:hAnsi="Calibri" w:eastAsia="Noto Sans SC Thin"/>
          <w:b/>
          <w:color w:val="1F4D78"/>
        </w:rPr>
        <w:t>对论文结论的影响：</w:t>
      </w:r>
      <w:r>
        <w:rPr>
          <w:rFonts w:ascii="Calibri" w:hAnsi="Calibri" w:eastAsia="Noto Sans SC Thin"/>
        </w:rPr>
        <w:t>需要删除无效参数，或真正实现多层融合并重新报告模型结构与参数量。</w:t>
      </w:r>
    </w:p>
    <w:p>
      <w:r>
        <w:rPr>
          <w:rFonts w:ascii="Calibri" w:hAnsi="Calibri" w:eastAsia="Noto Sans SC Thin"/>
          <w:b/>
          <w:color w:val="9A6700"/>
        </w:rPr>
        <w:t>处理级别：</w:t>
      </w:r>
      <w:r>
        <w:rPr>
          <w:rFonts w:ascii="Calibri" w:hAnsi="Calibri" w:eastAsia="Noto Sans SC Thin"/>
          <w:b/>
        </w:rPr>
        <w:t>必须修正并重做相关实验</w:t>
      </w:r>
    </w:p>
    <w:p>
      <w:pPr>
        <w:pStyle w:val="Heading1"/>
        <w:keepNext/>
        <w:keepLines/>
      </w:pPr>
      <w:r>
        <w:t>四、P2：实验设计与证据链不足</w:t>
      </w:r>
    </w:p>
    <w:p>
      <w:pPr>
        <w:pStyle w:val="Heading2"/>
        <w:keepNext/>
        <w:keepLines/>
      </w:pPr>
      <w:r>
        <w:t>P2-1  主结果表混合不同实验协议</w:t>
      </w:r>
    </w:p>
    <w:p>
      <w:r>
        <w:t>表格同时混入不同stride、数据划分、模型维度、层数、增强策略和训练方法。结果提升可能来自数据协议或模型容量，而非迁移算法。</w:t>
      </w:r>
    </w:p>
    <w:p>
      <w:pPr>
        <w:pStyle w:val="Heading2"/>
        <w:keepNext/>
        <w:keepLines/>
      </w:pPr>
      <w:r>
        <w:t>P2-2  对比方法没有统一源模型检查点</w:t>
      </w:r>
    </w:p>
    <w:p>
      <w:r>
        <w:t>不同配置重新训练源域模型。即使随机种子相同，配置或训练细节变化仍会改变起点，削弱迁移策略之间的可比性。</w:t>
      </w:r>
    </w:p>
    <w:p>
      <w:pPr>
        <w:pStyle w:val="Heading2"/>
        <w:keepNext/>
        <w:keepLines/>
      </w:pPr>
      <w:r>
        <w:t>P2-3  缺少双分支和融合消融</w:t>
      </w:r>
    </w:p>
    <w:p>
      <w:r>
        <w:t>尚未完整比较时域单分支、STFT单分支、简单拼接、当前融合、真正token交叉注意力，无法证明双模态及融合模块的独立贡献。</w:t>
      </w:r>
    </w:p>
    <w:p>
      <w:pPr>
        <w:pStyle w:val="Heading2"/>
        <w:keepNext/>
        <w:keepLines/>
      </w:pPr>
      <w:r>
        <w:t>P2-4  缺少多尺度patch消融</w:t>
      </w:r>
    </w:p>
    <w:p>
      <w:r>
        <w:t>没有验证4×4、8×8、16×16各自作用，也没有比较单尺度、双尺度和三尺度。</w:t>
      </w:r>
    </w:p>
    <w:p>
      <w:pPr>
        <w:pStyle w:val="Heading2"/>
        <w:keepNext/>
        <w:keepLines/>
      </w:pPr>
      <w:r>
        <w:t>P2-5  缺少抗遗忘组件消融</w:t>
      </w:r>
    </w:p>
    <w:p>
      <w:r>
        <w:t>需要把普通微调、仅回放、仅蒸馏、蒸馏+回放、冻结、EWC等置于同一协议比较，才能确认增益来源。</w:t>
      </w:r>
    </w:p>
    <w:p>
      <w:pPr>
        <w:pStyle w:val="Heading2"/>
        <w:keepNext/>
        <w:keepLines/>
      </w:pPr>
      <w:r>
        <w:t>P2-6  仅单随机种子、缺少均值和标准差</w:t>
      </w:r>
    </w:p>
    <w:p>
      <w:r>
        <w:t>主要结果基于seed=42单次实验，不能证明结果稳定。随机划分、初始化、回放子集和早停都会改变结果。</w:t>
      </w:r>
    </w:p>
    <w:p>
      <w:pPr>
        <w:pStyle w:val="Heading2"/>
        <w:keepNext/>
        <w:keepLines/>
      </w:pPr>
      <w:r>
        <w:t>P2-7  评价指标过度依赖accuracy</w:t>
      </w:r>
    </w:p>
    <w:p>
      <w:r>
        <w:t>源目标类别数和样本量不一致时，accuracy不能完整反映少数类。缺少Macro-F1、Balanced Accuracy、每类Recall/Precision和置信区间。</w:t>
      </w:r>
    </w:p>
    <w:p>
      <w:pPr>
        <w:pStyle w:val="Heading2"/>
        <w:keepNext/>
        <w:keepLines/>
      </w:pPr>
      <w:r>
        <w:t>P2-8  没有严格的目标标签预算实验</w:t>
      </w:r>
    </w:p>
    <w:p>
      <w:r>
        <w:t>目标训练使用约70%标注数据，更接近充分监督微调。没有1%、5%、10%或每类K样本实验，不能支持少样本迁移价值。</w:t>
      </w:r>
    </w:p>
    <w:p>
      <w:pPr>
        <w:pStyle w:val="Heading2"/>
        <w:keepNext/>
        <w:keepLines/>
      </w:pPr>
      <w:r>
        <w:t>P2-9  域定义与归一化互相削弱</w:t>
      </w:r>
    </w:p>
    <w:p>
      <w:r>
        <w:t>论文把不同功率视为分布迁移来源，但逐时刻三相归一化删除大量幅值信息。剩余域差异究竟来自电机容量、标签差异还是预处理伪影未被分离。</w:t>
      </w:r>
    </w:p>
    <w:p>
      <w:pPr>
        <w:pStyle w:val="Heading2"/>
        <w:keepNext/>
        <w:keepLines/>
      </w:pPr>
      <w:r>
        <w:t>P2-10  泛化范围过窄</w:t>
      </w:r>
    </w:p>
    <w:p>
      <w:r>
        <w:t>最终主线主要验证1.0 kW到3.0 kW单一方向，没有系统覆盖1.0、1.5、3.0 kW的多方向迁移，也没有跨转速、跨负载、跨设备验证。</w:t>
      </w:r>
    </w:p>
    <w:p>
      <w:pPr>
        <w:pStyle w:val="Heading2"/>
        <w:keepNext/>
        <w:keepLines/>
      </w:pPr>
      <w:r>
        <w:t>P2-11  缺少模型容量与计算公平性</w:t>
      </w:r>
    </w:p>
    <w:p>
      <w:r>
        <w:t>embed_dim从128/256变化到384，层数和头数也变化。提升可能来自参数量增加，论文未统一报告参数量、FLOPs、训练时间和推理成本。</w:t>
      </w:r>
    </w:p>
    <w:p>
      <w:pPr>
        <w:pStyle w:val="Heading2"/>
        <w:keepNext/>
        <w:keepLines/>
      </w:pPr>
      <w:r>
        <w:t>P2-12  缺少鲁棒性验证</w:t>
      </w:r>
    </w:p>
    <w:p>
      <w:r>
        <w:t>训练基本关闭增强，没有系统测试噪声、缺失通道、幅值漂移、采样率变化和传感器偏置，因此“robust overall performance”证据不足。</w:t>
      </w:r>
    </w:p>
    <w:p>
      <w:pPr>
        <w:pStyle w:val="Heading2"/>
        <w:keepNext/>
        <w:keepLines/>
      </w:pPr>
      <w:r>
        <w:t>P2-13  混淆矩阵不足以证明抗遗忘机制</w:t>
      </w:r>
    </w:p>
    <w:p>
      <w:r>
        <w:t>对角线结构只能说明分类结果，不能证明教师软分布、参数稳定或旧决策边界被保留。需要独立的遗忘量和组件对比。</w:t>
      </w:r>
    </w:p>
    <w:p>
      <w:pPr>
        <w:pStyle w:val="Heading2"/>
        <w:keepNext/>
        <w:keepLines/>
      </w:pPr>
      <w:r>
        <w:t>P2-14  缺少同标签、同预算的target-only基线</w:t>
      </w:r>
    </w:p>
    <w:p>
      <w:r>
        <w:t>目标域使用70%真实标签微调，却没有在同样标签量和训练预算下从头训练目标模型。无法判断增益来自源域迁移，还是目标监督数据本身已经足够。</w:t>
      </w:r>
    </w:p>
    <w:p>
      <w:pPr>
        <w:pStyle w:val="Heading2"/>
        <w:keepNext/>
        <w:keepLines/>
      </w:pPr>
      <w:r>
        <w:t>P2-15  解释性样本存在选择偏差</w:t>
      </w:r>
    </w:p>
    <w:p>
      <w:r>
        <w:t>论文展示高置信且正确分类的代表样本，但没有预先定义抽样规则，也没有覆盖不同类别、错误样本和多次运行。单张注意力图不能证明一般性故障机理。</w:t>
      </w:r>
    </w:p>
    <w:p>
      <w:pPr>
        <w:pStyle w:val="Heading1"/>
        <w:keepNext/>
        <w:keepLines/>
      </w:pPr>
      <w:r>
        <w:t>五、P3：论文定位、术语和复现问题</w:t>
      </w:r>
    </w:p>
    <w:p>
      <w:pPr>
        <w:pStyle w:val="Heading2"/>
        <w:keepNext/>
        <w:keepLines/>
      </w:pPr>
      <w:r>
        <w:t>P3-1  CrossViT命名需要加限定</w:t>
      </w:r>
    </w:p>
    <w:p>
      <w:r>
        <w:t>原始CrossViT通常指图像多尺度patch分支及跨尺度交互；本项目是时域—STFT双模态Transformer。更稳妥的名称是CrossViT-inspired dual-branch time-frequency Transformer。</w:t>
      </w:r>
    </w:p>
    <w:p>
      <w:pPr>
        <w:pStyle w:val="Heading2"/>
        <w:keepNext/>
        <w:keepLines/>
      </w:pPr>
      <w:r>
        <w:t>P3-2  “频域分支”与“时频分支”混用</w:t>
      </w:r>
    </w:p>
    <w:p>
      <w:r>
        <w:t>STFT保留时间和频率两个维度，结果是时频表示，不是单纯频域谱。论文和代码注释应统一。</w:t>
      </w:r>
    </w:p>
    <w:p>
      <w:pPr>
        <w:pStyle w:val="Heading2"/>
        <w:keepNext/>
        <w:keepLines/>
      </w:pPr>
      <w:r>
        <w:t>P3-3  PHM范围可能被过度扩展</w:t>
      </w:r>
    </w:p>
    <w:p>
      <w:r>
        <w:t>当前研究是故障分类和跨工况迁移，属于PHM中的诊断环节；没有退化建模、RUL预测、健康指数或维护决策，不宜描述为完整PHM系统。</w:t>
      </w:r>
    </w:p>
    <w:p>
      <w:pPr>
        <w:pStyle w:val="Heading2"/>
        <w:keepNext/>
        <w:keepLines/>
      </w:pPr>
      <w:r>
        <w:t>P3-4  数据集16类协议缺少可复现定义</w:t>
      </w:r>
    </w:p>
    <w:p>
      <w:r>
        <w:t>论文没有给出16类逐类映射。应明确两种0_00健康基线分别属于intercoil和interturn，并按“故障类型+组内严重度等级”列出三个功率的对应关系，不能再用fault_code字符串排序。</w:t>
      </w:r>
    </w:p>
    <w:p>
      <w:pPr>
        <w:pStyle w:val="Heading2"/>
        <w:keepNext/>
        <w:keepLines/>
      </w:pPr>
      <w:r>
        <w:t>P3-5  模型配置在仓库中不统一</w:t>
      </w:r>
    </w:p>
    <w:p>
      <w:r>
        <w:t>模型默认值为embed_dim=128、heads=8、layers=4；EXP1使用256/8/2；最终EXP3使用384/4/2。论文必须逐实验列出真实配置，不能只给一个通用结构。</w:t>
      </w:r>
    </w:p>
    <w:p>
      <w:pPr>
        <w:pStyle w:val="Heading2"/>
        <w:keepNext/>
        <w:keepLines/>
      </w:pPr>
      <w:r>
        <w:t>P3-6  Balance Score不是标准评价指标</w:t>
      </w:r>
    </w:p>
    <w:p>
      <w:r>
        <w:t>该分数由任务自定义、带阈值和封顶奖励，缺少理论依据及敏感性分析；即使修正公式，也应把源、目标准确率和遗忘量作为主指标。</w:t>
      </w:r>
    </w:p>
    <w:p>
      <w:pPr>
        <w:pStyle w:val="Heading2"/>
        <w:keepNext/>
        <w:keepLines/>
      </w:pPr>
      <w:r>
        <w:t>P3-7  结果演化表容易造成不可比误读</w:t>
      </w:r>
    </w:p>
    <w:p>
      <w:r>
        <w:t>旧协议与新协议用斜杠写在同一单元格，并明确不是重复试验。读者难以判断哪些结果可直接比较，建议分表并标注协议版本。</w:t>
      </w:r>
    </w:p>
    <w:p>
      <w:pPr>
        <w:pStyle w:val="Heading2"/>
        <w:keepNext/>
        <w:keepLines/>
      </w:pPr>
      <w:r>
        <w:t>P3-8  物理机理解释不足</w:t>
      </w:r>
    </w:p>
    <w:p>
      <w:r>
        <w:t>尚未把模型关注区域对应到电频、转频、谐波、边频带、三相不平衡或短路严重度，注意力图不能自动等同于故障机理。</w:t>
      </w:r>
    </w:p>
    <w:p>
      <w:pPr>
        <w:pStyle w:val="Heading2"/>
        <w:keepNext/>
        <w:keepLines/>
      </w:pPr>
      <w:r>
        <w:t>P3-9  可视化坐标和术语需要复核</w:t>
      </w:r>
    </w:p>
    <w:p>
      <w:r>
        <w:t>谱图数组通常以频率为纵轴、时间为横轴；部分代码图注把横轴写Frequency、纵轴写Time，可能颠倒。</w:t>
      </w:r>
    </w:p>
    <w:p>
      <w:pPr>
        <w:pStyle w:val="Heading2"/>
        <w:keepNext/>
        <w:keepLines/>
      </w:pPr>
      <w:r>
        <w:t>P3-10  论文中的稳定、鲁棒、有效等结论强度过高</w:t>
      </w:r>
    </w:p>
    <w:p>
      <w:r>
        <w:t>在单任务、单种子、测试集选模和潜在数据泄漏条件下，不能直接使用robust、stable、demonstrating等强结论，需要由修正实验重新支持。</w:t>
      </w:r>
    </w:p>
    <w:p>
      <w:pPr>
        <w:pStyle w:val="Heading2"/>
        <w:keepNext/>
        <w:keepLines/>
      </w:pPr>
      <w:r>
        <w:t>P3-11  仓库CSV与聊天中上传CSV不是同一数据版本</w:t>
      </w:r>
    </w:p>
    <w:p>
      <w:r>
        <w:t>仓库完整CSV约有12.4—12.6万行并包含电流与振动两种记录；聊天中上传的三个CSV分别约5.45万、4.12万、2.74万行，vibration_signal为空且类别只是子集。论文必须记录数据生成脚本、版本哈希、原始TDMS清单和输出统计，避免再次因不同文件版本得到矛盾结论。</w:t>
      </w:r>
    </w:p>
    <w:p>
      <w:pPr>
        <w:pStyle w:val="Heading1"/>
        <w:keepNext/>
        <w:keepLines/>
      </w:pPr>
      <w:r>
        <w:t>六、问题之间的因果链</w:t>
      </w:r>
    </w:p>
    <w:p>
      <w:pPr>
        <w:pStyle w:val="CriticalCallout"/>
        <w:shd w:fill="FDECEC"/>
        <w:pBdr>
          <w:left w:val="single" w:sz="18" w:space="8" w:color="B42318"/>
        </w:pBdr>
      </w:pPr>
      <w:r>
        <w:rPr>
          <w:rFonts w:ascii="Calibri" w:hAnsi="Calibri" w:eastAsia="Noto Sans SC Thin"/>
          <w:b/>
          <w:color w:val="B42318"/>
        </w:rPr>
        <w:t>核心研究链断点：</w:t>
      </w:r>
      <w:r>
        <w:rPr>
          <w:rFonts w:ascii="Calibri" w:hAnsi="Calibri" w:eastAsia="Noto Sans SC Thin"/>
          <w:color w:val="243447"/>
        </w:rPr>
        <w:t>源数据本有16个实验类别 → CSV把1.01%电流文件解析错位 → 代码只用fault_code并合并两个0_00 → 1.0 kW显示异常16码、3.0 kW只有15码 → 两域再各自按字符串排序编码 → 同一输出节点对应不同故障 → 蒸馏、微调和抗遗忘评价失去物理含义。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原始连续数据 → 高重叠滑窗 → 随机拆分窗口 → 训练集和测试集共享大量采样点 → 测试准确率偏高。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多个配置反复评价目标测试集 → 按测试成绩选择最佳模型 → 测试集参与开发 → 最终测试成绩产生选择偏差。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时域和时频token先全局平均 → 每个模态只剩一个token → 交叉注意力softmax恒为1 → 无法实现token级跨模态匹配。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论文公式与代码Balance Score不一致 → 用测试集计算自定义分数 → 89.10加奖励得到99.10 → 指标含义容易被误读。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V4特征在no_grad中提取 → MMD与DANN梯度无法回到编码器 → 所谓分布对齐未真正发生 → 对比结论无效。</w:t>
      </w:r>
    </w:p>
    <w:p>
      <w:pPr>
        <w:pStyle w:val="Heading1"/>
        <w:keepNext/>
        <w:keepLines/>
      </w:pPr>
      <w:r>
        <w:t>七、整改优先级与现有结果处置建议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00"/>
        <w:gridCol w:w="3140"/>
        <w:gridCol w:w="2820"/>
      </w:tblGrid>
      <w:tr>
        <w:trPr>
          <w:tblHeader w:val="true"/>
        </w:trPr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顺序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需要先解决的问题</w:t>
            </w:r>
          </w:p>
        </w:tc>
        <w:tc>
          <w:tcPr>
            <w:tcW w:type="dxa" w:w="31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完成标准</w:t>
            </w:r>
          </w:p>
        </w:tc>
        <w:tc>
          <w:tcPr>
            <w:tcW w:type="dxa" w:w="28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SC Thin"/>
                <w:b/>
                <w:color w:val="1F4D78"/>
                <w:sz w:val="18"/>
              </w:rPr>
              <w:t>现有结果处置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8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重转TDMS并修复1.01%解析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每行保留record_id、模态、故障组、严重度和功率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旧CSV标签实验作废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8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建立全局16类映射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类别键=(fault_category, severity_rank)，三域共享同一label_id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旧分类器与混淆矩阵作废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8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按原始文件或时间块先划分，再滑窗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训练、验证、测试之间没有原始点重叠或跨记录窗口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旧准确率全部重跑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8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修正电流输入、归一化与STFT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明确只用电流或真正加入振动；归一化轴和采样率正确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重新生成全部输入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8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只用验证集选模型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测试集在最终方案确定后只运行一次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旧best/top-2结论作废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8"/>
              </w:rPr>
              <w:t>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修正融合、MMD与DANN实现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梯度链与损失定义通过单元测试；融合语义与论文一致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旧结构/域适应消融作废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8"/>
              </w:rPr>
              <w:t>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统一迁移协议和模型容量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所有方法共享数据、检查点、标签预算和选择规则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重新生成主结果表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Noto Sans SC Thin"/>
                <w:sz w:val="18"/>
              </w:rPr>
              <w:t>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多种子与完整指标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至少3至5次独立实验，报告均值±标准差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Noto Sans SC Thin"/>
                <w:sz w:val="18"/>
              </w:rPr>
              <w:t>形成最终投稿数字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八、可以保留的研究主线</w:t>
      </w:r>
    </w:p>
    <w:p>
      <w:pPr>
        <w:pStyle w:val="GoodCallout"/>
        <w:shd w:fill="ECFDF3"/>
        <w:pBdr>
          <w:left w:val="single" w:sz="18" w:space="8" w:color="027A48"/>
        </w:pBdr>
      </w:pPr>
      <w:r>
        <w:rPr>
          <w:rFonts w:ascii="Calibri" w:hAnsi="Calibri" w:eastAsia="Noto Sans SC Thin"/>
          <w:b/>
          <w:color w:val="027A48"/>
        </w:rPr>
        <w:t>可保留部分：</w:t>
      </w:r>
      <w:r>
        <w:rPr>
          <w:rFonts w:ascii="Calibri" w:hAnsi="Calibri" w:eastAsia="Noto Sans SC Thin"/>
          <w:color w:val="243447"/>
        </w:rPr>
        <w:t>问题主要集中在数据协议和证据链，并不意味着整个选题没有价值。可以保留“PMSM三相电流时域与STFT时频联合建模”和“迁移时同时关注目标适应与源域遗忘”两条核心思想。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跨容量或跨工况PMSM故障诊断具有实际意义。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时域原始波形与STFT时频信息具有互补性，值得继续验证。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只追求目标准确率可能导致源域遗忘，这一研究问题成立。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教师—学生蒸馏与源域回放可以作为抗遗忘候选方法，但需要在严格协议下重新评价。</w:t>
      </w:r>
    </w:p>
    <w:p>
      <w:pPr>
        <w:numPr>
          <w:ilvl w:val="0"/>
          <w:numId w:val="10"/>
        </w:numPr>
      </w:pPr>
      <w:r>
        <w:rPr>
          <w:rFonts w:ascii="Calibri" w:hAnsi="Calibri" w:eastAsia="Noto Sans SC Thin"/>
        </w:rPr>
        <w:t>修正后可将论文贡献收敛为：可靠的数据协议、时频双分支模型、源目标双目标评价和抗遗忘迁移。</w:t>
      </w:r>
    </w:p>
    <w:p>
      <w:pPr>
        <w:pStyle w:val="Heading1"/>
        <w:keepNext/>
        <w:keepLines/>
      </w:pPr>
      <w:r>
        <w:t>附录A：关键代码与论文证据位置</w:t>
      </w:r>
    </w:p>
    <w:p>
      <w:r>
        <w:rPr>
          <w:rFonts w:ascii="Calibri" w:hAnsi="Calibri" w:eastAsia="Noto Sans SC Thin"/>
          <w:b/>
          <w:color w:val="1F4D78"/>
        </w:rPr>
        <w:t>源数据类别与文件命名说明：</w:t>
      </w:r>
      <w:hyperlink r:id="rId11">
        <w:r>
          <w:rPr>
            <w:color w:val="2E74B5"/>
            <w:u w:val="single"/>
            <w:rFonts w:ascii="Calibri" w:hAnsi="Calibri" w:eastAsia="Noto Sans SC Thin"/>
          </w:rPr>
          <w:t>Mendeley Data version 5</w:t>
        </w:r>
      </w:hyperlink>
    </w:p>
    <w:p>
      <w:r>
        <w:rPr>
          <w:rFonts w:ascii="Calibri" w:hAnsi="Calibri" w:eastAsia="Noto Sans SC Thin"/>
          <w:b/>
          <w:color w:val="1F4D78"/>
        </w:rPr>
        <w:t>数据处理与滑窗划分：</w:t>
      </w:r>
      <w:hyperlink r:id="rId12">
        <w:r>
          <w:rPr>
            <w:color w:val="2E74B5"/>
            <w:u w:val="single"/>
            <w:rFonts w:ascii="Calibri" w:hAnsi="Calibri" w:eastAsia="Noto Sans SC Thin"/>
          </w:rPr>
          <w:t>data/data_processor_128.py</w:t>
        </w:r>
      </w:hyperlink>
    </w:p>
    <w:p>
      <w:r>
        <w:rPr>
          <w:rFonts w:ascii="Calibri" w:hAnsi="Calibri" w:eastAsia="Noto Sans SC Thin"/>
          <w:b/>
          <w:color w:val="1F4D78"/>
        </w:rPr>
        <w:t>双分支模型与交叉注意力：</w:t>
      </w:r>
      <w:hyperlink r:id="rId13">
        <w:r>
          <w:rPr>
            <w:color w:val="2E74B5"/>
            <w:u w:val="single"/>
            <w:rFonts w:ascii="Calibri" w:hAnsi="Calibri" w:eastAsia="Noto Sans SC Thin"/>
          </w:rPr>
          <w:t>models/crossvit.py</w:t>
        </w:r>
      </w:hyperlink>
    </w:p>
    <w:p>
      <w:r>
        <w:rPr>
          <w:rFonts w:ascii="Calibri" w:hAnsi="Calibri" w:eastAsia="Noto Sans SC Thin"/>
          <w:b/>
          <w:color w:val="1F4D78"/>
        </w:rPr>
        <w:t>蒸馏、EWC、测试评价与Balance Score：</w:t>
      </w:r>
      <w:hyperlink r:id="rId14">
        <w:r>
          <w:rPr>
            <w:color w:val="2E74B5"/>
            <w:u w:val="single"/>
            <w:rFonts w:ascii="Calibri" w:hAnsi="Calibri" w:eastAsia="Noto Sans SC Thin"/>
          </w:rPr>
          <w:t>scripts/exp3_v3_721.py</w:t>
        </w:r>
      </w:hyperlink>
    </w:p>
    <w:p>
      <w:r>
        <w:rPr>
          <w:rFonts w:ascii="Calibri" w:hAnsi="Calibri" w:eastAsia="Noto Sans SC Thin"/>
          <w:b/>
          <w:color w:val="1F4D78"/>
        </w:rPr>
        <w:t>MMD、DANN与伪标签候选实现：</w:t>
      </w:r>
      <w:hyperlink r:id="rId15">
        <w:r>
          <w:rPr>
            <w:color w:val="2E74B5"/>
            <w:u w:val="single"/>
            <w:rFonts w:ascii="Calibri" w:hAnsi="Calibri" w:eastAsia="Noto Sans SC Thin"/>
          </w:rPr>
          <w:t>scripts/exp3_v4_721.py</w:t>
        </w:r>
      </w:hyperlink>
    </w:p>
    <w:p>
      <w:r>
        <w:rPr>
          <w:rFonts w:ascii="Calibri" w:hAnsi="Calibri" w:eastAsia="Noto Sans SC Thin"/>
          <w:b/>
          <w:color w:val="1F4D78"/>
        </w:rPr>
        <w:t>EXP1/EXP2与域适应流程：</w:t>
      </w:r>
      <w:hyperlink r:id="rId16">
        <w:r>
          <w:rPr>
            <w:color w:val="2E74B5"/>
            <w:u w:val="single"/>
            <w:rFonts w:ascii="Calibri" w:hAnsi="Calibri" w:eastAsia="Noto Sans SC Thin"/>
          </w:rPr>
          <w:t>scripts/exp1_train_721.py</w:t>
        </w:r>
      </w:hyperlink>
    </w:p>
    <w:p>
      <w:r>
        <w:rPr>
          <w:rFonts w:ascii="Calibri" w:hAnsi="Calibri" w:eastAsia="Noto Sans SC Thin"/>
          <w:b/>
          <w:color w:val="1F4D78"/>
        </w:rPr>
        <w:t>最终论文：</w:t>
      </w:r>
      <w:hyperlink r:id="rId17">
        <w:r>
          <w:rPr>
            <w:color w:val="2E74B5"/>
            <w:u w:val="single"/>
            <w:rFonts w:ascii="Calibri" w:hAnsi="Calibri" w:eastAsia="Noto Sans SC Thin"/>
          </w:rPr>
          <w:t>PHM-Jinan2026_Huang_AntiForgettingTransfer.pdf</w:t>
        </w:r>
      </w:hyperlink>
    </w:p>
    <w:p>
      <w:r>
        <w:br w:type="page"/>
      </w:r>
    </w:p>
    <w:p>
      <w:pPr>
        <w:pStyle w:val="Heading1"/>
        <w:keepNext/>
        <w:keepLines/>
      </w:pPr>
      <w:r>
        <w:t>附录B：最终结论</w:t>
      </w:r>
    </w:p>
    <w:p>
      <w:r>
        <w:rPr>
          <w:rFonts w:ascii="Calibri" w:hAnsi="Calibri" w:eastAsia="Noto Sans SC Thin"/>
          <w:b/>
          <w:color w:val="B42318"/>
          <w:sz w:val="24"/>
        </w:rPr>
        <w:t>当前论文不是“只需要润色”，而是需要先修复实验有效性。</w:t>
      </w:r>
    </w:p>
    <w:p>
      <w:r>
        <w:t>最先处理TDMS转换、16类全局映射、无泄漏划分和独立测试。当前主实验并不是“源数据只有15类”，而是代码把正确的16类协议处理成了源域异常16码、目标域15码，并让两域标签语义错位。在完成全链条重跑前，不建议继续围绕91.03%、89.10%和99.10%进行结论包装；这些数字应视为旧错误协议下的开发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SC Thin"/>
        <w:color w:val="667085"/>
        <w:sz w:val="18"/>
      </w:rPr>
      <w:t xml:space="preserve">第 </w:t>
    </w:r>
    <w:fldSimple w:instr="PAGE"/>
    <w:r>
      <w:rPr>
        <w:rFonts w:ascii="Calibri" w:hAnsi="Calibri" w:eastAsia="Noto Sans SC Thin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Noto Sans SC Thin"/>
        <w:color w:val="667085"/>
        <w:sz w:val="18"/>
      </w:rPr>
      <w:t>PMSM论文问题诊断  |  内部研究复核稿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SC Thin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C Thi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C Thi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iticalCallout">
    <w:name w:val="Critical Callout"/>
    <w:basedOn w:val="Normal"/>
    <w:pPr>
      <w:spacing w:before="160" w:after="200" w:line="276" w:lineRule="auto"/>
      <w:ind w:left="230" w:right="173"/>
    </w:pPr>
  </w:style>
  <w:style w:type="paragraph" w:customStyle="1" w:styleId="NoteCallout">
    <w:name w:val="Note Callout"/>
    <w:basedOn w:val="Normal"/>
    <w:pPr>
      <w:spacing w:before="160" w:after="200" w:line="276" w:lineRule="auto"/>
      <w:ind w:left="230" w:right="173"/>
    </w:pPr>
  </w:style>
  <w:style w:type="paragraph" w:customStyle="1" w:styleId="GoodCallout">
    <w:name w:val="Good Callout"/>
    <w:basedOn w:val="Normal"/>
    <w:pPr>
      <w:spacing w:before="160" w:after="200" w:line="276" w:lineRule="auto"/>
      <w:ind w:left="230" w:right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ta.mendeley.com/datasets/rgn5brrgrn/5" TargetMode="External"/><Relationship Id="rId12" Type="http://schemas.openxmlformats.org/officeDocument/2006/relationships/hyperlink" Target="https://github.com/huangsl123/phm-pmsm/blob/main/data/data_processor_128.py" TargetMode="External"/><Relationship Id="rId13" Type="http://schemas.openxmlformats.org/officeDocument/2006/relationships/hyperlink" Target="https://github.com/huangsl123/phm-pmsm/blob/main/models/crossvit.py" TargetMode="External"/><Relationship Id="rId14" Type="http://schemas.openxmlformats.org/officeDocument/2006/relationships/hyperlink" Target="https://github.com/huangsl123/phm-pmsm/blob/main/scripts/exp3_v3_721.py" TargetMode="External"/><Relationship Id="rId15" Type="http://schemas.openxmlformats.org/officeDocument/2006/relationships/hyperlink" Target="https://github.com/huangsl123/phm-pmsm/blob/main/scripts/exp3_v4_721.py" TargetMode="External"/><Relationship Id="rId16" Type="http://schemas.openxmlformats.org/officeDocument/2006/relationships/hyperlink" Target="https://github.com/huangsl123/phm-pmsm/blob/main/scripts/exp1_train_721.py" TargetMode="External"/><Relationship Id="rId17" Type="http://schemas.openxmlformats.org/officeDocument/2006/relationships/hyperlink" Target="https://github.com/huangsl123/phm-pmsm/blob/main/PHM_%E4%BC%9A%E8%AE%AE%E8%AE%BA%E6%96%87_%E4%B8%AD%E8%8B%B1%E6%96%87%E4%B8%8E%E5%9B%BE/latest/PHM-Jinan2026_Huang_AntiForgettingTransf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PMSM论文问题全面诊断报告（修订版）</dc:title>
  <dc:subject>跨工况PMSM故障诊断与抗遗忘迁移学习项目问题复核</dc:subject>
  <dc:creator>OpenAI</dc:creator>
  <cp:keywords>PMSM, CrossViT, 迁移学习, 数据泄漏, 标签对齐, 论文诊断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