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7FD2C1">
      <w:pPr>
        <w:rPr>
          <w:b/>
          <w:bCs/>
        </w:rPr>
      </w:pPr>
      <w:r>
        <w:rPr>
          <w:rFonts w:hint="eastAsia"/>
          <w:b/>
          <w:bCs/>
        </w:rPr>
        <w:t>1.引言：介绍别人的工作，迁移学习预适应，传统深度学习做论述，总结我做的；2.大的方法背景：迁移学习，域适应相关的内容，知识蒸馏（持续学习相关），两个比较宏观的方法域；3.最后谈自己的方法及细节，方法思路更多是继承别人的方法，你的代码扔给大模型，方法的伪代码，overall 总图（缩略性的文章）；4.实验：消融实验，基于注意力的函数激活图的可视化；5。总结</w:t>
      </w:r>
      <w:bookmarkStart w:id="0" w:name="_GoBack"/>
      <w:bookmarkEnd w:id="0"/>
    </w:p>
    <w:p w14:paraId="06C2449B">
      <w:pPr>
        <w:rPr>
          <w:b/>
          <w:bCs/>
        </w:rPr>
      </w:pPr>
      <w:r>
        <w:rPr>
          <w:b/>
          <w:bCs/>
        </w:rPr>
        <w:t>一、摘要</w:t>
      </w:r>
    </w:p>
    <w:p w14:paraId="65CE99C4">
      <w:r>
        <w:t>简述跨功率域故障诊断的实际需求，点明灾难性遗忘问题，概括研究内容，报告核心结论（</w:t>
      </w:r>
      <w:r>
        <w:rPr>
          <w:rFonts w:hint="eastAsia"/>
        </w:rPr>
        <w:t>所提方法</w:t>
      </w:r>
      <w:r>
        <w:t>在源域保留与目标域迁移之间取得最佳平衡）。</w:t>
      </w:r>
    </w:p>
    <w:p w14:paraId="41EDDB88">
      <w:r>
        <w:pict>
          <v:rect id="_x0000_i1025" o:spt="1" style="height:1.5pt;width:0pt;" fillcolor="#A0A0A0" filled="t" stroked="f" coordsize="21600,21600" o:hr="t" o:hrstd="t" o:hralign="center">
            <v:path/>
            <v:fill on="t" focussize="0,0"/>
            <v:stroke on="f"/>
            <v:imagedata o:title=""/>
            <o:lock v:ext="edit"/>
            <w10:wrap type="none"/>
            <w10:anchorlock/>
          </v:rect>
        </w:pict>
      </w:r>
    </w:p>
    <w:p w14:paraId="5D0BB663">
      <w:pPr>
        <w:rPr>
          <w:b/>
          <w:bCs/>
        </w:rPr>
      </w:pPr>
      <w:r>
        <w:rPr>
          <w:b/>
          <w:bCs/>
        </w:rPr>
        <w:t>二、引言</w:t>
      </w:r>
    </w:p>
    <w:p w14:paraId="2560E6D5">
      <w:r>
        <w:rPr>
          <w:b/>
          <w:bCs/>
        </w:rPr>
        <w:t>第一段</w:t>
      </w:r>
      <w:r>
        <w:t>：从工业设备健康监测的现实需求切入，说明不同功率工况下数据分布存在显著域偏移，引出跨域故障诊断的核心挑战。</w:t>
      </w:r>
    </w:p>
    <w:p w14:paraId="5CCBF140">
      <w:r>
        <w:rPr>
          <w:b/>
          <w:bCs/>
        </w:rPr>
        <w:t>第二段</w:t>
      </w:r>
      <w:r>
        <w:t>：说明</w:t>
      </w:r>
      <w:r>
        <w:rPr>
          <w:rFonts w:hint="eastAsia"/>
        </w:rPr>
        <w:t>迁移学习</w:t>
      </w:r>
      <w:r>
        <w:t>虽能提升目标域性能，但会引发灾难性遗忘，导致源域知识严重损失。</w:t>
      </w:r>
    </w:p>
    <w:p w14:paraId="11843E51">
      <w:r>
        <w:rPr>
          <w:rFonts w:hint="eastAsia"/>
          <w:b/>
          <w:bCs/>
        </w:rPr>
        <w:t>第三段：</w:t>
      </w:r>
      <w:r>
        <w:t>引出持续学习领域针对遗忘问题的研究背景，指出将持续学习策略引入跨域迁移场景目前尚缺乏系统性研究。</w:t>
      </w:r>
    </w:p>
    <w:p w14:paraId="1957611A">
      <w:r>
        <w:rPr>
          <w:b/>
          <w:bCs/>
        </w:rPr>
        <w:t>第</w:t>
      </w:r>
      <w:r>
        <w:rPr>
          <w:rFonts w:hint="eastAsia"/>
          <w:b/>
          <w:bCs/>
        </w:rPr>
        <w:t>四</w:t>
      </w:r>
      <w:r>
        <w:rPr>
          <w:b/>
          <w:bCs/>
        </w:rPr>
        <w:t>段</w:t>
      </w:r>
      <w:r>
        <w:t>：列出本文三点贡献：</w:t>
      </w:r>
    </w:p>
    <w:p w14:paraId="4834D459">
      <w:pPr>
        <w:numPr>
          <w:ilvl w:val="0"/>
          <w:numId w:val="1"/>
        </w:numPr>
      </w:pPr>
      <w:r>
        <w:rPr>
          <w:rFonts w:hint="eastAsia"/>
        </w:rPr>
        <w:t>迁移学习</w:t>
      </w:r>
    </w:p>
    <w:p w14:paraId="2DC33320">
      <w:pPr>
        <w:numPr>
          <w:ilvl w:val="0"/>
          <w:numId w:val="1"/>
        </w:numPr>
      </w:pPr>
      <w:r>
        <w:t>持续学习</w:t>
      </w:r>
      <w:r>
        <w:rPr>
          <w:rFonts w:hint="eastAsia"/>
        </w:rPr>
        <w:t>防遗忘</w:t>
      </w:r>
    </w:p>
    <w:p w14:paraId="229734F4">
      <w:pPr>
        <w:numPr>
          <w:ilvl w:val="0"/>
          <w:numId w:val="1"/>
        </w:numPr>
      </w:pPr>
      <w:r>
        <w:rPr>
          <w:rFonts w:hint="eastAsia"/>
        </w:rPr>
        <w:t>提出跨功率故障诊断的双目标评估框架</w:t>
      </w:r>
      <w:r>
        <w:pict>
          <v:rect id="_x0000_i1026" o:spt="1" style="height:1.5pt;width:0pt;" fillcolor="#A0A0A0" filled="t" stroked="f" coordsize="21600,21600" o:hr="t" o:hrstd="t" o:hralign="center">
            <v:path/>
            <v:fill on="t" focussize="0,0"/>
            <v:stroke on="f"/>
            <v:imagedata o:title=""/>
            <o:lock v:ext="edit"/>
            <w10:wrap type="none"/>
            <w10:anchorlock/>
          </v:rect>
        </w:pict>
      </w:r>
    </w:p>
    <w:p w14:paraId="1DD73DA0">
      <w:pPr>
        <w:rPr>
          <w:b/>
          <w:bCs/>
        </w:rPr>
      </w:pPr>
      <w:r>
        <w:rPr>
          <w:b/>
          <w:bCs/>
        </w:rPr>
        <w:t>三、相关工作</w:t>
      </w:r>
    </w:p>
    <w:p w14:paraId="6563D374">
      <w:pPr>
        <w:rPr>
          <w:b/>
          <w:bCs/>
        </w:rPr>
      </w:pPr>
      <w:r>
        <w:rPr>
          <w:b/>
          <w:bCs/>
        </w:rPr>
        <w:t>3.1 跨域迁移学习</w:t>
      </w:r>
    </w:p>
    <w:p w14:paraId="41B3E90D">
      <w:r>
        <w:t>介绍fine-tuning范式在旋转机械故障诊断中的应用现状，讨论域偏移问题及现有方法在功率跨域场景下源域知识保留不足的局限性。</w:t>
      </w:r>
    </w:p>
    <w:p w14:paraId="2E005E62">
      <w:pPr>
        <w:rPr>
          <w:b/>
          <w:bCs/>
        </w:rPr>
      </w:pPr>
      <w:r>
        <w:rPr>
          <w:b/>
          <w:bCs/>
        </w:rPr>
        <w:t>3.2 持续学习</w:t>
      </w:r>
    </w:p>
    <w:p w14:paraId="5F319417">
      <w:r>
        <w:t>介绍持续学习的研究背景与核心问题，指出各类方法在小样本工业场景下的潜在问题与研究空白。</w:t>
      </w:r>
    </w:p>
    <w:p w14:paraId="0C0B22EE">
      <w:r>
        <w:pict>
          <v:rect id="_x0000_i1027" o:spt="1" style="height:1.5pt;width:0pt;" fillcolor="#A0A0A0" filled="t" stroked="f" coordsize="21600,21600" o:hr="t" o:hrstd="t" o:hralign="center">
            <v:path/>
            <v:fill on="t" focussize="0,0"/>
            <v:stroke on="f"/>
            <v:imagedata o:title=""/>
            <o:lock v:ext="edit"/>
            <w10:wrap type="none"/>
            <w10:anchorlock/>
          </v:rect>
        </w:pict>
      </w:r>
    </w:p>
    <w:p w14:paraId="2247BF82">
      <w:pPr>
        <w:rPr>
          <w:b/>
          <w:bCs/>
        </w:rPr>
      </w:pPr>
      <w:r>
        <w:rPr>
          <w:b/>
          <w:bCs/>
        </w:rPr>
        <w:t>四、方法</w:t>
      </w:r>
    </w:p>
    <w:p w14:paraId="3132F7C5">
      <w:pPr>
        <w:rPr>
          <w:b/>
          <w:bCs/>
        </w:rPr>
      </w:pPr>
      <w:r>
        <w:rPr>
          <w:b/>
          <w:bCs/>
        </w:rPr>
        <w:t>4.</w:t>
      </w:r>
      <w:r>
        <w:rPr>
          <w:rFonts w:hint="eastAsia"/>
          <w:b/>
          <w:bCs/>
        </w:rPr>
        <w:t>1</w:t>
      </w:r>
      <w:r>
        <w:rPr>
          <w:b/>
          <w:bCs/>
        </w:rPr>
        <w:t xml:space="preserve"> 基础模型架构</w:t>
      </w:r>
    </w:p>
    <w:p w14:paraId="0B5801E8">
      <w:r>
        <w:t>两三句问题定义</w:t>
      </w:r>
      <w:r>
        <w:rPr>
          <w:rFonts w:hint="eastAsia"/>
        </w:rPr>
        <w:t>+</w:t>
      </w:r>
      <w:r>
        <w:t>描述</w:t>
      </w:r>
      <w:r>
        <w:rPr>
          <w:rFonts w:hint="eastAsia"/>
        </w:rPr>
        <w:t>所提模型架构</w:t>
      </w:r>
      <w:r>
        <w:t>。</w:t>
      </w:r>
    </w:p>
    <w:p w14:paraId="4A4DE3BE">
      <w:pPr>
        <w:rPr>
          <w:b/>
          <w:bCs/>
        </w:rPr>
      </w:pPr>
      <w:r>
        <w:rPr>
          <w:b/>
          <w:bCs/>
        </w:rPr>
        <w:t>4.</w:t>
      </w:r>
      <w:r>
        <w:rPr>
          <w:rFonts w:hint="eastAsia"/>
          <w:b/>
          <w:bCs/>
        </w:rPr>
        <w:t>2</w:t>
      </w:r>
      <w:r>
        <w:rPr>
          <w:b/>
          <w:bCs/>
        </w:rPr>
        <w:t xml:space="preserve"> 持续学习策略</w:t>
      </w:r>
    </w:p>
    <w:p w14:paraId="0E3F57AF">
      <w:r>
        <w:rPr>
          <w:rFonts w:hint="eastAsia"/>
        </w:rPr>
        <w:t>防遗忘策略</w:t>
      </w:r>
      <w:r>
        <w:t>。</w:t>
      </w:r>
    </w:p>
    <w:p w14:paraId="71C4987A">
      <w:pPr>
        <w:rPr>
          <w:b/>
          <w:bCs/>
        </w:rPr>
      </w:pPr>
      <w:r>
        <w:rPr>
          <w:b/>
          <w:bCs/>
        </w:rPr>
        <w:t>4.</w:t>
      </w:r>
      <w:r>
        <w:rPr>
          <w:rFonts w:hint="eastAsia"/>
          <w:b/>
          <w:bCs/>
        </w:rPr>
        <w:t>3</w:t>
      </w:r>
      <w:r>
        <w:rPr>
          <w:b/>
          <w:bCs/>
        </w:rPr>
        <w:t xml:space="preserve"> 整体框架</w:t>
      </w:r>
    </w:p>
    <w:p w14:paraId="1E1A7C08">
      <w:r>
        <w:t>用总图呈现完整流程</w:t>
      </w:r>
      <w:r>
        <w:rPr>
          <w:rFonts w:hint="eastAsia"/>
        </w:rPr>
        <w:t>，+ 总述方法整体框架</w:t>
      </w:r>
    </w:p>
    <w:p w14:paraId="22AADD5C">
      <w:pPr>
        <w:rPr>
          <w:rFonts w:hint="eastAsia"/>
        </w:rPr>
      </w:pPr>
      <w:r>
        <w:pict>
          <v:rect id="_x0000_i1028" o:spt="1" style="height:1.5pt;width:0pt;" fillcolor="#A0A0A0" filled="t" stroked="f" coordsize="21600,21600" o:hr="t" o:hrstd="t" o:hralign="center">
            <v:path/>
            <v:fill on="t" focussize="0,0"/>
            <v:stroke on="f"/>
            <v:imagedata o:title=""/>
            <o:lock v:ext="edit"/>
            <w10:wrap type="none"/>
            <w10:anchorlock/>
          </v:rect>
        </w:pict>
      </w:r>
    </w:p>
    <w:p w14:paraId="29E460A7">
      <w:pPr>
        <w:rPr>
          <w:b/>
          <w:bCs/>
        </w:rPr>
      </w:pPr>
      <w:r>
        <w:rPr>
          <w:b/>
          <w:bCs/>
        </w:rPr>
        <w:t>五、实验设置</w:t>
      </w:r>
    </w:p>
    <w:p w14:paraId="395CA6BB">
      <w:pPr>
        <w:rPr>
          <w:b/>
          <w:bCs/>
        </w:rPr>
      </w:pPr>
      <w:r>
        <w:rPr>
          <w:b/>
          <w:bCs/>
        </w:rPr>
        <w:t>5.1 数据集</w:t>
      </w:r>
    </w:p>
    <w:p w14:paraId="32753963">
      <w:r>
        <w:t>描述1.0kW与3.0kW两个功率域的数据构成（各394样本，时域信号维度、谱图维度、故障类别）。</w:t>
      </w:r>
    </w:p>
    <w:p w14:paraId="5627628E">
      <w:pPr>
        <w:rPr>
          <w:b/>
          <w:bCs/>
        </w:rPr>
      </w:pPr>
      <w:r>
        <w:rPr>
          <w:b/>
          <w:bCs/>
        </w:rPr>
        <w:t>5.2 实验配置</w:t>
      </w:r>
    </w:p>
    <w:p w14:paraId="3FFCC863">
      <w:r>
        <w:t>说明12种配置的分组设计逻辑（基线组、EWC组、蒸馏+LWF组、中模型组）及各组核心超参数。</w:t>
      </w:r>
    </w:p>
    <w:p w14:paraId="322ABBBB">
      <w:r>
        <w:rPr>
          <w:rFonts w:hint="eastAsia"/>
          <w:b/>
          <w:bCs/>
        </w:rPr>
        <w:t>5</w:t>
      </w:r>
      <w:r>
        <w:rPr>
          <w:b/>
          <w:bCs/>
        </w:rPr>
        <w:t>.</w:t>
      </w:r>
      <w:r>
        <w:rPr>
          <w:rFonts w:hint="eastAsia"/>
          <w:b/>
          <w:bCs/>
        </w:rPr>
        <w:t>3</w:t>
      </w:r>
      <w:r>
        <w:rPr>
          <w:b/>
          <w:bCs/>
        </w:rPr>
        <w:t xml:space="preserve"> 各策略整体对比</w:t>
      </w:r>
    </w:p>
    <w:p w14:paraId="2C70C09D">
      <w:r>
        <w:t>汇总12种配置完整结果表，对比三类持续学习策略的整体表现，分析各方法的优劣与适用场景。</w:t>
      </w:r>
    </w:p>
    <w:p w14:paraId="7C9A0C0A">
      <w:pPr>
        <w:rPr>
          <w:b/>
          <w:bCs/>
        </w:rPr>
      </w:pPr>
      <w:r>
        <w:rPr>
          <w:rFonts w:hint="eastAsia"/>
          <w:b/>
          <w:bCs/>
        </w:rPr>
        <w:t>5</w:t>
      </w:r>
      <w:r>
        <w:rPr>
          <w:b/>
          <w:bCs/>
        </w:rPr>
        <w:t>.</w:t>
      </w:r>
      <w:r>
        <w:rPr>
          <w:rFonts w:hint="eastAsia"/>
          <w:b/>
          <w:bCs/>
        </w:rPr>
        <w:t>4</w:t>
      </w:r>
      <w:r>
        <w:rPr>
          <w:b/>
          <w:bCs/>
        </w:rPr>
        <w:t xml:space="preserve"> 可视化分析</w:t>
      </w:r>
    </w:p>
    <w:p w14:paraId="3CCCE700">
      <w:r>
        <w:t>通过混淆矩阵与训练曲线，直观验证蒸馏策略的遗忘抑制效果与基线的遗忘现象。</w:t>
      </w:r>
    </w:p>
    <w:p w14:paraId="1BC6BF26">
      <w:r>
        <w:pict>
          <v:rect id="_x0000_i1029" o:spt="1" style="height:1.5pt;width:0pt;" fillcolor="#A0A0A0" filled="t" stroked="f" coordsize="21600,21600" o:hr="t" o:hrstd="t" o:hralign="center">
            <v:path/>
            <v:fill on="t" focussize="0,0"/>
            <v:stroke on="f"/>
            <v:imagedata o:title=""/>
            <o:lock v:ext="edit"/>
            <w10:wrap type="none"/>
            <w10:anchorlock/>
          </v:rect>
        </w:pict>
      </w:r>
    </w:p>
    <w:p w14:paraId="329FC79B">
      <w:pPr>
        <w:rPr>
          <w:b/>
          <w:bCs/>
        </w:rPr>
      </w:pPr>
      <w:r>
        <w:rPr>
          <w:rFonts w:hint="eastAsia"/>
          <w:b/>
          <w:bCs/>
        </w:rPr>
        <w:t>六</w:t>
      </w:r>
      <w:r>
        <w:rPr>
          <w:b/>
          <w:bCs/>
        </w:rPr>
        <w:t>、</w:t>
      </w:r>
      <w:r>
        <w:rPr>
          <w:rFonts w:hint="eastAsia"/>
          <w:b/>
          <w:bCs/>
        </w:rPr>
        <w:t>结论</w:t>
      </w:r>
    </w:p>
    <w:p w14:paraId="36B964FE">
      <w:r>
        <w:rPr>
          <w:rFonts w:hint="eastAsia"/>
        </w:rPr>
        <w:t>总结系统对比研究的核心发现</w:t>
      </w:r>
      <w:r>
        <w:t>，</w:t>
      </w:r>
      <w:r>
        <w:rPr>
          <w:rFonts w:hint="eastAsia"/>
        </w:rPr>
        <w:t>展望更复杂的多域持续迁移场景和方法。</w:t>
      </w:r>
    </w:p>
    <w:p w14:paraId="39EB4418">
      <w:pPr>
        <w:rPr>
          <w:rFonts w:hint="eastAsia"/>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F2B7101"/>
    <w:multiLevelType w:val="multilevel"/>
    <w:tmpl w:val="7F2B710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482A"/>
    <w:rsid w:val="002E765B"/>
    <w:rsid w:val="00450EFF"/>
    <w:rsid w:val="005B7C12"/>
    <w:rsid w:val="00A0482A"/>
    <w:rsid w:val="00B27A94"/>
    <w:rsid w:val="00E62EB9"/>
    <w:rsid w:val="60DA2C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2"/>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3"/>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footer"/>
    <w:basedOn w:val="1"/>
    <w:link w:val="36"/>
    <w:unhideWhenUsed/>
    <w:uiPriority w:val="99"/>
    <w:pPr>
      <w:tabs>
        <w:tab w:val="center" w:pos="4153"/>
        <w:tab w:val="right" w:pos="8306"/>
      </w:tabs>
      <w:snapToGrid w:val="0"/>
      <w:spacing w:line="240" w:lineRule="auto"/>
    </w:pPr>
    <w:rPr>
      <w:sz w:val="18"/>
      <w:szCs w:val="18"/>
    </w:rPr>
  </w:style>
  <w:style w:type="paragraph" w:styleId="12">
    <w:name w:val="header"/>
    <w:basedOn w:val="1"/>
    <w:link w:val="35"/>
    <w:unhideWhenUsed/>
    <w:uiPriority w:val="99"/>
    <w:pPr>
      <w:tabs>
        <w:tab w:val="center" w:pos="4153"/>
        <w:tab w:val="right" w:pos="8306"/>
      </w:tabs>
      <w:snapToGrid w:val="0"/>
      <w:spacing w:line="240" w:lineRule="auto"/>
      <w:jc w:val="center"/>
    </w:pPr>
    <w:rPr>
      <w:sz w:val="18"/>
      <w:szCs w:val="18"/>
    </w:rPr>
  </w:style>
  <w:style w:type="paragraph" w:styleId="13">
    <w:name w:val="Subtitle"/>
    <w:basedOn w:val="1"/>
    <w:next w:val="1"/>
    <w:link w:val="27"/>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7">
    <w:name w:val="标题 1 字符"/>
    <w:basedOn w:val="16"/>
    <w:link w:val="2"/>
    <w:uiPriority w:val="9"/>
    <w:rPr>
      <w:rFonts w:asciiTheme="majorHAnsi" w:hAnsiTheme="majorHAnsi" w:eastAsiaTheme="majorEastAsia" w:cstheme="majorBidi"/>
      <w:color w:val="104862" w:themeColor="accent1" w:themeShade="BF"/>
      <w:sz w:val="48"/>
      <w:szCs w:val="48"/>
    </w:rPr>
  </w:style>
  <w:style w:type="character" w:customStyle="1" w:styleId="18">
    <w:name w:val="标题 2 字符"/>
    <w:basedOn w:val="16"/>
    <w:link w:val="3"/>
    <w:semiHidden/>
    <w:uiPriority w:val="9"/>
    <w:rPr>
      <w:rFonts w:asciiTheme="majorHAnsi" w:hAnsiTheme="majorHAnsi" w:eastAsiaTheme="majorEastAsia" w:cstheme="majorBidi"/>
      <w:color w:val="104862" w:themeColor="accent1" w:themeShade="BF"/>
      <w:sz w:val="40"/>
      <w:szCs w:val="40"/>
    </w:rPr>
  </w:style>
  <w:style w:type="character" w:customStyle="1" w:styleId="19">
    <w:name w:val="标题 3 字符"/>
    <w:basedOn w:val="16"/>
    <w:link w:val="4"/>
    <w:semiHidden/>
    <w:uiPriority w:val="9"/>
    <w:rPr>
      <w:rFonts w:asciiTheme="majorHAnsi" w:hAnsiTheme="majorHAnsi" w:eastAsiaTheme="majorEastAsia" w:cstheme="majorBidi"/>
      <w:color w:val="104862" w:themeColor="accent1" w:themeShade="BF"/>
      <w:sz w:val="32"/>
      <w:szCs w:val="32"/>
    </w:rPr>
  </w:style>
  <w:style w:type="character" w:customStyle="1" w:styleId="20">
    <w:name w:val="标题 4 字符"/>
    <w:basedOn w:val="16"/>
    <w:link w:val="5"/>
    <w:semiHidden/>
    <w:uiPriority w:val="9"/>
    <w:rPr>
      <w:rFonts w:cstheme="majorBidi"/>
      <w:color w:val="104862" w:themeColor="accent1" w:themeShade="BF"/>
      <w:sz w:val="28"/>
      <w:szCs w:val="28"/>
    </w:rPr>
  </w:style>
  <w:style w:type="character" w:customStyle="1" w:styleId="21">
    <w:name w:val="标题 5 字符"/>
    <w:basedOn w:val="16"/>
    <w:link w:val="6"/>
    <w:semiHidden/>
    <w:uiPriority w:val="9"/>
    <w:rPr>
      <w:rFonts w:cstheme="majorBidi"/>
      <w:color w:val="104862" w:themeColor="accent1" w:themeShade="BF"/>
      <w:sz w:val="24"/>
    </w:rPr>
  </w:style>
  <w:style w:type="character" w:customStyle="1" w:styleId="22">
    <w:name w:val="标题 6 字符"/>
    <w:basedOn w:val="16"/>
    <w:link w:val="7"/>
    <w:semiHidden/>
    <w:uiPriority w:val="9"/>
    <w:rPr>
      <w:rFonts w:cstheme="majorBidi"/>
      <w:b/>
      <w:bCs/>
      <w:color w:val="104862" w:themeColor="accent1" w:themeShade="BF"/>
    </w:rPr>
  </w:style>
  <w:style w:type="character" w:customStyle="1" w:styleId="23">
    <w:name w:val="标题 7 字符"/>
    <w:basedOn w:val="16"/>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4"/>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3"/>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6"/>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明显引用 字符"/>
    <w:basedOn w:val="16"/>
    <w:link w:val="32"/>
    <w:uiPriority w:val="30"/>
    <w:rPr>
      <w:i/>
      <w:iCs/>
      <w:color w:val="104862" w:themeColor="accent1" w:themeShade="BF"/>
    </w:rPr>
  </w:style>
  <w:style w:type="character" w:customStyle="1" w:styleId="34">
    <w:name w:val="Intense Reference"/>
    <w:basedOn w:val="16"/>
    <w:qFormat/>
    <w:uiPriority w:val="32"/>
    <w:rPr>
      <w:b/>
      <w:bCs/>
      <w:smallCaps/>
      <w:color w:val="104862" w:themeColor="accent1" w:themeShade="BF"/>
      <w:spacing w:val="5"/>
    </w:rPr>
  </w:style>
  <w:style w:type="character" w:customStyle="1" w:styleId="35">
    <w:name w:val="页眉 字符"/>
    <w:basedOn w:val="16"/>
    <w:link w:val="12"/>
    <w:uiPriority w:val="99"/>
    <w:rPr>
      <w:sz w:val="18"/>
      <w:szCs w:val="18"/>
    </w:rPr>
  </w:style>
  <w:style w:type="character" w:customStyle="1" w:styleId="36">
    <w:name w:val="页脚 字符"/>
    <w:basedOn w:val="16"/>
    <w:link w:val="11"/>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665</Words>
  <Characters>710</Characters>
  <Lines>5</Lines>
  <Paragraphs>1</Paragraphs>
  <TotalTime>15</TotalTime>
  <ScaleCrop>false</ScaleCrop>
  <LinksUpToDate>false</LinksUpToDate>
  <CharactersWithSpaces>720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2026-06-09T05:49:00Z</dcterms:created>
  <dc:creator>李振宁</dc:creator>
  <cp:lastModifiedBy>黄诗琅</cp:lastModifiedBy>
  <dcterms:modified xsi:type="dcterms:W3CDTF">2026-06-18T07:02:08Z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eyJoZGlkIjoiNGQ4YjZjYmU3OGZhNGIxNWNjM2M3YzFiZWYzYzdhYTAiLCJ1c2VySWQiOiIxMjM1NzU5MjQ2In0=</vt:lpwstr>
  </property>
  <property fmtid="{D5CDD505-2E9C-101B-9397-08002B2CF9AE}" pid="3" name="KSOProductBuildVer">
    <vt:lpwstr>2052-12.1.0.26895</vt:lpwstr>
  </property>
  <property fmtid="{D5CDD505-2E9C-101B-9397-08002B2CF9AE}" pid="4" name="ICV">
    <vt:lpwstr>4E8B9CD6FD0C44A7A0502470FA3D419A_12</vt:lpwstr>
  </property>
</Properties>
</file>