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F20DA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  <w:b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sz w:val="44"/>
          <w:szCs w:val="44"/>
        </w:rPr>
        <w:t>分布式多链融合网关核心模块</w:t>
      </w:r>
      <w:r>
        <w:rPr>
          <w:rFonts w:hint="eastAsia" w:ascii="微软雅黑" w:hAnsi="微软雅黑" w:eastAsia="微软雅黑" w:cs="微软雅黑"/>
          <w:b/>
          <w:sz w:val="44"/>
          <w:szCs w:val="44"/>
          <w:lang w:val="en-US" w:eastAsia="zh-CN"/>
        </w:rPr>
        <w:t>部分</w:t>
      </w:r>
      <w:r>
        <w:rPr>
          <w:rFonts w:hint="eastAsia" w:ascii="微软雅黑" w:hAnsi="微软雅黑" w:eastAsia="微软雅黑" w:cs="微软雅黑"/>
          <w:b/>
          <w:sz w:val="44"/>
          <w:szCs w:val="44"/>
        </w:rPr>
        <w:t>代码</w:t>
      </w:r>
    </w:p>
    <w:p w14:paraId="36511B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  <w:bdr w:val="none" w:color="auto" w:sz="0" w:space="0"/>
        </w:rPr>
        <w:t>一、网关核心入口（统一接入层）</w:t>
      </w:r>
    </w:p>
    <w:p w14:paraId="09EFAD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// 分布式多链融合网关 - 统一入口</w:t>
      </w:r>
    </w:p>
    <w:p w14:paraId="6345CE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GatewayCoreService {</w:t>
      </w:r>
    </w:p>
    <w:p w14:paraId="740A71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01ED8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1. 接收所有外部请求：银行/外资行/CIPS/SWIFT/mBridge/香港RTGS</w:t>
      </w:r>
    </w:p>
    <w:p w14:paraId="170F14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void receiveRequest(Request request, ChannelType channel) {</w:t>
      </w:r>
    </w:p>
    <w:p w14:paraId="3E3F3C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try {</w:t>
      </w:r>
    </w:p>
    <w:p w14:paraId="58BB1E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日志 + 监控埋点</w:t>
      </w:r>
    </w:p>
    <w:p w14:paraId="55EF36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MonitorService.recordRequest(channel, request.getMsgId());</w:t>
      </w:r>
    </w:p>
    <w:p w14:paraId="57E526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6DD157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基础校验：格式、签名、权限</w:t>
      </w:r>
    </w:p>
    <w:p w14:paraId="25922D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validateRequest(request);</w:t>
      </w:r>
    </w:p>
    <w:p w14:paraId="5781B9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350A7E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报文协议转换（核心）</w:t>
      </w:r>
    </w:p>
    <w:p w14:paraId="5329D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StandardMessage standardMsg = ProtocolConverter.convert(request, channel);</w:t>
      </w:r>
    </w:p>
    <w:p w14:paraId="5A6B50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4DD2C1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统一合规校验（AML/反洗钱/制裁名单）</w:t>
      </w:r>
    </w:p>
    <w:p w14:paraId="3DA87B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ComplianceService.check(standardMsg);</w:t>
      </w:r>
    </w:p>
    <w:p w14:paraId="6B838A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3FDA0E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路由决策：转发到链上 / 链下 / 清算系统</w:t>
      </w:r>
    </w:p>
    <w:p w14:paraId="3F4EC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RouteResult route = RouterService.selectBestRoute(standardMsg);</w:t>
      </w:r>
    </w:p>
    <w:p w14:paraId="0D590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1F3EA8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执行交易：链上上链 / 链下发往银行系统</w:t>
      </w:r>
    </w:p>
    <w:p w14:paraId="50C4B9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if (route.isOnChain()) {</w:t>
      </w:r>
    </w:p>
    <w:p w14:paraId="38EAC1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    BlockchainService.sendToChain(standardMsg);</w:t>
      </w:r>
    </w:p>
    <w:p w14:paraId="209778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} else {</w:t>
      </w:r>
    </w:p>
    <w:p w14:paraId="7DED4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    OffChainService.sendToFinancialInstitution(standardMsg);</w:t>
      </w:r>
    </w:p>
    <w:p w14:paraId="72A5F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}</w:t>
      </w:r>
    </w:p>
    <w:p w14:paraId="2AA2C7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290B8D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双向数据同步</w:t>
      </w:r>
    </w:p>
    <w:p w14:paraId="43E0F8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DataSyncService.syncToChain(standardMsg);</w:t>
      </w:r>
    </w:p>
    <w:p w14:paraId="25D8F1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DataSyncService.syncToOffChain(standardMsg);</w:t>
      </w:r>
    </w:p>
    <w:p w14:paraId="3A7143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0D3C8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上报监管节点</w:t>
      </w:r>
    </w:p>
    <w:p w14:paraId="10153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RegulatorNode.report(standardMsg);</w:t>
      </w:r>
    </w:p>
    <w:p w14:paraId="3733E4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70898D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结果返回</w:t>
      </w:r>
    </w:p>
    <w:p w14:paraId="3B20A2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return successResponse(standardMsg);</w:t>
      </w:r>
    </w:p>
    <w:p w14:paraId="648850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13C184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} catch (Exception e) {</w:t>
      </w:r>
    </w:p>
    <w:p w14:paraId="45BB8A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// 异常监控 + 告警</w:t>
      </w:r>
    </w:p>
    <w:p w14:paraId="082FED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MonitorService.alert(e);</w:t>
      </w:r>
    </w:p>
    <w:p w14:paraId="0E373D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return failResponse(e.getMessage());</w:t>
      </w:r>
    </w:p>
    <w:p w14:paraId="0C9B68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}</w:t>
      </w:r>
    </w:p>
    <w:p w14:paraId="758093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3F7671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}</w:t>
      </w:r>
    </w:p>
    <w:p w14:paraId="6ACA4A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</w:p>
    <w:p w14:paraId="19378E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  <w:t>二、报文协议转换器（CIPS / SWIFT /mBridge/ 香港 RTGS → 统一标准报文）</w:t>
      </w:r>
    </w:p>
    <w:p w14:paraId="26424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ProtocolConverter {</w:t>
      </w:r>
    </w:p>
    <w:p w14:paraId="72DC7D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489457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统一转换入口</w:t>
      </w:r>
    </w:p>
    <w:p w14:paraId="5EAB90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static StandardMessage convert(Request rawMsg, ChannelType channel) {</w:t>
      </w:r>
    </w:p>
    <w:p w14:paraId="16B776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switch (channel) {</w:t>
      </w:r>
    </w:p>
    <w:p w14:paraId="11A0DB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case CIPS:</w:t>
      </w:r>
    </w:p>
    <w:p w14:paraId="1FC516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    return convertFromCIPS(rawMsg);</w:t>
      </w:r>
    </w:p>
    <w:p w14:paraId="6D9D5B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case SWIFT:</w:t>
      </w:r>
    </w:p>
    <w:p w14:paraId="07B9FA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    return convertFromSWIFT(rawMsg);</w:t>
      </w:r>
    </w:p>
    <w:p w14:paraId="5DDAE9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case mBridge:</w:t>
      </w:r>
    </w:p>
    <w:p w14:paraId="54FEC2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    return convertFromMBridge(rawMsg);</w:t>
      </w:r>
    </w:p>
    <w:p w14:paraId="70C7FC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case HK_RTGS:</w:t>
      </w:r>
    </w:p>
    <w:p w14:paraId="647E1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    return convertFromHKRTGS(rawMsg);</w:t>
      </w:r>
    </w:p>
    <w:p w14:paraId="73ACB0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default:</w:t>
      </w:r>
    </w:p>
    <w:p w14:paraId="0D2BC4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    throw new UnsupportedProtocolException();</w:t>
      </w:r>
    </w:p>
    <w:p w14:paraId="4BB868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}</w:t>
      </w:r>
    </w:p>
    <w:p w14:paraId="260645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29CC7B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767A27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0EFFD4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1. CIPS 报文 → 网关标准报文</w:t>
      </w:r>
    </w:p>
    <w:p w14:paraId="6453A0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677759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private static StandardMessage convertFromCIPS(CIPSMessage cipsMsg) {</w:t>
      </w:r>
    </w:p>
    <w:p w14:paraId="090347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StandardMessage msg = new StandardMessage();</w:t>
      </w:r>
    </w:p>
    <w:p w14:paraId="52ACB9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msg.setMsgId(cipsMsg.getInstructionId());</w:t>
      </w:r>
    </w:p>
    <w:p w14:paraId="4458FA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msg.setPayer(cipsMsg.getDebtorAccount());</w:t>
      </w:r>
    </w:p>
    <w:p w14:paraId="5C63CD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msg.setPayee(cipsMsg.getCreditorAccount());</w:t>
      </w:r>
    </w:p>
    <w:p w14:paraId="443C92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msg.setAmount(cipsMsg.getAmount());</w:t>
      </w:r>
    </w:p>
    <w:p w14:paraId="3AAD5C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msg.setCurrency(cipsMsg.getCurrency());</w:t>
      </w:r>
    </w:p>
    <w:p w14:paraId="41591E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msg.setChannel("CIPS");</w:t>
      </w:r>
    </w:p>
    <w:p w14:paraId="3D05F7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msg.setRawData(cipsMsg.getXmlContent());</w:t>
      </w:r>
    </w:p>
    <w:p w14:paraId="5093F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msg.setSignature(cipsMsg.getSignature());</w:t>
      </w:r>
    </w:p>
    <w:p w14:paraId="217C7D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return msg;</w:t>
      </w:r>
    </w:p>
    <w:p w14:paraId="3664D8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673B88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4950BC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75504E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2. SWIFT MT 报文 → 标准报文</w:t>
      </w:r>
    </w:p>
    <w:p w14:paraId="56BAC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2FDB79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private static StandardMessage convertFromSWIFT(SWIFTMessage swiftMsg) {</w:t>
      </w:r>
    </w:p>
    <w:p w14:paraId="6372B8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StandardMessage msg = new StandardMessage();</w:t>
      </w:r>
    </w:p>
    <w:p w14:paraId="6DB669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msg.setMsgId(swiftMsg.getField20()); // 交易编号</w:t>
      </w:r>
    </w:p>
    <w:p w14:paraId="55B713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msg.setPayer(swiftMsg.getField50K());</w:t>
      </w:r>
    </w:p>
    <w:p w14:paraId="76A37A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msg.setPayee(swiftMsg.getField59());</w:t>
      </w:r>
    </w:p>
    <w:p w14:paraId="5623CB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msg.setAmount(swiftMsg.getField32B());</w:t>
      </w:r>
    </w:p>
    <w:p w14:paraId="0D3616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msg.setCurrency("USD/HKD/EUR");</w:t>
      </w:r>
    </w:p>
    <w:p w14:paraId="376DBE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msg.setChannel("SWIFT");</w:t>
      </w:r>
    </w:p>
    <w:p w14:paraId="7383C7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return msg;</w:t>
      </w:r>
    </w:p>
    <w:p w14:paraId="6AE00E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02907B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5270F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66125E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3. mBridge (多边央行数字货币桥)</w:t>
      </w:r>
    </w:p>
    <w:p w14:paraId="19B7E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06F2FE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private static StandardMessage convertFromMBridge(MBridgeMessage mMsg) {</w:t>
      </w:r>
    </w:p>
    <w:p w14:paraId="3C8852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StandardMessage msg = new StandardMessage();</w:t>
      </w:r>
    </w:p>
    <w:p w14:paraId="329B0C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msg.setMsgId(mMsg.getTxHash());</w:t>
      </w:r>
    </w:p>
    <w:p w14:paraId="789B17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msg.setPayer(mMsg.getPayerWallet());</w:t>
      </w:r>
    </w:p>
    <w:p w14:paraId="6D9D5A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msg.setPayee(mMsg.getPayeeWallet());</w:t>
      </w:r>
    </w:p>
    <w:p w14:paraId="270593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msg.setAmount(mMsg.getCBDCAmount());</w:t>
      </w:r>
    </w:p>
    <w:p w14:paraId="49D1B8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msg.setCurrency("eCNY/CBDC");</w:t>
      </w:r>
    </w:p>
    <w:p w14:paraId="1C0DA9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msg.setChannel("mBridge");</w:t>
      </w:r>
    </w:p>
    <w:p w14:paraId="6897D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msg.setOnChain(true);</w:t>
      </w:r>
    </w:p>
    <w:p w14:paraId="744C16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return msg;</w:t>
      </w:r>
    </w:p>
    <w:p w14:paraId="16DB24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44EE1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49871B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322388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4. 香港 RTGS 港元/美元清算系统</w:t>
      </w:r>
    </w:p>
    <w:p w14:paraId="549B69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5BB737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private static StandardMessage convertFromHKRTGS(HKRTGSMessage hkMsg) {</w:t>
      </w:r>
    </w:p>
    <w:p w14:paraId="0F4331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StandardMessage msg = new StandardMessage();</w:t>
      </w:r>
    </w:p>
    <w:p w14:paraId="184BB4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msg.setMsgId(hkMsg.getTxId());</w:t>
      </w:r>
    </w:p>
    <w:p w14:paraId="2CE1CB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msg.setPayer(hkMsg.getFromBank() + ":" + hkMsg.getFromAccount());</w:t>
      </w:r>
    </w:p>
    <w:p w14:paraId="30D39B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msg.setPayee(hkMsg.getToBank() + ":" + hkMsg.getToAccount());</w:t>
      </w:r>
    </w:p>
    <w:p w14:paraId="39263B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msg.setAmount(hkMsg.getSettlementAmount());</w:t>
      </w:r>
    </w:p>
    <w:p w14:paraId="58B637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msg.setCurrency(hkMsg.getCurrency()); // HKD/USD</w:t>
      </w:r>
    </w:p>
    <w:p w14:paraId="213A62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msg.setChannel("HK_RTGS");</w:t>
      </w:r>
    </w:p>
    <w:p w14:paraId="0F4A70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return msg;</w:t>
      </w:r>
    </w:p>
    <w:p w14:paraId="24CD81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28E348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1A5127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0DBCE8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反向转换：标准报文 → 各系统原始报文</w:t>
      </w:r>
    </w:p>
    <w:p w14:paraId="41C56F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7750EB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static CIPSMessage convertToCIPS(StandardMessage msg) { ... }</w:t>
      </w:r>
    </w:p>
    <w:p w14:paraId="43ADA8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static SWIFTMessage convertToSWIFT(StandardMessage msg) { ... }</w:t>
      </w:r>
    </w:p>
    <w:p w14:paraId="568840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static MBridgeMessage convertToMBridge(StandardMessage msg) { ... }</w:t>
      </w:r>
    </w:p>
    <w:p w14:paraId="33F2FD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}</w:t>
      </w:r>
    </w:p>
    <w:p w14:paraId="61DE41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</w:p>
    <w:p w14:paraId="2B36C2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  <w:t>三、链上</w:t>
      </w: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  <w:lang w:eastAsia="zh-CN"/>
        </w:rPr>
        <w:t>、</w:t>
      </w:r>
      <w:bookmarkStart w:id="3" w:name="_GoBack"/>
      <w:bookmarkEnd w:id="3"/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  <w:t xml:space="preserve"> 链下 双向数据同步（核心）</w:t>
      </w:r>
    </w:p>
    <w:p w14:paraId="22206F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DataSyncService {</w:t>
      </w:r>
    </w:p>
    <w:p w14:paraId="20B36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030686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3B6BA7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链下数据 → 上链存证（银行交易 → 区块链）</w:t>
      </w:r>
    </w:p>
    <w:p w14:paraId="46ACC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28396C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void syncToChain(StandardMessage msg) {</w:t>
      </w:r>
    </w:p>
    <w:p w14:paraId="08F6C0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1. 生成哈希（不可篡改）</w:t>
      </w:r>
    </w:p>
    <w:p w14:paraId="71CC54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String hash = HashUtil.sha256(msg.getRawData());</w:t>
      </w:r>
    </w:p>
    <w:p w14:paraId="201E1D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1A5913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2. 组装上链数据</w:t>
      </w:r>
    </w:p>
    <w:p w14:paraId="28AE9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 chainData = new ChainData();</w:t>
      </w:r>
    </w:p>
    <w:p w14:paraId="226C5B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chainData.setMsgId(msg.getMsgId());</w:t>
      </w:r>
    </w:p>
    <w:p w14:paraId="19281D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chainData.setHash(hash);</w:t>
      </w:r>
    </w:p>
    <w:p w14:paraId="23FB6F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chainData.setTimestamp(msg.getTimestamp());</w:t>
      </w:r>
    </w:p>
    <w:p w14:paraId="36DC88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chainData.setSource(msg.getChannel());</w:t>
      </w:r>
    </w:p>
    <w:p w14:paraId="07D723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chainData.setPayer(msg.getPayer());</w:t>
      </w:r>
    </w:p>
    <w:p w14:paraId="63DCC2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chainData.setPayee(msg.getPayee());</w:t>
      </w:r>
    </w:p>
    <w:p w14:paraId="2D6234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chainData.setAmount(msg.getAmount());</w:t>
      </w:r>
    </w:p>
    <w:p w14:paraId="2F4037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42FD3B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3. 上链（Conflux / ETH / 联盟链）</w:t>
      </w:r>
    </w:p>
    <w:p w14:paraId="44801C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BlockchainClient.write(chainData);</w:t>
      </w:r>
    </w:p>
    <w:p w14:paraId="09324A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05FD6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4. 记录同步日志</w:t>
      </w:r>
    </w:p>
    <w:p w14:paraId="4C0D5A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SyncLogService.save("SYNC_TO_CHAIN", msg.getMsgId(), hash);</w:t>
      </w:r>
    </w:p>
    <w:p w14:paraId="4E2326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0AB77F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1F4509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2D414A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链上数据 → 链下同步（区块链 → 银行/外资行系统）</w:t>
      </w:r>
    </w:p>
    <w:p w14:paraId="233A1C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------------------------------</w:t>
      </w:r>
    </w:p>
    <w:p w14:paraId="54941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void syncToOffChain(StandardMessage msg) {</w:t>
      </w:r>
    </w:p>
    <w:p w14:paraId="64C7A3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1. 从链上获取交易确认信息</w:t>
      </w:r>
    </w:p>
    <w:p w14:paraId="1B0D5E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ChainReceipt receipt = BlockchainClient.getReceipt(msg.getMsgId());</w:t>
      </w:r>
    </w:p>
    <w:p w14:paraId="0EE68C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366A9C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2. 转换为银行可识别格式</w:t>
      </w:r>
    </w:p>
    <w:p w14:paraId="157FCF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OffChainData offChainData = new OffChainData();</w:t>
      </w:r>
    </w:p>
    <w:p w14:paraId="7571B1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offChainData.setMsgId(msg.getMsgId());</w:t>
      </w:r>
    </w:p>
    <w:p w14:paraId="74F1D7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offChainData.setBlockHash(receipt.getBlockHash());</w:t>
      </w:r>
    </w:p>
    <w:p w14:paraId="696DBF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offChainData.setStatus(receipt.getStatus());</w:t>
      </w:r>
    </w:p>
    <w:p w14:paraId="53DCCF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offChainData.setConfirmTime(receipt.getBlockTime());</w:t>
      </w:r>
    </w:p>
    <w:p w14:paraId="485A2B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501A4A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3. 推送给国内外大小金融机构与外资行核心系统</w:t>
      </w:r>
    </w:p>
    <w:p w14:paraId="1C72AE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BankCoreClient.push(offChainData);</w:t>
      </w:r>
    </w:p>
    <w:p w14:paraId="69FEA7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48D480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4. 对账</w:t>
      </w:r>
    </w:p>
    <w:p w14:paraId="22E68B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ReconciliationService.match(msg.getMsgId(), receipt);</w:t>
      </w:r>
    </w:p>
    <w:p w14:paraId="2F8FF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3122F9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}</w:t>
      </w:r>
    </w:p>
    <w:p w14:paraId="1409D4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8"/>
          <w:szCs w:val="28"/>
          <w:bdr w:val="none" w:color="auto" w:sz="0" w:space="0"/>
        </w:rPr>
      </w:pPr>
    </w:p>
    <w:p w14:paraId="118A4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  <w:t>四、监管节点对接（满足审计、合规、穿透式监管）</w:t>
      </w:r>
    </w:p>
    <w:p w14:paraId="320E9D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RegulatorNode {</w:t>
      </w:r>
    </w:p>
    <w:p w14:paraId="15F8D8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0C0573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统一上报监管节点</w:t>
      </w:r>
    </w:p>
    <w:p w14:paraId="20BB7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static void report(StandardMessage msg) {</w:t>
      </w:r>
    </w:p>
    <w:p w14:paraId="04DE63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RegulatorReport report = new RegulatorReport();</w:t>
      </w:r>
    </w:p>
    <w:p w14:paraId="1EC5F7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report.setMsgId(msg.getMsgId());</w:t>
      </w:r>
    </w:p>
    <w:p w14:paraId="46B6C2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report.setTransactionType(msg.getChannel());</w:t>
      </w:r>
    </w:p>
    <w:p w14:paraId="1DF07F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report.setPayer(msg.getPayer());</w:t>
      </w:r>
    </w:p>
    <w:p w14:paraId="1FB503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report.setPayee(msg.getPayee());</w:t>
      </w:r>
    </w:p>
    <w:p w14:paraId="7600BB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report.setAmount(msg.getAmount());</w:t>
      </w:r>
    </w:p>
    <w:p w14:paraId="3F33D7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report.setCurrency(msg.getCurrency());</w:t>
      </w:r>
    </w:p>
    <w:p w14:paraId="4644F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report.setHash(msg.getOnChainHash());</w:t>
      </w:r>
    </w:p>
    <w:p w14:paraId="02C97E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report.setTimestamp(now());</w:t>
      </w:r>
    </w:p>
    <w:p w14:paraId="366061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report.setRawData(msg.getRawData());</w:t>
      </w:r>
    </w:p>
    <w:p w14:paraId="4AA5D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36E094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上报监管机构（人行/香港金管局/跨境监管节点）</w:t>
      </w:r>
    </w:p>
    <w:p w14:paraId="0A6EB4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RegulatorClient.send(report);</w:t>
      </w:r>
    </w:p>
    <w:p w14:paraId="32AC8E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</w:t>
      </w:r>
    </w:p>
    <w:p w14:paraId="5EE9D2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留痕7年</w:t>
      </w:r>
    </w:p>
    <w:p w14:paraId="1BB41D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AuditLogService.save(report);</w:t>
      </w:r>
    </w:p>
    <w:p w14:paraId="496B8C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1DEA4F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70E1CC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监管查询接口（监管可实时查）</w:t>
      </w:r>
    </w:p>
    <w:p w14:paraId="17C11D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List&lt;RegulatorReport&gt; queryByDate(Date start, Date end) {</w:t>
      </w:r>
    </w:p>
    <w:p w14:paraId="2D1578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return AuditLogService.query(start, end);</w:t>
      </w:r>
    </w:p>
    <w:p w14:paraId="3355D4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6FBD9C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}</w:t>
      </w:r>
    </w:p>
    <w:p w14:paraId="5AAA7A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8"/>
          <w:szCs w:val="28"/>
          <w:bdr w:val="none" w:color="auto" w:sz="0" w:space="0"/>
        </w:rPr>
      </w:pPr>
    </w:p>
    <w:p w14:paraId="47A4A7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  <w:t>五、数据监控 + 异常处理（金融级要求）</w:t>
      </w:r>
    </w:p>
    <w:p w14:paraId="7DD09A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MonitorService {</w:t>
      </w:r>
    </w:p>
    <w:p w14:paraId="1B48EE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4A64EC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记录请求量、成功率、延迟</w:t>
      </w:r>
    </w:p>
    <w:p w14:paraId="12E3D9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void recordRequest(ChannelType channel, String msgId) {</w:t>
      </w:r>
    </w:p>
    <w:p w14:paraId="327334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Metrics.counter(channel + "_request_total").increment();</w:t>
      </w:r>
    </w:p>
    <w:p w14:paraId="4BD99C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Metrics.timer(channel + "_response_time").record();</w:t>
      </w:r>
    </w:p>
    <w:p w14:paraId="6F22D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378169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797A50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实时监控面板数据</w:t>
      </w:r>
    </w:p>
    <w:p w14:paraId="7A78E5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MonitorData getMonitorData() {</w:t>
      </w:r>
    </w:p>
    <w:p w14:paraId="0AE19F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MonitorData data = new MonitorData();</w:t>
      </w:r>
    </w:p>
    <w:p w14:paraId="45E3E9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data.setTotalTx(getTxCount());</w:t>
      </w:r>
    </w:p>
    <w:p w14:paraId="7F49B9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data.setSuccessRate(getSuccessRate());</w:t>
      </w:r>
    </w:p>
    <w:p w14:paraId="207544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data.setDelayAvg(getAvgDelay());</w:t>
      </w:r>
    </w:p>
    <w:p w14:paraId="61458B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data.setCIPSVolume(getCIPSVolume());</w:t>
      </w:r>
    </w:p>
    <w:p w14:paraId="51ED5F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data.setSwiftVolume(getSwiftVolume());</w:t>
      </w:r>
    </w:p>
    <w:p w14:paraId="0644D8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data.setMBridgeVolume(getMBridgeVolume());</w:t>
      </w:r>
    </w:p>
    <w:p w14:paraId="701841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data.setHKRTGSVolume(getHKRTGSVolume());</w:t>
      </w:r>
    </w:p>
    <w:p w14:paraId="380507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data.setChainSyncStatus(getChainSyncStatus());</w:t>
      </w:r>
    </w:p>
    <w:p w14:paraId="21E44C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return data;</w:t>
      </w:r>
    </w:p>
    <w:p w14:paraId="5932E0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1ECAD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24FF9A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// 异常告警</w:t>
      </w:r>
    </w:p>
    <w:p w14:paraId="77DC32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void alert(Exception e) {</w:t>
      </w:r>
    </w:p>
    <w:p w14:paraId="36F9A6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Metrics.counter("error_total").increment();</w:t>
      </w:r>
    </w:p>
    <w:p w14:paraId="2F8FFF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AlertService.sendSMS("网关异常：" + e.getMessage());</w:t>
      </w:r>
    </w:p>
    <w:p w14:paraId="2A4224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AlertService.sendWeCom("网关异常：" + e.getMessage());</w:t>
      </w:r>
    </w:p>
    <w:p w14:paraId="68F849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AlertService.sendEmail("网关异常：" + e.getMessage());</w:t>
      </w:r>
    </w:p>
    <w:p w14:paraId="74A5AA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499C51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}</w:t>
      </w:r>
    </w:p>
    <w:p w14:paraId="656E5A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8"/>
          <w:szCs w:val="28"/>
          <w:bdr w:val="none" w:color="auto" w:sz="0" w:space="0"/>
        </w:rPr>
      </w:pPr>
    </w:p>
    <w:p w14:paraId="27BE53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  <w:t>六、动态路由（自动选择最优链路：CIPS / SWIFT / 链上）</w:t>
      </w:r>
    </w:p>
    <w:p w14:paraId="1CFA6B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RouterService {</w:t>
      </w:r>
    </w:p>
    <w:p w14:paraId="6382AF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643D08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static RouteResult selectBestRoute(StandardMessage msg) {</w:t>
      </w:r>
    </w:p>
    <w:p w14:paraId="0CEDFC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RouteResult route = new RouteResult();</w:t>
      </w:r>
    </w:p>
    <w:p w14:paraId="0FE39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7854DD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规则1：人民币跨境 → CIPS</w:t>
      </w:r>
    </w:p>
    <w:p w14:paraId="5C994E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if (msg.getCurrency().equals("CNY") &amp;&amp; isCrossBorder()) {</w:t>
      </w:r>
    </w:p>
    <w:p w14:paraId="0E22B1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route.setTarget("CIPS");</w:t>
      </w:r>
    </w:p>
    <w:p w14:paraId="475422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route.setOnChain(false);</w:t>
      </w:r>
    </w:p>
    <w:p w14:paraId="01EA9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}</w:t>
      </w:r>
    </w:p>
    <w:p w14:paraId="4E81D2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0FD095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规则2：数字货币 → mBridge</w:t>
      </w:r>
    </w:p>
    <w:p w14:paraId="2E87BD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else if (msg.isCBDC()) {</w:t>
      </w:r>
    </w:p>
    <w:p w14:paraId="6C2FBE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route.setTarget("mBridge");</w:t>
      </w:r>
    </w:p>
    <w:p w14:paraId="24C93F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route.setOnChain(true);</w:t>
      </w:r>
    </w:p>
    <w:p w14:paraId="267CBE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}</w:t>
      </w:r>
    </w:p>
    <w:p w14:paraId="632FC6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3D5782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规则3：港币/美元跨境 → 香港RTGS</w:t>
      </w:r>
    </w:p>
    <w:p w14:paraId="713DE0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else if (msg.getCurrency().in("HKD", "USD") &amp;&amp; isHKChannel()) {</w:t>
      </w:r>
    </w:p>
    <w:p w14:paraId="0EA8B8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route.setTarget("HK_RTGS");</w:t>
      </w:r>
    </w:p>
    <w:p w14:paraId="6DE983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route.setOnChain(false);</w:t>
      </w:r>
    </w:p>
    <w:p w14:paraId="1A7841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}</w:t>
      </w:r>
    </w:p>
    <w:p w14:paraId="70294D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017A5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// 规则4：国际常规 → SWIFT</w:t>
      </w:r>
    </w:p>
    <w:p w14:paraId="405333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else {</w:t>
      </w:r>
    </w:p>
    <w:p w14:paraId="2BAB86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route.setTarget("SWIFT");</w:t>
      </w:r>
    </w:p>
    <w:p w14:paraId="4DEABE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    route.setOnChain(false);</w:t>
      </w:r>
    </w:p>
    <w:p w14:paraId="210171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}</w:t>
      </w:r>
    </w:p>
    <w:p w14:paraId="29073B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</w:p>
    <w:p w14:paraId="74B07D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    return route;</w:t>
      </w:r>
    </w:p>
    <w:p w14:paraId="045BF8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 xml:space="preserve">    }</w:t>
      </w:r>
    </w:p>
    <w:p w14:paraId="54A40F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color w:val="000000"/>
          <w:sz w:val="28"/>
          <w:szCs w:val="28"/>
          <w:bdr w:val="none" w:color="auto" w:sz="0" w:space="0"/>
        </w:rPr>
        <w:t>}</w:t>
      </w:r>
    </w:p>
    <w:p w14:paraId="51BAC7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1F2329"/>
          <w:sz w:val="28"/>
          <w:szCs w:val="28"/>
          <w:bdr w:val="none" w:color="auto" w:sz="0" w:space="0"/>
        </w:rPr>
      </w:pPr>
    </w:p>
    <w:p w14:paraId="4927E1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28"/>
          <w:u w:val="single"/>
          <w:bdr w:val="none" w:color="auto" w:sz="0" w:space="0"/>
        </w:rPr>
        <w:t>七、</w:t>
      </w:r>
      <w:bookmarkStart w:id="0" w:name="heading_0"/>
      <w:r>
        <w:rPr>
          <w:rFonts w:hint="eastAsia" w:ascii="微软雅黑" w:hAnsi="微软雅黑" w:eastAsia="微软雅黑" w:cs="微软雅黑"/>
          <w:b/>
          <w:color w:val="0000FF"/>
          <w:sz w:val="28"/>
          <w:szCs w:val="28"/>
          <w:u w:val="single"/>
        </w:rPr>
        <w:t>托管系统钱包与链上资产同步</w:t>
      </w:r>
      <w:bookmarkEnd w:id="0"/>
    </w:p>
    <w:p w14:paraId="39D15F1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托管钱包资产同步核心逻辑，覆盖：托管钱包余额实时同步、链上资产变动监听、对账校验、异常处理，完全适配需求书中RWA托管钱包、密钥与地址管理场景，与前文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部分应用代码</w:t>
      </w:r>
      <w:r>
        <w:rPr>
          <w:rFonts w:hint="eastAsia" w:ascii="微软雅黑" w:hAnsi="微软雅黑" w:eastAsia="微软雅黑" w:cs="微软雅黑"/>
          <w:sz w:val="28"/>
          <w:szCs w:val="28"/>
        </w:rPr>
        <w:t>无缝衔接。</w:t>
      </w:r>
    </w:p>
    <w:p w14:paraId="142933B6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.1 托管系统核心服务（托管钱包+资产同步）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3"/>
      </w:tblGrid>
      <w:tr w14:paraId="7237D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44D91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java</w:t>
            </w: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// 托管系统核心服务（对接网关、链上节点、金融机构）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CustodySystemService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托管钱包实例（每个金融机构/用户对应独立钱包）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Map&lt;String, CustodyWallet&gt; walletMap = new ConcurrentHashMap&lt;&gt;();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1. 初始化托管钱包（关联金融机构、密钥、链上地址）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void initCustodyWallet(String financialInstitutionId, String walletId, String chainAddress, String keyId)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校验金融机构权限（国内外大小金融机构与外资行）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if (!FinancialInstitutionService.checkPermission(financialInstitutionId))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throw new PermissionDeniedException("无托管权限");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绑定密钥（HSM硬件存储，关联密钥与地址）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KeyService.bindKeyAndAddress(keyId, chainAddress);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创建托管钱包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CustodyWallet wallet = new CustodyWallet();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wallet.setWalletId(walletId);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wallet.setFinancialInstitutionId(financialInstitutionId);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wallet.setChainAddress(chainAddress);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wallet.setKeyId(keyId);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wallet.setBalance(0.0);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wallet.setSyncStatus(SyncStatus.SYNCED);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存入钱包映射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walletMap.put(walletId, wallet);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日志记录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CustodyLogService.save("WALLET_INIT", walletId, financialInstitutionId);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2. 托管钱包 ↔ 链上资产实时同步（核心方法）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void syncCustodyWalletWithChain()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1. 遍历所有托管钱包，批量同步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for (CustodyWallet wallet : walletMap.values())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try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// 标记同步中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wallet.setSyncStatus(SyncStatus.SYNCING);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// 2. 从链上查询最新资产余额（支持多链：Conflux/ETH等）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ChainAsset chainAsset = BlockchainClient.getAssetBalance(wallet.getChainAddress());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// 3. 从托管系统查询本地余额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BigDecimal localBalance = CustodyDB.queryWalletBalance(wallet.getWalletId());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// 4. 对账校验（链上与本地余额一致性）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if (checkBalanceConsistency(chainAsset.getBalance(), localBalance))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// 余额一致，更新同步时间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wallet.setLastSyncTime(LocalDateTime.now());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wallet.setSyncStatus(SyncStatus.SYNCED);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// 记录同步日志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SyncLogService.save("WALLET_CHAIN_SYNC", wallet.getWalletId(), "余额一致");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} else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// 余额不一致，触发自动对账修复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reconcileWalletBalance(wallet, chainAsset.getBalance(), localBalance);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// 同步告警（通知运维+合规）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    MonitorService.alert(new SyncException("托管钱包与链上资产不一致，已自动修复：" + wallet.getWalletId()));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// 5. 同步链上资产变动记录（交易明细、RWA代币流转）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syncChainAssetTransaction(wallet, chainAsset.getTransactionHistory());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} catch (Exception e)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// 同步失败，标记异常状态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wallet.setSyncStatus(SyncStatus.SYNC_FAILED);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// 记录失败日志 + 告警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SyncLogService.save("WALLET_CHAIN_SYNC_FAILED", wallet.getWalletId(), e.getMessage());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    MonitorService.alert(new SyncException("托管钱包同步失败：" + wallet.getWalletId() + "，原因：" + e.getMessage()));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3. 余额一致性校验（允许微小误差，金融级精度）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boolean checkBalanceConsistency(BigDecimal chainBalance, BigDecimal localBalance)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误差阈值：0.0001（适配数字货币、RWA代币精度）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BigDecimal threshold = new BigDecimal("0.0001");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return chainBalance.subtract(localBalance).abs().compareTo(threshold) &lt;= 0;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4. 余额对账修复（以链上数据为基准，确保资产安全）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void reconcileWalletBalance(CustodyWallet wallet, BigDecimal chainBalance, BigDecimal localBalance)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1. 记录对账前状态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CustodyLogService.save("WALLET_RECONCILE_BEFORE", wallet.getWalletId(),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"链上余额：" + chainBalance + "，本地余额：" + localBalance);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2. 以链上余额为基准，更新本地托管余额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CustodyDB.updateWalletBalance(wallet.getWalletId(), chainBalance);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wallet.setBalance(chainBalance);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3. 记录对账后状态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CustodyLogService.save("WALLET_RECONCILE_AFTER", wallet.getWalletId(),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"修复后余额：" + chainBalance);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4. 同步至金融机构系统（告知余额调整）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FinancialInstitutionClient.pushWalletBalance(wallet.getFinancialInstitutionId(), wallet.getWalletId(), chainBalance);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5. 同步链上资产变动记录（交易明细、RWA代币流转）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void syncChainAssetTransaction(CustodyWallet wallet, List&lt;ChainTransaction&gt; transactions)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过滤未同步的交易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List&lt;ChainTransaction&gt; unsyncedTx = transactions.stream()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.filter(tx -&gt; !CustodyDB.isTransactionSynced(tx.getTxHash()))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.collect(Collectors.toList());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if (!unsyncedTx.isEmpty())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// 批量同步至托管系统数据库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CustodyDB.batchSaveTransaction(unsyncedTx, wallet.getWalletId());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// 同步至金融机构交易明细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FinancialInstitutionClient.pushTransaction明细(wallet.getFinancialInstitutionId(), unsyncedTx);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// 记录同步日志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SyncLogService.save("WALLET_TRANSACTION_SYNC", wallet.getWalletId(), "同步交易数：" + unsyncedTx.size());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6. 托管钱包资产查询（供金融机构、网关调用）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CustodyWalletQueryResult queryWalletAsset(String walletId)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CustodyWallet wallet = walletMap.get(walletId);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if (wallet == null)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throw new WalletNotFoundException("托管钱包不存在：" + walletId);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实时查询链上最新余额（确保查询结果准确）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ChainAsset chainAsset = BlockchainClient.getAssetBalance(wallet.getChainAddress());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组装查询结果（包含余额、同步状态、交易明细）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CustodyWalletQueryResult result = new CustodyWalletQueryResult();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result.setWalletId(walletId);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result.setFinancialInstitutionId(wallet.getFinancialInstitutionId());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result.setChainAddress(wallet.getChainAddress());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result.setCurrentBalance(chainAsset.getBalance());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result.setSyncStatus(wallet.getSyncStatus());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result.setLastSyncTime(wallet.getLastSyncTime());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result.setRecentTransactions(chainAsset.getTransactionHistory().subList(0, Math.min(10, chainAsset.getTransactionHistory().size())));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return result;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// 托管钱包实体类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class CustodyWallet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String walletId;          // 托管钱包ID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String financialInstitutionId; // 所属金融机构ID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String chainAddress;     // 链上地址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String keyId;            // 关联密钥ID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BigDecimal balance;      // 本地托管余额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SyncStatus syncStatus;   // 同步状态（SYNCED/SYNCING/SYNC_FAILED）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private LocalDateTime lastSyncTime; // 最后同步时间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getter/setter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// 同步状态枚举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enum SyncStatus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SYNCED,     // 同步完成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SYNCING,    // 同步中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SYNC_FAILED // 同步失败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</w:p>
        </w:tc>
      </w:tr>
    </w:tbl>
    <w:p w14:paraId="59A4346F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.2 关联衔接（与前文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部分应用代码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联动）</w:t>
      </w:r>
      <w:bookmarkEnd w:id="2"/>
    </w:p>
    <w:p w14:paraId="4F97C79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在DataSyncService（链上↔链下同步）中新增托管钱包同步触发逻辑，确保网关交易完成后，托管钱包与链上资产实时同步：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1"/>
      </w:tblGrid>
      <w:tr w14:paraId="70D01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5959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java</w:t>
            </w: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// 补充DataSyncService，新增托管钱包同步触发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DataSyncService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原有方法不变...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补充：链上数据同步至托管系统（触发托管钱包更新）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void syncToCustodySystem(StandardMessage msg)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1. 获取交易关联的托管钱包ID（从交易报文中提取）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String walletId = msg.getExtension().get("walletId");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if (StringUtils.isEmpty(walletId))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return; // 非托管交易，跳过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2. 触发托管系统同步该钱包资产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CustodySystemService.syncCustodyWalletWithChainByWalletId(walletId);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// 3. 记录同步日志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SyncLogService.save("SYNC_TO_CUSTODY", msg.getMsgId(), walletId);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// 重载：单独同步指定托管钱包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void syncCustodyWalletWithChainByWalletId(String walletId)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CustodyWallet wallet = CustodySystemService.getWalletById(walletId);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if (wallet != null) {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// 执行单钱包同步（复用前文批量同步逻辑）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    syncSingleWallet(wallet);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 xml:space="preserve">    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}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</w:p>
        </w:tc>
      </w:tr>
    </w:tbl>
    <w:p w14:paraId="3732BEBC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sz w:val="28"/>
          <w:szCs w:val="28"/>
        </w:rPr>
      </w:pPr>
    </w:p>
    <w:sectPr>
      <w:headerReference r:id="rId3" w:type="default"/>
      <w:footerReference r:id="rId4" w:type="default"/>
      <w:pgSz w:w="11905" w:h="16840"/>
      <w:pgMar w:top="1240" w:right="865" w:bottom="1440" w:left="9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7EF7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EBE7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417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6105</Words>
  <Characters>11958</Characters>
  <TotalTime>7</TotalTime>
  <ScaleCrop>false</ScaleCrop>
  <LinksUpToDate>false</LinksUpToDate>
  <CharactersWithSpaces>13976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2026-04-01T10:59:00Z</dcterms:created>
  <dc:creator>Apache POI</dc:creator>
  <cp:lastModifiedBy>Stony</cp:lastModifiedBy>
  <dcterms:modified xsi:type="dcterms:W3CDTF">2026-04-01T11:08:31Z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eyJoZGlkIjoiYmRkMDliMmFiZWRkNjc1ZTliZDQ5ZWJhNjk0MDczYTAiLCJ1c2VySWQiOiI0NDc5ODAwNzkifQ==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2AEEF027F1154B7EAC81D1925C680E8C_13</vt:lpwstr>
  </property>
</Properties>
</file>