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120" w:after="60"/>
        <w:pBdr>
          <w:bottom w:val="single" w:sz="8" w:color="C0392B"/>
        </w:pBdr>
      </w:pPr>
      <w:r>
        <w:rPr>
          <w:rFonts w:ascii="Microsoft JhengHei" w:hAnsi="Microsoft JhengHei"/>
          <w:b/>
          <w:color w:val="000000"/>
          <w:sz w:val="40"/>
        </w:rPr>
        <w:t>冷熱錢包系統架構設計</w:t>
      </w:r>
    </w:p>
    <w:p>
      <w:pPr>
        <w:spacing w:before="100" w:after="40"/>
      </w:pPr>
      <w:r>
        <w:rPr>
          <w:rFonts w:ascii="Microsoft JhengHei" w:hAnsi="Microsoft JhengHei"/>
          <w:b/>
          <w:color w:val="C0392B"/>
          <w:sz w:val="26"/>
        </w:rPr>
        <w:t>▌ 熱錢包（Hot Wallet）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  <w:gridCol w:w="4933"/>
      </w:tblGrid>
      <w:tr>
        <w:tc>
          <w:tcPr>
            <w:tcW w:type="dxa" w:w="4535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hotwallet</w:t>
              <w:br/>
              <w:t>(Go / HSM)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FFFFFF"/>
                <w:sz w:val="15"/>
              </w:rPr>
              <w:t>HSM 高頻交易錢包服務</w:t>
              <w:br/>
              <w:t>連接至 keyvault-gateway</w:t>
            </w:r>
          </w:p>
        </w:tc>
        <w:tc>
          <w:tcPr>
            <w:tcW w:type="dxa" w:w="4535"/>
            <w:shd w:val="clear" w:color="auto" w:fill="1A3A5C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keyvault-gateway</w:t>
              <w:br/>
              <w:t>(Go)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FFFFFF"/>
                <w:sz w:val="15"/>
              </w:rPr>
              <w:t>統一入口，路由至 walletos</w:t>
              <w:br/>
              <w:t>HTTP → JSON-RPC</w:t>
            </w:r>
          </w:p>
        </w:tc>
        <w:tc>
          <w:tcPr>
            <w:tcW w:type="dxa" w:w="4535"/>
            <w:shd w:val="clear" w:color="auto" w:fill="1A295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HSM</w:t>
              <w:br/>
              <w:t>(SoftHSM / CloudHSM / Thales)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FFFFFF"/>
                <w:sz w:val="15"/>
              </w:rPr>
              <w:t>硬體安全模組，負責私鑰保管</w:t>
              <w:br/>
              <w:t>支援多種 HSM 廠商</w:t>
            </w:r>
          </w:p>
        </w:tc>
      </w:tr>
    </w:tbl>
    <w:p/>
    <w:p>
      <w:pPr>
        <w:spacing w:before="100" w:after="40"/>
      </w:pPr>
      <w:r>
        <w:rPr>
          <w:rFonts w:ascii="Microsoft JhengHei" w:hAnsi="Microsoft JhengHei"/>
          <w:b/>
          <w:color w:val="1A2952"/>
          <w:sz w:val="26"/>
        </w:rPr>
        <w:t>▌ 冷錢包（Cold Wallet / Aegis Vault）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c>
          <w:tcPr>
            <w:tcW w:type="dxa" w:w="4535"/>
            <w:shd w:val="clear" w:color="auto" w:fill="D6E4F0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1A2952"/>
                <w:sz w:val="18"/>
              </w:rPr>
              <w:t>aegis-vault-app / admin</w:t>
              <w:br/>
              <w:t>(UI)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1A2952"/>
                <w:sz w:val="15"/>
              </w:rPr>
              <w:t>前端管理介面</w:t>
            </w:r>
          </w:p>
        </w:tc>
        <w:tc>
          <w:tcPr>
            <w:tcW w:type="dxa" w:w="4535"/>
            <w:shd w:val="clear" w:color="auto" w:fill="F4B94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1A2952"/>
                <w:sz w:val="18"/>
              </w:rPr>
              <w:t>aegis-vault-api</w:t>
              <w:br/>
              <w:t>(NestJS)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1A2952"/>
                <w:sz w:val="15"/>
              </w:rPr>
              <w:t>REST API 服務</w:t>
              <w:br/>
              <w:t>TypeORM + PostgreSQL</w:t>
            </w:r>
          </w:p>
        </w:tc>
        <w:tc>
          <w:tcPr>
            <w:tcW w:type="dxa" w:w="4535"/>
            <w:shd w:val="clear" w:color="auto" w:fill="1A295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keyvault-api-service</w:t>
              <w:br/>
              <w:t>(Go / Echo)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FFFFFF"/>
                <w:sz w:val="15"/>
              </w:rPr>
              <w:t>Keyvault 核心服務</w:t>
              <w:br/>
              <w:t>處理申請與簽核流程</w:t>
            </w:r>
          </w:p>
        </w:tc>
        <w:tc>
          <w:tcPr>
            <w:tcW w:type="dxa" w:w="4535"/>
            <w:shd w:val="clear" w:color="auto" w:fill="1A3A5C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keyvault-ethereum-service</w:t>
              <w:br/>
              <w:t>(Go)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FFFFFF"/>
                <w:sz w:val="15"/>
              </w:rPr>
              <w:t>EVM 交易建構</w:t>
              <w:br/>
              <w:t>鏈上操作封裝</w:t>
            </w:r>
          </w:p>
        </w:tc>
      </w:tr>
      <w:tr>
        <w:tc>
          <w:tcPr>
            <w:tcW w:type="dxa" w:w="4535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keyvault-kms-service</w:t>
              <w:br/>
              <w:t>(HSM / PKCS#11)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FFFFFF"/>
                <w:sz w:val="15"/>
              </w:rPr>
              <w:t>HSM 簽章服務</w:t>
              <w:br/>
              <w:t>接收摘要並回傳簽章</w:t>
            </w:r>
          </w:p>
        </w:tc>
        <w:tc>
          <w:tcPr>
            <w:tcW w:type="dxa" w:w="4535"/>
            <w:shd w:val="clear" w:color="auto" w:fill="1ABC9C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kv-auth-app</w:t>
              <w:br/>
              <w:t>(Mobile 審批)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FFFFFF"/>
                <w:sz w:val="15"/>
              </w:rPr>
              <w:t>行動端多重審批</w:t>
              <w:br/>
              <w:t>2FA + 生物辨識</w:t>
            </w:r>
          </w:p>
        </w:tc>
        <w:tc>
          <w:tcPr>
            <w:tcW w:type="dxa" w:w="4535"/>
            <w:shd w:val="clear" w:color="auto" w:fill="8E44AD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hk-hsm-ops</w:t>
              <w:br/>
              <w:t>(Air-gap Next.js)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FFFFFF"/>
                <w:sz w:val="15"/>
              </w:rPr>
              <w:t>香港離線部署</w:t>
              <w:br/>
              <w:t>替代 Kafka 簽章通道</w:t>
            </w:r>
          </w:p>
        </w:tc>
        <w:tc>
          <w:tcPr>
            <w:tcW w:type="dxa" w:w="4535"/>
            <w:shd w:val="clear" w:color="auto" w:fill="FFFFFF"/>
          </w:tcPr>
          <w:p/>
        </w:tc>
      </w:tr>
    </w:tbl>
    <w:p/>
    <w:p>
      <w:pPr>
        <w:spacing w:before="100" w:after="40"/>
      </w:pPr>
      <w:r>
        <w:rPr>
          <w:rFonts w:ascii="Microsoft JhengHei" w:hAnsi="Microsoft JhengHei"/>
          <w:b/>
          <w:color w:val="27AE60"/>
          <w:sz w:val="26"/>
        </w:rPr>
        <w:t>▌ 共享元件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798"/>
      </w:tblGrid>
      <w:tr>
        <w:tc>
          <w:tcPr>
            <w:tcW w:type="dxa" w:w="4535"/>
            <w:shd w:val="clear" w:color="auto" w:fill="27AE60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walletos</w:t>
              <w:br/>
              <w:t>(Rust + Go)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FFFFFF"/>
                <w:sz w:val="15"/>
              </w:rPr>
              <w:t>統一 JSON-RPC 閘道</w:t>
              <w:br/>
              <w:t>支援 10+ 條公鏈廣播與查詢</w:t>
            </w:r>
          </w:p>
        </w:tc>
      </w:tr>
    </w:tbl>
    <w:p/>
    <w:p>
      <w:pPr>
        <w:spacing w:before="100" w:after="40"/>
      </w:pPr>
      <w:r>
        <w:rPr>
          <w:rFonts w:ascii="Microsoft JhengHei" w:hAnsi="Microsoft JhengHei"/>
          <w:b/>
          <w:color w:val="000000"/>
          <w:sz w:val="22"/>
        </w:rPr>
        <w:t>▌ 系統架構說明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2268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熱錢包 (Hot Wallet)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基於 HSM 的高頻交易錢包，支援 SoftHSM / CloudHSM / Thales，由 Go 實作。</w:t>
            </w:r>
          </w:p>
        </w:tc>
      </w:tr>
      <w:tr>
        <w:tc>
          <w:tcPr>
            <w:tcW w:type="dxa" w:w="2268"/>
            <w:shd w:val="clear" w:color="auto" w:fill="1A295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冷錢包 (Cold Wallet)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Aegis Vault + Keyvault 子系統，多層審批 + 實體 HSM 簽章，離線私鑰保管。</w:t>
            </w:r>
          </w:p>
        </w:tc>
      </w:tr>
      <w:tr>
        <w:tc>
          <w:tcPr>
            <w:tcW w:type="dxa" w:w="2268"/>
            <w:shd w:val="clear" w:color="auto" w:fill="27AE60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walletos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Rust+Go 統一 JSON-RPC 層，支援 10+ 條鏈的廣播與查詢。</w:t>
            </w:r>
          </w:p>
        </w:tc>
      </w:tr>
      <w:tr>
        <w:tc>
          <w:tcPr>
            <w:tcW w:type="dxa" w:w="2268"/>
            <w:shd w:val="clear" w:color="auto" w:fill="1ABC9C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事件管道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crypto-event-subscriber → Kafka → WebSocket → Postgres，非同步鏈上事件同步。</w:t>
            </w:r>
          </w:p>
        </w:tc>
      </w:tr>
      <w:tr>
        <w:tc>
          <w:tcPr>
            <w:tcW w:type="dxa" w:w="2268"/>
            <w:shd w:val="clear" w:color="auto" w:fill="8E44AD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hk-hsm-ops (Air-gap)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香港離線部署的 Next.js 應用，替代 Kafka 完成離線簽章通道。</w:t>
            </w:r>
          </w:p>
        </w:tc>
      </w:tr>
    </w:tbl>
    <w:p/>
    <w:p>
      <w:r>
        <w:br w:type="page"/>
      </w:r>
    </w:p>
    <w:p>
      <w:pPr>
        <w:jc w:val="left"/>
        <w:spacing w:before="120" w:after="60"/>
        <w:pBdr>
          <w:bottom w:val="single" w:sz="8" w:color="C0392B"/>
        </w:pBdr>
      </w:pPr>
      <w:r>
        <w:rPr>
          <w:rFonts w:ascii="Microsoft JhengHei" w:hAnsi="Microsoft JhengHei"/>
          <w:b/>
          <w:color w:val="000000"/>
          <w:sz w:val="40"/>
        </w:rPr>
        <w:t>冷錢包提領流程設計</w:t>
      </w:r>
    </w:p>
    <w:p>
      <w:pPr>
        <w:ind w:left="0"/>
        <w:spacing w:before="20" w:after="20"/>
      </w:pPr>
      <w:r>
        <w:rPr>
          <w:rFonts w:ascii="Microsoft JhengHei" w:hAnsi="Microsoft JhengHei"/>
          <w:color w:val="C0392B"/>
          <w:sz w:val="18"/>
        </w:rPr>
        <w:t>需要至少 7 位人員、2 個部門、3 個作業單位才能完成交易提領。</w:t>
      </w:r>
    </w:p>
    <w:p/>
    <w:p>
      <w:pPr>
        <w:spacing w:before="100" w:after="40"/>
      </w:pPr>
      <w:r>
        <w:rPr>
          <w:rFonts w:ascii="Microsoft JhengHei" w:hAnsi="Microsoft JhengHei"/>
          <w:b/>
          <w:color w:val="C0392B"/>
          <w:sz w:val="26"/>
        </w:rPr>
        <w:t>流程階段：提幣申請  →  交易簽核  →  實體簽章  →  廣播上鏈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c>
          <w:tcPr>
            <w:tcW w:type="dxa" w:w="1247"/>
            <w:shd w:val="clear" w:color="auto" w:fill="C0392B"/>
          </w:tcPr>
          <w:p/>
        </w:tc>
        <w:tc>
          <w:tcPr>
            <w:tcW w:type="dxa" w:w="2960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提幣申請</w:t>
            </w:r>
          </w:p>
        </w:tc>
        <w:tc>
          <w:tcPr>
            <w:tcW w:type="dxa" w:w="2960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交易簽核</w:t>
            </w:r>
          </w:p>
        </w:tc>
        <w:tc>
          <w:tcPr>
            <w:tcW w:type="dxa" w:w="2960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實體簽章</w:t>
            </w:r>
          </w:p>
        </w:tc>
        <w:tc>
          <w:tcPr>
            <w:tcW w:type="dxa" w:w="2960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廣播上鏈</w:t>
            </w:r>
          </w:p>
        </w:tc>
      </w:tr>
      <w:tr>
        <w:tc>
          <w:tcPr>
            <w:tcW w:type="dxa" w:w="1247"/>
            <w:shd w:val="clear" w:color="auto" w:fill="000000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客戶</w:t>
            </w:r>
          </w:p>
        </w:tc>
        <w:tc>
          <w:tcPr>
            <w:tcW w:type="dxa" w:w="2960"/>
            <w:shd w:val="clear" w:color="auto" w:fill="F8F8F8"/>
          </w:tcPr>
          <w:p/>
          <w:p>
            <w:pPr>
              <w:jc w:val="center"/>
              <w:shd w:val="clear" w:color="auto" w:fill="F0F0F0"/>
            </w:pPr>
            <w:r>
              <w:rPr>
                <w:rFonts w:ascii="Microsoft JhengHei" w:hAnsi="Microsoft JhengHei"/>
                <w:b/>
                <w:color w:val="000000"/>
                <w:sz w:val="16"/>
              </w:rPr>
              <w:t>紙本申請</w:t>
            </w:r>
          </w:p>
        </w:tc>
        <w:tc>
          <w:tcPr>
            <w:tcW w:type="dxa" w:w="2960"/>
            <w:shd w:val="clear" w:color="auto" w:fill="F8F8F8"/>
          </w:tcPr>
          <w:p/>
        </w:tc>
        <w:tc>
          <w:tcPr>
            <w:tcW w:type="dxa" w:w="2960"/>
            <w:shd w:val="clear" w:color="auto" w:fill="F8F8F8"/>
          </w:tcPr>
          <w:p/>
        </w:tc>
        <w:tc>
          <w:tcPr>
            <w:tcW w:type="dxa" w:w="2960"/>
            <w:shd w:val="clear" w:color="auto" w:fill="F8F8F8"/>
          </w:tcPr>
          <w:p/>
        </w:tc>
      </w:tr>
      <w:tr>
        <w:tc>
          <w:tcPr>
            <w:tcW w:type="dxa" w:w="1247"/>
            <w:shd w:val="clear" w:color="auto" w:fill="444444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經辦</w:t>
            </w:r>
          </w:p>
        </w:tc>
        <w:tc>
          <w:tcPr>
            <w:tcW w:type="dxa" w:w="2960"/>
            <w:shd w:val="clear" w:color="auto" w:fill="FFFFFF"/>
          </w:tcPr>
          <w:p/>
          <w:p>
            <w:pPr>
              <w:jc w:val="center"/>
              <w:shd w:val="clear" w:color="auto" w:fill="F0F0F0"/>
            </w:pPr>
            <w:r>
              <w:rPr>
                <w:rFonts w:ascii="Microsoft JhengHei" w:hAnsi="Microsoft JhengHei"/>
                <w:b/>
                <w:color w:val="000000"/>
                <w:sz w:val="16"/>
              </w:rPr>
              <w:t>身份及內容審核</w:t>
            </w:r>
          </w:p>
        </w:tc>
        <w:tc>
          <w:tcPr>
            <w:tcW w:type="dxa" w:w="2960"/>
            <w:shd w:val="clear" w:color="auto" w:fill="FFFFFF"/>
          </w:tcPr>
          <w:p/>
          <w:p>
            <w:pPr>
              <w:jc w:val="center"/>
              <w:shd w:val="clear" w:color="auto" w:fill="F4B942"/>
            </w:pPr>
            <w:r>
              <w:rPr>
                <w:rFonts w:ascii="Microsoft JhengHei" w:hAnsi="Microsoft JhengHei"/>
                <w:b/>
                <w:color w:val="1A2952"/>
                <w:sz w:val="16"/>
              </w:rPr>
              <w:t>發起交易</w:t>
              <w:br/>
              <w:t>(aegis-vault-api)</w:t>
            </w:r>
          </w:p>
          <w:p>
            <w:pPr>
              <w:jc w:val="center"/>
              <w:shd w:val="clear" w:color="auto" w:fill="1ABC9C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KYT 檢核</w:t>
            </w:r>
          </w:p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</w:tc>
      </w:tr>
      <w:tr>
        <w:tc>
          <w:tcPr>
            <w:tcW w:type="dxa" w:w="1247"/>
            <w:shd w:val="clear" w:color="auto" w:fill="1A295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交易</w:t>
              <w:br/>
              <w:t>核決者</w:t>
            </w:r>
          </w:p>
        </w:tc>
        <w:tc>
          <w:tcPr>
            <w:tcW w:type="dxa" w:w="2960"/>
            <w:shd w:val="clear" w:color="auto" w:fill="F8F8F8"/>
          </w:tcPr>
          <w:p/>
        </w:tc>
        <w:tc>
          <w:tcPr>
            <w:tcW w:type="dxa" w:w="2960"/>
            <w:shd w:val="clear" w:color="auto" w:fill="F8F8F8"/>
          </w:tcPr>
          <w:p/>
          <w:p>
            <w:pPr>
              <w:jc w:val="center"/>
              <w:shd w:val="clear" w:color="auto" w:fill="1A2952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核決</w:t>
              <w:br/>
              <w:t>(Approval Matrix)</w:t>
            </w:r>
          </w:p>
        </w:tc>
        <w:tc>
          <w:tcPr>
            <w:tcW w:type="dxa" w:w="2960"/>
            <w:shd w:val="clear" w:color="auto" w:fill="F8F8F8"/>
          </w:tcPr>
          <w:p/>
        </w:tc>
        <w:tc>
          <w:tcPr>
            <w:tcW w:type="dxa" w:w="2960"/>
            <w:shd w:val="clear" w:color="auto" w:fill="F8F8F8"/>
          </w:tcPr>
          <w:p/>
        </w:tc>
      </w:tr>
      <w:tr>
        <w:tc>
          <w:tcPr>
            <w:tcW w:type="dxa" w:w="1247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交易</w:t>
              <w:br/>
              <w:t>簽章人員</w:t>
            </w:r>
          </w:p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  <w:p>
            <w:pPr>
              <w:jc w:val="center"/>
              <w:shd w:val="clear" w:color="auto" w:fill="1A3A5C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下載交易摘要</w:t>
              <w:br/>
              <w:t>(keyvault-kms)</w:t>
            </w:r>
          </w:p>
          <w:p>
            <w:pPr>
              <w:jc w:val="center"/>
              <w:shd w:val="clear" w:color="auto" w:fill="C0392B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私鑰簽章</w:t>
              <w:br/>
              <w:t>(HSM PKCS#11)</w:t>
            </w:r>
          </w:p>
        </w:tc>
        <w:tc>
          <w:tcPr>
            <w:tcW w:type="dxa" w:w="2960"/>
            <w:shd w:val="clear" w:color="auto" w:fill="FFFFFF"/>
          </w:tcPr>
          <w:p/>
          <w:p>
            <w:pPr>
              <w:jc w:val="center"/>
              <w:shd w:val="clear" w:color="auto" w:fill="27AE60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walletos 廣播</w:t>
              <w:br/>
              <w:t>(10+ chains)</w:t>
            </w:r>
          </w:p>
        </w:tc>
      </w:tr>
      <w:tr>
        <w:tc>
          <w:tcPr>
            <w:tcW w:type="dxa" w:w="1247"/>
            <w:shd w:val="clear" w:color="auto" w:fill="8E44AD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監督</w:t>
              <w:br/>
              <w:t>人員</w:t>
            </w:r>
          </w:p>
        </w:tc>
        <w:tc>
          <w:tcPr>
            <w:tcW w:type="dxa" w:w="2960"/>
            <w:shd w:val="clear" w:color="auto" w:fill="F8F8F8"/>
          </w:tcPr>
          <w:p/>
        </w:tc>
        <w:tc>
          <w:tcPr>
            <w:tcW w:type="dxa" w:w="2960"/>
            <w:shd w:val="clear" w:color="auto" w:fill="F8F8F8"/>
          </w:tcPr>
          <w:p/>
        </w:tc>
        <w:tc>
          <w:tcPr>
            <w:tcW w:type="dxa" w:w="2960"/>
            <w:shd w:val="clear" w:color="auto" w:fill="F8F8F8"/>
          </w:tcPr>
          <w:p/>
          <w:p>
            <w:pPr>
              <w:jc w:val="center"/>
              <w:shd w:val="clear" w:color="auto" w:fill="8E44AD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監督人員</w:t>
              <w:br/>
              <w:t>確認簽章</w:t>
            </w:r>
          </w:p>
        </w:tc>
        <w:tc>
          <w:tcPr>
            <w:tcW w:type="dxa" w:w="2960"/>
            <w:shd w:val="clear" w:color="auto" w:fill="F8F8F8"/>
          </w:tcPr>
          <w:p/>
        </w:tc>
      </w:tr>
      <w:tr>
        <w:tc>
          <w:tcPr>
            <w:tcW w:type="dxa" w:w="1247"/>
            <w:shd w:val="clear" w:color="auto" w:fill="1ABC9C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區塊鏈</w:t>
              <w:br/>
              <w:t>網路</w:t>
            </w:r>
          </w:p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  <w:p>
            <w:pPr>
              <w:jc w:val="center"/>
              <w:shd w:val="clear" w:color="auto" w:fill="1ABC9C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廣播上鏈確認</w:t>
            </w:r>
          </w:p>
        </w:tc>
      </w:tr>
    </w:tbl>
    <w:p/>
    <w:p>
      <w:pPr>
        <w:spacing w:before="100" w:after="40"/>
      </w:pPr>
      <w:r>
        <w:rPr>
          <w:rFonts w:ascii="Microsoft JhengHei" w:hAnsi="Microsoft JhengHei"/>
          <w:b/>
          <w:color w:val="000000"/>
          <w:sz w:val="22"/>
        </w:rPr>
        <w:t>▌ 角色職責說明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2268"/>
            <w:shd w:val="clear" w:color="auto" w:fill="F4B94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交易發起者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確認客戶交易明細，發起交易，2FA 核實身份。</w:t>
            </w:r>
          </w:p>
        </w:tc>
      </w:tr>
      <w:tr>
        <w:tc>
          <w:tcPr>
            <w:tcW w:type="dxa" w:w="2268"/>
            <w:shd w:val="clear" w:color="auto" w:fill="1A295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交易核決者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依 Approval Matrix 授權交易許可。Layer 1: 2/3 核決；Layer 2: 1/2 核決。</w:t>
            </w:r>
          </w:p>
        </w:tc>
      </w:tr>
      <w:tr>
        <w:tc>
          <w:tcPr>
            <w:tcW w:type="dxa" w:w="2268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交易簽章人員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使用 HSM 中之金鑰簽署持含交易明細摘要之硬體，於離線狀態下確認後利用 HSM 簽署交易。</w:t>
            </w:r>
          </w:p>
        </w:tc>
      </w:tr>
      <w:tr>
        <w:tc>
          <w:tcPr>
            <w:tcW w:type="dxa" w:w="2268"/>
            <w:shd w:val="clear" w:color="auto" w:fill="8E44AD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監督人員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確保實體簽章流程的公正性及安全性。</w:t>
            </w:r>
          </w:p>
        </w:tc>
      </w:tr>
      <w:tr>
        <w:tc>
          <w:tcPr>
            <w:tcW w:type="dxa" w:w="2268"/>
            <w:shd w:val="clear" w:color="auto" w:fill="27AE60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walletos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廣播已簽署交易至目標區塊鏈網路（支援 10+ 條鏈）。</w:t>
            </w:r>
          </w:p>
        </w:tc>
      </w:tr>
    </w:tbl>
    <w:p/>
    <w:p>
      <w:r>
        <w:br w:type="page"/>
      </w:r>
    </w:p>
    <w:p>
      <w:pPr>
        <w:jc w:val="left"/>
        <w:spacing w:before="120" w:after="60"/>
        <w:pBdr>
          <w:bottom w:val="single" w:sz="8" w:color="C0392B"/>
        </w:pBdr>
      </w:pPr>
      <w:r>
        <w:rPr>
          <w:rFonts w:ascii="Microsoft JhengHei" w:hAnsi="Microsoft JhengHei"/>
          <w:b/>
          <w:color w:val="000000"/>
          <w:sz w:val="40"/>
        </w:rPr>
        <w:t>幣流① 存入流程</w:t>
      </w:r>
    </w:p>
    <w:p>
      <w:pPr>
        <w:spacing w:before="100" w:after="40"/>
      </w:pPr>
      <w:r>
        <w:rPr>
          <w:rFonts w:ascii="Microsoft JhengHei" w:hAnsi="Microsoft JhengHei"/>
          <w:b/>
          <w:color w:val="C0392B"/>
          <w:sz w:val="26"/>
        </w:rPr>
        <w:t>流程階段：存幣申請  →  客戶存入流程  →  存入後檢核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c>
          <w:tcPr>
            <w:tcW w:type="dxa" w:w="1247"/>
            <w:shd w:val="clear" w:color="auto" w:fill="C0392B"/>
          </w:tcPr>
          <w:p/>
        </w:tc>
        <w:tc>
          <w:tcPr>
            <w:tcW w:type="dxa" w:w="2960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存幣申請</w:t>
            </w:r>
          </w:p>
        </w:tc>
        <w:tc>
          <w:tcPr>
            <w:tcW w:type="dxa" w:w="2960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客戶存入流程</w:t>
            </w:r>
          </w:p>
        </w:tc>
        <w:tc>
          <w:tcPr>
            <w:tcW w:type="dxa" w:w="2960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存入後檢核（KYT）</w:t>
            </w:r>
          </w:p>
        </w:tc>
        <w:tc>
          <w:tcPr>
            <w:tcW w:type="dxa" w:w="2960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資產處置</w:t>
            </w:r>
          </w:p>
        </w:tc>
      </w:tr>
      <w:tr>
        <w:tc>
          <w:tcPr>
            <w:tcW w:type="dxa" w:w="1247"/>
            <w:shd w:val="clear" w:color="auto" w:fill="000000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客戶</w:t>
            </w:r>
          </w:p>
        </w:tc>
        <w:tc>
          <w:tcPr>
            <w:tcW w:type="dxa" w:w="2960"/>
            <w:shd w:val="clear" w:color="auto" w:fill="F8F8F8"/>
          </w:tcPr>
          <w:p/>
          <w:p>
            <w:pPr>
              <w:jc w:val="center"/>
              <w:shd w:val="clear" w:color="auto" w:fill="F0F0F0"/>
            </w:pPr>
            <w:r>
              <w:rPr>
                <w:rFonts w:ascii="Microsoft JhengHei" w:hAnsi="Microsoft JhengHei"/>
                <w:b/>
                <w:color w:val="000000"/>
                <w:sz w:val="16"/>
              </w:rPr>
              <w:t>紙本申請</w:t>
            </w:r>
          </w:p>
        </w:tc>
        <w:tc>
          <w:tcPr>
            <w:tcW w:type="dxa" w:w="2960"/>
            <w:shd w:val="clear" w:color="auto" w:fill="F8F8F8"/>
          </w:tcPr>
          <w:p/>
          <w:p>
            <w:pPr>
              <w:jc w:val="center"/>
              <w:shd w:val="clear" w:color="auto" w:fill="F4B942"/>
            </w:pPr>
            <w:r>
              <w:rPr>
                <w:rFonts w:ascii="Microsoft JhengHei" w:hAnsi="Microsoft JhengHei"/>
                <w:b/>
                <w:color w:val="1A2952"/>
                <w:sz w:val="16"/>
              </w:rPr>
              <w:t>發起存幣</w:t>
            </w:r>
          </w:p>
          <w:p>
            <w:pPr>
              <w:jc w:val="center"/>
              <w:shd w:val="clear" w:color="auto" w:fill="1ABC9C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客戶通知台新</w:t>
            </w:r>
          </w:p>
        </w:tc>
        <w:tc>
          <w:tcPr>
            <w:tcW w:type="dxa" w:w="2960"/>
            <w:shd w:val="clear" w:color="auto" w:fill="F8F8F8"/>
          </w:tcPr>
          <w:p/>
        </w:tc>
        <w:tc>
          <w:tcPr>
            <w:tcW w:type="dxa" w:w="2960"/>
            <w:shd w:val="clear" w:color="auto" w:fill="F8F8F8"/>
          </w:tcPr>
          <w:p/>
        </w:tc>
      </w:tr>
      <w:tr>
        <w:tc>
          <w:tcPr>
            <w:tcW w:type="dxa" w:w="1247"/>
            <w:shd w:val="clear" w:color="auto" w:fill="1A295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洗錢防治</w:t>
            </w:r>
          </w:p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  <w:p>
            <w:pPr>
              <w:jc w:val="center"/>
              <w:shd w:val="clear" w:color="auto" w:fill="F0F0F0"/>
            </w:pPr>
            <w:r>
              <w:rPr>
                <w:rFonts w:ascii="Microsoft JhengHei" w:hAnsi="Microsoft JhengHei"/>
                <w:b/>
                <w:color w:val="000000"/>
                <w:sz w:val="16"/>
              </w:rPr>
              <w:t>風險審核</w:t>
            </w:r>
          </w:p>
        </w:tc>
      </w:tr>
      <w:tr>
        <w:tc>
          <w:tcPr>
            <w:tcW w:type="dxa" w:w="1247"/>
            <w:shd w:val="clear" w:color="auto" w:fill="1A3A5C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信託部</w:t>
            </w:r>
          </w:p>
        </w:tc>
        <w:tc>
          <w:tcPr>
            <w:tcW w:type="dxa" w:w="2960"/>
            <w:shd w:val="clear" w:color="auto" w:fill="F8F8F8"/>
          </w:tcPr>
          <w:p/>
          <w:p>
            <w:pPr>
              <w:jc w:val="center"/>
              <w:shd w:val="clear" w:color="auto" w:fill="F0F0F0"/>
            </w:pPr>
            <w:r>
              <w:rPr>
                <w:rFonts w:ascii="Microsoft JhengHei" w:hAnsi="Microsoft JhengHei"/>
                <w:b/>
                <w:color w:val="000000"/>
                <w:sz w:val="16"/>
              </w:rPr>
              <w:t>身份及內容審核</w:t>
            </w:r>
          </w:p>
          <w:p>
            <w:pPr>
              <w:jc w:val="center"/>
              <w:shd w:val="clear" w:color="auto" w:fill="1A2952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台新通知客戶</w:t>
            </w:r>
          </w:p>
        </w:tc>
        <w:tc>
          <w:tcPr>
            <w:tcW w:type="dxa" w:w="2960"/>
            <w:shd w:val="clear" w:color="auto" w:fill="F8F8F8"/>
          </w:tcPr>
          <w:p/>
        </w:tc>
        <w:tc>
          <w:tcPr>
            <w:tcW w:type="dxa" w:w="2960"/>
            <w:shd w:val="clear" w:color="auto" w:fill="F8F8F8"/>
          </w:tcPr>
          <w:p/>
        </w:tc>
        <w:tc>
          <w:tcPr>
            <w:tcW w:type="dxa" w:w="2960"/>
            <w:shd w:val="clear" w:color="auto" w:fill="F8F8F8"/>
          </w:tcPr>
          <w:p/>
        </w:tc>
      </w:tr>
      <w:tr>
        <w:tc>
          <w:tcPr>
            <w:tcW w:type="dxa" w:w="1247"/>
            <w:shd w:val="clear" w:color="auto" w:fill="555555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經辦</w:t>
            </w:r>
          </w:p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  <w:p>
            <w:pPr>
              <w:jc w:val="center"/>
              <w:shd w:val="clear" w:color="auto" w:fill="F0F0F0"/>
            </w:pPr>
            <w:r>
              <w:rPr>
                <w:rFonts w:ascii="Microsoft JhengHei" w:hAnsi="Microsoft JhengHei"/>
                <w:b/>
                <w:color w:val="000000"/>
                <w:sz w:val="16"/>
              </w:rPr>
              <w:t>確認存入內容</w:t>
            </w:r>
          </w:p>
          <w:p>
            <w:pPr>
              <w:jc w:val="center"/>
              <w:shd w:val="clear" w:color="auto" w:fill="27AE60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通過 →</w:t>
            </w:r>
          </w:p>
          <w:p>
            <w:pPr>
              <w:jc w:val="center"/>
              <w:shd w:val="clear" w:color="auto" w:fill="1ABC9C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KYT 檢核</w:t>
            </w:r>
          </w:p>
        </w:tc>
        <w:tc>
          <w:tcPr>
            <w:tcW w:type="dxa" w:w="2960"/>
            <w:shd w:val="clear" w:color="auto" w:fill="FFFFFF"/>
          </w:tcPr>
          <w:p/>
        </w:tc>
      </w:tr>
      <w:tr>
        <w:tc>
          <w:tcPr>
            <w:tcW w:type="dxa" w:w="1247"/>
            <w:shd w:val="clear" w:color="auto" w:fill="666666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簽核主管</w:t>
            </w:r>
          </w:p>
        </w:tc>
        <w:tc>
          <w:tcPr>
            <w:tcW w:type="dxa" w:w="2960"/>
            <w:shd w:val="clear" w:color="auto" w:fill="F8F8F8"/>
          </w:tcPr>
          <w:p/>
        </w:tc>
        <w:tc>
          <w:tcPr>
            <w:tcW w:type="dxa" w:w="2960"/>
            <w:shd w:val="clear" w:color="auto" w:fill="F8F8F8"/>
          </w:tcPr>
          <w:p/>
        </w:tc>
        <w:tc>
          <w:tcPr>
            <w:tcW w:type="dxa" w:w="2960"/>
            <w:shd w:val="clear" w:color="auto" w:fill="F8F8F8"/>
          </w:tcPr>
          <w:p/>
          <w:p>
            <w:pPr>
              <w:jc w:val="center"/>
              <w:shd w:val="clear" w:color="auto" w:fill="C0392B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金額有誤 →返還</w:t>
            </w:r>
          </w:p>
          <w:p>
            <w:pPr>
              <w:jc w:val="center"/>
              <w:shd w:val="clear" w:color="auto" w:fill="1A2952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核決</w:t>
            </w:r>
          </w:p>
        </w:tc>
        <w:tc>
          <w:tcPr>
            <w:tcW w:type="dxa" w:w="2960"/>
            <w:shd w:val="clear" w:color="auto" w:fill="F8F8F8"/>
          </w:tcPr>
          <w:p/>
          <w:p>
            <w:pPr>
              <w:jc w:val="center"/>
              <w:shd w:val="clear" w:color="auto" w:fill="27AE60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通過KYT</w:t>
            </w:r>
          </w:p>
          <w:p>
            <w:pPr>
              <w:jc w:val="center"/>
              <w:shd w:val="clear" w:color="auto" w:fill="C0392B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未通過KYT</w:t>
            </w:r>
          </w:p>
        </w:tc>
      </w:tr>
      <w:tr>
        <w:tc>
          <w:tcPr>
            <w:tcW w:type="dxa" w:w="1247"/>
            <w:shd w:val="clear" w:color="auto" w:fill="777777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執行人員</w:t>
            </w:r>
          </w:p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</w:tc>
        <w:tc>
          <w:tcPr>
            <w:tcW w:type="dxa" w:w="2960"/>
            <w:shd w:val="clear" w:color="auto" w:fill="FFFFFF"/>
          </w:tcPr>
          <w:p/>
          <w:p>
            <w:pPr>
              <w:jc w:val="center"/>
              <w:shd w:val="clear" w:color="auto" w:fill="1A2952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客戶錢包</w:t>
              <w:br/>
              <w:t>(B. 獨立錢包)</w:t>
            </w:r>
          </w:p>
          <w:p>
            <w:pPr>
              <w:jc w:val="center"/>
              <w:shd w:val="clear" w:color="auto" w:fill="C0392B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可疑資金錢包</w:t>
              <w:br/>
              <w:t>(C. 暫存)</w:t>
            </w:r>
          </w:p>
        </w:tc>
      </w:tr>
    </w:tbl>
    <w:p/>
    <w:p>
      <w:pPr>
        <w:spacing w:before="100" w:after="40"/>
      </w:pPr>
      <w:r>
        <w:rPr>
          <w:rFonts w:ascii="Microsoft JhengHei" w:hAnsi="Microsoft JhengHei"/>
          <w:b/>
          <w:color w:val="000000"/>
          <w:sz w:val="22"/>
        </w:rPr>
        <w:t>▌ 議題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2268"/>
            <w:shd w:val="clear" w:color="auto" w:fill="F4B94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通知方式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確認「通知」方式：如信件、電話照會等。</w:t>
            </w:r>
          </w:p>
        </w:tc>
      </w:tr>
      <w:tr>
        <w:tc>
          <w:tcPr>
            <w:tcW w:type="dxa" w:w="2268"/>
            <w:shd w:val="clear" w:color="auto" w:fill="1A295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返還流程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建議皆由信託部執行，無需牽涉洗防部門。</w:t>
            </w:r>
          </w:p>
        </w:tc>
      </w:tr>
      <w:tr>
        <w:tc>
          <w:tcPr>
            <w:tcW w:type="dxa" w:w="2268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KYT 未通過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資產進入可疑資金錢包，等待風險審核後續處置。</w:t>
            </w:r>
          </w:p>
        </w:tc>
      </w:tr>
    </w:tbl>
    <w:p/>
    <w:p>
      <w:r>
        <w:br w:type="page"/>
      </w:r>
    </w:p>
    <w:p>
      <w:pPr>
        <w:jc w:val="left"/>
        <w:spacing w:before="120" w:after="60"/>
        <w:pBdr>
          <w:bottom w:val="single" w:sz="8" w:color="C0392B"/>
        </w:pBdr>
      </w:pPr>
      <w:r>
        <w:rPr>
          <w:rFonts w:ascii="Microsoft JhengHei" w:hAnsi="Microsoft JhengHei"/>
          <w:b/>
          <w:color w:val="000000"/>
          <w:sz w:val="40"/>
        </w:rPr>
        <w:t>區塊鏈事件處理流程設計</w:t>
      </w:r>
    </w:p>
    <w:p>
      <w:pPr>
        <w:spacing w:before="100" w:after="40"/>
      </w:pPr>
      <w:r>
        <w:rPr>
          <w:rFonts w:ascii="Microsoft JhengHei" w:hAnsi="Microsoft JhengHei"/>
          <w:b/>
          <w:color w:val="1ABC9C"/>
          <w:sz w:val="26"/>
        </w:rPr>
        <w:t>▌ 主要事件管道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417"/>
            <w:shd w:val="clear" w:color="auto" w:fill="27AE60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walletos</w:t>
              <w:br/>
              <w:t>(RPC節點)</w:t>
            </w:r>
          </w:p>
        </w:tc>
        <w:tc>
          <w:tcPr>
            <w:tcW w:type="dxa" w:w="283"/>
            <w:shd w:val="clear" w:color="auto" w:fill="FFFFFF"/>
          </w:tcPr>
          <w:p>
            <w:pPr>
              <w:jc w:val="center"/>
            </w:pPr>
            <w:r>
              <w:rPr>
                <w:rFonts w:ascii="Microsoft JhengHei" w:hAnsi="Microsoft JhengHei"/>
                <w:sz w:val="20"/>
              </w:rPr>
              <w:t>→</w:t>
            </w:r>
          </w:p>
        </w:tc>
        <w:tc>
          <w:tcPr>
            <w:tcW w:type="dxa" w:w="1417"/>
            <w:shd w:val="clear" w:color="auto" w:fill="1ABC9C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crypto-event</w:t>
              <w:br/>
              <w:t>-subscriber</w:t>
              <w:br/>
              <w:t>(Go)</w:t>
            </w:r>
          </w:p>
        </w:tc>
        <w:tc>
          <w:tcPr>
            <w:tcW w:type="dxa" w:w="283"/>
            <w:shd w:val="clear" w:color="auto" w:fill="FFFFFF"/>
          </w:tcPr>
          <w:p>
            <w:pPr>
              <w:jc w:val="center"/>
            </w:pPr>
            <w:r>
              <w:rPr>
                <w:rFonts w:ascii="Microsoft JhengHei" w:hAnsi="Microsoft JhengHei"/>
                <w:sz w:val="20"/>
              </w:rPr>
              <w:t>→</w:t>
            </w:r>
          </w:p>
        </w:tc>
        <w:tc>
          <w:tcPr>
            <w:tcW w:type="dxa" w:w="1417"/>
            <w:shd w:val="clear" w:color="auto" w:fill="F4B94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1A2952"/>
                <w:sz w:val="16"/>
              </w:rPr>
              <w:t>Kafka</w:t>
              <w:br/>
              <w:t>Topic</w:t>
            </w:r>
          </w:p>
        </w:tc>
        <w:tc>
          <w:tcPr>
            <w:tcW w:type="dxa" w:w="283"/>
            <w:shd w:val="clear" w:color="auto" w:fill="FFFFFF"/>
          </w:tcPr>
          <w:p>
            <w:pPr>
              <w:jc w:val="center"/>
            </w:pPr>
            <w:r>
              <w:rPr>
                <w:rFonts w:ascii="Microsoft JhengHei" w:hAnsi="Microsoft JhengHei"/>
                <w:sz w:val="20"/>
              </w:rPr>
              <w:t>→</w:t>
            </w:r>
          </w:p>
        </w:tc>
        <w:tc>
          <w:tcPr>
            <w:tcW w:type="dxa" w:w="1417"/>
            <w:shd w:val="clear" w:color="auto" w:fill="1ABC9C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crypto-event-ws</w:t>
              <w:br/>
              <w:t>(WebSocket, Go)</w:t>
            </w:r>
          </w:p>
        </w:tc>
        <w:tc>
          <w:tcPr>
            <w:tcW w:type="dxa" w:w="283"/>
            <w:shd w:val="clear" w:color="auto" w:fill="FFFFFF"/>
          </w:tcPr>
          <w:p>
            <w:pPr>
              <w:jc w:val="center"/>
            </w:pPr>
            <w:r>
              <w:rPr>
                <w:rFonts w:ascii="Microsoft JhengHei" w:hAnsi="Microsoft JhengHei"/>
                <w:sz w:val="20"/>
              </w:rPr>
              <w:t>→</w:t>
            </w:r>
          </w:p>
        </w:tc>
        <w:tc>
          <w:tcPr>
            <w:tcW w:type="dxa" w:w="1417"/>
            <w:shd w:val="clear" w:color="auto" w:fill="1A3A5C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aegisvault</w:t>
              <w:br/>
              <w:t>-transaction</w:t>
              <w:br/>
              <w:t>(NestJS)</w:t>
            </w:r>
          </w:p>
        </w:tc>
        <w:tc>
          <w:tcPr>
            <w:tcW w:type="dxa" w:w="283"/>
            <w:shd w:val="clear" w:color="auto" w:fill="FFFFFF"/>
          </w:tcPr>
          <w:p>
            <w:pPr>
              <w:jc w:val="center"/>
            </w:pPr>
            <w:r>
              <w:rPr>
                <w:rFonts w:ascii="Microsoft JhengHei" w:hAnsi="Microsoft JhengHei"/>
                <w:sz w:val="20"/>
              </w:rPr>
              <w:t>→</w:t>
            </w:r>
          </w:p>
        </w:tc>
        <w:tc>
          <w:tcPr>
            <w:tcW w:type="dxa" w:w="1417"/>
            <w:shd w:val="clear" w:color="auto" w:fill="1A295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6"/>
              </w:rPr>
              <w:t>PostgreSQL</w:t>
            </w:r>
          </w:p>
        </w:tc>
      </w:tr>
    </w:tbl>
    <w:p/>
    <w:p>
      <w:pPr>
        <w:spacing w:before="100" w:after="40"/>
      </w:pPr>
      <w:r>
        <w:rPr>
          <w:rFonts w:ascii="Microsoft JhengHei" w:hAnsi="Microsoft JhengHei"/>
          <w:b/>
          <w:color w:val="1A2952"/>
          <w:sz w:val="22"/>
        </w:rPr>
        <w:t>▌ 延伸元件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c>
          <w:tcPr>
            <w:tcW w:type="dxa" w:w="4535"/>
            <w:shd w:val="clear" w:color="auto" w:fill="C0392B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hotwallet</w:t>
              <w:br/>
              <w:t>(HSM 熱錢包)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FFFFFF"/>
                <w:sz w:val="15"/>
              </w:rPr>
              <w:t>直接呼叫 walletos 廣播</w:t>
              <w:br/>
              <w:t>高頻交易路徑</w:t>
            </w:r>
          </w:p>
        </w:tc>
        <w:tc>
          <w:tcPr>
            <w:tcW w:type="dxa" w:w="4535"/>
            <w:shd w:val="clear" w:color="auto" w:fill="F0F0F0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000000"/>
                <w:sz w:val="18"/>
              </w:rPr>
              <w:t>transaction-listener</w:t>
              <w:br/>
              <w:t>(RPC 輪詢)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000000"/>
                <w:sz w:val="15"/>
              </w:rPr>
              <w:t>私有鏈輪詢替代訂閱</w:t>
              <w:br/>
              <w:t>適用無事件訂閱能力的鏈</w:t>
            </w:r>
          </w:p>
        </w:tc>
        <w:tc>
          <w:tcPr>
            <w:tcW w:type="dxa" w:w="4535"/>
            <w:shd w:val="clear" w:color="auto" w:fill="D6E4F0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1A2952"/>
                <w:sz w:val="18"/>
              </w:rPr>
              <w:t>aegis-vault-app</w:t>
              <w:br/>
              <w:t>(前端 UI 通知)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1A2952"/>
                <w:sz w:val="15"/>
              </w:rPr>
              <w:t>crypto-event-ws 推送</w:t>
              <w:br/>
              <w:t>即時顯示交易狀態</w:t>
            </w:r>
          </w:p>
        </w:tc>
        <w:tc>
          <w:tcPr>
            <w:tcW w:type="dxa" w:w="4535"/>
            <w:shd w:val="clear" w:color="auto" w:fill="F4B94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1A2952"/>
                <w:sz w:val="18"/>
              </w:rPr>
              <w:t>aegis-vault-api</w:t>
              <w:br/>
              <w:t>(查詢 / REST)</w:t>
            </w:r>
          </w:p>
          <w:p>
            <w:pPr>
              <w:jc w:val="center"/>
            </w:pPr>
            <w:r>
              <w:rPr>
                <w:rFonts w:ascii="Microsoft JhengHei" w:hAnsi="Microsoft JhengHei"/>
                <w:color w:val="1A2952"/>
                <w:sz w:val="15"/>
              </w:rPr>
              <w:t>從 PostgreSQL 查詢</w:t>
              <w:br/>
              <w:t>交易記錄歷史</w:t>
            </w:r>
          </w:p>
        </w:tc>
      </w:tr>
    </w:tbl>
    <w:p/>
    <w:p>
      <w:pPr>
        <w:spacing w:before="100" w:after="40"/>
      </w:pPr>
      <w:r>
        <w:rPr>
          <w:rFonts w:ascii="Microsoft JhengHei" w:hAnsi="Microsoft JhengHei"/>
          <w:b/>
          <w:color w:val="000000"/>
          <w:sz w:val="22"/>
        </w:rPr>
        <w:t>▌ 事件管道說明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2268"/>
            <w:shd w:val="clear" w:color="auto" w:fill="27AE60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walletos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統一 JSON-RPC 閘道，支援 EVM / UTXO / Cosmos 等 10+ 條公鏈的廣播與查詢。</w:t>
            </w:r>
          </w:p>
        </w:tc>
      </w:tr>
      <w:tr>
        <w:tc>
          <w:tcPr>
            <w:tcW w:type="dxa" w:w="2268"/>
            <w:shd w:val="clear" w:color="auto" w:fill="1ABC9C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crypto-event-subscriber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訂閱鏈上事件，解析交易狀態，將事件發布至 Kafka Topic。</w:t>
            </w:r>
          </w:p>
        </w:tc>
      </w:tr>
      <w:tr>
        <w:tc>
          <w:tcPr>
            <w:tcW w:type="dxa" w:w="2268"/>
            <w:shd w:val="clear" w:color="auto" w:fill="F4B94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Kafka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高吞吐量訊息佇列，採 Partitioned Topic 設計，解耦訂閱與推送。</w:t>
            </w:r>
          </w:p>
        </w:tc>
      </w:tr>
      <w:tr>
        <w:tc>
          <w:tcPr>
            <w:tcW w:type="dxa" w:w="2268"/>
            <w:shd w:val="clear" w:color="auto" w:fill="1ABC9C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crypto-event-ws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WebSocket 服務，即時將交易事件推送至前端 UI 或下游服務。</w:t>
            </w:r>
          </w:p>
        </w:tc>
      </w:tr>
      <w:tr>
        <w:tc>
          <w:tcPr>
            <w:tcW w:type="dxa" w:w="2268"/>
            <w:shd w:val="clear" w:color="auto" w:fill="1A3A5C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aegisvault-transaction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NestJS 服務，消費 Kafka 事件並以 TypeORM 持久化至 PostgreSQL。</w:t>
            </w:r>
          </w:p>
        </w:tc>
      </w:tr>
      <w:tr>
        <w:tc>
          <w:tcPr>
            <w:tcW w:type="dxa" w:w="2268"/>
            <w:shd w:val="clear" w:color="auto" w:fill="1A2952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transaction-listener</w:t>
            </w:r>
          </w:p>
        </w:tc>
        <w:tc>
          <w:tcPr>
            <w:tcW w:type="dxa" w:w="7399"/>
            <w:shd w:val="clear" w:color="auto" w:fill="FFFFFF"/>
          </w:tcPr>
          <w:p>
            <w:r>
              <w:rPr>
                <w:rFonts w:ascii="Microsoft JhengHei" w:hAnsi="Microsoft JhengHei"/>
                <w:sz w:val="16"/>
              </w:rPr>
              <w:t>RPC 輪詢服務，為不支援訂閱的私有鏈提供替代事件採集方案。</w:t>
            </w:r>
          </w:p>
        </w:tc>
      </w:tr>
    </w:tbl>
    <w:p/>
    <w:sectPr w:rsidR="00FC693F" w:rsidRPr="0006063C" w:rsidSect="00034616">
      <w:pgSz w:w="16838" w:h="11906" w:orient="landscape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