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BDC03" w14:textId="77777777" w:rsidR="006B503B" w:rsidRDefault="006B503B" w:rsidP="006B503B">
      <w:pPr>
        <w:pStyle w:val="Heading1"/>
        <w:spacing w:line="360" w:lineRule="atLeast"/>
        <w:rPr>
          <w:rFonts w:ascii="Microsoft YaHei" w:eastAsia="Microsoft YaHei" w:hAnsi="Microsoft YaHei" w:cs="Microsoft YaHei"/>
          <w:color w:val="0000FF"/>
          <w:sz w:val="32"/>
          <w:szCs w:val="32"/>
        </w:rPr>
      </w:pPr>
      <w:proofErr w:type="spellStart"/>
      <w:r>
        <w:rPr>
          <w:rFonts w:ascii="Microsoft YaHei" w:eastAsia="Microsoft YaHei" w:hAnsi="Microsoft YaHei" w:cs="Microsoft YaHei" w:hint="eastAsia"/>
          <w:color w:val="0000FF"/>
          <w:sz w:val="32"/>
          <w:szCs w:val="32"/>
        </w:rPr>
        <w:t>Zodia</w:t>
      </w:r>
      <w:proofErr w:type="spellEnd"/>
      <w:r>
        <w:rPr>
          <w:rFonts w:ascii="Microsoft YaHei" w:eastAsia="Microsoft YaHei" w:hAnsi="Microsoft YaHei" w:cs="Microsoft YaHei" w:hint="eastAsia"/>
          <w:color w:val="0000FF"/>
          <w:sz w:val="32"/>
          <w:szCs w:val="32"/>
        </w:rPr>
        <w:t xml:space="preserve"> 托管系统 vs Aegis Vault 功能对比表</w:t>
      </w:r>
    </w:p>
    <w:p w14:paraId="7BE4121D" w14:textId="77777777" w:rsidR="006B503B" w:rsidRDefault="006B503B" w:rsidP="006B503B">
      <w:pPr>
        <w:widowControl/>
        <w:spacing w:line="360" w:lineRule="atLeast"/>
        <w:jc w:val="left"/>
        <w:rPr>
          <w:rFonts w:ascii="Microsoft YaHei" w:eastAsia="Microsoft YaHei" w:hAnsi="Microsoft YaHei" w:cs="Microsoft YaHei"/>
          <w:color w:val="1F2329"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color w:val="1F2329"/>
          <w:kern w:val="0"/>
          <w:sz w:val="22"/>
          <w:szCs w:val="22"/>
          <w:lang w:bidi="ar"/>
        </w:rPr>
        <w:t xml:space="preserve">以下对比基于 Aegis Vault 公开功能模块，结合渣打 </w:t>
      </w:r>
      <w:proofErr w:type="spellStart"/>
      <w:r>
        <w:rPr>
          <w:rFonts w:ascii="Microsoft YaHei" w:eastAsia="Microsoft YaHei" w:hAnsi="Microsoft YaHei" w:cs="Microsoft YaHei" w:hint="eastAsia"/>
          <w:color w:val="1F2329"/>
          <w:kern w:val="0"/>
          <w:sz w:val="22"/>
          <w:szCs w:val="22"/>
          <w:lang w:bidi="ar"/>
        </w:rPr>
        <w:t>Zodia</w:t>
      </w:r>
      <w:proofErr w:type="spellEnd"/>
      <w:r>
        <w:rPr>
          <w:rFonts w:ascii="Microsoft YaHei" w:eastAsia="Microsoft YaHei" w:hAnsi="Microsoft YaHei" w:cs="Microsoft YaHei" w:hint="eastAsia"/>
          <w:color w:val="1F2329"/>
          <w:kern w:val="0"/>
          <w:sz w:val="22"/>
          <w:szCs w:val="22"/>
          <w:lang w:bidi="ar"/>
        </w:rPr>
        <w:t xml:space="preserve"> 公开产品能力与机构级托管定位，从功能覆盖、核心差异、定位侧重三个维度展开：</w:t>
      </w:r>
    </w:p>
    <w:p w14:paraId="7797D71F" w14:textId="77777777" w:rsidR="006B503B" w:rsidRDefault="006B503B" w:rsidP="006B503B">
      <w:pPr>
        <w:widowControl/>
        <w:spacing w:line="360" w:lineRule="atLeast"/>
        <w:jc w:val="left"/>
        <w:rPr>
          <w:rFonts w:ascii="Microsoft YaHei" w:eastAsia="Microsoft YaHei" w:hAnsi="Microsoft YaHei" w:cs="Microsoft YaHei"/>
          <w:color w:val="1F2329"/>
          <w:sz w:val="22"/>
          <w:szCs w:val="22"/>
        </w:rPr>
      </w:pPr>
      <w:r>
        <w:rPr>
          <w:rFonts w:ascii="Microsoft YaHei" w:eastAsia="Microsoft YaHei" w:hAnsi="Microsoft YaHei" w:cs="Microsoft YaHei" w:hint="eastAsia"/>
          <w:color w:val="1F2329"/>
          <w:kern w:val="0"/>
          <w:sz w:val="22"/>
          <w:szCs w:val="22"/>
          <w:lang w:bidi="ar"/>
        </w:rPr>
        <w:t>表格</w:t>
      </w:r>
    </w:p>
    <w:tbl>
      <w:tblPr>
        <w:tblW w:w="92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1"/>
        <w:gridCol w:w="1940"/>
        <w:gridCol w:w="2563"/>
        <w:gridCol w:w="2831"/>
      </w:tblGrid>
      <w:tr w:rsidR="006B503B" w14:paraId="6659376C" w14:textId="77777777" w:rsidTr="006B503B">
        <w:trPr>
          <w:tblHeader/>
          <w:tblCellSpacing w:w="15" w:type="dxa"/>
        </w:trPr>
        <w:tc>
          <w:tcPr>
            <w:tcW w:w="0" w:type="auto"/>
            <w:vAlign w:val="center"/>
          </w:tcPr>
          <w:p w14:paraId="1724B261" w14:textId="77777777" w:rsidR="006B503B" w:rsidRPr="006B503B" w:rsidRDefault="006B503B" w:rsidP="00907A67">
            <w:pPr>
              <w:widowControl/>
              <w:spacing w:line="360" w:lineRule="atLeast"/>
              <w:jc w:val="center"/>
              <w:rPr>
                <w:rFonts w:ascii="Microsoft YaHei" w:eastAsia="Microsoft YaHei" w:hAnsi="Microsoft YaHei" w:cs="Microsoft YaHei"/>
                <w:b/>
                <w:bCs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b/>
                <w:bCs/>
                <w:color w:val="EE0000"/>
                <w:kern w:val="0"/>
                <w:sz w:val="22"/>
                <w:szCs w:val="22"/>
                <w:lang w:bidi="ar"/>
              </w:rPr>
              <w:t>功能模块</w:t>
            </w:r>
          </w:p>
        </w:tc>
        <w:tc>
          <w:tcPr>
            <w:tcW w:w="0" w:type="auto"/>
            <w:vAlign w:val="center"/>
          </w:tcPr>
          <w:p w14:paraId="75DBFF4A" w14:textId="77777777" w:rsidR="006B503B" w:rsidRPr="006B503B" w:rsidRDefault="006B503B" w:rsidP="00907A67">
            <w:pPr>
              <w:widowControl/>
              <w:spacing w:line="360" w:lineRule="atLeast"/>
              <w:jc w:val="center"/>
              <w:rPr>
                <w:rFonts w:ascii="Microsoft YaHei" w:eastAsia="Microsoft YaHei" w:hAnsi="Microsoft YaHei" w:cs="Microsoft YaHei"/>
                <w:b/>
                <w:bCs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b/>
                <w:bCs/>
                <w:color w:val="EE0000"/>
                <w:kern w:val="0"/>
                <w:sz w:val="22"/>
                <w:szCs w:val="22"/>
                <w:lang w:bidi="ar"/>
              </w:rPr>
              <w:t>Aegis Vault 能力</w:t>
            </w:r>
          </w:p>
        </w:tc>
        <w:tc>
          <w:tcPr>
            <w:tcW w:w="2533" w:type="dxa"/>
            <w:vAlign w:val="center"/>
          </w:tcPr>
          <w:p w14:paraId="13DDA1BD" w14:textId="77777777" w:rsidR="006B503B" w:rsidRDefault="006B503B" w:rsidP="00907A67">
            <w:pPr>
              <w:widowControl/>
              <w:spacing w:line="360" w:lineRule="atLeast"/>
              <w:jc w:val="center"/>
              <w:rPr>
                <w:rFonts w:ascii="Microsoft YaHei" w:eastAsia="Microsoft YaHei" w:hAnsi="Microsoft YaHei" w:cs="Microsoft YaHei"/>
                <w:b/>
                <w:bCs/>
                <w:color w:val="1F2329"/>
                <w:sz w:val="22"/>
                <w:szCs w:val="22"/>
              </w:rPr>
            </w:pPr>
            <w:proofErr w:type="spellStart"/>
            <w:r>
              <w:rPr>
                <w:rFonts w:ascii="Microsoft YaHei" w:eastAsia="Microsoft YaHei" w:hAnsi="Microsoft YaHei" w:cs="Microsoft YaHei" w:hint="eastAsia"/>
                <w:b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Fonts w:ascii="Microsoft YaHei" w:eastAsia="Microsoft YaHei" w:hAnsi="Microsoft YaHei" w:cs="Microsoft YaHei" w:hint="eastAsia"/>
                <w:b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能力</w:t>
            </w:r>
          </w:p>
        </w:tc>
        <w:tc>
          <w:tcPr>
            <w:tcW w:w="2786" w:type="dxa"/>
            <w:vAlign w:val="center"/>
          </w:tcPr>
          <w:p w14:paraId="389279D8" w14:textId="77777777" w:rsidR="006B503B" w:rsidRDefault="006B503B" w:rsidP="00907A67">
            <w:pPr>
              <w:widowControl/>
              <w:spacing w:line="360" w:lineRule="atLeast"/>
              <w:jc w:val="center"/>
              <w:rPr>
                <w:rFonts w:ascii="Microsoft YaHei" w:eastAsia="Microsoft YaHei" w:hAnsi="Microsoft YaHei" w:cs="Microsoft YaHei"/>
                <w:b/>
                <w:bCs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b/>
                <w:bCs/>
                <w:color w:val="1F2329"/>
                <w:kern w:val="0"/>
                <w:sz w:val="22"/>
                <w:szCs w:val="22"/>
                <w:lang w:bidi="ar"/>
              </w:rPr>
              <w:t>核心差异与定位</w:t>
            </w:r>
          </w:p>
        </w:tc>
      </w:tr>
      <w:tr w:rsidR="006B503B" w14:paraId="0934CD12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0554F9D1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一、CUSTODY（托管）</w:t>
            </w:r>
          </w:p>
        </w:tc>
        <w:tc>
          <w:tcPr>
            <w:tcW w:w="0" w:type="auto"/>
            <w:vAlign w:val="center"/>
          </w:tcPr>
          <w:p w14:paraId="28007682" w14:textId="77777777" w:rsidR="006B503B" w:rsidRP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</w:p>
        </w:tc>
        <w:tc>
          <w:tcPr>
            <w:tcW w:w="2533" w:type="dxa"/>
            <w:vAlign w:val="center"/>
          </w:tcPr>
          <w:p w14:paraId="34CF19D1" w14:textId="77777777" w:rsid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</w:p>
        </w:tc>
        <w:tc>
          <w:tcPr>
            <w:tcW w:w="2786" w:type="dxa"/>
            <w:vAlign w:val="center"/>
          </w:tcPr>
          <w:p w14:paraId="081E306F" w14:textId="77777777" w:rsid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</w:p>
        </w:tc>
      </w:tr>
      <w:tr w:rsidR="006B503B" w14:paraId="118EF9B8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49ABEE9A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Wallet Address（钱包地址管理）</w:t>
            </w:r>
          </w:p>
        </w:tc>
        <w:tc>
          <w:tcPr>
            <w:tcW w:w="0" w:type="auto"/>
            <w:vAlign w:val="center"/>
          </w:tcPr>
          <w:p w14:paraId="63ED5339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多链 / 多币种冷热分离地址生成✅ 地址查询、标签管理、白名单绑定</w:t>
            </w:r>
          </w:p>
        </w:tc>
        <w:tc>
          <w:tcPr>
            <w:tcW w:w="2533" w:type="dxa"/>
            <w:vAlign w:val="center"/>
          </w:tcPr>
          <w:p w14:paraId="229EA446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✅ 多链 / 多币种冷热分离地址（≥98% 冷存储）✅ 地址查询、标签管理、白名单绑定✅ 支持机构级地址池管理与批量开户</w:t>
            </w:r>
          </w:p>
        </w:tc>
        <w:tc>
          <w:tcPr>
            <w:tcW w:w="2786" w:type="dxa"/>
            <w:vAlign w:val="center"/>
          </w:tcPr>
          <w:p w14:paraId="3B10E0DB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更侧重银行级安全与机构批量管理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：冷存储比例、私钥分片管理更严格，适配大型机构批量开户需求；Aegis 更侧重灵活的地址标签与白名单绑定。</w:t>
            </w:r>
          </w:p>
        </w:tc>
      </w:tr>
      <w:tr w:rsidR="006B503B" w14:paraId="1236BC84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350EB840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Bank Account（银行账户管理）</w:t>
            </w:r>
          </w:p>
        </w:tc>
        <w:tc>
          <w:tcPr>
            <w:tcW w:w="0" w:type="auto"/>
            <w:vAlign w:val="center"/>
          </w:tcPr>
          <w:p w14:paraId="10BF2FC4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对接银行账户体系✅ 多币种账户绑定、资金映射、余额查询</w:t>
            </w:r>
          </w:p>
        </w:tc>
        <w:tc>
          <w:tcPr>
            <w:tcW w:w="2533" w:type="dxa"/>
            <w:vAlign w:val="center"/>
          </w:tcPr>
          <w:p w14:paraId="119834BE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✅ 深度对接渣打全球银行账户体系✅ 多币种法币账户管理、资金映射、变更审批✅ 支持跨境法币结算与外汇合规</w:t>
            </w:r>
          </w:p>
        </w:tc>
        <w:tc>
          <w:tcPr>
            <w:tcW w:w="2786" w:type="dxa"/>
            <w:vAlign w:val="center"/>
          </w:tcPr>
          <w:p w14:paraId="172C1BE4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是银行原生，Aegis 是集成式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</w:t>
            </w:r>
            <w:proofErr w:type="spellStart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 xml:space="preserve"> 直接复用渣打银行账户体系，法币管理与跨境结算能力原生支持；Aegis 需通过第三方银行接口实现。</w:t>
            </w:r>
          </w:p>
        </w:tc>
      </w:tr>
      <w:tr w:rsidR="006B503B" w14:paraId="635ABC39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58EAE0C1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Whitelist（白名单管理）</w:t>
            </w:r>
          </w:p>
        </w:tc>
        <w:tc>
          <w:tcPr>
            <w:tcW w:w="0" w:type="auto"/>
            <w:vAlign w:val="center"/>
          </w:tcPr>
          <w:p w14:paraId="45BD2CEC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提币 / 划转地址白名单✅ 多级审批（新增 / 修改 / 删除）</w:t>
            </w:r>
          </w:p>
        </w:tc>
        <w:tc>
          <w:tcPr>
            <w:tcW w:w="2533" w:type="dxa"/>
            <w:vAlign w:val="center"/>
          </w:tcPr>
          <w:p w14:paraId="0571274A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✅ 提币 / 划转地址白名单（强制白名单模式）✅ 多级审批 + 合规校验（地址溯源、反洗钱筛查）✅ 支持机构级白名单池管理</w:t>
            </w:r>
          </w:p>
        </w:tc>
        <w:tc>
          <w:tcPr>
            <w:tcW w:w="2786" w:type="dxa"/>
            <w:vAlign w:val="center"/>
          </w:tcPr>
          <w:p w14:paraId="60FCF548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白名单更严格，嵌入合规校验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：不仅是地址管控，还会对目标地址进行溯源与反洗钱筛查，符合银行合规要求；Aegis 侧重操作流程管控。</w:t>
            </w:r>
          </w:p>
        </w:tc>
      </w:tr>
      <w:tr w:rsidR="006B503B" w14:paraId="7998FE13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2AF3B438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Pending Approval（待审批事项）</w:t>
            </w:r>
          </w:p>
        </w:tc>
        <w:tc>
          <w:tcPr>
            <w:tcW w:w="0" w:type="auto"/>
            <w:vAlign w:val="center"/>
          </w:tcPr>
          <w:p w14:paraId="62559631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集中展示待审核操作✅ 审批状态跟踪、详情查看、驳回 / 通过</w:t>
            </w:r>
          </w:p>
        </w:tc>
        <w:tc>
          <w:tcPr>
            <w:tcW w:w="2533" w:type="dxa"/>
            <w:vAlign w:val="center"/>
          </w:tcPr>
          <w:p w14:paraId="086FCB71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✅ 集中展示大额提币、白名单变更、账户调整等✅ 多级审批（业务 / 风控 / 合规）+ 操作留痕✅ 支持批量审批与审批流自定义</w:t>
            </w:r>
          </w:p>
        </w:tc>
        <w:tc>
          <w:tcPr>
            <w:tcW w:w="2786" w:type="dxa"/>
            <w:vAlign w:val="center"/>
          </w:tcPr>
          <w:p w14:paraId="43DC6845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审批流更贴合银行风控逻辑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：审批节点嵌入合规与风控校验，而非单纯操作审批；Aegis 侧重操作流程可视化。</w:t>
            </w:r>
          </w:p>
        </w:tc>
      </w:tr>
      <w:tr w:rsidR="006B503B" w14:paraId="5197866C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7D580507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History（历史记录查询）</w:t>
            </w:r>
          </w:p>
        </w:tc>
        <w:tc>
          <w:tcPr>
            <w:tcW w:w="0" w:type="auto"/>
            <w:vAlign w:val="center"/>
          </w:tcPr>
          <w:p w14:paraId="34C5CD90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全量操作 / 交易 / 审批历史✅ 多维度筛选查询</w:t>
            </w:r>
          </w:p>
        </w:tc>
        <w:tc>
          <w:tcPr>
            <w:tcW w:w="2533" w:type="dxa"/>
            <w:vAlign w:val="center"/>
          </w:tcPr>
          <w:p w14:paraId="236BD612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✅ 全量操作 / 交易 / 审批历史（不可篡改审计日志）✅ 多维度筛选 + 审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lastRenderedPageBreak/>
              <w:t>计导出（符合监管要求）✅ 支持监管报送格式导出</w:t>
            </w:r>
          </w:p>
        </w:tc>
        <w:tc>
          <w:tcPr>
            <w:tcW w:w="2786" w:type="dxa"/>
            <w:vAlign w:val="center"/>
          </w:tcPr>
          <w:p w14:paraId="7B003253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lastRenderedPageBreak/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历史记录更侧重审计与监管合规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：日志不可篡改，支持监管报送格式；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lastRenderedPageBreak/>
              <w:t>Aegis 侧重对账与内部查询。</w:t>
            </w:r>
          </w:p>
        </w:tc>
      </w:tr>
      <w:tr w:rsidR="006B503B" w14:paraId="0D4A0183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3D0CC935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lastRenderedPageBreak/>
              <w:t>---</w:t>
            </w:r>
          </w:p>
        </w:tc>
        <w:tc>
          <w:tcPr>
            <w:tcW w:w="0" w:type="auto"/>
            <w:vAlign w:val="center"/>
          </w:tcPr>
          <w:p w14:paraId="2E8FC647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---</w:t>
            </w:r>
          </w:p>
        </w:tc>
        <w:tc>
          <w:tcPr>
            <w:tcW w:w="2533" w:type="dxa"/>
            <w:vAlign w:val="center"/>
          </w:tcPr>
          <w:p w14:paraId="5CB66B55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---</w:t>
            </w:r>
          </w:p>
        </w:tc>
        <w:tc>
          <w:tcPr>
            <w:tcW w:w="2786" w:type="dxa"/>
            <w:vAlign w:val="center"/>
          </w:tcPr>
          <w:p w14:paraId="5D40780A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---</w:t>
            </w:r>
          </w:p>
        </w:tc>
      </w:tr>
      <w:tr w:rsidR="006B503B" w14:paraId="4525B5E5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6B28A4F3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二、TRANSACTION（交易）</w:t>
            </w:r>
          </w:p>
        </w:tc>
        <w:tc>
          <w:tcPr>
            <w:tcW w:w="0" w:type="auto"/>
            <w:vAlign w:val="center"/>
          </w:tcPr>
          <w:p w14:paraId="114CFE7C" w14:textId="77777777" w:rsidR="006B503B" w:rsidRP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</w:p>
        </w:tc>
        <w:tc>
          <w:tcPr>
            <w:tcW w:w="2533" w:type="dxa"/>
            <w:vAlign w:val="center"/>
          </w:tcPr>
          <w:p w14:paraId="51CB866E" w14:textId="77777777" w:rsid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</w:p>
        </w:tc>
        <w:tc>
          <w:tcPr>
            <w:tcW w:w="2786" w:type="dxa"/>
            <w:vAlign w:val="center"/>
          </w:tcPr>
          <w:p w14:paraId="07F10A53" w14:textId="77777777" w:rsid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</w:p>
        </w:tc>
      </w:tr>
      <w:tr w:rsidR="006B503B" w14:paraId="6F0144C6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52BFDE51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Deposit（入金 / 存币）</w:t>
            </w:r>
          </w:p>
        </w:tc>
        <w:tc>
          <w:tcPr>
            <w:tcW w:w="0" w:type="auto"/>
            <w:vAlign w:val="center"/>
          </w:tcPr>
          <w:p w14:paraId="25C0B83F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数字资产（链上划转）+ 法币（银行转账）入金✅ 自动核验交易确认数、到账凭证、入账登记</w:t>
            </w:r>
          </w:p>
        </w:tc>
        <w:tc>
          <w:tcPr>
            <w:tcW w:w="2533" w:type="dxa"/>
            <w:vAlign w:val="center"/>
          </w:tcPr>
          <w:p w14:paraId="6D691529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✅ 数字资产（链上划转）+ 法币（银行转账）入金✅ 自动核验交易确认数、到账凭证、入账登记✅ 支持机构批量入金与资产溯源核查</w:t>
            </w:r>
          </w:p>
        </w:tc>
        <w:tc>
          <w:tcPr>
            <w:tcW w:w="2786" w:type="dxa"/>
            <w:vAlign w:val="center"/>
          </w:tcPr>
          <w:p w14:paraId="735DC2A6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入金更侧重资产溯源与批量操作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：对数字资产入金进行溯源核查，防范非法资产；Aegis 侧重自动化入账流程。</w:t>
            </w:r>
          </w:p>
        </w:tc>
      </w:tr>
      <w:tr w:rsidR="006B503B" w14:paraId="2C859423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1EB8647B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Withdrawal（出金 / 提币）</w:t>
            </w:r>
          </w:p>
        </w:tc>
        <w:tc>
          <w:tcPr>
            <w:tcW w:w="0" w:type="auto"/>
            <w:vAlign w:val="center"/>
          </w:tcPr>
          <w:p w14:paraId="22F38299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数字资产（热钱包小额 / 冷钱包大额）+ 法币出金✅ 指令审核、白名单校验、大额 MCP 多签</w:t>
            </w:r>
          </w:p>
        </w:tc>
        <w:tc>
          <w:tcPr>
            <w:tcW w:w="2533" w:type="dxa"/>
            <w:vAlign w:val="center"/>
          </w:tcPr>
          <w:p w14:paraId="72E5FF18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✅ 数字资产（热钱包小额 / 冷钱包大额）+ 法币出金✅ 指令审核、白名单校验、大额多签 + 合规筛查✅ 支持跨境出金与外汇合规审批</w:t>
            </w:r>
          </w:p>
        </w:tc>
        <w:tc>
          <w:tcPr>
            <w:tcW w:w="2786" w:type="dxa"/>
            <w:vAlign w:val="center"/>
          </w:tcPr>
          <w:p w14:paraId="7C7841E9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出金更严格，嵌入合规筛查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：大额出金需额外进行反洗钱筛查与外汇合规审批；Aegis 侧重操作安全与多签授权。</w:t>
            </w:r>
          </w:p>
        </w:tc>
      </w:tr>
      <w:tr w:rsidR="006B503B" w14:paraId="7B5FC8EC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1B90CC5F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---</w:t>
            </w:r>
          </w:p>
        </w:tc>
        <w:tc>
          <w:tcPr>
            <w:tcW w:w="0" w:type="auto"/>
            <w:vAlign w:val="center"/>
          </w:tcPr>
          <w:p w14:paraId="1CFD2132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---</w:t>
            </w:r>
          </w:p>
        </w:tc>
        <w:tc>
          <w:tcPr>
            <w:tcW w:w="2533" w:type="dxa"/>
            <w:vAlign w:val="center"/>
          </w:tcPr>
          <w:p w14:paraId="35EF35FC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---</w:t>
            </w:r>
          </w:p>
        </w:tc>
        <w:tc>
          <w:tcPr>
            <w:tcW w:w="2786" w:type="dxa"/>
            <w:vAlign w:val="center"/>
          </w:tcPr>
          <w:p w14:paraId="34F6CE94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---</w:t>
            </w:r>
          </w:p>
        </w:tc>
      </w:tr>
      <w:tr w:rsidR="006B503B" w14:paraId="6E922F78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24ABF8AD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三、CUSTODIAL STAKING（托管质押）</w:t>
            </w:r>
          </w:p>
        </w:tc>
        <w:tc>
          <w:tcPr>
            <w:tcW w:w="0" w:type="auto"/>
            <w:vAlign w:val="center"/>
          </w:tcPr>
          <w:p w14:paraId="746FD0E6" w14:textId="77777777" w:rsidR="006B503B" w:rsidRP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</w:p>
        </w:tc>
        <w:tc>
          <w:tcPr>
            <w:tcW w:w="2533" w:type="dxa"/>
            <w:vAlign w:val="center"/>
          </w:tcPr>
          <w:p w14:paraId="00ADEF69" w14:textId="77777777" w:rsid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</w:p>
        </w:tc>
        <w:tc>
          <w:tcPr>
            <w:tcW w:w="2786" w:type="dxa"/>
            <w:vAlign w:val="center"/>
          </w:tcPr>
          <w:p w14:paraId="2BC63955" w14:textId="77777777" w:rsid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</w:p>
        </w:tc>
      </w:tr>
      <w:tr w:rsidR="006B503B" w14:paraId="6788ABF4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7933FFC5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Delegation（委托质押）</w:t>
            </w:r>
          </w:p>
        </w:tc>
        <w:tc>
          <w:tcPr>
            <w:tcW w:w="0" w:type="auto"/>
            <w:vAlign w:val="center"/>
          </w:tcPr>
          <w:p w14:paraId="5AE823D2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数字资产委托质押至指定节点 / 池✅ 质押状态管理、收益分配、解锁流程</w:t>
            </w:r>
          </w:p>
        </w:tc>
        <w:tc>
          <w:tcPr>
            <w:tcW w:w="2533" w:type="dxa"/>
            <w:vAlign w:val="center"/>
          </w:tcPr>
          <w:p w14:paraId="16B327DA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✅ 数字资产委托质押至合规验证节点✅ 质押状态监控、收益自动结算、解锁审批✅ 支持机构级质押池管理与收益对账</w:t>
            </w:r>
          </w:p>
        </w:tc>
        <w:tc>
          <w:tcPr>
            <w:tcW w:w="2786" w:type="dxa"/>
            <w:vAlign w:val="center"/>
          </w:tcPr>
          <w:p w14:paraId="720C93A2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质押更侧重合规节点与机构对账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：仅支持合规验证节点，提供机构级质押池管理；Aegis 侧重质押流程自动化。</w:t>
            </w:r>
          </w:p>
        </w:tc>
      </w:tr>
      <w:tr w:rsidR="006B503B" w14:paraId="0F662212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0139A475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Liquid Staking（流动性质押）</w:t>
            </w:r>
          </w:p>
        </w:tc>
        <w:tc>
          <w:tcPr>
            <w:tcW w:w="0" w:type="auto"/>
            <w:vAlign w:val="center"/>
          </w:tcPr>
          <w:p w14:paraId="1B66D6CD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 xml:space="preserve">✅ 质押资产转换为 </w:t>
            </w:r>
            <w:proofErr w:type="spellStart"/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stToken</w:t>
            </w:r>
            <w:proofErr w:type="spellEnd"/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随时赎回、收益自动结算</w:t>
            </w:r>
          </w:p>
        </w:tc>
        <w:tc>
          <w:tcPr>
            <w:tcW w:w="2533" w:type="dxa"/>
            <w:vAlign w:val="center"/>
          </w:tcPr>
          <w:p w14:paraId="534B3616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 xml:space="preserve">✅ 质押资产转换为合规 </w:t>
            </w:r>
            <w:proofErr w:type="spellStart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stToken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 xml:space="preserve">（与渣打生态协同）✅ 随时赎回、收益自动结算、税务核算支持✅ 支持 </w:t>
            </w:r>
            <w:proofErr w:type="spellStart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stToken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 xml:space="preserve"> 交易与流动性对接</w:t>
            </w:r>
          </w:p>
        </w:tc>
        <w:tc>
          <w:tcPr>
            <w:tcW w:w="2786" w:type="dxa"/>
            <w:vAlign w:val="center"/>
          </w:tcPr>
          <w:p w14:paraId="0766D781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流动性质押更侧重生态协同与税务合规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</w:t>
            </w:r>
            <w:proofErr w:type="spellStart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stToken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 xml:space="preserve"> 可对接 </w:t>
            </w:r>
            <w:proofErr w:type="spellStart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 xml:space="preserve"> Markets 交易，支持税务核算；Aegis 侧重流动性解决方案本身。</w:t>
            </w:r>
          </w:p>
        </w:tc>
      </w:tr>
      <w:tr w:rsidR="006B503B" w14:paraId="6E361F49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5C35B479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lastRenderedPageBreak/>
              <w:t>---</w:t>
            </w:r>
          </w:p>
        </w:tc>
        <w:tc>
          <w:tcPr>
            <w:tcW w:w="0" w:type="auto"/>
            <w:vAlign w:val="center"/>
          </w:tcPr>
          <w:p w14:paraId="13597F0B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---</w:t>
            </w:r>
          </w:p>
        </w:tc>
        <w:tc>
          <w:tcPr>
            <w:tcW w:w="2533" w:type="dxa"/>
            <w:vAlign w:val="center"/>
          </w:tcPr>
          <w:p w14:paraId="6B6B90DA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---</w:t>
            </w:r>
          </w:p>
        </w:tc>
        <w:tc>
          <w:tcPr>
            <w:tcW w:w="2786" w:type="dxa"/>
            <w:vAlign w:val="center"/>
          </w:tcPr>
          <w:p w14:paraId="18A0DC74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---</w:t>
            </w:r>
          </w:p>
        </w:tc>
      </w:tr>
      <w:tr w:rsidR="006B503B" w14:paraId="4AB79BA2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2D5B28DC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四、EXECUTION（执行）</w:t>
            </w:r>
          </w:p>
        </w:tc>
        <w:tc>
          <w:tcPr>
            <w:tcW w:w="0" w:type="auto"/>
            <w:vAlign w:val="center"/>
          </w:tcPr>
          <w:p w14:paraId="1D3B44C9" w14:textId="77777777" w:rsidR="006B503B" w:rsidRP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</w:p>
        </w:tc>
        <w:tc>
          <w:tcPr>
            <w:tcW w:w="2533" w:type="dxa"/>
            <w:vAlign w:val="center"/>
          </w:tcPr>
          <w:p w14:paraId="05CA83BA" w14:textId="77777777" w:rsid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</w:p>
        </w:tc>
        <w:tc>
          <w:tcPr>
            <w:tcW w:w="2786" w:type="dxa"/>
            <w:vAlign w:val="center"/>
          </w:tcPr>
          <w:p w14:paraId="452C2C98" w14:textId="77777777" w:rsid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</w:p>
        </w:tc>
      </w:tr>
      <w:tr w:rsidR="006B503B" w14:paraId="120234E3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00DA7C95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Execution Provider（执行服务商）</w:t>
            </w:r>
          </w:p>
        </w:tc>
        <w:tc>
          <w:tcPr>
            <w:tcW w:w="0" w:type="auto"/>
            <w:vAlign w:val="center"/>
          </w:tcPr>
          <w:p w14:paraId="58EA14BA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对接第三方交易执行服务商✅ 交易路由、撮合、清算、自动化执行</w:t>
            </w:r>
          </w:p>
        </w:tc>
        <w:tc>
          <w:tcPr>
            <w:tcW w:w="2533" w:type="dxa"/>
            <w:vAlign w:val="center"/>
          </w:tcPr>
          <w:p w14:paraId="272A110B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✅ 自有交易模块（</w:t>
            </w:r>
            <w:proofErr w:type="spellStart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 xml:space="preserve"> Markets）提供执行服务✅ 交易路由优化、撮合、清算、DvP 结算✅ 支持机构大额交易与流动性定制</w:t>
            </w:r>
          </w:p>
        </w:tc>
        <w:tc>
          <w:tcPr>
            <w:tcW w:w="2786" w:type="dxa"/>
            <w:vAlign w:val="center"/>
          </w:tcPr>
          <w:p w14:paraId="13DCA066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是自有交易生态，Aegis 是第三方集成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</w:t>
            </w:r>
            <w:proofErr w:type="spellStart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 xml:space="preserve"> 通过 </w:t>
            </w:r>
            <w:proofErr w:type="spellStart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 xml:space="preserve"> Markets 提供原生交易执行，支持原子化 DvP 结算；Aegis 依赖第三方服务商。</w:t>
            </w:r>
          </w:p>
        </w:tc>
      </w:tr>
      <w:tr w:rsidR="006B503B" w14:paraId="4916E328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79B3950B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Fiat On-Ramp（法币入金通道）</w:t>
            </w:r>
          </w:p>
        </w:tc>
        <w:tc>
          <w:tcPr>
            <w:tcW w:w="0" w:type="auto"/>
            <w:vAlign w:val="center"/>
          </w:tcPr>
          <w:p w14:paraId="7969CA1E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法币兑换数字资产（银行转账 / 信用卡）✅ KYC/AML 核验、结算、入账</w:t>
            </w:r>
          </w:p>
        </w:tc>
        <w:tc>
          <w:tcPr>
            <w:tcW w:w="2533" w:type="dxa"/>
            <w:vAlign w:val="center"/>
          </w:tcPr>
          <w:p w14:paraId="6A7BDC4E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✅ 法币兑换数字资产（银行转账为主）✅ KYC/AML 核验、结算、入账 + 外汇合规✅ 支持跨境法币入金与监管报备</w:t>
            </w:r>
          </w:p>
        </w:tc>
        <w:tc>
          <w:tcPr>
            <w:tcW w:w="2786" w:type="dxa"/>
            <w:vAlign w:val="center"/>
          </w:tcPr>
          <w:p w14:paraId="2CBF7C78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法币通道更侧重银行级合规与跨境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：仅支持银行转账，深度对接外汇合规与监管报备；Aegis 支持更多入金方式，但合规性依赖第三方。</w:t>
            </w:r>
          </w:p>
        </w:tc>
      </w:tr>
      <w:tr w:rsidR="006B503B" w14:paraId="3EBA2FC4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0E154E06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Fiat Off-Ramp（法币出金通道）</w:t>
            </w:r>
          </w:p>
        </w:tc>
        <w:tc>
          <w:tcPr>
            <w:tcW w:w="0" w:type="auto"/>
            <w:vAlign w:val="center"/>
          </w:tcPr>
          <w:p w14:paraId="625F0382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数字资产兑换法币（提现至银行账户）✅ 资产划转、结算、反洗钱审核</w:t>
            </w:r>
          </w:p>
        </w:tc>
        <w:tc>
          <w:tcPr>
            <w:tcW w:w="2533" w:type="dxa"/>
            <w:vAlign w:val="center"/>
          </w:tcPr>
          <w:p w14:paraId="72168F6E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✅ 数字资产兑换法币（提现至银行账户）✅ 资产划转、结算、反洗钱审核 + 外汇合规✅ 支持跨境法币出金与税务申报</w:t>
            </w:r>
          </w:p>
        </w:tc>
        <w:tc>
          <w:tcPr>
            <w:tcW w:w="2786" w:type="dxa"/>
            <w:vAlign w:val="center"/>
          </w:tcPr>
          <w:p w14:paraId="66895CCE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法币出金更侧重跨境与税务合规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：支持跨境出金与税务申报，符合银行税务要求；Aegis 侧重出金流程自动化。</w:t>
            </w:r>
          </w:p>
        </w:tc>
      </w:tr>
      <w:tr w:rsidR="006B503B" w14:paraId="5853BA52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07C73F62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---</w:t>
            </w:r>
          </w:p>
        </w:tc>
        <w:tc>
          <w:tcPr>
            <w:tcW w:w="0" w:type="auto"/>
            <w:vAlign w:val="center"/>
          </w:tcPr>
          <w:p w14:paraId="01D74987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---</w:t>
            </w:r>
          </w:p>
        </w:tc>
        <w:tc>
          <w:tcPr>
            <w:tcW w:w="2533" w:type="dxa"/>
            <w:vAlign w:val="center"/>
          </w:tcPr>
          <w:p w14:paraId="3B2C78FD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---</w:t>
            </w:r>
          </w:p>
        </w:tc>
        <w:tc>
          <w:tcPr>
            <w:tcW w:w="2786" w:type="dxa"/>
            <w:vAlign w:val="center"/>
          </w:tcPr>
          <w:p w14:paraId="342A5D8D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---</w:t>
            </w:r>
          </w:p>
        </w:tc>
      </w:tr>
      <w:tr w:rsidR="006B503B" w14:paraId="35D63DFB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1F1FBC4D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五、SERVICES（服务）</w:t>
            </w:r>
          </w:p>
        </w:tc>
        <w:tc>
          <w:tcPr>
            <w:tcW w:w="0" w:type="auto"/>
            <w:vAlign w:val="center"/>
          </w:tcPr>
          <w:p w14:paraId="1F8787A7" w14:textId="77777777" w:rsidR="006B503B" w:rsidRP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</w:p>
        </w:tc>
        <w:tc>
          <w:tcPr>
            <w:tcW w:w="2533" w:type="dxa"/>
            <w:vAlign w:val="center"/>
          </w:tcPr>
          <w:p w14:paraId="2D6BD58E" w14:textId="77777777" w:rsid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</w:p>
        </w:tc>
        <w:tc>
          <w:tcPr>
            <w:tcW w:w="2786" w:type="dxa"/>
            <w:vAlign w:val="center"/>
          </w:tcPr>
          <w:p w14:paraId="1CEC71CB" w14:textId="77777777" w:rsidR="006B503B" w:rsidRDefault="006B503B" w:rsidP="00907A67">
            <w:pPr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</w:p>
        </w:tc>
      </w:tr>
      <w:tr w:rsidR="006B503B" w14:paraId="68166640" w14:textId="77777777" w:rsidTr="006B503B">
        <w:trPr>
          <w:tblCellSpacing w:w="15" w:type="dxa"/>
        </w:trPr>
        <w:tc>
          <w:tcPr>
            <w:tcW w:w="0" w:type="auto"/>
            <w:vAlign w:val="center"/>
          </w:tcPr>
          <w:p w14:paraId="771499BA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EE0000"/>
                <w:kern w:val="0"/>
                <w:sz w:val="22"/>
                <w:szCs w:val="22"/>
                <w:lang w:bidi="ar"/>
              </w:rPr>
              <w:t>Statement（对账单 / 报表）</w:t>
            </w:r>
          </w:p>
        </w:tc>
        <w:tc>
          <w:tcPr>
            <w:tcW w:w="0" w:type="auto"/>
            <w:vAlign w:val="center"/>
          </w:tcPr>
          <w:p w14:paraId="6C5A62B6" w14:textId="77777777" w:rsidR="006B503B" w:rsidRP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EE0000"/>
                <w:sz w:val="22"/>
                <w:szCs w:val="22"/>
              </w:rPr>
            </w:pPr>
            <w:r w:rsidRPr="006B503B">
              <w:rPr>
                <w:rFonts w:ascii="Microsoft YaHei" w:eastAsia="Microsoft YaHei" w:hAnsi="Microsoft YaHei" w:cs="Microsoft YaHei" w:hint="eastAsia"/>
                <w:color w:val="EE0000"/>
                <w:kern w:val="0"/>
                <w:sz w:val="22"/>
                <w:szCs w:val="22"/>
                <w:lang w:bidi="ar"/>
              </w:rPr>
              <w:t>✅ 对账单、交易明细、收益结算报表✅ 多周期生成、PDF/Excel 导出</w:t>
            </w:r>
          </w:p>
        </w:tc>
        <w:tc>
          <w:tcPr>
            <w:tcW w:w="2533" w:type="dxa"/>
            <w:vAlign w:val="center"/>
          </w:tcPr>
          <w:p w14:paraId="6289E0EB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✅ 对账单、交易明细、收益结算、监管报表✅ 多周期生成、PDF/Excel/ 监管格式导出✅ 支持定制化审计报表与监管报送</w:t>
            </w:r>
          </w:p>
        </w:tc>
        <w:tc>
          <w:tcPr>
            <w:tcW w:w="2786" w:type="dxa"/>
            <w:vAlign w:val="center"/>
          </w:tcPr>
          <w:p w14:paraId="5E867A80" w14:textId="77777777" w:rsidR="006B503B" w:rsidRDefault="006B503B" w:rsidP="00907A67">
            <w:pPr>
              <w:widowControl/>
              <w:spacing w:line="360" w:lineRule="atLeast"/>
              <w:jc w:val="left"/>
              <w:rPr>
                <w:rFonts w:ascii="Microsoft YaHei" w:eastAsia="Microsoft YaHei" w:hAnsi="Microsoft YaHei" w:cs="Microsoft YaHei"/>
                <w:color w:val="1F2329"/>
                <w:sz w:val="22"/>
                <w:szCs w:val="22"/>
              </w:rPr>
            </w:pPr>
            <w:proofErr w:type="spellStart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>Zodia</w:t>
            </w:r>
            <w:proofErr w:type="spellEnd"/>
            <w:r>
              <w:rPr>
                <w:rStyle w:val="Strong"/>
                <w:rFonts w:ascii="Microsoft YaHei" w:eastAsia="Microsoft YaHei" w:hAnsi="Microsoft YaHei" w:cs="Microsoft YaHei" w:hint="eastAsia"/>
                <w:b w:val="0"/>
                <w:bCs/>
                <w:color w:val="1F2329"/>
                <w:kern w:val="0"/>
                <w:sz w:val="22"/>
                <w:szCs w:val="22"/>
                <w:lang w:bidi="ar"/>
              </w:rPr>
              <w:t xml:space="preserve"> 报表更侧重监管合规与审计需求</w:t>
            </w:r>
            <w:r>
              <w:rPr>
                <w:rFonts w:ascii="Microsoft YaHei" w:eastAsia="Microsoft YaHei" w:hAnsi="Microsoft YaHei" w:cs="Microsoft YaHei" w:hint="eastAsia"/>
                <w:color w:val="1F2329"/>
                <w:kern w:val="0"/>
                <w:sz w:val="22"/>
                <w:szCs w:val="22"/>
                <w:lang w:bidi="ar"/>
              </w:rPr>
              <w:t>：支持监管报送格式与定制化审计报表；Aegis 侧重客户对账与内部报表。</w:t>
            </w:r>
          </w:p>
        </w:tc>
      </w:tr>
    </w:tbl>
    <w:p w14:paraId="767A8E6E" w14:textId="77777777" w:rsidR="00010D0D" w:rsidRDefault="00010D0D"/>
    <w:sectPr w:rsidR="00010D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03B"/>
    <w:rsid w:val="00010D0D"/>
    <w:rsid w:val="00496366"/>
    <w:rsid w:val="006B503B"/>
    <w:rsid w:val="00910C83"/>
    <w:rsid w:val="00B4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FE9FF"/>
  <w15:chartTrackingRefBased/>
  <w15:docId w15:val="{6AA4CB21-579C-43EB-AE74-70663B4EA1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503B"/>
    <w:pPr>
      <w:widowControl w:val="0"/>
      <w:spacing w:after="0" w:line="240" w:lineRule="auto"/>
      <w:jc w:val="both"/>
    </w:pPr>
    <w:rPr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6B503B"/>
    <w:pPr>
      <w:keepNext/>
      <w:keepLines/>
      <w:widowControl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HK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503B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HK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03B"/>
    <w:pPr>
      <w:keepNext/>
      <w:keepLines/>
      <w:widowControl/>
      <w:spacing w:before="160" w:after="80" w:line="278" w:lineRule="auto"/>
      <w:jc w:val="left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HK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03B"/>
    <w:pPr>
      <w:keepNext/>
      <w:keepLines/>
      <w:widowControl/>
      <w:spacing w:before="80" w:after="40" w:line="278" w:lineRule="auto"/>
      <w:jc w:val="left"/>
      <w:outlineLvl w:val="3"/>
    </w:pPr>
    <w:rPr>
      <w:rFonts w:eastAsiaTheme="majorEastAsia" w:cstheme="majorBidi"/>
      <w:i/>
      <w:iCs/>
      <w:color w:val="2F5496" w:themeColor="accent1" w:themeShade="BF"/>
      <w:sz w:val="24"/>
      <w:lang w:val="en-HK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03B"/>
    <w:pPr>
      <w:keepNext/>
      <w:keepLines/>
      <w:widowControl/>
      <w:spacing w:before="80" w:after="40" w:line="278" w:lineRule="auto"/>
      <w:jc w:val="left"/>
      <w:outlineLvl w:val="4"/>
    </w:pPr>
    <w:rPr>
      <w:rFonts w:eastAsiaTheme="majorEastAsia" w:cstheme="majorBidi"/>
      <w:color w:val="2F5496" w:themeColor="accent1" w:themeShade="BF"/>
      <w:sz w:val="24"/>
      <w:lang w:val="en-HK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03B"/>
    <w:pPr>
      <w:keepNext/>
      <w:keepLines/>
      <w:widowControl/>
      <w:spacing w:before="40" w:line="278" w:lineRule="auto"/>
      <w:jc w:val="left"/>
      <w:outlineLvl w:val="5"/>
    </w:pPr>
    <w:rPr>
      <w:rFonts w:eastAsiaTheme="majorEastAsia" w:cstheme="majorBidi"/>
      <w:i/>
      <w:iCs/>
      <w:color w:val="595959" w:themeColor="text1" w:themeTint="A6"/>
      <w:sz w:val="24"/>
      <w:lang w:val="en-HK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03B"/>
    <w:pPr>
      <w:keepNext/>
      <w:keepLines/>
      <w:widowControl/>
      <w:spacing w:before="40" w:line="278" w:lineRule="auto"/>
      <w:jc w:val="left"/>
      <w:outlineLvl w:val="6"/>
    </w:pPr>
    <w:rPr>
      <w:rFonts w:eastAsiaTheme="majorEastAsia" w:cstheme="majorBidi"/>
      <w:color w:val="595959" w:themeColor="text1" w:themeTint="A6"/>
      <w:sz w:val="24"/>
      <w:lang w:val="en-HK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03B"/>
    <w:pPr>
      <w:keepNext/>
      <w:keepLines/>
      <w:widowControl/>
      <w:spacing w:line="278" w:lineRule="auto"/>
      <w:jc w:val="left"/>
      <w:outlineLvl w:val="7"/>
    </w:pPr>
    <w:rPr>
      <w:rFonts w:eastAsiaTheme="majorEastAsia" w:cstheme="majorBidi"/>
      <w:i/>
      <w:iCs/>
      <w:color w:val="272727" w:themeColor="text1" w:themeTint="D8"/>
      <w:sz w:val="24"/>
      <w:lang w:val="en-HK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03B"/>
    <w:pPr>
      <w:keepNext/>
      <w:keepLines/>
      <w:widowControl/>
      <w:spacing w:line="278" w:lineRule="auto"/>
      <w:jc w:val="left"/>
      <w:outlineLvl w:val="8"/>
    </w:pPr>
    <w:rPr>
      <w:rFonts w:eastAsiaTheme="majorEastAsia" w:cstheme="majorBidi"/>
      <w:color w:val="272727" w:themeColor="text1" w:themeTint="D8"/>
      <w:sz w:val="24"/>
      <w:lang w:val="en-HK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03B"/>
    <w:pPr>
      <w:widowControl/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HK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6B5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03B"/>
    <w:pPr>
      <w:widowControl/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sz w:val="28"/>
      <w:szCs w:val="28"/>
      <w:lang w:val="en-HK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6B5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03B"/>
    <w:pPr>
      <w:widowControl/>
      <w:spacing w:before="160" w:after="160" w:line="278" w:lineRule="auto"/>
      <w:jc w:val="center"/>
    </w:pPr>
    <w:rPr>
      <w:i/>
      <w:iCs/>
      <w:color w:val="404040" w:themeColor="text1" w:themeTint="BF"/>
      <w:sz w:val="24"/>
      <w:lang w:val="en-HK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6B5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03B"/>
    <w:pPr>
      <w:widowControl/>
      <w:spacing w:after="160" w:line="278" w:lineRule="auto"/>
      <w:ind w:left="720"/>
      <w:contextualSpacing/>
      <w:jc w:val="left"/>
    </w:pPr>
    <w:rPr>
      <w:sz w:val="24"/>
      <w:lang w:val="en-HK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6B5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03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sz w:val="24"/>
      <w:lang w:val="en-HK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03B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qFormat/>
    <w:rsid w:val="006B503B"/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宜扬 严</dc:creator>
  <cp:keywords/>
  <dc:description/>
  <cp:lastModifiedBy>宜扬 严</cp:lastModifiedBy>
  <cp:revision>1</cp:revision>
  <dcterms:created xsi:type="dcterms:W3CDTF">2026-05-03T04:56:00Z</dcterms:created>
  <dcterms:modified xsi:type="dcterms:W3CDTF">2026-05-03T05:07:00Z</dcterms:modified>
</cp:coreProperties>
</file>