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  <w:widowControl w:val="0"/>
        <w:spacing w:after="10" w:line="240" w:lineRule="auto"/>
      </w:pPr>
      <w:r>
        <w:rPr>
          <w:rFonts w:ascii="Calibri" w:hAnsi="Calibri" w:eastAsia="Calibri"/>
          <w:b/>
          <w:color w:val="2467D6"/>
          <w:sz w:val="34"/>
        </w:rPr>
        <w:t>Yiqin Huang</w:t>
      </w:r>
    </w:p>
    <w:p>
      <w:pPr>
        <w:keepNext w:val="0"/>
        <w:keepLines w:val="0"/>
        <w:pageBreakBefore w:val="0"/>
        <w:widowControl w:val="0"/>
        <w:spacing w:after="10" w:line="240" w:lineRule="auto"/>
      </w:pPr>
      <w:r>
        <w:rPr>
          <w:rFonts w:ascii="Calibri" w:hAnsi="Calibri" w:eastAsia="Calibri"/>
          <w:b/>
          <w:color w:val="1F1F1F"/>
          <w:sz w:val="21"/>
        </w:rPr>
        <w:t>IT Support | Junior Systems / Network Support</w:t>
      </w:r>
    </w:p>
    <w:p>
      <w:pPr>
        <w:keepNext w:val="0"/>
        <w:keepLines w:val="0"/>
        <w:pageBreakBefore w:val="0"/>
        <w:widowControl w:val="0"/>
        <w:spacing w:after="8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 w:val="0"/>
          <w:color w:val="5F6368"/>
          <w:sz w:val="17"/>
        </w:rPr>
        <w:t>Ottawa, ON | 613-608-9256 | huangstephen3@gmail.com | linkedin.com/in/yiqinhuang2025 | huangstephen3.github.io</w:t>
      </w:r>
    </w:p>
    <w:p>
      <w:pPr>
        <w:keepNext w:val="0"/>
        <w:keepLines w:val="0"/>
        <w:pageBreakBefore w:val="0"/>
        <w:widowControl w:val="0"/>
        <w:spacing w:before="70" w:after="3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/>
          <w:color w:val="2467D6"/>
          <w:sz w:val="20"/>
        </w:rPr>
        <w:t>Summary</w:t>
      </w:r>
    </w:p>
    <w:p>
      <w:pPr>
        <w:keepNext w:val="0"/>
        <w:keepLines w:val="0"/>
        <w:pageBreakBefore w:val="0"/>
        <w:widowControl w:val="0"/>
        <w:spacing w:before="0" w:after="36" w:line="240" w:lineRule="auto"/>
        <w:ind w:left="0"/>
        <w:jc w:val="left"/>
      </w:pPr>
      <w:r>
        <w:rPr>
          <w:rFonts w:ascii="Calibri" w:hAnsi="Calibri" w:eastAsia="Calibri"/>
          <w:b w:val="0"/>
          <w:color w:val="1F1F1F"/>
          <w:sz w:val="20"/>
        </w:rPr>
        <w:t>Dean's Honour List candidate in Computer Systems Technician - Networking (GPA 3.99/4.0) with hands-on experience independently building and supporting Site 1 of an enterprise infrastructure capstone. Strongest in troubleshooting, end-user access validation, support documentation, monitoring, backup verification, and support-ready handover. Combines recent systems/network training with 13+ years of experience in high-pressure operations environments, bringing mature communication, coordination, and problem-solving to IT support and junior systems roles.</w:t>
      </w:r>
    </w:p>
    <w:p>
      <w:pPr>
        <w:keepNext w:val="0"/>
        <w:keepLines w:val="0"/>
        <w:pageBreakBefore w:val="0"/>
        <w:widowControl w:val="0"/>
        <w:spacing w:before="70" w:after="3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/>
          <w:color w:val="2467D6"/>
          <w:sz w:val="20"/>
        </w:rPr>
        <w:t>Education</w:t>
      </w:r>
    </w:p>
    <w:p>
      <w:pPr>
        <w:keepNext w:val="0"/>
        <w:keepLines w:val="0"/>
        <w:pageBreakBefore w:val="0"/>
        <w:widowControl w:val="0"/>
        <w:spacing w:before="0" w:after="4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Algonquin College, Ottawa, ON</w:t>
      </w:r>
    </w:p>
    <w:p>
      <w:pPr>
        <w:keepNext w:val="0"/>
        <w:keepLines w:val="0"/>
        <w:pageBreakBefore w:val="0"/>
        <w:widowControl w:val="0"/>
        <w:spacing w:before="0" w:after="4" w:line="240" w:lineRule="auto"/>
        <w:ind w:left="0"/>
        <w:jc w:val="left"/>
      </w:pPr>
      <w:r>
        <w:rPr>
          <w:rFonts w:ascii="Calibri" w:hAnsi="Calibri" w:eastAsia="Calibri"/>
          <w:b w:val="0"/>
          <w:color w:val="1F1F1F"/>
          <w:sz w:val="20"/>
        </w:rPr>
        <w:t>Computer Systems Technician - Networking Diploma, Expected Graduation: April 2026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0"/>
        <w:jc w:val="left"/>
      </w:pPr>
      <w:r>
        <w:rPr>
          <w:rFonts w:ascii="Calibri" w:hAnsi="Calibri" w:eastAsia="Calibri"/>
          <w:b w:val="0"/>
          <w:color w:val="3C4043"/>
          <w:sz w:val="19"/>
        </w:rPr>
        <w:t>GPA: 3.99/4.0 | Dean's Honour List (Fall 2024, Winter 2025, Summer 2025)</w:t>
      </w:r>
    </w:p>
    <w:p>
      <w:pPr>
        <w:keepNext w:val="0"/>
        <w:keepLines w:val="0"/>
        <w:pageBreakBefore w:val="0"/>
        <w:widowControl w:val="0"/>
        <w:spacing w:before="0" w:after="4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Shanghai Normal University, Shanghai, China</w:t>
      </w:r>
    </w:p>
    <w:p>
      <w:pPr>
        <w:keepNext w:val="0"/>
        <w:keepLines w:val="0"/>
        <w:pageBreakBefore w:val="0"/>
        <w:widowControl w:val="0"/>
        <w:spacing w:before="0" w:after="24" w:line="240" w:lineRule="auto"/>
        <w:ind w:left="0"/>
        <w:jc w:val="left"/>
      </w:pPr>
      <w:r>
        <w:rPr>
          <w:rFonts w:ascii="Calibri" w:hAnsi="Calibri" w:eastAsia="Calibri"/>
          <w:b w:val="0"/>
          <w:color w:val="1F1F1F"/>
          <w:sz w:val="20"/>
        </w:rPr>
        <w:t>Bachelor of Communication Engineering</w:t>
      </w:r>
    </w:p>
    <w:p>
      <w:pPr>
        <w:keepNext w:val="0"/>
        <w:keepLines w:val="0"/>
        <w:pageBreakBefore w:val="0"/>
        <w:widowControl w:val="0"/>
        <w:spacing w:before="70" w:after="3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/>
          <w:color w:val="2467D6"/>
          <w:sz w:val="20"/>
        </w:rPr>
        <w:t>Technical Projects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Enterprise Infrastructure Capstone | Winter 2026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Independently designed, implemented, and documented Site 1 of a multi-tenant enterprise infrastructure capstone on 2 HP DL380 servers, delivering the private-cloud environment within a broader team project.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Built and supported core services across Proxmox VE, OPNsense, Windows Server 2022, Samba AD, Veeam, Grafana, Windows Admin Center, and Cockpit; segmented 9 VLANs and maintained 12 documented workloads.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Created Windows and Linux templates plus tenant-specific identity, DNS, DHCP, DMZ, file-service, and SAN/iSCSI workflows to support repeatable provisioning and stable day-to-day administration.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Validated end-user and admin workflows including domain logins, DNS/DHCP resolution, internal web access, mapped shares, per-user private/public permissions, and iSCSI-connected storage from Windows and Linux clients.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Protected 10 systems and copied 7 selected backup jobs over site-to-site OpenVPN; produced handover, daily/weekly/post-change checks, and fast-triage guidance covering authentication, routing, storage access, and backup status.</w:t>
      </w:r>
    </w:p>
    <w:p>
      <w:pPr>
        <w:keepNext w:val="0"/>
        <w:keepLines w:val="0"/>
        <w:pageBreakBefore w:val="0"/>
        <w:widowControl w:val="0"/>
        <w:spacing w:before="70" w:after="3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/>
          <w:color w:val="2467D6"/>
          <w:sz w:val="20"/>
        </w:rPr>
        <w:t>Technical Skills</w:t>
      </w:r>
    </w:p>
    <w:p>
      <w:pPr>
        <w:keepNext w:val="0"/>
        <w:keepLines w:val="0"/>
        <w:pageBreakBefore w:val="0"/>
        <w:widowControl w:val="0"/>
        <w:spacing w:after="16" w:line="240" w:lineRule="auto"/>
      </w:pPr>
      <w:r>
        <w:rPr>
          <w:rFonts w:ascii="Calibri" w:hAnsi="Calibri" w:eastAsia="Calibri"/>
          <w:b/>
          <w:color w:val="1F1F1F"/>
          <w:sz w:val="19"/>
        </w:rPr>
        <w:t xml:space="preserve">Infrastructure: </w:t>
      </w:r>
      <w:r>
        <w:rPr>
          <w:rFonts w:ascii="Calibri" w:hAnsi="Calibri" w:eastAsia="Calibri"/>
          <w:b w:val="0"/>
          <w:color w:val="1F1F1F"/>
          <w:sz w:val="19"/>
        </w:rPr>
        <w:t>Proxmox VE, Windows Server 2022, Ubuntu, Red Hat/CentOS, Alpine Linux, Windows 10/11</w:t>
      </w:r>
    </w:p>
    <w:p>
      <w:pPr>
        <w:keepNext w:val="0"/>
        <w:keepLines w:val="0"/>
        <w:pageBreakBefore w:val="0"/>
        <w:widowControl w:val="0"/>
        <w:spacing w:after="16" w:line="240" w:lineRule="auto"/>
      </w:pPr>
      <w:r>
        <w:rPr>
          <w:rFonts w:ascii="Calibri" w:hAnsi="Calibri" w:eastAsia="Calibri"/>
          <w:b/>
          <w:color w:val="1F1F1F"/>
          <w:sz w:val="19"/>
        </w:rPr>
        <w:t xml:space="preserve">Networking: </w:t>
      </w:r>
      <w:r>
        <w:rPr>
          <w:rFonts w:ascii="Calibri" w:hAnsi="Calibri" w:eastAsia="Calibri"/>
          <w:b w:val="0"/>
          <w:color w:val="1F1F1F"/>
          <w:sz w:val="19"/>
        </w:rPr>
        <w:t>OPNsense/pfSense, Cisco IOS, ArubaOS, VLANs, OSPF, STP, TCP/IP, DNS, DHCP, VPN, NAT, DMZ</w:t>
      </w:r>
    </w:p>
    <w:p>
      <w:pPr>
        <w:keepNext w:val="0"/>
        <w:keepLines w:val="0"/>
        <w:pageBreakBefore w:val="0"/>
        <w:widowControl w:val="0"/>
        <w:spacing w:after="16" w:line="240" w:lineRule="auto"/>
      </w:pPr>
      <w:r>
        <w:rPr>
          <w:rFonts w:ascii="Calibri" w:hAnsi="Calibri" w:eastAsia="Calibri"/>
          <w:b/>
          <w:color w:val="1F1F1F"/>
          <w:sz w:val="19"/>
        </w:rPr>
        <w:t xml:space="preserve">Support &amp; Administration: </w:t>
      </w:r>
      <w:r>
        <w:rPr>
          <w:rFonts w:ascii="Calibri" w:hAnsi="Calibri" w:eastAsia="Calibri"/>
          <w:b w:val="0"/>
          <w:color w:val="1F1F1F"/>
          <w:sz w:val="19"/>
        </w:rPr>
        <w:t>AD DS, GPO, Samba AD, PowerShell, iSCSI, Veeam Backup &amp; Replication, Grafana, InfluxDB, Windows Admin Center, Cockpit, Wireshark, Microsoft 365</w:t>
      </w:r>
    </w:p>
    <w:p>
      <w:pPr>
        <w:keepNext w:val="0"/>
        <w:keepLines w:val="0"/>
        <w:pageBreakBefore w:val="0"/>
        <w:widowControl w:val="0"/>
        <w:spacing w:before="70" w:after="30" w:line="240" w:lineRule="auto"/>
        <w:pBdr>
          <w:bottom w:val="single" w:sz="4" w:space="1" w:color="D9E2F3"/>
        </w:pBdr>
      </w:pPr>
      <w:r>
        <w:rPr>
          <w:rFonts w:ascii="Calibri" w:hAnsi="Calibri" w:eastAsia="Calibri"/>
          <w:b/>
          <w:color w:val="2467D6"/>
          <w:sz w:val="20"/>
        </w:rPr>
        <w:t>Additional Experience</w:t>
      </w:r>
    </w:p>
    <w:p>
      <w:pPr>
        <w:keepNext w:val="0"/>
        <w:keepLines w:val="0"/>
        <w:pageBreakBefore w:val="0"/>
        <w:widowControl w:val="0"/>
        <w:spacing w:before="0" w:after="10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Senior Procurement Engineer, Le-AutomatiX (Bosch Rexroth-affiliated automation business), Shanghai, China | 2023 - 2024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Built and managed procurement operations for a newly established automation business, owning supplier qualification, sourcing, purchasing execution, delivery follow-up, and vendor performance evaluation.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Established supplier review and assessment processes aligned with Bosch Rexroth procurement standards, supporting compliant and scalable purchasing operations in a fast-changing startup environment.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Coordinated procurement for business-critical and relocation-related requirements, including large-scale office equipment and workplace setup, ensuring validated demand, controlled purchasing, and on-time delivery.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Drove supplier follow-up and delivery recovery while partnering cross-functionally to resolve supply issues, maintain operational continuity, and support company build-out.</w:t>
      </w:r>
    </w:p>
    <w:p>
      <w:pPr>
        <w:keepNext w:val="0"/>
        <w:keepLines w:val="0"/>
        <w:pageBreakBefore w:val="0"/>
        <w:widowControl w:val="0"/>
        <w:spacing w:before="16" w:after="8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Senior Business Representative, Winbond Integrated Circuit (Suzhou) Co., Ltd | 2018 - 2022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Improved on-time delivery by 25% by aligning supply planning with customer demand, factory constraints, and R&amp;D priorities across IoT, wearables, and networking product lines.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Coordinated cross-functional teams to resolve customer, roadmap, and supply issues across IoT, wearables, and networking product lines.</w:t>
      </w:r>
    </w:p>
    <w:p>
      <w:pPr>
        <w:keepNext w:val="0"/>
        <w:keepLines w:val="0"/>
        <w:pageBreakBefore w:val="0"/>
        <w:widowControl w:val="0"/>
        <w:spacing w:before="16" w:after="8" w:line="240" w:lineRule="auto"/>
        <w:ind w:left="0"/>
        <w:jc w:val="left"/>
      </w:pPr>
      <w:r>
        <w:rPr>
          <w:rFonts w:ascii="Calibri" w:hAnsi="Calibri" w:eastAsia="Calibri"/>
          <w:b/>
          <w:color w:val="1F1F1F"/>
          <w:sz w:val="20"/>
        </w:rPr>
        <w:t>Resource Development Manager, Shanghai Uniscope Electronics Co., Ltd | 2009 - 2018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Increased operational efficiency by 20%, reduced procurement costs by 5%, and shortened lead times by 15% by improving supplier management, shortage response, and purchasing workflows.</w:t>
      </w:r>
    </w:p>
    <w:p>
      <w:pPr>
        <w:keepNext w:val="0"/>
        <w:keepLines w:val="0"/>
        <w:pageBreakBefore w:val="0"/>
        <w:widowControl w:val="0"/>
        <w:spacing w:before="0" w:after="16" w:line="240" w:lineRule="auto"/>
        <w:ind w:left="230" w:hanging="187"/>
      </w:pPr>
      <w:r>
        <w:rPr>
          <w:rFonts w:ascii="Calibri" w:hAnsi="Calibri" w:eastAsia="Calibri"/>
          <w:b w:val="0"/>
          <w:color w:val="1F1F1F"/>
          <w:sz w:val="20"/>
        </w:rPr>
        <w:t xml:space="preserve">• </w:t>
      </w:r>
      <w:r>
        <w:rPr>
          <w:rFonts w:ascii="Calibri" w:hAnsi="Calibri" w:eastAsia="Calibri"/>
          <w:b w:val="0"/>
          <w:color w:val="1F1F1F"/>
          <w:sz w:val="20"/>
        </w:rPr>
        <w:t>Reduced supply-chain disruptions by 8% and improved supplier performance by 10% through stronger vendor management, inventory control, and escalation handling.</w:t>
      </w:r>
    </w:p>
    <w:sectPr w:rsidR="00FC693F" w:rsidRPr="0006063C" w:rsidSect="00034616">
      <w:pgSz w:w="12240" w:h="15840"/>
      <w:pgMar w:top="662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