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EEB78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修复后新注册的号首页图</w:t>
      </w:r>
    </w:p>
    <w:p w14:paraId="7838B2E1">
      <w:pPr>
        <w:jc w:val="center"/>
      </w:pPr>
      <w:r>
        <w:drawing>
          <wp:inline distT="0" distB="0" distL="114300" distR="114300">
            <wp:extent cx="5271135" cy="41897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3A51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对话截图</w:t>
      </w:r>
    </w:p>
    <w:p w14:paraId="64893A26">
      <w:pPr>
        <w:jc w:val="center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3675" cy="3463925"/>
            <wp:effectExtent l="0" t="0" r="1460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6392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930650"/>
            <wp:effectExtent l="0" t="0" r="139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69665"/>
            <wp:effectExtent l="0" t="0" r="508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704590"/>
            <wp:effectExtent l="0" t="0" r="127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42385"/>
            <wp:effectExtent l="0" t="0" r="1397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D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2026-07-15T16:26:22Z</dcterms:created>
  <dc:creator>Administrator</dc:creator>
  <cp:lastModifiedBy> 恩韵</cp:lastModifiedBy>
  <dcterms:modified xsi:type="dcterms:W3CDTF">2026-07-15T16:28:02Z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71A7FBE38B7A4AB3A9D4A3BA0C513444_12</vt:lpwstr>
  </property>
</Properties>
</file>