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</w:r>
    </w:p>
    <w:p>
      <w:pPr>
        <w:pStyle w:val="Title"/>
        <w:jc w:val="center"/>
      </w:pPr>
      <w:r>
        <w:t>AXIOM Architecture v1.0</w:t>
      </w:r>
    </w:p>
    <w:p>
      <w:pPr>
        <w:jc w:val="center"/>
      </w:pPr>
      <w:r>
        <w:rPr>
          <w:b/>
          <w:color w:val="375573"/>
          <w:sz w:val="32"/>
        </w:rPr>
        <w:t>Investment Research Operating System — Technical Design Blueprint</w:t>
      </w:r>
    </w:p>
    <w:p>
      <w:pPr>
        <w:jc w:val="center"/>
      </w:pPr>
      <w:r>
        <w:br/>
      </w:r>
    </w:p>
    <w:p>
      <w:pPr>
        <w:jc w:val="center"/>
      </w:pPr>
      <w:r>
        <w:rPr>
          <w:b/>
        </w:rPr>
        <w:t>基線版本：AXIOM Research Engine v0.7.0</w:t>
        <w:br/>
      </w:r>
      <w:r>
        <w:t>文件狀態：Architecture Baseline / Pre-v1.0</w:t>
        <w:br/>
      </w:r>
      <w:r>
        <w:t>日期：2026-07-21</w:t>
        <w:br/>
      </w:r>
      <w:r>
        <w:t>適用範圍：v0.8–v1.0 產品與工程演進</w:t>
      </w:r>
    </w:p>
    <w:p>
      <w:r>
        <w:br/>
      </w:r>
    </w:p>
    <w:p>
      <w:pPr>
        <w:jc w:val="center"/>
      </w:pPr>
      <w:r>
        <w:rPr>
          <w:b/>
          <w:sz w:val="24"/>
        </w:rPr>
        <w:t>核心定位</w:t>
      </w:r>
    </w:p>
    <w:p>
      <w:pPr>
        <w:jc w:val="center"/>
      </w:pPr>
      <w:r>
        <w:rPr>
          <w:i/>
          <w:sz w:val="26"/>
        </w:rPr>
        <w:t>Evidence → Knowledge → Research → Impact → Valuation → ETF / Portfolio</w:t>
      </w:r>
    </w:p>
    <w:p>
      <w:r>
        <w:br w:type="page"/>
      </w:r>
    </w:p>
    <w:p>
      <w:pPr>
        <w:pStyle w:val="Heading1"/>
      </w:pPr>
      <w:r>
        <w:t>文件控制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欄位</w:t>
            </w:r>
          </w:p>
        </w:tc>
        <w:tc>
          <w:tcPr>
            <w:tcW w:type="dxa" w:w="504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內容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文件名稱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AXIOM Architecture v1.0 — Design Blueprint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架構基線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v0.7.0 verified repository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目標版本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v1.0.0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主要讀者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產品負責人、研究工程師、資料工程師、估值模型開發者、測試與發佈維護者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規範強度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「必須」為 v1.0 gate；「應」為預設設計；「可」為延伸能力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變更原則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重大架構決策以 ADR 記錄；模型 schema 變更需 migration 與 backward compatibility 評估</w:t>
            </w:r>
          </w:p>
        </w:tc>
      </w:tr>
    </w:tbl>
    <w:p/>
    <w:p>
      <w:pPr>
        <w:pStyle w:val="Heading1"/>
      </w:pPr>
      <w:r>
        <w:t>目錄</w:t>
      </w:r>
    </w:p>
    <w:p>
      <w:r>
        <w:fldChar w:fldCharType="begin"/>
        <w:instrText xml:space="preserve"> TOC \o "1-3" \h \z \u </w:instrText>
        <w:fldChar w:fldCharType="separate"/>
        <w:t>目錄將於 Microsoft Word 開啟時更新。</w:t>
        <w:fldChar w:fldCharType="end"/>
      </w:r>
    </w:p>
    <w:p>
      <w:r>
        <w:br w:type="page"/>
      </w:r>
    </w:p>
    <w:p>
      <w:pPr>
        <w:pStyle w:val="Heading1"/>
      </w:pPr>
      <w:r>
        <w:t>1. 執行摘要</w:t>
      </w:r>
    </w:p>
    <w:p>
      <w:r>
        <w:t>AXIOM 已從 v0.4 的研究與估值基礎，演進至 v0.7 的因果衝擊傳導。v1.0 的目的不是再堆疊功能，而是將既有能力整理成一個可維護、可校準、可追溯、可擴充的投資研究作業系統。</w:t>
      </w:r>
    </w:p>
    <w:p>
      <w:r>
        <w:t>v1.0 的核心架構將以八個領域邊界組成：Canonical、Evidence、Research、Industry、Valuation、ETF、Scenario/Impact、Portfolio。所有領域以穩定 ID、來源證據、版本化快照與可重現執行紀錄互通。</w:t>
      </w:r>
    </w:p>
    <w:p>
      <w:r>
        <w:t>v1.0 必須解決三個根本問題：</w:t>
      </w:r>
    </w:p>
    <w:p>
      <w:pPr>
        <w:pStyle w:val="ListBullet"/>
      </w:pPr>
      <w:r>
        <w:t>可信度：任何研究結論、Driver 分數、Catalyst 機率與估值變動，都能回溯到來源與計算方法。</w:t>
      </w:r>
    </w:p>
    <w:p>
      <w:pPr>
        <w:pStyle w:val="ListBullet"/>
      </w:pPr>
      <w:r>
        <w:t>一致性：資料模型、因果方向、快照語義、CLI 輸出與 public artifacts 具有一致契約。</w:t>
      </w:r>
    </w:p>
    <w:p>
      <w:pPr>
        <w:pStyle w:val="ListBullet"/>
      </w:pPr>
      <w:r>
        <w:t>可演進性：Evidence、Scenario、Portfolio 等新能力能在不破壞既有 Research / ETF / Impact 邏輯下加入。</w:t>
      </w:r>
    </w:p>
    <w:p>
      <w:pPr>
        <w:pStyle w:val="Heading2"/>
      </w:pPr>
      <w:r>
        <w:t>v1.0 成功定義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維度</w:t>
            </w:r>
          </w:p>
        </w:tc>
        <w:tc>
          <w:tcPr>
            <w:tcW w:type="dxa" w:w="504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v1.0 成功條件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研究可追溯性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Claim → Evidence → Source 可完整追溯，且研究 Driver / Catalyst 能列出 supporting 與 contradicting claims。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推理可重現性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相同資料版本與相同參數，必須產生相同 Snapshot ID 與輸出。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模型可校準性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財務影響係數不再硬編碼於 engine，而由 DriverImpact / EstimateSensitivity / ModelPolicy 提供。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ETF / Portfolio 可聚合性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公司、主題、情境風險可按權重聚合，並明確揭露 coverage、missing data 與 confidence。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工程可靠性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ruff、pytest、schema validation、CLI smoke、migration、public build 全部通過 release gate。</w:t>
            </w:r>
          </w:p>
        </w:tc>
      </w:tr>
    </w:tbl>
    <w:p/>
    <w:p>
      <w:pPr>
        <w:pStyle w:val="Heading1"/>
      </w:pPr>
      <w:r>
        <w:t>2. 架構原則與非目標</w:t>
      </w:r>
    </w:p>
    <w:p>
      <w:pPr>
        <w:pStyle w:val="Heading2"/>
      </w:pPr>
      <w:r>
        <w:t>2.1 架構原則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原則</w:t>
            </w:r>
          </w:p>
        </w:tc>
        <w:tc>
          <w:tcPr>
            <w:tcW w:type="dxa" w:w="504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設計含義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Evidence-first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研究結論不得只有文字與信心分數；必須能連接到可識別的 Claim 與 Evidence。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Cause → Effect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所有可傳播 Industry Edge 一律以原因指向結果；逆向查詢由 traversal 參數處理，不改變 edge 語義。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Snapshot over mutation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對外研究、估值、Impact、ETF 與 Portfolio 結果採不可變快照；修正以新 revision 或 supersedes 關係表達。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Deterministic core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核心計算不依賴非確定性副作用；LLM 僅負責 extraction / classification 候選，最終寫入須經 schema 與 policy 驗證。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Explicit uncertainty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所有推論都需要 confidence、coverage、missing inputs 與 methodology。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Ports and adapters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Domain 與 Engine 不直接依賴 JSON 檔案、Web API 或特定 LLM；透過 repository 與 provider interfaces 隔離。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Backward-compatible CLI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既有 validate / research / industry / value / etf / impact / build-public 指令在 v1.0 仍可用。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Synthetic data disclosure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示範 ETF 或研究籃子必須標示 synthetic / non-tradable，避免與真實產品混淆。</w:t>
            </w:r>
          </w:p>
        </w:tc>
      </w:tr>
    </w:tbl>
    <w:p/>
    <w:p>
      <w:pPr>
        <w:pStyle w:val="Heading2"/>
      </w:pPr>
      <w:r>
        <w:t>2.2 非目標</w:t>
      </w:r>
    </w:p>
    <w:p>
      <w:pPr>
        <w:pStyle w:val="ListBullet"/>
      </w:pPr>
      <w:r>
        <w:t>v1.0 不以即時交易執行、券商下單或風控限額系統為目標。</w:t>
      </w:r>
    </w:p>
    <w:p>
      <w:pPr>
        <w:pStyle w:val="ListBullet"/>
      </w:pPr>
      <w:r>
        <w:t>v1.0 不宣稱 Impact Engine 輸出為精確價格預測；輸出是可追溯的情境估算。</w:t>
      </w:r>
    </w:p>
    <w:p>
      <w:pPr>
        <w:pStyle w:val="ListBullet"/>
      </w:pPr>
      <w:r>
        <w:t>v1.0 不要求一次支援所有市場資料供應商；先建立 provider contract。</w:t>
      </w:r>
    </w:p>
    <w:p>
      <w:pPr>
        <w:pStyle w:val="ListBullet"/>
      </w:pPr>
      <w:r>
        <w:t>v1.0 不以分散式微服務為前提；採 modular monolith，保留未來服務化邊界。</w:t>
      </w:r>
    </w:p>
    <w:p>
      <w:pPr>
        <w:pStyle w:val="Heading1"/>
      </w:pPr>
      <w:r>
        <w:t>3. v0.4–v0.7 現況盤點</w:t>
      </w:r>
    </w:p>
    <w:p>
      <w:pPr>
        <w:pStyle w:val="Heading2"/>
      </w:pPr>
      <w:r>
        <w:t>3.1 能力演進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版本</w:t>
            </w:r>
          </w:p>
        </w:tc>
        <w:tc>
          <w:tcPr>
            <w:tcW w:type="dxa" w:w="336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主要能力</w:t>
            </w:r>
          </w:p>
        </w:tc>
        <w:tc>
          <w:tcPr>
            <w:tcW w:type="dxa" w:w="336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架構價值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v0.4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Research Graph、Valuation、public JSON、validation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建立研究與估值的可執行骨架。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v0.5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Industry Graph、Exposure、Path query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建立產業因果與供應鏈關係。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v0.6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ETF Profile、Holding、Theme Exposure、ETF Valuation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將公司研究聚合至 ETF。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v0.7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Shock、PropagationRule、Company / ETF Impact Snapshot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 deterministic causal propagation。</w:t>
            </w:r>
          </w:p>
        </w:tc>
      </w:tr>
    </w:tbl>
    <w:p/>
    <w:p>
      <w:pPr>
        <w:pStyle w:val="Heading2"/>
      </w:pPr>
      <w:r>
        <w:t>3.2 v0.7 實體資料目錄</w:t>
      </w:r>
    </w:p>
    <w:p>
      <w:pPr>
        <w:pStyle w:val="CodeBlock"/>
      </w:pPr>
      <w:r>
        <w:t>data/</w:t>
        <w:br/>
        <w:t xml:space="preserve">  canonical/   entities, securities, sources, evidence, relations</w:t>
        <w:br/>
        <w:t xml:space="preserve">  ingestion/   raw_articles, article_admissions, entity_mentions, extracted_claims</w:t>
        <w:br/>
        <w:t xml:space="preserve">  research/    theses, drivers, catalysts, driver_impacts, revisions, snapshots</w:t>
        <w:br/>
        <w:t xml:space="preserve">  industry/    edges, exposures, graph_snapshots</w:t>
        <w:br/>
        <w:t xml:space="preserve">  valuation/   facts, estimates, assumptions, scenarios, profiles</w:t>
        <w:br/>
        <w:t xml:space="preserve">  etf/         profiles, holdings, theme_exposures, valuation_snapshots</w:t>
        <w:br/>
        <w:t xml:space="preserve">  impact/      shocks, propagation_rules, impact_scenarios</w:t>
        <w:br/>
        <w:t xml:space="preserve">  generated/   executions, valuation_books, valuation_snapshots</w:t>
        <w:br/>
        <w:t xml:space="preserve">  public/      entity, ETF and impact artifacts</w:t>
      </w:r>
    </w:p>
    <w:p>
      <w:pPr>
        <w:pStyle w:val="Heading2"/>
      </w:pPr>
      <w:r>
        <w:t>3.3 v0.7 Python package</w:t>
      </w:r>
    </w:p>
    <w:p>
      <w:pPr>
        <w:pStyle w:val="CodeBlock"/>
      </w:pPr>
      <w:r>
        <w:t>src/axiom_engine/</w:t>
        <w:br/>
        <w:t xml:space="preserve">  cli.py</w:t>
        <w:br/>
        <w:t xml:space="preserve">  config.py</w:t>
        <w:br/>
        <w:t xml:space="preserve">  io.py</w:t>
        <w:br/>
        <w:t xml:space="preserve">  repository.py</w:t>
        <w:br/>
        <w:t xml:space="preserve">  models/{core,research,industry,valuation,etf,impact}.py</w:t>
        <w:br/>
        <w:t xml:space="preserve">  services/{validator,research,industry,valuation,etf,impact,public_builder}.py</w:t>
      </w:r>
    </w:p>
    <w:p>
      <w:pPr>
        <w:pStyle w:val="Heading2"/>
      </w:pPr>
      <w:r>
        <w:t>3.4 現況優點</w:t>
      </w:r>
    </w:p>
    <w:p>
      <w:pPr>
        <w:pStyle w:val="ListBullet"/>
      </w:pPr>
      <w:r>
        <w:t>模型與服務分離已成形，Pydantic 提供 schema boundary。</w:t>
      </w:r>
    </w:p>
    <w:p>
      <w:pPr>
        <w:pStyle w:val="ListBullet"/>
      </w:pPr>
      <w:r>
        <w:t>CLI 為端到端驗收入口，且 public JSON build 已形成發佈介面。</w:t>
      </w:r>
    </w:p>
    <w:p>
      <w:pPr>
        <w:pStyle w:val="ListBullet"/>
      </w:pPr>
      <w:r>
        <w:t>Snapshot 與 deterministic ID 的觀念已在 valuation / impact 使用。</w:t>
      </w:r>
    </w:p>
    <w:p>
      <w:pPr>
        <w:pStyle w:val="ListBullet"/>
      </w:pPr>
      <w:r>
        <w:t>Industry Graph 已統一 cause-to-effect，能成為 Scenario 與 Portfolio risk 的基礎。</w:t>
      </w:r>
    </w:p>
    <w:p>
      <w:pPr>
        <w:pStyle w:val="Heading2"/>
      </w:pPr>
      <w:r>
        <w:t>3.5 主要架構債務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問題</w:t>
            </w:r>
          </w:p>
        </w:tc>
        <w:tc>
          <w:tcPr>
            <w:tcW w:type="dxa" w:w="336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影響</w:t>
            </w:r>
          </w:p>
        </w:tc>
        <w:tc>
          <w:tcPr>
            <w:tcW w:type="dxa" w:w="336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v1.0 對策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io.py / repository.py 邊界偏薄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Domain service 可能直接知道檔案布局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定義 Repository Protocol 與 Unit of Work。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Evidence 與 ingestion 尚未形成完整 pipeline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Driver / Catalyst 仍偏靜態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 Evidence Engine 與 admission workflow。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財務影響係數硬編碼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難以校準、公司差異不足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引入 DriverImpact、EstimateSensitivity、ModelPolicy。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多路徑 impact 僅保留 strongest path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可能低估共同衝擊或重複計算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增加 path aggregation policy 與 dependency deduplication。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Public schema 未正式版本化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前端或下游容易被破壞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加入 schema_version、generated_at、compatibility policy。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缺少 Portfolio domain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無法描述持倉層級風險與情境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v0.9 建立 Portfolio Foundation。</w:t>
            </w:r>
          </w:p>
        </w:tc>
      </w:tr>
    </w:tbl>
    <w:p/>
    <w:p>
      <w:pPr>
        <w:pStyle w:val="Heading1"/>
      </w:pPr>
      <w:r>
        <w:t>4. v1.0 目標架構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7632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xiom_architecture_stac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63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圖 1：AXIOM v1.0 邏輯分層。上層體驗只依賴 Application Contracts；底層資料來源透過 adapters 進入。</w:t>
      </w:r>
    </w:p>
    <w:p>
      <w:pPr>
        <w:pStyle w:val="Heading2"/>
      </w:pPr>
      <w:r>
        <w:t>4.1 分層責任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層級</w:t>
            </w:r>
          </w:p>
        </w:tc>
        <w:tc>
          <w:tcPr>
            <w:tcW w:type="dxa" w:w="336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責任</w:t>
            </w:r>
          </w:p>
        </w:tc>
        <w:tc>
          <w:tcPr>
            <w:tcW w:type="dxa" w:w="336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不得包含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Experience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CLI、public JSON、未來 REST/GraphQL、研究 UI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Domain 計算與資料庫細節。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Application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Use case orchestration、transaction boundary、authorization policy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底層檔案格式與供應商 API。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Reasoning / Engine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Evidence scoring、Graph traversal、Scenario aggregation、Valuation computation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CLI formatting、I/O side effects。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Domain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Entity、Claim、Driver、Catalyst、Shock、Snapshot 等模型與 invariants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外部 SDK、網路呼叫。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Data &amp; Governance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Repository、schema migration、provenance、audit、validation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商業規則的隱性實作。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Ingestion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Source provider、parser、normalizer、dedupe、admission queue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直接修改已發布 Snapshot。</w:t>
            </w:r>
          </w:p>
        </w:tc>
      </w:tr>
    </w:tbl>
    <w:p/>
    <w:p>
      <w:pPr>
        <w:pStyle w:val="Heading2"/>
      </w:pPr>
      <w:r>
        <w:t>4.2 Modular Monolith 邊界</w:t>
      </w:r>
    </w:p>
    <w:p>
      <w:pPr>
        <w:pStyle w:val="CodeBlock"/>
      </w:pPr>
      <w:r>
        <w:t>axiom_engine/</w:t>
        <w:br/>
        <w:t xml:space="preserve">  domain/</w:t>
        <w:br/>
        <w:t xml:space="preserve">    canonical/ evidence/ research/ industry/ valuation/ etf/ scenario/ portfolio/</w:t>
        <w:br/>
        <w:t xml:space="preserve">  application/</w:t>
        <w:br/>
        <w:t xml:space="preserve">    commands/ queries/ dto/ policies/</w:t>
        <w:br/>
        <w:t xml:space="preserve">  engines/</w:t>
        <w:br/>
        <w:t xml:space="preserve">    evidence/ graph/ research/ valuation/ impact/ scenario/ portfolio/</w:t>
        <w:br/>
        <w:t xml:space="preserve">  ports/</w:t>
        <w:br/>
        <w:t xml:space="preserve">    repositories.py providers.py clock.py id_factory.py</w:t>
        <w:br/>
        <w:t xml:space="preserve">  adapters/</w:t>
        <w:br/>
        <w:t xml:space="preserve">    json_store/ sqlite/ llm/ market_data/ filings/ web/</w:t>
        <w:br/>
        <w:t xml:space="preserve">  presentation/</w:t>
        <w:br/>
        <w:t xml:space="preserve">    cli/ public_builder/ api/</w:t>
        <w:br/>
        <w:t xml:space="preserve">  governance/</w:t>
        <w:br/>
        <w:t xml:space="preserve">    validation/ migrations/ audit/ release/</w:t>
      </w:r>
    </w:p>
    <w:p>
      <w:r>
        <w:t>v1.0 可先保留現有模組路徑，逐步遷移至上述結構；不要求一次性大改。每次遷移必須保持 CLI 與資料契約可用。</w:t>
      </w:r>
    </w:p>
    <w:p>
      <w:pPr>
        <w:pStyle w:val="Heading1"/>
      </w:pPr>
      <w:r>
        <w:t>5. 領域模型藍圖</w:t>
      </w:r>
    </w:p>
    <w:p>
      <w:pPr>
        <w:pStyle w:val="Heading2"/>
      </w:pPr>
      <w:r>
        <w:t>5.1 Canonical Domain</w:t>
      </w:r>
    </w:p>
    <w:p>
      <w:r>
        <w:t>Canonical Domain 定義 AXIOM 中所有可被引用的穩定對象。任何其他 domain 只儲存 canonical ID，不複製實體名稱作為主鍵。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模型</w:t>
            </w:r>
          </w:p>
        </w:tc>
        <w:tc>
          <w:tcPr>
            <w:tcW w:type="dxa" w:w="336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關鍵欄位</w:t>
            </w:r>
          </w:p>
        </w:tc>
        <w:tc>
          <w:tcPr>
            <w:tcW w:type="dxa" w:w="336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v1.0 規則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Entity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entity_id, entity_type, canonical_name, aliases, status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ID 永久穩定；合併以 redirect / supersedes 表達。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Security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security_id, issuer_id, exchange, ticker, currency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公司與證券分離；估值結果需明確指定 company/security。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Theme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theme_id, taxonomy_path, parent_id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支援階層 taxonomy 與版本。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Relation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relation_id, source_id, target_id, relation_type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非傳播關係與 IndustryEdge 分離。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Source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source_id, source_type, publisher, published_at, uri_hash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保留合法可儲存 metadata；原文內容依授權策略管理。</w:t>
            </w:r>
          </w:p>
        </w:tc>
      </w:tr>
    </w:tbl>
    <w:p/>
    <w:p>
      <w:pPr>
        <w:pStyle w:val="Heading2"/>
      </w:pPr>
      <w:r>
        <w:t>5.2 Evidence Domain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模型</w:t>
            </w:r>
          </w:p>
        </w:tc>
        <w:tc>
          <w:tcPr>
            <w:tcW w:type="dxa" w:w="336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用途</w:t>
            </w:r>
          </w:p>
        </w:tc>
        <w:tc>
          <w:tcPr>
            <w:tcW w:type="dxa" w:w="336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必要欄位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RawDocument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原始文件 metadata 與內容定位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document_id, source_id, content_hash, fetched_at, parser_version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DocumentChunk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可引用段落或頁面區段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chunk_id, document_id, locator, text_hash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Claim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標準化可驗證主張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claim_id, subject_id, predicate, object/value, valid_time, confidence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EvidenceLink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Claim 與 chunk 的支持/反駁關係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evidence_link_id, claim_id, chunk_id, stance, relevance, extraction_method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ExtractionRun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模型或規則抽取執行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run_id, provider, model, prompt_version, input_hash, output_hash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AdmissionDecision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是否納入 canonical evidence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decision_id, candidate_id, status, reviewer, reason</w:t>
            </w:r>
          </w:p>
        </w:tc>
      </w:tr>
    </w:tbl>
    <w:p/>
    <w:p>
      <w:r>
        <w:t>Evidence 寫入流程必須區分 candidate 與 admitted。LLM 產出一律先進 candidate store，通過 schema、dedupe、entity resolution 與 admission policy 後，才可影響 Driver / Catalyst。</w:t>
      </w:r>
    </w:p>
    <w:p>
      <w:pPr>
        <w:pStyle w:val="Heading2"/>
      </w:pPr>
      <w:r>
        <w:t>5.3 Research Domain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模型</w:t>
            </w:r>
          </w:p>
        </w:tc>
        <w:tc>
          <w:tcPr>
            <w:tcW w:type="dxa" w:w="336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v1.0 擴充</w:t>
            </w:r>
          </w:p>
        </w:tc>
        <w:tc>
          <w:tcPr>
            <w:tcW w:type="dxa" w:w="336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說明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InvestmentThesis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status, horizon, conviction, evidence_summary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Thesis 是一組 Driver / Catalyst / Risk 的可發布觀點。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ResearchDriver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score, trend, momentum, materiality, confidence, updated_at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由靜態描述升級為 Dynamic Research Signal。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DriverObservation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as_of_date, score_delta, evidence_count, method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保留時間序列，避免直接覆寫。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Catalyst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expected_window, probability, status, dependencies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由單一 status 升級為 timeline event。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CatalystObservation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probability_delta, schedule_delta, evidence links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記錄每次更新原因。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ResearchRevision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author/agent, rationale, changed_fields, supersedes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支援人工與自動變更審計。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ResearchSnapshot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immutable published state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public build 與下游 engine 只讀 snapshot。</w:t>
            </w:r>
          </w:p>
        </w:tc>
      </w:tr>
    </w:tbl>
    <w:p/>
    <w:p>
      <w:r>
        <w:t>Driver Score 建議標準化為 0–100；Trend 為 rising / stable / falling；Momentum 為指定窗口的分數變化。分數方法必須由 ScorePolicy ID 指定，不能只存在程式註解。</w:t>
      </w:r>
    </w:p>
    <w:p>
      <w:pPr>
        <w:pStyle w:val="Heading2"/>
      </w:pPr>
      <w:r>
        <w:t>5.4 Industry Domain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模型</w:t>
            </w:r>
          </w:p>
        </w:tc>
        <w:tc>
          <w:tcPr>
            <w:tcW w:type="dxa" w:w="504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關鍵規則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IndustryEdge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source_id → target_id 固定為 cause → effect；edge_type、strength、confidence、lead_lag_months、active range。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PropagationRule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elasticity、attenuation、mode、aggregation_policy、valid_from/to。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IndustryExposure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公司或 ETF 對 technology/theme/demand driver 的曝險權重與來源。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GraphSnapshot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一個可重現的 graph_version，列出使用的 edge/rule 版本。</w:t>
            </w:r>
          </w:p>
        </w:tc>
      </w:tr>
    </w:tbl>
    <w:p/>
    <w:p>
      <w:r>
        <w:t>Edge type taxonomy 建議分為 enables、drives_demand_for、constrains、consumes、supplies、substitutes_for。只有被標記 propagating=true 的 edge 參與 Impact Engine。</w:t>
      </w:r>
    </w:p>
    <w:p>
      <w:pPr>
        <w:pStyle w:val="Heading2"/>
      </w:pPr>
      <w:r>
        <w:t>5.5 Valuation Domain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模型</w:t>
            </w:r>
          </w:p>
        </w:tc>
        <w:tc>
          <w:tcPr>
            <w:tcW w:type="dxa" w:w="504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v1.0 角色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FinancialFact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已實現財務事實，含 period、unit、source、restatement status。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Estimate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未來財務預測，含 scenario、analyst/model origin、confidence。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ValuationAssumption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multiple、discount rate、margin、shares、net debt 等輸入。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ValuationProfile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可重用模型配置與模型權重。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ValuationExecution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一次執行的 input refs、engine version、timestamp、status。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ValuationSnapshot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deterministic result；同樣輸入不得產生不同 snapshot。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ValuationBook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公司/證券/情境下的多模型集合與 blended fair value。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EstimateSensitivity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Driver 或 Shock 對 revenue/margin/EPS 等 estimate 的 elasticity。</w:t>
            </w:r>
          </w:p>
        </w:tc>
      </w:tr>
    </w:tbl>
    <w:p/>
    <w:p>
      <w:pPr>
        <w:pStyle w:val="Heading2"/>
      </w:pPr>
      <w:r>
        <w:t>5.6 ETF Domain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模型</w:t>
            </w:r>
          </w:p>
        </w:tc>
        <w:tc>
          <w:tcPr>
            <w:tcW w:type="dxa" w:w="504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v1.0 規則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ETFProfile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fund identity、benchmark、strategy、currency、synthetic flag。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ETFHolding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as_of_date、weight、security/company mapping、source。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ETFThemeExposure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必須標示 derived/manual、methodology、coverage。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ETFValuationSnapshot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weighted upside、coverage、missing companies、contributors。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ETFImpactSnapshot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scenario/shock impact、coverage、confidence、contributors。</w:t>
            </w:r>
          </w:p>
        </w:tc>
      </w:tr>
    </w:tbl>
    <w:p/>
    <w:p>
      <w:r>
        <w:t>ETF 快照不得假設所有 holding 都有公司 valuation。Coverage 必須以總權重計算並在輸出中置頂。</w:t>
      </w:r>
    </w:p>
    <w:p>
      <w:pPr>
        <w:pStyle w:val="Heading2"/>
      </w:pPr>
      <w:r>
        <w:t>5.7 Scenario / Impact Domain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模型</w:t>
            </w:r>
          </w:p>
        </w:tc>
        <w:tc>
          <w:tcPr>
            <w:tcW w:type="dxa" w:w="504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Shock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單一外生變化：entity、direction、magnitude、unit、duration、confidence。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Scenario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多個 Shock、共同假設、相關性與時間軸。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ImpactNode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每個 entity 的 impact、confidence、lag、path attribution。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CompanyImpactSnapshot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財務與估值影響，來源 paths 與 sensitivity refs。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ETFImpactSnapshot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holding-weighted 聚合、coverage、contributors。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ScenarioComparison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Bull/Base/Bear 或自訂 scenario 的差異與排序。</w:t>
            </w:r>
          </w:p>
        </w:tc>
      </w:tr>
    </w:tbl>
    <w:p/>
    <w:p>
      <w:r>
        <w:t>v1.0 應新增 aggregation policy：strongest_path、independent_sum、correlated_sum、bottleneck。預設不得默默相加多條共享依賴路徑，以避免 double counting。</w:t>
      </w:r>
    </w:p>
    <w:p>
      <w:pPr>
        <w:pStyle w:val="Heading2"/>
      </w:pPr>
      <w:r>
        <w:t>5.8 Portfolio Domain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模型</w:t>
            </w:r>
          </w:p>
        </w:tc>
        <w:tc>
          <w:tcPr>
            <w:tcW w:type="dxa" w:w="504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Portfolio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portfolio_id、owner/scope、base currency、policy refs。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Position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security/ETF/cash、quantity、weight、cost basis、as_of_date。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LookThroughExposure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ETF 穿透後的 company/theme/driver 曝險。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PortfolioValuationSnapshot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weighted upside、coverage、currency normalization。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PortfolioImpactSnapshot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scenario downside/upside、contributors、concentration。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PortfolioRiskPolicy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單一公司、主題、國家、情境等限額與 warning。</w:t>
            </w:r>
          </w:p>
        </w:tc>
      </w:tr>
    </w:tbl>
    <w:p/>
    <w:p>
      <w:pPr>
        <w:pStyle w:val="Heading1"/>
      </w:pPr>
      <w:r>
        <w:t>6. Engine Contracts</w:t>
      </w:r>
    </w:p>
    <w:p>
      <w:r>
        <w:t>所有 Engine 必須是純計算優先：輸入為已驗證 DTO / Snapshot refs，輸出為結果 DTO；資料讀寫由 Application service 控制。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Engine</w:t>
            </w:r>
          </w:p>
        </w:tc>
        <w:tc>
          <w:tcPr>
            <w:tcW w:type="dxa" w:w="252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輸入</w:t>
            </w:r>
          </w:p>
        </w:tc>
        <w:tc>
          <w:tcPr>
            <w:tcW w:type="dxa" w:w="252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輸出</w:t>
            </w:r>
          </w:p>
        </w:tc>
        <w:tc>
          <w:tcPr>
            <w:tcW w:type="dxa" w:w="252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關鍵不變量</w:t>
            </w:r>
          </w:p>
        </w:tc>
      </w:tr>
      <w:tr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EvidenceEngine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RawDocument / chunks / extraction policy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Claim candidates, EvidenceLinks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同一 input_hash + model/prompt version 可追蹤；不直接發布研究。</w:t>
            </w:r>
          </w:p>
        </w:tc>
      </w:tr>
      <w:tr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ResearchEngine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admitted claims, prior snapshot, score policy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Driver/Catalyst observations, draft revision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所有變更帶 evidence attribution。</w:t>
            </w:r>
          </w:p>
        </w:tc>
      </w:tr>
      <w:tr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IndustryGraphEngine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GraphSnapshot, source/target query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paths, exposure, propagation topology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只沿 active cause→effect edge。</w:t>
            </w:r>
          </w:p>
        </w:tc>
      </w:tr>
      <w:tr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ValuationEngine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facts, estimates, assumptions, profile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Execution, Snapshot, Book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deterministic IDs；模型失敗可局部降級。</w:t>
            </w:r>
          </w:p>
        </w:tc>
      </w:tr>
      <w:tr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ImpactEngine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Shock/Scenario, graph, sensitivities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node/company/ETF impacts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methodology、coverage、confidence 不可省略。</w:t>
            </w:r>
          </w:p>
        </w:tc>
      </w:tr>
      <w:tr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ScenarioEngine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scenario set, aggregation policy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comparison, rankings, deltas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多 shock 組合需顯式 correlation policy。</w:t>
            </w:r>
          </w:p>
        </w:tc>
      </w:tr>
      <w:tr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PortfolioEngine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positions, ETF holdings, snapshots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look-through exposure, valuation, impact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避免 ETF 與底層持股重複計算。</w:t>
            </w:r>
          </w:p>
        </w:tc>
      </w:tr>
    </w:tbl>
    <w:p/>
    <w:p>
      <w:pPr>
        <w:pStyle w:val="Heading2"/>
      </w:pPr>
      <w:r>
        <w:t>6.1 Impact Engine v1.0 計算鏈</w:t>
      </w:r>
    </w:p>
    <w:p>
      <w:pPr>
        <w:pStyle w:val="CodeBlock"/>
      </w:pPr>
      <w:r>
        <w:t>Shock / Scenario</w:t>
        <w:br/>
        <w:t xml:space="preserve">  → Graph propagation</w:t>
        <w:br/>
        <w:t xml:space="preserve">  → DriverImpact / EstimateSensitivity</w:t>
        <w:br/>
        <w:t xml:space="preserve">  → Revenue / Margin / EPS deltas</w:t>
        <w:br/>
        <w:t xml:space="preserve">  → Valuation model re-run or sensitivity approximation</w:t>
        <w:br/>
        <w:t xml:space="preserve">  → CompanyImpactSnapshot</w:t>
        <w:br/>
        <w:t xml:space="preserve">  → ETF aggregation</w:t>
        <w:br/>
        <w:t xml:space="preserve">  → Portfolio look-through aggregation</w:t>
      </w:r>
    </w:p>
    <w:p>
      <w:r>
        <w:t>v0.7 的 revenue × 1.15 × 1.10 係數可保留為 DemoModelPolicy，但 production profile 必須引用具名 sensitivity records。</w:t>
      </w:r>
    </w:p>
    <w:p>
      <w:pPr>
        <w:pStyle w:val="Heading2"/>
      </w:pPr>
      <w:r>
        <w:t>6.2 Evidence Scoring 建議</w:t>
      </w:r>
    </w:p>
    <w:p>
      <w:pPr>
        <w:pStyle w:val="CodeBlock"/>
      </w:pPr>
      <w:r>
        <w:t>claim_confidence = extraction_confidence × source_quality × evidence_relevance</w:t>
        <w:br/>
        <w:br/>
        <w:t>driver_evidence_score = weighted_support - weighted_contradiction</w:t>
        <w:br/>
        <w:br/>
        <w:t>driver_score_t = clamp(driver_score_t-1 + policy(driver_evidence_score, decay, materiality), 0, 100)</w:t>
      </w:r>
    </w:p>
    <w:p>
      <w:r>
        <w:t>公式僅作契約示意；實際 policy 需版本化。任何 policy 更新不得回寫舊 Snapshot，而應產生新的 ResearchSnapshot。</w:t>
      </w:r>
    </w:p>
    <w:p>
      <w:pPr>
        <w:pStyle w:val="Heading1"/>
      </w:pPr>
      <w:r>
        <w:t>7. 端到端工作流程</w:t>
      </w:r>
    </w:p>
    <w:p>
      <w:pPr>
        <w:pStyle w:val="Heading2"/>
      </w:pPr>
      <w:r>
        <w:t>7.1 Evidence-to-Research</w:t>
      </w:r>
    </w:p>
    <w:p>
      <w:pPr>
        <w:pStyle w:val="ListNumber"/>
      </w:pPr>
      <w:r>
        <w:t>Provider 取得 filing、earnings call、investor deck、news 或人工輸入。</w:t>
      </w:r>
    </w:p>
    <w:p>
      <w:pPr>
        <w:pStyle w:val="ListNumber"/>
      </w:pPr>
      <w:r>
        <w:t>建立 RawDocument，計算 content hash，執行 dedupe。</w:t>
      </w:r>
    </w:p>
    <w:p>
      <w:pPr>
        <w:pStyle w:val="ListNumber"/>
      </w:pPr>
      <w:r>
        <w:t>Parser 產生 DocumentChunk 與 locator。</w:t>
      </w:r>
    </w:p>
    <w:p>
      <w:pPr>
        <w:pStyle w:val="ListNumber"/>
      </w:pPr>
      <w:r>
        <w:t>Extraction adapter 產生 Claim candidates、Entity mentions 與 relation candidates。</w:t>
      </w:r>
    </w:p>
    <w:p>
      <w:pPr>
        <w:pStyle w:val="ListNumber"/>
      </w:pPr>
      <w:r>
        <w:t>Validator 執行 schema、entity resolution、temporal checks、duplicate detection。</w:t>
      </w:r>
    </w:p>
    <w:p>
      <w:pPr>
        <w:pStyle w:val="ListNumber"/>
      </w:pPr>
      <w:r>
        <w:t>Admission policy 將候選標記 admitted / rejected / needs_review。</w:t>
      </w:r>
    </w:p>
    <w:p>
      <w:pPr>
        <w:pStyle w:val="ListNumber"/>
      </w:pPr>
      <w:r>
        <w:t>ResearchEngine 對 admitted claims 產生 Driver / Catalyst observations。</w:t>
      </w:r>
    </w:p>
    <w:p>
      <w:pPr>
        <w:pStyle w:val="ListNumber"/>
      </w:pPr>
      <w:r>
        <w:t>研究者或 policy 批准 revision，生成 immutable ResearchSnapshot。</w:t>
      </w:r>
    </w:p>
    <w:p>
      <w:pPr>
        <w:pStyle w:val="Heading2"/>
      </w:pPr>
      <w:r>
        <w:t>7.2 Scenario-to-Portfolio</w:t>
      </w:r>
    </w:p>
    <w:p>
      <w:pPr>
        <w:pStyle w:val="ListNumber"/>
      </w:pPr>
      <w:r>
        <w:t>建立一個或多個 Shock，組成 Scenario。</w:t>
      </w:r>
    </w:p>
    <w:p>
      <w:pPr>
        <w:pStyle w:val="ListNumber"/>
      </w:pPr>
      <w:r>
        <w:t>鎖定 GraphSnapshot 與 PropagationRule versions。</w:t>
      </w:r>
    </w:p>
    <w:p>
      <w:pPr>
        <w:pStyle w:val="ListNumber"/>
      </w:pPr>
      <w:r>
        <w:t>ImpactEngine 產生 ImpactNodes 與 path attribution。</w:t>
      </w:r>
    </w:p>
    <w:p>
      <w:pPr>
        <w:pStyle w:val="ListNumber"/>
      </w:pPr>
      <w:r>
        <w:t>透過 sensitivities 映射到公司 estimates 與 valuation。</w:t>
      </w:r>
    </w:p>
    <w:p>
      <w:pPr>
        <w:pStyle w:val="ListNumber"/>
      </w:pPr>
      <w:r>
        <w:t>ETFEngine 按 holding weight 聚合，輸出 coverage 與 missing list。</w:t>
      </w:r>
    </w:p>
    <w:p>
      <w:pPr>
        <w:pStyle w:val="ListNumber"/>
      </w:pPr>
      <w:r>
        <w:t>PortfolioEngine 進行 ETF look-through、直接持股去重與 currency normalization。</w:t>
      </w:r>
    </w:p>
    <w:p>
      <w:pPr>
        <w:pStyle w:val="ListNumber"/>
      </w:pPr>
      <w:r>
        <w:t>PublicBuilder 或 API 發布 versioned artifacts。</w:t>
      </w:r>
    </w:p>
    <w:p>
      <w:pPr>
        <w:pStyle w:val="Heading1"/>
      </w:pPr>
      <w:r>
        <w:t>8. ID、版本與時間語義</w:t>
      </w:r>
    </w:p>
    <w:p>
      <w:pPr>
        <w:pStyle w:val="Heading2"/>
      </w:pPr>
      <w:r>
        <w:t>8.1 ID 規範</w:t>
      </w:r>
    </w:p>
    <w:p>
      <w:pPr>
        <w:pStyle w:val="CodeBlock"/>
      </w:pPr>
      <w:r>
        <w:t>&lt;entity_type&gt;:&lt;namespace&gt;-&lt;identifier&gt;</w:t>
        <w:br/>
        <w:t>company:US-NVDA</w:t>
        <w:br/>
        <w:t>security:US-NVDA-NASDAQ</w:t>
        <w:br/>
        <w:t>technology:HBM4</w:t>
        <w:br/>
        <w:t>etf:AXSM</w:t>
        <w:br/>
        <w:t>shock:HBM4-SUPPLY-DOWN-20</w:t>
      </w:r>
    </w:p>
    <w:p>
      <w:pPr>
        <w:pStyle w:val="ListBullet"/>
      </w:pPr>
      <w:r>
        <w:t>ID 不包含可變名稱、日期格式化文字或陣列位置。</w:t>
      </w:r>
    </w:p>
    <w:p>
      <w:pPr>
        <w:pStyle w:val="ListBullet"/>
      </w:pPr>
      <w:r>
        <w:t>Snapshot ID 應由 canonicalized input references + engine version + policy version 雜湊產生。</w:t>
      </w:r>
    </w:p>
    <w:p>
      <w:pPr>
        <w:pStyle w:val="ListBullet"/>
      </w:pPr>
      <w:r>
        <w:t>Execution ID 表示一次執行；Snapshot ID 表示內容身份，兩者不得混用。</w:t>
      </w:r>
    </w:p>
    <w:p>
      <w:pPr>
        <w:pStyle w:val="Heading2"/>
      </w:pPr>
      <w:r>
        <w:t>8.2 三種時間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時間</w:t>
            </w:r>
          </w:p>
        </w:tc>
        <w:tc>
          <w:tcPr>
            <w:tcW w:type="dxa" w:w="336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定義</w:t>
            </w:r>
          </w:p>
        </w:tc>
        <w:tc>
          <w:tcPr>
            <w:tcW w:type="dxa" w:w="336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例子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Event time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事實發生或適用的時間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季度財務 period、Catalyst expected window。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Publication time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來源公開時間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10-Q filed_at、新聞 published_at。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System time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AXIOM 取得或寫入時間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fetched_at、admitted_at、snapshot generated_at。</w:t>
            </w:r>
          </w:p>
        </w:tc>
      </w:tr>
    </w:tbl>
    <w:p/>
    <w:p>
      <w:r>
        <w:t>所有影響回測與 point-in-time 研究必須避免使用 event time 之後才公開的資料。</w:t>
      </w:r>
    </w:p>
    <w:p>
      <w:pPr>
        <w:pStyle w:val="Heading1"/>
      </w:pPr>
      <w:r>
        <w:t>9. Repository、儲存與遷移</w:t>
      </w:r>
    </w:p>
    <w:p>
      <w:pPr>
        <w:pStyle w:val="Heading2"/>
      </w:pPr>
      <w:r>
        <w:t>9.1 Repository Protocol</w:t>
      </w:r>
    </w:p>
    <w:p>
      <w:pPr>
        <w:pStyle w:val="CodeBlock"/>
      </w:pPr>
      <w:r>
        <w:t>class Repository(Protocol):</w:t>
        <w:br/>
        <w:t xml:space="preserve">    def get(self, entity_id: str): ...</w:t>
        <w:br/>
        <w:t xml:space="preserve">    def list(self, *, filters): ...</w:t>
        <w:br/>
        <w:t xml:space="preserve">    def add(self, model): ...</w:t>
        <w:br/>
        <w:t xml:space="preserve">    def save_snapshot(self, snapshot): ...</w:t>
        <w:br/>
        <w:br/>
        <w:t>class UnitOfWork(Protocol):</w:t>
        <w:br/>
        <w:t xml:space="preserve">    canonical: CanonicalRepository</w:t>
        <w:br/>
        <w:t xml:space="preserve">    evidence: EvidenceRepository</w:t>
        <w:br/>
        <w:t xml:space="preserve">    research: ResearchRepository</w:t>
        <w:br/>
        <w:t xml:space="preserve">    ...</w:t>
        <w:br/>
        <w:t xml:space="preserve">    def commit(self): ...</w:t>
        <w:br/>
        <w:t xml:space="preserve">    def rollback(self): ...</w:t>
      </w:r>
    </w:p>
    <w:p>
      <w:r>
        <w:t>JSON adapter 仍是 v1.0 支援目標，便於 Git versioning 與可讀性；SQLite adapter 建議作為本機查詢與索引層。Domain 與 Engine 不得依賴其一。</w:t>
      </w:r>
    </w:p>
    <w:p>
      <w:pPr>
        <w:pStyle w:val="Heading2"/>
      </w:pPr>
      <w:r>
        <w:t>9.2 資料目錄目標</w:t>
      </w:r>
    </w:p>
    <w:p>
      <w:pPr>
        <w:pStyle w:val="CodeBlock"/>
      </w:pPr>
      <w:r>
        <w:t>data/</w:t>
        <w:br/>
        <w:t xml:space="preserve">  canonical/ evidence/ research/ industry/ valuation/ etf/ scenario/ portfolio/</w:t>
        <w:br/>
        <w:t xml:space="preserve">  executions/ snapshots/</w:t>
        <w:br/>
        <w:t xml:space="preserve">  public/v1/</w:t>
        <w:br/>
        <w:t xml:space="preserve">  schemas/v1/</w:t>
        <w:br/>
        <w:t xml:space="preserve">  migrations/</w:t>
        <w:br/>
        <w:t xml:space="preserve">  quarantine/</w:t>
      </w:r>
    </w:p>
    <w:p>
      <w:pPr>
        <w:pStyle w:val="Heading2"/>
      </w:pPr>
      <w:r>
        <w:t>9.3 Migration 原則</w:t>
      </w:r>
    </w:p>
    <w:p>
      <w:pPr>
        <w:pStyle w:val="ListBullet"/>
      </w:pPr>
      <w:r>
        <w:t>每個 schema 變更需提供 source_version → target_version migration。</w:t>
      </w:r>
    </w:p>
    <w:p>
      <w:pPr>
        <w:pStyle w:val="ListBullet"/>
      </w:pPr>
      <w:r>
        <w:t>Migration 必須 idempotent，並有 fixture 與 rollback / backup 說明。</w:t>
      </w:r>
    </w:p>
    <w:p>
      <w:pPr>
        <w:pStyle w:val="ListBullet"/>
      </w:pPr>
      <w:r>
        <w:t>舊 public artifacts 至少維持一個 minor release 的相容期。</w:t>
      </w:r>
    </w:p>
    <w:p>
      <w:pPr>
        <w:pStyle w:val="ListBullet"/>
      </w:pPr>
      <w:r>
        <w:t>資料遺失型 migration 必須明確標記 destructive 並要求人工確認。</w:t>
      </w:r>
    </w:p>
    <w:p>
      <w:pPr>
        <w:pStyle w:val="Heading1"/>
      </w:pPr>
      <w:r>
        <w:t>10. CLI、Public Schema 與未來 API</w:t>
      </w:r>
    </w:p>
    <w:p>
      <w:pPr>
        <w:pStyle w:val="Heading2"/>
      </w:pPr>
      <w:r>
        <w:t>10.1 CLI v1.0 命令面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命令</w:t>
            </w:r>
          </w:p>
        </w:tc>
        <w:tc>
          <w:tcPr>
            <w:tcW w:type="dxa" w:w="504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角色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axiom validate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完整 schema、referential integrity、temporal consistency 與 governance checks。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axiom ingest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取得或匯入文件，產生 ingestion execution。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axiom evidence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檢視 claims、evidence、admission queue。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axiom research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取得 thesis / drivers / catalysts / revisions。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axiom industry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查詢 graph、paths、exposures。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axiom value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執行或讀取 valuation books。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axiom etf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ETF profile、holdings、theme、valuation。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axiom impact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單一 shock impact。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axiom scenario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多 shock 與 Bull/Base/Bear 比較。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axiom portfolio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look-through exposure、valuation、scenario risk。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axiom build-public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輸出 versioned public artifacts。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axiom migrate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預覽與執行資料 migration。</w:t>
            </w:r>
          </w:p>
        </w:tc>
      </w:tr>
    </w:tbl>
    <w:p/>
    <w:p>
      <w:pPr>
        <w:pStyle w:val="Heading2"/>
      </w:pPr>
      <w:r>
        <w:t>10.2 輸出契約</w:t>
      </w:r>
    </w:p>
    <w:p>
      <w:pPr>
        <w:pStyle w:val="CodeBlock"/>
      </w:pPr>
      <w:r>
        <w:t>{</w:t>
        <w:br/>
        <w:t xml:space="preserve">  "schema_version": "1.0",</w:t>
        <w:br/>
        <w:t xml:space="preserve">  "generated_at": "...",</w:t>
        <w:br/>
        <w:t xml:space="preserve">  "execution_id": "...",</w:t>
        <w:br/>
        <w:t xml:space="preserve">  "snapshot_id": "...",</w:t>
        <w:br/>
        <w:t xml:space="preserve">  "data": {...},</w:t>
        <w:br/>
        <w:t xml:space="preserve">  "methodology": {...},</w:t>
        <w:br/>
        <w:t xml:space="preserve">  "coverage": {...},</w:t>
        <w:br/>
        <w:t xml:space="preserve">  "warnings": [...]</w:t>
        <w:br/>
        <w:t>}</w:t>
      </w:r>
    </w:p>
    <w:p>
      <w:r>
        <w:t>所有 CLI 支援 --format json；人類可讀格式可另加 --format table。錯誤碼應區分 validation_error、not_found、incomplete_coverage、provider_error、internal_error。</w:t>
      </w:r>
    </w:p>
    <w:p>
      <w:pPr>
        <w:pStyle w:val="Heading1"/>
      </w:pPr>
      <w:r>
        <w:t>11. Evidence Governance 與研究審計</w:t>
      </w:r>
    </w:p>
    <w:p>
      <w:pPr>
        <w:pStyle w:val="Heading2"/>
      </w:pPr>
      <w:r>
        <w:t>11.1 Source Quality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等級</w:t>
            </w:r>
          </w:p>
        </w:tc>
        <w:tc>
          <w:tcPr>
            <w:tcW w:type="dxa" w:w="336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來源類型</w:t>
            </w:r>
          </w:p>
        </w:tc>
        <w:tc>
          <w:tcPr>
            <w:tcW w:type="dxa" w:w="336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預設策略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法定申報、公司正式文件、交易所資料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可直接進入高優先 admission queue。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B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Earnings call transcript、官方簡報、可信產業資料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需 entity/time validation。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主流新聞、專業研究摘要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需交叉驗證或降低 confidence。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社群、匿名來源、未驗證二手內容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預設不影響發布分數，僅作候選線索。</w:t>
            </w:r>
          </w:p>
        </w:tc>
      </w:tr>
    </w:tbl>
    <w:p/>
    <w:p>
      <w:pPr>
        <w:pStyle w:val="Heading2"/>
      </w:pPr>
      <w:r>
        <w:t>11.2 人工覆核邊界</w:t>
      </w:r>
    </w:p>
    <w:p>
      <w:pPr>
        <w:pStyle w:val="ListBullet"/>
      </w:pPr>
      <w:r>
        <w:t>高 materiality 且低 confidence 的 Driver 變更。</w:t>
      </w:r>
    </w:p>
    <w:p>
      <w:pPr>
        <w:pStyle w:val="ListBullet"/>
      </w:pPr>
      <w:r>
        <w:t>Catalyst 日期移動超過政策門檻。</w:t>
      </w:r>
    </w:p>
    <w:p>
      <w:pPr>
        <w:pStyle w:val="ListBullet"/>
      </w:pPr>
      <w:r>
        <w:t>單一來源造成大幅估值或 ETF Impact 變化。</w:t>
      </w:r>
    </w:p>
    <w:p>
      <w:pPr>
        <w:pStyle w:val="ListBullet"/>
      </w:pPr>
      <w:r>
        <w:t>Entity merge、relation conflict、重大 restatement。</w:t>
      </w:r>
    </w:p>
    <w:p>
      <w:pPr>
        <w:pStyle w:val="Heading2"/>
      </w:pPr>
      <w:r>
        <w:t>11.3 審計事件</w:t>
      </w:r>
    </w:p>
    <w:p>
      <w:pPr>
        <w:pStyle w:val="CodeBlock"/>
      </w:pPr>
      <w:r>
        <w:t>AuditEvent {</w:t>
        <w:br/>
        <w:t xml:space="preserve">  audit_id, occurred_at, actor_type, actor_id, action,</w:t>
        <w:br/>
        <w:t xml:space="preserve">  object_type, object_id, before_hash, after_hash,</w:t>
        <w:br/>
        <w:t xml:space="preserve">  execution_id, rationale, policy_version</w:t>
        <w:br/>
        <w:t>}</w:t>
      </w:r>
    </w:p>
    <w:p>
      <w:pPr>
        <w:pStyle w:val="Heading1"/>
      </w:pPr>
      <w:r>
        <w:t>12. Validation、測試與可觀測性</w:t>
      </w:r>
    </w:p>
    <w:p>
      <w:pPr>
        <w:pStyle w:val="Heading2"/>
      </w:pPr>
      <w:r>
        <w:t>12.1 Validation Layers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層級</w:t>
            </w:r>
          </w:p>
        </w:tc>
        <w:tc>
          <w:tcPr>
            <w:tcW w:type="dxa" w:w="504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檢查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Schema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型別、enum、range、required fields。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Referential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所有 ID 存在；禁止 orphan links。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Temporal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valid_from ≤ valid_to；publication time 與 event time 合理。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Graph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禁止不允許的 cycle；edge direction / type 合法。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Financial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權重總和、單位、currency、period consistency。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Evidence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claim 至少一個 evidence link；admitted candidate 有 decision。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Snapshot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input hashes、engine/policy version、deterministic ID。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Public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schema_version、no private fields、coverage / warnings 完整。</w:t>
            </w:r>
          </w:p>
        </w:tc>
      </w:tr>
    </w:tbl>
    <w:p/>
    <w:p>
      <w:pPr>
        <w:pStyle w:val="Heading2"/>
      </w:pPr>
      <w:r>
        <w:t>12.2 Test Pyramid</w:t>
      </w:r>
    </w:p>
    <w:p>
      <w:pPr>
        <w:pStyle w:val="ListBullet"/>
      </w:pPr>
      <w:r>
        <w:t>Model invariant tests：每個 Pydantic model 的正常、邊界與錯誤案例。</w:t>
      </w:r>
    </w:p>
    <w:p>
      <w:pPr>
        <w:pStyle w:val="ListBullet"/>
      </w:pPr>
      <w:r>
        <w:t>Engine unit tests：固定 fixtures 驗證 deterministic results。</w:t>
      </w:r>
    </w:p>
    <w:p>
      <w:pPr>
        <w:pStyle w:val="ListBullet"/>
      </w:pPr>
      <w:r>
        <w:t>Contract tests：JSON adapter、SQLite adapter、provider adapters。</w:t>
      </w:r>
    </w:p>
    <w:p>
      <w:pPr>
        <w:pStyle w:val="ListBullet"/>
      </w:pPr>
      <w:r>
        <w:t>Golden tests：CLI JSON 與 public artifact 的穩定輸出。</w:t>
      </w:r>
    </w:p>
    <w:p>
      <w:pPr>
        <w:pStyle w:val="ListBullet"/>
      </w:pPr>
      <w:r>
        <w:t>Migration tests：每個舊版本 fixture 可升級且重複執行不變。</w:t>
      </w:r>
    </w:p>
    <w:p>
      <w:pPr>
        <w:pStyle w:val="ListBullet"/>
      </w:pPr>
      <w:r>
        <w:t>Release smoke：validate、research、industry、value、etf、impact、scenario、portfolio、build-public。</w:t>
      </w:r>
    </w:p>
    <w:p>
      <w:pPr>
        <w:pStyle w:val="Heading2"/>
      </w:pPr>
      <w:r>
        <w:t>12.3 可觀測性</w:t>
      </w:r>
    </w:p>
    <w:p>
      <w:r>
        <w:t>每個 application command 應產生 ExecutionRecord，記錄 start/end、status、input refs、output refs、warnings、error class、engine version、policy versions。敏感來源內容不得直接寫入 log。</w:t>
      </w:r>
    </w:p>
    <w:p>
      <w:pPr>
        <w:pStyle w:val="Heading1"/>
      </w:pPr>
      <w:r>
        <w:t>13. 安全、授權與資料保護</w:t>
      </w:r>
    </w:p>
    <w:p>
      <w:pPr>
        <w:pStyle w:val="ListBullet"/>
      </w:pPr>
      <w:r>
        <w:t>來源內容保存需遵守授權；無權保存全文時，只保存 metadata、hash、locator 與允許的摘要。</w:t>
      </w:r>
    </w:p>
    <w:p>
      <w:pPr>
        <w:pStyle w:val="ListBullet"/>
      </w:pPr>
      <w:r>
        <w:t>API key 與 provider token 不得進入 repository、Snapshot 或 public JSON。</w:t>
      </w:r>
    </w:p>
    <w:p>
      <w:pPr>
        <w:pStyle w:val="ListBullet"/>
      </w:pPr>
      <w:r>
        <w:t>PublicBuilder 使用 allowlist schema，禁止直接序列化內部 model。</w:t>
      </w:r>
    </w:p>
    <w:p>
      <w:pPr>
        <w:pStyle w:val="ListBullet"/>
      </w:pPr>
      <w:r>
        <w:t>人工研究備註可標記 private；private 欄位不可被 public build 發布。</w:t>
      </w:r>
    </w:p>
    <w:p>
      <w:pPr>
        <w:pStyle w:val="ListBullet"/>
      </w:pPr>
      <w:r>
        <w:t>所有外部輸入視為不可信，需 parser sandbox / size limit / content validation。</w:t>
      </w:r>
    </w:p>
    <w:p>
      <w:pPr>
        <w:pStyle w:val="Heading1"/>
      </w:pPr>
      <w:r>
        <w:t>14. v0.8–v1.0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52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主題</w:t>
            </w:r>
          </w:p>
        </w:tc>
        <w:tc>
          <w:tcPr>
            <w:tcW w:type="dxa" w:w="252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主要交付</w:t>
            </w:r>
          </w:p>
        </w:tc>
        <w:tc>
          <w:tcPr>
            <w:tcW w:type="dxa" w:w="252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Release Gate</w:t>
            </w:r>
          </w:p>
        </w:tc>
      </w:tr>
      <w:tr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v0.8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Evidence Engine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RawDocument/Chunk/Claim/EvidenceLink、extraction run、admission workflow、dynamic Driver/Catalyst observations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來源到研究更新完整追溯；candidate 不可繞過 admission。</w:t>
            </w:r>
          </w:p>
        </w:tc>
      </w:tr>
      <w:tr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v0.9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Scenario + Portfolio Foundation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多 Shock aggregation、Scenario comparison、Portfolio/Position、ETF look-through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Bull/Base/Bear 可比較；portfolio coverage 與 double-counting policy 通過。</w:t>
            </w:r>
          </w:p>
        </w:tc>
      </w:tr>
      <w:tr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v0.10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Architecture Hardening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Repository protocols、SQLite adapter、public schema v1、migration framework、audit events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JSON/SQLite contract tests；舊資料可 migration。</w:t>
            </w:r>
          </w:p>
        </w:tc>
      </w:tr>
      <w:tr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v1.0 RC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Calibration &amp; Governance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Sensitivity records、policy versioning、golden fixtures、完整 docs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移除 production hard-coded demo coefficients；所有 release gates PASS。</w:t>
            </w:r>
          </w:p>
        </w:tc>
      </w:tr>
      <w:tr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v1.0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Stable Research OS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版本化 contracts、正式 CLI、public artifacts、architecture ADRs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Semantic versioning 與 compatibility policy 生效。</w:t>
            </w:r>
          </w:p>
        </w:tc>
      </w:tr>
    </w:tbl>
    <w:p/>
    <w:p>
      <w:r>
        <w:t>版本編號可依實際節奏調整，但能力依賴順序不應顛倒：Evidence → Scenario/Portfolio → Hardening → Calibration → Stable v1.0。</w:t>
      </w:r>
    </w:p>
    <w:p>
      <w:pPr>
        <w:pStyle w:val="Heading1"/>
      </w:pPr>
      <w:r>
        <w:t>15. v1.0 驗收清單</w:t>
      </w:r>
    </w:p>
    <w:p>
      <w:pPr>
        <w:pStyle w:val="ListBullet"/>
      </w:pPr>
      <w:r>
        <w:t>☐ 每個 published Driver / Catalyst 可列出 supporting 與 contradicting claims。</w:t>
      </w:r>
    </w:p>
    <w:p>
      <w:pPr>
        <w:pStyle w:val="ListBullet"/>
      </w:pPr>
      <w:r>
        <w:t>☐ 每個 Claim 可定位到 Source / DocumentChunk，並保留 extraction 與 admission metadata。</w:t>
      </w:r>
    </w:p>
    <w:p>
      <w:pPr>
        <w:pStyle w:val="ListBullet"/>
      </w:pPr>
      <w:r>
        <w:t>☐ 所有 propagating IndustryEdge 符合 cause → effect，且 graph validation 無非法 cycle。</w:t>
      </w:r>
    </w:p>
    <w:p>
      <w:pPr>
        <w:pStyle w:val="ListBullet"/>
      </w:pPr>
      <w:r>
        <w:t>☐ Impact 結果不再依賴未命名硬編碼係數；必須引用具名 policy / sensitivity。</w:t>
      </w:r>
    </w:p>
    <w:p>
      <w:pPr>
        <w:pStyle w:val="ListBullet"/>
      </w:pPr>
      <w:r>
        <w:t>☐ Bull/Base/Bear 或自訂多 Shock Scenario 可重現、可比較。</w:t>
      </w:r>
    </w:p>
    <w:p>
      <w:pPr>
        <w:pStyle w:val="ListBullet"/>
      </w:pPr>
      <w:r>
        <w:t>☐ ETF 與 Portfolio 結果明確揭露 coverage、missing data、contributors 與 confidence。</w:t>
      </w:r>
    </w:p>
    <w:p>
      <w:pPr>
        <w:pStyle w:val="ListBullet"/>
      </w:pPr>
      <w:r>
        <w:t>☐ JSON 與 SQLite adapters 通過相同 repository contract tests。</w:t>
      </w:r>
    </w:p>
    <w:p>
      <w:pPr>
        <w:pStyle w:val="ListBullet"/>
      </w:pPr>
      <w:r>
        <w:t>☐ Public artifacts 具有 schema_version，且不洩漏 internal/private fields。</w:t>
      </w:r>
    </w:p>
    <w:p>
      <w:pPr>
        <w:pStyle w:val="ListBullet"/>
      </w:pPr>
      <w:r>
        <w:t>☐ 從 v0.7 fixture 可經 migration 升級到 v1.0。</w:t>
      </w:r>
    </w:p>
    <w:p>
      <w:pPr>
        <w:pStyle w:val="ListBullet"/>
      </w:pPr>
      <w:r>
        <w:t>☐ 完整 verify_release.sh 在乾淨環境通過 ruff、pytest、CLI smoke、migration、public build。</w:t>
      </w:r>
    </w:p>
    <w:p>
      <w:pPr>
        <w:pStyle w:val="ListBullet"/>
      </w:pPr>
      <w:r>
        <w:t>☐ Architecture Decision Records 與維運文件完成。</w:t>
      </w:r>
    </w:p>
    <w:p>
      <w:pPr>
        <w:pStyle w:val="Heading1"/>
      </w:pPr>
      <w:r>
        <w:t>16. Architecture Decision Records（初始集合）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ADR</w:t>
            </w:r>
          </w:p>
        </w:tc>
        <w:tc>
          <w:tcPr>
            <w:tcW w:type="dxa" w:w="336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決策</w:t>
            </w:r>
          </w:p>
        </w:tc>
        <w:tc>
          <w:tcPr>
            <w:tcW w:type="dxa" w:w="336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狀態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ADR-001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採 Modular Monolith，而非 v1.0 前拆成微服務。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Accepted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ADR-002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Industry propagation edge 固定 Cause → Effect。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Accepted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ADR-003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Published results 使用 immutable Snapshot；Execution 與 Snapshot 分離。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Accepted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ADR-004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LLM extraction 僅產生 candidate，不可直接改寫 published research。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Proposed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ADR-005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Domain/Engine 透過 Repository / Provider ports 隔離 storage 與外部服務。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Proposed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ADR-006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Public JSON 採獨立 versioned schema 與 allowlist builder。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Proposed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ADR-007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Multi-path impact 必須由顯式 aggregation policy 控制。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Proposed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ADR-008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JSON 為可讀 source-of-truth；SQLite 為支援的 indexed adapter。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Proposed</w:t>
            </w:r>
          </w:p>
        </w:tc>
      </w:tr>
    </w:tbl>
    <w:p/>
    <w:p>
      <w:pPr>
        <w:pStyle w:val="Heading1"/>
      </w:pPr>
      <w:r>
        <w:t>17. 主要風險與緩解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風險</w:t>
            </w:r>
          </w:p>
        </w:tc>
        <w:tc>
          <w:tcPr>
            <w:tcW w:type="dxa" w:w="336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可能結果</w:t>
            </w:r>
          </w:p>
        </w:tc>
        <w:tc>
          <w:tcPr>
            <w:tcW w:type="dxa" w:w="336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緩解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Evidence extraction hallucination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錯誤 Claim 影響研究與估值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candidate/admission 分離、來源定位、人工覆核門檻。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Graph double counting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多路徑重複放大 Impact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dependency-aware aggregation、path attribution、golden fixtures。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Coverage 被誤解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ETF/Portfolio 結果看似精確但資料不完整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coverage 置頂、missing contributors、最低 coverage policy。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Schema drift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CLI/public/adapter 不一致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versioned schema、contract tests、migration framework。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過早服務化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複雜度高於價值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維持 modular monolith，僅在明確 scaling/ownership 壓力下拆分。</w:t>
            </w:r>
          </w:p>
        </w:tc>
      </w:tr>
      <w:tr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模型係數缺乏校準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Impact 被當成預測</w:t>
            </w:r>
          </w:p>
        </w:tc>
        <w:tc>
          <w:tcPr>
            <w:tcW w:type="dxa" w:w="33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Demo/Production policy 分離、backtest、confidence 與 methodology。</w:t>
            </w:r>
          </w:p>
        </w:tc>
      </w:tr>
    </w:tbl>
    <w:p/>
    <w:p>
      <w:pPr>
        <w:pStyle w:val="Heading1"/>
      </w:pPr>
      <w:r>
        <w:t>18. 建議實作順序（下一個 30–60 天）</w:t>
      </w:r>
    </w:p>
    <w:p>
      <w:pPr>
        <w:pStyle w:val="ListNumber"/>
      </w:pPr>
      <w:r>
        <w:t>建立 docs/architecture-v1.md 與 docs/adr/，將本文件內容轉為 repository 內可版本控制文件。</w:t>
      </w:r>
    </w:p>
    <w:p>
      <w:pPr>
        <w:pStyle w:val="ListNumber"/>
      </w:pPr>
      <w:r>
        <w:t>新增 schema_version 與 ExecutionRecord 基礎欄位，但維持 v0.7 CLI 相容。</w:t>
      </w:r>
    </w:p>
    <w:p>
      <w:pPr>
        <w:pStyle w:val="ListNumber"/>
      </w:pPr>
      <w:r>
        <w:t>定義 ports/repositories.py 的 Protocol，先由現有 JSON repository adapter 實作。</w:t>
      </w:r>
    </w:p>
    <w:p>
      <w:pPr>
        <w:pStyle w:val="ListNumber"/>
      </w:pPr>
      <w:r>
        <w:t>完成 Evidence Domain 的最小模型：RawDocument、DocumentChunk、Claim、EvidenceLink、AdmissionDecision。</w:t>
      </w:r>
    </w:p>
    <w:p>
      <w:pPr>
        <w:pStyle w:val="ListNumber"/>
      </w:pPr>
      <w:r>
        <w:t>建立 candidate → admitted 的 validator 與 CLI inspection，不先做全自動網路 ingestion。</w:t>
      </w:r>
    </w:p>
    <w:p>
      <w:pPr>
        <w:pStyle w:val="ListNumber"/>
      </w:pPr>
      <w:r>
        <w:t>將 ResearchDriver / Catalyst 擴充為 observation + snapshot 模式。</w:t>
      </w:r>
    </w:p>
    <w:p>
      <w:pPr>
        <w:pStyle w:val="ListNumber"/>
      </w:pPr>
      <w:r>
        <w:t>將 v0.7 hard-coded financial mapping 包裝為 DemoModelPolicy，為 Sensitivity 接口預留位置。</w:t>
      </w:r>
    </w:p>
    <w:p>
      <w:pPr>
        <w:pStyle w:val="ListNumber"/>
      </w:pPr>
      <w:r>
        <w:t>新增 ScenarioEngine 與 multi-shock aggregation policy，再進入 Portfolio Foundation。</w:t>
      </w:r>
    </w:p>
    <w:p>
      <w:pPr>
        <w:pStyle w:val="Heading1"/>
      </w:pPr>
      <w:r>
        <w:t>附錄 A：建議 Public Artifact 結構</w:t>
      </w:r>
    </w:p>
    <w:p>
      <w:pPr>
        <w:pStyle w:val="CodeBlock"/>
      </w:pPr>
      <w:r>
        <w:t>data/public/v1/</w:t>
        <w:br/>
        <w:t xml:space="preserve">  manifest.json</w:t>
        <w:br/>
        <w:t xml:space="preserve">  search.json</w:t>
        <w:br/>
        <w:t xml:space="preserve">  entities/{entity_id}.json</w:t>
        <w:br/>
        <w:t xml:space="preserve">  research/{company_id}.json</w:t>
        <w:br/>
        <w:t xml:space="preserve">  etfs/{etf_id}.json</w:t>
        <w:br/>
        <w:t xml:space="preserve">  scenarios/{scenario_id}.json</w:t>
        <w:br/>
        <w:t xml:space="preserve">  portfolios/{portfolio_id}.json</w:t>
        <w:br/>
        <w:t xml:space="preserve">  schemas/*.json</w:t>
      </w:r>
    </w:p>
    <w:p>
      <w:pPr>
        <w:pStyle w:val="Heading1"/>
      </w:pPr>
      <w:r>
        <w:t>附錄 B：命名與狀態列舉建議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類別</w:t>
            </w:r>
          </w:p>
        </w:tc>
        <w:tc>
          <w:tcPr>
            <w:tcW w:type="dxa" w:w="504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建議值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Admission status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candidate, admitted, rejected, needs_review, superseded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Driver trend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rising, stable, falling, uncertain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Catalyst status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identified, expected, delayed, occurred, cancelled, invalidated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Snapshot status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draft, reviewed, published, superseded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Execution status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queued, running, succeeded, partial, failed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Shock direction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positive, negative, mixed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Aggregation policy</w:t>
            </w:r>
          </w:p>
        </w:tc>
        <w:tc>
          <w:tcPr>
            <w:tcW w:type="dxa" w:w="50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strongest_path, independent_sum, correlated_sum, bottleneck</w:t>
            </w:r>
          </w:p>
        </w:tc>
      </w:tr>
    </w:tbl>
    <w:p/>
    <w:p>
      <w:pPr>
        <w:pStyle w:val="Heading1"/>
      </w:pPr>
      <w:r>
        <w:t>附錄 C：Definition of Done — 每個新功能</w:t>
      </w:r>
    </w:p>
    <w:p>
      <w:pPr>
        <w:pStyle w:val="ListBullet"/>
      </w:pPr>
      <w:r>
        <w:t>Domain model 與 invariants 已定義。</w:t>
      </w:r>
    </w:p>
    <w:p>
      <w:pPr>
        <w:pStyle w:val="ListBullet"/>
      </w:pPr>
      <w:r>
        <w:t>Repository contract 與至少一個 adapter 已完成。</w:t>
      </w:r>
    </w:p>
    <w:p>
      <w:pPr>
        <w:pStyle w:val="ListBullet"/>
      </w:pPr>
      <w:r>
        <w:t>Application command/query 與 CLI contract 已完成。</w:t>
      </w:r>
    </w:p>
    <w:p>
      <w:pPr>
        <w:pStyle w:val="ListBullet"/>
      </w:pPr>
      <w:r>
        <w:t>Unit、contract、integration、golden tests 已完成。</w:t>
      </w:r>
    </w:p>
    <w:p>
      <w:pPr>
        <w:pStyle w:val="ListBullet"/>
      </w:pPr>
      <w:r>
        <w:t>Validation 與 migration 已完成。</w:t>
      </w:r>
    </w:p>
    <w:p>
      <w:pPr>
        <w:pStyle w:val="ListBullet"/>
      </w:pPr>
      <w:r>
        <w:t>Public schema 影響已評估。</w:t>
      </w:r>
    </w:p>
    <w:p>
      <w:pPr>
        <w:pStyle w:val="ListBullet"/>
      </w:pPr>
      <w:r>
        <w:t>Methodology、coverage、warnings 與 audit metadata 已輸出。</w:t>
      </w:r>
    </w:p>
    <w:p>
      <w:pPr>
        <w:pStyle w:val="ListBullet"/>
      </w:pPr>
      <w:r>
        <w:t>README / architecture / ADR / changelog 已更新。</w:t>
      </w:r>
    </w:p>
    <w:p>
      <w:pPr>
        <w:pStyle w:val="ListBullet"/>
      </w:pPr>
      <w:r>
        <w:t>verify_release.sh 在 clean venv 通過。</w:t>
      </w:r>
    </w:p>
    <w:p>
      <w:pPr>
        <w:pStyle w:val="Heading1"/>
      </w:pPr>
      <w:r>
        <w:t>結語</w:t>
      </w:r>
    </w:p>
    <w:p>
      <w:r>
        <w:t>AXIOM v1.0 的關鍵不是模型數量，而是每一個結論都能被解釋、重現與治理。當 Evidence、Research、Impact、Valuation、ETF 與 Portfolio 共享一致的 ID、時間、版本與 Snapshot 語義，AXIOM 才真正成為可長期演進的 Investment Research Operating System。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AXIOM Architecture v1.0 — Design Blueprint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PingFang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PingFang TC"/>
      <w:b/>
      <w:bCs/>
      <w:color w:val="19375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PingFang TC"/>
      <w:b/>
      <w:bCs/>
      <w:color w:val="234B6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PingFang TC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PingFang TC"/>
      <w:b/>
      <w:color w:val="19375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PingFang T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360" w:right="144"/>
      <w:shd w:fill="F3F5F7"/>
    </w:pPr>
    <w:rPr>
      <w:rFonts w:ascii="Menlo" w:hAnsi="Menlo" w:eastAsia="Menl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AXIOM Architecture v1.0 — Design Blueprint</dc:title>
  <dc:subject>Technical architecture blueprint for AXIOM Research Engine v1.0</dc:subject>
  <dc:creator>AXIOM Project</dc:creator>
  <cp:keywords>AXIOM, architecture, investment research, evidence engine, impact engine, ETF, portfolio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