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  <w:jc w:val="center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bookmarkEnd w:id="24"/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</w:t>
      </w:r>
      <w:r>
        <w:t xml:space="preserve"> </w:t>
      </w:r>
      <w:r>
        <w:t xml:space="preserve">Research 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Start w:id="25" w:name="abstract"/>
    <w:p>
      <w:pPr>
        <w:pStyle w:val="1"/>
        <w:spacing w:line="360" w:lineRule="auto" w:after="80" w:before="0"/>
        <w:ind w:firstLine="0"/>
        <w:jc w:val="left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</w:t>
      </w:r>
      <w:r>
        <w:t xml:space="preserve"> </w:t>
      </w:r>
      <w:r>
        <w:t xml:space="preserve">article reported pan-cancer analyses across 1,616 pediatric and 2,203</w:t>
      </w:r>
      <w:r>
        <w:t xml:space="preserve"> </w:t>
      </w:r>
      <w:r>
        <w:t xml:space="preserve">adult 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</w:t>
      </w:r>
      <w:r>
        <w:t xml:space="preserve"> </w:t>
      </w:r>
      <w:r>
        <w:t xml:space="preserve">genes, distinct hotspot patterns around RAG recombination signal</w:t>
      </w:r>
      <w:r>
        <w:t xml:space="preserve"> </w:t>
      </w:r>
      <w:r>
        <w:t xml:space="preserve">sequences, and signature-level evidence that RAG-mediated mutagenesis</w:t>
      </w:r>
      <w:r>
        <w:t xml:space="preserve"> </w:t>
      </w:r>
      <w:r>
        <w:t xml:space="preserve">contributes to 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</w:t>
      </w:r>
      <w:r>
        <w:t xml:space="preserve"> </w:t>
      </w:r>
      <w:r>
        <w:t xml:space="preserve">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  <w:jc w:val="left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</w:t>
      </w:r>
      <w:r>
        <w:t xml:space="preserve"> </w:t>
      </w:r>
      <w:r>
        <w:t xml:space="preserve">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</w:t>
      </w:r>
      <w:r>
        <w:t xml:space="preserve"> </w:t>
      </w:r>
      <w:r>
        <w:t xml:space="preserve">especially useful as a formatting example because it combines</w:t>
      </w:r>
      <w:r>
        <w:t xml:space="preserve"> </w:t>
      </w:r>
      <w:r>
        <w:t xml:space="preserve">large-cohort genomics, mutation signatures, and clinically relevant</w:t>
      </w:r>
      <w:r>
        <w:t xml:space="preserve"> </w:t>
      </w:r>
      <w:r>
        <w:t xml:space="preserve">language in a conventional IMRaD 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</w:t>
      </w:r>
      <w:r>
        <w:t xml:space="preserve"> </w:t>
      </w:r>
      <w:r>
        <w:t xml:space="preserve">Instead, it uses publicly accessible metadata and abstract-level</w:t>
      </w:r>
      <w:r>
        <w:t xml:space="preserve"> </w:t>
      </w:r>
      <w:r>
        <w:t xml:space="preserve">findings to 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 The goal is to give repository users a</w:t>
      </w:r>
      <w:r>
        <w:t xml:space="preserve"> </w:t>
      </w:r>
      <w:r>
        <w:t xml:space="preserve">ready-to-render SCI template with both PDF and Word outputs while</w:t>
      </w:r>
      <w:r>
        <w:t xml:space="preserve"> </w:t>
      </w:r>
      <w:r>
        <w:t xml:space="preserve">keeping the sample text openly 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  <w:jc w:val="left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</w:t>
      </w:r>
      <w:r>
        <w:t xml:space="preserve"> </w:t>
      </w:r>
      <w:r>
        <w:t xml:space="preserve">figures, supplementary tables, or protected full-text material from</w:t>
      </w:r>
      <w:r>
        <w:t xml:space="preserve"> </w:t>
      </w:r>
      <w:r>
        <w:t xml:space="preserve">other 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</w:t>
      </w:r>
      <w:r>
        <w:t xml:space="preserve"> </w:t>
      </w:r>
      <w:r>
        <w:t xml:space="preserve">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</w:t>
      </w:r>
      <w:r>
        <w:t xml:space="preserve"> </w:t>
      </w:r>
      <w:r>
        <w:t xml:space="preserve">temporary Markdown at runtime for Pandoc-based DOCX export. The Markdown</w:t>
      </w:r>
      <w:r>
        <w:t xml:space="preserve"> </w:t>
      </w:r>
      <w:r>
        <w:t xml:space="preserve">is treated only as an intermediate representation and is not stored as a</w:t>
      </w:r>
      <w:r>
        <w:t xml:space="preserve"> </w:t>
      </w:r>
      <w:r>
        <w:t xml:space="preserve">second editable 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</w:t>
      </w:r>
      <w:r>
        <w:t xml:space="preserve"> </w:t>
      </w:r>
      <w:r>
        <w:t xml:space="preserve">rendering uses Pandoc 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</w:t>
      </w:r>
      <w:r>
        <w:t xml:space="preserve"> </w:t>
      </w:r>
      <w:r>
        <w:t xml:space="preserve">CSL file, after which a post-processing step normalizes line spacing,</w:t>
      </w:r>
      <w:r>
        <w:t xml:space="preserve"> </w:t>
      </w:r>
      <w:r>
        <w:t xml:space="preserve">paragraph spacing, and bibliography placement so that the Word output</w:t>
      </w:r>
      <w:r>
        <w:t xml:space="preserve"> </w:t>
      </w:r>
      <w:r>
        <w:t xml:space="preserve">remains visually close to the LaTeX PDF.</w:t>
      </w:r>
    </w:p>
    <w:p>
      <w:pPr>
        <w:pStyle w:val="BodyText"/>
        <w:spacing w:line="360" w:lineRule="auto" w:after="80" w:before="0"/>
        <w:ind w:firstLine="0"/>
      </w:pPr>
      <w:r>
        <w:t xml:space="preserve">To keep the PDF and DOCX outputs exercising the same table-rendering</w:t>
      </w:r>
      <w:r>
        <w:t xml:space="preserve"> </w:t>
      </w:r>
      <w:r>
        <w:t xml:space="preserve">path, the demo manuscript also includes one compact resource table built</w:t>
      </w:r>
      <w:r>
        <w:t xml:space="preserve"> </w:t>
      </w:r>
      <w:r>
        <w:t xml:space="preserve">directly from the LaTeX source of truth.</w:t>
      </w:r>
    </w:p>
    <w:p>
      <w:pPr>
        <w:pStyle w:val="TableCaption"/>
        <w:spacing w:line="360" w:lineRule="auto" w:after="80" w:before="0"/>
        <w:ind w:firstLine="0"/>
      </w:pPr>
      <w:r>
        <w:t xml:space="preserve">Public resources used in the demo build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resources used in the demo build pipeline"/>
        <w:tblBorders>
          <w:top w:val="single" w:sz="8" w:space="0" w:color="auto"/>
          <w:bottom w:val="single" w:sz="8" w:space="0" w:color="auto"/>
          <w:insideH w:val="single" w:sz="8" w:space="0" w:color="auto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 metadata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manuscript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citation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reference.docx + manuscript.csl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styling</w:t>
            </w:r>
          </w:p>
        </w:tc>
      </w:tr>
    </w:tbl>
    <w:bookmarkEnd w:id="27"/>
    <w:bookmarkStart w:id="28" w:name="results"/>
    <w:p>
      <w:pPr>
        <w:pStyle w:val="1"/>
        <w:spacing w:line="360" w:lineRule="auto" w:after="80" w:before="0"/>
        <w:ind w:firstLine="0"/>
        <w:jc w:val="left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 Compared with adult</w:t>
      </w:r>
      <w:r>
        <w:t xml:space="preserve"> </w:t>
      </w:r>
      <w:r>
        <w:t xml:space="preserve">brain and solid tumors, most pediatric solid cancers carried</w:t>
      </w:r>
      <w:r>
        <w:t xml:space="preserve"> </w:t>
      </w:r>
      <w:r>
        <w:t xml:space="preserve">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To make formula support easier to review by eye, the demo manuscript</w:t>
      </w:r>
      <w:r>
        <w:t xml:space="preserve"> </w:t>
      </w:r>
      <w:r>
        <w:t xml:space="preserve">now includes a compact set of representative expressions. 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denote a rank-based association summary, let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denote a between-group burden shift, 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denote an estimated scaling factor, and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denote the structural-variation count for sample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A log-scaled burden summary can then be written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Using cohort-level mean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the standardized burden score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If multiple signature-derived components are combined into a single</w:t>
      </w:r>
      <w:r>
        <w:t xml:space="preserve"> </w:t>
      </w:r>
      <w:r>
        <w:t xml:space="preserve">review score, one convenient weighted summary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For a simple</w:t>
      </w:r>
      <w:r>
        <w:t xml:space="preserve"> </w:t>
      </w:r>
      <w:r>
        <w:t xml:space="preserve">threshold-based flag, the indicator variable can be expressed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w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Together, these examples cover</w:t>
      </w:r>
      <w:r>
        <w:t xml:space="preserve"> </w:t>
      </w:r>
      <w:r>
        <w:t xml:space="preserve">inline Greek letters, subscripts, superscripts, fractions, summation,</w:t>
      </w:r>
      <w:r>
        <w:t xml:space="preserve"> </w:t>
      </w:r>
      <w:r>
        <w:t xml:space="preserve">delimiters, and a piecewise definition in both PDF and DOCX export.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</w:t>
      </w:r>
      <w:r>
        <w:t xml:space="preserve"> </w:t>
      </w:r>
      <w:r>
        <w:t xml:space="preserve">suggested that pediatric structural variation more often tracks direct</w:t>
      </w:r>
      <w:r>
        <w:t xml:space="preserve"> </w:t>
      </w:r>
      <w:r>
        <w:t xml:space="preserve">driver selection, whereas adult rearrangement landscapes carry a larger</w:t>
      </w:r>
      <w:r>
        <w:t xml:space="preserve"> </w:t>
      </w:r>
      <w:r>
        <w:t xml:space="preserve">imprint 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  <w:jc w:val="left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  <w:jc w:val="left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 complete SCI-style writing workflow</w:t>
      </w:r>
      <w:r>
        <w:t xml:space="preserve"> </w:t>
      </w:r>
      <w:r>
        <w:t xml:space="preserve">with one public source of truth and dual PDF/DOCX outputs. The sample</w:t>
      </w:r>
      <w:r>
        <w:t xml:space="preserve"> </w:t>
      </w:r>
      <w:r>
        <w:t xml:space="preserve">text highlights how structural-variation profiling reveals</w:t>
      </w:r>
      <w:r>
        <w:t xml:space="preserve"> </w:t>
      </w:r>
      <w:r>
        <w:t xml:space="preserve">disease-specific patterns, driver disruption, RAG-associated hotspots,</w:t>
      </w:r>
      <w:r>
        <w:t xml:space="preserve"> </w:t>
      </w:r>
      <w:r>
        <w:t xml:space="preserve">and ongoing clonal evolution in pediatric cancer, while the project</w:t>
      </w:r>
      <w:r>
        <w:t xml:space="preserve"> </w:t>
      </w:r>
      <w:r>
        <w:t xml:space="preserve">structure itself serves as a reusable starting point for future</w:t>
      </w:r>
      <w:r>
        <w:t xml:space="preserve"> </w:t>
      </w:r>
      <w:r>
        <w:t xml:space="preserve">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  <w:jc w:val="left"/>
      </w:pPr>
      <w:r>
        <w:t xml:space="preserve">Additional</w:t>
      </w:r>
      <w:r>
        <w:t xml:space="preserve"> </w:t>
      </w:r>
      <w:r>
        <w:t xml:space="preserve">information</w:t>
      </w:r>
    </w:p>
    <w:bookmarkStart w:id="31" w:name="source-statement"/>
    <w:p>
      <w:pPr>
        <w:pStyle w:val="2"/>
        <w:spacing w:line="360" w:lineRule="auto" w:after="80" w:before="0"/>
        <w:ind w:firstLine="0"/>
        <w:jc w:val="left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</w:t>
      </w:r>
      <w:r>
        <w:t xml:space="preserve"> </w:t>
      </w:r>
      <w:r>
        <w:t xml:space="preserve">metadata and abstract-level findings of Greenhalgh et al.,</w:t>
      </w:r>
      <w:r>
        <w:t xml:space="preserve"> </w:t>
      </w:r>
      <w:r>
        <w:rPr>
          <w:i/>
          <w:iCs/>
        </w:rPr>
        <w:t xml:space="preserve">Cancer</w:t>
      </w:r>
      <w:r>
        <w:rPr>
          <w:i/>
          <w:iCs/>
        </w:rP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 original full</w:t>
      </w:r>
      <w:r>
        <w:t xml:space="preserve"> </w:t>
      </w:r>
      <w:r>
        <w:t xml:space="preserve">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  <w:jc w:val="left"/>
      </w:pPr>
      <w:r>
        <w:t xml:space="preserve">Availability of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</w:t>
      </w:r>
      <w:r>
        <w:t xml:space="preserve"> </w:t>
      </w:r>
      <w:r>
        <w:t xml:space="preserve">project are stored in this repository, with manuscript content</w:t>
      </w:r>
      <w:r>
        <w:t xml:space="preserve"> </w:t>
      </w:r>
      <w:r>
        <w:t xml:space="preserve">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</w:t>
      </w:r>
      <w:r>
        <w:t xml:space="preserve"> </w:t>
      </w:r>
      <w:r>
        <w:t xml:space="preserve">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</w:t>
      </w:r>
      <w:r>
        <w:t xml:space="preserve"> </w:t>
      </w:r>
      <w:r>
        <w:t xml:space="preserve">build 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  <w:jc w:val="left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</w:t>
      </w:r>
      <w:r>
        <w:t xml:space="preserve"> </w:t>
      </w:r>
      <w:r>
        <w:t xml:space="preserve">manuscript. 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  <w:jc w:val="left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1"/>
        <w:spacing w:line="360" w:lineRule="auto" w:after="80" w:before="0"/>
        <w:ind w:firstLine="0"/>
        <w:jc w:val="left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 Greenhalgh, R., Brady, S. W., Yang, W.,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landscape</w:t>
      </w:r>
      <w:r>
        <w:t xml:space="preserve"> </w:t>
      </w:r>
      <w:r>
        <w:t xml:space="preserve">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(2026)</w:t>
      </w:r>
      <w:r>
        <w:t xml:space="preserve"> </w:t>
      </w:r>
      <w:r>
        <w:t xml:space="preserve">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 Gröbner, S. N., Worst, B. C., Weischenfeldt, J.,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</w:t>
      </w:r>
      <w:r>
        <w:t xml:space="preserve"> </w:t>
      </w:r>
      <w:r>
        <w:t xml:space="preserve">landscape of genomic alterations across childhood cancers.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 doi:</w:t>
      </w:r>
      <w:hyperlink r:id="rId39">
        <w:r>
          <w:rPr>
            <w:rStyle w:val="a4"/>
          </w:rPr>
          <w:t xml:space="preserve">10.1038/nature25480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3. Ma, X., Liu, Y., Liu, Y.,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Pan-cancer genome and</w:t>
      </w:r>
      <w:r>
        <w:t xml:space="preserve"> </w:t>
      </w:r>
      <w:r>
        <w:t xml:space="preserve">transcriptome analyses of 1,699 paediatric leukaemias and solid tumours.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 doi:</w:t>
      </w:r>
      <w:hyperlink r:id="rId41">
        <w:r>
          <w:rPr>
            <w:rStyle w:val="a4"/>
          </w:rPr>
          <w:t xml:space="preserve">10.1038/nature25795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4. Li, Y., Roberts, N. D., Wala, J. A.,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Patterns of</w:t>
      </w:r>
      <w:r>
        <w:t xml:space="preserve"> </w:t>
      </w:r>
      <w:r>
        <w:t xml:space="preserve">somatic structural variation in human cancer genomes.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 doi:</w:t>
      </w:r>
      <w:hyperlink r:id="rId43">
        <w:r>
          <w:rPr>
            <w:rStyle w:val="a4"/>
          </w:rPr>
          <w:t xml:space="preserve">10.1038/s41586-019-1913-9</w:t>
        </w:r>
      </w:hyperlink>
      <w:r>
        <w:t xml:space="preserve">.</w:t>
      </w:r>
    </w:p>
    <w:p>
      <w:pPr>
        <w:pStyle w:val="1"/>
        <w:spacing w:line="360" w:lineRule="auto" w:after="80" w:before="0"/>
        <w:ind w:firstLine="0"/>
        <w:jc w:val="left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</w:t>
      </w:r>
      <w:r>
        <w:t xml:space="preserve"> </w:t>
      </w:r>
      <w:r>
        <w:t xml:space="preserve">can 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</w:t>
      </w:r>
      <w:r>
        <w:t xml:space="preserve"> </w:t>
      </w:r>
      <w:r>
        <w:t xml:space="preserve">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  <w:jc w:val="left"/>
      </w:pPr>
      <w:r>
        <w:t xml:space="preserve">Supplementary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2026-04-06T07:36:47Z</dcterms:created>
  <dcterms:modified xsi:type="dcterms:W3CDTF">2026-04-06T07:36:47Z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