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contemporary society, power is needed everywhere in our daily life. Although not familiar to most of us, to create power, the generator needs momentum from the engine that produces kinetic energy from some sources. One type of combustion engine, the gas turbine, is a crucial component of the power generating process across all industries, such as aircrafts, trains, and electricity plants. Connected to the generator, the gas turbine drives the generator to function by pressurized gas: the air is drawn to the turbine from its suction and heated by fuel source combustion; then, as the heated air expands, the motion is made by the turbine and is connected to the generator to produce electricity.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Transforming pressure energy to kinetic energy, the turbine blades are the key element of a gas turbine. As it extracts energy from the high temperature and high pressure gas, it is also the limiting part of a gas turbine, as it needs to withstand the severe environment. To protect the turbine blades, an internal cooling system is incorporated in the turbine, extracting cooling air from the compressor and passing through the airfoils to cool the blades.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blade deformation to some extent is acceptable, an extreme deformation can largely reduce the length of the engine life cycle, and the life of the blades themselves will decrease by half only by a 30 degree celsius off in the blade temperature prediction. As a result, the design of the turbine blades requires careful consideration on the choice of materials and the cooling schedule. Based on these two aspects, six components need to be examined: Young’s modulus (which quantified how the material can stretch under stress), Poisson’s rate (which measures how the material tends to expand perpendicular to the direction of compression), Coefficient of thermal expansion (abbreviated as CTE, which measures the relationship between material expansion and temperature), thermal conductivity, internal cooling air temperature, and air pressure load on suction.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all the considerations on metal materials and cooling schedule, we aim to find an optimal design for the turbine blades to minimize blade stress and deformation, measured by displacement. To mathematically formulate our purpose, there are two goals we need to achieve: firstly, we want to improve the predictive accuracy of the blade stress and displacement. In other words, modeling our data with a Gaussian Process, we want to find the parameters that give us the most similar outputs to those from the pressure and displacement simulator, provided by our aerospace collaborators. Secondly, we want to optimize the acquisition of stress given the constraint on displacement of </w:t>
      </w:r>
      <w:r w:rsidDel="00000000" w:rsidR="00000000" w:rsidRPr="00000000">
        <w:rPr>
          <w:sz w:val="24"/>
          <w:szCs w:val="24"/>
          <w:rtl w:val="0"/>
        </w:rPr>
        <w:t xml:space="preserve">1.3 × 10</w:t>
      </w:r>
      <w:r w:rsidDel="00000000" w:rsidR="00000000" w:rsidRPr="00000000">
        <w:rPr>
          <w:sz w:val="24"/>
          <w:szCs w:val="24"/>
          <w:vertAlign w:val="superscript"/>
          <w:rtl w:val="0"/>
        </w:rPr>
        <w:t xml:space="preserve">-3</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highlight w:val="yellow"/>
        </w:rPr>
      </w:pPr>
      <w:r w:rsidDel="00000000" w:rsidR="00000000" w:rsidRPr="00000000">
        <w:rPr>
          <w:rtl w:val="0"/>
        </w:rPr>
        <w:t xml:space="preserve">To achieve these two goals, we first select the best space-filling method for sampling. Using this method, we generate the initial model to fit our data. Then we update the Gaussian Process based on appropriate acquisition criteria on previously mentioned six features to obtain a better approximation of stress and displacement under the displacement constraint. Finally, we approach our second goal by optimizing the black-box simulator function with the real-valued constraint.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Through the process of this project, t</w:t>
      </w:r>
      <w:r w:rsidDel="00000000" w:rsidR="00000000" w:rsidRPr="00000000">
        <w:rPr>
          <w:rtl w:val="0"/>
        </w:rPr>
        <w:t xml:space="preserve">here are some limitations of time, computational, and budgets we need to consider. With limited sources, the project is limited to a total of 150 computational experimental runs. In addition, since the simulation process incorporates the simulator MatLab function from our collaborators, only some devices in our group can integrate the function to the rest of the code performed in RStudio.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Reference:</w:t>
      </w:r>
    </w:p>
    <w:p w:rsidR="00000000" w:rsidDel="00000000" w:rsidP="00000000" w:rsidRDefault="00000000" w:rsidRPr="00000000" w14:paraId="00000012">
      <w:pPr>
        <w:rPr/>
      </w:pPr>
      <w:hyperlink r:id="rId6">
        <w:r w:rsidDel="00000000" w:rsidR="00000000" w:rsidRPr="00000000">
          <w:rPr>
            <w:color w:val="1155cc"/>
            <w:u w:val="single"/>
            <w:rtl w:val="0"/>
          </w:rPr>
          <w:t xml:space="preserve">https://www.energy.gov/fecm/how-gas-turbine-power-plants-work</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https://studentenergy.org/conversion/gas-turbine/?gclid=CjwKCAjw9e6SBhB2EiwA5myr9kWNx5UoWzfanMTnDR37E8ru-N76QTHkdA5Acukb1MBZ43dCp9cPIBoCRAQQAvD_BwE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1155cc"/>
            <w:u w:val="single"/>
            <w:rtl w:val="0"/>
          </w:rPr>
          <w:t xml:space="preserve">https://en.wikipedia.org/wiki/Gas_turbine#:~:text=Gas%20turbines%20are%20used%20to,%2C%20gas%20compressors%2C%20and%20tanks</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ergy.gov/fecm/how-gas-turbine-power-plants-work" TargetMode="External"/><Relationship Id="rId7" Type="http://schemas.openxmlformats.org/officeDocument/2006/relationships/hyperlink" Target="https://studentenergy.org/conversion/gas-turbine/?gclid=CjwKCAjw9e6SBhB2EiwA5myr9kWNx5UoWzfanMTnDR37E8ru-N76QTHkdA5Acukb1MBZ43dCp9cPIBoCRAQQAvD_BwE" TargetMode="External"/><Relationship Id="rId8" Type="http://schemas.openxmlformats.org/officeDocument/2006/relationships/hyperlink" Target="https://en.wikipedia.org/wiki/Gas_turbine#:~:text=Gas%20turbines%20are%20used%20to,%2C%20gas%20compressors%2C%20and%20t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