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智能面试教练产品需求 PRD</w:t>
      </w:r>
    </w:p>
    <w:p>
      <w:pPr>
        <w:pStyle w:val="Subtitle"/>
      </w:pPr>
      <w:r>
        <w:t>版本 v0.4　更新日期 2026年10月28日　状态 CF-04范围调整已确认 实施核实项另列</w:t>
      </w:r>
    </w:p>
    <w:p>
      <w:pPr/>
      <w:r>
        <w:t>CF-04 2026年10月28日确认：采用已审核知识库的 RAG 检索加大模型生成与评价，不接入实时搜索或模型内置联网；资料不足按既有暂停和不可评规则处理。其余已确认规则沿用，CF-03开始计次补充仍见技术决策记录。</w:t>
      </w:r>
    </w:p>
    <w:p>
      <w:r>
        <w:t>本文件用于产品评审与后续设计，明确面向 Java 开发者的文本面试训练闭环、业务规则及数据边界。Java 为后端技术选型，采用已审核知识库的 RAG 检索加大模型生成与评价，不进行实时搜索。本文不包含代码、数据库结构或接口设计。</w:t>
      </w:r>
    </w:p>
    <w:p>
      <w:pPr>
        <w:pStyle w:val="Heading1"/>
      </w:pPr>
      <w:r>
        <w:t>1 产品目标与目标用户</w:t>
      </w:r>
    </w:p>
    <w:p>
      <w:r>
        <w:t>服务不同经验层级的 Java 开发者，首期聚焦 Java 后端岗位，面向小范围真实用户试用。用户可以围绕简历经历和目标岗位，获得有针对性的训练、逐题反馈和复盘建议。</w:t>
      </w:r>
    </w:p>
    <w:p>
      <w:r>
        <w:t>典型场景包括投递前的岗位训练、面试前的项目表达练习、日常知识查漏补缺，以及回看历史问答。支持所有经验层级不等于首期覆盖所有技术栈和版本，知识覆盖范围见本文件第 5 节。</w:t>
      </w:r>
    </w:p>
    <w:p>
      <w:r>
        <w:t>产品目标是完成可恢复、可解释的训练闭环。评分用于练习反馈，不代表招聘录用概率或正式能力认证。</w:t>
      </w:r>
    </w:p>
    <w:p>
      <w:pPr>
        <w:pStyle w:val="Heading1"/>
      </w:pPr>
      <w:r>
        <w:t>2 核心流程与计划的用途</w:t>
      </w:r>
    </w:p>
    <w:p>
      <w:r>
        <w:t>上传或粘贴简历 → 粘贴 JD → 生成并调整单场面试计划 → 开始面试 → 主问题及有限追问 → 每题综合反馈 → 结束并生成复盘 → 查看历史或删除资料。</w:t>
      </w:r>
    </w:p>
    <w:p>
      <w:r>
        <w:t>面试计划用于确定本场考察主题、各主题主问题数量、难度和预计时长。它将简历经历与 JD 要求转成可执行的考察安排；用户可在开始前调整，开始后按固定范围逐题训练。计划展示考察安排，具体问题在面试中逐题呈现。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31"/>
        <w:gridCol w:w="2696"/>
        <w:gridCol w:w="4370"/>
      </w:tblGrid>
      <w:tr>
        <w:trPr>
          <w:cantSplit/>
          <w:tblHeader/>
        </w:trPr>
        <w:tc>
          <w:tcPr>
            <w:tcW w:type="dxa" w:w="2231"/>
            <w:vAlign w:val="center"/>
            <w:shd w:fill="E8EDF2"/>
          </w:tcPr>
          <w:p>
            <w:pPr>
              <w:spacing w:after="0" w:before="0" w:line="276" w:lineRule="auto"/>
            </w:pPr>
            <w:r>
              <w:rPr>
                <w:b/>
                <w:sz w:val="19"/>
              </w:rPr>
              <w:t>阶段</w:t>
            </w:r>
          </w:p>
        </w:tc>
        <w:tc>
          <w:tcPr>
            <w:tcW w:type="dxa" w:w="2696"/>
            <w:vAlign w:val="center"/>
            <w:shd w:fill="E8EDF2"/>
          </w:tcPr>
          <w:p>
            <w:pPr>
              <w:spacing w:after="0" w:before="0" w:line="276" w:lineRule="auto"/>
            </w:pPr>
            <w:r>
              <w:rPr>
                <w:b/>
                <w:sz w:val="19"/>
              </w:rPr>
              <w:t>主要输入</w:t>
            </w:r>
          </w:p>
        </w:tc>
        <w:tc>
          <w:tcPr>
            <w:tcW w:type="dxa" w:w="4370"/>
            <w:vAlign w:val="center"/>
            <w:shd w:fill="E8EDF2"/>
          </w:tcPr>
          <w:p>
            <w:pPr>
              <w:spacing w:after="0" w:before="0" w:line="276" w:lineRule="auto"/>
            </w:pPr>
            <w:r>
              <w:rPr>
                <w:b/>
                <w:sz w:val="19"/>
              </w:rPr>
              <w:t>输出及状态</w:t>
            </w:r>
          </w:p>
        </w:tc>
      </w:tr>
      <w:tr>
        <w:trPr>
          <w:cantSplit/>
        </w:trPr>
        <w:tc>
          <w:tcPr>
            <w:tcW w:type="dxa" w:w="2231"/>
            <w:vAlign w:val="center"/>
            <w:shd w:fill="FFFFFF"/>
          </w:tcPr>
          <w:p>
            <w:pPr>
              <w:spacing w:after="0" w:before="0" w:line="276" w:lineRule="auto"/>
            </w:pPr>
            <w:r>
              <w:rPr>
                <w:b w:val="0"/>
                <w:sz w:val="19"/>
              </w:rPr>
              <w:t>资料准备</w:t>
            </w:r>
          </w:p>
        </w:tc>
        <w:tc>
          <w:tcPr>
            <w:tcW w:type="dxa" w:w="2696"/>
            <w:vAlign w:val="center"/>
            <w:shd w:fill="FFFFFF"/>
          </w:tcPr>
          <w:p>
            <w:pPr>
              <w:spacing w:after="0" w:before="0" w:line="276" w:lineRule="auto"/>
            </w:pPr>
            <w:r>
              <w:rPr>
                <w:b w:val="0"/>
                <w:sz w:val="19"/>
              </w:rPr>
              <w:t>本人简历与目标 JD</w:t>
            </w:r>
          </w:p>
        </w:tc>
        <w:tc>
          <w:tcPr>
            <w:tcW w:type="dxa" w:w="4370"/>
            <w:vAlign w:val="center"/>
            <w:shd w:fill="FFFFFF"/>
          </w:tcPr>
          <w:p>
            <w:pPr>
              <w:spacing w:after="0" w:before="0" w:line="276" w:lineRule="auto"/>
            </w:pPr>
            <w:r>
              <w:rPr>
                <w:b w:val="0"/>
                <w:sz w:val="19"/>
              </w:rPr>
              <w:t>可用于分析的正文及资料版本</w:t>
            </w:r>
          </w:p>
        </w:tc>
      </w:tr>
      <w:tr>
        <w:trPr>
          <w:cantSplit/>
        </w:trPr>
        <w:tc>
          <w:tcPr>
            <w:tcW w:type="dxa" w:w="2231"/>
            <w:vAlign w:val="center"/>
            <w:shd w:fill="F7F9FB"/>
          </w:tcPr>
          <w:p>
            <w:pPr>
              <w:spacing w:after="0" w:before="0" w:line="276" w:lineRule="auto"/>
            </w:pPr>
            <w:r>
              <w:rPr>
                <w:b w:val="0"/>
                <w:sz w:val="19"/>
              </w:rPr>
              <w:t>计划生成</w:t>
            </w:r>
          </w:p>
        </w:tc>
        <w:tc>
          <w:tcPr>
            <w:tcW w:type="dxa" w:w="2696"/>
            <w:vAlign w:val="center"/>
            <w:shd w:fill="F7F9FB"/>
          </w:tcPr>
          <w:p>
            <w:pPr>
              <w:spacing w:after="0" w:before="0" w:line="276" w:lineRule="auto"/>
            </w:pPr>
            <w:r>
              <w:rPr>
                <w:b w:val="0"/>
                <w:sz w:val="19"/>
              </w:rPr>
              <w:t>简历和 JD</w:t>
            </w:r>
          </w:p>
        </w:tc>
        <w:tc>
          <w:tcPr>
            <w:tcW w:type="dxa" w:w="4370"/>
            <w:vAlign w:val="center"/>
            <w:shd w:fill="F7F9FB"/>
          </w:tcPr>
          <w:p>
            <w:pPr>
              <w:spacing w:after="0" w:before="0" w:line="276" w:lineRule="auto"/>
            </w:pPr>
            <w:r>
              <w:rPr>
                <w:b w:val="0"/>
                <w:sz w:val="19"/>
              </w:rPr>
              <w:t>可调整的单场计划</w:t>
            </w:r>
          </w:p>
        </w:tc>
      </w:tr>
      <w:tr>
        <w:trPr>
          <w:cantSplit/>
        </w:trPr>
        <w:tc>
          <w:tcPr>
            <w:tcW w:type="dxa" w:w="2231"/>
            <w:vAlign w:val="center"/>
            <w:shd w:fill="FFFFFF"/>
          </w:tcPr>
          <w:p>
            <w:pPr>
              <w:spacing w:after="0" w:before="0" w:line="276" w:lineRule="auto"/>
            </w:pPr>
            <w:r>
              <w:rPr>
                <w:b w:val="0"/>
                <w:sz w:val="19"/>
              </w:rPr>
              <w:t>开始面试</w:t>
            </w:r>
          </w:p>
        </w:tc>
        <w:tc>
          <w:tcPr>
            <w:tcW w:type="dxa" w:w="2696"/>
            <w:vAlign w:val="center"/>
            <w:shd w:fill="FFFFFF"/>
          </w:tcPr>
          <w:p>
            <w:pPr>
              <w:spacing w:after="0" w:before="0" w:line="276" w:lineRule="auto"/>
            </w:pPr>
            <w:r>
              <w:rPr>
                <w:b w:val="0"/>
                <w:sz w:val="19"/>
              </w:rPr>
              <w:t>确认计划且额度可用</w:t>
            </w:r>
          </w:p>
        </w:tc>
        <w:tc>
          <w:tcPr>
            <w:tcW w:type="dxa" w:w="4370"/>
            <w:vAlign w:val="center"/>
            <w:shd w:fill="FFFFFF"/>
          </w:tcPr>
          <w:p>
            <w:pPr>
              <w:spacing w:after="0" w:before="0" w:line="276" w:lineRule="auto"/>
            </w:pPr>
            <w:r>
              <w:rPr>
                <w:b w:val="0"/>
                <w:sz w:val="19"/>
              </w:rPr>
              <w:t>固定资料及模型配置 首题成功后暂占额度</w:t>
            </w:r>
          </w:p>
        </w:tc>
      </w:tr>
      <w:tr>
        <w:trPr>
          <w:cantSplit/>
        </w:trPr>
        <w:tc>
          <w:tcPr>
            <w:tcW w:type="dxa" w:w="2231"/>
            <w:vAlign w:val="center"/>
            <w:shd w:fill="F7F9FB"/>
          </w:tcPr>
          <w:p>
            <w:pPr>
              <w:spacing w:after="0" w:before="0" w:line="276" w:lineRule="auto"/>
            </w:pPr>
            <w:r>
              <w:rPr>
                <w:b w:val="0"/>
                <w:sz w:val="19"/>
              </w:rPr>
              <w:t>逐题练习</w:t>
            </w:r>
          </w:p>
        </w:tc>
        <w:tc>
          <w:tcPr>
            <w:tcW w:type="dxa" w:w="2696"/>
            <w:vAlign w:val="center"/>
            <w:shd w:fill="F7F9FB"/>
          </w:tcPr>
          <w:p>
            <w:pPr>
              <w:spacing w:after="0" w:before="0" w:line="276" w:lineRule="auto"/>
            </w:pPr>
            <w:r>
              <w:rPr>
                <w:b w:val="0"/>
                <w:sz w:val="19"/>
              </w:rPr>
              <w:t>主问题 回答 可选追问</w:t>
            </w:r>
          </w:p>
        </w:tc>
        <w:tc>
          <w:tcPr>
            <w:tcW w:type="dxa" w:w="4370"/>
            <w:vAlign w:val="center"/>
            <w:shd w:fill="F7F9FB"/>
          </w:tcPr>
          <w:p>
            <w:pPr>
              <w:spacing w:after="0" w:before="0" w:line="276" w:lineRule="auto"/>
            </w:pPr>
            <w:r>
              <w:rPr>
                <w:b w:val="0"/>
                <w:sz w:val="19"/>
              </w:rPr>
              <w:t>本题综合反馈及评分或无法评分原因</w:t>
            </w:r>
          </w:p>
        </w:tc>
      </w:tr>
      <w:tr>
        <w:trPr>
          <w:cantSplit/>
        </w:trPr>
        <w:tc>
          <w:tcPr>
            <w:tcW w:type="dxa" w:w="2231"/>
            <w:vAlign w:val="center"/>
            <w:shd w:fill="FFFFFF"/>
          </w:tcPr>
          <w:p>
            <w:pPr>
              <w:spacing w:after="0" w:before="0" w:line="276" w:lineRule="auto"/>
            </w:pPr>
            <w:r>
              <w:rPr>
                <w:b w:val="0"/>
                <w:sz w:val="19"/>
              </w:rPr>
              <w:t>中断恢复</w:t>
            </w:r>
          </w:p>
        </w:tc>
        <w:tc>
          <w:tcPr>
            <w:tcW w:type="dxa" w:w="2696"/>
            <w:vAlign w:val="center"/>
            <w:shd w:fill="FFFFFF"/>
          </w:tcPr>
          <w:p>
            <w:pPr>
              <w:spacing w:after="0" w:before="0" w:line="276" w:lineRule="auto"/>
            </w:pPr>
            <w:r>
              <w:rPr>
                <w:b w:val="0"/>
                <w:sz w:val="19"/>
              </w:rPr>
              <w:t>已保存面试记录</w:t>
            </w:r>
          </w:p>
        </w:tc>
        <w:tc>
          <w:tcPr>
            <w:tcW w:type="dxa" w:w="4370"/>
            <w:vAlign w:val="center"/>
            <w:shd w:fill="FFFFFF"/>
          </w:tcPr>
          <w:p>
            <w:pPr>
              <w:spacing w:after="0" w:before="0" w:line="276" w:lineRule="auto"/>
            </w:pPr>
            <w:r>
              <w:rPr>
                <w:b w:val="0"/>
                <w:sz w:val="19"/>
              </w:rPr>
              <w:t>继续同一场 不重复计次</w:t>
            </w:r>
          </w:p>
        </w:tc>
      </w:tr>
      <w:tr>
        <w:trPr>
          <w:cantSplit/>
        </w:trPr>
        <w:tc>
          <w:tcPr>
            <w:tcW w:type="dxa" w:w="2231"/>
            <w:vAlign w:val="center"/>
            <w:shd w:fill="F7F9FB"/>
          </w:tcPr>
          <w:p>
            <w:pPr>
              <w:spacing w:after="0" w:before="0" w:line="276" w:lineRule="auto"/>
            </w:pPr>
            <w:r>
              <w:rPr>
                <w:b w:val="0"/>
                <w:sz w:val="19"/>
              </w:rPr>
              <w:t>结束复盘</w:t>
            </w:r>
          </w:p>
        </w:tc>
        <w:tc>
          <w:tcPr>
            <w:tcW w:type="dxa" w:w="2696"/>
            <w:vAlign w:val="center"/>
            <w:shd w:fill="F7F9FB"/>
          </w:tcPr>
          <w:p>
            <w:pPr>
              <w:spacing w:after="0" w:before="0" w:line="276" w:lineRule="auto"/>
            </w:pPr>
            <w:r>
              <w:rPr>
                <w:b w:val="0"/>
                <w:sz w:val="19"/>
              </w:rPr>
              <w:t>正常结束或提前结束</w:t>
            </w:r>
          </w:p>
        </w:tc>
        <w:tc>
          <w:tcPr>
            <w:tcW w:type="dxa" w:w="4370"/>
            <w:vAlign w:val="center"/>
            <w:shd w:fill="F7F9FB"/>
          </w:tcPr>
          <w:p>
            <w:pPr>
              <w:spacing w:after="0" w:before="0" w:line="276" w:lineRule="auto"/>
            </w:pPr>
            <w:r>
              <w:rPr>
                <w:b w:val="0"/>
                <w:sz w:val="19"/>
              </w:rPr>
              <w:t>报告成功后结算 或保留失败状态并重试</w:t>
            </w:r>
          </w:p>
        </w:tc>
      </w:tr>
      <w:tr>
        <w:trPr>
          <w:cantSplit/>
        </w:trPr>
        <w:tc>
          <w:tcPr>
            <w:tcW w:type="dxa" w:w="2231"/>
            <w:vAlign w:val="center"/>
            <w:shd w:fill="FFFFFF"/>
          </w:tcPr>
          <w:p>
            <w:pPr>
              <w:spacing w:after="0" w:before="0" w:line="276" w:lineRule="auto"/>
            </w:pPr>
            <w:r>
              <w:rPr>
                <w:b w:val="0"/>
                <w:sz w:val="19"/>
              </w:rPr>
              <w:t>历史管理</w:t>
            </w:r>
          </w:p>
        </w:tc>
        <w:tc>
          <w:tcPr>
            <w:tcW w:type="dxa" w:w="2696"/>
            <w:vAlign w:val="center"/>
            <w:shd w:fill="FFFFFF"/>
          </w:tcPr>
          <w:p>
            <w:pPr>
              <w:spacing w:after="0" w:before="0" w:line="276" w:lineRule="auto"/>
            </w:pPr>
            <w:r>
              <w:rPr>
                <w:b w:val="0"/>
                <w:sz w:val="19"/>
              </w:rPr>
              <w:t>本人历史资料</w:t>
            </w:r>
          </w:p>
        </w:tc>
        <w:tc>
          <w:tcPr>
            <w:tcW w:type="dxa" w:w="4370"/>
            <w:vAlign w:val="center"/>
            <w:shd w:fill="FFFFFF"/>
          </w:tcPr>
          <w:p>
            <w:pPr>
              <w:spacing w:after="0" w:before="0" w:line="276" w:lineRule="auto"/>
            </w:pPr>
            <w:r>
              <w:rPr>
                <w:b w:val="0"/>
                <w:sz w:val="19"/>
              </w:rPr>
              <w:t>回看或关联删除</w:t>
            </w:r>
          </w:p>
        </w:tc>
      </w:tr>
    </w:tbl>
    <w:p>
      <w:pPr>
        <w:spacing w:after="40" w:before="0" w:line="96" w:lineRule="auto"/>
      </w:pPr>
    </w:p>
    <w:p>
      <w:pPr>
        <w:pStyle w:val="Heading1"/>
      </w:pPr>
      <w:r>
        <w:t>3 角色与权限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31"/>
        <w:gridCol w:w="2696"/>
        <w:gridCol w:w="4370"/>
      </w:tblGrid>
      <w:tr>
        <w:trPr>
          <w:cantSplit/>
          <w:tblHeader/>
        </w:trPr>
        <w:tc>
          <w:tcPr>
            <w:tcW w:type="dxa" w:w="2231"/>
            <w:vAlign w:val="center"/>
            <w:shd w:fill="E8EDF2"/>
          </w:tcPr>
          <w:p>
            <w:pPr>
              <w:keepNext/>
              <w:spacing w:after="0" w:before="0" w:line="276" w:lineRule="auto"/>
            </w:pPr>
            <w:r>
              <w:rPr>
                <w:b/>
                <w:sz w:val="19"/>
              </w:rPr>
              <w:t>角色</w:t>
            </w:r>
          </w:p>
        </w:tc>
        <w:tc>
          <w:tcPr>
            <w:tcW w:type="dxa" w:w="2696"/>
            <w:vAlign w:val="center"/>
            <w:shd w:fill="E8EDF2"/>
          </w:tcPr>
          <w:p>
            <w:pPr>
              <w:keepNext/>
              <w:spacing w:after="0" w:before="0" w:line="276" w:lineRule="auto"/>
            </w:pPr>
            <w:r>
              <w:rPr>
                <w:b/>
                <w:sz w:val="19"/>
              </w:rPr>
              <w:t>可执行事项</w:t>
            </w:r>
          </w:p>
        </w:tc>
        <w:tc>
          <w:tcPr>
            <w:tcW w:type="dxa" w:w="4370"/>
            <w:vAlign w:val="center"/>
            <w:shd w:fill="E8EDF2"/>
          </w:tcPr>
          <w:p>
            <w:pPr>
              <w:keepNext/>
              <w:spacing w:after="0" w:before="0" w:line="276" w:lineRule="auto"/>
            </w:pPr>
            <w:r>
              <w:rPr>
                <w:b/>
                <w:sz w:val="19"/>
              </w:rPr>
              <w:t>访问边界</w:t>
            </w:r>
          </w:p>
        </w:tc>
      </w:tr>
      <w:tr>
        <w:trPr>
          <w:cantSplit/>
        </w:trPr>
        <w:tc>
          <w:tcPr>
            <w:tcW w:type="dxa" w:w="2231"/>
            <w:vAlign w:val="center"/>
            <w:shd w:fill="FFFFFF"/>
          </w:tcPr>
          <w:p>
            <w:pPr>
              <w:spacing w:after="0" w:before="0" w:line="276" w:lineRule="auto"/>
            </w:pPr>
            <w:r>
              <w:rPr>
                <w:b w:val="0"/>
                <w:sz w:val="19"/>
              </w:rPr>
              <w:t>试用用户</w:t>
            </w:r>
          </w:p>
        </w:tc>
        <w:tc>
          <w:tcPr>
            <w:tcW w:type="dxa" w:w="2696"/>
            <w:vAlign w:val="center"/>
            <w:shd w:fill="FFFFFF"/>
          </w:tcPr>
          <w:p>
            <w:pPr>
              <w:spacing w:after="0" w:before="0" w:line="276" w:lineRule="auto"/>
            </w:pPr>
            <w:r>
              <w:rPr>
                <w:b w:val="0"/>
                <w:sz w:val="19"/>
              </w:rPr>
              <w:t>登录 维护本人资料 训练 查看历史 删除</w:t>
            </w:r>
          </w:p>
        </w:tc>
        <w:tc>
          <w:tcPr>
            <w:tcW w:type="dxa" w:w="4370"/>
            <w:vAlign w:val="center"/>
            <w:shd w:fill="FFFFFF"/>
          </w:tcPr>
          <w:p>
            <w:pPr>
              <w:spacing w:after="0" w:before="0" w:line="276" w:lineRule="auto"/>
            </w:pPr>
            <w:r>
              <w:rPr>
                <w:b w:val="0"/>
                <w:sz w:val="19"/>
              </w:rPr>
              <w:t>只能访问本人私有数据</w:t>
            </w:r>
          </w:p>
        </w:tc>
      </w:tr>
      <w:tr>
        <w:trPr>
          <w:cantSplit/>
        </w:trPr>
        <w:tc>
          <w:tcPr>
            <w:tcW w:type="dxa" w:w="2231"/>
            <w:vAlign w:val="center"/>
            <w:shd w:fill="F7F9FB"/>
          </w:tcPr>
          <w:p>
            <w:pPr>
              <w:spacing w:after="0" w:before="0" w:line="276" w:lineRule="auto"/>
            </w:pPr>
            <w:r>
              <w:rPr>
                <w:b w:val="0"/>
                <w:sz w:val="19"/>
              </w:rPr>
              <w:t>知识维护者</w:t>
            </w:r>
          </w:p>
        </w:tc>
        <w:tc>
          <w:tcPr>
            <w:tcW w:type="dxa" w:w="2696"/>
            <w:vAlign w:val="center"/>
            <w:shd w:fill="F7F9FB"/>
          </w:tcPr>
          <w:p>
            <w:pPr>
              <w:spacing w:after="0" w:before="0" w:line="276" w:lineRule="auto"/>
            </w:pPr>
            <w:r>
              <w:rPr>
                <w:b w:val="0"/>
                <w:sz w:val="19"/>
              </w:rPr>
              <w:t>提供和审核公共技术资料 配置模型</w:t>
            </w:r>
          </w:p>
        </w:tc>
        <w:tc>
          <w:tcPr>
            <w:tcW w:type="dxa" w:w="4370"/>
            <w:vAlign w:val="center"/>
            <w:shd w:fill="F7F9FB"/>
          </w:tcPr>
          <w:p>
            <w:pPr>
              <w:spacing w:after="0" w:before="0" w:line="276" w:lineRule="auto"/>
            </w:pPr>
            <w:r>
              <w:rPr>
                <w:b w:val="0"/>
                <w:sz w:val="19"/>
              </w:rPr>
              <w:t>维护权限不自动包含用户私有数据访问权</w:t>
            </w:r>
          </w:p>
        </w:tc>
      </w:tr>
      <w:tr>
        <w:trPr>
          <w:cantSplit/>
        </w:trPr>
        <w:tc>
          <w:tcPr>
            <w:tcW w:type="dxa" w:w="2231"/>
            <w:vAlign w:val="center"/>
            <w:shd w:fill="FFFFFF"/>
          </w:tcPr>
          <w:p>
            <w:pPr>
              <w:spacing w:after="0" w:before="0" w:line="276" w:lineRule="auto"/>
            </w:pPr>
            <w:r>
              <w:rPr>
                <w:b w:val="0"/>
                <w:sz w:val="19"/>
              </w:rPr>
              <w:t>未登录访问者</w:t>
            </w:r>
          </w:p>
        </w:tc>
        <w:tc>
          <w:tcPr>
            <w:tcW w:type="dxa" w:w="2696"/>
            <w:vAlign w:val="center"/>
            <w:shd w:fill="FFFFFF"/>
          </w:tcPr>
          <w:p>
            <w:pPr>
              <w:spacing w:after="0" w:before="0" w:line="276" w:lineRule="auto"/>
            </w:pPr>
            <w:r>
              <w:rPr>
                <w:b w:val="0"/>
                <w:sz w:val="19"/>
              </w:rPr>
              <w:t>登录入口</w:t>
            </w:r>
          </w:p>
        </w:tc>
        <w:tc>
          <w:tcPr>
            <w:tcW w:type="dxa" w:w="4370"/>
            <w:vAlign w:val="center"/>
            <w:shd w:fill="FFFFFF"/>
          </w:tcPr>
          <w:p>
            <w:pPr>
              <w:spacing w:after="0" w:before="0" w:line="276" w:lineRule="auto"/>
            </w:pPr>
            <w:r>
              <w:rPr>
                <w:b w:val="0"/>
                <w:sz w:val="19"/>
              </w:rPr>
              <w:t>不得访问私有资料和训练记录</w:t>
            </w:r>
          </w:p>
        </w:tc>
      </w:tr>
    </w:tbl>
    <w:p>
      <w:pPr>
        <w:spacing w:after="40" w:before="0" w:line="96" w:lineRule="auto"/>
      </w:pPr>
    </w:p>
    <w:p>
      <w:r>
        <w:t>知道记录地址或编号不能获得访问权限。简历、JD 和知识资料片段中的指令不得改变权限、额度及业务规则。公共页面及维护入口形式由交互设计确定，不要求完整运营后台。</w:t>
      </w:r>
    </w:p>
    <w:p>
      <w:pPr>
        <w:pStyle w:val="Heading1"/>
      </w:pPr>
      <w:r>
        <w:t>4 核心功能需求</w:t>
      </w:r>
    </w:p>
    <w:p>
      <w:pPr>
        <w:pStyle w:val="Heading2"/>
      </w:pPr>
      <w:r>
        <w:t>PRD 01 账号登录与隔离</w:t>
      </w:r>
    </w:p>
    <w:p>
      <w:r>
        <w:t>采用前端账号加密码登录，小范围邀请试用，由维护者开通账号，不开放公众注册。忘记密码先由维护者重置。账号之间隔离简历、JD、计划、问答和报告；模型服务密钥不向普通用户开放。</w:t>
      </w:r>
    </w:p>
    <w:p>
      <w:pPr>
        <w:pStyle w:val="Heading2"/>
      </w:pPr>
      <w:r>
        <w:t>PRD 02 简历输入与版本</w:t>
      </w:r>
    </w:p>
    <w:p>
      <w:r>
        <w:t>支持可读取的 PDF 和 DOCX，单文件不超过 10 MB；PDF 不超过 20 页。解析或粘贴后的简历正文为 100 至 20000 字符。扫描 PDF、加密文件和图片简历首期不支持，提示粘贴正文或上传可读取文件。解析失败允许粘贴正文继续，超限明确提示，不静默截断。</w:t>
      </w:r>
    </w:p>
    <w:p>
      <w:r>
        <w:t>生成计划前允许修改简历。计划生成后修改简历，必须生成新计划；历史面试保留原资料版本。长度只用于输入校验，不等于内容有效，明显无关或信息不足仍需提示补充。</w:t>
      </w:r>
    </w:p>
    <w:p>
      <w:pPr>
        <w:pStyle w:val="Heading2"/>
      </w:pPr>
      <w:r>
        <w:t>PRD 03 JD 输入与版本</w:t>
      </w:r>
    </w:p>
    <w:p>
      <w:r>
        <w:t>JD 通过粘贴输入，长度为 50 至 10000 字符。空输入和超限输入不能进入计划生成。生成计划前允许修改；计划生成后修改 JD 必须生成新计划，历史面试仍使用原 JD。空内容、乱码和纯重复字符要求修改；非 Java 后端岗位提示超出范围，要求更换 JD。明显矛盾列出冲突，用户确认优先条件后再生成。简历与 JD 匹配度低时提示差距，允许确认后继续；不补造经历。部分主题超出资料覆盖时说明缺口，用户确认后生成受限计划。简历疑似矛盾提示核对，不直接认定造假或改写事实。</w:t>
      </w:r>
    </w:p>
    <w:p>
      <w:pPr>
        <w:pStyle w:val="Heading2"/>
      </w:pPr>
      <w:r>
        <w:t>PRD 04 单场面试计划</w:t>
      </w:r>
    </w:p>
    <w:p>
      <w:r>
        <w:t>计划包含主题、各主题主问题数量、难度和预计时长。默认 8 道主问题，开始前可调整为 5 至 15 道，各主题题数之和等于总题数。开始前允许修改主题、题量和难度，开始后固定本场计划。预计时长不触发强制结束。</w:t>
      </w:r>
    </w:p>
    <w:p>
      <w:r>
        <w:t>计划应结合实际简历经历和 JD 要求，不补造项目经历。采用基础、中等、进阶三档，默认中等；主题覆盖与质量门槛见第 5 节。生成和修改计划不消耗面试次数。</w:t>
      </w:r>
    </w:p>
    <w:p>
      <w:pPr>
        <w:pStyle w:val="Heading2"/>
      </w:pPr>
      <w:r>
        <w:t>PRD 05 逐题面试与中断</w:t>
      </w:r>
    </w:p>
    <w:p>
      <w:r>
        <w:t>按计划逐题提出主问题，每道最多追问 1 次，追问不占主问题题量，也不增加评分权重。根据回答决定是否追问，不要求每题必须追问。每次回答最多 10000 字符，不设置作答最低字数，不仅凭字数判断技术错误。</w:t>
      </w:r>
    </w:p>
    <w:p>
      <w:r>
        <w:t>固定顺序为主问题作答、必要时追问及作答、本题综合反馈、下一道主问题。在本题作答单元结束前不提前展示评价或参考答案。</w:t>
      </w:r>
    </w:p>
    <w:p>
      <w:r>
        <w:t>支持跳题、中断恢复和提前结束，不强制限时。跳过主问题标记为未作答，不直接判错或记零分。恢复继续原计划及已保存进度，不创建另一场面试。</w:t>
      </w:r>
    </w:p>
    <w:p>
      <w:r>
        <w:t>主问题已答但追问未答时结束，主问题为已作答，追问为未完成；可基于主问题生成反馈，依据充分则评分，不因未回答追问自动扣分。主问题已有回答不完整时，仍可按实际缺失内容评价。报告注明评价仅基于已有回答。</w:t>
      </w:r>
    </w:p>
    <w:p>
      <w:r>
        <w:t>作答完成率等于已回答主问题数除以计划主问题数，追问不进入分母。提前结束的整场标为提前结束。主问题也未答便结束，该题为未作答且不评分。</w:t>
      </w:r>
    </w:p>
    <w:p>
      <w:pPr>
        <w:pStyle w:val="Heading2"/>
      </w:pPr>
      <w:r>
        <w:t>PRD 06 已审核知识库检索与大模型生成评价</w:t>
      </w:r>
    </w:p>
    <w:p>
      <w:r>
        <w:t>公共技术资料由维护者提供并审核，审核通过的适用版本才进入可检索知识库；用户首期只提供简历和 JD，不开放个人知识库上传。运行时只检索已审核知识库，并将相关证据与必要业务输入交给大模型生成和评价；不接入搜索引擎、实时网页抓取或模型内置联网，不自动补入未审核资料。</w:t>
      </w:r>
    </w:p>
    <w:p>
      <w:r>
        <w:t>反馈展示实际使用的已审核知识来源、适用版本及相关片段。简历及 JD 是个人背景，不直接证明技术结论正确；模型自身知识和生成内容也不自动成为可核查技术评分依据。</w:t>
      </w:r>
    </w:p>
    <w:p>
      <w:r>
        <w:t>维护者优先采用官方文档、规范及项目官方资料，其次为出处明确的技术资料，经审核后入库。资料更新由维护者完成，不在面试中实时抓取原文；保留来源链接供用户查看，不因本次取消实时搜索而删除有效引用。来源不明、无法核查或片段不支持结论时，不作为确定性评分依据。</w:t>
      </w:r>
    </w:p>
    <w:p>
      <w:r>
        <w:t>知识库内部存在版本差异或冲突时，先核对 Java 版本及适用场景；不同条件下的结论不直接认定为冲突。没有可确认适用的依据或同条件冲突无法消除时暂不作确定性技术评分，反馈说明限制，不设置未经确认的新来源优先级。</w:t>
      </w:r>
    </w:p>
    <w:p>
      <w:r>
        <w:t>知识库已有足够适用依据时继续；缺少依据时说明知识覆盖不足，不凭模型记忆补出确定性技术评分。出题缺依据时优先在固定主题及确认难度内换有依据的题，仍不能出题则暂停，允许重试、暂离或结束。已回答题目保留回答，可展示能判断的反馈；任一维度不可评时不生成完整综合分。资料不足本身不自动判整场系统最终失败，已完成的不可评结果不自动追溯补分。</w:t>
      </w:r>
    </w:p>
    <w:p>
      <w:pPr>
        <w:pStyle w:val="Heading2"/>
      </w:pPr>
      <w:r>
        <w:t>PRD 07 分维度评分与总分</w:t>
      </w:r>
    </w:p>
    <w:p>
      <w:r>
        <w:t>主问题结合追问形成一个评价单元，各维度 0 至 100 分并使用整数。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510"/>
        <w:gridCol w:w="1209"/>
        <w:gridCol w:w="5579"/>
      </w:tblGrid>
      <w:tr>
        <w:trPr>
          <w:cantSplit/>
          <w:tblHeader/>
        </w:trPr>
        <w:tc>
          <w:tcPr>
            <w:tcW w:type="dxa" w:w="2510"/>
            <w:vAlign w:val="center"/>
            <w:shd w:fill="E8EDF2"/>
          </w:tcPr>
          <w:p>
            <w:pPr>
              <w:spacing w:after="0" w:before="0" w:line="276" w:lineRule="auto"/>
            </w:pPr>
            <w:r>
              <w:rPr>
                <w:b/>
                <w:sz w:val="19"/>
              </w:rPr>
              <w:t>维度</w:t>
            </w:r>
          </w:p>
        </w:tc>
        <w:tc>
          <w:tcPr>
            <w:tcW w:type="dxa" w:w="1209"/>
            <w:vAlign w:val="center"/>
            <w:shd w:fill="E8EDF2"/>
          </w:tcPr>
          <w:p>
            <w:pPr>
              <w:spacing w:after="0" w:before="0" w:line="276" w:lineRule="auto"/>
              <w:jc w:val="center"/>
            </w:pPr>
            <w:r>
              <w:rPr>
                <w:b/>
                <w:sz w:val="19"/>
              </w:rPr>
              <w:t>权重</w:t>
            </w:r>
          </w:p>
        </w:tc>
        <w:tc>
          <w:tcPr>
            <w:tcW w:type="dxa" w:w="5579"/>
            <w:vAlign w:val="center"/>
            <w:shd w:fill="E8EDF2"/>
          </w:tcPr>
          <w:p>
            <w:pPr>
              <w:spacing w:after="0" w:before="0" w:line="276" w:lineRule="auto"/>
            </w:pPr>
            <w:r>
              <w:rPr>
                <w:b/>
                <w:sz w:val="19"/>
              </w:rPr>
              <w:t>评价内容</w:t>
            </w:r>
          </w:p>
        </w:tc>
      </w:tr>
      <w:tr>
        <w:trPr>
          <w:cantSplit/>
        </w:trPr>
        <w:tc>
          <w:tcPr>
            <w:tcW w:type="dxa" w:w="2510"/>
            <w:vAlign w:val="center"/>
            <w:shd w:fill="FFFFFF"/>
          </w:tcPr>
          <w:p>
            <w:pPr>
              <w:spacing w:after="0" w:before="0" w:line="276" w:lineRule="auto"/>
            </w:pPr>
            <w:r>
              <w:rPr>
                <w:b w:val="0"/>
                <w:sz w:val="19"/>
              </w:rPr>
              <w:t>技术准确性</w:t>
            </w:r>
          </w:p>
        </w:tc>
        <w:tc>
          <w:tcPr>
            <w:tcW w:type="dxa" w:w="1209"/>
            <w:vAlign w:val="center"/>
            <w:shd w:fill="FFFFFF"/>
          </w:tcPr>
          <w:p>
            <w:pPr>
              <w:spacing w:after="0" w:before="0" w:line="276" w:lineRule="auto"/>
              <w:jc w:val="center"/>
            </w:pPr>
            <w:r>
              <w:rPr>
                <w:b w:val="0"/>
                <w:sz w:val="19"/>
              </w:rPr>
              <w:t>40%</w:t>
            </w:r>
          </w:p>
        </w:tc>
        <w:tc>
          <w:tcPr>
            <w:tcW w:type="dxa" w:w="5579"/>
            <w:vAlign w:val="center"/>
            <w:shd w:fill="FFFFFF"/>
          </w:tcPr>
          <w:p>
            <w:pPr>
              <w:spacing w:after="0" w:before="0" w:line="276" w:lineRule="auto"/>
            </w:pPr>
            <w:r>
              <w:rPr>
                <w:b w:val="0"/>
                <w:sz w:val="19"/>
              </w:rPr>
              <w:t>概念 原理及结论是否正确</w:t>
            </w:r>
          </w:p>
        </w:tc>
      </w:tr>
      <w:tr>
        <w:trPr>
          <w:cantSplit/>
        </w:trPr>
        <w:tc>
          <w:tcPr>
            <w:tcW w:type="dxa" w:w="2510"/>
            <w:vAlign w:val="center"/>
            <w:shd w:fill="F7F9FB"/>
          </w:tcPr>
          <w:p>
            <w:pPr>
              <w:spacing w:after="0" w:before="0" w:line="276" w:lineRule="auto"/>
            </w:pPr>
            <w:r>
              <w:rPr>
                <w:b w:val="0"/>
                <w:sz w:val="19"/>
              </w:rPr>
              <w:t>内容完整性</w:t>
            </w:r>
          </w:p>
        </w:tc>
        <w:tc>
          <w:tcPr>
            <w:tcW w:type="dxa" w:w="1209"/>
            <w:vAlign w:val="center"/>
            <w:shd w:fill="F7F9FB"/>
          </w:tcPr>
          <w:p>
            <w:pPr>
              <w:spacing w:after="0" w:before="0" w:line="276" w:lineRule="auto"/>
              <w:jc w:val="center"/>
            </w:pPr>
            <w:r>
              <w:rPr>
                <w:b w:val="0"/>
                <w:sz w:val="19"/>
              </w:rPr>
              <w:t>25%</w:t>
            </w:r>
          </w:p>
        </w:tc>
        <w:tc>
          <w:tcPr>
            <w:tcW w:type="dxa" w:w="5579"/>
            <w:vAlign w:val="center"/>
            <w:shd w:fill="F7F9FB"/>
          </w:tcPr>
          <w:p>
            <w:pPr>
              <w:spacing w:after="0" w:before="0" w:line="276" w:lineRule="auto"/>
            </w:pPr>
            <w:r>
              <w:rPr>
                <w:b w:val="0"/>
                <w:sz w:val="19"/>
              </w:rPr>
              <w:t>是否覆盖本题要求的关键点</w:t>
            </w:r>
          </w:p>
        </w:tc>
      </w:tr>
      <w:tr>
        <w:trPr>
          <w:cantSplit/>
        </w:trPr>
        <w:tc>
          <w:tcPr>
            <w:tcW w:type="dxa" w:w="2510"/>
            <w:vAlign w:val="center"/>
            <w:shd w:fill="FFFFFF"/>
          </w:tcPr>
          <w:p>
            <w:pPr>
              <w:spacing w:after="0" w:before="0" w:line="276" w:lineRule="auto"/>
            </w:pPr>
            <w:r>
              <w:rPr>
                <w:b w:val="0"/>
                <w:sz w:val="19"/>
              </w:rPr>
              <w:t>表达与逻辑</w:t>
            </w:r>
          </w:p>
        </w:tc>
        <w:tc>
          <w:tcPr>
            <w:tcW w:type="dxa" w:w="1209"/>
            <w:vAlign w:val="center"/>
            <w:shd w:fill="FFFFFF"/>
          </w:tcPr>
          <w:p>
            <w:pPr>
              <w:spacing w:after="0" w:before="0" w:line="276" w:lineRule="auto"/>
              <w:jc w:val="center"/>
            </w:pPr>
            <w:r>
              <w:rPr>
                <w:b w:val="0"/>
                <w:sz w:val="19"/>
              </w:rPr>
              <w:t>20%</w:t>
            </w:r>
          </w:p>
        </w:tc>
        <w:tc>
          <w:tcPr>
            <w:tcW w:type="dxa" w:w="5579"/>
            <w:vAlign w:val="center"/>
            <w:shd w:fill="FFFFFF"/>
          </w:tcPr>
          <w:p>
            <w:pPr>
              <w:spacing w:after="0" w:before="0" w:line="276" w:lineRule="auto"/>
            </w:pPr>
            <w:r>
              <w:rPr>
                <w:b w:val="0"/>
                <w:sz w:val="19"/>
              </w:rPr>
              <w:t>结构与推理是否清楚连贯</w:t>
            </w:r>
          </w:p>
        </w:tc>
      </w:tr>
      <w:tr>
        <w:trPr>
          <w:cantSplit/>
        </w:trPr>
        <w:tc>
          <w:tcPr>
            <w:tcW w:type="dxa" w:w="2510"/>
            <w:vAlign w:val="center"/>
            <w:shd w:fill="F7F9FB"/>
          </w:tcPr>
          <w:p>
            <w:pPr>
              <w:spacing w:after="0" w:before="0" w:line="276" w:lineRule="auto"/>
            </w:pPr>
            <w:r>
              <w:rPr>
                <w:b w:val="0"/>
                <w:sz w:val="19"/>
              </w:rPr>
              <w:t>题目相关性</w:t>
            </w:r>
          </w:p>
        </w:tc>
        <w:tc>
          <w:tcPr>
            <w:tcW w:type="dxa" w:w="1209"/>
            <w:vAlign w:val="center"/>
            <w:shd w:fill="F7F9FB"/>
          </w:tcPr>
          <w:p>
            <w:pPr>
              <w:spacing w:after="0" w:before="0" w:line="276" w:lineRule="auto"/>
              <w:jc w:val="center"/>
            </w:pPr>
            <w:r>
              <w:rPr>
                <w:b w:val="0"/>
                <w:sz w:val="19"/>
              </w:rPr>
              <w:t>15%</w:t>
            </w:r>
          </w:p>
        </w:tc>
        <w:tc>
          <w:tcPr>
            <w:tcW w:type="dxa" w:w="5579"/>
            <w:vAlign w:val="center"/>
            <w:shd w:fill="F7F9FB"/>
          </w:tcPr>
          <w:p>
            <w:pPr>
              <w:spacing w:after="0" w:before="0" w:line="276" w:lineRule="auto"/>
            </w:pPr>
            <w:r>
              <w:rPr>
                <w:b w:val="0"/>
                <w:sz w:val="19"/>
              </w:rPr>
              <w:t>是否直接回应问题及场景</w:t>
            </w:r>
          </w:p>
        </w:tc>
      </w:tr>
    </w:tbl>
    <w:p>
      <w:pPr>
        <w:spacing w:after="40" w:before="0" w:line="96" w:lineRule="auto"/>
      </w:pPr>
    </w:p>
    <w:p>
      <w:r>
        <w:t>单题综合分为四维分数按上述权重加权，显示 1 位小数。整场总分为有效单题综合分的等权平均，计算中不提前取整，最终四舍五入到 1 位小数。追问不单独计权。</w:t>
      </w:r>
    </w:p>
    <w:p>
      <w:r>
        <w:t>任一维度无法评价时，标注原因，该题不生成完整综合分，也不参与整场平均；可保留其他能够评价的维度反馈。不自动重分配权重。跳题和无法评分不记零分，全部无有效评分时显示暂无可用总分。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89"/>
        <w:gridCol w:w="6508"/>
      </w:tblGrid>
      <w:tr>
        <w:trPr>
          <w:cantSplit/>
          <w:tblHeader/>
        </w:trPr>
        <w:tc>
          <w:tcPr>
            <w:tcW w:type="dxa" w:w="2789"/>
            <w:vAlign w:val="center"/>
            <w:shd w:fill="E8EDF2"/>
          </w:tcPr>
          <w:p>
            <w:pPr>
              <w:spacing w:after="0" w:before="0" w:line="276" w:lineRule="auto"/>
            </w:pPr>
            <w:r>
              <w:rPr>
                <w:b/>
                <w:sz w:val="19"/>
              </w:rPr>
              <w:t>分数区间</w:t>
            </w:r>
          </w:p>
        </w:tc>
        <w:tc>
          <w:tcPr>
            <w:tcW w:type="dxa" w:w="6508"/>
            <w:vAlign w:val="center"/>
            <w:shd w:fill="E8EDF2"/>
          </w:tcPr>
          <w:p>
            <w:pPr>
              <w:spacing w:after="0" w:before="0" w:line="276" w:lineRule="auto"/>
            </w:pPr>
            <w:r>
              <w:rPr>
                <w:b/>
                <w:sz w:val="19"/>
              </w:rPr>
              <w:t>展示档位</w:t>
            </w:r>
          </w:p>
        </w:tc>
      </w:tr>
      <w:tr>
        <w:trPr>
          <w:cantSplit/>
        </w:trPr>
        <w:tc>
          <w:tcPr>
            <w:tcW w:type="dxa" w:w="2789"/>
            <w:vAlign w:val="center"/>
            <w:shd w:fill="FFFFFF"/>
          </w:tcPr>
          <w:p>
            <w:pPr>
              <w:spacing w:after="0" w:before="0" w:line="276" w:lineRule="auto"/>
            </w:pPr>
            <w:r>
              <w:rPr>
                <w:b w:val="0"/>
                <w:sz w:val="19"/>
              </w:rPr>
              <w:t>90 至 100</w:t>
            </w:r>
          </w:p>
        </w:tc>
        <w:tc>
          <w:tcPr>
            <w:tcW w:type="dxa" w:w="6508"/>
            <w:vAlign w:val="center"/>
            <w:shd w:fill="FFFFFF"/>
          </w:tcPr>
          <w:p>
            <w:pPr>
              <w:spacing w:after="0" w:before="0" w:line="276" w:lineRule="auto"/>
            </w:pPr>
            <w:r>
              <w:rPr>
                <w:b w:val="0"/>
                <w:sz w:val="19"/>
              </w:rPr>
              <w:t>表现优秀</w:t>
            </w:r>
          </w:p>
        </w:tc>
      </w:tr>
      <w:tr>
        <w:trPr>
          <w:cantSplit/>
        </w:trPr>
        <w:tc>
          <w:tcPr>
            <w:tcW w:type="dxa" w:w="2789"/>
            <w:vAlign w:val="center"/>
            <w:shd w:fill="F7F9FB"/>
          </w:tcPr>
          <w:p>
            <w:pPr>
              <w:spacing w:after="0" w:before="0" w:line="276" w:lineRule="auto"/>
            </w:pPr>
            <w:r>
              <w:rPr>
                <w:b w:val="0"/>
                <w:sz w:val="19"/>
              </w:rPr>
              <w:t>大于等于 75 且小于 90</w:t>
            </w:r>
          </w:p>
        </w:tc>
        <w:tc>
          <w:tcPr>
            <w:tcW w:type="dxa" w:w="6508"/>
            <w:vAlign w:val="center"/>
            <w:shd w:fill="F7F9FB"/>
          </w:tcPr>
          <w:p>
            <w:pPr>
              <w:spacing w:after="0" w:before="0" w:line="276" w:lineRule="auto"/>
            </w:pPr>
            <w:r>
              <w:rPr>
                <w:b w:val="0"/>
                <w:sz w:val="19"/>
              </w:rPr>
              <w:t>表现良好</w:t>
            </w:r>
          </w:p>
        </w:tc>
      </w:tr>
      <w:tr>
        <w:trPr>
          <w:cantSplit/>
        </w:trPr>
        <w:tc>
          <w:tcPr>
            <w:tcW w:type="dxa" w:w="2789"/>
            <w:vAlign w:val="center"/>
            <w:shd w:fill="FFFFFF"/>
          </w:tcPr>
          <w:p>
            <w:pPr>
              <w:spacing w:after="0" w:before="0" w:line="276" w:lineRule="auto"/>
            </w:pPr>
            <w:r>
              <w:rPr>
                <w:b w:val="0"/>
                <w:sz w:val="19"/>
              </w:rPr>
              <w:t>大于等于 60 且小于 75</w:t>
            </w:r>
          </w:p>
        </w:tc>
        <w:tc>
          <w:tcPr>
            <w:tcW w:type="dxa" w:w="6508"/>
            <w:vAlign w:val="center"/>
            <w:shd w:fill="FFFFFF"/>
          </w:tcPr>
          <w:p>
            <w:pPr>
              <w:spacing w:after="0" w:before="0" w:line="276" w:lineRule="auto"/>
            </w:pPr>
            <w:r>
              <w:rPr>
                <w:b w:val="0"/>
                <w:sz w:val="19"/>
              </w:rPr>
              <w:t>基本掌握</w:t>
            </w:r>
          </w:p>
        </w:tc>
      </w:tr>
      <w:tr>
        <w:trPr>
          <w:cantSplit/>
        </w:trPr>
        <w:tc>
          <w:tcPr>
            <w:tcW w:type="dxa" w:w="2789"/>
            <w:vAlign w:val="center"/>
            <w:shd w:fill="F7F9FB"/>
          </w:tcPr>
          <w:p>
            <w:pPr>
              <w:spacing w:after="0" w:before="0" w:line="276" w:lineRule="auto"/>
            </w:pPr>
            <w:r>
              <w:rPr>
                <w:b w:val="0"/>
                <w:sz w:val="19"/>
              </w:rPr>
              <w:t>大于等于 40 且小于 60</w:t>
            </w:r>
          </w:p>
        </w:tc>
        <w:tc>
          <w:tcPr>
            <w:tcW w:type="dxa" w:w="6508"/>
            <w:vAlign w:val="center"/>
            <w:shd w:fill="F7F9FB"/>
          </w:tcPr>
          <w:p>
            <w:pPr>
              <w:spacing w:after="0" w:before="0" w:line="276" w:lineRule="auto"/>
            </w:pPr>
            <w:r>
              <w:rPr>
                <w:b w:val="0"/>
                <w:sz w:val="19"/>
              </w:rPr>
              <w:t>存在明显不足</w:t>
            </w:r>
          </w:p>
        </w:tc>
      </w:tr>
      <w:tr>
        <w:trPr>
          <w:cantSplit/>
        </w:trPr>
        <w:tc>
          <w:tcPr>
            <w:tcW w:type="dxa" w:w="2789"/>
            <w:vAlign w:val="center"/>
            <w:shd w:fill="FFFFFF"/>
          </w:tcPr>
          <w:p>
            <w:pPr>
              <w:spacing w:after="0" w:before="0" w:line="276" w:lineRule="auto"/>
            </w:pPr>
            <w:r>
              <w:rPr>
                <w:b w:val="0"/>
                <w:sz w:val="19"/>
              </w:rPr>
              <w:t>大于等于 0 且小于 40</w:t>
            </w:r>
          </w:p>
        </w:tc>
        <w:tc>
          <w:tcPr>
            <w:tcW w:type="dxa" w:w="6508"/>
            <w:vAlign w:val="center"/>
            <w:shd w:fill="FFFFFF"/>
          </w:tcPr>
          <w:p>
            <w:pPr>
              <w:spacing w:after="0" w:before="0" w:line="276" w:lineRule="auto"/>
            </w:pPr>
            <w:r>
              <w:rPr>
                <w:b w:val="0"/>
                <w:sz w:val="19"/>
              </w:rPr>
              <w:t>需要重点补强</w:t>
            </w:r>
          </w:p>
        </w:tc>
      </w:tr>
    </w:tbl>
    <w:p>
      <w:pPr>
        <w:spacing w:after="40" w:before="0" w:line="96" w:lineRule="auto"/>
      </w:pPr>
    </w:p>
    <w:p>
      <w:r>
        <w:t>评分档位只描述本次表现。所有计算结束后四舍五入到 1 位小数，按最终显示分判档；原始分 89.96 显示 90.0，属于表现优秀。通用评分锚点和样例评审门槛见第 5 节，每道评审题的具体必答点在评测准备阶段标注。</w:t>
      </w:r>
    </w:p>
    <w:p>
      <w:pPr>
        <w:pStyle w:val="Heading2"/>
      </w:pPr>
      <w:r>
        <w:t>PRD 08 复盘报告</w:t>
      </w:r>
    </w:p>
    <w:p>
      <w:r>
        <w:t>报告在线展示本场岗位、主题、状态、计划题数、作答题数、有效评分题数、完成率、问题回答及追问、逐题反馈、分维度评价、总分或无总分原因、优势薄弱项、训练建议及引用来源。</w:t>
      </w:r>
    </w:p>
    <w:p>
      <w:r>
        <w:t>优势和不足应能关联本场具体问答，建议需对应薄弱项。不得编造未发生的回答或将未问未答内容写成已完成。提前结束报告注明未完成整场。零作答结束不扣次，展示简短结束页，说明未提交主问题回答，显示计划题数、作答 0 题和完成率 0%，不显示数字总分或推断优势薄弱项；提供返回计划、重新开始、查看历史。原场标为零作答结束且不能恢复。首期不要求导出。</w:t>
      </w:r>
    </w:p>
    <w:p>
      <w:pPr>
        <w:pStyle w:val="Heading2"/>
      </w:pPr>
      <w:r>
        <w:t>PRD 09 历史记录</w:t>
      </w:r>
    </w:p>
    <w:p>
      <w:r>
        <w:t>保存本人简历、计划、问答和报告，可重新登录回看并恢复未结束面试。历史面试保留原简历、JD、计划和模型配置，不被后续编辑覆盖。列表排序及筛选在交互设计阶段确定。</w:t>
      </w:r>
    </w:p>
    <w:p>
      <w:pPr>
        <w:pStyle w:val="Heading2"/>
      </w:pPr>
      <w:r>
        <w:t>PRD 10 关联删除与数据生命周期</w:t>
      </w:r>
    </w:p>
    <w:p>
      <w:r>
        <w:t>删除简历前展示影响范围并由用户确认，取消不改变数据。确认删除后，立即终止相关进行中面试并禁止访问关联数据，24 小时内清理业务存储中的该简历全部历史版本、原文件、正文、快照、关联计划、问答和报告。</w:t>
      </w:r>
    </w:p>
    <w:p>
      <w:r>
        <w:t>如有备份，最多保留 30 天且不提供日常访问；备份恢复后仍执行已存在的删除记录。用户不能通过历史入口或原地址访问已删除内容。</w:t>
      </w:r>
    </w:p>
    <w:p>
      <w:r>
        <w:t>允许向外部模型发送完成业务所必要的简历、JD 和回答。外部供应商留存边界取决于选定服务及配置，选型后明确说明，不承诺本系统能直接删除供应商已留存内容。删除已结算记录不退还次数；删除尚未结算的进行中或待报告面试，终止并释放暂占；已失败或过期不重复释放。可保留最小账号日用量和结算标记，不保留简历、问答或报告正文。</w:t>
      </w:r>
    </w:p>
    <w:p>
      <w:pPr>
        <w:pStyle w:val="Heading2"/>
      </w:pPr>
      <w:r>
        <w:t>PRD 11 每日额度与模型配置</w:t>
      </w:r>
    </w:p>
    <w:p>
      <w:r>
        <w:t>每用户每日 20 次，每天北京时间 00:00 重置，时区 UTC+8。面试一次算一次，整场系统失败不扣次。新面试在首道主问题成功展示时暂占 1 次，已用加暂占达到 20 时阻止新面试，已有面试允许继续。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89"/>
        <w:gridCol w:w="6508"/>
      </w:tblGrid>
      <w:tr>
        <w:trPr>
          <w:cantSplit/>
          <w:tblHeader/>
        </w:trPr>
        <w:tc>
          <w:tcPr>
            <w:tcW w:type="dxa" w:w="2789"/>
            <w:vAlign w:val="center"/>
            <w:shd w:fill="E8EDF2"/>
          </w:tcPr>
          <w:p>
            <w:pPr>
              <w:spacing w:after="0" w:before="0" w:line="276" w:lineRule="auto"/>
            </w:pPr>
            <w:r>
              <w:rPr>
                <w:b/>
                <w:sz w:val="19"/>
              </w:rPr>
              <w:t>事件</w:t>
            </w:r>
          </w:p>
        </w:tc>
        <w:tc>
          <w:tcPr>
            <w:tcW w:type="dxa" w:w="6508"/>
            <w:vAlign w:val="center"/>
            <w:shd w:fill="E8EDF2"/>
          </w:tcPr>
          <w:p>
            <w:pPr>
              <w:spacing w:after="0" w:before="0" w:line="276" w:lineRule="auto"/>
            </w:pPr>
            <w:r>
              <w:rPr>
                <w:b/>
                <w:sz w:val="19"/>
              </w:rPr>
              <w:t>额度处理</w:t>
            </w:r>
          </w:p>
        </w:tc>
      </w:tr>
      <w:tr>
        <w:trPr>
          <w:cantSplit/>
        </w:trPr>
        <w:tc>
          <w:tcPr>
            <w:tcW w:type="dxa" w:w="2789"/>
            <w:vAlign w:val="center"/>
            <w:shd w:fill="FFFFFF"/>
          </w:tcPr>
          <w:p>
            <w:pPr>
              <w:spacing w:after="0" w:before="0" w:line="276" w:lineRule="auto"/>
            </w:pPr>
            <w:r>
              <w:rPr>
                <w:b w:val="0"/>
                <w:sz w:val="19"/>
              </w:rPr>
              <w:t>生成或修改计划</w:t>
            </w:r>
          </w:p>
        </w:tc>
        <w:tc>
          <w:tcPr>
            <w:tcW w:type="dxa" w:w="6508"/>
            <w:vAlign w:val="center"/>
            <w:shd w:fill="FFFFFF"/>
          </w:tcPr>
          <w:p>
            <w:pPr>
              <w:spacing w:after="0" w:before="0" w:line="276" w:lineRule="auto"/>
            </w:pPr>
            <w:r>
              <w:rPr>
                <w:b w:val="0"/>
                <w:sz w:val="19"/>
              </w:rPr>
              <w:t>不计次</w:t>
            </w:r>
          </w:p>
        </w:tc>
      </w:tr>
      <w:tr>
        <w:trPr>
          <w:cantSplit/>
        </w:trPr>
        <w:tc>
          <w:tcPr>
            <w:tcW w:type="dxa" w:w="2789"/>
            <w:vAlign w:val="center"/>
            <w:shd w:fill="F7F9FB"/>
          </w:tcPr>
          <w:p>
            <w:pPr>
              <w:spacing w:after="0" w:before="0" w:line="276" w:lineRule="auto"/>
            </w:pPr>
            <w:r>
              <w:rPr>
                <w:b w:val="0"/>
                <w:sz w:val="19"/>
              </w:rPr>
              <w:t>首题成功展示</w:t>
            </w:r>
          </w:p>
        </w:tc>
        <w:tc>
          <w:tcPr>
            <w:tcW w:type="dxa" w:w="6508"/>
            <w:vAlign w:val="center"/>
            <w:shd w:fill="F7F9FB"/>
          </w:tcPr>
          <w:p>
            <w:pPr>
              <w:spacing w:after="0" w:before="0" w:line="276" w:lineRule="auto"/>
            </w:pPr>
            <w:r>
              <w:rPr>
                <w:b w:val="0"/>
                <w:sz w:val="19"/>
              </w:rPr>
              <w:t>暂占 1 次</w:t>
            </w:r>
          </w:p>
        </w:tc>
      </w:tr>
      <w:tr>
        <w:trPr>
          <w:cantSplit/>
        </w:trPr>
        <w:tc>
          <w:tcPr>
            <w:tcW w:type="dxa" w:w="2789"/>
            <w:vAlign w:val="center"/>
            <w:shd w:fill="FFFFFF"/>
          </w:tcPr>
          <w:p>
            <w:pPr>
              <w:spacing w:after="0" w:before="0" w:line="276" w:lineRule="auto"/>
            </w:pPr>
            <w:r>
              <w:rPr>
                <w:b w:val="0"/>
                <w:sz w:val="19"/>
              </w:rPr>
              <w:t>正常结束且报告成功</w:t>
            </w:r>
          </w:p>
        </w:tc>
        <w:tc>
          <w:tcPr>
            <w:tcW w:type="dxa" w:w="6508"/>
            <w:vAlign w:val="center"/>
            <w:shd w:fill="FFFFFF"/>
          </w:tcPr>
          <w:p>
            <w:pPr>
              <w:spacing w:after="0" w:before="0" w:line="276" w:lineRule="auto"/>
            </w:pPr>
            <w:r>
              <w:rPr>
                <w:b w:val="0"/>
                <w:sz w:val="19"/>
              </w:rPr>
              <w:t>结算 1 次</w:t>
            </w:r>
          </w:p>
        </w:tc>
      </w:tr>
      <w:tr>
        <w:trPr>
          <w:cantSplit/>
        </w:trPr>
        <w:tc>
          <w:tcPr>
            <w:tcW w:type="dxa" w:w="2789"/>
            <w:vAlign w:val="center"/>
            <w:shd w:fill="F7F9FB"/>
          </w:tcPr>
          <w:p>
            <w:pPr>
              <w:spacing w:after="0" w:before="0" w:line="276" w:lineRule="auto"/>
            </w:pPr>
            <w:r>
              <w:rPr>
                <w:b w:val="0"/>
                <w:sz w:val="19"/>
              </w:rPr>
              <w:t>已答至少一题后主动结束且报告成功</w:t>
            </w:r>
          </w:p>
        </w:tc>
        <w:tc>
          <w:tcPr>
            <w:tcW w:type="dxa" w:w="6508"/>
            <w:vAlign w:val="center"/>
            <w:shd w:fill="F7F9FB"/>
          </w:tcPr>
          <w:p>
            <w:pPr>
              <w:spacing w:after="0" w:before="0" w:line="276" w:lineRule="auto"/>
            </w:pPr>
            <w:r>
              <w:rPr>
                <w:b w:val="0"/>
                <w:sz w:val="19"/>
              </w:rPr>
              <w:t>结算 1 次</w:t>
            </w:r>
          </w:p>
        </w:tc>
      </w:tr>
      <w:tr>
        <w:trPr>
          <w:cantSplit/>
        </w:trPr>
        <w:tc>
          <w:tcPr>
            <w:tcW w:type="dxa" w:w="2789"/>
            <w:vAlign w:val="center"/>
            <w:shd w:fill="FFFFFF"/>
          </w:tcPr>
          <w:p>
            <w:pPr>
              <w:spacing w:after="0" w:before="0" w:line="276" w:lineRule="auto"/>
            </w:pPr>
            <w:r>
              <w:rPr>
                <w:b w:val="0"/>
                <w:sz w:val="19"/>
              </w:rPr>
              <w:t>未答任何主问题就结束</w:t>
            </w:r>
          </w:p>
        </w:tc>
        <w:tc>
          <w:tcPr>
            <w:tcW w:type="dxa" w:w="6508"/>
            <w:vAlign w:val="center"/>
            <w:shd w:fill="FFFFFF"/>
          </w:tcPr>
          <w:p>
            <w:pPr>
              <w:spacing w:after="0" w:before="0" w:line="276" w:lineRule="auto"/>
            </w:pPr>
            <w:r>
              <w:rPr>
                <w:b w:val="0"/>
                <w:sz w:val="19"/>
              </w:rPr>
              <w:t>不扣次 释放暂占</w:t>
            </w:r>
          </w:p>
        </w:tc>
      </w:tr>
      <w:tr>
        <w:trPr>
          <w:cantSplit/>
        </w:trPr>
        <w:tc>
          <w:tcPr>
            <w:tcW w:type="dxa" w:w="2789"/>
            <w:vAlign w:val="center"/>
            <w:shd w:fill="F7F9FB"/>
          </w:tcPr>
          <w:p>
            <w:pPr>
              <w:spacing w:after="0" w:before="0" w:line="276" w:lineRule="auto"/>
            </w:pPr>
            <w:r>
              <w:rPr>
                <w:b w:val="0"/>
                <w:sz w:val="19"/>
              </w:rPr>
              <w:t>中断恢复或请求重试</w:t>
            </w:r>
          </w:p>
        </w:tc>
        <w:tc>
          <w:tcPr>
            <w:tcW w:type="dxa" w:w="6508"/>
            <w:vAlign w:val="center"/>
            <w:shd w:fill="F7F9FB"/>
          </w:tcPr>
          <w:p>
            <w:pPr>
              <w:spacing w:after="0" w:before="0" w:line="276" w:lineRule="auto"/>
            </w:pPr>
            <w:r>
              <w:rPr>
                <w:b w:val="0"/>
                <w:sz w:val="19"/>
              </w:rPr>
              <w:t>同场不重复计次</w:t>
            </w:r>
          </w:p>
        </w:tc>
      </w:tr>
      <w:tr>
        <w:trPr>
          <w:cantSplit/>
        </w:trPr>
        <w:tc>
          <w:tcPr>
            <w:tcW w:type="dxa" w:w="2789"/>
            <w:vAlign w:val="center"/>
            <w:shd w:fill="FFFFFF"/>
          </w:tcPr>
          <w:p>
            <w:pPr>
              <w:spacing w:after="0" w:before="0" w:line="276" w:lineRule="auto"/>
            </w:pPr>
            <w:r>
              <w:rPr>
                <w:b w:val="0"/>
                <w:sz w:val="19"/>
              </w:rPr>
              <w:t>报告暂时失败</w:t>
            </w:r>
          </w:p>
        </w:tc>
        <w:tc>
          <w:tcPr>
            <w:tcW w:type="dxa" w:w="6508"/>
            <w:vAlign w:val="center"/>
            <w:shd w:fill="FFFFFF"/>
          </w:tcPr>
          <w:p>
            <w:pPr>
              <w:spacing w:after="0" w:before="0" w:line="276" w:lineRule="auto"/>
            </w:pPr>
            <w:r>
              <w:rPr>
                <w:b w:val="0"/>
                <w:sz w:val="19"/>
              </w:rPr>
              <w:t>保留面试和暂占 允许重试</w:t>
            </w:r>
          </w:p>
        </w:tc>
      </w:tr>
      <w:tr>
        <w:trPr>
          <w:cantSplit/>
        </w:trPr>
        <w:tc>
          <w:tcPr>
            <w:tcW w:type="dxa" w:w="2789"/>
            <w:vAlign w:val="center"/>
            <w:shd w:fill="F7F9FB"/>
          </w:tcPr>
          <w:p>
            <w:pPr>
              <w:spacing w:after="0" w:before="0" w:line="276" w:lineRule="auto"/>
            </w:pPr>
            <w:r>
              <w:rPr>
                <w:b w:val="0"/>
                <w:sz w:val="19"/>
              </w:rPr>
              <w:t>整场系统故障最终失败</w:t>
            </w:r>
          </w:p>
        </w:tc>
        <w:tc>
          <w:tcPr>
            <w:tcW w:type="dxa" w:w="6508"/>
            <w:vAlign w:val="center"/>
            <w:shd w:fill="F7F9FB"/>
          </w:tcPr>
          <w:p>
            <w:pPr>
              <w:spacing w:after="0" w:before="0" w:line="276" w:lineRule="auto"/>
            </w:pPr>
            <w:r>
              <w:rPr>
                <w:b w:val="0"/>
                <w:sz w:val="19"/>
              </w:rPr>
              <w:t>不扣次 释放暂占</w:t>
            </w:r>
          </w:p>
        </w:tc>
      </w:tr>
    </w:tbl>
    <w:p>
      <w:pPr>
        <w:spacing w:after="40" w:before="0" w:line="96" w:lineRule="auto"/>
      </w:pPr>
    </w:p>
    <w:p>
      <w:r>
        <w:t>跨天面试归属开始日期，即首题成功展示时所属的北京时间日期；次日独立重置，不把旧场次再计入次日。实际供应商费用与产品面试次数分别管理，失败不扣用户次数不代表供应商不收费。</w:t>
      </w:r>
    </w:p>
    <w:p>
      <w:r>
        <w:t>生成模型采用阿里云百炼 qwen3.7-plus-2026-05-26；向量模型采用 text-embedding-v4。模型由维护者配置，普通用户不提交服务密钥；不接入实时搜索或模型内置联网。每场开始时固定配置，修改只影响新场次。失败优先原模型重试，不静默换模型。同场同一时刻只处理一个生成操作。切换生成模型前运行固定评审样例并通过；更换向量模型属于知识库升级，需要重新验证检索效果，不能只修改配置。</w:t>
      </w:r>
    </w:p>
    <w:p>
      <w:pPr>
        <w:pStyle w:val="Heading2"/>
      </w:pPr>
      <w:r>
        <w:t>PRD 12 失败恢复与等待上限</w:t>
      </w:r>
    </w:p>
    <w:p>
      <w:r>
        <w:t>区分处理中、成功、失败，不将空结果视为成功。已保存回答不因反馈或报告失败丢失。重复提交不得无意生成重复面试、答案记录或报告，不重复占用或结算额度。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89"/>
        <w:gridCol w:w="6508"/>
      </w:tblGrid>
      <w:tr>
        <w:trPr>
          <w:cantSplit/>
          <w:tblHeader/>
        </w:trPr>
        <w:tc>
          <w:tcPr>
            <w:tcW w:type="dxa" w:w="2789"/>
            <w:vAlign w:val="center"/>
            <w:shd w:fill="E8EDF2"/>
          </w:tcPr>
          <w:p>
            <w:pPr>
              <w:spacing w:after="0" w:before="0" w:line="276" w:lineRule="auto"/>
            </w:pPr>
            <w:r>
              <w:rPr>
                <w:b/>
                <w:sz w:val="19"/>
              </w:rPr>
              <w:t>操作</w:t>
            </w:r>
          </w:p>
        </w:tc>
        <w:tc>
          <w:tcPr>
            <w:tcW w:type="dxa" w:w="6508"/>
            <w:vAlign w:val="center"/>
            <w:shd w:fill="E8EDF2"/>
          </w:tcPr>
          <w:p>
            <w:pPr>
              <w:spacing w:after="0" w:before="0" w:line="276" w:lineRule="auto"/>
            </w:pPr>
            <w:r>
              <w:rPr>
                <w:b/>
                <w:sz w:val="19"/>
              </w:rPr>
              <w:t>初始单次等待上限</w:t>
            </w:r>
          </w:p>
        </w:tc>
      </w:tr>
      <w:tr>
        <w:trPr>
          <w:cantSplit/>
        </w:trPr>
        <w:tc>
          <w:tcPr>
            <w:tcW w:type="dxa" w:w="2789"/>
            <w:vAlign w:val="center"/>
            <w:shd w:fill="FFFFFF"/>
          </w:tcPr>
          <w:p>
            <w:pPr>
              <w:spacing w:after="0" w:before="0" w:line="276" w:lineRule="auto"/>
            </w:pPr>
            <w:r>
              <w:rPr>
                <w:b w:val="0"/>
                <w:sz w:val="19"/>
              </w:rPr>
              <w:t>计划生成</w:t>
            </w:r>
          </w:p>
        </w:tc>
        <w:tc>
          <w:tcPr>
            <w:tcW w:type="dxa" w:w="6508"/>
            <w:vAlign w:val="center"/>
            <w:shd w:fill="FFFFFF"/>
          </w:tcPr>
          <w:p>
            <w:pPr>
              <w:spacing w:after="0" w:before="0" w:line="276" w:lineRule="auto"/>
            </w:pPr>
            <w:r>
              <w:rPr>
                <w:b w:val="0"/>
                <w:sz w:val="19"/>
              </w:rPr>
              <w:t>60 秒</w:t>
            </w:r>
          </w:p>
        </w:tc>
      </w:tr>
      <w:tr>
        <w:trPr>
          <w:cantSplit/>
        </w:trPr>
        <w:tc>
          <w:tcPr>
            <w:tcW w:type="dxa" w:w="2789"/>
            <w:vAlign w:val="center"/>
            <w:shd w:fill="F7F9FB"/>
          </w:tcPr>
          <w:p>
            <w:pPr>
              <w:spacing w:after="0" w:before="0" w:line="276" w:lineRule="auto"/>
            </w:pPr>
            <w:r>
              <w:rPr>
                <w:b w:val="0"/>
                <w:sz w:val="19"/>
              </w:rPr>
              <w:t>出题</w:t>
            </w:r>
          </w:p>
        </w:tc>
        <w:tc>
          <w:tcPr>
            <w:tcW w:type="dxa" w:w="6508"/>
            <w:vAlign w:val="center"/>
            <w:shd w:fill="F7F9FB"/>
          </w:tcPr>
          <w:p>
            <w:pPr>
              <w:spacing w:after="0" w:before="0" w:line="276" w:lineRule="auto"/>
            </w:pPr>
            <w:r>
              <w:rPr>
                <w:b w:val="0"/>
                <w:sz w:val="19"/>
              </w:rPr>
              <w:t>30 秒</w:t>
            </w:r>
          </w:p>
        </w:tc>
      </w:tr>
      <w:tr>
        <w:trPr>
          <w:cantSplit/>
        </w:trPr>
        <w:tc>
          <w:tcPr>
            <w:tcW w:type="dxa" w:w="2789"/>
            <w:vAlign w:val="center"/>
            <w:shd w:fill="FFFFFF"/>
          </w:tcPr>
          <w:p>
            <w:pPr>
              <w:spacing w:after="0" w:before="0" w:line="276" w:lineRule="auto"/>
            </w:pPr>
            <w:r>
              <w:rPr>
                <w:b w:val="0"/>
                <w:sz w:val="19"/>
              </w:rPr>
              <w:t>反馈生成</w:t>
            </w:r>
          </w:p>
        </w:tc>
        <w:tc>
          <w:tcPr>
            <w:tcW w:type="dxa" w:w="6508"/>
            <w:vAlign w:val="center"/>
            <w:shd w:fill="FFFFFF"/>
          </w:tcPr>
          <w:p>
            <w:pPr>
              <w:spacing w:after="0" w:before="0" w:line="276" w:lineRule="auto"/>
            </w:pPr>
            <w:r>
              <w:rPr>
                <w:b w:val="0"/>
                <w:sz w:val="19"/>
              </w:rPr>
              <w:t>60 秒</w:t>
            </w:r>
          </w:p>
        </w:tc>
      </w:tr>
      <w:tr>
        <w:trPr>
          <w:cantSplit/>
        </w:trPr>
        <w:tc>
          <w:tcPr>
            <w:tcW w:type="dxa" w:w="2789"/>
            <w:vAlign w:val="center"/>
            <w:shd w:fill="F7F9FB"/>
          </w:tcPr>
          <w:p>
            <w:pPr>
              <w:spacing w:after="0" w:before="0" w:line="276" w:lineRule="auto"/>
            </w:pPr>
            <w:r>
              <w:rPr>
                <w:b w:val="0"/>
                <w:sz w:val="19"/>
              </w:rPr>
              <w:t>报告生成</w:t>
            </w:r>
          </w:p>
        </w:tc>
        <w:tc>
          <w:tcPr>
            <w:tcW w:type="dxa" w:w="6508"/>
            <w:vAlign w:val="center"/>
            <w:shd w:fill="F7F9FB"/>
          </w:tcPr>
          <w:p>
            <w:pPr>
              <w:spacing w:after="0" w:before="0" w:line="276" w:lineRule="auto"/>
            </w:pPr>
            <w:r>
              <w:rPr>
                <w:b w:val="0"/>
                <w:sz w:val="19"/>
              </w:rPr>
              <w:t>90 秒</w:t>
            </w:r>
          </w:p>
        </w:tc>
      </w:tr>
    </w:tbl>
    <w:p>
      <w:pPr>
        <w:spacing w:after="40" w:before="0" w:line="96" w:lineRule="auto"/>
      </w:pPr>
    </w:p>
    <w:p>
      <w:r>
        <w:t>关键生成步骤初始尝试 1 次，暂时性失败自动重试 1 次，再允许手动重试最多 2 次，共最多 4 次；手动重试不再追加自动重试。上述时间为单次尝试上限，重试可延长总体等待，状态和次数须可识别。没有实时搜索超时或搜索重试步骤；知识依据不足按 PRD-06 处理，不与模型服务故障混淆。解析单次 30 秒，超时提示重试或粘贴正文；文件损坏或加密直接提示正文兜底。权限、额度、无效输入等确定性拒绝不作为临时故障重试。</w:t>
      </w:r>
    </w:p>
    <w:p>
      <w:r>
        <w:t>错误提示不得泄露服务凭证或他人数据。面试中关键生成步骤达到重试上限，整场标记系统最终失败并释放暂占，不扣次；计划或解析失败只影响该操作，尚未开始面试则无次数扣减。已结束或失败后迟到的结果不得改写终态或再次结算。无作答、提交或显式恢复操作满 24 小时，标记已过期并释放暂占；仅保持浏览器开启或刷新列表不延长时限。24 小时内可恢复原场，超过时限不能恢复。过期、系统最终失败、零作答结束及已有回答的主动结束均为终态，不追加回答；可用原资料计划新开面试，按新场当天额度处理。</w:t>
      </w:r>
    </w:p>
    <w:p>
      <w:pPr>
        <w:pStyle w:val="Heading1"/>
      </w:pPr>
      <w:r>
        <w:t>5 难度知识覆盖与评审门槛</w:t>
      </w:r>
    </w:p>
    <w:p>
      <w:pPr>
        <w:pStyle w:val="Heading2"/>
      </w:pPr>
      <w:r>
        <w:t>5 1 难度与知识覆盖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89"/>
        <w:gridCol w:w="6508"/>
      </w:tblGrid>
      <w:tr>
        <w:trPr>
          <w:cantSplit/>
          <w:tblHeader/>
        </w:trPr>
        <w:tc>
          <w:tcPr>
            <w:tcW w:type="dxa" w:w="2789"/>
            <w:vAlign w:val="center"/>
            <w:shd w:fill="E8EDF2"/>
          </w:tcPr>
          <w:p>
            <w:pPr>
              <w:spacing w:after="0" w:before="0" w:line="276" w:lineRule="auto"/>
            </w:pPr>
            <w:r>
              <w:rPr>
                <w:b/>
                <w:sz w:val="19"/>
              </w:rPr>
              <w:t>难度</w:t>
            </w:r>
          </w:p>
        </w:tc>
        <w:tc>
          <w:tcPr>
            <w:tcW w:type="dxa" w:w="6508"/>
            <w:vAlign w:val="center"/>
            <w:shd w:fill="E8EDF2"/>
          </w:tcPr>
          <w:p>
            <w:pPr>
              <w:spacing w:after="0" w:before="0" w:line="276" w:lineRule="auto"/>
            </w:pPr>
            <w:r>
              <w:rPr>
                <w:b/>
                <w:sz w:val="19"/>
              </w:rPr>
              <w:t>考察重点</w:t>
            </w:r>
          </w:p>
        </w:tc>
      </w:tr>
      <w:tr>
        <w:trPr>
          <w:cantSplit/>
        </w:trPr>
        <w:tc>
          <w:tcPr>
            <w:tcW w:type="dxa" w:w="2789"/>
            <w:vAlign w:val="center"/>
            <w:shd w:fill="FFFFFF"/>
          </w:tcPr>
          <w:p>
            <w:pPr>
              <w:spacing w:after="0" w:before="0" w:line="276" w:lineRule="auto"/>
            </w:pPr>
            <w:r>
              <w:rPr>
                <w:b w:val="0"/>
                <w:sz w:val="19"/>
              </w:rPr>
              <w:t>基础</w:t>
            </w:r>
          </w:p>
        </w:tc>
        <w:tc>
          <w:tcPr>
            <w:tcW w:type="dxa" w:w="6508"/>
            <w:vAlign w:val="center"/>
            <w:shd w:fill="FFFFFF"/>
          </w:tcPr>
          <w:p>
            <w:pPr>
              <w:spacing w:after="0" w:before="0" w:line="276" w:lineRule="auto"/>
            </w:pPr>
            <w:r>
              <w:rPr>
                <w:b w:val="0"/>
                <w:sz w:val="19"/>
              </w:rPr>
              <w:t>概念 常见用法 简单问题定位</w:t>
            </w:r>
          </w:p>
        </w:tc>
      </w:tr>
      <w:tr>
        <w:trPr>
          <w:cantSplit/>
        </w:trPr>
        <w:tc>
          <w:tcPr>
            <w:tcW w:type="dxa" w:w="2789"/>
            <w:vAlign w:val="center"/>
            <w:shd w:fill="F7F9FB"/>
          </w:tcPr>
          <w:p>
            <w:pPr>
              <w:spacing w:after="0" w:before="0" w:line="276" w:lineRule="auto"/>
            </w:pPr>
            <w:r>
              <w:rPr>
                <w:b w:val="0"/>
                <w:sz w:val="19"/>
              </w:rPr>
              <w:t>中等</w:t>
            </w:r>
          </w:p>
        </w:tc>
        <w:tc>
          <w:tcPr>
            <w:tcW w:type="dxa" w:w="6508"/>
            <w:vAlign w:val="center"/>
            <w:shd w:fill="F7F9FB"/>
          </w:tcPr>
          <w:p>
            <w:pPr>
              <w:spacing w:after="0" w:before="0" w:line="276" w:lineRule="auto"/>
            </w:pPr>
            <w:r>
              <w:rPr>
                <w:b w:val="0"/>
                <w:sz w:val="19"/>
              </w:rPr>
              <w:t>原理 场景应用 常见故障 方案比较</w:t>
            </w:r>
          </w:p>
        </w:tc>
      </w:tr>
      <w:tr>
        <w:trPr>
          <w:cantSplit/>
        </w:trPr>
        <w:tc>
          <w:tcPr>
            <w:tcW w:type="dxa" w:w="2789"/>
            <w:vAlign w:val="center"/>
            <w:shd w:fill="FFFFFF"/>
          </w:tcPr>
          <w:p>
            <w:pPr>
              <w:spacing w:after="0" w:before="0" w:line="276" w:lineRule="auto"/>
            </w:pPr>
            <w:r>
              <w:rPr>
                <w:b w:val="0"/>
                <w:sz w:val="19"/>
              </w:rPr>
              <w:t>进阶</w:t>
            </w:r>
          </w:p>
        </w:tc>
        <w:tc>
          <w:tcPr>
            <w:tcW w:type="dxa" w:w="6508"/>
            <w:vAlign w:val="center"/>
            <w:shd w:fill="FFFFFF"/>
          </w:tcPr>
          <w:p>
            <w:pPr>
              <w:spacing w:after="0" w:before="0" w:line="276" w:lineRule="auto"/>
            </w:pPr>
            <w:r>
              <w:rPr>
                <w:b w:val="0"/>
                <w:sz w:val="19"/>
              </w:rPr>
              <w:t>多条件约束 性能一致性权衡 复杂故障 项目决策依据</w:t>
            </w:r>
          </w:p>
        </w:tc>
      </w:tr>
    </w:tbl>
    <w:p>
      <w:pPr>
        <w:spacing w:after="40" w:before="0" w:line="96" w:lineRule="auto"/>
      </w:pPr>
    </w:p>
    <w:p>
      <w:r>
        <w:t>默认中等，开始前可调整。难度不等同工作年限，选择进阶不自动加分，每题按自身要求评价。首期覆盖 Java 基础与集合、并发、JVM、Spring 与 Spring Boot、MySQL、Redis、HTTP 与网络基础、项目经历及基础系统设计。</w:t>
      </w:r>
    </w:p>
    <w:p>
      <w:r>
        <w:t>资料标注版本，版本差异题明确适用条件，条件不清不作确定性评分；不承诺全部框架、中间件和历史版本。</w:t>
      </w:r>
    </w:p>
    <w:p>
      <w:pPr>
        <w:pStyle w:val="Heading2"/>
      </w:pPr>
      <w:r>
        <w:t>5 2 通用评分锚点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31"/>
        <w:gridCol w:w="2696"/>
        <w:gridCol w:w="4370"/>
      </w:tblGrid>
      <w:tr>
        <w:trPr>
          <w:cantSplit/>
          <w:tblHeader/>
        </w:trPr>
        <w:tc>
          <w:tcPr>
            <w:tcW w:type="dxa" w:w="2231"/>
            <w:vAlign w:val="center"/>
            <w:shd w:fill="E8EDF2"/>
          </w:tcPr>
          <w:p>
            <w:pPr>
              <w:spacing w:after="0" w:before="0" w:line="276" w:lineRule="auto"/>
            </w:pPr>
            <w:r>
              <w:rPr>
                <w:b/>
                <w:sz w:val="19"/>
              </w:rPr>
              <w:t>档位</w:t>
            </w:r>
          </w:p>
        </w:tc>
        <w:tc>
          <w:tcPr>
            <w:tcW w:type="dxa" w:w="2696"/>
            <w:vAlign w:val="center"/>
            <w:shd w:fill="E8EDF2"/>
          </w:tcPr>
          <w:p>
            <w:pPr>
              <w:spacing w:after="0" w:before="0" w:line="276" w:lineRule="auto"/>
            </w:pPr>
            <w:r>
              <w:rPr>
                <w:b/>
                <w:sz w:val="19"/>
              </w:rPr>
              <w:t>技术准确性</w:t>
            </w:r>
          </w:p>
        </w:tc>
        <w:tc>
          <w:tcPr>
            <w:tcW w:type="dxa" w:w="4370"/>
            <w:vAlign w:val="center"/>
            <w:shd w:fill="E8EDF2"/>
          </w:tcPr>
          <w:p>
            <w:pPr>
              <w:spacing w:after="0" w:before="0" w:line="276" w:lineRule="auto"/>
            </w:pPr>
            <w:r>
              <w:rPr>
                <w:b/>
                <w:sz w:val="19"/>
              </w:rPr>
              <w:t>内容完整性</w:t>
            </w:r>
          </w:p>
        </w:tc>
      </w:tr>
      <w:tr>
        <w:trPr>
          <w:cantSplit/>
        </w:trPr>
        <w:tc>
          <w:tcPr>
            <w:tcW w:type="dxa" w:w="2231"/>
            <w:vAlign w:val="center"/>
            <w:shd w:fill="FFFFFF"/>
          </w:tcPr>
          <w:p>
            <w:pPr>
              <w:spacing w:after="0" w:before="0" w:line="276" w:lineRule="auto"/>
            </w:pPr>
            <w:r>
              <w:rPr>
                <w:b w:val="0"/>
                <w:sz w:val="19"/>
              </w:rPr>
              <w:t>90 至 100</w:t>
            </w:r>
          </w:p>
        </w:tc>
        <w:tc>
          <w:tcPr>
            <w:tcW w:type="dxa" w:w="2696"/>
            <w:vAlign w:val="center"/>
            <w:shd w:fill="FFFFFF"/>
          </w:tcPr>
          <w:p>
            <w:pPr>
              <w:spacing w:after="0" w:before="0" w:line="276" w:lineRule="auto"/>
            </w:pPr>
            <w:r>
              <w:rPr>
                <w:b w:val="0"/>
                <w:sz w:val="19"/>
              </w:rPr>
              <w:t>核心正确 能说明适用条件</w:t>
            </w:r>
          </w:p>
        </w:tc>
        <w:tc>
          <w:tcPr>
            <w:tcW w:type="dxa" w:w="4370"/>
            <w:vAlign w:val="center"/>
            <w:shd w:fill="FFFFFF"/>
          </w:tcPr>
          <w:p>
            <w:pPr>
              <w:spacing w:after="0" w:before="0" w:line="276" w:lineRule="auto"/>
            </w:pPr>
            <w:r>
              <w:rPr>
                <w:b w:val="0"/>
                <w:sz w:val="19"/>
              </w:rPr>
              <w:t>必答点基本覆盖</w:t>
            </w:r>
          </w:p>
        </w:tc>
      </w:tr>
      <w:tr>
        <w:trPr>
          <w:cantSplit/>
        </w:trPr>
        <w:tc>
          <w:tcPr>
            <w:tcW w:type="dxa" w:w="2231"/>
            <w:vAlign w:val="center"/>
            <w:shd w:fill="F7F9FB"/>
          </w:tcPr>
          <w:p>
            <w:pPr>
              <w:spacing w:after="0" w:before="0" w:line="276" w:lineRule="auto"/>
            </w:pPr>
            <w:r>
              <w:rPr>
                <w:b w:val="0"/>
                <w:sz w:val="19"/>
              </w:rPr>
              <w:t>75 至 89</w:t>
            </w:r>
          </w:p>
        </w:tc>
        <w:tc>
          <w:tcPr>
            <w:tcW w:type="dxa" w:w="2696"/>
            <w:vAlign w:val="center"/>
            <w:shd w:fill="F7F9FB"/>
          </w:tcPr>
          <w:p>
            <w:pPr>
              <w:spacing w:after="0" w:before="0" w:line="276" w:lineRule="auto"/>
            </w:pPr>
            <w:r>
              <w:rPr>
                <w:b w:val="0"/>
                <w:sz w:val="19"/>
              </w:rPr>
              <w:t>核心正确 有轻微不足</w:t>
            </w:r>
          </w:p>
        </w:tc>
        <w:tc>
          <w:tcPr>
            <w:tcW w:type="dxa" w:w="4370"/>
            <w:vAlign w:val="center"/>
            <w:shd w:fill="F7F9FB"/>
          </w:tcPr>
          <w:p>
            <w:pPr>
              <w:spacing w:after="0" w:before="0" w:line="276" w:lineRule="auto"/>
            </w:pPr>
            <w:r>
              <w:rPr>
                <w:b w:val="0"/>
                <w:sz w:val="19"/>
              </w:rPr>
              <w:t>覆盖主要要点</w:t>
            </w:r>
          </w:p>
        </w:tc>
      </w:tr>
      <w:tr>
        <w:trPr>
          <w:cantSplit/>
        </w:trPr>
        <w:tc>
          <w:tcPr>
            <w:tcW w:type="dxa" w:w="2231"/>
            <w:vAlign w:val="center"/>
            <w:shd w:fill="FFFFFF"/>
          </w:tcPr>
          <w:p>
            <w:pPr>
              <w:spacing w:after="0" w:before="0" w:line="276" w:lineRule="auto"/>
            </w:pPr>
            <w:r>
              <w:rPr>
                <w:b w:val="0"/>
                <w:sz w:val="19"/>
              </w:rPr>
              <w:t>60 至 74</w:t>
            </w:r>
          </w:p>
        </w:tc>
        <w:tc>
          <w:tcPr>
            <w:tcW w:type="dxa" w:w="2696"/>
            <w:vAlign w:val="center"/>
            <w:shd w:fill="FFFFFF"/>
          </w:tcPr>
          <w:p>
            <w:pPr>
              <w:spacing w:after="0" w:before="0" w:line="276" w:lineRule="auto"/>
            </w:pPr>
            <w:r>
              <w:rPr>
                <w:b w:val="0"/>
                <w:sz w:val="19"/>
              </w:rPr>
              <w:t>基本概念正确 解释较浅</w:t>
            </w:r>
          </w:p>
        </w:tc>
        <w:tc>
          <w:tcPr>
            <w:tcW w:type="dxa" w:w="4370"/>
            <w:vAlign w:val="center"/>
            <w:shd w:fill="FFFFFF"/>
          </w:tcPr>
          <w:p>
            <w:pPr>
              <w:spacing w:after="0" w:before="0" w:line="276" w:lineRule="auto"/>
            </w:pPr>
            <w:r>
              <w:rPr>
                <w:b w:val="0"/>
                <w:sz w:val="19"/>
              </w:rPr>
              <w:t>遗漏部分重要内容</w:t>
            </w:r>
          </w:p>
        </w:tc>
      </w:tr>
      <w:tr>
        <w:trPr>
          <w:cantSplit/>
        </w:trPr>
        <w:tc>
          <w:tcPr>
            <w:tcW w:type="dxa" w:w="2231"/>
            <w:vAlign w:val="center"/>
            <w:shd w:fill="F7F9FB"/>
          </w:tcPr>
          <w:p>
            <w:pPr>
              <w:spacing w:after="0" w:before="0" w:line="276" w:lineRule="auto"/>
            </w:pPr>
            <w:r>
              <w:rPr>
                <w:b w:val="0"/>
                <w:sz w:val="19"/>
              </w:rPr>
              <w:t>40 至 59</w:t>
            </w:r>
          </w:p>
        </w:tc>
        <w:tc>
          <w:tcPr>
            <w:tcW w:type="dxa" w:w="2696"/>
            <w:vAlign w:val="center"/>
            <w:shd w:fill="F7F9FB"/>
          </w:tcPr>
          <w:p>
            <w:pPr>
              <w:spacing w:after="0" w:before="0" w:line="276" w:lineRule="auto"/>
            </w:pPr>
            <w:r>
              <w:rPr>
                <w:b w:val="0"/>
                <w:sz w:val="19"/>
              </w:rPr>
              <w:t>明显概念或推理错误</w:t>
            </w:r>
          </w:p>
        </w:tc>
        <w:tc>
          <w:tcPr>
            <w:tcW w:type="dxa" w:w="4370"/>
            <w:vAlign w:val="center"/>
            <w:shd w:fill="F7F9FB"/>
          </w:tcPr>
          <w:p>
            <w:pPr>
              <w:spacing w:after="0" w:before="0" w:line="276" w:lineRule="auto"/>
            </w:pPr>
            <w:r>
              <w:rPr>
                <w:b w:val="0"/>
                <w:sz w:val="19"/>
              </w:rPr>
              <w:t>关键内容缺失较多</w:t>
            </w:r>
          </w:p>
        </w:tc>
      </w:tr>
      <w:tr>
        <w:trPr>
          <w:cantSplit/>
        </w:trPr>
        <w:tc>
          <w:tcPr>
            <w:tcW w:type="dxa" w:w="2231"/>
            <w:vAlign w:val="center"/>
            <w:shd w:fill="FFFFFF"/>
          </w:tcPr>
          <w:p>
            <w:pPr>
              <w:spacing w:after="0" w:before="0" w:line="276" w:lineRule="auto"/>
            </w:pPr>
            <w:r>
              <w:rPr>
                <w:b w:val="0"/>
                <w:sz w:val="19"/>
              </w:rPr>
              <w:t>0 至 39</w:t>
            </w:r>
          </w:p>
        </w:tc>
        <w:tc>
          <w:tcPr>
            <w:tcW w:type="dxa" w:w="2696"/>
            <w:vAlign w:val="center"/>
            <w:shd w:fill="FFFFFF"/>
          </w:tcPr>
          <w:p>
            <w:pPr>
              <w:spacing w:after="0" w:before="0" w:line="276" w:lineRule="auto"/>
            </w:pPr>
            <w:r>
              <w:rPr>
                <w:b w:val="0"/>
                <w:sz w:val="19"/>
              </w:rPr>
              <w:t>核心结论错误</w:t>
            </w:r>
          </w:p>
        </w:tc>
        <w:tc>
          <w:tcPr>
            <w:tcW w:type="dxa" w:w="4370"/>
            <w:vAlign w:val="center"/>
            <w:shd w:fill="FFFFFF"/>
          </w:tcPr>
          <w:p>
            <w:pPr>
              <w:spacing w:after="0" w:before="0" w:line="276" w:lineRule="auto"/>
            </w:pPr>
            <w:r>
              <w:rPr>
                <w:b w:val="0"/>
                <w:sz w:val="19"/>
              </w:rPr>
              <w:t>几乎未覆盖要求</w:t>
            </w:r>
          </w:p>
        </w:tc>
      </w:tr>
      <w:tr>
        <w:trPr>
          <w:cantSplit/>
        </w:trPr>
        <w:tc>
          <w:tcPr>
            <w:tcW w:type="dxa" w:w="2231"/>
            <w:vAlign w:val="center"/>
            <w:shd w:fill="F7F9FB"/>
          </w:tcPr>
          <w:p>
            <w:pPr>
              <w:spacing w:after="0" w:before="0" w:line="276" w:lineRule="auto"/>
            </w:pPr>
            <w:r>
              <w:rPr>
                <w:b w:val="0"/>
                <w:sz w:val="19"/>
              </w:rPr>
              <w:t>档位</w:t>
            </w:r>
          </w:p>
        </w:tc>
        <w:tc>
          <w:tcPr>
            <w:tcW w:type="dxa" w:w="2696"/>
            <w:vAlign w:val="center"/>
            <w:shd w:fill="F7F9FB"/>
          </w:tcPr>
          <w:p>
            <w:pPr>
              <w:spacing w:after="0" w:before="0" w:line="276" w:lineRule="auto"/>
            </w:pPr>
            <w:r>
              <w:rPr>
                <w:b w:val="0"/>
                <w:sz w:val="19"/>
              </w:rPr>
              <w:t>表达与逻辑</w:t>
            </w:r>
          </w:p>
        </w:tc>
        <w:tc>
          <w:tcPr>
            <w:tcW w:type="dxa" w:w="4370"/>
            <w:vAlign w:val="center"/>
            <w:shd w:fill="F7F9FB"/>
          </w:tcPr>
          <w:p>
            <w:pPr>
              <w:spacing w:after="0" w:before="0" w:line="276" w:lineRule="auto"/>
            </w:pPr>
            <w:r>
              <w:rPr>
                <w:b w:val="0"/>
                <w:sz w:val="19"/>
              </w:rPr>
              <w:t>题目相关性</w:t>
            </w:r>
          </w:p>
        </w:tc>
      </w:tr>
      <w:tr>
        <w:trPr>
          <w:cantSplit/>
        </w:trPr>
        <w:tc>
          <w:tcPr>
            <w:tcW w:type="dxa" w:w="2231"/>
            <w:vAlign w:val="center"/>
            <w:shd w:fill="FFFFFF"/>
          </w:tcPr>
          <w:p>
            <w:pPr>
              <w:spacing w:after="0" w:before="0" w:line="276" w:lineRule="auto"/>
            </w:pPr>
            <w:r>
              <w:rPr>
                <w:b w:val="0"/>
                <w:sz w:val="19"/>
              </w:rPr>
              <w:t>90 至 100</w:t>
            </w:r>
          </w:p>
        </w:tc>
        <w:tc>
          <w:tcPr>
            <w:tcW w:type="dxa" w:w="2696"/>
            <w:vAlign w:val="center"/>
            <w:shd w:fill="FFFFFF"/>
          </w:tcPr>
          <w:p>
            <w:pPr>
              <w:spacing w:after="0" w:before="0" w:line="276" w:lineRule="auto"/>
            </w:pPr>
            <w:r>
              <w:rPr>
                <w:b w:val="0"/>
                <w:sz w:val="19"/>
              </w:rPr>
              <w:t>结构清楚 推理完整</w:t>
            </w:r>
          </w:p>
        </w:tc>
        <w:tc>
          <w:tcPr>
            <w:tcW w:type="dxa" w:w="4370"/>
            <w:vAlign w:val="center"/>
            <w:shd w:fill="FFFFFF"/>
          </w:tcPr>
          <w:p>
            <w:pPr>
              <w:spacing w:after="0" w:before="0" w:line="276" w:lineRule="auto"/>
            </w:pPr>
            <w:r>
              <w:rPr>
                <w:b w:val="0"/>
                <w:sz w:val="19"/>
              </w:rPr>
              <w:t>紧扣问题与场景</w:t>
            </w:r>
          </w:p>
        </w:tc>
      </w:tr>
      <w:tr>
        <w:trPr>
          <w:cantSplit/>
        </w:trPr>
        <w:tc>
          <w:tcPr>
            <w:tcW w:type="dxa" w:w="2231"/>
            <w:vAlign w:val="center"/>
            <w:shd w:fill="F7F9FB"/>
          </w:tcPr>
          <w:p>
            <w:pPr>
              <w:spacing w:after="0" w:before="0" w:line="276" w:lineRule="auto"/>
            </w:pPr>
            <w:r>
              <w:rPr>
                <w:b w:val="0"/>
                <w:sz w:val="19"/>
              </w:rPr>
              <w:t>75 至 89</w:t>
            </w:r>
          </w:p>
        </w:tc>
        <w:tc>
          <w:tcPr>
            <w:tcW w:type="dxa" w:w="2696"/>
            <w:vAlign w:val="center"/>
            <w:shd w:fill="F7F9FB"/>
          </w:tcPr>
          <w:p>
            <w:pPr>
              <w:spacing w:after="0" w:before="0" w:line="276" w:lineRule="auto"/>
            </w:pPr>
            <w:r>
              <w:rPr>
                <w:b w:val="0"/>
                <w:sz w:val="19"/>
              </w:rPr>
              <w:t>整体连贯 少量跳跃</w:t>
            </w:r>
          </w:p>
        </w:tc>
        <w:tc>
          <w:tcPr>
            <w:tcW w:type="dxa" w:w="4370"/>
            <w:vAlign w:val="center"/>
            <w:shd w:fill="F7F9FB"/>
          </w:tcPr>
          <w:p>
            <w:pPr>
              <w:spacing w:after="0" w:before="0" w:line="276" w:lineRule="auto"/>
            </w:pPr>
            <w:r>
              <w:rPr>
                <w:b w:val="0"/>
                <w:sz w:val="19"/>
              </w:rPr>
              <w:t>基本围绕问题</w:t>
            </w:r>
          </w:p>
        </w:tc>
      </w:tr>
      <w:tr>
        <w:trPr>
          <w:cantSplit/>
        </w:trPr>
        <w:tc>
          <w:tcPr>
            <w:tcW w:type="dxa" w:w="2231"/>
            <w:vAlign w:val="center"/>
            <w:shd w:fill="FFFFFF"/>
          </w:tcPr>
          <w:p>
            <w:pPr>
              <w:spacing w:after="0" w:before="0" w:line="276" w:lineRule="auto"/>
            </w:pPr>
            <w:r>
              <w:rPr>
                <w:b w:val="0"/>
                <w:sz w:val="19"/>
              </w:rPr>
              <w:t>60 至 74</w:t>
            </w:r>
          </w:p>
        </w:tc>
        <w:tc>
          <w:tcPr>
            <w:tcW w:type="dxa" w:w="2696"/>
            <w:vAlign w:val="center"/>
            <w:shd w:fill="FFFFFF"/>
          </w:tcPr>
          <w:p>
            <w:pPr>
              <w:spacing w:after="0" w:before="0" w:line="276" w:lineRule="auto"/>
            </w:pPr>
            <w:r>
              <w:rPr>
                <w:b w:val="0"/>
                <w:sz w:val="19"/>
              </w:rPr>
              <w:t>能理解 组织一般</w:t>
            </w:r>
          </w:p>
        </w:tc>
        <w:tc>
          <w:tcPr>
            <w:tcW w:type="dxa" w:w="4370"/>
            <w:vAlign w:val="center"/>
            <w:shd w:fill="FFFFFF"/>
          </w:tcPr>
          <w:p>
            <w:pPr>
              <w:spacing w:after="0" w:before="0" w:line="276" w:lineRule="auto"/>
            </w:pPr>
            <w:r>
              <w:rPr>
                <w:b w:val="0"/>
                <w:sz w:val="19"/>
              </w:rPr>
              <w:t>回应部分要求</w:t>
            </w:r>
          </w:p>
        </w:tc>
      </w:tr>
      <w:tr>
        <w:trPr>
          <w:cantSplit/>
        </w:trPr>
        <w:tc>
          <w:tcPr>
            <w:tcW w:type="dxa" w:w="2231"/>
            <w:vAlign w:val="center"/>
            <w:shd w:fill="F7F9FB"/>
          </w:tcPr>
          <w:p>
            <w:pPr>
              <w:spacing w:after="0" w:before="0" w:line="276" w:lineRule="auto"/>
            </w:pPr>
            <w:r>
              <w:rPr>
                <w:b w:val="0"/>
                <w:sz w:val="19"/>
              </w:rPr>
              <w:t>40 至 59</w:t>
            </w:r>
          </w:p>
        </w:tc>
        <w:tc>
          <w:tcPr>
            <w:tcW w:type="dxa" w:w="2696"/>
            <w:vAlign w:val="center"/>
            <w:shd w:fill="F7F9FB"/>
          </w:tcPr>
          <w:p>
            <w:pPr>
              <w:spacing w:after="0" w:before="0" w:line="276" w:lineRule="auto"/>
            </w:pPr>
            <w:r>
              <w:rPr>
                <w:b w:val="0"/>
                <w:sz w:val="19"/>
              </w:rPr>
              <w:t>推理断裂或表述混乱</w:t>
            </w:r>
          </w:p>
        </w:tc>
        <w:tc>
          <w:tcPr>
            <w:tcW w:type="dxa" w:w="4370"/>
            <w:vAlign w:val="center"/>
            <w:shd w:fill="F7F9FB"/>
          </w:tcPr>
          <w:p>
            <w:pPr>
              <w:spacing w:after="0" w:before="0" w:line="276" w:lineRule="auto"/>
            </w:pPr>
            <w:r>
              <w:rPr>
                <w:b w:val="0"/>
                <w:sz w:val="19"/>
              </w:rPr>
              <w:t>较多偏题内容</w:t>
            </w:r>
          </w:p>
        </w:tc>
      </w:tr>
      <w:tr>
        <w:trPr>
          <w:cantSplit/>
        </w:trPr>
        <w:tc>
          <w:tcPr>
            <w:tcW w:type="dxa" w:w="2231"/>
            <w:vAlign w:val="center"/>
            <w:shd w:fill="FFFFFF"/>
          </w:tcPr>
          <w:p>
            <w:pPr>
              <w:spacing w:after="0" w:before="0" w:line="276" w:lineRule="auto"/>
            </w:pPr>
            <w:r>
              <w:rPr>
                <w:b w:val="0"/>
                <w:sz w:val="19"/>
              </w:rPr>
              <w:t>0 至 39</w:t>
            </w:r>
          </w:p>
        </w:tc>
        <w:tc>
          <w:tcPr>
            <w:tcW w:type="dxa" w:w="2696"/>
            <w:vAlign w:val="center"/>
            <w:shd w:fill="FFFFFF"/>
          </w:tcPr>
          <w:p>
            <w:pPr>
              <w:spacing w:after="0" w:before="0" w:line="276" w:lineRule="auto"/>
            </w:pPr>
            <w:r>
              <w:rPr>
                <w:b w:val="0"/>
                <w:sz w:val="19"/>
              </w:rPr>
              <w:t>难以形成有效解释</w:t>
            </w:r>
          </w:p>
        </w:tc>
        <w:tc>
          <w:tcPr>
            <w:tcW w:type="dxa" w:w="4370"/>
            <w:vAlign w:val="center"/>
            <w:shd w:fill="FFFFFF"/>
          </w:tcPr>
          <w:p>
            <w:pPr>
              <w:spacing w:after="0" w:before="0" w:line="276" w:lineRule="auto"/>
            </w:pPr>
            <w:r>
              <w:rPr>
                <w:b w:val="0"/>
                <w:sz w:val="19"/>
              </w:rPr>
              <w:t>基本未回应问题</w:t>
            </w:r>
          </w:p>
        </w:tc>
      </w:tr>
    </w:tbl>
    <w:p>
      <w:pPr>
        <w:spacing w:after="40" w:before="0" w:line="96" w:lineRule="auto"/>
      </w:pPr>
    </w:p>
    <w:p>
      <w:r>
        <w:t>上表用于整数维度评分；综合分档位按第 4 节连续分数区间处理。每道评审题还需标注必答点、可接受替代表述、重大错误和适用版本，这些是评测准备产物，不要求重新确认产品范围。</w:t>
      </w:r>
    </w:p>
    <w:p>
      <w:pPr>
        <w:pStyle w:val="Heading2"/>
      </w:pPr>
      <w:r>
        <w:t>5 3 固定评审集与质量门槛</w:t>
      </w:r>
    </w:p>
    <w:p>
      <w:r>
        <w:t>固定 100 个独立案例：评分 60 个，即 12 道题各 5 种质量回答；知识库检索、引用、版本冲突及覆盖不足 20 个；简历 JD 个性化计划 10 个；越权指令、无效输入和异常边界 10 个。原联网失败样例替换为未审核资料排除、知识不足与依据不支持等知识库场景，不增加独立案例数。至少一名有 Java 经验者标注参考评价，争议案例复核。另选其中 30 个评分案例各运行 3 次，检查波动，不增加独立案例数。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789"/>
        <w:gridCol w:w="6508"/>
      </w:tblGrid>
      <w:tr>
        <w:trPr>
          <w:cantSplit/>
          <w:tblHeader/>
        </w:trPr>
        <w:tc>
          <w:tcPr>
            <w:tcW w:type="dxa" w:w="2789"/>
            <w:vAlign w:val="center"/>
            <w:shd w:fill="E8EDF2"/>
          </w:tcPr>
          <w:p>
            <w:pPr>
              <w:spacing w:after="0" w:before="0" w:line="276" w:lineRule="auto"/>
            </w:pPr>
            <w:r>
              <w:rPr>
                <w:b/>
                <w:sz w:val="19"/>
              </w:rPr>
              <w:t>检查项</w:t>
            </w:r>
          </w:p>
        </w:tc>
        <w:tc>
          <w:tcPr>
            <w:tcW w:type="dxa" w:w="6508"/>
            <w:vAlign w:val="center"/>
            <w:shd w:fill="E8EDF2"/>
          </w:tcPr>
          <w:p>
            <w:pPr>
              <w:spacing w:after="0" w:before="0" w:line="276" w:lineRule="auto"/>
            </w:pPr>
            <w:r>
              <w:rPr>
                <w:b/>
                <w:sz w:val="19"/>
              </w:rPr>
              <w:t>试用发布门槛</w:t>
            </w:r>
          </w:p>
        </w:tc>
      </w:tr>
      <w:tr>
        <w:trPr>
          <w:cantSplit/>
        </w:trPr>
        <w:tc>
          <w:tcPr>
            <w:tcW w:type="dxa" w:w="2789"/>
            <w:vAlign w:val="center"/>
            <w:shd w:fill="FFFFFF"/>
          </w:tcPr>
          <w:p>
            <w:pPr>
              <w:spacing w:after="0" w:before="0" w:line="276" w:lineRule="auto"/>
            </w:pPr>
            <w:r>
              <w:rPr>
                <w:b w:val="0"/>
                <w:sz w:val="19"/>
              </w:rPr>
              <w:t>确定性业务案例</w:t>
            </w:r>
          </w:p>
        </w:tc>
        <w:tc>
          <w:tcPr>
            <w:tcW w:type="dxa" w:w="6508"/>
            <w:vAlign w:val="center"/>
            <w:shd w:fill="FFFFFF"/>
          </w:tcPr>
          <w:p>
            <w:pPr>
              <w:spacing w:after="0" w:before="0" w:line="276" w:lineRule="auto"/>
            </w:pPr>
            <w:r>
              <w:rPr>
                <w:b w:val="0"/>
                <w:sz w:val="19"/>
              </w:rPr>
              <w:t>权限 额度 计算 状态 删除等全部通过</w:t>
            </w:r>
          </w:p>
        </w:tc>
      </w:tr>
      <w:tr>
        <w:trPr>
          <w:cantSplit/>
        </w:trPr>
        <w:tc>
          <w:tcPr>
            <w:tcW w:type="dxa" w:w="2789"/>
            <w:vAlign w:val="center"/>
            <w:shd w:fill="F7F9FB"/>
          </w:tcPr>
          <w:p>
            <w:pPr>
              <w:spacing w:after="0" w:before="0" w:line="276" w:lineRule="auto"/>
            </w:pPr>
            <w:r>
              <w:rPr>
                <w:b w:val="0"/>
                <w:sz w:val="19"/>
              </w:rPr>
              <w:t>重大问题</w:t>
            </w:r>
          </w:p>
        </w:tc>
        <w:tc>
          <w:tcPr>
            <w:tcW w:type="dxa" w:w="6508"/>
            <w:vAlign w:val="center"/>
            <w:shd w:fill="F7F9FB"/>
          </w:tcPr>
          <w:p>
            <w:pPr>
              <w:spacing w:after="0" w:before="0" w:line="276" w:lineRule="auto"/>
            </w:pPr>
            <w:r>
              <w:rPr>
                <w:b w:val="0"/>
                <w:sz w:val="19"/>
              </w:rPr>
              <w:t>固定样例出现伪造来源 越权披露或关键错误判对即阻止发布</w:t>
            </w:r>
          </w:p>
        </w:tc>
      </w:tr>
      <w:tr>
        <w:trPr>
          <w:cantSplit/>
        </w:trPr>
        <w:tc>
          <w:tcPr>
            <w:tcW w:type="dxa" w:w="2789"/>
            <w:vAlign w:val="center"/>
            <w:shd w:fill="FFFFFF"/>
          </w:tcPr>
          <w:p>
            <w:pPr>
              <w:spacing w:after="0" w:before="0" w:line="276" w:lineRule="auto"/>
            </w:pPr>
            <w:r>
              <w:rPr>
                <w:b w:val="0"/>
                <w:sz w:val="19"/>
              </w:rPr>
              <w:t>评分偏差</w:t>
            </w:r>
          </w:p>
        </w:tc>
        <w:tc>
          <w:tcPr>
            <w:tcW w:type="dxa" w:w="6508"/>
            <w:vAlign w:val="center"/>
            <w:shd w:fill="FFFFFF"/>
          </w:tcPr>
          <w:p>
            <w:pPr>
              <w:spacing w:after="0" w:before="0" w:line="276" w:lineRule="auto"/>
            </w:pPr>
            <w:r>
              <w:rPr>
                <w:b w:val="0"/>
                <w:sz w:val="19"/>
              </w:rPr>
              <w:t>至少 90% 有效评分样例总分在人工参考分上下 10 分内</w:t>
            </w:r>
          </w:p>
        </w:tc>
      </w:tr>
      <w:tr>
        <w:trPr>
          <w:cantSplit/>
        </w:trPr>
        <w:tc>
          <w:tcPr>
            <w:tcW w:type="dxa" w:w="2789"/>
            <w:vAlign w:val="center"/>
            <w:shd w:fill="F7F9FB"/>
          </w:tcPr>
          <w:p>
            <w:pPr>
              <w:spacing w:after="0" w:before="0" w:line="276" w:lineRule="auto"/>
            </w:pPr>
            <w:r>
              <w:rPr>
                <w:b w:val="0"/>
                <w:sz w:val="19"/>
              </w:rPr>
              <w:t>引用支持</w:t>
            </w:r>
          </w:p>
        </w:tc>
        <w:tc>
          <w:tcPr>
            <w:tcW w:type="dxa" w:w="6508"/>
            <w:vAlign w:val="center"/>
            <w:shd w:fill="F7F9FB"/>
          </w:tcPr>
          <w:p>
            <w:pPr>
              <w:spacing w:after="0" w:before="0" w:line="276" w:lineRule="auto"/>
            </w:pPr>
            <w:r>
              <w:rPr>
                <w:b w:val="0"/>
                <w:sz w:val="19"/>
              </w:rPr>
              <w:t>人工核查结论与片段对应关系 支持率至少 95%</w:t>
            </w:r>
          </w:p>
        </w:tc>
      </w:tr>
      <w:tr>
        <w:trPr>
          <w:cantSplit/>
        </w:trPr>
        <w:tc>
          <w:tcPr>
            <w:tcW w:type="dxa" w:w="2789"/>
            <w:vAlign w:val="center"/>
            <w:shd w:fill="FFFFFF"/>
          </w:tcPr>
          <w:p>
            <w:pPr>
              <w:spacing w:after="0" w:before="0" w:line="276" w:lineRule="auto"/>
            </w:pPr>
            <w:r>
              <w:rPr>
                <w:b w:val="0"/>
                <w:sz w:val="19"/>
              </w:rPr>
              <w:t>重复一致性</w:t>
            </w:r>
          </w:p>
        </w:tc>
        <w:tc>
          <w:tcPr>
            <w:tcW w:type="dxa" w:w="6508"/>
            <w:vAlign w:val="center"/>
            <w:shd w:fill="FFFFFF"/>
          </w:tcPr>
          <w:p>
            <w:pPr>
              <w:spacing w:after="0" w:before="0" w:line="276" w:lineRule="auto"/>
            </w:pPr>
            <w:r>
              <w:rPr>
                <w:b w:val="0"/>
                <w:sz w:val="19"/>
              </w:rPr>
              <w:t>至少 90% 重复案例三次总分最大差不超过 10 分</w:t>
            </w:r>
          </w:p>
        </w:tc>
      </w:tr>
      <w:tr>
        <w:trPr>
          <w:cantSplit/>
        </w:trPr>
        <w:tc>
          <w:tcPr>
            <w:tcW w:type="dxa" w:w="2789"/>
            <w:vAlign w:val="center"/>
            <w:shd w:fill="F7F9FB"/>
          </w:tcPr>
          <w:p>
            <w:pPr>
              <w:spacing w:after="0" w:before="0" w:line="276" w:lineRule="auto"/>
            </w:pPr>
            <w:r>
              <w:rPr>
                <w:b w:val="0"/>
                <w:sz w:val="19"/>
              </w:rPr>
              <w:t>计划个性化</w:t>
            </w:r>
          </w:p>
        </w:tc>
        <w:tc>
          <w:tcPr>
            <w:tcW w:type="dxa" w:w="6508"/>
            <w:vAlign w:val="center"/>
            <w:shd w:fill="F7F9FB"/>
          </w:tcPr>
          <w:p>
            <w:pPr>
              <w:spacing w:after="0" w:before="0" w:line="276" w:lineRule="auto"/>
            </w:pPr>
            <w:r>
              <w:rPr>
                <w:b w:val="0"/>
                <w:sz w:val="19"/>
              </w:rPr>
              <w:t>至少 90% 案例可说明安排与简历 JD 的具体关联</w:t>
            </w:r>
          </w:p>
        </w:tc>
      </w:tr>
    </w:tbl>
    <w:p>
      <w:pPr>
        <w:spacing w:after="40" w:before="0" w:line="96" w:lineRule="auto"/>
      </w:pPr>
    </w:p>
    <w:p>
      <w:r>
        <w:t>AI 输出不要求逐字一致，门槛是固定评审集上的发布要求，不代表对全部真实输入的质量保证。流程完成率、实际延迟和实际成本作为试用观察指标，在有数据后再优化，不额外承诺未验证数值。</w:t>
      </w:r>
    </w:p>
    <w:p>
      <w:pPr>
        <w:pStyle w:val="Heading1"/>
      </w:pPr>
      <w:r>
        <w:t>6 服务容量预算与数据处理</w:t>
      </w:r>
    </w:p>
    <w:p>
      <w:pPr>
        <w:pStyle w:val="Heading2"/>
      </w:pPr>
      <w:r>
        <w:t>6 1 并发与月预算</w:t>
      </w:r>
    </w:p>
    <w:p>
      <w:r>
        <w:t>全系统同时处理生成模型请求最多 5 个、解析最多 2 个；同场生成最多 1 个，无搜索调用及搜索并发配额。用户作答等待不占生成名额。排队最多 20 秒，超时提示稍后重试，不扣面试次数；排队与单次服务等待分别计时展示。</w:t>
      </w:r>
    </w:p>
    <w:p>
      <w:r>
        <w:t>月度运营预算目标 500 元，涵盖生成和向量，不含服务器和存储；实时搜索已移出范围，不计入搜索费用。消耗达到 400 元停止接收新面试，剩余优先保障已开始面试；根据进行中场数核查预留，不足时提前停收。账单可延迟，不承诺费用绝对封顶与全部已有面试必定完成同时成立。</w:t>
      </w:r>
    </w:p>
    <w:p>
      <w:r>
        <w:t>供应商请求数、Token 限额和实际服务地区需要使用所选账号核实；应用并发是本系统限制，不代替供应商配额。</w:t>
      </w:r>
    </w:p>
    <w:p>
      <w:pPr>
        <w:pStyle w:val="Heading2"/>
      </w:pPr>
      <w:r>
        <w:t>6 2 精确输入口径</w:t>
      </w:r>
    </w:p>
    <w:p>
      <w:r>
        <w:t>1 MB 为 1000000 字节，10 MB 为 10000000 字节。文本先统一换行并去首尾空白，再按 Unicode 码点计数；正文内部空格、标点、换行均计入，前后端一致。DOCX 不限制等效页数，仅限制文件大小与正文长度；PDF 保留 20 页上限。超限提示不静默截断。</w:t>
      </w:r>
    </w:p>
    <w:p>
      <w:pPr>
        <w:pStyle w:val="Heading2"/>
      </w:pPr>
      <w:r>
        <w:t>6 3 外部服务与备份</w:t>
      </w:r>
    </w:p>
    <w:p>
      <w:r>
        <w:t>对每个实际生成模型及向量服务记录供应商、产品、地区、账户配置、发送内容、留存期限及例外、训练用途、删除能力、政策链接和核实日期。不配置实时搜索服务。不能默认 API 零留存，供应商承诺仅按适用地区、接口和实际配置披露。</w:t>
      </w:r>
    </w:p>
    <w:p>
      <w:r>
        <w:t>对外模型调用去掉不必要的姓名、电话、邮箱、证件号等；不发送实时搜索请求，不自动抓取网页。运行日志默认不记录完整简历和问答正文，只保留必要状态、耗时、错误码和用量。</w:t>
      </w:r>
    </w:p>
    <w:p>
      <w:r>
        <w:t>每日备份，滚动保留最多 30 天；删除后立即禁访，24 小时内清理在线数据、临时文件及关联副本。删除标记至少保留到包含该数据的备份全部过期；恢复先执行删除标记，再开放访问。试用前完成删除、恢复旧备份、确认数据仍不可访问的演练。供应商侧留存单独说明，不纳入本系统 24 小时清理承诺。</w:t>
      </w:r>
    </w:p>
    <w:p>
      <w:pPr>
        <w:pStyle w:val="Heading1"/>
      </w:pPr>
      <w:r>
        <w:t>7 实施核实与评审产物</w:t>
      </w:r>
    </w:p>
    <w:p>
      <w:r>
        <w:t>核心产品规则已确认，无需继续进行一轮业务范围确认。后续工作包括核实账号地区及配额、记录供应商留存政策、准备实际知识资料和逐题评分样例、验证重试与并发配置及备份删除演练。这些是设计、实施和验收任务，不应标为等待用户回答的业务规则。</w:t>
      </w:r>
    </w:p>
    <w:p>
      <w:r>
        <w:t>技术方案和交互设计尚未开始。页面布局、维护入口和列表排序等在相应设计阶段决定；若影响已确认业务、权限或范围，再提交具体变更。</w:t>
      </w:r>
    </w:p>
    <w:p>
      <w:r>
        <w:t>主要风险为知识库覆盖不足、资料审核及更新滞后、版本适用性、广泛经验层级、评分波动和费用延迟。发布前按质量门槛及数据处理承诺实测，不把需求已确认描述为功能已实现。</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PRD  v0.4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SimSu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Calibri" w:hAnsi="Calibr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Calibri" w:hAnsi="Calibr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SimSun"/>
      <w:b w:val="0"/>
      <w:i w:val="0"/>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SimSun"/>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智能面试教练 PRD</dc:title>
  <dc:subject>Java RAG 文本面试教练需求基线 v0.3</dc:subject>
  <dc:creator>AI 面试助手项目</dc:creator>
  <cp:keywords>PRD SCOPE ACCEPTANCE Java RAG</cp:keywords>
  <dc:description>generated by python-docx</dc:description>
  <cp:lastModifiedBy/>
  <cp:revision>1</cp:revision>
  <dcterms:created xsi:type="dcterms:W3CDTF">2013-12-23T23:15:00Z</dcterms:created>
  <dcterms:modified xsi:type="dcterms:W3CDTF">2013-12-23T23:15:00Z</dcterms:modified>
  <cp:category/>
</cp:coreProperties>
</file>