
<file path=[Content_Types].xml><?xml version="1.0" encoding="utf-8"?>
<Types xmlns="http://schemas.openxmlformats.org/package/2006/content-types">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62C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8" w:afterAutospacing="0" w:line="234" w:lineRule="atLeast"/>
        <w:ind w:left="0" w:right="0" w:firstLine="12"/>
        <w:jc w:val="center"/>
        <w:rPr>
          <w:rFonts w:ascii="微软雅黑" w:hAnsi="微软雅黑" w:eastAsia="微软雅黑" w:cs="微软雅黑"/>
          <w:color w:val="333333"/>
          <w:sz w:val="27"/>
          <w:szCs w:val="27"/>
        </w:rPr>
      </w:pPr>
      <w:r>
        <w:rPr>
          <w:rFonts w:ascii="仿宋_GB2312" w:hAnsi="微软雅黑" w:eastAsia="仿宋_GB2312" w:cs="仿宋_GB2312"/>
          <w:i w:val="0"/>
          <w:iCs w:val="0"/>
          <w:caps w:val="0"/>
          <w:color w:val="333333"/>
          <w:spacing w:val="12"/>
          <w:sz w:val="21"/>
          <w:szCs w:val="21"/>
          <w:bdr w:val="none" w:color="auto" w:sz="0" w:space="0"/>
          <w:shd w:val="clear" w:fill="FFFFFF"/>
        </w:rPr>
        <w:drawing>
          <wp:inline distT="0" distB="0" distL="114300" distR="114300">
            <wp:extent cx="5196840" cy="495935"/>
            <wp:effectExtent l="0" t="0" r="0" b="6985"/>
            <wp:docPr id="1" name="图片 1" descr="2023020217361675330589626078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3020217361675330589626078159.jpg"/>
                    <pic:cNvPicPr>
                      <a:picLocks noChangeAspect="1"/>
                    </pic:cNvPicPr>
                  </pic:nvPicPr>
                  <pic:blipFill>
                    <a:blip r:embed="rId4"/>
                    <a:stretch>
                      <a:fillRect/>
                    </a:stretch>
                  </pic:blipFill>
                  <pic:spPr>
                    <a:xfrm>
                      <a:off x="0" y="0"/>
                      <a:ext cx="5196840" cy="495935"/>
                    </a:xfrm>
                    <a:prstGeom prst="rect">
                      <a:avLst/>
                    </a:prstGeom>
                    <a:noFill/>
                    <a:ln w="9525">
                      <a:noFill/>
                    </a:ln>
                  </pic:spPr>
                </pic:pic>
              </a:graphicData>
            </a:graphic>
          </wp:inline>
        </w:drawing>
      </w:r>
    </w:p>
    <w:p w14:paraId="76BFFF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8" w:afterAutospacing="0" w:line="234" w:lineRule="atLeast"/>
        <w:ind w:left="0" w:right="0" w:firstLine="12"/>
        <w:jc w:val="center"/>
        <w:rPr>
          <w:rFonts w:hint="eastAsia" w:ascii="微软雅黑" w:hAnsi="微软雅黑" w:eastAsia="微软雅黑" w:cs="微软雅黑"/>
          <w:color w:val="333333"/>
          <w:sz w:val="27"/>
          <w:szCs w:val="27"/>
        </w:rPr>
      </w:pPr>
      <w:r>
        <w:rPr>
          <w:rFonts w:hint="default" w:ascii="仿宋_GB2312" w:hAnsi="微软雅黑" w:eastAsia="仿宋_GB2312" w:cs="仿宋_GB2312"/>
          <w:i w:val="0"/>
          <w:iCs w:val="0"/>
          <w:caps w:val="0"/>
          <w:color w:val="333333"/>
          <w:spacing w:val="12"/>
          <w:sz w:val="31"/>
          <w:szCs w:val="31"/>
          <w:bdr w:val="none" w:color="auto" w:sz="0" w:space="0"/>
          <w:shd w:val="clear" w:fill="FFFFFF"/>
        </w:rPr>
        <w:t>〔2026〕1号</w:t>
      </w:r>
    </w:p>
    <w:p w14:paraId="0CD43E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12"/>
        <w:jc w:val="left"/>
        <w:rPr>
          <w:rFonts w:hint="eastAsia" w:ascii="微软雅黑" w:hAnsi="微软雅黑" w:eastAsia="微软雅黑" w:cs="微软雅黑"/>
          <w:color w:val="333333"/>
          <w:sz w:val="27"/>
          <w:szCs w:val="27"/>
        </w:rPr>
      </w:pPr>
      <w:r>
        <w:rPr>
          <w:rFonts w:hint="default"/>
        </w:rPr>
        <w:t>工程总承包事业部综合管理</w:t>
      </w:r>
      <w:r>
        <w:rPr>
          <w:rFonts w:hint="eastAsia"/>
          <w:lang w:val="en-US" w:eastAsia="zh-CN"/>
        </w:rPr>
        <w:t>部</w:t>
      </w:r>
      <w:r>
        <w:rPr>
          <w:rFonts w:hint="default"/>
        </w:rPr>
        <w:t>部  </w:t>
      </w:r>
      <w:r>
        <w:t>     </w:t>
      </w:r>
      <w:bookmarkStart w:id="0" w:name="_GoBack"/>
      <w:bookmarkEnd w:id="0"/>
      <w:r>
        <w:rPr>
          <w:rFonts w:hint="eastAsia" w:ascii="微软雅黑" w:hAnsi="微软雅黑" w:eastAsia="微软雅黑" w:cs="微软雅黑"/>
          <w:i w:val="0"/>
          <w:iCs w:val="0"/>
          <w:caps w:val="0"/>
          <w:color w:val="333333"/>
          <w:spacing w:val="12"/>
          <w:sz w:val="27"/>
          <w:szCs w:val="27"/>
          <w:bdr w:val="none" w:color="auto" w:sz="0" w:space="0"/>
          <w:shd w:val="clear" w:fill="FFFFFF"/>
        </w:rPr>
        <w:drawing>
          <wp:inline distT="0" distB="0" distL="114300" distR="114300">
            <wp:extent cx="5270500" cy="19685"/>
            <wp:effectExtent l="0" t="0" r="2540" b="3175"/>
            <wp:docPr id="2" name="图片 2" descr="20230210161216760167327590079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3021016121676016732759007922.gif"/>
                    <pic:cNvPicPr>
                      <a:picLocks noChangeAspect="1"/>
                    </pic:cNvPicPr>
                  </pic:nvPicPr>
                  <pic:blipFill>
                    <a:blip r:embed="rId5"/>
                    <a:stretch>
                      <a:fillRect/>
                    </a:stretch>
                  </pic:blipFill>
                  <pic:spPr>
                    <a:xfrm>
                      <a:off x="0" y="0"/>
                      <a:ext cx="5270500" cy="19685"/>
                    </a:xfrm>
                    <a:prstGeom prst="rect">
                      <a:avLst/>
                    </a:prstGeom>
                    <a:noFill/>
                    <a:ln w="9525">
                      <a:noFill/>
                    </a:ln>
                  </pic:spPr>
                </pic:pic>
              </a:graphicData>
            </a:graphic>
          </wp:inline>
        </w:drawing>
      </w:r>
    </w:p>
    <w:p w14:paraId="0F1982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jc w:val="center"/>
        <w:rPr>
          <w:rFonts w:hint="default" w:ascii="Helvetica" w:hAnsi="Helvetica" w:eastAsia="Helvetica" w:cs="Helvetica"/>
          <w:color w:val="333333"/>
          <w:sz w:val="27"/>
          <w:szCs w:val="27"/>
        </w:rPr>
      </w:pPr>
    </w:p>
    <w:p w14:paraId="700B6E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12"/>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会议类别：专题会</w:t>
      </w:r>
    </w:p>
    <w:p w14:paraId="440C09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12"/>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会议议题：专题会</w:t>
      </w:r>
    </w:p>
    <w:p w14:paraId="63DB66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12"/>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会议时间：2026年3月6日</w:t>
      </w:r>
    </w:p>
    <w:p w14:paraId="4A49EA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12"/>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会议地点：211会议室 </w:t>
      </w:r>
    </w:p>
    <w:p w14:paraId="0FDBF7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12"/>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主 持 人：哈佳</w:t>
      </w:r>
    </w:p>
    <w:p w14:paraId="21D500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4" w:lineRule="atLeast"/>
        <w:ind w:left="0" w:right="0"/>
        <w:jc w:val="both"/>
      </w:pPr>
      <w:r>
        <w:rPr>
          <w:rFonts w:hint="default" w:ascii="仿宋_GB2312" w:hAnsi="Helvetica" w:eastAsia="仿宋_GB2312" w:cs="仿宋_GB2312"/>
          <w:i w:val="0"/>
          <w:iCs w:val="0"/>
          <w:caps w:val="0"/>
          <w:color w:val="333333"/>
          <w:spacing w:val="12"/>
          <w:sz w:val="31"/>
          <w:szCs w:val="31"/>
          <w:bdr w:val="none" w:color="auto" w:sz="0" w:space="0"/>
        </w:rPr>
        <w:t>参加人员：哈 佳、朱小磊、翟利军、于立新、黄培杰、程朝旭、涂善波、</w:t>
      </w:r>
    </w:p>
    <w:p w14:paraId="7D0CE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4" w:lineRule="atLeast"/>
        <w:ind w:left="0" w:right="0"/>
        <w:jc w:val="both"/>
      </w:pPr>
      <w:r>
        <w:rPr>
          <w:rFonts w:hint="default" w:ascii="仿宋_GB2312" w:hAnsi="Helvetica" w:eastAsia="仿宋_GB2312" w:cs="仿宋_GB2312"/>
          <w:i w:val="0"/>
          <w:iCs w:val="0"/>
          <w:caps w:val="0"/>
          <w:color w:val="333333"/>
          <w:spacing w:val="12"/>
          <w:sz w:val="31"/>
          <w:szCs w:val="31"/>
          <w:bdr w:val="none" w:color="auto" w:sz="0" w:space="0"/>
        </w:rPr>
        <w:t>         张艳锋、贾 超、丛 苹、王宏飞、丁要轩、滕辛伟、黄细丁</w:t>
      </w:r>
    </w:p>
    <w:p w14:paraId="0103D2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4" w:lineRule="atLeast"/>
        <w:ind w:left="0" w:right="0"/>
        <w:jc w:val="both"/>
      </w:pPr>
      <w:r>
        <w:rPr>
          <w:rFonts w:hint="default" w:ascii="仿宋_GB2312" w:hAnsi="Helvetica" w:eastAsia="仿宋_GB2312" w:cs="仿宋_GB2312"/>
          <w:i w:val="0"/>
          <w:iCs w:val="0"/>
          <w:caps w:val="0"/>
          <w:color w:val="333333"/>
          <w:spacing w:val="12"/>
          <w:sz w:val="31"/>
          <w:szCs w:val="31"/>
          <w:bdr w:val="none" w:color="auto" w:sz="0" w:space="0"/>
        </w:rPr>
        <w:t>纪要内容：</w:t>
      </w:r>
    </w:p>
    <w:p w14:paraId="054708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2026年3月6日上午，总包部主任哈佳主持召开了黑河黄藏寺水利枢纽工程2026年复工复产专题会。会议传达了黄委会3月5日黄藏寺项目调度会赵主任讲话精神和近期公司党委会、办公会对黄藏寺除险的相关要求和安排，并对2026年各项重点工作进行了部署，形成纪要如下：</w:t>
      </w:r>
    </w:p>
    <w:p w14:paraId="792AED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一、2026年是黄藏寺边坡险情处置的关键时间，部委领导高度关注，高频次的提出相关要求，所有参与项目的人员要提高思想认识，面对艰巨的任务，要不折不扣执行各项工作部署，精心组织、科学策划制定今年的工作计划，工作状态要立即转入决战状态，全力做好今年相关工作。</w:t>
      </w:r>
    </w:p>
    <w:p w14:paraId="3560B7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二、泄洪底孔挡墙加高是防止边坡再次滑塌不发生厂房受损致灾性破坏的底线工作，城乡院需进一步复核泄流底孔加固挡墙的高度和强度是否可以保障2026年汛期左岸边坡塌滑影响厂房安全，3月底前完成专题报告。</w:t>
      </w:r>
    </w:p>
    <w:p w14:paraId="0973D0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三、继续深化地质工作，地质院牵头提前组织并尽快启动左岸边坡地质补充勘探，为后续设计与施工提供基础数据支撑。整体分析黄藏寺工区今年可能发生滑塌的范围，做好提前预警。系统分析HB3堆积体上部可能发生落渣的风险及其规模，评估其对下部雾化区施工的潜在影响，并深入分析落石成因。</w:t>
      </w:r>
    </w:p>
    <w:p w14:paraId="7D1EDE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四、安全监测是保障施工作业安全的根本手段，加强现场监测设施的日常维护与检查，需对供电、通讯网络等进行逐项检查，必要时设置UPS电源，确保2026年监测体系整体稳定运行。制定安全监测应急预案，提升应对突发状况的能力。</w:t>
      </w:r>
    </w:p>
    <w:p w14:paraId="629F10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五、配齐、配强现场设计力量是动态设计的前提，设计与施工互动协调是做好左岸边坡治理的关键，要落实黄委领导的要求，工程院加大设计力量的投入，多邀请内外部专家对方案全力做好优化，依据现场施工计划加强现场设代力量。</w:t>
      </w:r>
    </w:p>
    <w:p w14:paraId="30205F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六、厂房土建和机组安装、H8堆积体、H11滑坡体等涉及交叉作业的工作面，须细化施工组织及施工进度计划安排，确保各工序施工安全、有序推进。</w:t>
      </w:r>
    </w:p>
    <w:p w14:paraId="59F52D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七、提前启动2026年度汛方案及水库调度运行方案的编制工作。度汛方案需与水库运行调度方案相结合，综合考虑三月下旬、四月、七八月黑河局的水库调度安排，合理组织现场施工，确保计划可落实。  </w:t>
      </w:r>
    </w:p>
    <w:p w14:paraId="7FD623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八、核实7#渣场容量，核查相关水保政策，厘清有关手续要求。如涉及渣场水保级别变更等，必要时向建管中心及黑河局等上级部门报批，确保合法合规。</w:t>
      </w:r>
    </w:p>
    <w:p w14:paraId="22BB8C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4" w:lineRule="atLeast"/>
        <w:ind w:left="0" w:right="0" w:firstLine="306"/>
        <w:jc w:val="both"/>
      </w:pPr>
      <w:r>
        <w:rPr>
          <w:rFonts w:hint="default" w:ascii="仿宋_GB2312" w:hAnsi="Helvetica" w:eastAsia="仿宋_GB2312" w:cs="仿宋_GB2312"/>
          <w:i w:val="0"/>
          <w:iCs w:val="0"/>
          <w:caps w:val="0"/>
          <w:color w:val="333333"/>
          <w:spacing w:val="12"/>
          <w:sz w:val="31"/>
          <w:szCs w:val="31"/>
          <w:bdr w:val="none" w:color="auto" w:sz="0" w:space="0"/>
          <w:shd w:val="clear" w:fill="FFFFFF"/>
        </w:rPr>
        <w:t>九、从施工安全与可操作性角度出发，研究喷洒固结剂减少雨季雨水下渗的技术措施，在今年汛前适时开展现场试验及施工。</w:t>
      </w:r>
    </w:p>
    <w:p w14:paraId="57DC9D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061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2026-08-09T13:59:31Z</dcterms:created>
  <dc:creator>91216</dc:creator>
  <cp:lastModifiedBy>黄细丁</cp:lastModifiedBy>
  <dcterms:modified xsi:type="dcterms:W3CDTF">2026-08-09T14:01:46Z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eyJoZGlkIjoiODMzNjQ2ZjE4MWNkMmQxNDFlNWYyYTEzOThjNDY2ZGQiLCJ1c2VySWQiOiIyMjIzMjQwNTkifQ==</vt:lpwstr>
  </property>
  <property fmtid="{D5CDD505-2E9C-101B-9397-08002B2CF9AE}" pid="4" name="ICV">
    <vt:lpwstr>92EA8FEAF9D14891B6767D2F8F6DA3F5_12</vt:lpwstr>
  </property>
</Properties>
</file>