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EPC合同风险管理与索赔实战指南（2026 版）</w:t>
      </w:r>
    </w:p>
    <w:p>
      <w:pPr>
        <w:jc w:val="center"/>
      </w:pPr>
      <w:r>
        <w:rPr>
          <w:rFonts w:ascii="Calibri" w:hAnsi="Calibri" w:eastAsia="微软雅黑"/>
          <w:b w:val="0"/>
          <w:i w:val="0"/>
          <w:color w:val="666666"/>
          <w:sz w:val="22"/>
        </w:rPr>
        <w:t>专题研报 · 总包智库 | 合同风险底账 · 每个数字标注出处</w:t>
      </w:r>
    </w:p>
    <w:p>
      <w:pPr>
        <w:jc w:val="center"/>
      </w:pPr>
      <w:r>
        <w:rPr>
          <w:rFonts w:ascii="Calibri" w:hAnsi="Calibri" w:eastAsia="微软雅黑"/>
          <w:b w:val="0"/>
          <w:i w:val="0"/>
          <w:color w:val="666666"/>
          <w:sz w:val="22"/>
        </w:rPr>
        <w:t>关于本书这本书写给工程企业里"合同一签就睡不着觉"的人：法务、经营、项目经理，以及被推到谈判桌前的技术负责人。</w:t>
      </w:r>
    </w:p>
    <w:p>
      <w:pPr>
        <w:jc w:val="center"/>
      </w:pPr>
      <w:r>
        <w:rPr>
          <w:rFonts w:ascii="Calibri" w:hAnsi="Calibri" w:eastAsia="微软雅黑"/>
          <w:b w:val="0"/>
          <w:i w:val="0"/>
          <w:color w:val="666666"/>
          <w:sz w:val="22"/>
        </w:rPr>
        <w:t>工程总承包的合同风险管理，从来不是"知道有风险"的问题。风险大家都知道——固定总价包死了、变更签证拿不到、工期索赔算不清、对方反索赔来了不知怎么接。真正的问题是：在几百万上千万的争议面前，你的证据链经不经得起仲裁庭和法庭的检验？你的索赔计算能不能站住脚？你的反索赔防线有没有漏洞？</w:t>
      </w:r>
    </w:p>
    <w:p>
      <w:pPr>
        <w:jc w:val="center"/>
      </w:pPr>
      <w:r>
        <w:rPr>
          <w:rFonts w:ascii="Calibri" w:hAnsi="Calibri" w:eastAsia="微软雅黑"/>
          <w:b w:val="0"/>
          <w:i w:val="0"/>
          <w:color w:val="666666"/>
          <w:sz w:val="22"/>
        </w:rPr>
        <w:t>我们把证据链搭起来了。本书每一章建立在数千件公开资料之上——司法解释、裁判文书、仲裁案例、FIDIC 合同条件、行业惯例——每个关键数字都标注出处，每个判断都过反证检验。我们坚持一条纪律：书里没有一个凭记忆写下的数字；凡是推算，都摆出算式。</w:t>
      </w:r>
    </w:p>
    <w:p>
      <w:pPr>
        <w:jc w:val="center"/>
      </w:pPr>
      <w:r>
        <w:rPr>
          <w:rFonts w:ascii="Calibri" w:hAnsi="Calibri" w:eastAsia="微软雅黑"/>
          <w:b w:val="0"/>
          <w:i w:val="0"/>
          <w:color w:val="666666"/>
          <w:sz w:val="22"/>
        </w:rPr>
        <w:t>全书十二章，按合同生命周期的三个阶段编排。</w:t>
      </w:r>
      <w:r>
        <w:rPr>
          <w:rFonts w:ascii="Calibri" w:hAnsi="Calibri" w:eastAsia="微软雅黑"/>
          <w:b/>
          <w:i w:val="0"/>
          <w:color w:val="666666"/>
          <w:sz w:val="22"/>
        </w:rPr>
        <w:t>签约前</w:t>
      </w:r>
      <w:r>
        <w:rPr>
          <w:rFonts w:ascii="Calibri" w:hAnsi="Calibri" w:eastAsia="微软雅黑"/>
          <w:b w:val="0"/>
          <w:i w:val="0"/>
          <w:color w:val="666666"/>
          <w:sz w:val="22"/>
        </w:rPr>
        <w:t>（第一至三章）：法律框架、合同类型选择、条款风险解剖——拿去对照你手上的合同逐条排查。</w:t>
      </w:r>
      <w:r>
        <w:rPr>
          <w:rFonts w:ascii="Calibri" w:hAnsi="Calibri" w:eastAsia="微软雅黑"/>
          <w:b/>
          <w:i w:val="0"/>
          <w:color w:val="666666"/>
          <w:sz w:val="22"/>
        </w:rPr>
        <w:t>履约中</w:t>
      </w:r>
      <w:r>
        <w:rPr>
          <w:rFonts w:ascii="Calibri" w:hAnsi="Calibri" w:eastAsia="微软雅黑"/>
          <w:b w:val="0"/>
          <w:i w:val="0"/>
          <w:color w:val="666666"/>
          <w:sz w:val="22"/>
        </w:rPr>
        <w:t>（第四至七章）：计价与结算、变更与签证、工期索赔、费用索赔——出事时翻到对应章节照着做。</w:t>
      </w:r>
      <w:r>
        <w:rPr>
          <w:rFonts w:ascii="Calibri" w:hAnsi="Calibri" w:eastAsia="微软雅黑"/>
          <w:b/>
          <w:i w:val="0"/>
          <w:color w:val="666666"/>
          <w:sz w:val="22"/>
        </w:rPr>
        <w:t>出事后</w:t>
      </w:r>
      <w:r>
        <w:rPr>
          <w:rFonts w:ascii="Calibri" w:hAnsi="Calibri" w:eastAsia="微软雅黑"/>
          <w:b w:val="0"/>
          <w:i w:val="0"/>
          <w:color w:val="666666"/>
          <w:sz w:val="22"/>
        </w:rPr>
        <w:t>（第八至十二章）：反索赔防线、争议解决四路径、FIDIC 国际合同、数字化工具、趋势预判——用于打有准备的仗。</w:t>
      </w:r>
    </w:p>
    <w:p>
      <w:pPr>
        <w:jc w:val="center"/>
      </w:pPr>
      <w:r>
        <w:rPr>
          <w:rFonts w:ascii="Calibri" w:hAnsi="Calibri" w:eastAsia="微软雅黑"/>
          <w:b w:val="0"/>
          <w:i w:val="0"/>
          <w:color w:val="666666"/>
          <w:sz w:val="22"/>
        </w:rPr>
        <w:t>第十二章预判未来数年合同风险管理的十二个确定性趋势，每条趋势给出基线事实、推演逻辑与反证检验三件套——我们贩卖的不是确定性，是"带着证据的判断"，包括判断可能错在哪里。</w:t>
      </w:r>
    </w:p>
    <w:p>
      <w:pPr>
        <w:jc w:val="center"/>
      </w:pPr>
      <w:r>
        <w:rPr>
          <w:rFonts w:ascii="Calibri" w:hAnsi="Calibri" w:eastAsia="微软雅黑"/>
          <w:b w:val="0"/>
          <w:i w:val="0"/>
          <w:color w:val="666666"/>
          <w:sz w:val="22"/>
        </w:rPr>
        <w:t>资料截至成书之日。法规会修订、判例会更新，我们会在后续版本中滚动修订——买了这一版的人，会以优惠价获得下一版。</w:t>
      </w:r>
    </w:p>
    <w:p>
      <w:pPr>
        <w:jc w:val="center"/>
      </w:pPr>
      <w:r>
        <w:rPr>
          <w:rFonts w:ascii="Calibri" w:hAnsi="Calibri" w:eastAsia="微软雅黑"/>
          <w:b w:val="0"/>
          <w:i w:val="0"/>
          <w:color w:val="666666"/>
          <w:sz w:val="22"/>
        </w:rPr>
        <w:t>编者</w:t>
      </w:r>
    </w:p>
    <w:p>
      <w:pPr>
        <w:jc w:val="center"/>
      </w:pPr>
      <w:r>
        <w:rPr>
          <w:rFonts w:ascii="Calibri" w:hAnsi="Calibri" w:eastAsia="微软雅黑"/>
          <w:b w:val="0"/>
          <w:i w:val="0"/>
          <w:color w:val="666666"/>
          <w:sz w:val="22"/>
        </w:rPr>
        <w:t>二〇二六年十月</w:t>
      </w:r>
    </w:p>
    <w:p>
      <w:pPr>
        <w:jc w:val="center"/>
      </w:pPr>
      <w:r>
        <w:rPr>
          <w:rFonts w:ascii="Calibri" w:hAnsi="Calibri" w:eastAsia="微软雅黑"/>
          <w:b w:val="0"/>
          <w:i w:val="0"/>
          <w:color w:val="666666"/>
          <w:sz w:val="22"/>
        </w:rPr>
        <w:t>---</w:t>
      </w:r>
    </w:p>
    <w:p>
      <w:r>
        <w:br w:type="page"/>
      </w:r>
    </w:p>
    <w:p>
      <w:pPr>
        <w:pStyle w:val="Heading1"/>
      </w:pPr>
      <w:r>
        <w:t>目 录</w:t>
      </w:r>
    </w:p>
    <w:p>
      <w:pPr>
        <w:tabs>
          <w:tab w:pos="8504" w:val="right" w:leader="dot"/>
        </w:tabs>
        <w:ind w:left="0"/>
      </w:pPr>
      <w:r>
        <w:rPr>
          <w:rFonts w:ascii="Calibri" w:hAnsi="Calibri" w:eastAsia="微软雅黑"/>
          <w:b/>
          <w:i w:val="0"/>
          <w:sz w:val="22"/>
        </w:rPr>
        <w:t>第1章 合同法律框架：从民法典到司法解释</w:t>
      </w:r>
    </w:p>
    <w:p>
      <w:pPr>
        <w:tabs>
          <w:tab w:pos="8504" w:val="right" w:leader="dot"/>
        </w:tabs>
        <w:ind w:left="340"/>
      </w:pPr>
      <w:r>
        <w:rPr>
          <w:rFonts w:ascii="Calibri" w:hAnsi="Calibri" w:eastAsia="微软雅黑"/>
          <w:b w:val="0"/>
          <w:i w:val="0"/>
          <w:sz w:val="20"/>
        </w:rPr>
        <w:t>1.1 民法典换轨：591件 [own_calc:源自上下文推算] [own_calc:源自上下文推算]司法解释的一次性清理</w:t>
      </w:r>
    </w:p>
    <w:p>
      <w:pPr>
        <w:tabs>
          <w:tab w:pos="8504" w:val="right" w:leader="dot"/>
        </w:tabs>
        <w:ind w:left="340"/>
      </w:pPr>
      <w:r>
        <w:rPr>
          <w:rFonts w:ascii="Calibri" w:hAnsi="Calibri" w:eastAsia="微软雅黑"/>
          <w:b w:val="0"/>
          <w:i w:val="0"/>
          <w:sz w:val="20"/>
        </w:rPr>
        <w:t>1.2 《建工解释二》：从二十六条到二十三条</w:t>
      </w:r>
    </w:p>
    <w:p>
      <w:pPr>
        <w:tabs>
          <w:tab w:pos="8504" w:val="right" w:leader="dot"/>
        </w:tabs>
        <w:ind w:left="340"/>
      </w:pPr>
      <w:r>
        <w:rPr>
          <w:rFonts w:ascii="Calibri" w:hAnsi="Calibri" w:eastAsia="微软雅黑"/>
          <w:b w:val="0"/>
          <w:i w:val="0"/>
          <w:sz w:val="20"/>
        </w:rPr>
        <w:t>1.3 招投标效力时点：从"订立时"到"起诉时"</w:t>
      </w:r>
    </w:p>
    <w:p>
      <w:pPr>
        <w:tabs>
          <w:tab w:pos="8504" w:val="right" w:leader="dot"/>
        </w:tabs>
        <w:ind w:left="340"/>
      </w:pPr>
      <w:r>
        <w:rPr>
          <w:rFonts w:ascii="Calibri" w:hAnsi="Calibri" w:eastAsia="微软雅黑"/>
          <w:b w:val="0"/>
          <w:i w:val="0"/>
          <w:sz w:val="20"/>
        </w:rPr>
        <w:t>1.4 "实际施工人"退出规则舞台：三类主体的新表述</w:t>
      </w:r>
    </w:p>
    <w:p>
      <w:pPr>
        <w:tabs>
          <w:tab w:pos="8504" w:val="right" w:leader="dot"/>
        </w:tabs>
        <w:ind w:left="340"/>
      </w:pPr>
      <w:r>
        <w:rPr>
          <w:rFonts w:ascii="Calibri" w:hAnsi="Calibri" w:eastAsia="微软雅黑"/>
          <w:b w:val="0"/>
          <w:i w:val="0"/>
          <w:sz w:val="20"/>
        </w:rPr>
        <w:t>1.5 结算与优先受偿权：日期即权利</w:t>
      </w:r>
    </w:p>
    <w:p>
      <w:pPr>
        <w:tabs>
          <w:tab w:pos="8504" w:val="right" w:leader="dot"/>
        </w:tabs>
        <w:ind w:left="340"/>
      </w:pPr>
      <w:r>
        <w:rPr>
          <w:rFonts w:ascii="Calibri" w:hAnsi="Calibri" w:eastAsia="微软雅黑"/>
          <w:b w:val="0"/>
          <w:i w:val="0"/>
          <w:sz w:val="20"/>
        </w:rPr>
        <w:t>1.6 GB/T 50500-2024：计价规则的市场化换轨</w:t>
      </w:r>
    </w:p>
    <w:p>
      <w:pPr>
        <w:tabs>
          <w:tab w:pos="8504" w:val="right" w:leader="dot"/>
        </w:tabs>
        <w:ind w:left="340"/>
      </w:pPr>
      <w:r>
        <w:rPr>
          <w:rFonts w:ascii="Calibri" w:hAnsi="Calibri" w:eastAsia="微软雅黑"/>
          <w:b w:val="0"/>
          <w:i w:val="0"/>
          <w:sz w:val="20"/>
        </w:rPr>
        <w:t>1.7 裁判文书的量与质：三批次语料与一个样本案</w:t>
      </w:r>
    </w:p>
    <w:p>
      <w:pPr>
        <w:tabs>
          <w:tab w:pos="8504" w:val="right" w:leader="dot"/>
        </w:tabs>
        <w:ind w:left="340"/>
      </w:pPr>
      <w:r>
        <w:rPr>
          <w:rFonts w:ascii="Calibri" w:hAnsi="Calibri" w:eastAsia="微软雅黑"/>
          <w:b w:val="0"/>
          <w:i w:val="0"/>
          <w:sz w:val="20"/>
        </w:rPr>
        <w:t>1.8 合规要点清单：把规则坐标装进项目流程</w:t>
      </w:r>
    </w:p>
    <w:p>
      <w:pPr>
        <w:tabs>
          <w:tab w:pos="8504" w:val="right" w:leader="dot"/>
        </w:tabs>
        <w:ind w:left="0"/>
      </w:pPr>
      <w:r>
        <w:rPr>
          <w:rFonts w:ascii="Calibri" w:hAnsi="Calibri" w:eastAsia="微软雅黑"/>
          <w:b/>
          <w:i w:val="0"/>
          <w:sz w:val="22"/>
        </w:rPr>
        <w:t>第2章 EPC 合同体系：类型、特征与选择</w:t>
      </w:r>
    </w:p>
    <w:p>
      <w:pPr>
        <w:tabs>
          <w:tab w:pos="8504" w:val="right" w:leader="dot"/>
        </w:tabs>
        <w:ind w:left="340"/>
      </w:pPr>
      <w:r>
        <w:rPr>
          <w:rFonts w:ascii="Calibri" w:hAnsi="Calibri" w:eastAsia="微软雅黑"/>
          <w:b w:val="0"/>
          <w:i w:val="0"/>
          <w:sz w:val="20"/>
        </w:rPr>
        <w:t>2.1 谱系坐标：EPC 只是总承包家族的一支</w:t>
      </w:r>
    </w:p>
    <w:p>
      <w:pPr>
        <w:tabs>
          <w:tab w:pos="8504" w:val="right" w:leader="dot"/>
        </w:tabs>
        <w:ind w:left="340"/>
      </w:pPr>
      <w:r>
        <w:rPr>
          <w:rFonts w:ascii="Calibri" w:hAnsi="Calibri" w:eastAsia="微软雅黑"/>
          <w:b w:val="0"/>
          <w:i w:val="0"/>
          <w:sz w:val="20"/>
        </w:rPr>
        <w:t>2.2 制度节点与纠纷量级</w:t>
      </w:r>
    </w:p>
    <w:p>
      <w:pPr>
        <w:tabs>
          <w:tab w:pos="8504" w:val="right" w:leader="dot"/>
        </w:tabs>
        <w:ind w:left="340"/>
      </w:pPr>
      <w:r>
        <w:rPr>
          <w:rFonts w:ascii="Calibri" w:hAnsi="Calibri" w:eastAsia="微软雅黑"/>
          <w:b w:val="0"/>
          <w:i w:val="0"/>
          <w:sz w:val="20"/>
        </w:rPr>
        <w:t>2.3 法律定性：一份合同，四种命运</w:t>
      </w:r>
    </w:p>
    <w:p>
      <w:pPr>
        <w:tabs>
          <w:tab w:pos="8504" w:val="right" w:leader="dot"/>
        </w:tabs>
        <w:ind w:left="340"/>
      </w:pPr>
      <w:r>
        <w:rPr>
          <w:rFonts w:ascii="Calibri" w:hAnsi="Calibri" w:eastAsia="微软雅黑"/>
          <w:b w:val="0"/>
          <w:i w:val="0"/>
          <w:sz w:val="20"/>
        </w:rPr>
        <w:t>2.4 计价骨架：从单价惯性到总价转向</w:t>
      </w:r>
    </w:p>
    <w:p>
      <w:pPr>
        <w:tabs>
          <w:tab w:pos="8504" w:val="right" w:leader="dot"/>
        </w:tabs>
        <w:ind w:left="340"/>
      </w:pPr>
      <w:r>
        <w:rPr>
          <w:rFonts w:ascii="Calibri" w:hAnsi="Calibri" w:eastAsia="微软雅黑"/>
          <w:b w:val="0"/>
          <w:i w:val="0"/>
          <w:sz w:val="20"/>
        </w:rPr>
        <w:t>2.5 固定总价的司法边界：两个最高法案号</w:t>
      </w:r>
    </w:p>
    <w:p>
      <w:pPr>
        <w:tabs>
          <w:tab w:pos="8504" w:val="right" w:leader="dot"/>
        </w:tabs>
        <w:ind w:left="340"/>
      </w:pPr>
      <w:r>
        <w:rPr>
          <w:rFonts w:ascii="Calibri" w:hAnsi="Calibri" w:eastAsia="微软雅黑"/>
          <w:b w:val="0"/>
          <w:i w:val="0"/>
          <w:sz w:val="20"/>
        </w:rPr>
        <w:t>2.6 境外架构：合同拆分的税务逻辑</w:t>
      </w:r>
    </w:p>
    <w:p>
      <w:pPr>
        <w:tabs>
          <w:tab w:pos="8504" w:val="right" w:leader="dot"/>
        </w:tabs>
        <w:ind w:left="340"/>
      </w:pPr>
      <w:r>
        <w:rPr>
          <w:rFonts w:ascii="Calibri" w:hAnsi="Calibri" w:eastAsia="微软雅黑"/>
          <w:b w:val="0"/>
          <w:i w:val="0"/>
          <w:sz w:val="20"/>
        </w:rPr>
        <w:t>2.7 签约前决策：五条红线与一张对照表</w:t>
      </w:r>
    </w:p>
    <w:p>
      <w:pPr>
        <w:tabs>
          <w:tab w:pos="8504" w:val="right" w:leader="dot"/>
        </w:tabs>
        <w:ind w:left="0"/>
      </w:pPr>
      <w:r>
        <w:rPr>
          <w:rFonts w:ascii="Calibri" w:hAnsi="Calibri" w:eastAsia="微软雅黑"/>
          <w:b/>
          <w:i w:val="0"/>
          <w:sz w:val="22"/>
        </w:rPr>
        <w:t>第3章 合同条款风险解剖：15 个致命条款</w:t>
      </w:r>
    </w:p>
    <w:p>
      <w:pPr>
        <w:tabs>
          <w:tab w:pos="8504" w:val="right" w:leader="dot"/>
        </w:tabs>
        <w:ind w:left="340"/>
      </w:pPr>
      <w:r>
        <w:rPr>
          <w:rFonts w:ascii="Calibri" w:hAnsi="Calibri" w:eastAsia="微软雅黑"/>
          <w:b w:val="0"/>
          <w:i w:val="0"/>
          <w:sz w:val="20"/>
        </w:rPr>
        <w:t>一、价款条款：数字写不严，结算必失控</w:t>
      </w:r>
    </w:p>
    <w:p>
      <w:pPr>
        <w:tabs>
          <w:tab w:pos="8504" w:val="right" w:leader="dot"/>
        </w:tabs>
        <w:ind w:left="340"/>
      </w:pPr>
      <w:r>
        <w:rPr>
          <w:rFonts w:ascii="Calibri" w:hAnsi="Calibri" w:eastAsia="微软雅黑"/>
          <w:b w:val="0"/>
          <w:i w:val="0"/>
          <w:sz w:val="20"/>
        </w:rPr>
        <w:t>二、履约控制条款：签字与印章的边界</w:t>
      </w:r>
    </w:p>
    <w:p>
      <w:pPr>
        <w:tabs>
          <w:tab w:pos="8504" w:val="right" w:leader="dot"/>
        </w:tabs>
        <w:ind w:left="340"/>
      </w:pPr>
      <w:r>
        <w:rPr>
          <w:rFonts w:ascii="Calibri" w:hAnsi="Calibri" w:eastAsia="微软雅黑"/>
          <w:b w:val="0"/>
          <w:i w:val="0"/>
          <w:sz w:val="20"/>
        </w:rPr>
        <w:t>三、救济与程序条款：最后五十米失守最冤</w:t>
      </w:r>
    </w:p>
    <w:p>
      <w:pPr>
        <w:tabs>
          <w:tab w:pos="8504" w:val="right" w:leader="dot"/>
        </w:tabs>
        <w:ind w:left="340"/>
      </w:pPr>
      <w:r>
        <w:rPr>
          <w:rFonts w:ascii="Calibri" w:hAnsi="Calibri" w:eastAsia="微软雅黑"/>
          <w:b w:val="0"/>
          <w:i w:val="0"/>
          <w:sz w:val="20"/>
        </w:rPr>
        <w:t>体检顺序与落点</w:t>
      </w:r>
    </w:p>
    <w:p>
      <w:pPr>
        <w:tabs>
          <w:tab w:pos="8504" w:val="right" w:leader="dot"/>
        </w:tabs>
        <w:ind w:left="0"/>
      </w:pPr>
      <w:r>
        <w:rPr>
          <w:rFonts w:ascii="Calibri" w:hAnsi="Calibri" w:eastAsia="微软雅黑"/>
          <w:b/>
          <w:i w:val="0"/>
          <w:sz w:val="22"/>
        </w:rPr>
        <w:t>第4章 计价与结算：固定总价的边界与突破</w:t>
      </w:r>
    </w:p>
    <w:p>
      <w:pPr>
        <w:tabs>
          <w:tab w:pos="8504" w:val="right" w:leader="dot"/>
        </w:tabs>
        <w:ind w:left="340"/>
      </w:pPr>
      <w:r>
        <w:rPr>
          <w:rFonts w:ascii="Calibri" w:hAnsi="Calibri" w:eastAsia="微软雅黑"/>
          <w:b w:val="0"/>
          <w:i w:val="0"/>
          <w:sz w:val="20"/>
        </w:rPr>
        <w:t>4.1 规则换轨：从定额定价到市场询价</w:t>
      </w:r>
    </w:p>
    <w:p>
      <w:pPr>
        <w:tabs>
          <w:tab w:pos="8504" w:val="right" w:leader="dot"/>
        </w:tabs>
        <w:ind w:left="340"/>
      </w:pPr>
      <w:r>
        <w:rPr>
          <w:rFonts w:ascii="Calibri" w:hAnsi="Calibri" w:eastAsia="微软雅黑"/>
          <w:b w:val="0"/>
          <w:i w:val="0"/>
          <w:sz w:val="20"/>
        </w:rPr>
        <w:t>4.2 封顶的边界：上限封的是合同内工程款</w:t>
      </w:r>
    </w:p>
    <w:p>
      <w:pPr>
        <w:tabs>
          <w:tab w:pos="8504" w:val="right" w:leader="dot"/>
        </w:tabs>
        <w:ind w:left="340"/>
      </w:pPr>
      <w:r>
        <w:rPr>
          <w:rFonts w:ascii="Calibri" w:hAnsi="Calibri" w:eastAsia="微软雅黑"/>
          <w:b w:val="0"/>
          <w:i w:val="0"/>
          <w:sz w:val="20"/>
        </w:rPr>
        <w:t>4.3 暂定总价加据实结算：46.65亿EPC的结算爆雷</w:t>
      </w:r>
    </w:p>
    <w:p>
      <w:pPr>
        <w:tabs>
          <w:tab w:pos="8504" w:val="right" w:leader="dot"/>
        </w:tabs>
        <w:ind w:left="340"/>
      </w:pPr>
      <w:r>
        <w:rPr>
          <w:rFonts w:ascii="Calibri" w:hAnsi="Calibri" w:eastAsia="微软雅黑"/>
          <w:b w:val="0"/>
          <w:i w:val="0"/>
          <w:sz w:val="20"/>
        </w:rPr>
        <w:t>4.4 清单缺项：谁的清单谁负责</w:t>
      </w:r>
    </w:p>
    <w:p>
      <w:pPr>
        <w:tabs>
          <w:tab w:pos="8504" w:val="right" w:leader="dot"/>
        </w:tabs>
        <w:ind w:left="340"/>
      </w:pPr>
      <w:r>
        <w:rPr>
          <w:rFonts w:ascii="Calibri" w:hAnsi="Calibri" w:eastAsia="微软雅黑"/>
          <w:b w:val="0"/>
          <w:i w:val="0"/>
          <w:sz w:val="20"/>
        </w:rPr>
        <w:t>4.5 限价编制红线：概算不能直接当限价</w:t>
      </w:r>
    </w:p>
    <w:p>
      <w:pPr>
        <w:tabs>
          <w:tab w:pos="8504" w:val="right" w:leader="dot"/>
        </w:tabs>
        <w:ind w:left="340"/>
      </w:pPr>
      <w:r>
        <w:rPr>
          <w:rFonts w:ascii="Calibri" w:hAnsi="Calibri" w:eastAsia="微软雅黑"/>
          <w:b w:val="0"/>
          <w:i w:val="0"/>
          <w:sz w:val="20"/>
        </w:rPr>
        <w:t>4.6 结算条款攻防：期限、暂估价与利息</w:t>
      </w:r>
    </w:p>
    <w:p>
      <w:pPr>
        <w:tabs>
          <w:tab w:pos="8504" w:val="right" w:leader="dot"/>
        </w:tabs>
        <w:ind w:left="340"/>
      </w:pPr>
      <w:r>
        <w:rPr>
          <w:rFonts w:ascii="Calibri" w:hAnsi="Calibri" w:eastAsia="微软雅黑"/>
          <w:b w:val="0"/>
          <w:i w:val="0"/>
          <w:sz w:val="20"/>
        </w:rPr>
        <w:t>4.7 行动清单</w:t>
      </w:r>
    </w:p>
    <w:p>
      <w:pPr>
        <w:tabs>
          <w:tab w:pos="8504" w:val="right" w:leader="dot"/>
        </w:tabs>
        <w:ind w:left="0"/>
      </w:pPr>
      <w:r>
        <w:rPr>
          <w:rFonts w:ascii="Calibri" w:hAnsi="Calibri" w:eastAsia="微软雅黑"/>
          <w:b/>
          <w:i w:val="0"/>
          <w:sz w:val="22"/>
        </w:rPr>
        <w:t>第5章 变更与签证：索赔的第一道门</w:t>
      </w:r>
    </w:p>
    <w:p>
      <w:pPr>
        <w:tabs>
          <w:tab w:pos="8504" w:val="right" w:leader="dot"/>
        </w:tabs>
        <w:ind w:left="340"/>
      </w:pPr>
      <w:r>
        <w:rPr>
          <w:rFonts w:ascii="Calibri" w:hAnsi="Calibri" w:eastAsia="微软雅黑"/>
          <w:b w:val="0"/>
          <w:i w:val="0"/>
          <w:sz w:val="20"/>
        </w:rPr>
        <w:t>5.1 概念分界：变更管"圈里"，签证管"圈外"</w:t>
      </w:r>
    </w:p>
    <w:p>
      <w:pPr>
        <w:tabs>
          <w:tab w:pos="8504" w:val="right" w:leader="dot"/>
        </w:tabs>
        <w:ind w:left="340"/>
      </w:pPr>
      <w:r>
        <w:rPr>
          <w:rFonts w:ascii="Calibri" w:hAnsi="Calibri" w:eastAsia="微软雅黑"/>
          <w:b w:val="0"/>
          <w:i w:val="0"/>
          <w:sz w:val="20"/>
        </w:rPr>
        <w:t>5.2 签认主体与签认深度：两处最容易踩空的细节</w:t>
      </w:r>
    </w:p>
    <w:p>
      <w:pPr>
        <w:tabs>
          <w:tab w:pos="8504" w:val="right" w:leader="dot"/>
        </w:tabs>
        <w:ind w:left="340"/>
      </w:pPr>
      <w:r>
        <w:rPr>
          <w:rFonts w:ascii="Calibri" w:hAnsi="Calibri" w:eastAsia="微软雅黑"/>
          <w:b w:val="0"/>
          <w:i w:val="0"/>
          <w:sz w:val="20"/>
        </w:rPr>
        <w:t>5.3 "情况属实"到底证实了什么</w:t>
      </w:r>
    </w:p>
    <w:p>
      <w:pPr>
        <w:tabs>
          <w:tab w:pos="8504" w:val="right" w:leader="dot"/>
        </w:tabs>
        <w:ind w:left="340"/>
      </w:pPr>
      <w:r>
        <w:rPr>
          <w:rFonts w:ascii="Calibri" w:hAnsi="Calibri" w:eastAsia="微软雅黑"/>
          <w:b w:val="0"/>
          <w:i w:val="0"/>
          <w:sz w:val="20"/>
        </w:rPr>
        <w:t>5.4 程序与时限：先审批后施工，28天是生死线</w:t>
      </w:r>
    </w:p>
    <w:p>
      <w:pPr>
        <w:tabs>
          <w:tab w:pos="8504" w:val="right" w:leader="dot"/>
        </w:tabs>
        <w:ind w:left="340"/>
      </w:pPr>
      <w:r>
        <w:rPr>
          <w:rFonts w:ascii="Calibri" w:hAnsi="Calibri" w:eastAsia="微软雅黑"/>
          <w:b w:val="0"/>
          <w:i w:val="0"/>
          <w:sz w:val="20"/>
        </w:rPr>
        <w:t>5.5 证据链五件套与延误分析工具</w:t>
      </w:r>
    </w:p>
    <w:p>
      <w:pPr>
        <w:tabs>
          <w:tab w:pos="8504" w:val="right" w:leader="dot"/>
        </w:tabs>
        <w:ind w:left="340"/>
      </w:pPr>
      <w:r>
        <w:rPr>
          <w:rFonts w:ascii="Calibri" w:hAnsi="Calibri" w:eastAsia="微软雅黑"/>
          <w:b w:val="0"/>
          <w:i w:val="0"/>
          <w:sz w:val="20"/>
        </w:rPr>
        <w:t>5.6 结算收口之后：两份判决划出的边界</w:t>
      </w:r>
    </w:p>
    <w:p>
      <w:pPr>
        <w:tabs>
          <w:tab w:pos="8504" w:val="right" w:leader="dot"/>
        </w:tabs>
        <w:ind w:left="340"/>
      </w:pPr>
      <w:r>
        <w:rPr>
          <w:rFonts w:ascii="Calibri" w:hAnsi="Calibri" w:eastAsia="微软雅黑"/>
          <w:b w:val="0"/>
          <w:i w:val="0"/>
          <w:sz w:val="20"/>
        </w:rPr>
        <w:t>5.7 项目部七条动作线</w:t>
      </w:r>
    </w:p>
    <w:p>
      <w:pPr>
        <w:tabs>
          <w:tab w:pos="8504" w:val="right" w:leader="dot"/>
        </w:tabs>
        <w:ind w:left="0"/>
      </w:pPr>
      <w:r>
        <w:rPr>
          <w:rFonts w:ascii="Calibri" w:hAnsi="Calibri" w:eastAsia="微软雅黑"/>
          <w:b/>
          <w:i w:val="0"/>
          <w:sz w:val="22"/>
        </w:rPr>
        <w:t>第6章 工期索赔：计算方法与举证要点</w:t>
      </w:r>
    </w:p>
    <w:p>
      <w:pPr>
        <w:tabs>
          <w:tab w:pos="8504" w:val="right" w:leader="dot"/>
        </w:tabs>
        <w:ind w:left="340"/>
      </w:pPr>
      <w:r>
        <w:rPr>
          <w:rFonts w:ascii="Calibri" w:hAnsi="Calibri" w:eastAsia="微软雅黑"/>
          <w:b w:val="0"/>
          <w:i w:val="0"/>
          <w:sz w:val="20"/>
        </w:rPr>
        <w:t>6.1 败诉病灶：延误事实成立，索赔请求仍被驳</w:t>
      </w:r>
    </w:p>
    <w:p>
      <w:pPr>
        <w:tabs>
          <w:tab w:pos="8504" w:val="right" w:leader="dot"/>
        </w:tabs>
        <w:ind w:left="340"/>
      </w:pPr>
      <w:r>
        <w:rPr>
          <w:rFonts w:ascii="Calibri" w:hAnsi="Calibri" w:eastAsia="微软雅黑"/>
          <w:b w:val="0"/>
          <w:i w:val="0"/>
          <w:sz w:val="20"/>
        </w:rPr>
        <w:t>6.2 事由边界：七类可诉、三类出局、两分法计价</w:t>
      </w:r>
    </w:p>
    <w:p>
      <w:pPr>
        <w:tabs>
          <w:tab w:pos="8504" w:val="right" w:leader="dot"/>
        </w:tabs>
        <w:ind w:left="340"/>
      </w:pPr>
      <w:r>
        <w:rPr>
          <w:rFonts w:ascii="Calibri" w:hAnsi="Calibri" w:eastAsia="微软雅黑"/>
          <w:b w:val="0"/>
          <w:i w:val="0"/>
          <w:sz w:val="20"/>
        </w:rPr>
        <w:t>6.3 天数计算：基准工期、关键线路与共同延误拆分</w:t>
      </w:r>
    </w:p>
    <w:p>
      <w:pPr>
        <w:tabs>
          <w:tab w:pos="8504" w:val="right" w:leader="dot"/>
        </w:tabs>
        <w:ind w:left="340"/>
      </w:pPr>
      <w:r>
        <w:rPr>
          <w:rFonts w:ascii="Calibri" w:hAnsi="Calibri" w:eastAsia="微软雅黑"/>
          <w:b w:val="0"/>
          <w:i w:val="0"/>
          <w:sz w:val="20"/>
        </w:rPr>
        <w:t>6.4 费用口径：填平红线下的三类驳回</w:t>
      </w:r>
    </w:p>
    <w:p>
      <w:pPr>
        <w:tabs>
          <w:tab w:pos="8504" w:val="right" w:leader="dot"/>
        </w:tabs>
        <w:ind w:left="340"/>
      </w:pPr>
      <w:r>
        <w:rPr>
          <w:rFonts w:ascii="Calibri" w:hAnsi="Calibri" w:eastAsia="微软雅黑"/>
          <w:b w:val="0"/>
          <w:i w:val="0"/>
          <w:sz w:val="20"/>
        </w:rPr>
        <w:t>6.5 全案复盘：顺延77天、费用归零的1145号判决</w:t>
      </w:r>
    </w:p>
    <w:p>
      <w:pPr>
        <w:tabs>
          <w:tab w:pos="8504" w:val="right" w:leader="dot"/>
        </w:tabs>
        <w:ind w:left="340"/>
      </w:pPr>
      <w:r>
        <w:rPr>
          <w:rFonts w:ascii="Calibri" w:hAnsi="Calibri" w:eastAsia="微软雅黑"/>
          <w:b w:val="0"/>
          <w:i w:val="0"/>
          <w:sz w:val="20"/>
        </w:rPr>
        <w:t>6.6 举证与程序：11类证据、送达留痕与两步申报</w:t>
      </w:r>
    </w:p>
    <w:p>
      <w:pPr>
        <w:tabs>
          <w:tab w:pos="8504" w:val="right" w:leader="dot"/>
        </w:tabs>
        <w:ind w:left="340"/>
      </w:pPr>
      <w:r>
        <w:rPr>
          <w:rFonts w:ascii="Calibri" w:hAnsi="Calibri" w:eastAsia="微软雅黑"/>
          <w:b w:val="0"/>
          <w:i w:val="0"/>
          <w:sz w:val="20"/>
        </w:rPr>
        <w:t>6.7 法规坐标：民法典配套清理与司法解释换代</w:t>
      </w:r>
    </w:p>
    <w:p>
      <w:pPr>
        <w:tabs>
          <w:tab w:pos="8504" w:val="right" w:leader="dot"/>
        </w:tabs>
        <w:ind w:left="0"/>
      </w:pPr>
      <w:r>
        <w:rPr>
          <w:rFonts w:ascii="Calibri" w:hAnsi="Calibri" w:eastAsia="微软雅黑"/>
          <w:b/>
          <w:i w:val="0"/>
          <w:sz w:val="22"/>
        </w:rPr>
        <w:t>第7章 费用索赔：从直接损失到利润损失</w:t>
      </w:r>
    </w:p>
    <w:p>
      <w:pPr>
        <w:tabs>
          <w:tab w:pos="8504" w:val="right" w:leader="dot"/>
        </w:tabs>
        <w:ind w:left="340"/>
      </w:pPr>
      <w:r>
        <w:rPr>
          <w:rFonts w:ascii="Calibri" w:hAnsi="Calibri" w:eastAsia="微软雅黑"/>
          <w:b w:val="0"/>
          <w:i w:val="0"/>
          <w:sz w:val="20"/>
        </w:rPr>
        <w:t>7.1 损失填平：费用核算的底层红线</w:t>
      </w:r>
    </w:p>
    <w:p>
      <w:pPr>
        <w:tabs>
          <w:tab w:pos="8504" w:val="right" w:leader="dot"/>
        </w:tabs>
        <w:ind w:left="340"/>
      </w:pPr>
      <w:r>
        <w:rPr>
          <w:rFonts w:ascii="Calibri" w:hAnsi="Calibri" w:eastAsia="微软雅黑"/>
          <w:b w:val="0"/>
          <w:i w:val="0"/>
          <w:sz w:val="20"/>
        </w:rPr>
        <w:t>7.2 直接损失：三份判决给出的"实际发生"检验</w:t>
      </w:r>
    </w:p>
    <w:p>
      <w:pPr>
        <w:tabs>
          <w:tab w:pos="8504" w:val="right" w:leader="dot"/>
        </w:tabs>
        <w:ind w:left="340"/>
      </w:pPr>
      <w:r>
        <w:rPr>
          <w:rFonts w:ascii="Calibri" w:hAnsi="Calibri" w:eastAsia="微软雅黑"/>
          <w:b w:val="0"/>
          <w:i w:val="0"/>
          <w:sz w:val="20"/>
        </w:rPr>
        <w:t>7.3 利润损失：预期收益的证明困境与取舍</w:t>
      </w:r>
    </w:p>
    <w:p>
      <w:pPr>
        <w:tabs>
          <w:tab w:pos="8504" w:val="right" w:leader="dot"/>
        </w:tabs>
        <w:ind w:left="340"/>
      </w:pPr>
      <w:r>
        <w:rPr>
          <w:rFonts w:ascii="Calibri" w:hAnsi="Calibri" w:eastAsia="微软雅黑"/>
          <w:b w:val="0"/>
          <w:i w:val="0"/>
          <w:sz w:val="20"/>
        </w:rPr>
        <w:t>7.4 管理费：先类型化，再谈能不能要</w:t>
      </w:r>
    </w:p>
    <w:p>
      <w:pPr>
        <w:tabs>
          <w:tab w:pos="8504" w:val="right" w:leader="dot"/>
        </w:tabs>
        <w:ind w:left="340"/>
      </w:pPr>
      <w:r>
        <w:rPr>
          <w:rFonts w:ascii="Calibri" w:hAnsi="Calibri" w:eastAsia="微软雅黑"/>
          <w:b w:val="0"/>
          <w:i w:val="0"/>
          <w:sz w:val="20"/>
        </w:rPr>
        <w:t>7.5 补充协议加收管理费：无效高发区与三重依据</w:t>
      </w:r>
    </w:p>
    <w:p>
      <w:pPr>
        <w:tabs>
          <w:tab w:pos="8504" w:val="right" w:leader="dot"/>
        </w:tabs>
        <w:ind w:left="340"/>
      </w:pPr>
      <w:r>
        <w:rPr>
          <w:rFonts w:ascii="Calibri" w:hAnsi="Calibri" w:eastAsia="微软雅黑"/>
          <w:b w:val="0"/>
          <w:i w:val="0"/>
          <w:sz w:val="20"/>
        </w:rPr>
        <w:t>7.6 重复计取与审核清单：把红线翻译成动作</w:t>
      </w:r>
    </w:p>
    <w:p>
      <w:pPr>
        <w:tabs>
          <w:tab w:pos="8504" w:val="right" w:leader="dot"/>
        </w:tabs>
        <w:ind w:left="0"/>
      </w:pPr>
      <w:r>
        <w:rPr>
          <w:rFonts w:ascii="Calibri" w:hAnsi="Calibri" w:eastAsia="微软雅黑"/>
          <w:b/>
          <w:i w:val="0"/>
          <w:sz w:val="22"/>
        </w:rPr>
        <w:t>第8章 反索赔：发包方的盾牌与反击</w:t>
      </w:r>
    </w:p>
    <w:p>
      <w:pPr>
        <w:tabs>
          <w:tab w:pos="8504" w:val="right" w:leader="dot"/>
        </w:tabs>
        <w:ind w:left="340"/>
      </w:pPr>
      <w:r>
        <w:rPr>
          <w:rFonts w:ascii="Calibri" w:hAnsi="Calibri" w:eastAsia="微软雅黑"/>
          <w:b w:val="0"/>
          <w:i w:val="0"/>
          <w:sz w:val="20"/>
        </w:rPr>
        <w:t>8.1 反索赔高发区：从裁判文书里数出来的清单</w:t>
      </w:r>
    </w:p>
    <w:p>
      <w:pPr>
        <w:tabs>
          <w:tab w:pos="8504" w:val="right" w:leader="dot"/>
        </w:tabs>
        <w:ind w:left="340"/>
      </w:pPr>
      <w:r>
        <w:rPr>
          <w:rFonts w:ascii="Calibri" w:hAnsi="Calibri" w:eastAsia="微软雅黑"/>
          <w:b w:val="0"/>
          <w:i w:val="0"/>
          <w:sz w:val="20"/>
        </w:rPr>
        <w:t>8.2 质量缺陷反索赔：最硬的一张牌与它的价格</w:t>
      </w:r>
    </w:p>
    <w:p>
      <w:pPr>
        <w:tabs>
          <w:tab w:pos="8504" w:val="right" w:leader="dot"/>
        </w:tabs>
        <w:ind w:left="340"/>
      </w:pPr>
      <w:r>
        <w:rPr>
          <w:rFonts w:ascii="Calibri" w:hAnsi="Calibri" w:eastAsia="微软雅黑"/>
          <w:b w:val="0"/>
          <w:i w:val="0"/>
          <w:sz w:val="20"/>
        </w:rPr>
        <w:t>8.3 工期延误反索赔：日期锚点与延期证据链</w:t>
      </w:r>
    </w:p>
    <w:p>
      <w:pPr>
        <w:tabs>
          <w:tab w:pos="8504" w:val="right" w:leader="dot"/>
        </w:tabs>
        <w:ind w:left="340"/>
      </w:pPr>
      <w:r>
        <w:rPr>
          <w:rFonts w:ascii="Calibri" w:hAnsi="Calibri" w:eastAsia="微软雅黑"/>
          <w:b w:val="0"/>
          <w:i w:val="0"/>
          <w:sz w:val="20"/>
        </w:rPr>
        <w:t>8.4 扣款与抵销：不否认欠款，只压低金额</w:t>
      </w:r>
    </w:p>
    <w:p>
      <w:pPr>
        <w:tabs>
          <w:tab w:pos="8504" w:val="right" w:leader="dot"/>
        </w:tabs>
        <w:ind w:left="340"/>
      </w:pPr>
      <w:r>
        <w:rPr>
          <w:rFonts w:ascii="Calibri" w:hAnsi="Calibri" w:eastAsia="微软雅黑"/>
          <w:b w:val="0"/>
          <w:i w:val="0"/>
          <w:sz w:val="20"/>
        </w:rPr>
        <w:t>8.5 盾牌的合法性边界：越界的反索赔依据无效</w:t>
      </w:r>
    </w:p>
    <w:p>
      <w:pPr>
        <w:tabs>
          <w:tab w:pos="8504" w:val="right" w:leader="dot"/>
        </w:tabs>
        <w:ind w:left="340"/>
      </w:pPr>
      <w:r>
        <w:rPr>
          <w:rFonts w:ascii="Calibri" w:hAnsi="Calibri" w:eastAsia="微软雅黑"/>
          <w:b w:val="0"/>
          <w:i w:val="0"/>
          <w:sz w:val="20"/>
        </w:rPr>
        <w:t>8.6 总承包商自己的盾：对分包反索赔，先查自己是否干净</w:t>
      </w:r>
    </w:p>
    <w:p>
      <w:pPr>
        <w:tabs>
          <w:tab w:pos="8504" w:val="right" w:leader="dot"/>
        </w:tabs>
        <w:ind w:left="340"/>
      </w:pPr>
      <w:r>
        <w:rPr>
          <w:rFonts w:ascii="Calibri" w:hAnsi="Calibri" w:eastAsia="微软雅黑"/>
          <w:b w:val="0"/>
          <w:i w:val="0"/>
          <w:sz w:val="20"/>
        </w:rPr>
        <w:t>8.7 结算确认与笔迹鉴定：终局证据战</w:t>
      </w:r>
    </w:p>
    <w:p>
      <w:pPr>
        <w:tabs>
          <w:tab w:pos="8504" w:val="right" w:leader="dot"/>
        </w:tabs>
        <w:ind w:left="340"/>
      </w:pPr>
      <w:r>
        <w:rPr>
          <w:rFonts w:ascii="Calibri" w:hAnsi="Calibri" w:eastAsia="微软雅黑"/>
          <w:b w:val="0"/>
          <w:i w:val="0"/>
          <w:sz w:val="20"/>
        </w:rPr>
        <w:t>8.8 程序武器箱：反诉、管辖、撤诉成本与执行反击</w:t>
      </w:r>
    </w:p>
    <w:p>
      <w:pPr>
        <w:tabs>
          <w:tab w:pos="8504" w:val="right" w:leader="dot"/>
        </w:tabs>
        <w:ind w:left="340"/>
      </w:pPr>
      <w:r>
        <w:rPr>
          <w:rFonts w:ascii="Calibri" w:hAnsi="Calibri" w:eastAsia="微软雅黑"/>
          <w:b w:val="0"/>
          <w:i w:val="0"/>
          <w:sz w:val="20"/>
        </w:rPr>
        <w:t>8.9 反索赔防御清单：上庭前逐项打钩</w:t>
      </w:r>
    </w:p>
    <w:p>
      <w:pPr>
        <w:tabs>
          <w:tab w:pos="8504" w:val="right" w:leader="dot"/>
        </w:tabs>
        <w:ind w:left="0"/>
      </w:pPr>
      <w:r>
        <w:rPr>
          <w:rFonts w:ascii="Calibri" w:hAnsi="Calibri" w:eastAsia="微软雅黑"/>
          <w:b/>
          <w:i w:val="0"/>
          <w:sz w:val="22"/>
        </w:rPr>
        <w:t>第9章 争议解决：谈判、调解、仲裁与诉讼</w:t>
      </w:r>
    </w:p>
    <w:p>
      <w:pPr>
        <w:tabs>
          <w:tab w:pos="8504" w:val="right" w:leader="dot"/>
        </w:tabs>
        <w:ind w:left="340"/>
      </w:pPr>
      <w:r>
        <w:rPr>
          <w:rFonts w:ascii="Calibri" w:hAnsi="Calibri" w:eastAsia="微软雅黑"/>
          <w:b w:val="0"/>
          <w:i w:val="0"/>
          <w:sz w:val="20"/>
        </w:rPr>
        <w:t>9.1 同一个EPC，两种争议方式：条款冲突的裁判尺度</w:t>
      </w:r>
    </w:p>
    <w:p>
      <w:pPr>
        <w:tabs>
          <w:tab w:pos="8504" w:val="right" w:leader="dot"/>
        </w:tabs>
        <w:ind w:left="340"/>
      </w:pPr>
      <w:r>
        <w:rPr>
          <w:rFonts w:ascii="Calibri" w:hAnsi="Calibri" w:eastAsia="微软雅黑"/>
          <w:b w:val="0"/>
          <w:i w:val="0"/>
          <w:sz w:val="20"/>
        </w:rPr>
        <w:t>9.2 机构选定不明：仲裁条款无效的三类典型</w:t>
      </w:r>
    </w:p>
    <w:p>
      <w:pPr>
        <w:tabs>
          <w:tab w:pos="8504" w:val="right" w:leader="dot"/>
        </w:tabs>
        <w:ind w:left="340"/>
      </w:pPr>
      <w:r>
        <w:rPr>
          <w:rFonts w:ascii="Calibri" w:hAnsi="Calibri" w:eastAsia="微软雅黑"/>
          <w:b w:val="0"/>
          <w:i w:val="0"/>
          <w:sz w:val="20"/>
        </w:rPr>
        <w:t>9.3 撤裁数据画像：1068件申请、82件撤销</w:t>
      </w:r>
    </w:p>
    <w:p>
      <w:pPr>
        <w:tabs>
          <w:tab w:pos="8504" w:val="right" w:leader="dot"/>
        </w:tabs>
        <w:ind w:left="340"/>
      </w:pPr>
      <w:r>
        <w:rPr>
          <w:rFonts w:ascii="Calibri" w:hAnsi="Calibri" w:eastAsia="微软雅黑"/>
          <w:b w:val="0"/>
          <w:i w:val="0"/>
          <w:sz w:val="20"/>
        </w:rPr>
        <w:t>9.4 调解优先与调仲衔接：四种模式、一部新法</w:t>
      </w:r>
    </w:p>
    <w:p>
      <w:pPr>
        <w:tabs>
          <w:tab w:pos="8504" w:val="right" w:leader="dot"/>
        </w:tabs>
        <w:ind w:left="340"/>
      </w:pPr>
      <w:r>
        <w:rPr>
          <w:rFonts w:ascii="Calibri" w:hAnsi="Calibri" w:eastAsia="微软雅黑"/>
          <w:b w:val="0"/>
          <w:i w:val="0"/>
          <w:sz w:val="20"/>
        </w:rPr>
        <w:t>9.5 诉讼战场：三个高频攻防点</w:t>
      </w:r>
    </w:p>
    <w:p>
      <w:pPr>
        <w:tabs>
          <w:tab w:pos="8504" w:val="right" w:leader="dot"/>
        </w:tabs>
        <w:ind w:left="340"/>
      </w:pPr>
      <w:r>
        <w:rPr>
          <w:rFonts w:ascii="Calibri" w:hAnsi="Calibri" w:eastAsia="微软雅黑"/>
          <w:b w:val="0"/>
          <w:i w:val="0"/>
          <w:sz w:val="20"/>
        </w:rPr>
        <w:t>9.6 2026年新规坐标与跨境路径</w:t>
      </w:r>
    </w:p>
    <w:p>
      <w:pPr>
        <w:tabs>
          <w:tab w:pos="8504" w:val="right" w:leader="dot"/>
        </w:tabs>
        <w:ind w:left="340"/>
      </w:pPr>
      <w:r>
        <w:rPr>
          <w:rFonts w:ascii="Calibri" w:hAnsi="Calibri" w:eastAsia="微软雅黑"/>
          <w:b w:val="0"/>
          <w:i w:val="0"/>
          <w:sz w:val="20"/>
        </w:rPr>
        <w:t>9.7 争议解决条款的年度审计清单</w:t>
      </w:r>
    </w:p>
    <w:p>
      <w:pPr>
        <w:tabs>
          <w:tab w:pos="8504" w:val="right" w:leader="dot"/>
        </w:tabs>
        <w:ind w:left="0"/>
      </w:pPr>
      <w:r>
        <w:rPr>
          <w:rFonts w:ascii="Calibri" w:hAnsi="Calibri" w:eastAsia="微软雅黑"/>
          <w:b/>
          <w:i w:val="0"/>
          <w:sz w:val="22"/>
        </w:rPr>
        <w:t>第10章 FIDIC 与国际合同：出海工程的保护伞</w:t>
      </w:r>
    </w:p>
    <w:p>
      <w:pPr>
        <w:tabs>
          <w:tab w:pos="8504" w:val="right" w:leader="dot"/>
        </w:tabs>
        <w:ind w:left="340"/>
      </w:pPr>
      <w:r>
        <w:rPr>
          <w:rFonts w:ascii="Calibri" w:hAnsi="Calibri" w:eastAsia="微软雅黑"/>
          <w:b w:val="0"/>
          <w:i w:val="0"/>
          <w:sz w:val="20"/>
        </w:rPr>
        <w:t>10.1 FIDIC是一门风险分担的语言</w:t>
      </w:r>
    </w:p>
    <w:p>
      <w:pPr>
        <w:tabs>
          <w:tab w:pos="8504" w:val="right" w:leader="dot"/>
        </w:tabs>
        <w:ind w:left="340"/>
      </w:pPr>
      <w:r>
        <w:rPr>
          <w:rFonts w:ascii="Calibri" w:hAnsi="Calibri" w:eastAsia="微软雅黑"/>
          <w:b w:val="0"/>
          <w:i w:val="0"/>
          <w:sz w:val="20"/>
        </w:rPr>
        <w:t>10.2 银皮书落地的四个高危点</w:t>
      </w:r>
    </w:p>
    <w:p>
      <w:pPr>
        <w:tabs>
          <w:tab w:pos="8504" w:val="right" w:leader="dot"/>
        </w:tabs>
        <w:ind w:left="340"/>
      </w:pPr>
      <w:r>
        <w:rPr>
          <w:rFonts w:ascii="Calibri" w:hAnsi="Calibri" w:eastAsia="微软雅黑"/>
          <w:b w:val="0"/>
          <w:i w:val="0"/>
          <w:sz w:val="20"/>
        </w:rPr>
        <w:t>10.3 DAAB：把争端压回工程现场</w:t>
      </w:r>
    </w:p>
    <w:p>
      <w:pPr>
        <w:tabs>
          <w:tab w:pos="8504" w:val="right" w:leader="dot"/>
        </w:tabs>
        <w:ind w:left="340"/>
      </w:pPr>
      <w:r>
        <w:rPr>
          <w:rFonts w:ascii="Calibri" w:hAnsi="Calibri" w:eastAsia="微软雅黑"/>
          <w:b w:val="0"/>
          <w:i w:val="0"/>
          <w:sz w:val="20"/>
        </w:rPr>
        <w:t>10.4 国际仲裁进入程序竞赛时代</w:t>
      </w:r>
    </w:p>
    <w:p>
      <w:pPr>
        <w:tabs>
          <w:tab w:pos="8504" w:val="right" w:leader="dot"/>
        </w:tabs>
        <w:ind w:left="340"/>
      </w:pPr>
      <w:r>
        <w:rPr>
          <w:rFonts w:ascii="Calibri" w:hAnsi="Calibri" w:eastAsia="微软雅黑"/>
          <w:b w:val="0"/>
          <w:i w:val="0"/>
          <w:sz w:val="20"/>
        </w:rPr>
        <w:t>10.5 仲裁条款的落地技术：一份新规则样本</w:t>
      </w:r>
    </w:p>
    <w:p>
      <w:pPr>
        <w:tabs>
          <w:tab w:pos="8504" w:val="right" w:leader="dot"/>
        </w:tabs>
        <w:ind w:left="340"/>
      </w:pPr>
      <w:r>
        <w:rPr>
          <w:rFonts w:ascii="Calibri" w:hAnsi="Calibri" w:eastAsia="微软雅黑"/>
          <w:b w:val="0"/>
          <w:i w:val="0"/>
          <w:sz w:val="20"/>
        </w:rPr>
        <w:t>10.6 争议底盘的年度曲线</w:t>
      </w:r>
    </w:p>
    <w:p>
      <w:pPr>
        <w:tabs>
          <w:tab w:pos="8504" w:val="right" w:leader="dot"/>
        </w:tabs>
        <w:ind w:left="340"/>
      </w:pPr>
      <w:r>
        <w:rPr>
          <w:rFonts w:ascii="Calibri" w:hAnsi="Calibri" w:eastAsia="微软雅黑"/>
          <w:b w:val="0"/>
          <w:i w:val="0"/>
          <w:sz w:val="20"/>
        </w:rPr>
        <w:t>10.7 出海合同七项核对清单</w:t>
      </w:r>
    </w:p>
    <w:p>
      <w:pPr>
        <w:tabs>
          <w:tab w:pos="8504" w:val="right" w:leader="dot"/>
        </w:tabs>
        <w:ind w:left="0"/>
      </w:pPr>
      <w:r>
        <w:rPr>
          <w:rFonts w:ascii="Calibri" w:hAnsi="Calibri" w:eastAsia="微软雅黑"/>
          <w:b/>
          <w:i w:val="0"/>
          <w:sz w:val="22"/>
        </w:rPr>
        <w:t>第11章 合同管理数字化：从纸面到智能</w:t>
      </w:r>
    </w:p>
    <w:p>
      <w:pPr>
        <w:tabs>
          <w:tab w:pos="8504" w:val="right" w:leader="dot"/>
        </w:tabs>
        <w:ind w:left="340"/>
      </w:pPr>
      <w:r>
        <w:rPr>
          <w:rFonts w:ascii="Calibri" w:hAnsi="Calibri" w:eastAsia="微软雅黑"/>
          <w:b w:val="0"/>
          <w:i w:val="0"/>
          <w:sz w:val="20"/>
        </w:rPr>
        <w:t>11.1 卷宗规模：为什么数字化是硬需求</w:t>
      </w:r>
    </w:p>
    <w:p>
      <w:pPr>
        <w:tabs>
          <w:tab w:pos="8504" w:val="right" w:leader="dot"/>
        </w:tabs>
        <w:ind w:left="340"/>
      </w:pPr>
      <w:r>
        <w:rPr>
          <w:rFonts w:ascii="Calibri" w:hAnsi="Calibri" w:eastAsia="微软雅黑"/>
          <w:b w:val="0"/>
          <w:i w:val="0"/>
          <w:sz w:val="20"/>
        </w:rPr>
        <w:t>11.2 未落纸面的合同：三重事故现场</w:t>
      </w:r>
    </w:p>
    <w:p>
      <w:pPr>
        <w:tabs>
          <w:tab w:pos="8504" w:val="right" w:leader="dot"/>
        </w:tabs>
        <w:ind w:left="340"/>
      </w:pPr>
      <w:r>
        <w:rPr>
          <w:rFonts w:ascii="Calibri" w:hAnsi="Calibri" w:eastAsia="微软雅黑"/>
          <w:b w:val="0"/>
          <w:i w:val="0"/>
          <w:sz w:val="20"/>
        </w:rPr>
        <w:t>11.3 支付台账：让每一笔钱对得上</w:t>
      </w:r>
    </w:p>
    <w:p>
      <w:pPr>
        <w:tabs>
          <w:tab w:pos="8504" w:val="right" w:leader="dot"/>
        </w:tabs>
        <w:ind w:left="340"/>
      </w:pPr>
      <w:r>
        <w:rPr>
          <w:rFonts w:ascii="Calibri" w:hAnsi="Calibri" w:eastAsia="微软雅黑"/>
          <w:b w:val="0"/>
          <w:i w:val="0"/>
          <w:sz w:val="20"/>
        </w:rPr>
        <w:t>11.4 结算工程：一张决算单值2487638.4元</w:t>
      </w:r>
    </w:p>
    <w:p>
      <w:pPr>
        <w:tabs>
          <w:tab w:pos="8504" w:val="right" w:leader="dot"/>
        </w:tabs>
        <w:ind w:left="340"/>
      </w:pPr>
      <w:r>
        <w:rPr>
          <w:rFonts w:ascii="Calibri" w:hAnsi="Calibri" w:eastAsia="微软雅黑"/>
          <w:b w:val="0"/>
          <w:i w:val="0"/>
          <w:sz w:val="20"/>
        </w:rPr>
        <w:t>11.5 条款红线库：把败诉点写成字段</w:t>
      </w:r>
    </w:p>
    <w:p>
      <w:pPr>
        <w:tabs>
          <w:tab w:pos="8504" w:val="right" w:leader="dot"/>
        </w:tabs>
        <w:ind w:left="340"/>
      </w:pPr>
      <w:r>
        <w:rPr>
          <w:rFonts w:ascii="Calibri" w:hAnsi="Calibri" w:eastAsia="微软雅黑"/>
          <w:b w:val="0"/>
          <w:i w:val="0"/>
          <w:sz w:val="20"/>
        </w:rPr>
        <w:t>11.6 时限与主体状态：让日历和画像值班</w:t>
      </w:r>
    </w:p>
    <w:p>
      <w:pPr>
        <w:tabs>
          <w:tab w:pos="8504" w:val="right" w:leader="dot"/>
        </w:tabs>
        <w:ind w:left="340"/>
      </w:pPr>
      <w:r>
        <w:rPr>
          <w:rFonts w:ascii="Calibri" w:hAnsi="Calibri" w:eastAsia="微软雅黑"/>
          <w:b w:val="0"/>
          <w:i w:val="0"/>
          <w:sz w:val="20"/>
        </w:rPr>
        <w:t>11.7 版本迁移与语料运营：数字化的最后一块砖</w:t>
      </w:r>
    </w:p>
    <w:p>
      <w:pPr>
        <w:tabs>
          <w:tab w:pos="8504" w:val="right" w:leader="dot"/>
        </w:tabs>
        <w:ind w:left="0"/>
      </w:pPr>
      <w:r>
        <w:rPr>
          <w:rFonts w:ascii="Calibri" w:hAnsi="Calibri" w:eastAsia="微软雅黑"/>
          <w:b/>
          <w:i w:val="0"/>
          <w:sz w:val="22"/>
        </w:rPr>
        <w:t>第12章 2026-2029 合同风险管理趋势预判</w:t>
      </w:r>
    </w:p>
    <w:p>
      <w:pPr>
        <w:tabs>
          <w:tab w:pos="8504" w:val="right" w:leader="dot"/>
        </w:tabs>
        <w:ind w:left="340"/>
      </w:pPr>
      <w:r>
        <w:rPr>
          <w:rFonts w:ascii="Calibri" w:hAnsi="Calibri" w:eastAsia="微软雅黑"/>
          <w:b w:val="0"/>
          <w:i w:val="0"/>
          <w:sz w:val="20"/>
        </w:rPr>
        <w:t>12.1 预判的地基：三条基线数据链</w:t>
      </w:r>
    </w:p>
    <w:p>
      <w:pPr>
        <w:tabs>
          <w:tab w:pos="8504" w:val="right" w:leader="dot"/>
        </w:tabs>
        <w:ind w:left="340"/>
      </w:pPr>
      <w:r>
        <w:rPr>
          <w:rFonts w:ascii="Calibri" w:hAnsi="Calibri" w:eastAsia="微软雅黑"/>
          <w:b w:val="0"/>
          <w:i w:val="0"/>
          <w:sz w:val="20"/>
        </w:rPr>
        <w:t>12.2 趋势一：争议总量高位平台化，结算窗口成为冲突集中段</w:t>
      </w:r>
    </w:p>
    <w:p>
      <w:pPr>
        <w:tabs>
          <w:tab w:pos="8504" w:val="right" w:leader="dot"/>
        </w:tabs>
        <w:ind w:left="340"/>
      </w:pPr>
      <w:r>
        <w:rPr>
          <w:rFonts w:ascii="Calibri" w:hAnsi="Calibri" w:eastAsia="微软雅黑"/>
          <w:b w:val="0"/>
          <w:i w:val="0"/>
          <w:sz w:val="20"/>
        </w:rPr>
        <w:t>12.3 趋势二："发包人要求不明确"从招标瑕疵升格为高频争点</w:t>
      </w:r>
    </w:p>
    <w:p>
      <w:pPr>
        <w:tabs>
          <w:tab w:pos="8504" w:val="right" w:leader="dot"/>
        </w:tabs>
        <w:ind w:left="340"/>
      </w:pPr>
      <w:r>
        <w:rPr>
          <w:rFonts w:ascii="Calibri" w:hAnsi="Calibri" w:eastAsia="微软雅黑"/>
          <w:b w:val="0"/>
          <w:i w:val="0"/>
          <w:sz w:val="20"/>
        </w:rPr>
        <w:t>12.4 趋势三：材料涨价对撞固定总价，调差僵局进入判例密集区</w:t>
      </w:r>
    </w:p>
    <w:p>
      <w:pPr>
        <w:tabs>
          <w:tab w:pos="8504" w:val="right" w:leader="dot"/>
        </w:tabs>
        <w:ind w:left="340"/>
      </w:pPr>
      <w:r>
        <w:rPr>
          <w:rFonts w:ascii="Calibri" w:hAnsi="Calibri" w:eastAsia="微软雅黑"/>
          <w:b w:val="0"/>
          <w:i w:val="0"/>
          <w:sz w:val="20"/>
        </w:rPr>
        <w:t>12.5 趋势四：联合体承包的内部合同风险显性化</w:t>
      </w:r>
    </w:p>
    <w:p>
      <w:pPr>
        <w:tabs>
          <w:tab w:pos="8504" w:val="right" w:leader="dot"/>
        </w:tabs>
        <w:ind w:left="340"/>
      </w:pPr>
      <w:r>
        <w:rPr>
          <w:rFonts w:ascii="Calibri" w:hAnsi="Calibri" w:eastAsia="微软雅黑"/>
          <w:b w:val="0"/>
          <w:i w:val="0"/>
          <w:sz w:val="20"/>
        </w:rPr>
        <w:t>12.6 趋势五：争端解决向事中裁决演化，DAAB思路本地化</w:t>
      </w:r>
    </w:p>
    <w:p>
      <w:pPr>
        <w:tabs>
          <w:tab w:pos="8504" w:val="right" w:leader="dot"/>
        </w:tabs>
        <w:ind w:left="340"/>
      </w:pPr>
      <w:r>
        <w:rPr>
          <w:rFonts w:ascii="Calibri" w:hAnsi="Calibri" w:eastAsia="微软雅黑"/>
          <w:b w:val="0"/>
          <w:i w:val="0"/>
          <w:sz w:val="20"/>
        </w:rPr>
        <w:t>12.7 趋势六：监管处罚逻辑跨行业外溢，"体系失效"追责模型进入工程央企视野</w:t>
      </w:r>
    </w:p>
    <w:p>
      <w:pPr>
        <w:tabs>
          <w:tab w:pos="8504" w:val="right" w:leader="dot"/>
        </w:tabs>
        <w:ind w:left="340"/>
      </w:pPr>
      <w:r>
        <w:rPr>
          <w:rFonts w:ascii="Calibri" w:hAnsi="Calibri" w:eastAsia="微软雅黑"/>
          <w:b w:val="0"/>
          <w:i w:val="0"/>
          <w:sz w:val="20"/>
        </w:rPr>
        <w:t>12.8 趋势七：风险量化工具下沉到合同条款层</w:t>
      </w:r>
    </w:p>
    <w:p>
      <w:pPr>
        <w:tabs>
          <w:tab w:pos="8504" w:val="right" w:leader="dot"/>
        </w:tabs>
        <w:ind w:left="340"/>
      </w:pPr>
      <w:r>
        <w:rPr>
          <w:rFonts w:ascii="Calibri" w:hAnsi="Calibri" w:eastAsia="微软雅黑"/>
          <w:b w:val="0"/>
          <w:i w:val="0"/>
          <w:sz w:val="20"/>
        </w:rPr>
        <w:t>12.9 趋势八：采购与供应链风险的前置策划成为总包能力分水岭</w:t>
      </w:r>
    </w:p>
    <w:p>
      <w:pPr>
        <w:tabs>
          <w:tab w:pos="8504" w:val="right" w:leader="dot"/>
        </w:tabs>
        <w:ind w:left="340"/>
      </w:pPr>
      <w:r>
        <w:rPr>
          <w:rFonts w:ascii="Calibri" w:hAnsi="Calibri" w:eastAsia="微软雅黑"/>
          <w:b w:val="0"/>
          <w:i w:val="0"/>
          <w:sz w:val="20"/>
        </w:rPr>
        <w:t>12.10 趋势九：组织能力分层自评进入企业采购标准</w:t>
      </w:r>
    </w:p>
    <w:p>
      <w:pPr>
        <w:tabs>
          <w:tab w:pos="8504" w:val="right" w:leader="dot"/>
        </w:tabs>
        <w:ind w:left="340"/>
      </w:pPr>
      <w:r>
        <w:rPr>
          <w:rFonts w:ascii="Calibri" w:hAnsi="Calibri" w:eastAsia="微软雅黑"/>
          <w:b w:val="0"/>
          <w:i w:val="0"/>
          <w:sz w:val="20"/>
        </w:rPr>
        <w:t>12.11 2026-2029行动路线：九条趋势的逐年应对</w:t>
      </w:r>
    </w:p>
    <w:p>
      <w:r>
        <w:br w:type="page"/>
      </w:r>
    </w:p>
    <w:p>
      <w:pPr>
        <w:pStyle w:val="Heading1"/>
      </w:pPr>
      <w:r>
        <w:t>第1章 合同法律框架：从民法典到司法解释</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工程企业签署的每一份EPC总承包合同，都悬挂在一套由法律、司法解释、行政法规与国家标准叠合而成的规则骨架之下。2026年6月30日，最高人民法院《关于审理建设工程施工合同纠纷案件适用法律问题的解释（二）》（法释〔2026〕12号）正式施行，距民法典时代的第一次规则换轨仅五年余。本章沿时间轴还原两次换轨的立法脉络，标注对EPC发包、承包双方利益影响最大的条文坐标，供法务、经营与项目经理建立自己的规则地图。</w:t>
      </w:r>
    </w:p>
    <w:p>
      <w:pPr>
        <w:pStyle w:val="Heading2"/>
      </w:pPr>
      <w:r>
        <w:t>1.1 民法典换轨：591件 [own_calc:源自上下文推算] [own_calc:源自上下文推算]司法解释的一次性清理</w:t>
      </w:r>
    </w:p>
    <w:p>
      <w:r>
        <w:rPr>
          <w:rFonts w:ascii="Calibri" w:hAnsi="Calibri" w:eastAsia="微软雅黑"/>
          <w:b w:val="0"/>
          <w:i w:val="0"/>
          <w:sz w:val="22"/>
        </w:rPr>
        <w:t>2020年5月28日 [own_calc:源自上下文推算]，十三届全国人大三次会议表决通过《中华人民共和国民法典》，自2021年1月1日起正式施行。为衔接新法，最高人民法院对591件现行司法解释及相关规范性文件进行全面清理，时任分管日常工作的副院长贺荣给出处理标准："凡是与民法典规定不一致的，坚决废止；同时，立足司法审判实践，该修改的修改，该重新制定的重新制定。"</w:t>
      </w:r>
    </w:p>
    <w:p>
      <w:r>
        <w:rPr>
          <w:rFonts w:ascii="Calibri" w:hAnsi="Calibri" w:eastAsia="微软雅黑"/>
          <w:b w:val="0"/>
          <w:i w:val="0"/>
          <w:sz w:val="22"/>
        </w:rPr>
        <w:t>清理结果分三档落地：与民法典规定一致、未作修改继续适用的共364件；对标民法典需要对名称和部分条款进行修改的共111件，经修改颁布后自2021年1月1日起施行；决定废止的共116件，自2021年1月1日起失效。[own_calc:111+116=227件,227/591≈38.4%]——清理总量中超过三分之一的司法解释在效力状态上发生变动，任何还在援引旧司法解释范本的合同文件库，都存在引用失效条文的隐患。</w:t>
      </w:r>
    </w:p>
    <w:p>
      <w:r>
        <w:rPr>
          <w:rFonts w:ascii="Calibri" w:hAnsi="Calibri" w:eastAsia="微软雅黑"/>
          <w:b w:val="0"/>
          <w:i w:val="0"/>
          <w:sz w:val="22"/>
        </w:rPr>
        <w:t>2020年12月30日，最高人民法院发布与民法典配套的第一批7件司法解释，与民法典同步施行。[own_calc:7/591≈1.18%]《最高人民法院关于审理建设工程施工合同纠纷案件适用法律问题的解释（一）》（法释〔2020〕25号，下称《建工解释一》）位列其中，同时废止3件旧规：《最高人民法院关于建设工程价款优先受偿权问题的批复》（法释[2002]16号）、《最高人民法院关于审理建设工程施工合同纠纷案件适用法律问题的解释》（法释〔2004〕14号）以及《最高人民法院关于审理建设工程施工合同纠纷案件适用法律问题的解释（二）》（法释〔2018〕20号）。建工领域单独占用一件配套解释名额，本身即说明该纠纷类型在司法版图中的体量与复杂度。</w:t>
      </w:r>
    </w:p>
    <w:p>
      <w:pPr>
        <w:pStyle w:val="Heading2"/>
      </w:pPr>
      <w:r>
        <w:t>1.2 《建工解释二》：从二十六条到二十三条</w:t>
      </w:r>
    </w:p>
    <w:p>
      <w:r>
        <w:rPr>
          <w:rFonts w:ascii="Calibri" w:hAnsi="Calibri" w:eastAsia="微软雅黑"/>
          <w:b w:val="0"/>
          <w:i w:val="0"/>
          <w:sz w:val="22"/>
        </w:rPr>
        <w:t>《建工解释一》施行五年后，规则再次迭代。自2025年11月征求意见稿引发业界热议起，历经多轮调研、论证及公开征求意见，最高人民法院于2026年6月29日正式发布法释〔2026〕12号（下称《建工解释二》），次日即6月30日起施行，发布与施行几乎无缝衔接。</w:t>
      </w:r>
    </w:p>
    <w:p>
      <w:r>
        <w:rPr>
          <w:rFonts w:ascii="Calibri" w:hAnsi="Calibri" w:eastAsia="微软雅黑"/>
          <w:b w:val="0"/>
          <w:i w:val="0"/>
          <w:sz w:val="22"/>
        </w:rPr>
        <w:t>正式稿共二十三条，除第二十三条为时间效力条款外，其余二十二个条文针对司法实践中争议较多的问题作出规定；与共二十六条的征求意见稿相比，条文数量、结构体例和具体规则均有重要调整。引言部分同样经过打磨：征求意见稿表述为"促进建筑业持续健康发展"，正式稿调整为"依法保护当事人合法权益，维护建筑市场秩序，促进建筑业高质量发展"——规则的着力点从扶持某一类主体转向明晰权利义务边界、规范市场行为。制定依据列明四部法律：《中华人民共和国民法典》《中华人民共和国建筑法》《中华人民共和国招标投标法》《中华人民共和国民事诉讼法》。</w:t>
      </w:r>
    </w:p>
    <w:p>
      <w:r>
        <w:rPr>
          <w:rFonts w:ascii="Calibri" w:hAnsi="Calibri" w:eastAsia="微软雅黑"/>
          <w:b w:val="0"/>
          <w:i w:val="0"/>
          <w:sz w:val="22"/>
        </w:rPr>
        <w:t>时间效力是最容易被忽视的一条红线：《建工解释二》仅适用于2026年6月30日后人民法院新受理的一审建设工程施工合同纠纷案件，存量在审、已审结、二审及再审案件不适用新规。项目法务评估一起纠纷的胜负面，必须先判断立案时点落在新规哪一侧，再选择援引《建工解释一》还是《建工解释二》的口径。</w:t>
      </w:r>
    </w:p>
    <w:p>
      <w:pPr>
        <w:pStyle w:val="Heading2"/>
      </w:pPr>
      <w:r>
        <w:t>1.3 招投标效力时点：从"订立时"到"起诉时"</w:t>
      </w:r>
    </w:p>
    <w:p>
      <w:r>
        <w:rPr>
          <w:rFonts w:ascii="Calibri" w:hAnsi="Calibri" w:eastAsia="微软雅黑"/>
          <w:b w:val="0"/>
          <w:i w:val="0"/>
          <w:sz w:val="22"/>
        </w:rPr>
        <w:t>《建工解释一》第一条将"建设工程必须进行招标而未招标"列为合同无效情形之一：只要工程项目在合同订立时属于依法必须招标的范围，未经招标即订立的合同即为无效。2018年国家发改委《必须招标的工程项目规定》发布后，部分原属必须招标范围的项目被调出，争议随之而来——合同订立时属于必招项目但未经招标，起诉时已不再属于必招范围，合同还无效吗？</w:t>
      </w:r>
    </w:p>
    <w:p>
      <w:r>
        <w:rPr>
          <w:rFonts w:ascii="Calibri" w:hAnsi="Calibri" w:eastAsia="微软雅黑"/>
          <w:b w:val="0"/>
          <w:i w:val="0"/>
          <w:sz w:val="22"/>
        </w:rPr>
        <w:t>各地法院对此分歧显著。一种观点认为合同效力应以订立时的法律状态为准，订立时属于必招项目却未经招标，合同自始无效，不因事后政策变化而补正；另一种观点认为，起诉时项目已不在必须招标范围，认定无效已无政策必要性和法律正当性，应尊重政策调整的客观事实。</w:t>
      </w:r>
    </w:p>
    <w:p>
      <w:r>
        <w:rPr>
          <w:rFonts w:ascii="Calibri" w:hAnsi="Calibri" w:eastAsia="微软雅黑"/>
          <w:b w:val="0"/>
          <w:i w:val="0"/>
          <w:sz w:val="22"/>
        </w:rPr>
        <w:t>《建工解释二》第一条择定统一标准："建设工程施工合同订立时属于必须招标的工程项目，当事人未经招标订立合同，起诉时该工程项目不再属于必须招标的，人民法院不应仅以未招标而认定合同无效。"与征求意见稿相比，正式稿加入"仅以"二字，法理逻辑更严密：未招标不再是导致合同无效的"唯一"或"绝对"理由，法院仍可综合其他因素认定合同效力。</w:t>
      </w:r>
    </w:p>
    <w:p>
      <w:r>
        <w:rPr>
          <w:rFonts w:ascii="Calibri" w:hAnsi="Calibri" w:eastAsia="微软雅黑"/>
          <w:b w:val="0"/>
          <w:i w:val="0"/>
          <w:sz w:val="22"/>
        </w:rPr>
        <w:t>适用本条有三层边界。其一，效力判断基准时点为起诉当日，而非合同签订当日，与招投标目录简政放权的政策导向适配。其二，本条仅豁免"未履行招标程序"这一单一瑕疵；若案涉工程同时存在施工主体无资质、出借资质挂靠、标前实质性谈判、串通投标等违法情形，法院仍可依据其他法律规定认定合同整体无效。其三，本条只覆盖政策调整遗留的存量项目——起诉当日仍属必须招标范围的在建项目，未招标订立施工合同，依然会被认定合同无效，没有容错空间。对以EPC模式承揽工程的企业而言，招标属性核查不能停留在签约时点，争议发生前还应按"起诉时"口径动态复核；EPC合同模式选择与招标程序的衔接安排，见第2章。</w:t>
      </w:r>
    </w:p>
    <w:p>
      <w:pPr>
        <w:pStyle w:val="Heading2"/>
      </w:pPr>
      <w:r>
        <w:t>1.4 "实际施工人"退出规则舞台：三类主体的新表述</w:t>
      </w:r>
    </w:p>
    <w:p>
      <w:r>
        <w:rPr>
          <w:rFonts w:ascii="Calibri" w:hAnsi="Calibri" w:eastAsia="微软雅黑"/>
          <w:b w:val="0"/>
          <w:i w:val="0"/>
          <w:sz w:val="22"/>
        </w:rPr>
        <w:t>2026年6月29日，最高法民一庭庭长陈宜芳就《建工解释二》答记者问，确认了一个基础性变化：对违反法律规定直接或经层层流转后间接从承包人处取得工程项目施工的单位或个人，《建工解释二》不再使用"实际施工人"的表述，而是根据民法典、建筑法等法律规定，分别表述为借用资质的单位或者个人、接受转包的单位或者个人、接受违法分包的单位或者个人。表述调整的背景是2019年《保障农民工工资支付条例》公布后，农民工工资保护有了直接、明确且有效的制度途径，既往向"实际施工人"倾斜的司法政策需要重构。</w:t>
      </w:r>
    </w:p>
    <w:p>
      <w:r>
        <w:rPr>
          <w:rFonts w:ascii="Calibri" w:hAnsi="Calibri" w:eastAsia="微软雅黑"/>
          <w:b w:val="0"/>
          <w:i w:val="0"/>
          <w:sz w:val="22"/>
        </w:rPr>
        <w:t>制度重构体现在一串条文链条上。《建工解释二》第六条规定，接受转包或者违法分包的单位或者个人请求与其没有合同关系的发包人支付折价补偿款或者赔偿损失的，人民法院不予支持——《建工解释一》第四十三条规定的"实际施工人"直接起诉发包人的规则因此不再适用，合同相对性回归。第三条对出借资质采取全链条否定立场：出借资质或以其他方式允许他人以本企业名义承揽工程的合同无效；建筑施工企业主张约定的资质借用费、使用费的，人民法院不予支持；建设工程质量合格的，借用资质的单位或个人可参照其与建筑施工企业就支付工程款项的约定，请求支付折价补偿款——挂靠费这一"管理费"收益通道被彻底封堵。</w:t>
      </w:r>
    </w:p>
    <w:p>
      <w:r>
        <w:rPr>
          <w:rFonts w:ascii="Calibri" w:hAnsi="Calibri" w:eastAsia="微软雅黑"/>
          <w:b w:val="0"/>
          <w:i w:val="0"/>
          <w:sz w:val="22"/>
        </w:rPr>
        <w:t>救济路径转向代位权。第七条规定："借用资质的单位或者个人、接受转包或者违法分包的单位或者个人依据民法典第五百三十五条关于代位权的规定，以出借资质的建筑施工企业、转包人或者违法分包人怠于行使到期债权或者与该债权有关的从权利，影响其到期债权实现为由，向发包人行使代位权的，人民法院依法予以支持。"《建工解释一》第四十四条只赋予接受转包或者违法分包的单位或个人代位权，《建工解释二》将借用资质的主体纳入，代位权主体范围实质拓宽。对上游企业，约束同样收紧：第八条要求总包单位对农民工工资负先行清偿义务，第二十二条设置违法线索移送行政主管或侦查机关机制。资质出借、转包违法分包的风险沿合同链条向总承包人传导的反索赔场景，见第8章。</w:t>
      </w:r>
    </w:p>
    <w:p>
      <w:pPr>
        <w:pStyle w:val="Heading2"/>
      </w:pPr>
      <w:r>
        <w:t>1.5 结算与优先受偿权：日期即权利</w:t>
      </w:r>
    </w:p>
    <w:p>
      <w:r>
        <w:rPr>
          <w:rFonts w:ascii="Calibri" w:hAnsi="Calibri" w:eastAsia="微软雅黑"/>
          <w:b w:val="0"/>
          <w:i w:val="0"/>
          <w:sz w:val="22"/>
        </w:rPr>
        <w:t>《建工解释一》第四十一条确定工程价款优先受偿权最长18个月行使期间，自发包人应付工程款之日起算。起算日因此成为承包人最敏感的日期变量，而施工合同对付款时间的约定常常滞后于履约现实——工期顺延、停工、设计变更导致的付款日期变更，以及合同未约定或约定不明时结算协议补充约定的付款日期，在各地法院的处理口径长期不一。</w:t>
      </w:r>
    </w:p>
    <w:p>
      <w:r>
        <w:rPr>
          <w:rFonts w:ascii="Calibri" w:hAnsi="Calibri" w:eastAsia="微软雅黑"/>
          <w:b w:val="0"/>
          <w:i w:val="0"/>
          <w:sz w:val="22"/>
        </w:rPr>
        <w:t>《建工解释二》第二十一条分两种情形统一起算标准：合同约定了给付工程价款日期，当事人因工期顺延等客观原因协商变更给付日期的，承包人可主张自变更后的应当给付工程价款之日起算行权期限；合同未约定或约定不明，但当事人在结算协议中明确约定了应当给付工程价款日期的，承包人可主张自该日起算。"客观原因"是前提条件，用于防范发包人与承包人恶意串通损害第三人权益。由此推出一份朴素的合同管理动作：每一份结算协议都应写明给付工程价款的具体日期——它直接决定18个月期限从哪一天起跑。工期顺延的客观原因固定与举证方法，见第6章。</w:t>
      </w:r>
    </w:p>
    <w:p>
      <w:r>
        <w:rPr>
          <w:rFonts w:ascii="Calibri" w:hAnsi="Calibri" w:eastAsia="微软雅黑"/>
          <w:b w:val="0"/>
          <w:i w:val="0"/>
          <w:sz w:val="22"/>
        </w:rPr>
        <w:t>行权方式层面，民法典第八百零七条给出两条路径：与发包人协议将该工程折价，或请求人民法院将该工程依法拍卖。协议折价长期处于规则模糊地带，《建工解释二》第十八条为其设定四项要件，同时满足才获支持：承包人施工的工程质量合格；建设工程可以折价；发包人逾期支付工程价款，经承包人催告后在合理期限内仍未支付；折价金额与折价时建设工程的实际价值基本相当。要件设计的指向很明确——既承认"以房抵债""以工程抵款"类协议的优先效力，又防止双方串通以远低于市场的价格折价转移资产、损害抵押权人与普通债权人利益。</w:t>
      </w:r>
    </w:p>
    <w:p>
      <w:r>
        <w:rPr>
          <w:rFonts w:ascii="Calibri" w:hAnsi="Calibri" w:eastAsia="微软雅黑"/>
          <w:b w:val="0"/>
          <w:i w:val="0"/>
          <w:sz w:val="22"/>
        </w:rPr>
        <w:t>优先受偿权的范围边界同样被划清。第十七条第一款要求判决须明确优先受偿数额及范围，第二款将停窝工损失排除在优先受偿范围之外——停窝工损失的费用索赔路径另循合同与侵权口径主张，见第7章。第二十条将优先权及于保险金、赔偿金、补偿金，标的物灭失后的代位利益纳入保护。合同解除场景下，第十四条统一质保金规则：有效合同解除的，质保金以承包人全部应得工程款为计算基数，返还期限自承包人实际退场之日起算，退场后才解除合同的自解除当日起算；合同无效且工程未完工的，以承包人应得折价补偿款为基数，从施工方退场之日起算。</w:t>
      </w:r>
    </w:p>
    <w:p>
      <w:r>
        <w:rPr>
          <w:rFonts w:ascii="Calibri" w:hAnsi="Calibri" w:eastAsia="微软雅黑"/>
          <w:b w:val="0"/>
          <w:i w:val="0"/>
          <w:sz w:val="22"/>
        </w:rPr>
        <w:t>发包人一侧的行权顺序也被重排。第十六条设置质量修复的前置通知义务：因承包人施工原因造成质量不符合约定，发包人未先行书面通知承包人进场修复，直接起诉主张承包人预先支付修复费用的，法院不予支持；承包人拒绝整改或合理期限内未修复至合格标准，发包人自行组织修复后可追偿全部合理修复成本。配套的取证清单很具体：书面修复通知、邮寄签收记录、微信/短信送达凭证，是后续追偿维修费用的核心举证材料。第十五条则规定合同解除后承包人负有移交施工场地、全套施工图纸、变更签证、分部分项验收等完整施工资料的义务；对已完工程量有争议的，承包人退场前任意一方均可申请证据保全，固定工程量与现场影像资料。</w:t>
      </w:r>
    </w:p>
    <w:p>
      <w:pPr>
        <w:pStyle w:val="Heading2"/>
      </w:pPr>
      <w:r>
        <w:t>1.6 GB/T 50500-2024：计价规则的市场化换轨</w:t>
      </w:r>
    </w:p>
    <w:p>
      <w:r>
        <w:rPr>
          <w:rFonts w:ascii="Calibri" w:hAnsi="Calibri" w:eastAsia="微软雅黑"/>
          <w:b w:val="0"/>
          <w:i w:val="0"/>
          <w:sz w:val="22"/>
        </w:rPr>
        <w:t>司法规则之外，计价标准在同一窗口期完成同步换轨。《建设工程工程量清单计价标准》（GB/T 50500-2024）已于2025年9月1日实施，推动工程造价从"定额计价"向"市场定价"转变：最高投标限价编制不再以政府定额为主要依据，风险分担规则全面重构，全过程造价管控体系确立。</w:t>
      </w:r>
    </w:p>
    <w:p>
      <w:r>
        <w:rPr>
          <w:rFonts w:ascii="Calibri" w:hAnsi="Calibri" w:eastAsia="微软雅黑"/>
          <w:b w:val="0"/>
          <w:i w:val="0"/>
          <w:sz w:val="22"/>
        </w:rPr>
        <w:t>对合同文本的直接影响集中在术语与风险分配。清单计价新规的核心术语群——工程量清单、综合单价、风险范围、清标、暂估价、暂列金额、总承包服务费、计日工、过程结算——每一个都对应着发承包双方的责任划分与风险边界，EPC总承包合同及其中标合同的附录、报价说明若仍沿用定额时代口径，与新版标准的风险分担规则将出现系统性错位。司法新规与计价标准双重落地后，住建、发改、审计等多部门联合强化了工程全过程合规监管，固定价结算、财政评审、EPC总承包项目价款调整、变更签证认定等实务纠纷持续增多。固定总价合同在新标准下的调整边界与突破路径，见第4章。</w:t>
      </w:r>
    </w:p>
    <w:p>
      <w:r>
        <w:rPr>
          <w:rFonts w:ascii="Calibri" w:hAnsi="Calibri" w:eastAsia="微软雅黑"/>
          <w:b w:val="0"/>
          <w:i w:val="0"/>
          <w:sz w:val="22"/>
        </w:rPr>
        <w:t>监管侧的风险画像同样清晰：转包违法分包、招采程序瑕疵、项目结算管控疏漏，已成为企业涉诉、罚款、信用降级的高频风险源。对以央企国企信用体系为经营底盘的工程企业，信用降级带来的投标资格损失，往往超过单起案件本身的标的金额。</w:t>
      </w:r>
    </w:p>
    <w:p>
      <w:pPr>
        <w:pStyle w:val="Heading2"/>
      </w:pPr>
      <w:r>
        <w:t>1.7 裁判文书的量与质：三批次语料与一个样本案</w:t>
      </w:r>
    </w:p>
    <w:p>
      <w:r>
        <w:rPr>
          <w:rFonts w:ascii="Calibri" w:hAnsi="Calibri" w:eastAsia="微软雅黑"/>
          <w:b w:val="0"/>
          <w:i w:val="0"/>
          <w:sz w:val="22"/>
        </w:rPr>
        <w:t>规则变迁最终沉淀为案件。本项目归集的裁判文书语料中，2019年批次收录41550篇EPC相关文书，2021年批次收录324篇，2011年批次收录61篇，[own_calc:41550+324+61=41935篇]——三个批次的采编口径不同，数量对比不能直接推断诉讼率走势，但足以说明EPC相关建设工程合同纠纷在基层法院的分布密度。</w:t>
      </w:r>
    </w:p>
    <w:p>
      <w:r>
        <w:rPr>
          <w:rFonts w:ascii="Calibri" w:hAnsi="Calibri" w:eastAsia="微软雅黑"/>
          <w:b w:val="0"/>
          <w:i w:val="0"/>
          <w:sz w:val="22"/>
        </w:rPr>
        <w:t>个案样本更能说明问题。荣成市建筑安装有限公司与荣成市水木龙江置业有限公司建设工程合同纠纷一案（（2010）荣崖民初字第443号，荣成市人民法院2011年12月20日判决）浓缩了中小工程款纠纷的全部要素。2006年5月双方签订建筑工程合同，原告承建被告教授村29号、31号住宅楼，包工包料，竣工日期2006年11月20日；付款节点按形象进度设置：二层封顶付65%，主体封顶付80%，水电调试完、全部竣工后付到95%，剩余5%作为工程保修金，保修期24个月。2006年7月4日补充合同将29号楼竣工日期改为2006年12月5日；工程于2007年5月20日竣工，至2007年9月24日被告仅支付工程款3698000元。</w:t>
      </w:r>
    </w:p>
    <w:p>
      <w:r>
        <w:rPr>
          <w:rFonts w:ascii="Calibri" w:hAnsi="Calibri" w:eastAsia="微软雅黑"/>
          <w:b w:val="0"/>
          <w:i w:val="0"/>
          <w:sz w:val="22"/>
        </w:rPr>
        <w:t>结算阶段的数字链条更典型。2008年1月9日双方达成付款协议：确认已付3698000元，签订协议之日再付50万元，另以3套住宅楼抵顶工程款697707元，剩余款项扣除5%质量保修金后于工程决算定案之日起15日内支付，3套房产2010年6月底前过户。2008年6月4日双方决算，工程总价款5847961.15元；原告主张被告共计欠付工程款1469961.15元并索要利息及违约金187143.88元。[own_calc:5847961.15-3698000=2149961.15元]为决算总价扣除已付款后的名义余额，与原告诉请金额之间的差距，正是抵房款、质保金扣留与分段付款安排叠加的结果——付款协议与决算文件对不上账，是此类纠纷的常规形态。被告则以质量反击：主张已花修复费145585.88元、尚须修理费149034.40元，[own_calc:145585.88+149034.40=294620.28元]合计请求抵扣。质量抗辩与付款义务的对抗结构，与今日《建工解释二》第十六条修复前置通知规则的规制对象一脉相承。</w:t>
      </w:r>
    </w:p>
    <w:p>
      <w:r>
        <w:rPr>
          <w:rFonts w:ascii="Calibri" w:hAnsi="Calibri" w:eastAsia="微软雅黑"/>
          <w:b w:val="0"/>
          <w:i w:val="0"/>
          <w:sz w:val="22"/>
        </w:rPr>
        <w:t>程序权利的时限同样残酷。乔振军与泰安市岱岳区北集坡街道办事处邢家寨村村民委员会建设工程合同纠纷一案（（2019）鲁0991民初727号），法院2019年11月22日立案，原告未在七日内预交案件受理费，2019年12月2日即被裁定按撤回起诉处理——实体权利再充分，程序时限失守同样出局。执行阶段的博弈还在延伸：孙计玲等与上海禧诚装饰工程有限公司追加被执行人异议之诉（（2021）浙0211执异62号之一，宁波市镇海区人民法院2021年10月8日），申请执行人以禧诚公司系夫妻二人出资、注册资本50万元、朱斌持股90% [own_calc:源自上下文推算]、浦方方持股10% [own_calc:源自上下文推算]为由，主张公司股权实质源于同一财产权，请求追加股东为被执行人清偿债务。判决书之外，执行救济程序正在成为工程款债权的第二战场。</w:t>
      </w:r>
    </w:p>
    <w:p>
      <w:pPr>
        <w:pStyle w:val="Heading2"/>
      </w:pPr>
      <w:r>
        <w:t>1.8 合规要点清单：把规则坐标装进项目流程</w:t>
      </w:r>
    </w:p>
    <w:p>
      <w:r>
        <w:rPr>
          <w:rFonts w:ascii="Calibri" w:hAnsi="Calibri" w:eastAsia="微软雅黑"/>
          <w:b w:val="0"/>
          <w:i w:val="0"/>
          <w:sz w:val="22"/>
        </w:rPr>
        <w:t>将本章规则翻译为项目动作，EPC企业的法务、经营与项目经理至少应落实六项。</w:t>
      </w:r>
    </w:p>
    <w:p>
      <w:r>
        <w:rPr>
          <w:rFonts w:ascii="Calibri" w:hAnsi="Calibri" w:eastAsia="微软雅黑"/>
          <w:b w:val="0"/>
          <w:i w:val="0"/>
          <w:sz w:val="22"/>
        </w:rPr>
        <w:t>合同签订前，按"起诉时"口径复核项目是否属于必须招标范围，并对交易对手的资质独立性做穿透核查——第六条封堵了下游主体直接向发包人主张的通道，但发包人一侧的合规瑕疵（明知挂靠、招采程序瑕疵）仍会放大自身风险。合同评审时，重点核对与GB/T 50500-2024衔接的计价术语与风险分担条款，固定总价、暂估价、暂列金额、背靠背条款逐项过堂；致命条款的逐条解剖见第3章。</w:t>
      </w:r>
    </w:p>
    <w:p>
      <w:r>
        <w:rPr>
          <w:rFonts w:ascii="Calibri" w:hAnsi="Calibri" w:eastAsia="微软雅黑"/>
          <w:b w:val="0"/>
          <w:i w:val="0"/>
          <w:sz w:val="22"/>
        </w:rPr>
        <w:t>履约过程中，工期顺延等客观原因协商变更付款日期的，书面变更文件同步标注"此日期为优先受偿权起算基准"；结算协议必须载明给付工程价款日期。质量争议启动前，先发书面修复通知并留存邮寄签收、微信/短信送达凭证，再谈修复费与诉讼；承包人退场前对已完工程量申请证据保全。变更与签证的时效与格式管理，见第5章。</w:t>
      </w:r>
    </w:p>
    <w:p>
      <w:r>
        <w:rPr>
          <w:rFonts w:ascii="Calibri" w:hAnsi="Calibri" w:eastAsia="微软雅黑"/>
          <w:b w:val="0"/>
          <w:i w:val="0"/>
          <w:sz w:val="22"/>
        </w:rPr>
        <w:t>争议预案里，先按立案时点确定适用《建工解释一》还是《建工解释二》，再核对管辖安排——工程总承包合同、专业分包合同、委托代建、案由变化、承发包双方存在仲裁协议五类主管与管辖争议，均可能改变维权路径的选择成本，争议解决方式的比较见第9章。优先受偿权建立台账管理：18个月行使期限、起算日、判决明确数额与范围的申请、保险金赔偿金补偿金的物上代位利益，逐项登记到期日。日期即权利，这是2026年之后工程款管理最重要的一句话。</w:t>
      </w:r>
    </w:p>
    <w:p>
      <w:r>
        <w:rPr>
          <w:rFonts w:ascii="Calibri" w:hAnsi="Calibri" w:eastAsia="微软雅黑"/>
          <w:b w:val="0"/>
          <w:i w:val="0"/>
          <w:sz w:val="22"/>
        </w:rPr>
        <w:t>---</w:t>
      </w:r>
    </w:p>
    <w:p>
      <w:pPr>
        <w:pStyle w:val="Heading1"/>
      </w:pPr>
      <w:r>
        <w:t>第2章 EPC 合同体系：类型、特征与选择</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模式选错，条款写得再对也救不回来。一家从施工总承包转过来的企业，把单价思维带进交钥匙合同，报价时漏算的每一项风险，结算时都会变成对方名下的免赔额。本章先摆清模式谱系与制度坐标，再拆法律定性、计价骨架与境外拆分架构，收尾给出签约前的决策清单。</w:t>
      </w:r>
    </w:p>
    <w:p>
      <w:pPr>
        <w:pStyle w:val="Heading2"/>
      </w:pPr>
      <w:r>
        <w:t>2.1 谱系坐标：EPC 只是总承包家族的一支</w:t>
      </w:r>
    </w:p>
    <w:p>
      <w:r>
        <w:rPr>
          <w:rFonts w:ascii="Calibri" w:hAnsi="Calibri" w:eastAsia="微软雅黑"/>
          <w:b w:val="0"/>
          <w:i w:val="0"/>
          <w:sz w:val="22"/>
        </w:rPr>
        <w:t>住建部《建设项目工程总承包管理规范》给出的定义是：承包单位按照与建设单位签订的合同，对工程设计、采购、施工或者设计、施工等阶段实行总承包，并对工程的质量、安全、工期和造价等全面负责的工程建设组织施工方式。EPC 属于其中最完整的一档——承包人按约承担工程项目的设计、采购、施工、试运行服务等全部工作。</w:t>
      </w:r>
    </w:p>
    <w:p>
      <w:r>
        <w:rPr>
          <w:rFonts w:ascii="Calibri" w:hAnsi="Calibri" w:eastAsia="微软雅黑"/>
          <w:b w:val="0"/>
          <w:i w:val="0"/>
          <w:sz w:val="22"/>
        </w:rPr>
        <w:t>这个家族还有四类常见变体：EPC（设计-采购-施工总承包）也叫交钥匙总承包；EPCM 即设计采购与施工管理总承包；设计-施工总承包；以及设计-采购总承包、采购-施工总承包两种部分组合。差别不在缩写，在风险落点：EPC 模式的本质，是把"设计—采购—施工"三段风险打包给承包人，要求从投标报价阶段就把所有风险算进总价，而不是像传统发承包那样边干边补。它把勘察、设计、采购、施工各环节有机结合，合同关系因此比施工合同复杂得多。</w:t>
      </w:r>
    </w:p>
    <w:p>
      <w:r>
        <w:rPr>
          <w:rFonts w:ascii="Calibri" w:hAnsi="Calibri" w:eastAsia="微软雅黑"/>
          <w:b w:val="0"/>
          <w:i w:val="0"/>
          <w:sz w:val="22"/>
        </w:rPr>
        <w:t>市场给这种打包标出了价码：EPC 渗透率 2024 约 20%，2030 预计超 50% [own_calc:50%-20%=30个百分点]；城市更新在十五五期间预计约 15 万亿规模。风口是真的，但中小建企研发投入普遍不足 0.5%，懂设计、懂采购、懂全过程管理的复合型人才极度匮乏——能力缺口决定了模式选择必须量力而行。</w:t>
      </w:r>
    </w:p>
    <w:p>
      <w:pPr>
        <w:pStyle w:val="Heading2"/>
      </w:pPr>
      <w:r>
        <w:t>2.2 制度节点与纠纷量级</w:t>
      </w:r>
    </w:p>
    <w:p>
      <w:r>
        <w:rPr>
          <w:rFonts w:ascii="Calibri" w:hAnsi="Calibri" w:eastAsia="微软雅黑"/>
          <w:b w:val="0"/>
          <w:i w:val="0"/>
          <w:sz w:val="22"/>
        </w:rPr>
        <w:t>中国的工程总承包走过四十余年，制度化进程可拆成五个节点。1984 年，国务院发布《关于改革建筑业和基本建设管理体制若干问题的暂行规定》，建筑行业自此开启 EPC 实践大门，最早在化工行业试验应用并积累有效经验；三年后，鲁布革 EPC 模式经典案例的成功经验被国内推广学习。1997 年颁布的《建筑法》在条款中明确提倡对建筑工程实行总承包机制。2003 年，工程总承包合同的主要形式得到明确规定；2004 年起，主管部门开始逐渐规范并协助发承包双方签约。2005 年制定的《建设项目工程总承包管理规范》GB/T50358-2005 让管理制度首次有国标可依，随后两年铁路领域跟进规范施工总承包管理模式；2017 年 5 月 4 日，住建部发布 GB/T50358-2017，自 2018-01-01 起实施，同时废止 2005 版 [own_calc:2017-2005=12年]，住建部、国家发改委随之制定了《房屋建筑和市政基础设施项目工程总承包管理办法》。地方层面，2022 年底四川省住建厅公布房建与市政项目工程总承包合同计价的指导意见，自 2023-01-01 起对计价模式作出调整并落实应用——文件自述为工程总承包历史上合同价格形式的一次重要改革。</w:t>
      </w:r>
    </w:p>
    <w:p>
      <w:r>
        <w:rPr>
          <w:rFonts w:ascii="Calibri" w:hAnsi="Calibri" w:eastAsia="微软雅黑"/>
          <w:b w:val="0"/>
          <w:i w:val="0"/>
          <w:sz w:val="22"/>
        </w:rPr>
        <w:t>纠纷体量同步放大。某裁判文书库"EPC 相关"检索显示：2013 年 2170 篇，2017 年 11716 篇，2020 年 42935 篇 [own_calc:42935/2170≈19.8倍]。七年近二十倍的增速说明一件事：合同体系扩张的速度，跑在了企业风控能力建设的前面。</w:t>
      </w:r>
    </w:p>
    <w:p>
      <w:pPr>
        <w:pStyle w:val="Heading2"/>
      </w:pPr>
      <w:r>
        <w:t>2.3 法律定性：一份合同，四种命运</w:t>
      </w:r>
    </w:p>
    <w:p>
      <w:r>
        <w:rPr>
          <w:rFonts w:ascii="Calibri" w:hAnsi="Calibri" w:eastAsia="微软雅黑"/>
          <w:b w:val="0"/>
          <w:i w:val="0"/>
          <w:sz w:val="22"/>
        </w:rPr>
        <w:t>动笔签约之前，法务先要回答"这份合同在法律上是什么"。《民法典》为三种有名合同下了定义。第十八章建设工程合同第七百八十八条：建设工程合同是承包人进行工程建设，发包人支付价款的合同，包括工程勘察、设计、施工合同。第十七章承揽合同第七百七十条：承揽合同是承揽人按照定作人的要求完成工作，交付工作成果，定作人支付报酬的合同。第九章买卖合同第五百九十五条：买卖合同是出卖人转移标的物的所有权于买受人，买受人支付价款的合同。</w:t>
      </w:r>
    </w:p>
    <w:p>
      <w:r>
        <w:rPr>
          <w:rFonts w:ascii="Calibri" w:hAnsi="Calibri" w:eastAsia="微软雅黑"/>
          <w:b w:val="0"/>
          <w:i w:val="0"/>
          <w:sz w:val="22"/>
        </w:rPr>
        <w:t>司法实践中，EPC 合同的性质认定存在四种走向——建设工程合同、承揽合同、买卖合同、无名合同，至今尚无定论（律界建工团队检索报告，2024-12-04）。定性为什么值钱？该团队的"七步分析法"把"看合同"，即确定合同的性质和效力，列为第一步，排在把质量、核工程量、算工程款、析纠纷、定利息、确管辖之前：性质是适用法律的前提，效力直接决定后续全部分析思路。</w:t>
      </w:r>
    </w:p>
    <w:p>
      <w:r>
        <w:rPr>
          <w:rFonts w:ascii="Calibri" w:hAnsi="Calibri" w:eastAsia="微软雅黑"/>
          <w:b w:val="0"/>
          <w:i w:val="0"/>
          <w:sz w:val="22"/>
        </w:rPr>
        <w:t>定性还牵动管辖。(2020)黑27民辖终7号裁定中，二审法院援引《最高人民法院关于适用〈中华人民共和国民事诉讼法〉的解释》第二十八条，认定建设工程施工合同纠纷按照不动产纠纷确定管辖——涉案工程位于马伦村，归属黑龙江省塔河县，塔河县人民法院因此享有管辖权。工程合同这张标签，直接决定了官司去哪儿打。</w:t>
      </w:r>
    </w:p>
    <w:p>
      <w:pPr>
        <w:pStyle w:val="Heading2"/>
      </w:pPr>
      <w:r>
        <w:t>2.4 计价骨架：从单价惯性到总价转向</w:t>
      </w:r>
    </w:p>
    <w:p>
      <w:r>
        <w:rPr>
          <w:rFonts w:ascii="Calibri" w:hAnsi="Calibri" w:eastAsia="微软雅黑"/>
          <w:b w:val="0"/>
          <w:i w:val="0"/>
          <w:sz w:val="22"/>
        </w:rPr>
        <w:t>无论采用哪种总承包方式，以往合同协议约定的计价形式都以单价合同较为常见；四川自 2023-01-01 落地的计价调整，针对的正是这一惯性。摆在经营部门面前的，是三类骨架。</w:t>
      </w:r>
    </w:p>
    <w:p>
      <w:r>
        <w:rPr>
          <w:rFonts w:ascii="Calibri" w:hAnsi="Calibri" w:eastAsia="微软雅黑"/>
          <w:b w:val="0"/>
          <w:i w:val="0"/>
          <w:sz w:val="22"/>
        </w:rPr>
        <w:t>固定总价（LSTK）。适用于范围清晰的项目，主要风险由承包商承担，报价通常要包含较高的风险预备费以应对不确定性。它的三个特征写进了司法语境：总价固定、风险分配明确、结算简便。</w:t>
      </w:r>
    </w:p>
    <w:p>
      <w:r>
        <w:rPr>
          <w:rFonts w:ascii="Calibri" w:hAnsi="Calibri" w:eastAsia="微软雅黑"/>
          <w:b w:val="0"/>
          <w:i w:val="0"/>
          <w:sz w:val="22"/>
        </w:rPr>
        <w:t>成本加酬金。业主承担主要成本风险，适用于不确定性高的项目；对技术成熟项目，常设支付最高限以控制投资敞口。</w:t>
      </w:r>
    </w:p>
    <w:p>
      <w:r>
        <w:rPr>
          <w:rFonts w:ascii="Calibri" w:hAnsi="Calibri" w:eastAsia="微软雅黑"/>
          <w:b w:val="0"/>
          <w:i w:val="0"/>
          <w:sz w:val="22"/>
        </w:rPr>
        <w:t>目标成本+酬金。设立目标成本后，实际成本低于目标总价时节余按比例分享，高于目标总价时超支按比例分担，实务出现过 70%:30% 的约定结构。它适合项目初期设计深度不足、后期存在较大设计变更可能性、工期紧迫、市场环境价格波动剧烈或技术复杂性高的项目；某大型 EPC 项目实践显示，总包方在保障基础酬金之外还拿到激励酬金，总体利润水平优于同期固定总价项目，业主与总承包商实现共赢。</w:t>
      </w:r>
    </w:p>
    <w:p>
      <w:r>
        <w:rPr>
          <w:rFonts w:ascii="Calibri" w:hAnsi="Calibri" w:eastAsia="微软雅黑"/>
          <w:b w:val="0"/>
          <w:i w:val="0"/>
          <w:sz w:val="22"/>
        </w:rPr>
        <w:t>三类骨架没有优劣，只有与信息完备程度的匹配度：范围越清楚，总价越占优；不确定性越高，越要把风险掰开定价。</w:t>
      </w:r>
    </w:p>
    <w:p>
      <w:pPr>
        <w:pStyle w:val="Heading2"/>
      </w:pPr>
      <w:r>
        <w:t>2.5 固定总价的司法边界：两个最高法案号</w:t>
      </w:r>
    </w:p>
    <w:p>
      <w:r>
        <w:rPr>
          <w:rFonts w:ascii="Calibri" w:hAnsi="Calibri" w:eastAsia="微软雅黑"/>
          <w:b w:val="0"/>
          <w:i w:val="0"/>
          <w:sz w:val="22"/>
        </w:rPr>
        <w:t>选固定总价，先看最高人民法院如何划线。</w:t>
      </w:r>
    </w:p>
    <w:p>
      <w:r>
        <w:rPr>
          <w:rFonts w:ascii="Calibri" w:hAnsi="Calibri" w:eastAsia="微软雅黑"/>
          <w:b w:val="0"/>
          <w:i w:val="0"/>
          <w:sz w:val="22"/>
        </w:rPr>
        <w:t>案号一：(2020)最高法民终481号。北京蓝图公司以 EPC 总承包模式承接新疆鸿基焦化技改工程，完工后单方核算造价达 1.67 亿元，要求按实结算、由发包人补差价。最高法明确：EPC 固定总价合同下，超出合同总价的部分不予付款，价格变动的商业风险由承包人自行承担。"低中标、勤签证、高索赔"的施工总承包老三样，在这里全数失灵——蓝图公司自认"干多了总能要回来"，最终 1.6 亿缺口自己吞下（来源：最高人民法院二审）。</w:t>
      </w:r>
    </w:p>
    <w:p>
      <w:r>
        <w:rPr>
          <w:rFonts w:ascii="Calibri" w:hAnsi="Calibri" w:eastAsia="微软雅黑"/>
          <w:b w:val="0"/>
          <w:i w:val="0"/>
          <w:sz w:val="22"/>
        </w:rPr>
        <w:t>案号二：(2020)最高法民申1137号。抚顺矿业 EPC 项目结算完成后，发包人主张承包人虚报设备价款 3207 万元、虚构 16 台设备，要求重新结算。最高法不予支持：EPC 闭口价且双方已经完成结算，发包人在验收、结算时怠于行使撤销权。同一条总价条款，对承包人是闸门，对发包人同样是闸门——结算一过，翻盘窗口关闭。</w:t>
      </w:r>
    </w:p>
    <w:p>
      <w:r>
        <w:rPr>
          <w:rFonts w:ascii="Calibri" w:hAnsi="Calibri" w:eastAsia="微软雅黑"/>
          <w:b w:val="0"/>
          <w:i w:val="0"/>
          <w:sz w:val="22"/>
        </w:rPr>
        <w:t>合同中途解除怎么办？《最高人民法院关于审理建设工程施工合同纠纷案件适用法律问题的解释（二）》第十条给出规则：采用固定总价的建设工程施工合同解除后，当事人就质量合格的已施工部分工程价款没有约定且不能协商一致的，人民法院可以参照合同订立时建设工程所在地建设行政主管部门发布的计价标准、计价方法或者工程建设领域相关规范，确定承包人已施工部分工程价款占全部工程价款的比例，并以该比例乘以合同约定的固定总价确定承包人已施工部分工程价款。比例折算就此从学理争论升格为成文规则——此前最高院在《最高人民法院建设工程施工合同司法解释（一）理解与适用》中总结过三种思路：正向计算，依据定额标准对已完工工程据实结算并按比例下浮；反向计算，按定额算出未完工工程价款，再用固定总价减去该数额；按比例折算，由鉴定机构在同一取费标准下分别计算已完工部分与整个合同工程的总价款，对比得出系数后乘以合同约定的固定价。</w:t>
      </w:r>
    </w:p>
    <w:p>
      <w:pPr>
        <w:pStyle w:val="Heading2"/>
      </w:pPr>
      <w:r>
        <w:t>2.6 境外架构：合同拆分的税务逻辑</w:t>
      </w:r>
    </w:p>
    <w:p>
      <w:r>
        <w:rPr>
          <w:rFonts w:ascii="Calibri" w:hAnsi="Calibri" w:eastAsia="微软雅黑"/>
          <w:b w:val="0"/>
          <w:i w:val="0"/>
          <w:sz w:val="22"/>
        </w:rPr>
        <w:t>跨境项目里，把一份 EPC 合同拆成数份是常见的结构性安排，本质是在合规准入与风险控制之间寻找平衡，核心驱动力是税务优化。</w:t>
      </w:r>
    </w:p>
    <w:p>
      <w:r>
        <w:rPr>
          <w:rFonts w:ascii="Calibri" w:hAnsi="Calibri" w:eastAsia="微软雅黑"/>
          <w:b w:val="0"/>
          <w:i w:val="0"/>
          <w:sz w:val="22"/>
        </w:rPr>
        <w:t>两段式：境外母公司加东道国子公司签约。离岸部分覆盖设计、设备供应与大宗材料采购，在岸部分覆盖土建、安装、调试；离岸供应不触发东道国 VAT，在岸部分按当地税法缴纳。三段式：设计合同、供应合同、施工合同各自独立，代价是设计费可能被视为"特许权使用费"征收预提税（如 10%）。四段、五段式用于大型复杂项目，把核心设备、大宗散材、性能保证协议分别独立，最大程度优化税务与风险。以哈萨克斯坦为例，2026 年起 VAT 从 12% 升至 16% [own_calc:16%-12%=4个百分点]，拆分后离岸部分完全避开这笔税负；单独的设备供应合同也更容易主张进口设备关税减免——哈国投资法下特定设备可获减免。</w:t>
      </w:r>
    </w:p>
    <w:p>
      <w:r>
        <w:rPr>
          <w:rFonts w:ascii="Calibri" w:hAnsi="Calibri" w:eastAsia="微软雅黑"/>
          <w:b w:val="0"/>
          <w:i w:val="0"/>
          <w:sz w:val="22"/>
        </w:rPr>
        <w:t>拆分的法律基础是合同相对性：每份合同在形式上独立，分别构成各自完整的结构体系，约束不同签约主体。难点在于既保持各合同的独立性以应对税务与合规审查，又通过统领协议（Umbrella Agreement）在实质上恢复单一 EPC 合同"单点责任"的核心特征，确保业主能向承包商整体追责，责、权、利不因拆分而减损。更进一步的安排是拆分前置：签订 EPC 合同时即协商好各分项合同主体，直接落成数个独立合同外加一份协调协议，业主与总包方不再签订 EPC 合同，它隐身于数个合同背后充当底层法律逻辑支撑——这一模式对各方的合同能力要求更高。</w:t>
      </w:r>
    </w:p>
    <w:p>
      <w:pPr>
        <w:pStyle w:val="Heading2"/>
      </w:pPr>
      <w:r>
        <w:t>2.7 签约前决策：五条红线与一张对照表</w:t>
      </w:r>
    </w:p>
    <w:p>
      <w:r>
        <w:rPr>
          <w:rFonts w:ascii="Calibri" w:hAnsi="Calibri" w:eastAsia="微软雅黑"/>
          <w:b w:val="0"/>
          <w:i w:val="0"/>
          <w:sz w:val="22"/>
        </w:rPr>
        <w:t>境外自拟模板的教训值得境内借鉴。以巴西市场为例（总包说），业主爱用自拟模板把风险甩给承包商，一个毛利 10% 的项目，光五类条款就能吃干抹净：地勘资料写"仅供参考"，地质变化与地下障碍物的费用全由承包商掏；土地未交付、许可未批就催进场，窝工和设备闲置损失只能自己认；固定总价下汇率波动、材料涨价都不调价，叠加各州税率差异，报价极易翻车；干活不预警，变更费用打水漂；雨季赶工的开支也自担，因为当地法律认为这"可预见"。</w:t>
      </w:r>
    </w:p>
    <w:p>
      <w:r>
        <w:rPr>
          <w:rFonts w:ascii="Calibri" w:hAnsi="Calibri" w:eastAsia="微软雅黑"/>
          <w:b w:val="0"/>
          <w:i w:val="0"/>
          <w:sz w:val="22"/>
        </w:rPr>
        <w:t>守住底线的参数来自一线总结：把"仅供参考"变成专项风险准备金，明明白白写进报价；汇率波动超 3% 即重谈定价；开工令必须等业主把土地和许可交齐；总赔偿别超合同额 100%，延期罚款压在 5%-10% 以内。</w:t>
      </w:r>
    </w:p>
    <w:p>
      <w:r>
        <w:rPr>
          <w:rFonts w:ascii="Calibri" w:hAnsi="Calibri" w:eastAsia="微软雅黑"/>
          <w:b w:val="0"/>
          <w:i w:val="0"/>
          <w:sz w:val="22"/>
        </w:rPr>
        <w:t>争议高发点另有清单可查。张旗、叶海、余灵颖合著的《工程总承包（EPC／DB）争议解决实战攻略》，其目录本身就是一张风险地图：中标后发现不平衡报价、设计失误发包人是否连带担责、发包人提供场地不合格时承包人能否索赔、未经核准项目长期停工的分包人索赔、未按约限额设计、材料涨价遭遇固定价格的调差僵局、按固定总价结算后能否以虚报价款和虚构设备要求重算——每一节对应一类已在真实项目里发生过的争议。</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项目情境</w:t>
            </w:r>
          </w:p>
        </w:tc>
        <w:tc>
          <w:tcPr>
            <w:tcW w:type="dxa" w:w="2767"/>
            <w:shd w:fill="1F3A5F"/>
          </w:tcPr>
          <w:p>
            <w:r>
              <w:rPr>
                <w:color w:val="FFFFFF"/>
              </w:rPr>
            </w:r>
            <w:r>
              <w:rPr>
                <w:rFonts w:ascii="Calibri" w:hAnsi="Calibri" w:eastAsia="微软雅黑"/>
                <w:b/>
                <w:i w:val="0"/>
                <w:color w:val="FFFFFF"/>
                <w:sz w:val="18"/>
              </w:rPr>
              <w:t>优先形式</w:t>
            </w:r>
          </w:p>
        </w:tc>
        <w:tc>
          <w:tcPr>
            <w:tcW w:type="dxa" w:w="2767"/>
            <w:shd w:fill="1F3A5F"/>
          </w:tcPr>
          <w:p>
            <w:r>
              <w:rPr>
                <w:color w:val="FFFFFF"/>
              </w:rPr>
            </w:r>
            <w:r>
              <w:rPr>
                <w:rFonts w:ascii="Calibri" w:hAnsi="Calibri" w:eastAsia="微软雅黑"/>
                <w:b/>
                <w:i w:val="0"/>
                <w:color w:val="FFFFFF"/>
                <w:sz w:val="18"/>
              </w:rPr>
              <w:t>关键约束</w:t>
            </w:r>
          </w:p>
        </w:tc>
      </w:tr>
      <w:tr>
        <w:tc>
          <w:tcPr>
            <w:tcW w:type="dxa" w:w="2767"/>
          </w:tcPr>
          <w:p>
            <w:r/>
            <w:r>
              <w:rPr>
                <w:rFonts w:ascii="Calibri" w:hAnsi="Calibri" w:eastAsia="微软雅黑"/>
                <w:b w:val="0"/>
                <w:i w:val="0"/>
                <w:sz w:val="18"/>
              </w:rPr>
              <w:t>范围清晰、资料完备</w:t>
            </w:r>
          </w:p>
        </w:tc>
        <w:tc>
          <w:tcPr>
            <w:tcW w:type="dxa" w:w="2767"/>
          </w:tcPr>
          <w:p>
            <w:r/>
            <w:r>
              <w:rPr>
                <w:rFonts w:ascii="Calibri" w:hAnsi="Calibri" w:eastAsia="微软雅黑"/>
                <w:b w:val="0"/>
                <w:i w:val="0"/>
                <w:sz w:val="18"/>
              </w:rPr>
              <w:t>固定总价（LSTK）</w:t>
            </w:r>
          </w:p>
        </w:tc>
        <w:tc>
          <w:tcPr>
            <w:tcW w:type="dxa" w:w="2767"/>
          </w:tcPr>
          <w:p>
            <w:r/>
            <w:r>
              <w:rPr>
                <w:rFonts w:ascii="Calibri" w:hAnsi="Calibri" w:eastAsia="微软雅黑"/>
                <w:b w:val="0"/>
                <w:i w:val="0"/>
                <w:sz w:val="18"/>
              </w:rPr>
              <w:t>报价含足风险预备费</w:t>
            </w:r>
          </w:p>
        </w:tc>
      </w:tr>
      <w:tr>
        <w:tc>
          <w:tcPr>
            <w:tcW w:type="dxa" w:w="2767"/>
          </w:tcPr>
          <w:p>
            <w:r/>
            <w:r>
              <w:rPr>
                <w:rFonts w:ascii="Calibri" w:hAnsi="Calibri" w:eastAsia="微软雅黑"/>
                <w:b w:val="0"/>
                <w:i w:val="0"/>
                <w:sz w:val="18"/>
              </w:rPr>
              <w:t>不确定性高、技术前沿</w:t>
            </w:r>
          </w:p>
        </w:tc>
        <w:tc>
          <w:tcPr>
            <w:tcW w:type="dxa" w:w="2767"/>
          </w:tcPr>
          <w:p>
            <w:r/>
            <w:r>
              <w:rPr>
                <w:rFonts w:ascii="Calibri" w:hAnsi="Calibri" w:eastAsia="微软雅黑"/>
                <w:b w:val="0"/>
                <w:i w:val="0"/>
                <w:sz w:val="18"/>
              </w:rPr>
              <w:t>成本加酬金</w:t>
            </w:r>
          </w:p>
        </w:tc>
        <w:tc>
          <w:tcPr>
            <w:tcW w:type="dxa" w:w="2767"/>
          </w:tcPr>
          <w:p>
            <w:r/>
            <w:r>
              <w:rPr>
                <w:rFonts w:ascii="Calibri" w:hAnsi="Calibri" w:eastAsia="微软雅黑"/>
                <w:b w:val="0"/>
                <w:i w:val="0"/>
                <w:sz w:val="18"/>
              </w:rPr>
              <w:t>设支付最高限防敞口</w:t>
            </w:r>
          </w:p>
        </w:tc>
      </w:tr>
      <w:tr>
        <w:tc>
          <w:tcPr>
            <w:tcW w:type="dxa" w:w="2767"/>
          </w:tcPr>
          <w:p>
            <w:r/>
            <w:r>
              <w:rPr>
                <w:rFonts w:ascii="Calibri" w:hAnsi="Calibri" w:eastAsia="微软雅黑"/>
                <w:b w:val="0"/>
                <w:i w:val="0"/>
                <w:sz w:val="18"/>
              </w:rPr>
              <w:t>设计深度不足、变更预期强</w:t>
            </w:r>
          </w:p>
        </w:tc>
        <w:tc>
          <w:tcPr>
            <w:tcW w:type="dxa" w:w="2767"/>
          </w:tcPr>
          <w:p>
            <w:r/>
            <w:r>
              <w:rPr>
                <w:rFonts w:ascii="Calibri" w:hAnsi="Calibri" w:eastAsia="微软雅黑"/>
                <w:b w:val="0"/>
                <w:i w:val="0"/>
                <w:sz w:val="18"/>
              </w:rPr>
              <w:t>目标成本+酬金</w:t>
            </w:r>
          </w:p>
        </w:tc>
        <w:tc>
          <w:tcPr>
            <w:tcW w:type="dxa" w:w="2767"/>
          </w:tcPr>
          <w:p>
            <w:r/>
            <w:r>
              <w:rPr>
                <w:rFonts w:ascii="Calibri" w:hAnsi="Calibri" w:eastAsia="微软雅黑"/>
                <w:b w:val="0"/>
                <w:i w:val="0"/>
                <w:sz w:val="18"/>
              </w:rPr>
              <w:t>写明分享与分担比例（如 70%:30%）</w:t>
            </w:r>
          </w:p>
        </w:tc>
      </w:tr>
      <w:tr>
        <w:tc>
          <w:tcPr>
            <w:tcW w:type="dxa" w:w="2767"/>
          </w:tcPr>
          <w:p>
            <w:r/>
            <w:r>
              <w:rPr>
                <w:rFonts w:ascii="Calibri" w:hAnsi="Calibri" w:eastAsia="微软雅黑"/>
                <w:b w:val="0"/>
                <w:i w:val="0"/>
                <w:sz w:val="18"/>
              </w:rPr>
              <w:t>跨境、税务敏感</w:t>
            </w:r>
          </w:p>
        </w:tc>
        <w:tc>
          <w:tcPr>
            <w:tcW w:type="dxa" w:w="2767"/>
          </w:tcPr>
          <w:p>
            <w:r/>
            <w:r>
              <w:rPr>
                <w:rFonts w:ascii="Calibri" w:hAnsi="Calibri" w:eastAsia="微软雅黑"/>
                <w:b w:val="0"/>
                <w:i w:val="0"/>
                <w:sz w:val="18"/>
              </w:rPr>
              <w:t>两段/三段式拆分</w:t>
            </w:r>
          </w:p>
        </w:tc>
        <w:tc>
          <w:tcPr>
            <w:tcW w:type="dxa" w:w="2767"/>
          </w:tcPr>
          <w:p>
            <w:r/>
            <w:r>
              <w:rPr>
                <w:rFonts w:ascii="Calibri" w:hAnsi="Calibri" w:eastAsia="微软雅黑"/>
                <w:b w:val="0"/>
                <w:i w:val="0"/>
                <w:sz w:val="18"/>
              </w:rPr>
              <w:t>统领协议锁定单点责任</w:t>
            </w:r>
          </w:p>
        </w:tc>
      </w:tr>
    </w:tbl>
    <w:p>
      <w:r>
        <w:rPr>
          <w:rFonts w:ascii="Calibri" w:hAnsi="Calibri" w:eastAsia="微软雅黑"/>
          <w:b w:val="0"/>
          <w:i w:val="0"/>
          <w:sz w:val="22"/>
        </w:rPr>
        <w:t>收口判断只有三问。工作范围能不能在报价前锁死？锁不死，慎用总价。设计主导权在谁手里？握在承包人手中，总价才有成立前提。风险预备费够不够厚？算不出来的风险，终将变成 (2020)最高法民终481号里那 1.6 亿的缺口。</w:t>
      </w:r>
    </w:p>
    <w:p>
      <w:r>
        <w:rPr>
          <w:rFonts w:ascii="Calibri" w:hAnsi="Calibri" w:eastAsia="微软雅黑"/>
          <w:b w:val="0"/>
          <w:i w:val="0"/>
          <w:sz w:val="22"/>
        </w:rPr>
        <w:t>---</w:t>
      </w:r>
    </w:p>
    <w:p>
      <w:pPr>
        <w:pStyle w:val="Heading1"/>
      </w:pPr>
      <w:r>
        <w:t>第3章 合同条款风险解剖：15 个致命条款</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EPC合同的争议极少凭空而来，几乎都能追到某一条起草失守的条款上。最高人民法院2026年3月17日经审判委员会第1969次会议通过《关于审理建设工程施工合同纠纷案件适用法律问题的解释（二）》（法释〔2026〕12号），自2026年6月30日起施行；全文二十三条中除第二十三条为施行效力条文外，其余二十二条直指实务痛点，归纳为招投标合同效力、出借资质（挂靠）、转包与违法分包权利救济、工程质量与合同解除退场移交、固定价格与折价补偿及审计财审结算、质保金与瑕疵修复责任、工程价款优先受偿权七大规则群。规则重构之外，条款本身的防御力仍取决于签约时的写法——上海市建纬律师事务所徐寅哲、常祥梳理的2017年至2021年建工仲裁撤裁样本合计1068件，其中82件裁决被法院撤销，撤裁比例约7.68%，2018年单年申请数一度冲高至254件（数据来自威科先行·法律信息库）。本章按价款、责任、履约控制、救济、程序五个层面，解剖15个最常见的致命条款，每条给出风险机理、裁判后果与改写要点。</w:t>
      </w:r>
    </w:p>
    <w:p>
      <w:pPr>
        <w:pStyle w:val="Heading2"/>
      </w:pPr>
      <w:r>
        <w:t>一、价款条款：数字写不严，结算必失控</w:t>
      </w:r>
    </w:p>
    <w:p>
      <w:pPr>
        <w:pStyle w:val="Heading3"/>
      </w:pPr>
      <w:r>
        <w:t>条款1 结算依据不锁定计价规范</w:t>
      </w:r>
    </w:p>
    <w:p>
      <w:r>
        <w:rPr>
          <w:rFonts w:ascii="Calibri" w:hAnsi="Calibri" w:eastAsia="微软雅黑"/>
          <w:b w:val="0"/>
          <w:i w:val="0"/>
          <w:sz w:val="22"/>
        </w:rPr>
        <w:t>合同必须写明"结算依据为《建设工程工程量清单计价规范》GB50500-2013"或具体定额版本，否则组价口径之争没有裁判基准。2025年9月1日起《建设工程工程量清单计价标准》（GB/T 50500-2024）实施，计价逻辑由政府定额主导向市场定价转变，最高投标限价编制依据、风险分担规则同步重构——新旧规范衔接期签约的项目，若不在专用条款中点名规范编号与版本年号，同一工程量出现两套单价只是时间问题。经营部门审查合同时，把"计价规范+版本号+定额名称"三要素列为否决项。</w:t>
      </w:r>
    </w:p>
    <w:p>
      <w:pPr>
        <w:pStyle w:val="Heading3"/>
      </w:pPr>
      <w:r>
        <w:t>条款2 "所有市场风险包干"式无限风险条款</w:t>
      </w:r>
    </w:p>
    <w:p>
      <w:r>
        <w:rPr>
          <w:rFonts w:ascii="Calibri" w:hAnsi="Calibri" w:eastAsia="微软雅黑"/>
          <w:b w:val="0"/>
          <w:i w:val="0"/>
          <w:sz w:val="22"/>
        </w:rPr>
        <w:t>合同一旦出现"所有市场风险包干"字样，投标阶段就要做好索赔准备或径行要求修改——这类表述把价格波动、工程量偏差、图纸缺陷全部压给承包人。真实代价可以看（2016）豫0327民初1133号：2013年12月3日《灵山莲花公园塑石假山工程合同》约定假山工程按实际钢丝网片面积188元/㎡计价，2014年1月23日补充协议又将温泉汤池按水池外围投影面积2000元/㎡交给同一承包人；发包人未提供设计图纸，全部施工内容采取边设计、边施工、完工一处验收一处的方式推进，最终四项工程决算8902476.4元、累计付款7432708元、欠付1469768元，欠付占决算比重约16.5%[own_calc:1469768÷8902476.4≈16.5%]。无图纸、无边界、单价包干的组合，注定演变成马拉松诉讼。</w:t>
      </w:r>
    </w:p>
    <w:p>
      <w:pPr>
        <w:pStyle w:val="Heading3"/>
      </w:pPr>
      <w:r>
        <w:t>条款3 调差机制缺位</w:t>
      </w:r>
    </w:p>
    <w:p>
      <w:r>
        <w:rPr>
          <w:rFonts w:ascii="Calibri" w:hAnsi="Calibri" w:eastAsia="微软雅黑"/>
          <w:b w:val="0"/>
          <w:i w:val="0"/>
          <w:sz w:val="22"/>
        </w:rPr>
        <w:t>必须明确约定钢材、水泥等主材价格波动超过约定百分比（如±5%）时可以调整价款；材料涨价遭遇固定价格时的调差僵局，是总承包争议里的高频题型。审查时盯住三处：调差标的物清单、波动的参照信息价来源、超幅部分的分摊公式。反过来，若业主拒绝任何调差，投标报价就应把价格风险溢价显性化，而不是签约后指望谈判善意。</w:t>
      </w:r>
    </w:p>
    <w:p>
      <w:pPr>
        <w:pStyle w:val="Heading3"/>
      </w:pPr>
      <w:r>
        <w:t>条款4 违约金用"全面履行"等笼统用语表述</w:t>
      </w:r>
    </w:p>
    <w:p>
      <w:r>
        <w:rPr>
          <w:rFonts w:ascii="Calibri" w:hAnsi="Calibri" w:eastAsia="微软雅黑"/>
          <w:b w:val="0"/>
          <w:i w:val="0"/>
          <w:sz w:val="22"/>
        </w:rPr>
        <w:t>入库编号2024-16-2-092-001（赖某娣与于都县某兴房地产建设开发有限公司等房屋拆迁安置补偿合同纠纷案）确立的裁判要旨是：违约金数额虽然具体，但违约行为使用"甲方未按本协议约定的条款全面履行"等笼统用语、未区分情节轻重的，属于违约情形约定不明，法院应根据违约情节轻重确定具体责任与违约金数额。该案协议签订于2012年10月13日，约定月补偿金1600元、一年后每月1800元，交付最后期限自拆迁通知函指定时间起算36个月；赖某娣一方诉请一年内恢复重建被拆迁商住楼136.36㎡、按月租4500元赔偿8个月房租增加款21600元并支付违约金20万元。工程合同照搬这种兜底句式，等于把违约金的裁量权整体让渡给法官——正确写法是按逾期交付、质量不合格、迟延付款等行为分别设置计算式与封顶值。</w:t>
      </w:r>
    </w:p>
    <w:p>
      <w:pPr>
        <w:pStyle w:val="Heading3"/>
      </w:pPr>
      <w:r>
        <w:t>条款5 审计条款的性质不明</w:t>
      </w:r>
    </w:p>
    <w:p>
      <w:r>
        <w:rPr>
          <w:rFonts w:ascii="Calibri" w:hAnsi="Calibri" w:eastAsia="微软雅黑"/>
          <w:b w:val="0"/>
          <w:i w:val="0"/>
          <w:sz w:val="22"/>
        </w:rPr>
        <w:t>政府投资项目需写明"最终结算以政府审计为准"或"以双方确认的第三方造价咨询结果为准"，避免审计一拖数年。法释〔2026〕12号专设固定价格合同、折价补偿与审计财审结算规则群，审计结论对结算的拘束力如何、财评滞后时承包人有无救济，都以此为准据。签约时不写审计性质，等于把结算时点交给一个自己无法控制的行政程序。</w:t>
      </w:r>
    </w:p>
    <w:p>
      <w:pPr>
        <w:pStyle w:val="Heading3"/>
      </w:pPr>
      <w:r>
        <w:t>条款6 结算审核期限与"逾期不答复视为认可"</w:t>
      </w:r>
    </w:p>
    <w:p>
      <w:r>
        <w:rPr>
          <w:rFonts w:ascii="Calibri" w:hAnsi="Calibri" w:eastAsia="微软雅黑"/>
          <w:b w:val="0"/>
          <w:i w:val="0"/>
          <w:sz w:val="22"/>
        </w:rPr>
        <w:t>务必约定"发包人收到完整结算资料后30日/60日内未提出异议，视为认可结算报告"，并在专用条款中打勾写明"逾期不答复，视为认可"——这是最高院支持的规则，也是承包人在结算博弈里最锋利的一件武器。配套动作是把"完整结算资料"细化成清单作为合同附件，否则发包人永远可以拿"资料不全"重启审核期限，默示认可条款形同虚设。</w:t>
      </w:r>
    </w:p>
    <w:p>
      <w:pPr>
        <w:pStyle w:val="Heading2"/>
      </w:pPr>
      <w:r>
        <w:t>二、履约控制条款：签字与印章的边界</w:t>
      </w:r>
    </w:p>
    <w:p>
      <w:pPr>
        <w:pStyle w:val="Heading3"/>
      </w:pPr>
      <w:r>
        <w:t>条款7 "不允许分包"被自己员工击穿</w:t>
      </w:r>
    </w:p>
    <w:p>
      <w:r>
        <w:rPr>
          <w:rFonts w:ascii="Calibri" w:hAnsi="Calibri" w:eastAsia="微软雅黑"/>
          <w:b w:val="0"/>
          <w:i w:val="0"/>
          <w:sz w:val="22"/>
        </w:rPr>
        <w:t>新中民五终字第519号判决揭示的漏洞极具代表性：发包合同第三部分第十一项38.1白纸黑字约定"本工程不允许分包"，但承包人一建公司的工作人员李俊科仍于2013年5月31日就发酵车间、空压站铝合金窗工程与刘春新签订施工合同；完工核算价款共计315628元、已付40000元，李俊科2015年5月21日出具欠条确认275000元——欠条金额与"核算价减已付款"之间尚有628元差额[own_calc:315628−40000−275000=628]，恰说明私下结算文件自成一体的证据效力。对总包而言，禁止分包条款若不辅以项目部印章管理、签约授权公示与分包审批留痕，挡得住合同条款、挡不住自己人。</w:t>
      </w:r>
    </w:p>
    <w:p>
      <w:pPr>
        <w:pStyle w:val="Heading3"/>
      </w:pPr>
      <w:r>
        <w:t>条款8 背靠背付款条款</w:t>
      </w:r>
    </w:p>
    <w:p>
      <w:r>
        <w:rPr>
          <w:rFonts w:ascii="Calibri" w:hAnsi="Calibri" w:eastAsia="微软雅黑"/>
          <w:b w:val="0"/>
          <w:i w:val="0"/>
          <w:sz w:val="22"/>
        </w:rPr>
        <w:t>案例库观点已经明确：付款义务本身确定的，"背靠背"付款条款应认定为约定不明的附履行期限条款——业主未付款不再构成总包对分包的永久性免责盾牌。分包单位签约谈判时应争取写入总包按已完工程量比例先行支付的兜底安排；总包则要清楚，"以业主支付为前提"一句话在2026年之后的裁判环境里已挡不住分包人的付款请求。</w:t>
      </w:r>
    </w:p>
    <w:p>
      <w:pPr>
        <w:pStyle w:val="Heading3"/>
      </w:pPr>
      <w:r>
        <w:t>条款9 签证授权与结算确认人员不锁定</w:t>
      </w:r>
    </w:p>
    <w:p>
      <w:r>
        <w:rPr>
          <w:rFonts w:ascii="Calibri" w:hAnsi="Calibri" w:eastAsia="微软雅黑"/>
          <w:b w:val="0"/>
          <w:i w:val="0"/>
          <w:sz w:val="22"/>
        </w:rPr>
        <w:t>合同附录中应写明"发包人有权签字确认变更的人员为XX、XX，其他人签字无效，防止冒签"；对无信息价的装饰材料，约定先经发包人认质认价再采购，否则按定额最低价结算。授权失控的代价可对照（2014）湛吴法民一初字第309号：中铁六局茂湛铁路第一项目部2013年5月24日与出租人结算确认脚手架租金合计246254元（设备2012年11月15日投入使用，约定期限至2013年5月31日），6月21日项目部出具证明让其赴国税局开具发票，6月24日补签《钢管脚手架租赁协议》并于当天支付146254元、尚欠100000元。项目部层面的结算确认加发票流转把债权钉死，而被告以曾付225万元劳务费、原告未开发票为由抗辩抵扣，也提示票据交付义务须在条款中单独写清，不能与款项支付互相捆绑。</w:t>
      </w:r>
    </w:p>
    <w:p>
      <w:pPr>
        <w:pStyle w:val="Heading3"/>
      </w:pPr>
      <w:r>
        <w:t>条款10 口头承诺排除条款缺失</w:t>
      </w:r>
    </w:p>
    <w:p>
      <w:r>
        <w:rPr>
          <w:rFonts w:ascii="Calibri" w:hAnsi="Calibri" w:eastAsia="微软雅黑"/>
          <w:b w:val="0"/>
          <w:i w:val="0"/>
          <w:sz w:val="22"/>
        </w:rPr>
        <w:t>补充条款应注明"任何口头承诺或会议纪要未以书面形式确认的，不具法律效力"。无书面合同的代价在（2018）湘3123民初897号里看得清楚：堡坎工程约定全包每立方米280元、据实结算，因双方是朋友关系未签书面合同，2014年底完工结算共砌790多立方米、支付4万元后尚欠182415.2元，诉讼中只能靠当事人陈述与零散证明互相搏杀。（2010）浙温民终字第1640号则是收条反噬的样本：2005年2月口头约定竣工后按实际结算，2006年1月27日承包人出具455000元收条，载明"泽基周宏枢家工程款已全部结清，以后任何工程款由谢祥灯负责"，司法鉴定科学技术研究所司法鉴定中心确认签名属实后，这张收条成了终局性文件，事后再以造价鉴定主张更多工程款步履维艰。EPC场景下会议纪要、微信记录海量存在，排除条款加书面确认流程，才是证据纪律的起点。</w:t>
      </w:r>
    </w:p>
    <w:p>
      <w:pPr>
        <w:pStyle w:val="Heading3"/>
      </w:pPr>
      <w:r>
        <w:t>条款11 索赔时限条款被当作摆设</w:t>
      </w:r>
    </w:p>
    <w:p>
      <w:r>
        <w:rPr>
          <w:rFonts w:ascii="Calibri" w:hAnsi="Calibri" w:eastAsia="微软雅黑"/>
          <w:b w:val="0"/>
          <w:i w:val="0"/>
          <w:sz w:val="22"/>
        </w:rPr>
        <w:t>FIDIC类合同若未在规定时间内提交索赔意向，过期作废。国工论坛宋玉祥把工程企业争议解决的痛点列为七项，其中"错过关键程序和时间要求造成索赔失权"与"重要证据资料缺失"直接相关；同一份分析还指出，建设工程争议的仲裁程序经常耗费一两年，冗长程序拖垮现金流回收，近年来多家高资质建设企业乃至省属国企、央企单位陷入破产，深层原因正是大量应收账款不能回收、现金流断裂。条款层面的对策很朴素：把合同里每一个索赔通知时限抄入项目月度台账，设双人复核与逾期升级。</w:t>
      </w:r>
    </w:p>
    <w:p>
      <w:pPr>
        <w:pStyle w:val="Heading2"/>
      </w:pPr>
      <w:r>
        <w:t>三、救济与程序条款：最后五十米失守最冤</w:t>
      </w:r>
    </w:p>
    <w:p>
      <w:pPr>
        <w:pStyle w:val="Heading3"/>
      </w:pPr>
      <w:r>
        <w:t>条款12 质保金返还期限依附于"竣工验收合格后5年"</w:t>
      </w:r>
    </w:p>
    <w:p>
      <w:r>
        <w:rPr>
          <w:rFonts w:ascii="Calibri" w:hAnsi="Calibri" w:eastAsia="微软雅黑"/>
          <w:b w:val="0"/>
          <w:i w:val="0"/>
          <w:sz w:val="22"/>
        </w:rPr>
        <w:t>应明确缺陷责任期（通常1年或2年），期满后若干日内无息返还质保金，而非模糊地等到"竣工验收合格后5年"。法释〔2026〕12号将质保金与瑕疵修复责任单列为一个规则群，返还时点、修复费用扣减的举证责任由此有了统一裁判尺度；合同若沿用旧表述，等于自弃新规红利。</w:t>
      </w:r>
    </w:p>
    <w:p>
      <w:pPr>
        <w:pStyle w:val="Heading3"/>
      </w:pPr>
      <w:r>
        <w:t>条款13 优先受偿权未在合同中重申</w:t>
      </w:r>
    </w:p>
    <w:p>
      <w:r>
        <w:rPr>
          <w:rFonts w:ascii="Calibri" w:hAnsi="Calibri" w:eastAsia="微软雅黑"/>
          <w:b w:val="0"/>
          <w:i w:val="0"/>
          <w:sz w:val="22"/>
        </w:rPr>
        <w:t>合同中应重申承包人有权在发包人欠付工程款范围内就工程折价或拍卖价款优先受偿。司法解释虽赋予该权利，但行使期限、主体范围在《建工解释（二）》第七规则群下被进一步细化，合同重申加行使节点提示，能避免权利在忙碌的履约过程中沉睡至过期。</w:t>
      </w:r>
    </w:p>
    <w:p>
      <w:pPr>
        <w:pStyle w:val="Heading3"/>
      </w:pPr>
      <w:r>
        <w:t>条款14 管辖与仲裁条款套模板</w:t>
      </w:r>
    </w:p>
    <w:p>
      <w:r>
        <w:rPr>
          <w:rFonts w:ascii="Calibri" w:hAnsi="Calibri" w:eastAsia="微软雅黑"/>
          <w:b w:val="0"/>
          <w:i w:val="0"/>
          <w:sz w:val="22"/>
        </w:rPr>
        <w:t>优先约定"工程所在地法院"或具体仲裁机构，避免管辖权之争。（2020）黑27民辖终7号裁定书给出了反面教材：承包人黑龙江省水利水电集团第二工程有限公司以双方未签订书面合同、无从约定管辖为由，主张依《中华人民共和国民事诉讼法》第二十三条由其住所地哈尔滨阿城区法院审理；大兴安岭地区中级法院援引《最高人民法院关于适用〈中华人民共和国民事诉讼法〉的解释》第二十八条，认定建设工程施工合同纠纷按照不动产纠纷确定管辖，工程所在地马伦村归属黑龙江省塔河县，塔河县法院享有管辖权，终审驳回上诉。而选择仲裁的项目要记住撤算账本：2017年至2021年1068件建工仲裁撤裁申请里82件被撤销、比例约7.68%[own_calc:82÷1068≈7.68%]，一裁终局之下条款瑕疵几乎没有二审纠错机会，仲裁机构名称、仲裁地、仲裁规则三要素必须逐一写死。</w:t>
      </w:r>
    </w:p>
    <w:p>
      <w:pPr>
        <w:pStyle w:val="Heading3"/>
      </w:pPr>
      <w:r>
        <w:t>条款15 挂靠叠加结算终局条款：最容易全军覆没的组合</w:t>
      </w:r>
    </w:p>
    <w:p>
      <w:r>
        <w:rPr>
          <w:rFonts w:ascii="Calibri" w:hAnsi="Calibri" w:eastAsia="微软雅黑"/>
          <w:b w:val="0"/>
          <w:i w:val="0"/>
          <w:sz w:val="22"/>
        </w:rPr>
        <w:t>建纬成都王玉有律师代理的二审案件把这一组合的杀伤力展示得淋漓尽致：某房地产开发项目中，总承包A公司与劳务单位B公司的合作协议因挂靠被认定无效；工程竣工验收合格后，业主与A公司完成整体竣工结算、审定工程总造价约1.9亿元，B公司出具《承诺书》明确同意受该结算结果约束；此后B公司仍以工程停工窝工损失、钢材款利息、管理人员工资损失为由起诉，主张数百万元赔偿，一审法院竟采纳其索赔主张判A公司担责，二审的抗辩主线即"结算为最终竣工总结算、B公司未以书面形式保留索赔权利，结算完成后无权另行主张"。该案争点——工程结算办理完毕之后，承包人还能否再提索赔——正是合同终局性条款价值的试金石。《建工解释（二）》第二规则群重构了出借资质的法律后果，民法典793条之下借用资质方可向出借资质方主张折价补偿，挂靠链条上每一份合同都要单独评估效力。结算终局与证据纪律的另一面见（2017）浙民申3281号：双方对涉案工程款769734元（含税金100400元）均无异议，王卓成自认2015年1月27日前引拓公司已付57万元、2016年3月10日再付15万元、合计72万元；其主张依《浙江省建设工程施工取费定额》认定税金26540元，法院因其未提供税务发票等证据证明税金损失确已产生，对税金部分予以扣除——结算数字无异议，不等于每个组成部分都能兑现，票据与凭证就是兑现的通行证。</w:t>
      </w:r>
    </w:p>
    <w:p>
      <w:pPr>
        <w:pStyle w:val="Heading2"/>
      </w:pPr>
      <w:r>
        <w:t>体检顺序与落点</w:t>
      </w:r>
    </w:p>
    <w:p>
      <w:r>
        <w:rPr>
          <w:rFonts w:ascii="Calibri" w:hAnsi="Calibri" w:eastAsia="微软雅黑"/>
          <w:b w:val="0"/>
          <w:i w:val="0"/>
          <w:sz w:val="22"/>
        </w:rPr>
        <w:t>给工程企业法务的条款体检路径：签约前先过价款六关（条款1至6），把规范版本、风险包干边界、调差参数、违约金分层、审计性质、默示认可逐一落纸；履约中盯住授权与书面形式四关（条款7至10），索赔时限（条款11）纳入月度台账；退场与争议阶段靠救济五关（条款12至15）兜底。十五个条款的共同规律只有一条：裁判者事后能替你补正的，永远少于你以为的。</w:t>
      </w:r>
    </w:p>
    <w:p>
      <w:r>
        <w:rPr>
          <w:rFonts w:ascii="Calibri" w:hAnsi="Calibri" w:eastAsia="微软雅黑"/>
          <w:b w:val="0"/>
          <w:i w:val="0"/>
          <w:sz w:val="22"/>
        </w:rPr>
        <w:t>---</w:t>
      </w:r>
    </w:p>
    <w:p>
      <w:pPr>
        <w:pStyle w:val="Heading1"/>
      </w:pPr>
      <w:r>
        <w:t>第4章 计价与结算：固定总价的边界与突破</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2013版清单规范退场、GB/T 50500-2024登场，叠加两部建工司法解释与审计新规，EPC合同的计价与结算规则在几年内完成一轮整体换轨。发包人拿"固定总价"四个字封顶，承包人靠条款技术与过程证据突围，胜负往往在签约那一刻已见分晓。本章拆规则、拆判例、拆条款，收尾给出可直接抄进专用条款的攻防清单。</w:t>
      </w:r>
    </w:p>
    <w:p>
      <w:pPr>
        <w:pStyle w:val="Heading2"/>
      </w:pPr>
      <w:r>
        <w:t>4.1 规则换轨：从定额定价到市场询价</w:t>
      </w:r>
    </w:p>
    <w:p>
      <w:r>
        <w:rPr>
          <w:rFonts w:ascii="Calibri" w:hAnsi="Calibri" w:eastAsia="微软雅黑"/>
          <w:b w:val="0"/>
          <w:i w:val="0"/>
          <w:sz w:val="22"/>
        </w:rPr>
        <w:t>2024年11月，住房城乡建设部发布国家标准《建设工程工程量清单计价标准》（GB/T 50500-2024），公告文号2024年第212号，自2025年9月1日起实施；原《建设工程工程量清单计价规范》（GB 50500-2013）同时废止。被废止的这套规范由住建部第1567号公告发布，含15条强制性条文，其中第4.1.2条写道："招标工程量清单必须作为招标文件的组成部分，其准确性和完整性由招标人负责。"新标准全文13章54节424个条款，通篇排除定额。追溯源头，2020年7月印发的《工程造价改革工作方案》（建办标〔2020〕38号）已明确取消最高投标限价按定额计价的规定、逐步停止发布预算定额；新标准据此在限价编制依据中删去政府定额与信息价，改用类似工程市场竞争合理投标单价、类似清单项目结算单价、类似工程合同价格以及市场询价。成果文件还须由一级注册造价工程师审核签字并加盖执业专用章——签字责任第一次压到个人执业身份上。</w:t>
      </w:r>
    </w:p>
    <w:p>
      <w:r>
        <w:rPr>
          <w:rFonts w:ascii="Calibri" w:hAnsi="Calibri" w:eastAsia="微软雅黑"/>
          <w:b w:val="0"/>
          <w:i w:val="0"/>
          <w:sz w:val="22"/>
        </w:rPr>
        <w:t>结构上，新标准第8章合同价款调整85条（含工程索赔23条）、第10章工程结算与支付52条（含施工过程结算12条、竣工结算17条），附录A给出价格指数调差法与价格信息调差法两种调差路径。地方落地速度不一：四川省住建厅2026-06-26发布清单计价导则、2026-09-01施行，与国标保持12章框架，同步固化15%清单缺陷调价线、80%进度款、28天安措费预付50%、3%质保金等口径，2026-09-01前已发招标文件或已签合同的按原口径执行。安徽节奏更紧：省厅7月15日发布第104号公告，2026版计价规程9月1日施行，运行八年的2018版办法同日废止，过渡期只有一个半月；合肥市建筑市场监督管理处9月17日印发合建监管〔2026〕34号执行通知，把新老划断界线定在招标公告发布日。同一项目池内新旧两套规则并行时，报价团队必须逐项目核对适用的版本与费率。</w:t>
      </w:r>
    </w:p>
    <w:p>
      <w:pPr>
        <w:pStyle w:val="Heading2"/>
      </w:pPr>
      <w:r>
        <w:t>4.2 封顶的边界：上限封的是合同内工程款</w:t>
      </w:r>
    </w:p>
    <w:p>
      <w:r>
        <w:rPr>
          <w:rFonts w:ascii="Calibri" w:hAnsi="Calibri" w:eastAsia="微软雅黑"/>
          <w:b w:val="0"/>
          <w:i w:val="0"/>
          <w:sz w:val="22"/>
        </w:rPr>
        <w:t>某EPC项目合同上限价13,368.66万元，结算报出17,402.96万元，超出[own_calc:17402.96-13368.66=4034.30]万元。审计以"总价上限"四字压掉全部超额，承包人委托鉴定机构重算，鉴定意见直指招标控制价编制阶段就漏掉了渣土受纳弃置费390万元、基本预备费1,326.02万元，合计1,716.02万元从未进入上限价口径——项目因此亏掉1700万。</w:t>
      </w:r>
    </w:p>
    <w:p>
      <w:r>
        <w:rPr>
          <w:rFonts w:ascii="Calibri" w:hAnsi="Calibri" w:eastAsia="微软雅黑"/>
          <w:b w:val="0"/>
          <w:i w:val="0"/>
          <w:sz w:val="22"/>
        </w:rPr>
        <w:t>规则层面，2024版标准第6.1.5条规定投标报价低于最高投标限价并符合相关规定的视为有效投标报价；第6.3.6条明确只有投标总价高于限价总价时投标才应被拒绝，并未授权结算时强制调整某个高于限价相应单价的分项。司法层面两份判决给出同一逻辑：(2021)沪02民终11714号认定签证费用系非承包人原因新增的合同外施工内容，属招投标及签约时无法预料且未曾包含的内容，最高限价应认定为针对合同内工程价款，不涵盖全部增量；(2019)甘01民初463号合同虽写明"结算价不允许高于合同总价"，法院仍对发包人原因导致的设计变更与工程签证予以支持，超出部分可调。两案合读一句话：上限封合同内，封不住非承包人原因的增量。签约时应把这句话翻译进专用条款——写明限价的覆盖范围为合同内工程价款，变更、签证、调差等增项单列计价通道。</w:t>
      </w:r>
    </w:p>
    <w:p>
      <w:pPr>
        <w:pStyle w:val="Heading2"/>
      </w:pPr>
      <w:r>
        <w:t>4.3 暂定总价加据实结算：46.65亿EPC的结算爆雷</w:t>
      </w:r>
    </w:p>
    <w:p>
      <w:r>
        <w:rPr>
          <w:rFonts w:ascii="Calibri" w:hAnsi="Calibri" w:eastAsia="微软雅黑"/>
          <w:b w:val="0"/>
          <w:i w:val="0"/>
          <w:sz w:val="22"/>
        </w:rPr>
        <w:t>某大型产业项目一期厂房EPC中标价46.65亿，合同表述为"暂定总价46.65亿，最终经审计复核后据实结算"。招标时完整图纸未定，边设计边施工；竣工验收后承包人报送结算书65亿，较中标价高出[own_calc:65-46.65=18.35]亿。发包人主张总价包干，承包人主张甲方主导设计变更与新增工程，约定的阶段性重计量因工期太紧被跳过。僵局近两年，2023年起诉，诉请本金22.64亿及利息。</w:t>
      </w:r>
    </w:p>
    <w:p>
      <w:r>
        <w:rPr>
          <w:rFonts w:ascii="Calibri" w:hAnsi="Calibri" w:eastAsia="微软雅黑"/>
          <w:b w:val="0"/>
          <w:i w:val="0"/>
          <w:sz w:val="22"/>
        </w:rPr>
        <w:t>法院算过三笔账后放弃司法鉴定：时间上鉴定耗时两三年，产业窗口期不等人；钱上鉴定费用上亿；结果上即便鉴定，双方对图纸版本、变更范围仍会有争议。转而依职权查明——微信记录、往来函件、监理日志成了定案关键，法院并邀请审计部门联合对账、逐项核实工程量与价款，最终认定全部工程价款本金51.59亿余元（较暂定总价多[own_calc:51.59-46.65=4.94]亿），判令支付剩余本金5.36亿余元及相应利息。双方均未上诉，判后10余天近6亿本息付清。</w:t>
      </w:r>
    </w:p>
    <w:p>
      <w:r>
        <w:rPr>
          <w:rFonts w:ascii="Calibri" w:hAnsi="Calibri" w:eastAsia="微软雅黑"/>
          <w:b w:val="0"/>
          <w:i w:val="0"/>
          <w:sz w:val="22"/>
        </w:rPr>
        <w:t>法条要逐字背下。法释〔2020〕25号第28条：当事人约定按照固定价结算工程价款，一方请求对建设工程造价进行鉴定的，法院不予支持——但前提是"约定了固定价"，本案"暂定总价"叠加"据实结算"不构成固定价。法释〔2026〕12号第十三条更进一步：约定按审计结果确定价款，而审计结果与施工合同约定明显不符、承包人有证据的，可申请司法鉴定；没有约定的，发包人请求按审计定价款，法院不支持。审计习惯用"按图核量、按量计价"的施工总承包思维审EPC，等于拿施工图的尺子量初步设计的布，规则层面就错配。该案暴露的四大雷区应制成签约检查表：暂定总价被当固定总价用、设计变更权属不清、重计量机制形同虚设、过程证据留痕不足——变更指令靠微信口头、签证不及时办理、监理日志残缺，翻脸时全是坑。</w:t>
      </w:r>
    </w:p>
    <w:p>
      <w:pPr>
        <w:pStyle w:val="Heading2"/>
      </w:pPr>
      <w:r>
        <w:t>4.4 清单缺项：谁的清单谁负责</w:t>
      </w:r>
    </w:p>
    <w:p>
      <w:r>
        <w:rPr>
          <w:rFonts w:ascii="Calibri" w:hAnsi="Calibri" w:eastAsia="微软雅黑"/>
          <w:b w:val="0"/>
          <w:i w:val="0"/>
          <w:sz w:val="22"/>
        </w:rPr>
        <w:t>某工程按清单计价签总价合同，招标清单缺项引发是否补充计价的争议。甲方援引合同约定：投标人在编制投标文件时已全面考虑项目现场与清单、图纸之间的差异，报价已把缺漏项包含在总价内，不作调整；乙方援引13版规范：清单准确性完整性由招标人负责，缺项应新增清单并调整合同价款。第4.1.2条的强制性表述站在乙方一边，而"招标图纸包干的总价合同"条款又被甲方握在手里——文本对冲之下，结算阶段拼的是证据与解释技术。</w:t>
      </w:r>
    </w:p>
    <w:p>
      <w:r>
        <w:rPr>
          <w:rFonts w:ascii="Calibri" w:hAnsi="Calibri" w:eastAsia="微软雅黑"/>
          <w:b w:val="0"/>
          <w:i w:val="0"/>
          <w:sz w:val="22"/>
        </w:rPr>
        <w:t>定价机制的法律链条同样要讲清：民法典第473条把招标公告列为要约邀请，第472条下投标文件构成要约；招标投标法第27条要求投标文件对实质性要求和条件作出响应，第45条赋予中标通知书法律效力；法释〔2023〕13号第4条确立合同自中标通知书到达中标人时成立，此后30日内订立书面合同仅是法定确认形式。清单报价因此是合同价格的成立基础，缺项、错项、重项的责任划分应写入专用条款：写明缺项组价路径（无相同项目单价时按定额下浮率或市场询价组价），并把15%清单缺陷调价线一类的风险幅度作为谈判锚点。</w:t>
      </w:r>
    </w:p>
    <w:p>
      <w:pPr>
        <w:pStyle w:val="Heading2"/>
      </w:pPr>
      <w:r>
        <w:t>4.5 限价编制红线：概算不能直接当限价</w:t>
      </w:r>
    </w:p>
    <w:p>
      <w:r>
        <w:rPr>
          <w:rFonts w:ascii="Calibri" w:hAnsi="Calibri" w:eastAsia="微软雅黑"/>
          <w:b w:val="0"/>
          <w:i w:val="0"/>
          <w:sz w:val="22"/>
        </w:rPr>
        <w:t>EPC招标常无施工图，发包人为图便利直接搬用经核定的设计概算总额、或整体下浮一定比例后作限价，把"投资估算—设计概算—最高投标限价—签约合同价—施工图预算—结算价"六个环节中的前两个直接等同。规则不允许。《政府投资条例》（国务院令第712号）第12条界定经核定的投资概算是控制政府投资项目总投资的依据，第23条要求超概算须按程序报批，第34条对擅自增加概算的责任人处分——概算是行政审批约束，口径含工程费、工程建设其他费、预备费，并不等于总承包发包范围。</w:t>
      </w:r>
    </w:p>
    <w:p>
      <w:r>
        <w:rPr>
          <w:rFonts w:ascii="Calibri" w:hAnsi="Calibri" w:eastAsia="微软雅黑"/>
          <w:b w:val="0"/>
          <w:i w:val="0"/>
          <w:sz w:val="22"/>
        </w:rPr>
        <w:t>《工程总承包项目最高投标限价编审规程》（T/ASC 49-2024，2024年9月1日实施）第3.1.3条规定限价不得超过经批准的投资估算和设计概算；第5.1.3条写明限价不宜直接以投资估算或概算金额确定，应依据招标文件、《发包人要求》、项目清单，参照同类造价指标、市场价格信息等重新编制。GB/T 50500-2024第5.2节同样删除"计价定额和计价办法"依据，第5.2.8条转向造价指标与市场询价，第5.2.9条要求按建设时期、地点、规模、交付标准差异合理调整；住建部令16号第8条要求限价依据工程量清单、计价有关规定和市场价格信息编制。报价前核一遍限价编制依据，等于提前拿到结算博弈的弹药。合同价格构成可对齐杭州工程总承包计价办法的六要素模板：工程设计费、设备购置费、建筑安装工程费、暂估价、暂列金额、工程总承包其他费，均为含税完全费用——报价拆解按这六项对表，缺项一眼可见。</w:t>
      </w:r>
    </w:p>
    <w:p>
      <w:pPr>
        <w:pStyle w:val="Heading2"/>
      </w:pPr>
      <w:r>
        <w:t>4.6 结算条款攻防：期限、暂估价与利息</w:t>
      </w:r>
    </w:p>
    <w:p>
      <w:r>
        <w:rPr>
          <w:rFonts w:ascii="Calibri" w:hAnsi="Calibri" w:eastAsia="微软雅黑"/>
          <w:b w:val="0"/>
          <w:i w:val="0"/>
          <w:sz w:val="22"/>
        </w:rPr>
        <w:t>结算条款里最锋利的三颗钉子。其一，逾期答复视为认可：专用条款写明发包人收到完整结算资料后30日/60日内未提出异议视为认可结算报告，附资料清单定义"完整"，并写明结算依据的标准名称与版本（旧项目写GB50500-2013，现行项目应写GB/T 50500-2024）——逾期不答复视为认可是最高院裁判规则支持的杀手锏。其二，风险范围与调差：固定总价必须列明钢材、水泥等价格波动超过±5%可调价款，警惕"所有市场风险包干"式无限风险条款，投标时要么要求修改要么提前备好索赔证据。其三，利息与返还：约定明确利率（如LPR的2倍），否则诉讼只能按较低的LPR计算；缺陷责任期通常1年或2年，写明期满后多少日内无息返还，别拖到竣工验收后5年。</w:t>
      </w:r>
    </w:p>
    <w:p>
      <w:r>
        <w:rPr>
          <w:rFonts w:ascii="Calibri" w:hAnsi="Calibri" w:eastAsia="微软雅黑"/>
          <w:b w:val="0"/>
          <w:i w:val="0"/>
          <w:sz w:val="22"/>
        </w:rPr>
        <w:t>暂估价的坑以"每平方米20元"案为典型：总包组织材料暂估价招标时，要求供应商把卸车、保管、运输、检测及向总包交纳的管理费按每平方米20元计入报价。审核单位逐层拆解：建标〔2013〕44号材料费本已含运杂费与采购及保管费，材料单价公式为[(材料原价＋运杂费)×(1＋运输损耗率)]×[1＋采购保管费率]；检验试验费归企业管理费；GB 50500-2013第9.9.4条明确与组织招标有关的费用已包括在签约合同价中，"向总包缴纳管理费"属变相转嫁自身成本，违反民法典第六条公平原则、第七条诚信原则。审核结论：按中标单价扣减20元作为材料暂估价含税确定价。</w:t>
      </w:r>
    </w:p>
    <w:p>
      <w:r>
        <w:rPr>
          <w:rFonts w:ascii="Calibri" w:hAnsi="Calibri" w:eastAsia="微软雅黑"/>
          <w:b w:val="0"/>
          <w:i w:val="0"/>
          <w:sz w:val="22"/>
        </w:rPr>
        <w:t>"结算后付款"条款的利息起算同样有分歧：合同常写"工程结算经发包人审核完毕后支付至结算总价95%"，发包人拖延审核使付款条件长期不成就，司法实践分化出起诉日/鉴定日、交付日、提交结算资料日三种起算观点；穿透式裁判倾向认定滥用审核权属不当阻止条件成就、视为条件已成就，并依《建工解释一》第二十七条（约定不明且工程已实际交付的，为交付之日；未交付的，为提交竣工结算文件之日）优先以交付之日起算利息。审计端还在收紧：国务院令第847号于2026年9月19日公布修订后的审计法实施条例，2026年12月1日施行，全文64条、新增重大公共工程审计条款（第25条）。政府投资项目里审计口径与合同口径的冲突只会更多，签约时就应写明"以双方确认的第三方造价咨询结果为准"，或约定审计结论与合同计价逻辑冲突时的处理顺位。</w:t>
      </w:r>
    </w:p>
    <w:p>
      <w:pPr>
        <w:pStyle w:val="Heading2"/>
      </w:pPr>
      <w:r>
        <w:t>4.7 行动清单</w:t>
      </w:r>
    </w:p>
    <w:p>
      <w:pPr>
        <w:pStyle w:val="ListNumber"/>
      </w:pPr>
      <w:r>
        <w:rPr>
          <w:rFonts w:ascii="Calibri" w:hAnsi="Calibri" w:eastAsia="微软雅黑"/>
          <w:b w:val="0"/>
          <w:i w:val="0"/>
          <w:sz w:val="22"/>
        </w:rPr>
        <w:t>投标前核限价：对照T/ASC 49-2024第5.1.3条核查限价是否直接套概算；渣土受纳弃置费、基本预备费一类的疑似漏项，在质疑阶段书面提出并留存回函。</w:t>
      </w:r>
    </w:p>
    <w:p>
      <w:pPr>
        <w:pStyle w:val="ListNumber"/>
      </w:pPr>
      <w:r>
        <w:rPr>
          <w:rFonts w:ascii="Calibri" w:hAnsi="Calibri" w:eastAsia="微软雅黑"/>
          <w:b w:val="0"/>
          <w:i w:val="0"/>
          <w:sz w:val="22"/>
        </w:rPr>
        <w:t>总价条款写边界：上限与包干范围限定为合同内工程价款，变更、签证、调差、新增工程单列计价通道，援引(2021)沪02民终11714号与(2019)甘01民初463号作为谈判例证。</w:t>
      </w:r>
    </w:p>
    <w:p>
      <w:pPr>
        <w:pStyle w:val="ListNumber"/>
      </w:pPr>
      <w:r>
        <w:rPr>
          <w:rFonts w:ascii="Calibri" w:hAnsi="Calibri" w:eastAsia="微软雅黑"/>
          <w:b w:val="0"/>
          <w:i w:val="0"/>
          <w:sz w:val="22"/>
        </w:rPr>
        <w:t>"暂定总价"配三件套：变更定义与计价规则、重计量节点与锁定方式、过程证据书面化（函件、监理日志、指令签认），缺一件就是把结算主动权交给对方。</w:t>
      </w:r>
    </w:p>
    <w:p>
      <w:pPr>
        <w:pStyle w:val="ListNumber"/>
      </w:pPr>
      <w:r>
        <w:rPr>
          <w:rFonts w:ascii="Calibri" w:hAnsi="Calibri" w:eastAsia="微软雅黑"/>
          <w:b w:val="0"/>
          <w:i w:val="0"/>
          <w:sz w:val="22"/>
        </w:rPr>
        <w:t>结算三钉子逐项打勾：逾期视为认可＋资料清单附件、±5%调差与市场询价路径、LPR倍数利率与缺陷责任期返还期限。</w:t>
      </w:r>
    </w:p>
    <w:p>
      <w:pPr>
        <w:pStyle w:val="ListNumber"/>
      </w:pPr>
      <w:r>
        <w:rPr>
          <w:rFonts w:ascii="Calibri" w:hAnsi="Calibri" w:eastAsia="微软雅黑"/>
          <w:b w:val="0"/>
          <w:i w:val="0"/>
          <w:sz w:val="22"/>
        </w:rPr>
        <w:t>暂估价招标文件不设管理费转嫁条款；组织招标费用按第9.9.4条口径留痕，防止结算被整段扣减。</w:t>
      </w:r>
    </w:p>
    <w:p>
      <w:pPr>
        <w:pStyle w:val="ListNumber"/>
      </w:pPr>
      <w:r>
        <w:rPr>
          <w:rFonts w:ascii="Calibri" w:hAnsi="Calibri" w:eastAsia="微软雅黑"/>
          <w:b w:val="0"/>
          <w:i w:val="0"/>
          <w:sz w:val="22"/>
        </w:rPr>
        <w:t>结算被拖时书面催告固定发包人拖延证据，援引不当阻止条件成就规则与《建工解释一》第二十七条主张交付日起息；约定审计的项目同步用法释〔2026〕12号第十三条守住鉴定申请权。</w:t>
      </w:r>
    </w:p>
    <w:p>
      <w:r>
        <w:rPr>
          <w:rFonts w:ascii="Calibri" w:hAnsi="Calibri" w:eastAsia="微软雅黑"/>
          <w:b w:val="0"/>
          <w:i w:val="0"/>
          <w:sz w:val="22"/>
        </w:rPr>
        <w:t>---</w:t>
      </w:r>
    </w:p>
    <w:p>
      <w:pPr>
        <w:pStyle w:val="Heading1"/>
      </w:pPr>
      <w:r>
        <w:t>第5章 变更与签证：索赔的第一道门</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变更与签证处在EPC合同现金流的入口：总承包范围内的工作按中标价执行，范围之外的新增事项靠变更指令与现场签认重新计价。本章处理四个失分高发点——概念混用、签认主体错位、"情况属实"被高估、时限超期，并给出证据链的完整配置与结算收口后的攻防边界。</w:t>
      </w:r>
    </w:p>
    <w:p>
      <w:pPr>
        <w:pStyle w:val="Heading2"/>
      </w:pPr>
      <w:r>
        <w:t>5.1 概念分界：变更管"圈里"，签证管"圈外"</w:t>
      </w:r>
    </w:p>
    <w:p>
      <w:r>
        <w:rPr>
          <w:rFonts w:ascii="Calibri" w:hAnsi="Calibri" w:eastAsia="微软雅黑"/>
          <w:b w:val="0"/>
          <w:i w:val="0"/>
          <w:sz w:val="22"/>
        </w:rPr>
        <w:t>一句话区分：变更管"圈里"，签证管"圈外"——圈里的事按合同价办，圈外的事重新算账。变更指向合同工作范围、标准与方案的调整，走指令与审批流程；签证指向合同价款之外的责任事件，走双方现场代表签认。</w:t>
      </w:r>
    </w:p>
    <w:p>
      <w:r>
        <w:rPr>
          <w:rFonts w:ascii="Calibri" w:hAnsi="Calibri" w:eastAsia="微软雅黑"/>
          <w:b w:val="0"/>
          <w:i w:val="0"/>
          <w:sz w:val="22"/>
        </w:rPr>
        <w:t>《工程造价咨询业务操作指导规范》给工程签证下的定义是："按承发包合同约定，一般由承发包双方代表就施工过程中涉及合同价款之外的责任事件所做的签认证明"。按此定义，签证不等于一张签证单：经承发包双方签认的会议纪要、往来信函、经发包人认可的月形象进度表、质量评定表、监理证明等文件，在特定条件下同样构成有效签认证据。</w:t>
      </w:r>
    </w:p>
    <w:p>
      <w:r>
        <w:rPr>
          <w:rFonts w:ascii="Calibri" w:hAnsi="Calibri" w:eastAsia="微软雅黑"/>
          <w:b w:val="0"/>
          <w:i w:val="0"/>
          <w:sz w:val="22"/>
        </w:rPr>
        <w:t>需要办理签认的情形可归纳为六类：施工合同以外零星工程的确认；变更发生后需现场确认的工程量；非施工单位原因导致的人工、设备窝工及有关损失；符合合同规定的非施工单位原因引起的工程量或费用增减；修改施工方案引起的工程量或费用增减；变更导致的措施费增减。操作上盯四个关键词——合同外工程、变更、损失、费用增减，出现即固定证据。</w:t>
      </w:r>
    </w:p>
    <w:p>
      <w:r>
        <w:rPr>
          <w:rFonts w:ascii="Calibri" w:hAnsi="Calibri" w:eastAsia="微软雅黑"/>
          <w:b w:val="0"/>
          <w:i w:val="0"/>
          <w:sz w:val="22"/>
        </w:rPr>
        <w:t>EPC模式下还要先破一个惯例：发生设计变更就得调合同价。2019年12月23日，住房和城乡建设部、国家发展改革委出台《房屋建筑和市政基础设施项目工程总承包管理办法》，实务界据此反复提示：工程总承包模式下的"设计变更"并不必然调整合同价格。传统调价惯性来自最高人民法院《关于审理建设工程施工合同纠纷案件适用法律问题的解释（一）》第19条第2款："因设计变更导致建设工程的工程量或者质量标准发生变化，当事人对该部分工程价款不能协商一致的，可以参照签订建设工程施工合同时当地建设行政主管部门发布的计价方法或者计价标准结算工程价款。"该条解决的是施工图齐备、工程量清晰的场景；工程总承包把设计风险划给承包人，照搬此路会吃亏。</w:t>
      </w:r>
    </w:p>
    <w:p>
      <w:r>
        <w:rPr>
          <w:rFonts w:ascii="Calibri" w:hAnsi="Calibri" w:eastAsia="微软雅黑"/>
          <w:b w:val="0"/>
          <w:i w:val="0"/>
          <w:sz w:val="22"/>
        </w:rPr>
        <w:t>另有一条红线容易被经营部门忽略：变更谈判不得突破中标合同的实质性内容。《招标投标法》第四十六条第一款要求："招标人和中标人应当自中标通知书发出之日起三十日内，按照招标文件和中标人的投标文件订立书面合同。招标人和中标人不得再行订立背离合同实质性内容的其他协议。"违反者依据《招标投标法》第五十九条、《招标投标法实施条例》第七十五条，可被处以中标项目金额5‰以上10‰以下的罚款，背离条款还可依《民法典》第一百五十三条认定无效——用"补充协议"变相调价，钱没多拿先挨罚。</w:t>
      </w:r>
    </w:p>
    <w:p>
      <w:pPr>
        <w:pStyle w:val="Heading2"/>
      </w:pPr>
      <w:r>
        <w:t>5.2 签认主体与签认深度：两处最容易踩空的细节</w:t>
      </w:r>
    </w:p>
    <w:p>
      <w:r>
        <w:rPr>
          <w:rFonts w:ascii="Calibri" w:hAnsi="Calibri" w:eastAsia="微软雅黑"/>
          <w:b w:val="0"/>
          <w:i w:val="0"/>
          <w:sz w:val="22"/>
        </w:rPr>
        <w:t>主体错，全盘输。两个对照案例：其一，中铁某局承包广东茂湛铁路某基站站房工程，劳务部分分包给A公司，项目电工张某系中铁某局返聘人员，其在A公司签证单上签字——因张某不具有公司的项目管理授权，无权进行签证，该签证无效；其二，B公司作为施工总承包方将工程分包给C公司，项目经理长期不在现场，由技术员和安全员在签证单上签字——法院认定构成表见代理，该签证有效。同样是甲方侧人员落笔，效力分野取决于授权外观。</w:t>
      </w:r>
    </w:p>
    <w:p>
      <w:r>
        <w:rPr>
          <w:rFonts w:ascii="Calibri" w:hAnsi="Calibri" w:eastAsia="微软雅黑"/>
          <w:b w:val="0"/>
          <w:i w:val="0"/>
          <w:sz w:val="22"/>
        </w:rPr>
        <w:t>合规配置是两条线：签证应由发包方授权的项目管理人员签认；现场施工技术人员只对工程量进行签认，造价人员对签证的量、价进行核对。签谁的名字，直接决定结算时这张纸站不站得住。</w:t>
      </w:r>
    </w:p>
    <w:p>
      <w:r>
        <w:rPr>
          <w:rFonts w:ascii="Calibri" w:hAnsi="Calibri" w:eastAsia="微软雅黑"/>
          <w:b w:val="0"/>
          <w:i w:val="0"/>
          <w:sz w:val="22"/>
        </w:rPr>
        <w:t>签认深度跟着计价方式走，一张表说清：</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合同类型</w:t>
            </w:r>
          </w:p>
        </w:tc>
        <w:tc>
          <w:tcPr>
            <w:tcW w:type="dxa" w:w="4150"/>
            <w:shd w:fill="1F3A5F"/>
          </w:tcPr>
          <w:p>
            <w:r>
              <w:rPr>
                <w:color w:val="FFFFFF"/>
              </w:rPr>
            </w:r>
            <w:r>
              <w:rPr>
                <w:rFonts w:ascii="Calibri" w:hAnsi="Calibri" w:eastAsia="微软雅黑"/>
                <w:b/>
                <w:i w:val="0"/>
                <w:color w:val="FFFFFF"/>
                <w:sz w:val="18"/>
              </w:rPr>
              <w:t>签认深度下限</w:t>
            </w:r>
          </w:p>
        </w:tc>
      </w:tr>
      <w:tr>
        <w:tc>
          <w:tcPr>
            <w:tcW w:type="dxa" w:w="4150"/>
          </w:tcPr>
          <w:p>
            <w:r/>
            <w:r>
              <w:rPr>
                <w:rFonts w:ascii="Calibri" w:hAnsi="Calibri" w:eastAsia="微软雅黑"/>
                <w:b w:val="0"/>
                <w:i w:val="0"/>
                <w:sz w:val="18"/>
              </w:rPr>
              <w:t>可调价合同</w:t>
            </w:r>
          </w:p>
        </w:tc>
        <w:tc>
          <w:tcPr>
            <w:tcW w:type="dxa" w:w="4150"/>
          </w:tcPr>
          <w:p>
            <w:r/>
            <w:r>
              <w:rPr>
                <w:rFonts w:ascii="Calibri" w:hAnsi="Calibri" w:eastAsia="微软雅黑"/>
                <w:b w:val="0"/>
                <w:i w:val="0"/>
                <w:sz w:val="18"/>
              </w:rPr>
              <w:t>具体工程量</w:t>
            </w:r>
          </w:p>
        </w:tc>
      </w:tr>
      <w:tr>
        <w:tc>
          <w:tcPr>
            <w:tcW w:type="dxa" w:w="4150"/>
          </w:tcPr>
          <w:p>
            <w:r/>
            <w:r>
              <w:rPr>
                <w:rFonts w:ascii="Calibri" w:hAnsi="Calibri" w:eastAsia="微软雅黑"/>
                <w:b w:val="0"/>
                <w:i w:val="0"/>
                <w:sz w:val="18"/>
              </w:rPr>
              <w:t>固定单价合同</w:t>
            </w:r>
          </w:p>
        </w:tc>
        <w:tc>
          <w:tcPr>
            <w:tcW w:type="dxa" w:w="4150"/>
          </w:tcPr>
          <w:p>
            <w:r/>
            <w:r>
              <w:rPr>
                <w:rFonts w:ascii="Calibri" w:hAnsi="Calibri" w:eastAsia="微软雅黑"/>
                <w:b w:val="0"/>
                <w:i w:val="0"/>
                <w:sz w:val="18"/>
              </w:rPr>
              <w:t>工程量＋单价</w:t>
            </w:r>
          </w:p>
        </w:tc>
      </w:tr>
      <w:tr>
        <w:tc>
          <w:tcPr>
            <w:tcW w:type="dxa" w:w="4150"/>
          </w:tcPr>
          <w:p>
            <w:r/>
            <w:r>
              <w:rPr>
                <w:rFonts w:ascii="Calibri" w:hAnsi="Calibri" w:eastAsia="微软雅黑"/>
                <w:b w:val="0"/>
                <w:i w:val="0"/>
                <w:sz w:val="18"/>
              </w:rPr>
              <w:t>固定总价合同</w:t>
            </w:r>
          </w:p>
        </w:tc>
        <w:tc>
          <w:tcPr>
            <w:tcW w:type="dxa" w:w="4150"/>
          </w:tcPr>
          <w:p>
            <w:r/>
            <w:r>
              <w:rPr>
                <w:rFonts w:ascii="Calibri" w:hAnsi="Calibri" w:eastAsia="微软雅黑"/>
                <w:b w:val="0"/>
                <w:i w:val="0"/>
                <w:sz w:val="18"/>
              </w:rPr>
              <w:t>工程量、单价及费用</w:t>
            </w:r>
          </w:p>
        </w:tc>
      </w:tr>
      <w:tr>
        <w:tc>
          <w:tcPr>
            <w:tcW w:type="dxa" w:w="4150"/>
          </w:tcPr>
          <w:p>
            <w:r/>
            <w:r>
              <w:rPr>
                <w:rFonts w:ascii="Calibri" w:hAnsi="Calibri" w:eastAsia="微软雅黑"/>
                <w:b w:val="0"/>
                <w:i w:val="0"/>
                <w:sz w:val="18"/>
              </w:rPr>
              <w:t>成本加酬金合同</w:t>
            </w:r>
          </w:p>
        </w:tc>
        <w:tc>
          <w:tcPr>
            <w:tcW w:type="dxa" w:w="4150"/>
          </w:tcPr>
          <w:p>
            <w:r/>
            <w:r>
              <w:rPr>
                <w:rFonts w:ascii="Calibri" w:hAnsi="Calibri" w:eastAsia="微软雅黑"/>
                <w:b w:val="0"/>
                <w:i w:val="0"/>
                <w:sz w:val="18"/>
              </w:rPr>
              <w:t>工、料、机费（材料注明规格，机械注明台班配合人工）</w:t>
            </w:r>
          </w:p>
        </w:tc>
      </w:tr>
    </w:tbl>
    <w:p>
      <w:r>
        <w:rPr>
          <w:rFonts w:ascii="Calibri" w:hAnsi="Calibri" w:eastAsia="微软雅黑"/>
          <w:b w:val="0"/>
          <w:i w:val="0"/>
          <w:sz w:val="22"/>
        </w:rPr>
        <w:t>深度不足的代价有实证：某EPC项目施工方办理了一份总额约60万元的包干价签证，审计进场后坚持按定额子目重新计算，结果费用远低于签证金额——签证只写了总价和工作内容，没附任何工程量计算式，没附简图，审计无法核实真实性、合理性，"没算清楚"四个字，60万元就不认了。</w:t>
      </w:r>
    </w:p>
    <w:p>
      <w:r>
        <w:rPr>
          <w:rFonts w:ascii="Calibri" w:hAnsi="Calibri" w:eastAsia="微软雅黑"/>
          <w:b w:val="0"/>
          <w:i w:val="0"/>
          <w:sz w:val="22"/>
        </w:rPr>
        <w:t>多个单位工程套同一清单但报价不同的场景，处理顺序同样有讲究：核查招标文件及合同有无同清单多报价的统一计价规则，有约定从约定；无约定时，可结合不同单位工程的施工环境、作业条件、工艺措施差异主张差异化计价；而同一单位工程内部出现同清单不同报价，审计按最低价核算的操作具备合理性，基本没有再争的空间。</w:t>
      </w:r>
    </w:p>
    <w:p>
      <w:pPr>
        <w:pStyle w:val="Heading2"/>
      </w:pPr>
      <w:r>
        <w:t>5.3 "情况属实"到底证实了什么</w:t>
      </w:r>
    </w:p>
    <w:p>
      <w:r>
        <w:rPr>
          <w:rFonts w:ascii="Calibri" w:hAnsi="Calibri" w:eastAsia="微软雅黑"/>
          <w:b w:val="0"/>
          <w:i w:val="0"/>
          <w:sz w:val="22"/>
        </w:rPr>
        <w:t>工程圈流传一个根深蒂固的误区：监理在签证单上签"情况属实"并盖章，工程量、工程款、工期顺延就板上钉钉。从《建设工程造价鉴定规范》的鉴定与质证逻辑看，绝大多数人高估了这四个字的效力——它到底证明事实发生、工程量属实，还是仅仅代表收到资料？三者的证据效力天差地别。</w:t>
      </w:r>
    </w:p>
    <w:p>
      <w:r>
        <w:rPr>
          <w:rFonts w:ascii="Calibri" w:hAnsi="Calibri" w:eastAsia="微软雅黑"/>
          <w:b w:val="0"/>
          <w:i w:val="0"/>
          <w:sz w:val="22"/>
        </w:rPr>
        <w:t>监理受发包人委托，对工程质量、安全、进度与现场施工秩序进行过程监督，核心职权是"现场事实监督"，而非"工程量定价确权"。现场有没有施工、有没有停工、有没有变更作业、有没有发生意外，属于监理肉眼可核查的客观事实；具体干了多少方量、消耗多少人工机械、计量是否精准、有无虚报重复，超出其直观核查范围，需要收方记录、测量数据、图纸复核、影像资料等专业计量程序支撑。</w:t>
      </w:r>
    </w:p>
    <w:p>
      <w:r>
        <w:rPr>
          <w:rFonts w:ascii="Calibri" w:hAnsi="Calibri" w:eastAsia="微软雅黑"/>
          <w:b w:val="0"/>
          <w:i w:val="0"/>
          <w:sz w:val="22"/>
        </w:rPr>
        <w:t>鉴定层面的第一结论由此而来：监理签注"情况属实"，仅能证明事件客观发生，不能直接等同于工程量属实。看一个最常见的场景——施工方报送停工签证，写明因甲方原因停工5天、窝工人员若干、机械停滞若干，监理签字认可；这句话只能证明现场确实发生了停工事件，不能证明停工就是5天、窝工数量真实、申报费用合理。大量施工方签证被大幅扣减，根源正是把"事件属实"当作"量价属实"。</w:t>
      </w:r>
    </w:p>
    <w:p>
      <w:r>
        <w:rPr>
          <w:rFonts w:ascii="Calibri" w:hAnsi="Calibri" w:eastAsia="微软雅黑"/>
          <w:b w:val="0"/>
          <w:i w:val="0"/>
          <w:sz w:val="22"/>
        </w:rPr>
        <w:t>证据层级上须分清三个概念：铁证事实、铁证证据、推断性意见。经现场监理核查确认的事件发生行为属客观事实，只要签认程序合法、内容真实、监理履职合规，法庭和鉴定机构必须认可，此为铁证事实；铁证证据则要求仅凭该单一资料即可直接认定工程量、价款、工期责任，无需其他佐证——鉴定规范对此明确不认，工程量计量必须依托完整计量链条；证明力介于两者之间的，只能算推断性意见。</w:t>
      </w:r>
    </w:p>
    <w:p>
      <w:r>
        <w:rPr>
          <w:rFonts w:ascii="Calibri" w:hAnsi="Calibri" w:eastAsia="微软雅黑"/>
          <w:b w:val="0"/>
          <w:i w:val="0"/>
          <w:sz w:val="22"/>
        </w:rPr>
        <w:t>同理的一条司法通行规则：监理签章的变更指令，除发包人明确授权外，不具有变更效力。监理签字是"技术认可"，业主盖章才是"法律确认"——拿着监理签发的指令去主张调价，法院与审计都不会只看签字栏。</w:t>
      </w:r>
    </w:p>
    <w:p>
      <w:pPr>
        <w:pStyle w:val="Heading2"/>
      </w:pPr>
      <w:r>
        <w:t>5.4 程序与时限：先审批后施工，28天是生死线</w:t>
      </w:r>
    </w:p>
    <w:p>
      <w:r>
        <w:rPr>
          <w:rFonts w:ascii="Calibri" w:hAnsi="Calibri" w:eastAsia="微软雅黑"/>
          <w:b w:val="0"/>
          <w:i w:val="0"/>
          <w:sz w:val="22"/>
        </w:rPr>
        <w:t>工程变更的法定核心原则是先审批、后施工、先定价、后实施：合同外新增工程、设计调整、工艺变更，必须提前完成建设、监理、设计三方审批，重大变更还要履行主管部门备案流程。先施工后补手续，本质是跳过监管、规避审批权限，极易衍生拆分变更、超概算施工、无依据加价，也是低价中标、高价结算的主要操作手段。</w:t>
      </w:r>
    </w:p>
    <w:p>
      <w:r>
        <w:rPr>
          <w:rFonts w:ascii="Calibri" w:hAnsi="Calibri" w:eastAsia="微软雅黑"/>
          <w:b w:val="0"/>
          <w:i w:val="0"/>
          <w:sz w:val="22"/>
        </w:rPr>
        <w:t>审计对"先施工后补"的核查有固定动作：对比变更审批单、施工日志、监理日志、进场材料记录的时间先后，凡是施工时间早于审批时间的，一律认定为违规变更；再以现场实测数据、隐蔽工程影像、会议纪要、气象记录验证变更是否真实发生、是否必要；并甄别原因——地质条件突变等客观紧急情况，与施工失误、优化牟利的擅自变更，审计处理标准完全不同。计价上并非一刀切：突发紧急工程、抢险救灾等特殊情况，且有现场影像、多方口头沟通记录佐证的，手续补齐后可按合同约定单价合规计价；施工单位擅自变更、私自调整施工方案谋取差价的，即便完工也坚决核减超额费用；同时重点核查原材料未扣减、重复计费、高套定额三类问题。整改落点在管理：完善变更台账，执行分级审批制度，明确变更申报、审核、签证的时限要求；所有无前置审批、资料不全、无法溯源的变更，一律不予结算。</w:t>
      </w:r>
    </w:p>
    <w:p>
      <w:r>
        <w:rPr>
          <w:rFonts w:ascii="Calibri" w:hAnsi="Calibri" w:eastAsia="微软雅黑"/>
          <w:b w:val="0"/>
          <w:i w:val="0"/>
          <w:sz w:val="22"/>
        </w:rPr>
        <w:t>时限一侧，28天反复出现。国内实务中，很多施工合同约定发生索赔事件后28天内必须提交索赔意向通知，逾期丧失索赔权利，这类条款在司法实践中具备约束力；最高法多起建工案件裁判观点明确：合同约定工期顺延必须履行书面申报程序，承包人未在约定时限提交索赔通知，即便客观上存在发包人责任事件，索赔请求也有可能不被支持。国际合同同样卡点：FIDIC、NEC等标准合同要求承包商在收到延误事件后14-28天内提交工期延长申请，并附"合理的延误分析"，超时限可能丧失索赔权利。</w:t>
      </w:r>
    </w:p>
    <w:p>
      <w:r>
        <w:rPr>
          <w:rFonts w:ascii="Calibri" w:hAnsi="Calibri" w:eastAsia="微软雅黑"/>
          <w:b w:val="0"/>
          <w:i w:val="0"/>
          <w:sz w:val="22"/>
        </w:rPr>
        <w:t>海外教训以沙特麦加轻轨项目最为惨烈：一个签证漏签，直接亏掉41.53亿元 [own_calc:源自上下文推算]。当地夏天地表能到70度，混凝土一立方贵了八倍多，人工费翻了快五倍；当地规矩是变更指令必须28天内提索赔，现场却沿用口头答应先干再说的老习惯，等活儿干完想补手续，业主一句"口头没效力"直接拒付，近六成的变更款打了水漂。该项目名义上是总承包，设计却攥在他人手里，新增需求没有调价保护机制，投标时连汇率波动的风险费都没留——当地真实数据报价、签约前排查"毒药条款"、盯死时间红线，三道关口一关没守住。</w:t>
      </w:r>
    </w:p>
    <w:p>
      <w:pPr>
        <w:pStyle w:val="Heading2"/>
      </w:pPr>
      <w:r>
        <w:t>5.5 证据链五件套与延误分析工具</w:t>
      </w:r>
    </w:p>
    <w:p>
      <w:r>
        <w:rPr>
          <w:rFonts w:ascii="Calibri" w:hAnsi="Calibri" w:eastAsia="微软雅黑"/>
          <w:b w:val="0"/>
          <w:i w:val="0"/>
          <w:sz w:val="22"/>
        </w:rPr>
        <w:t>签认的核心不是"签了"，而是"能证明"。一份让审计挑不出毛病的签证，必须具备五个层级的证据：后附照片、草图、计算式、询价单、会议纪要——五件套缺一件，就留一个"砍你的口子"。签证单不是一张纸，是一本证据链小册子。</w:t>
      </w:r>
    </w:p>
    <w:p>
      <w:r>
        <w:rPr>
          <w:rFonts w:ascii="Calibri" w:hAnsi="Calibri" w:eastAsia="微软雅黑"/>
          <w:b w:val="0"/>
          <w:i w:val="0"/>
          <w:sz w:val="22"/>
        </w:rPr>
        <w:t>规则环境还在变化。2025年11月23日，最高人民法院发布《建工司法解释二（征求意见稿）》，其中一条争议极大的条款最终被删去——该删节释放的信号是：施工合同司法解释不能简单地、一刀切地套用到工程总承包合同纠纷上。对EPC总包方，机会与挑战并存：规则更灵活了，但对证据链的要求只会更高——总包方承担设计、采购、施工全链条责任，举证压力更大，这是责任，不是免责理由。</w:t>
      </w:r>
    </w:p>
    <w:p>
      <w:r>
        <w:rPr>
          <w:rFonts w:ascii="Calibri" w:hAnsi="Calibri" w:eastAsia="微软雅黑"/>
          <w:b w:val="0"/>
          <w:i w:val="0"/>
          <w:sz w:val="22"/>
        </w:rPr>
        <w:t>发包人拒签时的应对路径：采用邮政速递将签证材料送交发包方并保留回执单；对方拒不签收的，采用公证送达——以此证明曾向发包方主张过相关权利。诉讼阶段的兜底依据是《施工合同司法解释》第十九条："当事人对工程量有争议的，按照施工过程中形成的签证等书面文件确认。承包人能够证明发包人同意其施工，但未能提供签证文件证明工程量发生的，可以按照当事人提供的其他证据确认实际发生的工程量。"可收集的佐证包括监理会议纪要、双方往来函件、协商会议纪要、邮件、微信、短信、现场照片、第三方证明、录音——但微信、钉钉消息仅可作为辅助证据，不能替代正式盖章书面函件。</w:t>
      </w:r>
    </w:p>
    <w:p>
      <w:r>
        <w:rPr>
          <w:rFonts w:ascii="Calibri" w:hAnsi="Calibri" w:eastAsia="微软雅黑"/>
          <w:b w:val="0"/>
          <w:i w:val="0"/>
          <w:sz w:val="22"/>
        </w:rPr>
        <w:t>工期类的证据配置更长，一套合格证据链包含：索赔意向通知书及送达凭证、事件发生前后的图纸与变更文件、监理例会纪要、现场影像资料、施工日志、人员与设备进场台账、停工期间劳务工资发放凭证、机械租赁合同、往来函件、进度计划、关键线路分析报告。共同延误情形下，把全部延期天数都算成甲方责任，在审计和司法审查中基本不会认可——须区分延误事件发生先后顺序，优先判断初始延误方，再拆分不同因素对应的影响工期；有些情形只顺延工期不支持费用补偿（如单纯政策性停工），有些两者皆可主张（现场管理费、机械闲置费、人员窝工费）。</w:t>
      </w:r>
    </w:p>
    <w:p>
      <w:r>
        <w:rPr>
          <w:rFonts w:ascii="Calibri" w:hAnsi="Calibri" w:eastAsia="微软雅黑"/>
          <w:b w:val="0"/>
          <w:i w:val="0"/>
          <w:sz w:val="22"/>
        </w:rPr>
        <w:t>量化影响天数有成熟工具。TIA（Time Impact Analysis，时间影响分析）的原理：当前进度计划（受影响前的状态）＋延误事件（延迟天数／新增工作／停工指令）＝重新计算后的进度计划＝影响天数＝新完工日期−原完工日期。它不凭经验估算，而是把延误事件建模到进度计划里让软件重算，看关键路径有没有变化、完工日期推后多少天；两个关键特征是前瞻性（事件发生前或发生时分析，预测影响而非事后复盘）与事件级量化（每个事件单独建模，能回答"这件事导致了多少天"）。方法谱系的权威参考是英国建筑法学会《SCL延误与干扰协议》与美国造价工程师协会AACE推荐实践RP 29R-03，主流方法五种：</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方法</w:t>
            </w:r>
          </w:p>
        </w:tc>
        <w:tc>
          <w:tcPr>
            <w:tcW w:type="dxa" w:w="2767"/>
            <w:shd w:fill="1F3A5F"/>
          </w:tcPr>
          <w:p>
            <w:r>
              <w:rPr>
                <w:color w:val="FFFFFF"/>
              </w:rPr>
            </w:r>
            <w:r>
              <w:rPr>
                <w:rFonts w:ascii="Calibri" w:hAnsi="Calibri" w:eastAsia="微软雅黑"/>
                <w:b/>
                <w:i w:val="0"/>
                <w:color w:val="FFFFFF"/>
                <w:sz w:val="18"/>
              </w:rPr>
              <w:t>方向</w:t>
            </w:r>
          </w:p>
        </w:tc>
        <w:tc>
          <w:tcPr>
            <w:tcW w:type="dxa" w:w="2767"/>
            <w:shd w:fill="1F3A5F"/>
          </w:tcPr>
          <w:p>
            <w:r>
              <w:rPr>
                <w:color w:val="FFFFFF"/>
              </w:rPr>
            </w:r>
            <w:r>
              <w:rPr>
                <w:rFonts w:ascii="Calibri" w:hAnsi="Calibri" w:eastAsia="微软雅黑"/>
                <w:b/>
                <w:i w:val="0"/>
                <w:color w:val="FFFFFF"/>
                <w:sz w:val="18"/>
              </w:rPr>
              <w:t>一句话原理</w:t>
            </w:r>
          </w:p>
        </w:tc>
      </w:tr>
      <w:tr>
        <w:tc>
          <w:tcPr>
            <w:tcW w:type="dxa" w:w="2767"/>
          </w:tcPr>
          <w:p>
            <w:r/>
            <w:r>
              <w:rPr>
                <w:rFonts w:ascii="Calibri" w:hAnsi="Calibri" w:eastAsia="微软雅黑"/>
                <w:b w:val="0"/>
                <w:i w:val="0"/>
                <w:sz w:val="18"/>
              </w:rPr>
              <w:t>As-Planned vs As-Built（计划与实际对比法）</w:t>
            </w:r>
          </w:p>
        </w:tc>
        <w:tc>
          <w:tcPr>
            <w:tcW w:type="dxa" w:w="2767"/>
          </w:tcPr>
          <w:p>
            <w:r/>
            <w:r>
              <w:rPr>
                <w:rFonts w:ascii="Calibri" w:hAnsi="Calibri" w:eastAsia="微软雅黑"/>
                <w:b w:val="0"/>
                <w:i w:val="0"/>
                <w:sz w:val="18"/>
              </w:rPr>
              <w:t>回顾性</w:t>
            </w:r>
          </w:p>
        </w:tc>
        <w:tc>
          <w:tcPr>
            <w:tcW w:type="dxa" w:w="2767"/>
          </w:tcPr>
          <w:p>
            <w:r/>
            <w:r>
              <w:rPr>
                <w:rFonts w:ascii="Calibri" w:hAnsi="Calibri" w:eastAsia="微软雅黑"/>
                <w:b w:val="0"/>
                <w:i w:val="0"/>
                <w:sz w:val="18"/>
              </w:rPr>
              <w:t>基准计划叠实际进度，看哪些活动晚了、晚多少</w:t>
            </w:r>
          </w:p>
        </w:tc>
      </w:tr>
      <w:tr>
        <w:tc>
          <w:tcPr>
            <w:tcW w:type="dxa" w:w="2767"/>
          </w:tcPr>
          <w:p>
            <w:r/>
            <w:r>
              <w:rPr>
                <w:rFonts w:ascii="Calibri" w:hAnsi="Calibri" w:eastAsia="微软雅黑"/>
                <w:b w:val="0"/>
                <w:i w:val="0"/>
                <w:sz w:val="18"/>
              </w:rPr>
              <w:t>Impacted As-Planned（计划影响法）</w:t>
            </w:r>
          </w:p>
        </w:tc>
        <w:tc>
          <w:tcPr>
            <w:tcW w:type="dxa" w:w="2767"/>
          </w:tcPr>
          <w:p>
            <w:r/>
            <w:r>
              <w:rPr>
                <w:rFonts w:ascii="Calibri" w:hAnsi="Calibri" w:eastAsia="微软雅黑"/>
                <w:b w:val="0"/>
                <w:i w:val="0"/>
                <w:sz w:val="18"/>
              </w:rPr>
              <w:t>前瞻性</w:t>
            </w:r>
          </w:p>
        </w:tc>
        <w:tc>
          <w:tcPr>
            <w:tcW w:type="dxa" w:w="2767"/>
          </w:tcPr>
          <w:p>
            <w:r/>
            <w:r>
              <w:rPr>
                <w:rFonts w:ascii="Calibri" w:hAnsi="Calibri" w:eastAsia="微软雅黑"/>
                <w:b w:val="0"/>
                <w:i w:val="0"/>
                <w:sz w:val="18"/>
              </w:rPr>
              <w:t>原始基准计划上插入延误事件，重算完工日期推后量</w:t>
            </w:r>
          </w:p>
        </w:tc>
      </w:tr>
      <w:tr>
        <w:tc>
          <w:tcPr>
            <w:tcW w:type="dxa" w:w="2767"/>
          </w:tcPr>
          <w:p>
            <w:r/>
            <w:r>
              <w:rPr>
                <w:rFonts w:ascii="Calibri" w:hAnsi="Calibri" w:eastAsia="微软雅黑"/>
                <w:b w:val="0"/>
                <w:i w:val="0"/>
                <w:sz w:val="18"/>
              </w:rPr>
              <w:t>Time Impact Analysis（TIA，时间影响分析）</w:t>
            </w:r>
          </w:p>
        </w:tc>
        <w:tc>
          <w:tcPr>
            <w:tcW w:type="dxa" w:w="2767"/>
          </w:tcPr>
          <w:p>
            <w:r/>
            <w:r>
              <w:rPr>
                <w:rFonts w:ascii="Calibri" w:hAnsi="Calibri" w:eastAsia="微软雅黑"/>
                <w:b w:val="0"/>
                <w:i w:val="0"/>
                <w:sz w:val="18"/>
              </w:rPr>
              <w:t>前瞻性</w:t>
            </w:r>
          </w:p>
        </w:tc>
        <w:tc>
          <w:tcPr>
            <w:tcW w:type="dxa" w:w="2767"/>
          </w:tcPr>
          <w:p>
            <w:r/>
            <w:r>
              <w:rPr>
                <w:rFonts w:ascii="Calibri" w:hAnsi="Calibri" w:eastAsia="微软雅黑"/>
                <w:b w:val="0"/>
                <w:i w:val="0"/>
                <w:sz w:val="18"/>
              </w:rPr>
              <w:t>当前进度计划（非基准计划）上插入事件，重算影响天数</w:t>
            </w:r>
          </w:p>
        </w:tc>
      </w:tr>
      <w:tr>
        <w:tc>
          <w:tcPr>
            <w:tcW w:type="dxa" w:w="2767"/>
          </w:tcPr>
          <w:p>
            <w:r/>
            <w:r>
              <w:rPr>
                <w:rFonts w:ascii="Calibri" w:hAnsi="Calibri" w:eastAsia="微软雅黑"/>
                <w:b w:val="0"/>
                <w:i w:val="0"/>
                <w:sz w:val="18"/>
              </w:rPr>
              <w:t>Windows Analysis（窗口分析法）</w:t>
            </w:r>
          </w:p>
        </w:tc>
        <w:tc>
          <w:tcPr>
            <w:tcW w:type="dxa" w:w="2767"/>
          </w:tcPr>
          <w:p>
            <w:r/>
            <w:r>
              <w:rPr>
                <w:rFonts w:ascii="Calibri" w:hAnsi="Calibri" w:eastAsia="微软雅黑"/>
                <w:b w:val="0"/>
                <w:i w:val="0"/>
                <w:sz w:val="18"/>
              </w:rPr>
              <w:t>回顾性</w:t>
            </w:r>
          </w:p>
        </w:tc>
        <w:tc>
          <w:tcPr>
            <w:tcW w:type="dxa" w:w="2767"/>
          </w:tcPr>
          <w:p>
            <w:r/>
            <w:r>
              <w:rPr>
                <w:rFonts w:ascii="Calibri" w:hAnsi="Calibri" w:eastAsia="微软雅黑"/>
                <w:b w:val="0"/>
                <w:i w:val="0"/>
                <w:sz w:val="18"/>
              </w:rPr>
              <w:t>工期切时间窗口，逐窗分析关键路径变化与延误责任</w:t>
            </w:r>
          </w:p>
        </w:tc>
      </w:tr>
      <w:tr>
        <w:tc>
          <w:tcPr>
            <w:tcW w:type="dxa" w:w="2767"/>
          </w:tcPr>
          <w:p>
            <w:r/>
            <w:r>
              <w:rPr>
                <w:rFonts w:ascii="Calibri" w:hAnsi="Calibri" w:eastAsia="微软雅黑"/>
                <w:b w:val="0"/>
                <w:i w:val="0"/>
                <w:sz w:val="18"/>
              </w:rPr>
              <w:t>Collapsed As-Built（实际进度回缩法）</w:t>
            </w:r>
          </w:p>
        </w:tc>
        <w:tc>
          <w:tcPr>
            <w:tcW w:type="dxa" w:w="2767"/>
          </w:tcPr>
          <w:p>
            <w:r/>
            <w:r>
              <w:rPr>
                <w:rFonts w:ascii="Calibri" w:hAnsi="Calibri" w:eastAsia="微软雅黑"/>
                <w:b w:val="0"/>
                <w:i w:val="0"/>
                <w:sz w:val="18"/>
              </w:rPr>
              <w:t>回顾性</w:t>
            </w:r>
          </w:p>
        </w:tc>
        <w:tc>
          <w:tcPr>
            <w:tcW w:type="dxa" w:w="2767"/>
          </w:tcPr>
          <w:p>
            <w:r/>
            <w:r>
              <w:rPr>
                <w:rFonts w:ascii="Calibri" w:hAnsi="Calibri" w:eastAsia="微软雅黑"/>
                <w:b w:val="0"/>
                <w:i w:val="0"/>
                <w:sz w:val="18"/>
              </w:rPr>
              <w:t>从实际进度"移除"业主原因延误，看完工日期能提前多少</w:t>
            </w:r>
          </w:p>
        </w:tc>
      </w:tr>
    </w:tbl>
    <w:p>
      <w:r>
        <w:rPr>
          <w:rFonts w:ascii="Calibri" w:hAnsi="Calibri" w:eastAsia="微软雅黑"/>
          <w:b w:val="0"/>
          <w:i w:val="0"/>
          <w:sz w:val="22"/>
        </w:rPr>
        <w:t>五种方法不互斥，实际项目常组合使用：过程中用TIA逐个事件记录，完工后用窗口分析做整体验证。</w:t>
      </w:r>
    </w:p>
    <w:p>
      <w:pPr>
        <w:pStyle w:val="Heading2"/>
      </w:pPr>
      <w:r>
        <w:t>5.6 结算收口之后：两份判决划出的边界</w:t>
      </w:r>
    </w:p>
    <w:p>
      <w:r>
        <w:rPr>
          <w:rFonts w:ascii="Calibri" w:hAnsi="Calibri" w:eastAsia="微软雅黑"/>
          <w:b w:val="0"/>
          <w:i w:val="0"/>
          <w:sz w:val="22"/>
        </w:rPr>
        <w:t>无书面合同、无签证的极端情形，看宜阳县人民法院2016年12月30日裁判的（2016）豫0327民初1133号——河南汇河建筑装饰工程有限公司与洛阳灵山国诚旅游发展有限公司建设工程施工合同纠纷一审民事判决书。2013年12月3日双方签订《灵山莲花公园塑石假山工程合同》，造价以实际钢丝网片面积计算188元/㎡；2014年1月23日再签《补充协议（续假山合同）》，温泉汤池工程按实际工程量（按水池外围投影面积）2000元/㎡结算。此后5D电影院、儿童智慧城、捉鱼城、马车屋、树屋等园林景观工程及35项零星工程交由原告一并施工，未逐项签订书面合同；因被告未提供设计图纸，全部内容采取边设计、边施工，完工一处、验收一处。2014年11月完工交付后进入结算拉锯：温泉假山、水上娱乐园假山、5D电影院、捉鱼城四项总造价8902476.4元，施工期间被告累计支付7432708元，判决书认定四项尚欠1469768元 [own_calc:8902476.4-7432708=1469768.4]；温泉汤池、马车屋、树屋及23项零星工程经2014年11月18日、2015年5月22日两份结算单（《汇河公司莲花公司工程结算单一》《莲花公园决算单》）确认总价款12702400元；另有12项零星工程总造价1017870元未结算。原告主张被告共计拖欠15190038.4元 [own_calc:1469768.4+12702400+1017870=15190038.4]，鉴于被告无力支付，只诉请两份结算单确认的12702400元，其余2487638.4元自行放弃 [own_calc:15190038.4-12702400=2487638.4]。启示直白：有双方签认结算单的12702400元可以单独起诉锁定；没有书面依据的部分，连总价都要靠决算倒推。</w:t>
      </w:r>
    </w:p>
    <w:p>
      <w:r>
        <w:rPr>
          <w:rFonts w:ascii="Calibri" w:hAnsi="Calibri" w:eastAsia="微软雅黑"/>
          <w:b w:val="0"/>
          <w:i w:val="0"/>
          <w:sz w:val="22"/>
        </w:rPr>
        <w:t>结算办结后再提索赔，空间同样受限。某房地产开发项目中，总承包A公司与劳务单位B公司的合作协议因挂靠被认定无效；工程竣工验收合格后，业主与A公司完成整体竣工结算，审定工程总造价约1.9亿元，B公司出具《承诺书》明确同意受该结算结果约束。此后B公司以工程停工窝工损失、钢材款利息、管理人员工资损失为由起诉主张数百万元，一审法院采纳其索赔主张，判决A公司承担相应赔偿责任；A公司上诉后提出四项抗辩：B公司结算时未以书面形式保留任何索赔权利，结算完成后无权另行主张；合同无效情形下承包人仅享有工程折价补偿请求权，停工窝工损失不属其范围；B公司未完成损失赔偿要件的举证义务，孤证不足以证明对方过错、损失金额及因果关系；自结算协议签署之日起算，起诉已超三年诉讼时效且无中止、中断事由。该案核心争点凝练成一句实务判断：工程结算办理完毕之后，承包人是否还能再行提出索赔——未书面保留权利者，答案趋向否定。</w:t>
      </w:r>
    </w:p>
    <w:p>
      <w:r>
        <w:rPr>
          <w:rFonts w:ascii="Calibri" w:hAnsi="Calibri" w:eastAsia="微软雅黑"/>
          <w:b w:val="0"/>
          <w:i w:val="0"/>
          <w:sz w:val="22"/>
        </w:rPr>
        <w:t>场地条件类索赔则要回到投标阶段取证。某工程总承包项目强夯变更索赔事项中，招标阶段业主未组织承包方现场踏勘，未共同查验核实场地实际状况，招标文件也未提供项目前期地质资料；项目选址丘陵洼地，需削平小山头换填土方能开展桩基施工，最终回填高度达20余米，承包方2018年3月进场时场地仍处回填状态，回填持续至2018年11月完成、分批交付——"现场条件与投标认知不符"的主张，靠的就是踏勘缺席、资料缺席与回填时间线三组证据。</w:t>
      </w:r>
    </w:p>
    <w:p>
      <w:r>
        <w:rPr>
          <w:rFonts w:ascii="Calibri" w:hAnsi="Calibri" w:eastAsia="微软雅黑"/>
          <w:b w:val="0"/>
          <w:i w:val="0"/>
          <w:sz w:val="22"/>
        </w:rPr>
        <w:t>一线管理者的复盘同样指向签认。一位30年工程经历的EPC项目管理者回忆1998年承包的福州某装修项目：图纸设计深度不够，幕墙、铝合金门窗、卫生间防水连节点大样都没有；甲方进度款不能按时支付造成工人停工，最后耽误二十几天工期；到结算翻开合同，里面全是对自己不利的条款，全程没有留下一点对自己有利的签证。其2020年负责漳厦泉六个EPC项目收尾时看到的局面同样刺眼：投标、合同与结算阶段的问题造成各方损失惊人。</w:t>
      </w:r>
    </w:p>
    <w:p>
      <w:pPr>
        <w:pStyle w:val="Heading2"/>
      </w:pPr>
      <w:r>
        <w:t>5.7 项目部七条动作线</w:t>
      </w:r>
    </w:p>
    <w:p>
      <w:r>
        <w:rPr>
          <w:rFonts w:ascii="Calibri" w:hAnsi="Calibri" w:eastAsia="微软雅黑"/>
          <w:b w:val="0"/>
          <w:i w:val="0"/>
          <w:sz w:val="22"/>
        </w:rPr>
        <w:t>把本章规则压进日常管理，动作如下：变更与签证分账管理，圈里走指令流程、圈外走现场签认；每份签证核对签认主体的授权文件，技术人员签量、造价人员核价；按计价方式确定深度下限，总价合同签到量、价、费；包干签证必附计算式与简图，五件套资料随单归档；索赔意向通知在合同时限（通常28天）内书面送达并留回执，拒收转公证送达；开工即建变更台账并执行分级审批，杜绝先施工后补手续；结算协议签署前书面列明保留的索赔权利与金额，防止收口即失权。</w:t>
      </w:r>
    </w:p>
    <w:p>
      <w:r>
        <w:rPr>
          <w:rFonts w:ascii="Calibri" w:hAnsi="Calibri" w:eastAsia="微软雅黑"/>
          <w:b w:val="0"/>
          <w:i w:val="0"/>
          <w:sz w:val="22"/>
        </w:rPr>
        <w:t>---</w:t>
      </w:r>
    </w:p>
    <w:p>
      <w:pPr>
        <w:pStyle w:val="Heading1"/>
      </w:pPr>
      <w:r>
        <w:t>第6章 工期索赔：计算方法与举证要点</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工期争议是EPC与施工总承包履约纠纷里最高发的板块，行业一线的复盘结论相当扎眼——"90%工期索赔都败诉！问题根本不在工期，在证据"（P6001）。实务逻辑的四根支柱被公号文章一语点破：28天时效、关键线路判定、共同延误拆分、书面送达凭证（P6001）。本章沿"败诉病灶—事由边界—天数计算—费用口径—全案复盘—举证程序—法规坐标"的顺序展开，每一步都配真实判决与条款示本，法务、经营与项目经理可按图对座；签证与变更的衔接见第5章，费用细项的计算见第7章。</w:t>
      </w:r>
    </w:p>
    <w:p>
      <w:pPr>
        <w:pStyle w:val="Heading2"/>
      </w:pPr>
      <w:r>
        <w:t>6.1 败诉病灶：延误事实成立，索赔请求仍被驳</w:t>
      </w:r>
    </w:p>
    <w:p>
      <w:r>
        <w:rPr>
          <w:rFonts w:ascii="Calibri" w:hAnsi="Calibri" w:eastAsia="微软雅黑"/>
          <w:b w:val="0"/>
          <w:i w:val="0"/>
          <w:sz w:val="22"/>
        </w:rPr>
        <w:t>明明是甲方原因停工、图纸滞后、付款拖延，最后顺延与补偿主张却被全盘驳回——这种结局的根子不在事实层面。行业复盘的原话是：核心问题不是事实不存在，而是证据链条断裂、索赔程序没有按合同约定执行（P6001）。两大痛点高度集中：其一，"先施工、后补资料，口头沟通代替书面文件"，甲乙双方只用微信、电话沟通，没有及时发出书面索赔意向函；其二，拖到竣工结算阶段才集中补签证、补工期顺延材料，一旦发包人拒绝签字确认，进入诉讼或仲裁环节，仅凭施工日志、现场照片很难单独支撑索赔主张（P6001）。程序规则的杀伤力有最高法背书：最高人民法院多起建工案件裁判观点明确，合同中如果约定工期顺延必须履行书面申报程序，承包人未在约定时限提交索赔通知，即便客观上存在发包人责任事件，索赔请求也有可能不被支持（P6001）。时限条款更非摆设——很多施工合同约定，发生索赔事件后28天内必须提交索赔意向通知，逾期丧失索赔权利，这类条款在司法实践中具备约束力（P6001）。签约阶段的动作因此确定：把专用条款里的索赔时限、申报流程、资料要求逐条过秤，对严苛的时限约定提前向项目部交底（P6001）。</w:t>
      </w:r>
    </w:p>
    <w:p>
      <w:pPr>
        <w:pStyle w:val="Heading2"/>
      </w:pPr>
      <w:r>
        <w:t>6.2 事由边界：七类可诉、三类出局、两分法计价</w:t>
      </w:r>
    </w:p>
    <w:p>
      <w:r>
        <w:rPr>
          <w:rFonts w:ascii="Calibri" w:hAnsi="Calibri" w:eastAsia="微软雅黑"/>
          <w:b w:val="0"/>
          <w:i w:val="0"/>
          <w:sz w:val="22"/>
        </w:rPr>
        <w:t>可提出顺延主张的触发事由，清单列了七类：发包人未按时移交施工场地、图纸交付滞后、工程款逾期支付、重大设计变更、甲方指定分包拖期、政策停工、地质条件与勘察报告不符（P6001）。反向排除同样清晰：承包人自身施工组织不当、劳务人员短缺、自有设备故障造成的延误，不属于可索赔范围，甚至会触发发包人的反索赔，产生逾期竣工违约金（P6001）。EPC场景下的事由谱系更宽：张旗、叶海、余灵颖合著的《工程总承包（EPC／DB）争议解决实战攻略》第二章第六节专门讨论"EPC项目中发包人提供场地不合格，承包人是否可以索赔"，第七节分析"未经核准的EPC项目长期停工，施工分包人如何进行索赔——广东某火电场扩建EPC项目停工索赔案"（P6019）——场地不合格与项目未核准这两类EPC高发停工源，在普通施工合同范本里并不显眼，总承包人必须单独建账跟踪。计价上还要过"两分法"这道闸：有些情形只可以顺延工期、不支持费用补偿，单纯政策性停工即属此类；部分事件既可以顺延工期，又可以主张现场管理费、机械闲置费、人员窝工费等（P6001）。把顺延请求与费用请求混编在一份报告里笼统报价，是审计与司法审查中最先被拆穿的做法。</w:t>
      </w:r>
    </w:p>
    <w:p>
      <w:pPr>
        <w:pStyle w:val="Heading2"/>
      </w:pPr>
      <w:r>
        <w:t>6.3 天数计算：基准工期、关键线路与共同延误拆分</w:t>
      </w:r>
    </w:p>
    <w:p>
      <w:r>
        <w:rPr>
          <w:rFonts w:ascii="Calibri" w:hAnsi="Calibri" w:eastAsia="微软雅黑"/>
          <w:b w:val="0"/>
          <w:i w:val="0"/>
          <w:sz w:val="22"/>
        </w:rPr>
        <w:t>延误天数计算的第一动作是锁定基准工期，第二动作是证明延误落在关键线路上。最高人民法院（2020）最高法民终1145号判决所涉合同第5.6.1条款给出了范本式定义：工期延误须发生在"施工关键线路（按乙方提交，并经甲方、监理确认的施工网络图中关键线路）"上，经甲方确认后工期相应顺延（P6000）——关键线路以经发包人与监理确认的施工网络图为载体，脱离网络图谈"影响工期"，量化便失去支点。基准工期的版本管理同样致命。荣成市建筑安装有限公司与荣成市水木龙江置业有限公司建设工程合同纠纷一案（（2010）荣崖民初字第443号），2006年5月1日签订的合同约定29号、31号住宅楼包工包料、竣工日期2006年11月20日；2006年7月4日补充合同把29号楼竣工日期改为2006年12月5日；工程实际于2007年5月20日竣工（P6021）。按原合同基准计算，超期 [own_calc:10+31+31+28+31+30+20=181天]；按补充合同基准计算，超期 [own_calc:26+31+28+31+30+20=166天]；两个口径相差 [own_calc:181−166=15天]。谁能证明补充协议的适用范围，谁就先争到半个月的计算基数。共同延误情形下，裁判机构会区分延误事件发生先后顺序，优先判断初始延误方，再拆分不同因素对应的影响工期（P6001）：甲方图纸延迟交付在先，之后承包人施工组织混乱继续拖期，只能对图纸滞后对应的时间段申请顺延，后续自身管理造成的延误不能索赔（P6001）。很多施工单位直接把全部延期天数都算成甲方责任，这种算法在审计和司法审查中基本不会认可（P6001）。</w:t>
      </w:r>
    </w:p>
    <w:p>
      <w:pPr>
        <w:pStyle w:val="Heading2"/>
      </w:pPr>
      <w:r>
        <w:t>6.4 费用口径：填平红线下的三类驳回</w:t>
      </w:r>
    </w:p>
    <w:p>
      <w:r>
        <w:rPr>
          <w:rFonts w:ascii="Calibri" w:hAnsi="Calibri" w:eastAsia="微软雅黑"/>
          <w:b w:val="0"/>
          <w:i w:val="0"/>
          <w:sz w:val="22"/>
        </w:rPr>
        <w:t>费用核算有一条贯穿始终、无法突破的底层准则——损失填平原则：索赔赔偿仅以当事人实际产生的损失为上限，既不支持带有惩罚性质的索赔主张，同时严格禁止同一笔费用重复计取（P6002）。它不是某一条计价规范单独规定的条文，而是脱胎于民法典当中的违约损失赔偿规则，是各级法院审理建工案件、造价鉴定机构开展索赔费用鉴定时统一遵循的裁判思路（P6002）。三类诉求最容易撞线。一类是惩罚性主张：建设工程施工合同属于商事合同，常规的施工合同违约赔偿体系以填平损失为基础，除非合同当中已经作出专门、明确的惩罚性违约条款约定，否则鉴定机构与法院不会主动额外判给承包人一笔超出实际损失之外的补偿（P6002）。另一类是预期利润：项目因发包人原因停工两个月，承包人在现场窝工损失之外额外要求支付一笔"停工预期收益损失"——已经实际发生的管理成本、现场留守人员工资属于实际损失，尚未开展施工部分对应的预期利润在工程没有实际实施的前提下并未真实发生，多数情形下很难得到支持（P6002）。第三类是重复计取：已经包含在合同总价、规费管理费当中的项目，再次拿出来单独申报索赔，典型如正常施工状态下的项目部管理人员薪酬，这类错漏是日常审核索赔资料时最常见的败点（P6002）。</w:t>
      </w:r>
    </w:p>
    <w:p>
      <w:pPr>
        <w:pStyle w:val="Heading2"/>
      </w:pPr>
      <w:r>
        <w:t>6.5 全案复盘：顺延77天、费用归零的1145号判决</w:t>
      </w:r>
    </w:p>
    <w:p>
      <w:r>
        <w:rPr>
          <w:rFonts w:ascii="Calibri" w:hAnsi="Calibri" w:eastAsia="微软雅黑"/>
          <w:b w:val="0"/>
          <w:i w:val="0"/>
          <w:sz w:val="22"/>
        </w:rPr>
        <w:t>四川省第四建筑有限公司（原四川省第四建筑工程公司）与汇丰祥商业控股有限公司建设工程施工合同纠纷，一审判决为宁夏回族自治区高级人民法院（2018）宁民初118号；双方上诉，最高人民法院以（2020）最高法民终1145号立案，2020年9月17日立案后依法组成合议庭，2020年11月5日公开开庭审理；被上诉人为宁夏宝丰集团有限公司、宁夏宝丰地产开发有限公司（P6000）。案涉合同第5.6.1条款约定，因甲方引起的工程延期开工、停建、缓建、暂停施工等在施工关键线路造成工期延误的，经甲方确认工期相应顺延，"但甲方不再承担包括乙方窝工停工费等在内的任何费用（已经由乙方在增加的措施费中包干考虑）"（P6000）。该案程序事实链条堪称完整：四建公司2014年4月8日、2014年5月6日先后向汇丰祥公司发出两份《工作联系单》，间隔 [own_calc:22+6=28天]，均载明案涉工程因汇丰祥公司原因造成停、窝工；汇丰祥公司以及监理工程师在《工作联系单》以及所附《进场人员窝工费用、机械周转料具租赁费用清单》上签字或盖章；此后汇丰祥公司对四建公司报送的《工程延期报审表》经过审核，同意延长工期77天（P6000）。败点在收尾一步——双方未对停、窝工损失问题达成新的处理意见（P6000）。最高法据此认定：因汇丰祥公司原因造成的工期延误，汇丰祥公司给予顺延工期，但不再承担四建公司的停、窝工损失；四建公司主张汇丰祥公司承担停、窝工损失以及由此产生的贷款利息、同期银行透支利息的上诉请求不能成立（P6000）。给经营条线的账面结论很直白：证据链完整如彼——联系单、签章清单、报审表俱在——仍输在费用条款；签约时对"顺延不给钱"类条款的让步，事后无法靠履约证据翻盘。</w:t>
      </w:r>
    </w:p>
    <w:p>
      <w:pPr>
        <w:pStyle w:val="Heading2"/>
      </w:pPr>
      <w:r>
        <w:t>6.6 举证与程序：11类证据、送达留痕与两步申报</w:t>
      </w:r>
    </w:p>
    <w:p>
      <w:r>
        <w:rPr>
          <w:rFonts w:ascii="Calibri" w:hAnsi="Calibri" w:eastAsia="微软雅黑"/>
          <w:b w:val="0"/>
          <w:i w:val="0"/>
          <w:sz w:val="22"/>
        </w:rPr>
        <w:t>完整的工期索赔证据链不能只依靠一张签证单，需要多材料交叉印证（P6001）：索赔意向通知书及送达凭证、事件发生前后的图纸与变更文件、监理例会纪要、现场影像资料、施工日志、人员与设备进场台账、停工期间劳务工资发放凭证、机械租赁合同、往来函件、进度计划、关键线路分析报告 [own_calc:逐项点数=11类]（P6001）。实务中最常见的断点在送达：很多企业只留存照片、缺少送达记录，或者函件发出去没有回执，发包人辩称从未收到索赔文件，直接导致索赔失效（P6001）。证据形式也有层级——电子通讯记录如微信、钉钉消息，仅可作为辅助证据，不能替代正式盖章书面函件（P6001）。申报动作分两步：一旦出现可索赔事件，先发送索赔意向函，写明事件、发生时间、初步影响；再按合同期限提交详细索赔报告，列明要求顺延工期天数、索赔金额（P6001）。管理上的要求是全过程管控——事件发生时即启动流程，而不是等到结算阶段才集中处理；争议升级后的谈判、鉴定与诉讼路径见第9章。</w:t>
      </w:r>
    </w:p>
    <w:p>
      <w:pPr>
        <w:pStyle w:val="Heading2"/>
      </w:pPr>
      <w:r>
        <w:t>6.7 法规坐标：民法典配套清理与司法解释换代</w:t>
      </w:r>
    </w:p>
    <w:p>
      <w:r>
        <w:rPr>
          <w:rFonts w:ascii="Calibri" w:hAnsi="Calibri" w:eastAsia="微软雅黑"/>
          <w:b w:val="0"/>
          <w:i w:val="0"/>
          <w:sz w:val="22"/>
        </w:rPr>
        <w:t>工期索赔的请求权基础随民法典时代完成了一轮整体换代。2020年5月28日，十三届全国人大三次会议表决通过《中华人民共和国民法典》，自2021年1月1日起正式施行（P6031）。为推动实施，最高人民法院对591件现行司法解释及相关规范性文件进行全面清理，分管日常工作的副院长贺荣的表态是："凡是与民法典规定不一致的，坚决废止；同时，立足司法审判实践，该修改的修改，该重新制定的重新制定"（P6031）。2020年12月30日，最高法发布与民法典配套的第一批7件司法解释：与民法典规定一致、未作修改继续适用的共364件；对标民法典需要对名称和部分条款修改的共111件，经修改颁布后自2021年1月1日起施行；决定废止的共116件 [own_calc:364+111+116=591件]（P6031）。建工领域的换代节点是《最高人民法院关于审理建设工程施工合同纠纷案件适用法律问题的解释（一）》（法释〔2020〕25号），自2021年1月1日起正式施行，同时废止三件旧规：《最高人民法院关于建设工程价款优先受偿权问题的批复》（法释〔2002〕16号）、原《建设工程司法解释一》（法释〔2004〕14号）、原《建设工程司法解释二》（法释〔2018〕20号）（P6031）。检索既往工期裁判须按施行日切换解释版本，引用已废止条文会直接送给对方一个程序性攻击点。</w:t>
      </w:r>
    </w:p>
    <w:p>
      <w:r>
        <w:rPr>
          <w:rFonts w:ascii="Calibri" w:hAnsi="Calibri" w:eastAsia="微软雅黑"/>
          <w:b w:val="0"/>
          <w:i w:val="0"/>
          <w:sz w:val="22"/>
        </w:rPr>
        <w:t>---</w:t>
      </w:r>
    </w:p>
    <w:p>
      <w:pPr>
        <w:pStyle w:val="Heading1"/>
      </w:pPr>
      <w:r>
        <w:t>第7章 费用索赔：从直接损失到利润损失</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费用索赔是把风险事件转化为经济补偿的主战场，也是法务、经营与项目经理证据能力的直接比拼。本章沿"原则—直接损失—利润损失—管理费—审核清单"五步展开，裁判数据全部取自公开判决书与司法解释文本。</w:t>
      </w:r>
    </w:p>
    <w:p>
      <w:pPr>
        <w:pStyle w:val="Heading2"/>
      </w:pPr>
      <w:r>
        <w:t>7.1 损失填平：费用核算的底层红线</w:t>
      </w:r>
    </w:p>
    <w:p>
      <w:r>
        <w:rPr>
          <w:rFonts w:ascii="Calibri" w:hAnsi="Calibri" w:eastAsia="微软雅黑"/>
          <w:b w:val="0"/>
          <w:i w:val="0"/>
          <w:sz w:val="22"/>
        </w:rPr>
        <w:t>在建工项目结算与造价司法鉴定实务中，工期延误引发的费用索赔是发承包双方争议最多、拉扯时间最长的板块。无论司法裁判还是鉴定实操，贯穿始终的底层准则只有一条——损失填平原则：索赔赔偿仅以当事人实际产生的损失为上限，既不支持带有惩罚性质的索赔主张，也严格禁止同一笔费用重复计取。</w:t>
      </w:r>
    </w:p>
    <w:p>
      <w:r>
        <w:rPr>
          <w:rFonts w:ascii="Calibri" w:hAnsi="Calibri" w:eastAsia="微软雅黑"/>
          <w:b w:val="0"/>
          <w:i w:val="0"/>
          <w:sz w:val="22"/>
        </w:rPr>
        <w:t>这条原则并非某一条计价规范单独列出的条文，它脱胎于《民法典》违约损失赔偿规则，同时是各级法院审理建工案件、造价鉴定机构开展索赔费用鉴定时统一遵循的裁判思路。其含义很朴素：发包人赔偿承包人因工期延误产生的损失，目的仅在于把承包人的经济状态恢复到延误事件没有发生之前的水平，而不能让承包人借着延误事件额外获利。</w:t>
      </w:r>
    </w:p>
    <w:p>
      <w:r>
        <w:rPr>
          <w:rFonts w:ascii="Calibri" w:hAnsi="Calibri" w:eastAsia="微软雅黑"/>
          <w:b w:val="0"/>
          <w:i w:val="0"/>
          <w:sz w:val="22"/>
        </w:rPr>
        <w:t>所谓惩罚性赔偿，指超出实际损失之外、为惩戒违约方额外给付的款项。施工合同属于商事合同，常规违约赔偿体系以填平为基础，除非合同中作出专门、明确的惩罚性违约条款约定，否则单纯的工期延误索赔，鉴定机构与法院不会主动额外判给承包人一笔超出实际损失的补偿。现实中不少承包人习惯把窝工人工费、闲置机械费、管理费、资金占用利息一股脑罗列进索赔报告，大量诉求走到诉讼、鉴定环节即被驳回，症结大多落在违背填平原则——多报的不算功劳，反而稀释了真实损失的可信度。</w:t>
      </w:r>
    </w:p>
    <w:p>
      <w:pPr>
        <w:pStyle w:val="Heading2"/>
      </w:pPr>
      <w:r>
        <w:t>7.2 直接损失：三份判决给出的"实际发生"检验</w:t>
      </w:r>
    </w:p>
    <w:p>
      <w:r>
        <w:rPr>
          <w:rFonts w:ascii="Calibri" w:hAnsi="Calibri" w:eastAsia="微软雅黑"/>
          <w:b w:val="0"/>
          <w:i w:val="0"/>
          <w:sz w:val="22"/>
        </w:rPr>
        <w:t>直接损失能否落袋，取决于"实际发生"四个字能否被证据钉死。三份不同地域、不同审级的裁判文书给出了可操作的检验样本。</w:t>
      </w:r>
    </w:p>
    <w:p>
      <w:r>
        <w:rPr>
          <w:rFonts w:ascii="Calibri" w:hAnsi="Calibri" w:eastAsia="微软雅黑"/>
          <w:b w:val="0"/>
          <w:i w:val="0"/>
          <w:sz w:val="22"/>
        </w:rPr>
        <w:t>样本一：浙江省高级人民法院（2017）浙民申3281号（2017年12月20日驳回再审申请）。涉案工程款769734元（含税金100400元）双方均无异议，再审申请人王卓成主张按《浙江省建设工程施工取费定额》等规定，税金应为26540元，仅税金一项争议即达73860元[own_calc:100400-26540=73860]。法院查明：引拓公司2015年1月27日之前已付57万元，2016年3月10日又付15万元，合计72万元，已超过不含税的工程款数额；因王卓成并未提供税务发票等证据证明其税金损失确已产生，原判对税金部分予以扣除。其以《民事诉讼法》第二百条第二项、第六项提出的再审事由被裁定驳回。教训只有一句：名义上挂在结算里的科目，拿不出损失真实发生的凭证，等于没损失。</w:t>
      </w:r>
    </w:p>
    <w:p>
      <w:r>
        <w:rPr>
          <w:rFonts w:ascii="Calibri" w:hAnsi="Calibri" w:eastAsia="微软雅黑"/>
          <w:b w:val="0"/>
          <w:i w:val="0"/>
          <w:sz w:val="22"/>
        </w:rPr>
        <w:t>样本二：宁波市北仑区人民法院（2009）甬仑民初字第2139号（2009年12月30日判决）。双方2008年4月15日签订厂房建设监理委托合同，第三十九条约定：合同签订后的五日内支付监理费86160元作为预付款；以后自监理机构进场之日起，每满一个月后的三天内支付60000元。监理公司2008年5月3日进场，2008年12月底停止服务，历时八个月。法院按约逐月核算：86160+60000×8＝566160元，扣除已付120000元后确认欠付446160元，原告当庭变更为442160元的诉请获全额支持。案卷里有证明书、监理合同登记备案表、图纸会审纪要、工程联系单逐项对应，"按月可算、逐笔有据"的部分分文未折。</w:t>
      </w:r>
    </w:p>
    <w:p>
      <w:r>
        <w:rPr>
          <w:rFonts w:ascii="Calibri" w:hAnsi="Calibri" w:eastAsia="微软雅黑"/>
          <w:b w:val="0"/>
          <w:i w:val="0"/>
          <w:sz w:val="22"/>
        </w:rPr>
        <w:t>样本三：荣成市人民法院（2010）荣崖民初字第443号（2011年12月20日判决）。2008年6月4日双方决算工程总价款5847961.15元，此前已付3698000元、3套住宅抵顶697707元，承包人诉请欠付1469961.15元及违约金187143.88元；发包人以质量缺陷反击，主张已支出修复费145585.88元、尚须修理费149034.40元，两项合计294620.28元[own_calc:145585.88+149034.40=294620.28]。留意反诉方的列报方式：已发生与待发生分开陈报，各自挂靠凭证——与承包人索赔的举证逻辑完全同构，谁的账目切得细，谁在法庭上就站得稳。</w:t>
      </w:r>
    </w:p>
    <w:p>
      <w:pPr>
        <w:pStyle w:val="Heading2"/>
      </w:pPr>
      <w:r>
        <w:t>7.3 利润损失：预期收益的证明困境与取舍</w:t>
      </w:r>
    </w:p>
    <w:p>
      <w:r>
        <w:rPr>
          <w:rFonts w:ascii="Calibri" w:hAnsi="Calibri" w:eastAsia="微软雅黑"/>
          <w:b w:val="0"/>
          <w:i w:val="0"/>
          <w:sz w:val="22"/>
        </w:rPr>
        <w:t>利润损失处在填平原则的灰色地带。设想一个高频场景：项目因发包人原因停工两个月，承包人主张除现场窝工损失之外，额外支付一笔"停工预期收益损失"。此处必须严格二分——已实际发生的管理成本、现场留守人员工资属于实际损失；尚未开展施工部分对应的预期利润，在工程没有实际实施的前提下并没有真实发生，多数情形下很难得到支持。承包人不能把工期索赔当成获取额外收益的途径；这条边界写不进合同条款时，就写进证据组织。</w:t>
      </w:r>
    </w:p>
    <w:p>
      <w:r>
        <w:rPr>
          <w:rFonts w:ascii="Calibri" w:hAnsi="Calibri" w:eastAsia="微软雅黑"/>
          <w:b w:val="0"/>
          <w:i w:val="0"/>
          <w:sz w:val="22"/>
        </w:rPr>
        <w:t>取舍同样值钱。宜阳县人民法院（2016）豫0327民初1133号（2016年12月30日判决）中，承包人完成的温泉假山、水上娱乐园假山、5D电影院、捉鱼城四项工程总造价8902476.4元，累计收款7432708元，尚欠1469768元；另有2014年11月18日、2015年5月22日两份结算单确认的12702400元，以及12项未逐项结算的零星工程1017870元。鉴于被告无力支付全部欠款，原告只主张证据最硬的两份结算单数额12702400元，自行放弃2487638.4元[own_calc:15190038.4-12702400=2487638.4]。用放弃换速判，是利润诉求与待证损失之间的一次清醒换算——把悬而未决的零星工程款强行并入，可能拖垮整案节奏。</w:t>
      </w:r>
    </w:p>
    <w:p>
      <w:pPr>
        <w:pStyle w:val="Heading2"/>
      </w:pPr>
      <w:r>
        <w:t>7.4 管理费：先类型化，再谈能不能要</w:t>
      </w:r>
    </w:p>
    <w:p>
      <w:r>
        <w:rPr>
          <w:rFonts w:ascii="Calibri" w:hAnsi="Calibri" w:eastAsia="微软雅黑"/>
          <w:b w:val="0"/>
          <w:i w:val="0"/>
          <w:sz w:val="22"/>
        </w:rPr>
        <w:t>管理费是费用索赔里名目最杂、最容易踩坑的科目。按建纬律师事务所的系统梳理，建设工程领域管理费大致分四类：项目建设管理费、企业管理费、总承包管理费、其他管理费；前三类在造价体系中有明确列项，第四类主要指转包、违法分包、挂靠和内部承包情形下的管理费。性质、内涵、组成不同，引发的争议类型与解决路径也不相同。其中项目建设管理费有官方定义——财政部《基本建设项目建设成本管理规定》（财建〔2016〕504号）第五条：指项目建设单位从项目筹建之日起至办理竣工财务决算之日止发生的管理性质的支出，涵盖工作人员工资及相关费用、办公费、办公场地租赁费、差旅交通费、劳动保护费、工具用具使用费等项目。</w:t>
      </w:r>
    </w:p>
    <w:p>
      <w:r>
        <w:rPr>
          <w:rFonts w:ascii="Calibri" w:hAnsi="Calibri" w:eastAsia="微软雅黑"/>
          <w:b w:val="0"/>
          <w:i w:val="0"/>
          <w:sz w:val="22"/>
        </w:rPr>
        <w:t>新规收紧了挂靠端的口子。2026年6月30日施行的《建工司法解释（二）》第三条第一款明确：建筑施工企业主张约定的资质借用费、使用费的，人民法院不予支持。但该条并未规定被挂靠人已经收取或截留的"挂靠费"如何处置，司法实践存在两种裁判思路：其一，严格文义解释，认为已收取的管理费应当返还挂靠人；其二，"停留原地"——尚未收取的，不支持被挂靠企业起诉索要；已经收取的，亦不支持挂靠人起诉要求返还。后一思路见于《重庆市高级人民法院、四川省高级人民法院关于审理建设工程施工合同纠纷案件若干问题的解答》条文说明，以及重庆市高院民一庭《关于建设工程施工合同纠纷案件若干问题的解答（2019年）》，原文作者的判断是"采取'停留原地'处理方式的法理障碍更小"。</w:t>
      </w:r>
    </w:p>
    <w:p>
      <w:pPr>
        <w:pStyle w:val="Heading2"/>
      </w:pPr>
      <w:r>
        <w:t>7.5 补充协议加收管理费：无效高发区与三重依据</w:t>
      </w:r>
    </w:p>
    <w:p>
      <w:r>
        <w:rPr>
          <w:rFonts w:ascii="Calibri" w:hAnsi="Calibri" w:eastAsia="微软雅黑"/>
          <w:b w:val="0"/>
          <w:i w:val="0"/>
          <w:sz w:val="22"/>
        </w:rPr>
        <w:t>总包单位绕开中标合同、以补充协议向分包收取管理费，是败诉率极高的操作。山东省枣庄市中级人民法院(2025)鲁04民终24号（2025年2月10日二审）具有标本意义：双方2019年7月10日签订补充协议，第一条约定分包按工程结算值20%上缴总包配合、管理费用，总包方据此上诉索要2634309.4元；法院认定该约定实质变更了中标合同确定的工程价款，违反法律规定，补充协议无效；以"实施了配合、管理行为并产生相应费用"为由要求20%费用的主张，不能成立。总包方补强的上诉理由——建设单位拨款不到50%、自有资金投入已超70%、施工水电应予分摊——均未挽回败局。</w:t>
      </w:r>
    </w:p>
    <w:p>
      <w:r>
        <w:rPr>
          <w:rFonts w:ascii="Calibri" w:hAnsi="Calibri" w:eastAsia="微软雅黑"/>
          <w:b w:val="0"/>
          <w:i w:val="0"/>
          <w:sz w:val="22"/>
        </w:rPr>
        <w:t>裁判背后是三重规范叠加。《建工解释一》（2021年1月1日施行）第二条：招标人和中标人另行签订的施工合同，实质性内容与中标合同不一致的，一方请求按中标合同确定权利义务，法院应予支持；第二十二条：签订的合同与招标文件、投标文件、中标通知书载明的工程范围、建设工期、工程质量、工程价款不一致的，一方请求以招标文件、投标文件、中标通知书作为结算工程价款的依据，法院应予支持。再加《招标投标法》第四十六条：招标人和中标人应当自中标通知书发出之日起三十日内，按照招标文件和中标人的投标文件订立书面合同，不得再行订立背离合同实质性内容的其他协议。顺带理清谱系：《建工解释一》即法释〔2020〕25号，2020年12月30日与《民法典》配套发布，发布同时废止法释[2002]16号、法释〔2004〕14号、法释〔2018〕20号三件旧解释——引用条文用错版本，是法务失误清单的第一项。</w:t>
      </w:r>
    </w:p>
    <w:p>
      <w:pPr>
        <w:pStyle w:val="Heading2"/>
      </w:pPr>
      <w:r>
        <w:t>7.6 重复计取与审核清单：把红线翻译成动作</w:t>
      </w:r>
    </w:p>
    <w:p>
      <w:r>
        <w:rPr>
          <w:rFonts w:ascii="Calibri" w:hAnsi="Calibri" w:eastAsia="微软雅黑"/>
          <w:b w:val="0"/>
          <w:i w:val="0"/>
          <w:sz w:val="22"/>
        </w:rPr>
        <w:t>审核索赔资料时最常见、也最隐蔽的错漏是重复计取：已经包含在合同总价、规费管理费当中的项目，再次拿出来单独申报索赔。典型如正常施工状态下本就列入合同总价的项目部管理人员薪酬——停工期间确有现场留守人员工资、实际发生的管理成本的，属于实际损失可以主张；按原编制口径原样照报，即属重复计取，鉴定环节一筛一个准。</w:t>
      </w:r>
    </w:p>
    <w:p>
      <w:r>
        <w:rPr>
          <w:rFonts w:ascii="Calibri" w:hAnsi="Calibri" w:eastAsia="微软雅黑"/>
          <w:b w:val="0"/>
          <w:i w:val="0"/>
          <w:sz w:val="22"/>
        </w:rPr>
        <w:t>落到EPC场景，费用索赔复杂度翻倍，可参照《工程总承包（EPC／DB）争议解决实战攻略》（张旗、叶海、余灵颖著）的实战图谱：第二章第7节收录广东某火电场扩建EPC项目停工索赔案，专门回答未经核准的EPC项目长期停工时，施工分包人如何进行索赔；第9节处理材料涨价遭遇固定价格时的调差僵局；第一章第4节从2017版银皮书切入FIDIC对工程总承包合同终止的价格确定原则。EPC总包对上对下双重索赔时，直接损失与利润损失须分层建账，避免把对上可获支持的成本，误填进对下无据可依的科目。</w:t>
      </w:r>
    </w:p>
    <w:p>
      <w:r>
        <w:rPr>
          <w:rFonts w:ascii="Calibri" w:hAnsi="Calibri" w:eastAsia="微软雅黑"/>
          <w:b w:val="0"/>
          <w:i w:val="0"/>
          <w:sz w:val="22"/>
        </w:rPr>
        <w:t>三条动作清单收束本章：报前自查每笔费用是否"实际发生"且未包含在合同总价、规费管理费之内；预期利润主张单独成册，注明对应施工范围是否实际实施；管理费科目对照四类图谱逐一对号，凡属资质借用性质的，在2026年新规下直接放弃主张，把精力转向真实成本的举证。</w:t>
      </w:r>
    </w:p>
    <w:p>
      <w:r>
        <w:rPr>
          <w:rFonts w:ascii="Calibri" w:hAnsi="Calibri" w:eastAsia="微软雅黑"/>
          <w:b w:val="0"/>
          <w:i w:val="0"/>
          <w:sz w:val="22"/>
        </w:rPr>
        <w:t>---</w:t>
      </w:r>
    </w:p>
    <w:p>
      <w:pPr>
        <w:pStyle w:val="Heading1"/>
      </w:pPr>
      <w:r>
        <w:t>第8章 反索赔：发包方的盾牌与反击</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索赔训练进攻，反索赔训练接招。工程企业的法务与项目经理习惯把两者分开准备，法庭却把它们放进同一场对抗：《民法典》第七百八十八条第一款给出的合同定义本身就是双向的——"建设工程合同是承包人进行工程建设，发包人支付价款的合同"。承包人按期保质完成施工的义务，对应发包人按约支付价款的义务；一方举起索赔之矛，另一方几乎必然举起反索赔之盾。最高人民法院民事审判第一庭在《民事审判实务问答》中把这组对价关系拆得更细：建设工程合同的实质性内容一般包括工程价款、工程质量、工程期限。发包方的全部反索赔武器，都从这三项里长出来。</w:t>
      </w:r>
    </w:p>
    <w:p>
      <w:r>
        <w:rPr>
          <w:rFonts w:ascii="Calibri" w:hAnsi="Calibri" w:eastAsia="微软雅黑"/>
          <w:b w:val="0"/>
          <w:i w:val="0"/>
          <w:sz w:val="22"/>
        </w:rPr>
        <w:t>EPC总承包商在反索赔棋局里坐两个位置。对业主，它是被反索赔的承包人；对设计分包、施工分包、设备供应商，它自己就是发包方，同样的盾牌握在自己手里。看不懂盾牌的构造，进攻方会在对方的防御线上撞得粉碎；不会用盾，防守方会把本可对冲的损失白白送出去。</w:t>
      </w:r>
    </w:p>
    <w:p>
      <w:pPr>
        <w:pStyle w:val="Heading2"/>
      </w:pPr>
      <w:r>
        <w:t>8.1 反索赔高发区：从裁判文书里数出来的清单</w:t>
      </w:r>
    </w:p>
    <w:p>
      <w:r>
        <w:rPr>
          <w:rFonts w:ascii="Calibri" w:hAnsi="Calibri" w:eastAsia="微软雅黑"/>
          <w:b w:val="0"/>
          <w:i w:val="0"/>
          <w:sz w:val="22"/>
        </w:rPr>
        <w:t>反索赔不是抽象概念，它有稳定的高发场景。把本报告证据库中的公开裁判文书摊开看，发包方的盾牌基本由四块钢板拼成：质量缺陷扣款、工期延误索赔、付款抵销、结算重开。</w:t>
      </w:r>
    </w:p>
    <w:p>
      <w:r>
        <w:rPr>
          <w:rFonts w:ascii="Calibri" w:hAnsi="Calibri" w:eastAsia="微软雅黑"/>
          <w:b w:val="0"/>
          <w:i w:val="0"/>
          <w:sz w:val="22"/>
        </w:rPr>
        <w:t>质量与工期两条线本章第8.2、8.3节展开；这里先看两条容易被低估的。一是付款抵销型反索赔：发包方不否认欠款本身，而是主张对方未开票、税金未发生、另有债权待抵，把应付金额往下压。二是结算重开型反索赔：工程已按固定总价结算完毕，发包方事后主张承包人虚报价款、虚构设备，要求推倒重来——张旗、叶海、余灵颖三位建设工程律师合著的《工程总承包（EPC／DB）争议解决实战攻略》把"EPC合同按固定总价结算后，发包人能否以承包人虚报价款和虚构设备为由，要求重新结算"单列为一节，正说明这类攻击在EPC项目上的出现频率已经高到无法归入个案。同一本书第二章还列出"EPC项目中标后发现不平衡报价，发包人如何应对"与"EPC项目中承包人未按约限额设计如何处理"两节——不平衡报价的反制与超限额设计的扣罚，是EPC模式下发包方反索赔的两张新牌，传统施工总承包合同里少见。</w:t>
      </w:r>
    </w:p>
    <w:p>
      <w:r>
        <w:rPr>
          <w:rFonts w:ascii="Calibri" w:hAnsi="Calibri" w:eastAsia="微软雅黑"/>
          <w:b w:val="0"/>
          <w:i w:val="0"/>
          <w:sz w:val="22"/>
        </w:rPr>
        <w:t>对总承包商的启示直白：反索赔防御清单必须按"质量、工期、付款、结算"四象限建制，缺一格就是漏风口。条款层面的排查工具见第3章的十五个致命条款对照表。</w:t>
      </w:r>
    </w:p>
    <w:p>
      <w:pPr>
        <w:pStyle w:val="Heading2"/>
      </w:pPr>
      <w:r>
        <w:t>8.2 质量缺陷反索赔：最硬的一张牌与它的价格</w:t>
      </w:r>
    </w:p>
    <w:p>
      <w:r>
        <w:rPr>
          <w:rFonts w:ascii="Calibri" w:hAnsi="Calibri" w:eastAsia="微软雅黑"/>
          <w:b w:val="0"/>
          <w:i w:val="0"/>
          <w:sz w:val="22"/>
        </w:rPr>
        <w:t>质量缺陷是发包方手里最硬的反索赔武器，因为它直接打击承包人的核心义务，且损失可以量化到维修发票。</w:t>
      </w:r>
    </w:p>
    <w:p>
      <w:r>
        <w:rPr>
          <w:rFonts w:ascii="Calibri" w:hAnsi="Calibri" w:eastAsia="微软雅黑"/>
          <w:b w:val="0"/>
          <w:i w:val="0"/>
          <w:sz w:val="22"/>
        </w:rPr>
        <w:t>荣成市建筑安装有限公司与荣成市水木龙江置业有限公司案（（2010）荣崖民初字第443号）把这张牌的完整打法摆了出来。承包人2006年5月1日签订建筑工程合同，承建教授村29号、31号楼，包工包料，合同约定竣工日期2006年11月20日；付款采用形象进度阶梯：工程到二层封顶付65%，主体封顶付80%，全部竣工后付到95%，剩余5%留作保修金，保修期24个月。纠纷爆发后，发包方的反击分三层：第一层，主张29号、31号楼存在严重质量问题，多次要求修缮未果，另行委托他人修复已花费修理费145585.88元，尚有未修复部分仍需修理费149034.40元，据此反诉请求承包人支付维修费用294620.28元[own_calc:145585.88+149034.40=294620.28]；第二层，以承包人未按合同约定完工为由对抗付款请求；第三层，对顶账房过户义务主张不可抗力——辩称政府不批土地指标导致无法办理过户。</w:t>
      </w:r>
    </w:p>
    <w:p>
      <w:r>
        <w:rPr>
          <w:rFonts w:ascii="Calibri" w:hAnsi="Calibri" w:eastAsia="微软雅黑"/>
          <w:b w:val="0"/>
          <w:i w:val="0"/>
          <w:sz w:val="22"/>
        </w:rPr>
        <w:t>三个数字值得抄进模板：已修145585.88元、待修149034.40元、合计294620.28元。发包方把"已实际发生的修理费"与"尚未发生的估算修理费"分列，前一类凭发票举证，后一类靠鉴定或估价支撑——分开列报本身就是反索赔的举证技术。承包人一方的防御同样有模板价值：该案承包人主张的欠款为1469961.15元、违约金187143.88元，双方请求在同一诉讼里对冲，法院合并审理。质量反诉不能只靠口头描述"严重质量问题"，要么有已付费的维修凭证，要么有第三方对修复费用的量化意见，两者缺一，扣款主张就悬空。费用侧的量化口径与利润损失的边界，见第7章。</w:t>
      </w:r>
    </w:p>
    <w:p>
      <w:pPr>
        <w:pStyle w:val="Heading2"/>
      </w:pPr>
      <w:r>
        <w:t>8.3 工期延误反索赔：日期锚点与延期证据链</w:t>
      </w:r>
    </w:p>
    <w:p>
      <w:r>
        <w:rPr>
          <w:rFonts w:ascii="Calibri" w:hAnsi="Calibri" w:eastAsia="微软雅黑"/>
          <w:b w:val="0"/>
          <w:i w:val="0"/>
          <w:sz w:val="22"/>
        </w:rPr>
        <w:t>工期反索赔的胜负在开工前就埋了一半——合同里的竣工日期写得越清晰，反索赔越锋利；补充协议每改一次日期，锚点就移动一次。</w:t>
      </w:r>
    </w:p>
    <w:p>
      <w:r>
        <w:rPr>
          <w:rFonts w:ascii="Calibri" w:hAnsi="Calibri" w:eastAsia="微软雅黑"/>
          <w:b w:val="0"/>
          <w:i w:val="0"/>
          <w:sz w:val="22"/>
        </w:rPr>
        <w:t>仍以荣成案为例：主合同约定竣工日期2006年11月20日；2006年7月4日双方签订补充合同，把29号楼竣工日期改为2006年12月5日；工程实际于2007年5月20日竣工。以补充协议日期起算，逾期166日[own_calc:2006年12月5日至2007年5月20日=166日]；若按主合同原日期起算，则为181日[own_calc:2006年11月20日至2007年5月20日=181日]。发包方"未按合同约定完工"的抗辩就建立在这组日期上。承包人的反制武器同样在这组数字里：发包方至2007年9月24日仅支付工程款3698000元，未达合同约定的形象进度付款节点——付款违约在先，工期责任切割就变成双向运算，而不是承包人单边认账。工期责任的分析方法与关键线路举证，第6章有完整拆解。</w:t>
      </w:r>
    </w:p>
    <w:p>
      <w:r>
        <w:rPr>
          <w:rFonts w:ascii="Calibri" w:hAnsi="Calibri" w:eastAsia="微软雅黑"/>
          <w:b w:val="0"/>
          <w:i w:val="0"/>
          <w:sz w:val="22"/>
        </w:rPr>
        <w:t>设备与周转材料的延期同样能长出反索赔。林鸣与中铁六局集团有限公司茂湛铁路工程第一项目部建筑设备租赁合同纠纷（（2014）湛吴法民一初字第309号）里，脚手架2012年11月15日投入使用，约定使用期至2013年5月31日止；2013年5月24日双方结算确认不同租赁期的租金合计246254元——结算表名目就是"吴川站房脚手架管延期费用"。延期使用产生的租金增量被单独列表、单独确认，这份结算单后来成为出租方追讨的核弹级证据。工程企业作为承租方或分包方的项目部落笔签署此类延期费用表时，等于替对方完成了工期反索赔的证据固定。</w:t>
      </w:r>
    </w:p>
    <w:p>
      <w:pPr>
        <w:pStyle w:val="Heading2"/>
      </w:pPr>
      <w:r>
        <w:t>8.4 扣款与抵销：不否认欠款，只压低金额</w:t>
      </w:r>
    </w:p>
    <w:p>
      <w:r>
        <w:rPr>
          <w:rFonts w:ascii="Calibri" w:hAnsi="Calibri" w:eastAsia="微软雅黑"/>
          <w:b w:val="0"/>
          <w:i w:val="0"/>
          <w:sz w:val="22"/>
        </w:rPr>
        <w:t>第四类反索赔最安静，也最常见：发包方对欠款事实不争，专攻金额。两个再审与一审案例给出两种标准操作。</w:t>
      </w:r>
    </w:p>
    <w:p>
      <w:r>
        <w:rPr>
          <w:rFonts w:ascii="Calibri" w:hAnsi="Calibri" w:eastAsia="微软雅黑"/>
          <w:b w:val="0"/>
          <w:i w:val="0"/>
          <w:sz w:val="22"/>
        </w:rPr>
        <w:t>税金扣除型。王卓成与浙江引拓建设有限公司案（（2017）浙民申3281号，浙江省高级人民法院2017年12月20日裁定）查明：涉案工程款769734元（含税金100400元），双方无异议；王卓成一审起诉时自认2015年1月27日之前引拓公司已支付57万元，2016年3月10日又支付15万元，共计72万元；浙ＸＸ诚建设工程招标代理有限公司出具的工程造价咨询报告书认定税金共计100400元。法院的逻辑链冷峻：王卓成未提供税务发票等证据证明税金损失确已产生，故对税金部分予以扣除——不含税工程款为669334元[own_calc:769734−100400=669334]，已付72万元已经超过该数额，引拓公司无需再付款，再审申请驳回。发包方从未主张质量、从未主张工期，仅凭"税金损失未实际发生"一个扣减项就清零了对方的全部请求。承包人的教训：报价中的税金部分若拿不出已缴纳凭证，等于在对方账上预存了一笔可随时扣减的款项。</w:t>
      </w:r>
    </w:p>
    <w:p>
      <w:r>
        <w:rPr>
          <w:rFonts w:ascii="Calibri" w:hAnsi="Calibri" w:eastAsia="微软雅黑"/>
          <w:b w:val="0"/>
          <w:i w:val="0"/>
          <w:sz w:val="22"/>
        </w:rPr>
        <w:t>发票对抗型。中铁六局案里，项目部对欠付租金100000元[own_calc:246254−146254=100000]不持异议，却提出抗辩：原告曾承包吴川火车站工程，项目部已支付一笔225万元的劳务费，原告尚未开具发票，"只有原告开具该发票后，我才同意支付所欠的100000元租金"。2013年6月21日出租方申请付款当天，项目部出具证明让其到税务机关开具了金额为246254元的发票，6月24日双方补签《钢管脚手架租赁协议》并当天汇款146254元。以开票为付款前置条件的抗辩能否成立，实务中取决于合同条款的写法与已开票金额的对应关系；但该案展示的攻防节奏——结算、开票、补协议、部分付款在同三天内完成——说明发包方的每一笔付款都在为后续抵销预留接口。</w:t>
      </w:r>
    </w:p>
    <w:p>
      <w:pPr>
        <w:pStyle w:val="Heading2"/>
      </w:pPr>
      <w:r>
        <w:t>8.5 盾牌的合法性边界：越界的反索赔依据无效</w:t>
      </w:r>
    </w:p>
    <w:p>
      <w:r>
        <w:rPr>
          <w:rFonts w:ascii="Calibri" w:hAnsi="Calibri" w:eastAsia="微软雅黑"/>
          <w:b w:val="0"/>
          <w:i w:val="0"/>
          <w:sz w:val="22"/>
        </w:rPr>
        <w:t>发包方的盾牌并非无限大。两块边界由最高人民法院的观点划出，承包人可用它们直接击碎越界的扣款依据。</w:t>
      </w:r>
    </w:p>
    <w:p>
      <w:r>
        <w:rPr>
          <w:rFonts w:ascii="Calibri" w:hAnsi="Calibri" w:eastAsia="微软雅黑"/>
          <w:b w:val="0"/>
          <w:i w:val="0"/>
          <w:sz w:val="22"/>
        </w:rPr>
        <w:t>第一块边界：不得以另行约定加码质量标准。最高院民一庭问答：招标文件约定工程质量标准为合格，工程中标后发包方又同中标人另行约定"如工程未拿到鲁班奖将不予退还履约保证金"，该约定无效。理由有三层：其一，鲁班奖作为全国建筑行业最高质量奖，其依附的标准不属于国家强制性标准，而是行业鼓励性标准；其二，该承诺赋予承包方的义务已高于招标投标合同约定的义务，实际改变了招标投标文件约定的工程质量标准；其三，依据《招标投标法》第四十六条第一款——"招标人和中标人应当自中标通知书发出之日起三十日内，按照招标文件和中标人的投标文件订立书面合同。投标人和中标人不得再行订立背离合同实质性内容其他协议"——该约定构成对中标合同实质性内容的变更，应认定无效。工程企业读到这份问答的操作翻译：业主在中标后追加的创优保证金、鲁班奖对赌条款，是可以在争议中整体推翻的，谈判阶段不必照单全收。</w:t>
      </w:r>
    </w:p>
    <w:p>
      <w:r>
        <w:rPr>
          <w:rFonts w:ascii="Calibri" w:hAnsi="Calibri" w:eastAsia="微软雅黑"/>
          <w:b w:val="0"/>
          <w:i w:val="0"/>
          <w:sz w:val="22"/>
        </w:rPr>
        <w:t>第二块边界：必须招标的项目不得先定后招。《招标投标法》第四十三条规定"在确定中标人前，招标人不得与投标人就投标价格、投标方案等实质性内容进行谈判"。最高院观点认为，在招标投标之前就在实质上先行确定工程承包人，是对该法更严重的违反；依据《关于审理建设工程施工合同纠纷案件适用法律问题的解释（一）》第一条第一款，承包人未取得建筑施工企业资质或超越资质等级、没有资质的实际施工人借用有资质的建筑施工企业名义、建设工程必须进行招标而未招标或者中标无效三种情形下的施工合同，均应依据民法典第一百五十三条第一款认定无效。合同一旦无效，建立在"违约"框架上的反索赔（违约金、履约扣款）就失去合同支点，双方便退回到折价补偿与过错赔偿的地面上重新开价。法律框架的完整谱系与新旧解释衔接见第1章——民法典2020年5月28日通过、2021年1月1日施行，最高法为此清理591件 [own_calc:源自上下文推算]司法解释及相关规范性文件，其中364件 [own_calc:源自上下文推算]未作修改继续适用、111件 [own_calc:源自上下文推算]修改后施行、116件 [own_calc:源自上下文推算]废止，现行有效的法释〔2020〕25号解释自2021年1月1日起施行，同时废止法释[2002]16号、法释〔2004〕14号 [own_calc:源自上下文推算]、法释〔2018〕20号 [own_calc:源自上下文推算]三件旧解释。引用错误版本的条文应对反索赔，是低级却致命的失误。</w:t>
      </w:r>
    </w:p>
    <w:p>
      <w:pPr>
        <w:pStyle w:val="Heading2"/>
      </w:pPr>
      <w:r>
        <w:t>8.6 总承包商自己的盾：对分包反索赔，先查自己是否干净</w:t>
      </w:r>
    </w:p>
    <w:p>
      <w:r>
        <w:rPr>
          <w:rFonts w:ascii="Calibri" w:hAnsi="Calibri" w:eastAsia="微软雅黑"/>
          <w:b w:val="0"/>
          <w:i w:val="0"/>
          <w:sz w:val="22"/>
        </w:rPr>
        <w:t>EPC总承包商对下游行使反索赔时，第一道审查对象是自己的分包合法性。两份判决划出了"盾牌反噬"的两种形态。</w:t>
      </w:r>
    </w:p>
    <w:p>
      <w:r>
        <w:rPr>
          <w:rFonts w:ascii="Calibri" w:hAnsi="Calibri" w:eastAsia="微软雅黑"/>
          <w:b w:val="0"/>
          <w:i w:val="0"/>
          <w:sz w:val="22"/>
        </w:rPr>
        <w:t>形态一：违反禁止分包条款。刘春新与河南省新乡市第一建筑工程有限责任公司案（新中民五终字第519号）查明：三浦公司与一建公司2012年5月25日、10月15日分别签订发酵车间、空压站两份施工合同，两合同第三部分第十一项38.1均约定"本工程不允许分包"；2013年5月31日，一建公司工作人员李俊科（其在空压站合同上作为一建公司委托代理人签名）与刘春新签订铝合金窗施工合同，将两车间铝合金窗工程交其施工。刘春新主张完工后核算价款共计315628元、已付40000元，李俊科出具欠条载明"今欠发酵车间、空压站窗户款贰拾柒万伍仟元整（￥275000）"，落款2015.5.21。核算数与欠条数相差628元[own_calc:315628−40000=275628，欠条为275000，差628元]——项目人员随手出具的欠条与真实核算之间的裂缝，日后都会被对方律师放大。更要害的是：明示禁止分包的合同下，项目层面擅自分包不仅触发违约条款，还把总公司拖进与实际施工人的连带责任诉讼。</w:t>
      </w:r>
    </w:p>
    <w:p>
      <w:r>
        <w:rPr>
          <w:rFonts w:ascii="Calibri" w:hAnsi="Calibri" w:eastAsia="微软雅黑"/>
          <w:b w:val="0"/>
          <w:i w:val="0"/>
          <w:sz w:val="22"/>
        </w:rPr>
        <w:t>形态二：多层违法分包的连带清偿。陈松何诉余建盛案（（2012）佛明法民一初字第797号）中，丰溪公司承接涉案工程后分包给王祺，王祺再分包给余建盛，2011年9月14日余建盛与陈松何签订付款协议书确认欠付勾土工程款62100元，原告据此要求两层分包人承担连带清偿责任。总承包商想对最底层实际施工人主张质量或工期反索赔时，先要面对自己身处违法分包链条顶端的事实——反索赔的诉讼请求会与违法分包的行政与民事后果捆绑结算。分包条款的签约期排查见第3章，签证与过程确认的证据管理见第5章。</w:t>
      </w:r>
    </w:p>
    <w:p>
      <w:r>
        <w:rPr>
          <w:rFonts w:ascii="Calibri" w:hAnsi="Calibri" w:eastAsia="微软雅黑"/>
          <w:b w:val="0"/>
          <w:i w:val="0"/>
          <w:sz w:val="22"/>
        </w:rPr>
        <w:t>无书面合同场景下，发包方的防御更依赖结算与身份证据。田某某等诉王某某等案（（2018）湘3123民初897号）中，2014年4月蒋某某、王某某夫妇等请原告砌堡坎，口头约定全包每立方米280元，据实结算；2014年底完工时共砌790多立方米，支付4万元后尚欠182415.2元。两项数字可以互相验证：4万元加欠款182415.2元合计222415.2元[own_calc:40000+182415.2=222415.2]，除以单价280元约合794.34立方米[own_calc:222415.2÷280≈794.34]，与"790多立方米"的陈述吻合——数字自洽是这类无合同案件里发包方最省力的检验工具，一旦对不上，结算陈述的可信度即刻崩塌。</w:t>
      </w:r>
    </w:p>
    <w:p>
      <w:pPr>
        <w:pStyle w:val="Heading2"/>
      </w:pPr>
      <w:r>
        <w:t>8.7 结算确认与笔迹鉴定：终局证据战</w:t>
      </w:r>
    </w:p>
    <w:p>
      <w:r>
        <w:rPr>
          <w:rFonts w:ascii="Calibri" w:hAnsi="Calibri" w:eastAsia="微软雅黑"/>
          <w:b w:val="0"/>
          <w:i w:val="0"/>
          <w:sz w:val="22"/>
        </w:rPr>
        <w:t>反索赔打到最后，往往落在两份纸面上：结算单与收条。</w:t>
      </w:r>
    </w:p>
    <w:p>
      <w:r>
        <w:rPr>
          <w:rFonts w:ascii="Calibri" w:hAnsi="Calibri" w:eastAsia="微软雅黑"/>
          <w:b w:val="0"/>
          <w:i w:val="0"/>
          <w:sz w:val="22"/>
        </w:rPr>
        <w:t>结算单的锁定效应。河南汇河建筑装饰工程有限公司与洛阳灵山国诚旅游发展有限公司案（（2016）豫0327民初1133号）：2013年12月3日双方签订塑石假山工程合同，造价按实际钢丝网片面积188元/㎡计算；2014年1月23日补充协议把温泉汤池工程也交给原告，按水池外围投影面积2000元/㎡结算；此后5D电影院、儿童智慧城、捉鱼城、马车屋、树屋等园林景观及35项零星工程陆续施工但未逐项签订书面合同，因被告未提供设计图纸，全部采取边设计、边施工、完工一处、验收一处的方式。原告决算口径下四项工程总造价8902476.4元、累计已收7432708元、尚欠1469768元；温泉汤池等部分经2014年11月18日、2015年5月22日两份结算单确认为12702400元；另有12项零星工程1017870元从未结算。三者相加正好等于原告主张的拖欠总额15190038.4元[own_calc:1469768+12702400+1017870=15190038]，未结算两块合计2487638.4元[own_calc:1469768+1017870=2487638]。诉讼策略随即分层：鉴于被告无力清偿，原告只主张两份结算单确认的12702400元，主动放弃2487638.4元。发包方的反索赔视角恰好相反——对已签认结算单的部分，扣款抗辩几乎无处下嘴；对从未结算的零星工程，"未经确认"本身就是盾牌。承包人的对价教训：宁可慢，也要把每一验收段落的价款确认落纸，否则等于替对方保留了一整个免赔区。</w:t>
      </w:r>
    </w:p>
    <w:p>
      <w:r>
        <w:rPr>
          <w:rFonts w:ascii="Calibri" w:hAnsi="Calibri" w:eastAsia="微软雅黑"/>
          <w:b w:val="0"/>
          <w:i w:val="0"/>
          <w:sz w:val="22"/>
        </w:rPr>
        <w:t>收条与鉴定的正面交锋。谢祥灯与周宏枢案（（2010）浙温民终字第1640号）里，房主2005年2月将房屋建筑工程发包，2006年1月27日累计支付455000元后取得收条，收条写明"泽基周宏枢家工程款已全部结清，以后任何工程款由谢祥灯负责"。承包人事后委托浙江省建设工程概预算编审资格管理办公室作出预算书，主张455000元远低于实际支出；诉讼中温州东瓯会计事务所出具东瓯会审价字（2009）169号造价鉴定报告。胜负手却在笔迹：温州律证、杭州明皓两家鉴定机构的意见认为收条签名非谢祥灯所写，而司法鉴定科学技术研究所司法鉴定中心的意见认定"谢祥灯""贾永西"签名分别系本人所写——法院采信了后者，理由包括鉴定机构有资质、程序合法，且与2008年12月12日对见证人的询问笔录相互印证。一张收条，三份针锋相对的专业意见，最终靠"鉴定资质+程序+旁证"三要素定音。工程企业的收条管理由此获得一条铁律：结清条款要写得具体到币种、范围与放弃声明，签署环节保留影像与见证，因为十年后它要独自扛住三轮鉴定轰炸。司法鉴定的选择与质证技术见第9章。</w:t>
      </w:r>
    </w:p>
    <w:p>
      <w:pPr>
        <w:pStyle w:val="Heading2"/>
      </w:pPr>
      <w:r>
        <w:t>8.8 程序武器箱：反诉、管辖、撤诉成本与执行反击</w:t>
      </w:r>
    </w:p>
    <w:p>
      <w:r>
        <w:rPr>
          <w:rFonts w:ascii="Calibri" w:hAnsi="Calibri" w:eastAsia="微软雅黑"/>
          <w:b w:val="0"/>
          <w:i w:val="0"/>
          <w:sz w:val="22"/>
        </w:rPr>
        <w:t>实体之外，反索赔还有一整层程序装备。</w:t>
      </w:r>
    </w:p>
    <w:p>
      <w:r>
        <w:rPr>
          <w:rFonts w:ascii="Calibri" w:hAnsi="Calibri" w:eastAsia="微软雅黑"/>
          <w:b w:val="0"/>
          <w:i w:val="0"/>
          <w:sz w:val="22"/>
        </w:rPr>
        <w:t>反诉的合并审理。荣成案的原被告标签是"原告（反诉被告）"与"被告（反诉原告）"——发包方的维修费请求294620.28元与承包人的欠款请求1469961.15元在同一案里对冲，节约两场诉讼的时间与费用。总承包商收到索赔起诉状时，第一周就要评估反诉请求是否成案，错过举证期再提，成本翻倍。</w:t>
      </w:r>
    </w:p>
    <w:p>
      <w:r>
        <w:rPr>
          <w:rFonts w:ascii="Calibri" w:hAnsi="Calibri" w:eastAsia="微软雅黑"/>
          <w:b w:val="0"/>
          <w:i w:val="0"/>
          <w:sz w:val="22"/>
        </w:rPr>
        <w:t>管辖的不可协商底线。黑龙江省水利水电集团第二工程有限公司与塔河县红平运输队案（（2020）黑27民辖终7号）裁定：依据《最高人民法院关于适用〈中华人民共和国民事诉讼法〉的解释》第二十八条，建设工程施工合同纠纷按照不动产纠纷确定管辖；涉案工程施工地马伦村归属黑龙江省塔河县，故塔河县人民法院享有管辖权，上诉被驳回、维持原裁定。该案上诉人主张"未签订书面合同故无从约定管辖、应移送被告住所地"，这一抗辩在专属管辖规则面前无效。争议路径的整体选择策略见第9章。</w:t>
      </w:r>
    </w:p>
    <w:p>
      <w:r>
        <w:rPr>
          <w:rFonts w:ascii="Calibri" w:hAnsi="Calibri" w:eastAsia="微软雅黑"/>
          <w:b w:val="0"/>
          <w:i w:val="0"/>
          <w:sz w:val="22"/>
        </w:rPr>
        <w:t>撤诉的价格标签。蔡维林与福建省高德工程建设有限公司案（（2013）德民初字第2869号）原告以"本案事实无法查清"申请撤诉获准，案件受理费3914元减半收取1957元由其负担；上海盈创与南京国豪案（（2012）扬邗民初字第2439-1号）撤诉获准，受理费16347元减半为8173.50元。反索赔准备不足时硬扛开庭，与仓促撤诉再诉，两边的账都要提前算。</w:t>
      </w:r>
    </w:p>
    <w:p>
      <w:r>
        <w:rPr>
          <w:rFonts w:ascii="Calibri" w:hAnsi="Calibri" w:eastAsia="微软雅黑"/>
          <w:b w:val="0"/>
          <w:i w:val="0"/>
          <w:sz w:val="22"/>
        </w:rPr>
        <w:t>赢了判决之后的执行反击。乔文波与中十治集团有限公司案（（2019）豫1222执886号之四），申请执行人2019年12月2日书面申请撤销执行，法院裁定终结执行——拿到胜诉判决不等于拿到钱。孙计玲等与上海禧诚装饰工程有限公司案（（2021）浙0211执异62号之一）展示了追偿的深挖路径：禧诚公司2011年5月由朱斌与浦方方夫妻共同发起设立，认缴注册资本50万元，朱斌持股90% [own_calc:源自上下文推算]、浦方方持股10% [own_calc:源自上下文推算]；公司名下无财产可供执行后，申请人依据《最高人民法院关于民事执行中变更、追加当事人若干问题的规定》第二十条申请追加二股东为被执行人。击退反索赔之后，工程企业的债权保卫战才刚进入下半场，公司结构与股东出资是最后的矿脉。</w:t>
      </w:r>
    </w:p>
    <w:p>
      <w:pPr>
        <w:pStyle w:val="Heading2"/>
      </w:pPr>
      <w:r>
        <w:t>8.9 反索赔防御清单：上庭前逐项打钩</w:t>
      </w:r>
    </w:p>
    <w:p>
      <w:r>
        <w:rPr>
          <w:rFonts w:ascii="Calibri" w:hAnsi="Calibri" w:eastAsia="微软雅黑"/>
          <w:b w:val="0"/>
          <w:i w:val="0"/>
          <w:sz w:val="22"/>
        </w:rPr>
        <w:t>把本章判例沉淀为十问，法务与项目经理在收到对方索赔或拟发起反索赔时逐项核对：</w:t>
      </w:r>
    </w:p>
    <w:p>
      <w:pPr>
        <w:pStyle w:val="ListNumber"/>
      </w:pPr>
      <w:r>
        <w:rPr>
          <w:rFonts w:ascii="Calibri" w:hAnsi="Calibri" w:eastAsia="微软雅黑"/>
          <w:b w:val="0"/>
          <w:i w:val="0"/>
          <w:sz w:val="22"/>
        </w:rPr>
        <w:t>对方主张的三项实质性内容（价款、质量、工期）各落在哪份文件、哪个条款、哪一行？</w:t>
      </w:r>
    </w:p>
    <w:p>
      <w:pPr>
        <w:pStyle w:val="ListNumber"/>
      </w:pPr>
      <w:r>
        <w:rPr>
          <w:rFonts w:ascii="Calibri" w:hAnsi="Calibri" w:eastAsia="微软雅黑"/>
          <w:b w:val="0"/>
          <w:i w:val="0"/>
          <w:sz w:val="22"/>
        </w:rPr>
        <w:t>中标后有无追加的创优、保证金、对赌约定？若有，对照《招标投标法》第四十六条第一款评估无效空间。</w:t>
      </w:r>
    </w:p>
    <w:p>
      <w:pPr>
        <w:pStyle w:val="ListNumber"/>
      </w:pPr>
      <w:r>
        <w:rPr>
          <w:rFonts w:ascii="Calibri" w:hAnsi="Calibri" w:eastAsia="微软雅黑"/>
          <w:b w:val="0"/>
          <w:i w:val="0"/>
          <w:sz w:val="22"/>
        </w:rPr>
        <w:t>项目是否必须招标？是否存在先定后招、挂靠、无资质情形？合同效力先于违约定责。</w:t>
      </w:r>
    </w:p>
    <w:p>
      <w:pPr>
        <w:pStyle w:val="ListNumber"/>
      </w:pPr>
      <w:r>
        <w:rPr>
          <w:rFonts w:ascii="Calibri" w:hAnsi="Calibri" w:eastAsia="微软雅黑"/>
          <w:b w:val="0"/>
          <w:i w:val="0"/>
          <w:sz w:val="22"/>
        </w:rPr>
        <w:t>质量扣款有无分类：已发生修理费凭发票，未发生部分凭鉴定？两类证据是否分开质证？</w:t>
      </w:r>
    </w:p>
    <w:p>
      <w:pPr>
        <w:pStyle w:val="ListNumber"/>
      </w:pPr>
      <w:r>
        <w:rPr>
          <w:rFonts w:ascii="Calibri" w:hAnsi="Calibri" w:eastAsia="微软雅黑"/>
          <w:b w:val="0"/>
          <w:i w:val="0"/>
          <w:sz w:val="22"/>
        </w:rPr>
        <w:t>竣工日期改过几版？补充协议与实际竣工日的间隔算过吗？付款节点违约是否与之对冲？</w:t>
      </w:r>
    </w:p>
    <w:p>
      <w:pPr>
        <w:pStyle w:val="ListNumber"/>
      </w:pPr>
      <w:r>
        <w:rPr>
          <w:rFonts w:ascii="Calibri" w:hAnsi="Calibri" w:eastAsia="微软雅黑"/>
          <w:b w:val="0"/>
          <w:i w:val="0"/>
          <w:sz w:val="22"/>
        </w:rPr>
        <w:t>税金、发票、前期往来款中藏着哪些抵销接口？我方已开票金额能否与每笔付款一一对应？</w:t>
      </w:r>
    </w:p>
    <w:p>
      <w:pPr>
        <w:pStyle w:val="ListNumber"/>
      </w:pPr>
      <w:r>
        <w:rPr>
          <w:rFonts w:ascii="Calibri" w:hAnsi="Calibri" w:eastAsia="微软雅黑"/>
          <w:b w:val="0"/>
          <w:i w:val="0"/>
          <w:sz w:val="22"/>
        </w:rPr>
        <w:t>分包链条上有无明示禁止分包条款被项目层突破？欠条、结算单上的数字与核算底稿是否一致？</w:t>
      </w:r>
    </w:p>
    <w:p>
      <w:pPr>
        <w:pStyle w:val="ListNumber"/>
      </w:pPr>
      <w:r>
        <w:rPr>
          <w:rFonts w:ascii="Calibri" w:hAnsi="Calibri" w:eastAsia="微软雅黑"/>
          <w:b w:val="0"/>
          <w:i w:val="0"/>
          <w:sz w:val="22"/>
        </w:rPr>
        <w:t>结算确认覆盖到哪个工程段落？未确认部分的金额与放弃主张的代价是否已量化？</w:t>
      </w:r>
    </w:p>
    <w:p>
      <w:pPr>
        <w:pStyle w:val="ListNumber"/>
      </w:pPr>
      <w:r>
        <w:rPr>
          <w:rFonts w:ascii="Calibri" w:hAnsi="Calibri" w:eastAsia="微软雅黑"/>
          <w:b w:val="0"/>
          <w:i w:val="0"/>
          <w:sz w:val="22"/>
        </w:rPr>
        <w:t>收条、结清声明是否具体到范围与放弃声明？签署影像与见证是否留存？</w:t>
      </w:r>
    </w:p>
    <w:p>
      <w:pPr>
        <w:pStyle w:val="ListNumber"/>
      </w:pPr>
      <w:r>
        <w:rPr>
          <w:rFonts w:ascii="Calibri" w:hAnsi="Calibri" w:eastAsia="微软雅黑"/>
          <w:b w:val="0"/>
          <w:i w:val="0"/>
          <w:sz w:val="22"/>
        </w:rPr>
        <w:t>反诉是否在举证期限内提出？管辖是否落在工程所在地？执行阶段的股东追加路径是否预研？</w:t>
      </w:r>
    </w:p>
    <w:p>
      <w:r>
        <w:rPr>
          <w:rFonts w:ascii="Calibri" w:hAnsi="Calibri" w:eastAsia="微软雅黑"/>
          <w:b w:val="0"/>
          <w:i w:val="0"/>
          <w:sz w:val="22"/>
        </w:rPr>
        <w:t>清单不能替代律师，但能把第一次内部会议从慌乱变成排程。反索赔的本质是对方的成本工程：你每补上一格证据，对方盾牌的制造成本就上升一档；当制造成本高过索赔金额，庭外和解的窗口自然打开。</w:t>
      </w:r>
    </w:p>
    <w:p>
      <w:r>
        <w:rPr>
          <w:rFonts w:ascii="Calibri" w:hAnsi="Calibri" w:eastAsia="微软雅黑"/>
          <w:b w:val="0"/>
          <w:i w:val="0"/>
          <w:sz w:val="22"/>
        </w:rPr>
        <w:t>---</w:t>
      </w:r>
    </w:p>
    <w:p>
      <w:pPr>
        <w:pStyle w:val="Heading1"/>
      </w:pPr>
      <w:r>
        <w:t>第9章 争议解决：谈判、调解、仲裁与诉讼</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工程企业的法务、经营与项目经理对争议解决条款的常见态度，是签约时照抄模板、出事后才找律师。EPC项目的结构性特点让这种做法代价高昂：一个项目同时运行总包合同、分包合同、联合体协议等多份文件，任何一份的争议条款与其他文件冲突，纠纷爆发时先要打一场程序仗。本章沿条款设计、仲裁效力、撤裁数据、调仲衔接、诉讼攻防、新规与跨境六条战线展开，每一节均给出可直接核验的案例、条文与数据。</w:t>
      </w:r>
    </w:p>
    <w:p>
      <w:pPr>
        <w:pStyle w:val="Heading2"/>
      </w:pPr>
      <w:r>
        <w:t>9.1 同一个EPC，两种争议方式：条款冲突的裁判尺度</w:t>
      </w:r>
    </w:p>
    <w:p>
      <w:r>
        <w:rPr>
          <w:rFonts w:ascii="Calibri" w:hAnsi="Calibri" w:eastAsia="微软雅黑"/>
          <w:b w:val="0"/>
          <w:i w:val="0"/>
          <w:sz w:val="22"/>
        </w:rPr>
        <w:t>《中华人民共和国民事诉讼法》与《中华人民共和国仲裁法》分别确立诉讼、仲裁两条通道，一般合同纠纷择一写清即可；工程总承包项目的难点在于多合同并行，不同文件各说各话。</w:t>
      </w:r>
    </w:p>
    <w:p>
      <w:r>
        <w:rPr>
          <w:rFonts w:ascii="Calibri" w:hAnsi="Calibri" w:eastAsia="微软雅黑"/>
          <w:b w:val="0"/>
          <w:i w:val="0"/>
          <w:sz w:val="22"/>
        </w:rPr>
        <w:t>第一种典型：原告仅与部分被告签有仲裁协议。（2018）最高法民终433号案中，中石油工程设计公司与胜利油建公司组成联合体总承包某项目，胜利油建公司因工程款支付问题，将昆仑燃气公司、天然气利用公司、天然气输配公司、工程设计公司四家公司一并诉至法院。其中，天然气输配公司与总包方签订的《总承包合同》明确约定争议提请仲裁，仲裁机构为临沂仲裁委员会。一审法院援引民事诉讼法第一百二十四条第二项、《最高人民法院关于适用〈中华人民共和国民事诉讼法〉的解释》第二百零八条第三款，裁定驳回起诉；二审改判，指出本案起诉涉及三份合同，仅一份约定仲裁管辖，另外两份并未约定有效仲裁条款，仅凭一份合同中的仲裁条款驳回对四名被告的起诉，适用法律不当。</w:t>
      </w:r>
    </w:p>
    <w:p>
      <w:r>
        <w:rPr>
          <w:rFonts w:ascii="Calibri" w:hAnsi="Calibri" w:eastAsia="微软雅黑"/>
          <w:b w:val="0"/>
          <w:i w:val="0"/>
          <w:sz w:val="22"/>
        </w:rPr>
        <w:t>第二种典型：先后签订的多份协议各自指向不同程序。（2020）京民终229号案中，2009年1月，发包人合生北方公司与中建四局、广东韩江建筑公司组成的联合体签订《执行合同》，约定争议由工程所在地法院管辖；2009年11月，合生北方公司又单独与中建四局签订《总包合同》并备案，改约北京仲裁委员会管辖；2016年，中建四局依备案《总包合同》向北京仲裁委员会申请仲裁。程序归属之争横亘在实体争议之前，时间成本先于工程款争议本身发生。</w:t>
      </w:r>
    </w:p>
    <w:p>
      <w:r>
        <w:rPr>
          <w:rFonts w:ascii="Calibri" w:hAnsi="Calibri" w:eastAsia="微软雅黑"/>
          <w:b w:val="0"/>
          <w:i w:val="0"/>
          <w:sz w:val="22"/>
        </w:rPr>
        <w:t>经营端的对应动作有三。逐份清理总包、分包、联合体协议的争议条款，需要合并处理的关联纠纷统一机构与程序；备案文本与履行文本不一致时提前测算结算风险，湖南高院湘高法【2022】102号解答第53条给出的规则是：中标合同有效，以中标合同作为结算依据；各合同均无效的，以实际履行的合同作为结算依据，无法区分时以后签订的合同作为结算依据；再辅以江苏高院审委会纪要〔2018〕3号的确认——合同履行完毕后达成的结算协议具有独立性，施工合同是否有效不影响结算协议的效力，把结算防线独立于效力争议之外。</w:t>
      </w:r>
    </w:p>
    <w:p>
      <w:pPr>
        <w:pStyle w:val="Heading2"/>
      </w:pPr>
      <w:r>
        <w:t>9.2 机构选定不明：仲裁条款无效的三类典型</w:t>
      </w:r>
    </w:p>
    <w:p>
      <w:r>
        <w:rPr>
          <w:rFonts w:ascii="Calibri" w:hAnsi="Calibri" w:eastAsia="微软雅黑"/>
          <w:b w:val="0"/>
          <w:i w:val="0"/>
          <w:sz w:val="22"/>
        </w:rPr>
        <w:t>《仲裁法》第十六条规定仲裁协议应当具备请求仲裁的意思表示、仲裁事项、选定的仲裁委员会；第十八条规定对仲裁事项或仲裁委员会没有约定或约定不明、达不成补充协议的，仲裁协议无效。实务翻车几乎全部集中在第三项。</w:t>
      </w:r>
    </w:p>
    <w:p>
      <w:r>
        <w:rPr>
          <w:rFonts w:ascii="Calibri" w:hAnsi="Calibri" w:eastAsia="微软雅黑"/>
          <w:b w:val="0"/>
          <w:i w:val="0"/>
          <w:sz w:val="22"/>
        </w:rPr>
        <w:t>第一类，只写"提交仲裁委员会"而不指明机构。（2019）鄂01民特286号案中，武汉锦炫灿市政工程有限公司与李某国2014年11月1日签订的《机械设备租赁合同》第八条即作此约定，法院认定条款无效。</w:t>
      </w:r>
    </w:p>
    <w:p>
      <w:r>
        <w:rPr>
          <w:rFonts w:ascii="Calibri" w:hAnsi="Calibri" w:eastAsia="微软雅黑"/>
          <w:b w:val="0"/>
          <w:i w:val="0"/>
          <w:sz w:val="22"/>
        </w:rPr>
        <w:t>第二类，以地点指代机构而当地机构并存。（2022）鲁01民特53号案中，山东舜德砼业有限公司与中铁铁工城市建设有限公司约定的"签订地仲裁委"指向济南，而合同签订时济南既有济南仲裁委员会，又有中国国际经济贸易仲裁委员会山东分会，机构选定不明确，条款无效。</w:t>
      </w:r>
    </w:p>
    <w:p>
      <w:r>
        <w:rPr>
          <w:rFonts w:ascii="Calibri" w:hAnsi="Calibri" w:eastAsia="微软雅黑"/>
          <w:b w:val="0"/>
          <w:i w:val="0"/>
          <w:sz w:val="22"/>
        </w:rPr>
        <w:t>第三类，指向的地点根本没有仲裁机构。（2022）京04民特229号案中，大唐环境产业集团股份有限公司面对的条款约定"发包方所在地仲裁机构"，因该地并无仲裁机构且双方未能达成补充协议，约定无效。</w:t>
      </w:r>
    </w:p>
    <w:p>
      <w:r>
        <w:rPr>
          <w:rFonts w:ascii="Calibri" w:hAnsi="Calibri" w:eastAsia="微软雅黑"/>
          <w:b w:val="0"/>
          <w:i w:val="0"/>
          <w:sz w:val="22"/>
        </w:rPr>
        <w:t>防错动作只有三条：写机构全称、写明仲裁地、总包与分包链条统一机构。条款生效后的救济通道确实存在——《仲裁法》第五十八条、第六十三条分别赋予当事人请求撤销仲裁裁决、请求不予执行仲裁裁决的权利，但法定事由严格列举，签约阶段的疏漏很难靠事后程序挽回。</w:t>
      </w:r>
    </w:p>
    <w:p>
      <w:pPr>
        <w:pStyle w:val="Heading2"/>
      </w:pPr>
      <w:r>
        <w:t>9.3 撤裁数据画像：1068件申请、82件撤销</w:t>
      </w:r>
    </w:p>
    <w:p>
      <w:r>
        <w:rPr>
          <w:rFonts w:ascii="Calibri" w:hAnsi="Calibri" w:eastAsia="微软雅黑"/>
          <w:b w:val="0"/>
          <w:i w:val="0"/>
          <w:sz w:val="22"/>
        </w:rPr>
        <w:t>选择仲裁前，管理层需要一份量化底账。上海市建纬律师事务所徐寅哲、常祥对2017年至2021年法院认定涉及建设工程施工合同纠纷的仲裁撤裁案件作了梳理（数据来自威科先行·法律信息库）：申请撤裁数除2018年一度达到254件外，各年基本稳定在200件上下；近5年样本合计共1068件，其中82件裁决最终被法院撤销，撤裁比例约为7.68%。</w:t>
      </w:r>
    </w:p>
    <w:p>
      <w:r>
        <w:rPr>
          <w:rFonts w:ascii="Calibri" w:hAnsi="Calibri" w:eastAsia="微软雅黑"/>
          <w:b w:val="0"/>
          <w:i w:val="0"/>
          <w:sz w:val="22"/>
        </w:rPr>
        <w:t>一裁终局是仲裁的根本生命力，撤裁通道法定且狭窄，7.68%的撤销率提示：程序瑕疵的账要算在签约与履约两端，而非寄望裁决作出后再翻盘。建纬研究的提示清单覆盖施工资质、施工质量、安全、经营合规（违法发包、转包、违法分包、挂靠等）、审计监督、司法鉴定。落到项目部语言：资质文件与实际施工主体的对应关系、质量安全内业资料的完整性、转分包链条的合法性、造价鉴定原始凭证的可追溯性——这四类证据的日常管理水平，直接决定仲裁庭认定事实的稳定程度，也决定对方在撤裁程序中能否找到程序攻击点。</w:t>
      </w:r>
    </w:p>
    <w:p>
      <w:pPr>
        <w:pStyle w:val="Heading2"/>
      </w:pPr>
      <w:r>
        <w:t>9.4 调解优先与调仲衔接：四种模式、一部新法</w:t>
      </w:r>
    </w:p>
    <w:p>
      <w:r>
        <w:rPr>
          <w:rFonts w:ascii="Calibri" w:hAnsi="Calibri" w:eastAsia="微软雅黑"/>
          <w:b w:val="0"/>
          <w:i w:val="0"/>
          <w:sz w:val="22"/>
        </w:rPr>
        <w:t>2026年3月1日，新《中华人民共和国仲裁法》落地生效；首部专门规范商事调解活动的行政法规《商事调解条例》也已施行。制度工具箱里，调仲衔接已有四种成熟模式：调解转仲裁（先调后裁）、调解协议仲裁确认、仲裁内嵌调解、仲裁调解循环衔接。</w:t>
      </w:r>
    </w:p>
    <w:p>
      <w:r>
        <w:rPr>
          <w:rFonts w:ascii="Calibri" w:hAnsi="Calibri" w:eastAsia="微软雅黑"/>
          <w:b w:val="0"/>
          <w:i w:val="0"/>
          <w:sz w:val="22"/>
        </w:rPr>
        <w:t>条文层面直接可用者有三。《商事调解条例》第十五条规定，发生商事争议的，当事人可以向商事调解组织申请调解；《仲裁法》第三十条第二款明确"仲裁庭有权确认合同的效力"，调解机构达成的协议可经仲裁审查确认转化为裁决书；《仲裁法》第六十四条规定，仲裁庭在作出裁决前可以先行调解，当事人自愿调解的应当调解，调解不成的应当及时作出裁决，调解达成协议的应当制作调解书或根据协议结果制作裁决书，调解书与裁决书具有同等法律效力。确认程序对自愿性、真实性、合法性分头把关：排除欺诈、胁迫与重大误解，防范虚构纠纷、虚假调解，审查内容是否违反强制性规定或损害公共利益、第三人权益。</w:t>
      </w:r>
    </w:p>
    <w:p>
      <w:r>
        <w:rPr>
          <w:rFonts w:ascii="Calibri" w:hAnsi="Calibri" w:eastAsia="微软雅黑"/>
          <w:b w:val="0"/>
          <w:i w:val="0"/>
          <w:sz w:val="22"/>
        </w:rPr>
        <w:t>收益兑现在执行端：经确认的调解协议转化为裁决书后，可依《纽约公约》在全球170多个国家和地区申请执行，传统调解协议跨境执行难的困局由此打开。落地样本已经出现——厦门本地6亿元大额商事纠纷完成24小时调仲对接首案。机构侧同步迭代：贸仲在成立70周年节点推出第十版仲裁规则，内含数字化改革、调解转裁决、阶梯式仲裁费减免等机制；武汉仲裁委员会（武汉国际仲裁中心）国内仲裁规则（2026年版）经第六届武汉仲裁委员会第一次全体会议审议通过，自2026年7月1日起施行，其第四条写明放弃异议权——知道或应当知道规则或仲裁协议条款未被遵守仍参加或继续参加程序、经有效通知无正当理由缺席审理且未及时书面异议的，视为放弃异议权利，程序拖延战术由此受限。</w:t>
      </w:r>
    </w:p>
    <w:p>
      <w:r>
        <w:rPr>
          <w:rFonts w:ascii="Calibri" w:hAnsi="Calibri" w:eastAsia="微软雅黑"/>
          <w:b w:val="0"/>
          <w:i w:val="0"/>
          <w:sz w:val="22"/>
        </w:rPr>
        <w:t>国际工程侧，2017版银皮书DAAB条款承载着FIDIC争端解决机制的沿革，也对国内工程多元化纠纷解决机制具有启示；《国际工程与劳务》杂志2026年第11期专题即为"调解优先 多元衔接——国际工程争议解决的实践路径"，约稿方向覆盖FIDIC DAAB机制与调解仲裁衔接、境内争议解决资源实操与跨境执行。相比对抗式程序，调解具有成本低、周期短、程序灵活的特点，国际调解院等新型争端解决平台为全球基建领域提供了新载体；"调解优先"并非诉讼和仲裁的平替，三者有机衔接才是完整解纷路径。</w:t>
      </w:r>
    </w:p>
    <w:p>
      <w:pPr>
        <w:pStyle w:val="Heading2"/>
      </w:pPr>
      <w:r>
        <w:t>9.5 诉讼战场：三个高频攻防点</w:t>
      </w:r>
    </w:p>
    <w:p>
      <w:r>
        <w:rPr>
          <w:rFonts w:ascii="Calibri" w:hAnsi="Calibri" w:eastAsia="微软雅黑"/>
          <w:b w:val="0"/>
          <w:i w:val="0"/>
          <w:sz w:val="22"/>
        </w:rPr>
        <w:t>即便约定了仲裁，围绕工程款的系列诉讼仍会多点爆发，三个方向需要法务重点布防。</w:t>
      </w:r>
    </w:p>
    <w:p>
      <w:r>
        <w:rPr>
          <w:rFonts w:ascii="Calibri" w:hAnsi="Calibri" w:eastAsia="微软雅黑"/>
          <w:b w:val="0"/>
          <w:i w:val="0"/>
          <w:sz w:val="22"/>
        </w:rPr>
        <w:t>其一，虚假诉讼。某集团公司将外墙装修工程转包给某新型建材公司，生效判决判令其支付工程款77万余元后，该集团公司以质量问题另诉，索赔维修损失124万余元，并提交维修合同、施工日志、转账流水。法院穿透审查银行流水发现：其向案外人的转账均在当日全额回流至关联账户，无真实交易背景，维修合同与施工日志存在明显伪造痕迹，遂依《中华人民共和国民事诉讼法》第一百一十五条认定构成虚假诉讼，判决驳回诉讼请求并处司法惩戒30万元（案件来源于新乡市中级人民法院）。发包人、转包人被追索工程款后以质量问题反诉或另案起诉，正是建工领域虚假诉讼的高发形态；施工方对维修事实与资金往来留痕，是对这类攻击最硬的防御。</w:t>
      </w:r>
    </w:p>
    <w:p>
      <w:r>
        <w:rPr>
          <w:rFonts w:ascii="Calibri" w:hAnsi="Calibri" w:eastAsia="微软雅黑"/>
          <w:b w:val="0"/>
          <w:i w:val="0"/>
          <w:sz w:val="22"/>
        </w:rPr>
        <w:t>其二，代位权。某幕墙公司与某置业公司签订《幕墙工程施工合同》，工程竣工验收后完成结算，置业公司经营不善丧失偿债能力，幕墙公司转而起诉购房人某银行，要求其在欠付购房款范围内代位支付。法院查明：该银行原欠付置业公司购房款3514万余元，但在代位权诉讼期间该笔款项已被另案全部扣划完毕，次债务实际消灭，代位基础不复存在，诉请被驳。行权须满足《中华人民共和国民法典》第五百三十五条的构成要件——债权人对债务人的债权合法且到期、债务人对次债务人的债权合法且到期、债务人怠于行使权利影响债权人债权实现；《最高人民法院关于审理建设工程施工合同纠纷案件适用法律问题的解释（二）》第七条并明确，借用资质、接受转包或违法分包的施工主体可借代位权向发包人主张权利。次债务人资金实力雄厚不等于责任成立，债权存在性核查要先于起诉。</w:t>
      </w:r>
    </w:p>
    <w:p>
      <w:r>
        <w:rPr>
          <w:rFonts w:ascii="Calibri" w:hAnsi="Calibri" w:eastAsia="微软雅黑"/>
          <w:b w:val="0"/>
          <w:i w:val="0"/>
          <w:sz w:val="22"/>
        </w:rPr>
        <w:t>其三，背靠背条款。《最高人民法院关于大型企业与中小企业约定以第三方支付款项为付款前提条款效力问题的批复》明确：大型企业在建设工程施工、采购货物或者服务过程中，与中小企业约定以收到第三方向其支付的款项为付款前提的，因内容违反《保障中小企业款项支付条例》第六条、第八条，人民法院应当依民法典第一百五十三条第一款认定该约定条款无效。企业规模有硬标准——按《统计上大中小微型企业划分办法（2017）》，建筑行业大型企业需满足主营业收入和资产总额均在8亿元以上。（2026）最高法民申1803号裁定即涉及该批复适用。分包商据此主张付款条款无效时，总包方"以收定付"的资金安排将失去合同屏障。</w:t>
      </w:r>
    </w:p>
    <w:p>
      <w:pPr>
        <w:pStyle w:val="Heading2"/>
      </w:pPr>
      <w:r>
        <w:t>9.6 2026年新规坐标与跨境路径</w:t>
      </w:r>
    </w:p>
    <w:p>
      <w:r>
        <w:rPr>
          <w:rFonts w:ascii="Calibri" w:hAnsi="Calibri" w:eastAsia="微软雅黑"/>
          <w:b w:val="0"/>
          <w:i w:val="0"/>
          <w:sz w:val="22"/>
        </w:rPr>
        <w:t>国内规则面，最高人民法院《关于审理建设工程施工合同纠纷案件适用法律问题的解释（二）》（下称《建工解释（二）》）于2026年3月17日经审判委员会第1969次会议审议通过，2026年6月30日起施行：全文共二十三条，除第二十三条为施行效力条文外，其余二十二条均针对实务痛点，可归并为七大规则群——招投标合同效力、出借资质（挂靠）法律后果、转包与违法分包权利救济路径重构、工程质量与合同解除退场移交、固定价格与折价补偿及审计财审结算、质保金与瑕疵修复责任、建设工程价款优先受偿权。代理策略需按新规则重校：出借资质以"发包人知情"为核心的责任分配、从"实际施工人"转向代位权的救济重塑，都会改写当事人在程序中的站位。</w:t>
      </w:r>
    </w:p>
    <w:p>
      <w:r>
        <w:rPr>
          <w:rFonts w:ascii="Calibri" w:hAnsi="Calibri" w:eastAsia="微软雅黑"/>
          <w:b w:val="0"/>
          <w:i w:val="0"/>
          <w:sz w:val="22"/>
        </w:rPr>
        <w:t>跨境面是三块拼图。最高人民法院法释〔2025〕3号批复打通第一块：在粤港澳大湾区内地九市注册登记的港资投资企业（含独资、合资、合作），即便交易主体、履行地、标的均位于内地、无任何传统涉港涉外因素，约定适用香港特别行政区法律、约定香港为仲裁地并提交香港仲裁机构仲裁的，内地法院应当认定仲裁协议合法有效，"内地交易场景+香港实体法适用+香港仲裁管辖+内地司法保全+两地执行安排"成为确定选项。第二块是香港侧的时间表：香港特区政府2026年9月16日公布《香港特别行政区经济和社会发展第一个五年规划（2026—2030年）》，把深化国际法律及解决争议服务中心建设列入"发挥国际化优势"部分首位——调解条例草案2026年底前提交立法会，《仲裁条例》修订争取2027年内完成，国际商事法庭正在筹建。第三块是制度公信与业务体量：香港是中国境内唯一的普通法法域，由《基本法》保障；《2025年国际仲裁调查报告》将香港与新加坡并列为全球第二最受欢迎仲裁地、亚太首位；而2024年中国对外直接投资流量1,922亿美元、存量3.14万亿美元，争议早已从货款纠纷扩展到海外工程、合资经营、东道国监管——争议条款签在何处、如何起草，直接决定裁决日后能否执行到位。</w:t>
      </w:r>
    </w:p>
    <w:p>
      <w:pPr>
        <w:pStyle w:val="Heading2"/>
      </w:pPr>
      <w:r>
        <w:t>9.7 争议解决条款的年度审计清单</w:t>
      </w:r>
    </w:p>
    <w:p>
      <w:r>
        <w:rPr>
          <w:rFonts w:ascii="Calibri" w:hAnsi="Calibri" w:eastAsia="微软雅黑"/>
          <w:b w:val="0"/>
          <w:i w:val="0"/>
          <w:sz w:val="22"/>
        </w:rPr>
        <w:t>把本章压缩成项目与法务可执行的年度动作：核对全部在履合同的争议条款一致性，标注机构全称与仲裁地；对总包与分包链条做机构统一性检查；按湘高法【2022】102号第53条预演黑白合同的结算依据；对照《仲裁法》第十六条三要素自测每份仲裁条款；把资质、质量安全资料、转分包合法性、造价原始凭证四类证据纳入日常归档；跟踪2026年6月30日施行的《建工解释（二）》与调仲衔接实践，更新合同模板。条款审计的成本以小时计，程序失控的代价以年计——这笔账，法务有责任在年度合规计划里替经营层算清。</w:t>
      </w:r>
    </w:p>
    <w:p>
      <w:r>
        <w:rPr>
          <w:rFonts w:ascii="Calibri" w:hAnsi="Calibri" w:eastAsia="微软雅黑"/>
          <w:b w:val="0"/>
          <w:i w:val="0"/>
          <w:sz w:val="22"/>
        </w:rPr>
        <w:t>---</w:t>
      </w:r>
    </w:p>
    <w:p>
      <w:pPr>
        <w:pStyle w:val="Heading1"/>
      </w:pPr>
      <w:r>
        <w:t>第10章 FIDIC 与国际合同：出海工程的保护伞</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海外业主递来的合同文本，往往不是国内范本，而是一整套FIDIC条件。对工程企业的法务、经营与项目经理而言，读懂这套体系是投标决策的前置动作：同类地质风险、同类业主延迟，在不同范本下由谁买单，答案完全不同。本章把银行材料里可核验的规则坐标、判例坐标与数据坐标串成一条出海作战线。</w:t>
      </w:r>
    </w:p>
    <w:p>
      <w:pPr>
        <w:pStyle w:val="Heading2"/>
      </w:pPr>
      <w:r>
        <w:t>10.1 FIDIC是一门风险分担的语言</w:t>
      </w:r>
    </w:p>
    <w:p>
      <w:r>
        <w:rPr>
          <w:rFonts w:ascii="Calibri" w:hAnsi="Calibri" w:eastAsia="微软雅黑"/>
          <w:b w:val="0"/>
          <w:i w:val="0"/>
          <w:sz w:val="22"/>
        </w:rPr>
        <w:t>FIDIC合同体系自1957年发展至2017年，跨度60年，其文本演化几乎就是国际工程风险分担规则的编年史。学界已把两套范本并置对照——《FIDIC银皮书与〈工程总承包合同范本〉风险分担比较研究》这类研究的实务指向只有一个：银皮书与《工程总承包合同范本》的风险分担逻辑并非同构，照搬国内报价与风控经验去投国际标，等于带着错配的地图上路。投标评审阶段就应逐条比对差异点，重点盯住不利物质条件、暂停与终止三类条款的归责方向。</w:t>
      </w:r>
    </w:p>
    <w:p>
      <w:r>
        <w:rPr>
          <w:rFonts w:ascii="Calibri" w:hAnsi="Calibri" w:eastAsia="微软雅黑"/>
          <w:b w:val="0"/>
          <w:i w:val="0"/>
          <w:sz w:val="22"/>
        </w:rPr>
        <w:t>国内工程界已把2017版银皮书当作研究国际合同规则的基准文本。张旗、叶海、余灵颖合著的《工程总承包（EPC／DB）争议解决实战攻略》全书22.792万字[own_calc:227920/10000=22.792]，以真实争议案例的分析论证为底色；其第一章即以银皮书为样本：第4节讨论FIDIC对工程总承包合同终止的价格确定原则，第5节由2017版银皮书DAAB条款回溯FIDIC争端解决机制沿革，并引出对国内工程多元化纠纷解决机制的启示。</w:t>
      </w:r>
    </w:p>
    <w:p>
      <w:pPr>
        <w:pStyle w:val="Heading2"/>
      </w:pPr>
      <w:r>
        <w:t>10.2 银皮书落地的四个高危点</w:t>
      </w:r>
    </w:p>
    <w:p>
      <w:r>
        <w:rPr>
          <w:rFonts w:ascii="Calibri" w:hAnsi="Calibri" w:eastAsia="微软雅黑"/>
          <w:b w:val="0"/>
          <w:i w:val="0"/>
          <w:sz w:val="22"/>
        </w:rPr>
        <w:t>其一，终止时的价格确定。FIDIC对工程总承包合同终止的价格确定原则，直接决定承包人在合同终止情形下能收回多少对价。索赔团队必须在签约前谈妥清算公式、已完工程估值口径与预期利益处理方式；终止一旦发生，谈判筹码瞬间归零。</w:t>
      </w:r>
    </w:p>
    <w:p>
      <w:r>
        <w:rPr>
          <w:rFonts w:ascii="Calibri" w:hAnsi="Calibri" w:eastAsia="微软雅黑"/>
          <w:b w:val="0"/>
          <w:i w:val="0"/>
          <w:sz w:val="22"/>
        </w:rPr>
        <w:t>其二，模式变体的附加责任。"EPC+O"项目在总承包之外叠加运营义务，风险控制半径延伸至运营期；"PPP+EPC"项目中，政府方投资控制风险沿合同链条向承包人传导。出海项目常以这两种变体落地，法务审合同应单独识别运营期责任与投资控制条款，牵头方与成员之间的内部追偿及对外连带边界，也要和投标承诺保持一致。</w:t>
      </w:r>
    </w:p>
    <w:p>
      <w:r>
        <w:rPr>
          <w:rFonts w:ascii="Calibri" w:hAnsi="Calibri" w:eastAsia="微软雅黑"/>
          <w:b w:val="0"/>
          <w:i w:val="0"/>
          <w:sz w:val="22"/>
        </w:rPr>
        <w:t>其三，停工与调差。广东某火电场扩建EPC项目停工索赔案展示了未经核准的EPC项目长期停工后，施工分包人的索赔路径；材料涨价遭遇固定价格形成的调差僵局，则是汇率与通胀冲击下的高频争点。价格风险与审批风险必须在合同里预设出口。</w:t>
      </w:r>
    </w:p>
    <w:p>
      <w:r>
        <w:rPr>
          <w:rFonts w:ascii="Calibri" w:hAnsi="Calibri" w:eastAsia="微软雅黑"/>
          <w:b w:val="0"/>
          <w:i w:val="0"/>
          <w:sz w:val="22"/>
        </w:rPr>
        <w:t>其四，联合体的争议发起权。EPC联合体成员如何发起诉讼/仲裁，关系到中方联合体设计、采购、施工各板块的损失能否独立主张。联合体协议应事先写明各成员直接诉权与担保结构，避免争议爆发后互相观望。</w:t>
      </w:r>
    </w:p>
    <w:p>
      <w:pPr>
        <w:pStyle w:val="Heading2"/>
      </w:pPr>
      <w:r>
        <w:t>10.3 DAAB：把争端压回工程现场</w:t>
      </w:r>
    </w:p>
    <w:p>
      <w:r>
        <w:rPr>
          <w:rFonts w:ascii="Calibri" w:hAnsi="Calibri" w:eastAsia="微软雅黑"/>
          <w:b w:val="0"/>
          <w:i w:val="0"/>
          <w:sz w:val="22"/>
        </w:rPr>
        <w:t>FIDIC争端解决机制的沿革方向，是让争议尽量在工程进行中就地消化，而非全部涌向终局仲裁。2017版银皮书的DAAB条款承载的正是这一功能，国内研究者也将其视为多元化纠纷解决机制的参照样本。对承包人的价值有两层：工程不因争议停摆，现金流与工期中断成本被压低；裁决先于仲裁作出，双方留有体面回旋的余地。</w:t>
      </w:r>
    </w:p>
    <w:p>
      <w:r>
        <w:rPr>
          <w:rFonts w:ascii="Calibri" w:hAnsi="Calibri" w:eastAsia="微软雅黑"/>
          <w:b w:val="0"/>
          <w:i w:val="0"/>
          <w:sz w:val="22"/>
        </w:rPr>
        <w:t>管理要点相应有四条：合同谈判时确认DAAB与仲裁的衔接层次及程序期限；项目启动即组建并让委员会成员熟悉合同文本与现场，争端避免功能用足；每一次现场争端同步固定证据链，为可能升级的仲裁预留弹药；对升级时点做台账管理，逾期未决事项按约定时点自动进入下一层程序，避免程序空转。设计施工一体化的EPC项目里技术争端占比高，现场即时裁断对证据的可及性远优于事后书面对抗，这正是国内研究者反复援引其启示的原因。</w:t>
      </w:r>
    </w:p>
    <w:p>
      <w:pPr>
        <w:pStyle w:val="Heading2"/>
      </w:pPr>
      <w:r>
        <w:t>10.4 国际仲裁进入程序竞赛时代</w:t>
      </w:r>
    </w:p>
    <w:p>
      <w:r>
        <w:rPr>
          <w:rFonts w:ascii="Calibri" w:hAnsi="Calibri" w:eastAsia="微软雅黑"/>
          <w:b w:val="0"/>
          <w:i w:val="0"/>
          <w:sz w:val="22"/>
        </w:rPr>
        <w:t>国浩律师事务所卫俊2026年9月27日发表的《程序何以成为关键——国际仲裁程序机制发展的逻辑与应对》给出判断：紧急仲裁、临时措施、禁诉令以及第三方资助等制度的发展表明，程序本身正在影响争议解决的路径、成本和结果。国际仲裁正从单纯解决既有争议，向更加关注争议过程管理和利益协调的方向发展；程序功能也由单纯的案件推进机制，转向兼具风险控制和争议治理功能的制度体系。这一趋势提升了国际仲裁回应复杂商业争议的能力，同时带来程序公平、跨境协调以及当事人程序能力差异等新问题。从更深层次看，程序机制的发展反映着国际仲裁功能的变化——程序不再只是实现实体权利的形式路径，而成为影响实体权利实现条件的重要制度安排。</w:t>
      </w:r>
    </w:p>
    <w:p>
      <w:r>
        <w:rPr>
          <w:rFonts w:ascii="Calibri" w:hAnsi="Calibri" w:eastAsia="微软雅黑"/>
          <w:b w:val="0"/>
          <w:i w:val="0"/>
          <w:sz w:val="22"/>
        </w:rPr>
        <w:t>当事人在跨境争议里真正盯住的是四件事：资产是否能够得到保护、商业关系是否能够维持、关键证据是否能够及时固定、裁决是否具有实际执行可能。程序工具的丰富同样是双刃剑——该文警示了程序策略化、资源不平等以及跨境程序冲突三类风险：程序能力强的对手可用紧急仲裁冻结资产、用禁诉令压制平行程序，能力弱的一方在节奏上被牵着走。应对策略覆盖四个层面：中国企业、中国的涉外律师、中国的仲裁机构以及国家层面。落到项目上的动作有三个：把仲裁程序条款当作战术资产逐项谈；建懂国际程序的涉外律师梯队；项目存续期同步管理证据与资产安全，而非等到裁决阶段才补课。</w:t>
      </w:r>
    </w:p>
    <w:p>
      <w:pPr>
        <w:pStyle w:val="Heading2"/>
      </w:pPr>
      <w:r>
        <w:t>10.5 仲裁条款的落地技术：一份新规则样本</w:t>
      </w:r>
    </w:p>
    <w:p>
      <w:r>
        <w:rPr>
          <w:rFonts w:ascii="Calibri" w:hAnsi="Calibri" w:eastAsia="微软雅黑"/>
          <w:b w:val="0"/>
          <w:i w:val="0"/>
          <w:sz w:val="22"/>
        </w:rPr>
        <w:t>仲裁条款写得对不对，往往要到程序启动才暴露。武汉仲裁委员会（武汉国际仲裁中心）国内仲裁规则（2026年版）——经第六届武汉仲裁委员会第一次全体会议审议通过，自2026年7月1日起施行，依据《中华人民共和国仲裁法》制定——提供了四个可直接检验的条款技术点：</w:t>
      </w:r>
    </w:p>
    <w:p>
      <w:pPr>
        <w:pStyle w:val="ListBullet"/>
      </w:pPr>
      <w:r>
        <w:rPr>
          <w:rFonts w:ascii="Calibri" w:hAnsi="Calibri" w:eastAsia="微软雅黑"/>
          <w:b w:val="0"/>
          <w:i w:val="0"/>
          <w:sz w:val="22"/>
        </w:rPr>
        <w:t>名称容错。约定仲裁机构名称为武汉国际仲裁中心，或约定的机构可推定为本会，或约定由仲裁院、分会、庭审中心仲裁的，均可由本会受理并管理仲裁程序（第二条第五项）；机构亦可依案件具体情况指定仲裁院、分会或庭审中心管理案件。机构名称写得不够规范，不必然致命。</w:t>
      </w:r>
    </w:p>
    <w:p>
      <w:pPr>
        <w:pStyle w:val="ListBullet"/>
      </w:pPr>
      <w:r>
        <w:rPr>
          <w:rFonts w:ascii="Calibri" w:hAnsi="Calibri" w:eastAsia="微软雅黑"/>
          <w:b w:val="0"/>
          <w:i w:val="0"/>
          <w:sz w:val="22"/>
        </w:rPr>
        <w:t>规则即选定。当事人约定按本规则或本会制定的专业仲裁规则进行仲裁但未约定仲裁机构的，视为同意将争议提交本会仲裁（第三条第四项）；约定简化本规则规定的程序事项且不违反法律强制性规定的，从其约定（第三条第二项）——程序繁简同样是可谈变量。只写规则不写机构，条款仍可执行。</w:t>
      </w:r>
    </w:p>
    <w:p>
      <w:pPr>
        <w:pStyle w:val="ListBullet"/>
      </w:pPr>
      <w:r>
        <w:rPr>
          <w:rFonts w:ascii="Calibri" w:hAnsi="Calibri" w:eastAsia="微软雅黑"/>
          <w:b w:val="0"/>
          <w:i w:val="0"/>
          <w:sz w:val="22"/>
        </w:rPr>
        <w:t>异议要趁早。知道或应当知道规则或仲裁协议任何条款未被遵守，仍参加或继续参加仲裁程序，或经有效通知无正当理由缺席审理且未及时书面异议的，视为放弃异议权（第四条）。程序瑕疵必须当场指出、书面留痕。</w:t>
      </w:r>
    </w:p>
    <w:p>
      <w:pPr>
        <w:pStyle w:val="ListBullet"/>
      </w:pPr>
      <w:r>
        <w:rPr>
          <w:rFonts w:ascii="Calibri" w:hAnsi="Calibri" w:eastAsia="微软雅黑"/>
          <w:b w:val="0"/>
          <w:i w:val="0"/>
          <w:sz w:val="22"/>
        </w:rPr>
        <w:t>受案边界。该会依法受理中国内地平等主体的自然人、法人和非法人组织之间发生的合同纠纷和其他财产权益纠纷（第五条第一项）；当事人约定适用其他仲裁规则的，从其约定（第三条第三项）。</w:t>
      </w:r>
    </w:p>
    <w:p>
      <w:r>
        <w:rPr>
          <w:rFonts w:ascii="Calibri" w:hAnsi="Calibri" w:eastAsia="微软雅黑"/>
          <w:b w:val="0"/>
          <w:i w:val="0"/>
          <w:sz w:val="22"/>
        </w:rPr>
        <w:t>这份规则的九章结构（总则、仲裁协议、申请和受理、仲裁庭、证据、审理、决定和裁决、简易程序、附则）覆盖程序全链条，可作为回国仲裁条款的对照底稿。没有仲裁协议时则退回法定管辖：黑龙江省水利水电集团第二工程有限公司与塔河县红平运输队建设工程施工合同纠纷一案（（2020）黑27民辖终7号）中，双方未签书面合同、无从约定管辖，二审法院依《最高人民法院关于适用〈中华人民共和国民事诉讼法〉的解释》第二十八条，按不动产纠纷确定管辖——施工地马伦村归属黑龙江省塔河县，塔河县人民法院据此享有管辖权，上诉被驳回。出海谈判每让掉一项争议条款，回国后就只能在类似法定轨道里周旋。</w:t>
      </w:r>
    </w:p>
    <w:p>
      <w:pPr>
        <w:pStyle w:val="Heading2"/>
      </w:pPr>
      <w:r>
        <w:t>10.6 争议底盘的年度曲线</w:t>
      </w:r>
    </w:p>
    <w:p>
      <w:r>
        <w:rPr>
          <w:rFonts w:ascii="Calibri" w:hAnsi="Calibri" w:eastAsia="微软雅黑"/>
          <w:b w:val="0"/>
          <w:i w:val="0"/>
          <w:sz w:val="22"/>
        </w:rPr>
        <w:t>国际项目讲规则，国内底盘看体量。EPC相关裁判文书的年度收录量（各年度汇编标注篇数）勾出一条陡峭曲线：2009年55篇、2010年148篇、2011年61篇、2012年216篇、2013年2170篇、2014年5275篇、2015年8654篇、2016年10763篇、2017年11716篇、2018年5754篇、2019年41550篇、2020年42935篇、2021年324篇；2009至2021共13个年份[own_calc:2021-2009+1=13]，合计129621篇[own_calc:55+148+61+216+2170+5275+8654+10763+11716+5754+41550+42935+324=129621]。曲线里两个跳变值得记录：2013年篇数是2012年的10.0倍[own_calc:2170/216≈10.0]；2019年一年增至2018年的7.2倍[own_calc:41550/5754≈7.2]，2020年再冲至峰值42935篇。2019与2020两年合计84485篇[own_calc:41550+42935=84485]，占十三年总量的65.1%[own_calc:(41550+42935)/129621≈0.651]——争议爆发向头部年份集中的态势明显。</w:t>
      </w:r>
    </w:p>
    <w:p>
      <w:r>
        <w:rPr>
          <w:rFonts w:ascii="Calibri" w:hAnsi="Calibri" w:eastAsia="微软雅黑"/>
          <w:b w:val="0"/>
          <w:i w:val="0"/>
          <w:sz w:val="22"/>
        </w:rPr>
        <w:t>争议量井喷与规则供给同步。《中华人民共和国民法典》2020年5月28日经十三届全国人大三次会议表决通过，自2021年1月1日起施行；最高人民法院对591件 [own_calc:源自上下文推算]现行司法解释及相关规范性文件进行全面清理——364件 [own_calc:源自上下文推算]与民法典规定一致、未作修改继续适用，111件 [own_calc:源自上下文推算]经修改颁布，116件 [own_calc:源自上下文推算]废止，与民法典配套的第一批7件 [own_calc:源自上下文推算]司法解释同步亮相。其中《最高人民法院关于审理建设工程施工合同纠纷案件适用法律问题的解释（一）》（法释〔2020〕25号）自2021年1月1日起正式施行，同时废止3件 [own_calc:源自上下文推算]旧解释：法释[2002]16号《建设工程价款优先受偿权批复》、法释〔2004〕14号 [own_calc:源自上下文推算]原《建设工程司法解释一》、法释〔2018〕20号 [own_calc:源自上下文推算]原《建设工程司法解释二》。出海企业回国诉讼援引规范时，务必锁定这一版本谱系。</w:t>
      </w:r>
    </w:p>
    <w:p>
      <w:pPr>
        <w:pStyle w:val="Heading2"/>
      </w:pPr>
      <w:r>
        <w:t>10.7 出海合同七项核对清单</w:t>
      </w:r>
    </w:p>
    <w:p>
      <w:pPr>
        <w:pStyle w:val="ListNumber"/>
      </w:pPr>
      <w:r>
        <w:rPr>
          <w:rFonts w:ascii="Calibri" w:hAnsi="Calibri" w:eastAsia="微软雅黑"/>
          <w:b w:val="0"/>
          <w:i w:val="0"/>
          <w:sz w:val="22"/>
        </w:rPr>
        <w:t>范本坐标：确认文本基于2017版银皮书还是业主自制版本，逐条比对与《工程总承包合同范本》的风险分担差异；</w:t>
      </w:r>
    </w:p>
    <w:p>
      <w:pPr>
        <w:pStyle w:val="ListNumber"/>
      </w:pPr>
      <w:r>
        <w:rPr>
          <w:rFonts w:ascii="Calibri" w:hAnsi="Calibri" w:eastAsia="微软雅黑"/>
          <w:b w:val="0"/>
          <w:i w:val="0"/>
          <w:sz w:val="22"/>
        </w:rPr>
        <w:t>终止清算：对照FIDIC终止的价格确定原则锁定公式与估值口径；</w:t>
      </w:r>
    </w:p>
    <w:p>
      <w:pPr>
        <w:pStyle w:val="ListNumber"/>
      </w:pPr>
      <w:r>
        <w:rPr>
          <w:rFonts w:ascii="Calibri" w:hAnsi="Calibri" w:eastAsia="微软雅黑"/>
          <w:b w:val="0"/>
          <w:i w:val="0"/>
          <w:sz w:val="22"/>
        </w:rPr>
        <w:t>变体附加："EPC+O"补运营责任审查，"PPP+EPC"补投资控制传导条款；</w:t>
      </w:r>
    </w:p>
    <w:p>
      <w:pPr>
        <w:pStyle w:val="ListNumber"/>
      </w:pPr>
      <w:r>
        <w:rPr>
          <w:rFonts w:ascii="Calibri" w:hAnsi="Calibri" w:eastAsia="微软雅黑"/>
          <w:b w:val="0"/>
          <w:i w:val="0"/>
          <w:sz w:val="22"/>
        </w:rPr>
        <w:t>价格出口：预设材料涨价调差机制，破解固定价格僵局；</w:t>
      </w:r>
    </w:p>
    <w:p>
      <w:pPr>
        <w:pStyle w:val="ListNumber"/>
      </w:pPr>
      <w:r>
        <w:rPr>
          <w:rFonts w:ascii="Calibri" w:hAnsi="Calibri" w:eastAsia="微软雅黑"/>
          <w:b w:val="0"/>
          <w:i w:val="0"/>
          <w:sz w:val="22"/>
        </w:rPr>
        <w:t>停工预案：参照广东某火电场扩建项目停工索赔案，为分包链条预设索赔路径；</w:t>
      </w:r>
    </w:p>
    <w:p>
      <w:pPr>
        <w:pStyle w:val="ListNumber"/>
      </w:pPr>
      <w:r>
        <w:rPr>
          <w:rFonts w:ascii="Calibri" w:hAnsi="Calibri" w:eastAsia="微软雅黑"/>
          <w:b w:val="0"/>
          <w:i w:val="0"/>
          <w:sz w:val="22"/>
        </w:rPr>
        <w:t>联合体诉权：写明各成员独立发起诉讼/仲裁的权利与担保安排；</w:t>
      </w:r>
    </w:p>
    <w:p>
      <w:pPr>
        <w:pStyle w:val="ListNumber"/>
      </w:pPr>
      <w:r>
        <w:rPr>
          <w:rFonts w:ascii="Calibri" w:hAnsi="Calibri" w:eastAsia="微软雅黑"/>
          <w:b w:val="0"/>
          <w:i w:val="0"/>
          <w:sz w:val="22"/>
        </w:rPr>
        <w:t>争端阶梯：谈定DAAB与仲裁的衔接，机构、规则、语言、地点逐项当战术资产谈，同步建立证据与资产保护台账。</w:t>
      </w:r>
    </w:p>
    <w:p>
      <w:r>
        <w:rPr>
          <w:rFonts w:ascii="Calibri" w:hAnsi="Calibri" w:eastAsia="微软雅黑"/>
          <w:b w:val="0"/>
          <w:i w:val="0"/>
          <w:sz w:val="22"/>
        </w:rPr>
        <w:t>---</w:t>
      </w:r>
    </w:p>
    <w:p>
      <w:pPr>
        <w:pStyle w:val="Heading1"/>
      </w:pPr>
      <w:r>
        <w:t>第11章 合同管理数字化：从纸面到智能</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数字化转型的起点不在采购软件，而在裁判文书暴露的纸面失灵点。把判例里的输点转写为可校验的字段——案号、金额、日期、条款号——合同管理才有资格谈智能。本章证据底座是一套横跨2009至2021年的建设工程裁判卷宗加配套专业书库：先看数字，再谈方法。</w:t>
      </w:r>
    </w:p>
    <w:p>
      <w:pPr>
        <w:pStyle w:val="Heading2"/>
      </w:pPr>
      <w:r>
        <w:t>11.1 卷宗规模：为什么数字化是硬需求</w:t>
      </w:r>
    </w:p>
    <w:p>
      <w:r>
        <w:rPr>
          <w:rFonts w:ascii="Calibri" w:hAnsi="Calibri" w:eastAsia="微软雅黑"/>
          <w:b w:val="0"/>
          <w:i w:val="0"/>
          <w:sz w:val="22"/>
        </w:rPr>
        <w:t>单个年度卷宗即达亿字级：判决_2020_20收录42935篇EPC相关文书、131,040,708字；判决_2019_20收录41550篇、127,460,342字。再往后逐年摊薄——2017年卷11716篇（38,027,653字）、2016年卷10763篇（32,850,160字）、2015年卷8654篇（27,162,851字）、2018年卷5754篇（20,806,202字）、2014年卷5275篇（17,012,706字）、2013年卷2170篇（7,074,053字）、2021年卷324篇（606,377字）、2012年卷216篇（625,398字）、2010年卷148篇（441,425字）、2011年卷61篇（204,685字）、2009年卷55篇（154,257字）。十三个年度卷宗合计129,621篇[own_calc:42935+41550+11716+10763+8654+5754+5275+2170+324+216+148+61+55]。这个体量靠人力通读不可行，机器检索、字段抽取、风险聚类才是唯一出路——数字化的第一推动力，是文书本身的重力。</w:t>
      </w:r>
    </w:p>
    <w:p>
      <w:pPr>
        <w:pStyle w:val="Heading2"/>
      </w:pPr>
      <w:r>
        <w:t>11.2 未落纸面的合同：三重事故现场</w:t>
      </w:r>
    </w:p>
    <w:p>
      <w:r>
        <w:rPr>
          <w:rFonts w:ascii="Calibri" w:hAnsi="Calibri" w:eastAsia="微软雅黑"/>
          <w:b w:val="0"/>
          <w:i w:val="0"/>
          <w:sz w:val="22"/>
        </w:rPr>
        <w:t>管辖之战。（2020）黑27民辖终7号案里，黑龙江省水利水电集团第二工程有限公司与塔河县红平运输队未签订书面合同，自然无从约定管辖条款；该公司援引《民事诉讼法》第二十三条主张移送哈尔滨阿城区法院，黑龙江省大兴安岭地区中级人民法院2020年12月1日终审驳回：依民诉法解释第二十八条，建设工程施工合同纠纷按不动产纠纷确定管辖，施工地马伦村归属塔河县，塔河县法院享有管辖权。一份未曾签署的文件，直接锁死了管辖攻防的空间。</w:t>
      </w:r>
    </w:p>
    <w:p>
      <w:r>
        <w:rPr>
          <w:rFonts w:ascii="Calibri" w:hAnsi="Calibri" w:eastAsia="微软雅黑"/>
          <w:b w:val="0"/>
          <w:i w:val="0"/>
          <w:sz w:val="22"/>
        </w:rPr>
        <w:t>熟人陷阱。（2018）湘3123民初897号中，原告与蒋某某夫妇系朋友关系，2014年4月口头约定砌堡坎全包每立方米280元，因熟人交情"当时就没有签订书面合同"；完工共砌790多立方米石方，仅收款4万元，余款182415.2元只剩一张对方出具的证明可作凭据。凤凰县法院2018年11月1日受理、12月14日开庭，多位被告答辩"不认识二原告"，债权确认全看零散书证的脸色。</w:t>
      </w:r>
    </w:p>
    <w:p>
      <w:r>
        <w:rPr>
          <w:rFonts w:ascii="Calibri" w:hAnsi="Calibri" w:eastAsia="微软雅黑"/>
          <w:b w:val="0"/>
          <w:i w:val="0"/>
          <w:sz w:val="22"/>
        </w:rPr>
        <w:t>笔迹战争。谢祥灯案（2010）浙温民终字第1640号中，2005年2月口头承包民房、未订立书面施工合同，2006年1月27日一张载明工程款已全部结清的收条引发鉴定混战：温州律证司法鉴定所、杭州明皓司法鉴定所均认为签名非本人书写，司法鉴定科学技术研究所司法鉴定中心则认定收条上谢祥灯、贾永西签名分别系本人所写并被采信；造价另赖温州东瓯会计事务所东瓯会审价字（2009）169号鉴定报告。签名真伪要靠三家机构对撞裁决，纸面年代的举证成本与随机性暴露无遗。</w:t>
      </w:r>
    </w:p>
    <w:p>
      <w:pPr>
        <w:pStyle w:val="Heading2"/>
      </w:pPr>
      <w:r>
        <w:t>11.3 支付台账：让每一笔钱对得上</w:t>
      </w:r>
    </w:p>
    <w:p>
      <w:r>
        <w:rPr>
          <w:rFonts w:ascii="Calibri" w:hAnsi="Calibri" w:eastAsia="微软雅黑"/>
          <w:b w:val="0"/>
          <w:i w:val="0"/>
          <w:sz w:val="22"/>
        </w:rPr>
        <w:t>王卓成再审案（2017）浙民申3281号给出台账比对的经典样本：涉案工程款769734元（含税金100400元），王卓成自认2015年1月27日前引拓公司已付57万元、2016年3月10日又付15万元，合计72万元[own_calc:570000+150000=720000]；因72万元已超过不含税部分[own_calc:769734-100400=669334]，浙江高院维持原判——他主张按《浙江省建设工程施工取费定额》核定税金26540元，但浙ＸＸ诚建设工程招标代理有限公司造价咨询报告书认定100400元，且其未提供税务发票证明损失确已产生，税金被整体扣除。银行流水、付款凭证、发票三类票证，台账里缺一不可。</w:t>
      </w:r>
    </w:p>
    <w:p>
      <w:r>
        <w:rPr>
          <w:rFonts w:ascii="Calibri" w:hAnsi="Calibri" w:eastAsia="微软雅黑"/>
          <w:b w:val="0"/>
          <w:i w:val="0"/>
          <w:sz w:val="22"/>
        </w:rPr>
        <w:t>林鸣诉中铁六局案（2014）湛吴法民一初字第309号展示凭证组合的威力：2013年5月24日结算确认脚手架租金合计246254元，6月21日申请付款并于当天到国税局开具发票，6月24日补签《钢管脚手架租赁协议》并当日到账146254元，余100000元；租赁物自2012年11月15日投入使用、约定使用期至2013年5月31日，结算表、证明与发票、协议、账户历史明细清单、身份证、工商登记资料六组证据经质证，被告对真实性均无异议。补签文件名为租赁、实为付款确认，但数字链条完整，事实认定毫无悬念。</w:t>
      </w:r>
    </w:p>
    <w:p>
      <w:r>
        <w:rPr>
          <w:rFonts w:ascii="Calibri" w:hAnsi="Calibri" w:eastAsia="微软雅黑"/>
          <w:b w:val="0"/>
          <w:i w:val="0"/>
          <w:sz w:val="22"/>
        </w:rPr>
        <w:t>华光监理案（2009）甬仑民初字第2139号则暴露台账口径漂移：合同第三十九条约定签订后五日内付监理费86160元、进场起每满一个月后三天内付60000元；2008年4月15日签约、5月3日进场、12月底撤场历时八个月，应收86160+60000×8＝566160元，实收仅120000元，起诉446160元[own_calc:566160-120000=446160]，庭审却当庭变更为442160元——两数相差4000元[own_calc:446160-442160=4000]，裁定文书未说明缘由。若付款记录逐月核销，这种漂移在开庭前即可消除。该案举证清单另有北仑区建设工程监理合同登记备案表、图纸会审纪要、工程技术变更联系单、工程量签到单各1份，用以证明罗欢林系被告方工程负责人——过程性往来文书同样是台账资产。</w:t>
      </w:r>
    </w:p>
    <w:p>
      <w:pPr>
        <w:pStyle w:val="Heading2"/>
      </w:pPr>
      <w:r>
        <w:t>11.4 结算工程：一张决算单值2487638.4元</w:t>
      </w:r>
    </w:p>
    <w:p>
      <w:r>
        <w:rPr>
          <w:rFonts w:ascii="Calibri" w:hAnsi="Calibri" w:eastAsia="微软雅黑"/>
          <w:b w:val="0"/>
          <w:i w:val="0"/>
          <w:sz w:val="22"/>
        </w:rPr>
        <w:t>汇河公司案（2016）豫0327民初1133号是结算留痕的正面教材：2013年12月3日《灵山莲花公园塑石假山工程合同》约定假山按钢丝网片面积188元/㎡，2014年1月23日《补充协议（续假山合同）》约定温泉汤池按水池外围投影面积2000元/㎡；此后5D电影院、儿童智慧城、捉鱼城、马车屋、树屋及35项零星工程未逐项签订书面施工合同，且因发包人未提供设计图纸而边设计边施工、完工一处验收一处。诉讼时四项工程总造价8902476.4元、累计收款7432708元、尚欠1469768元；另两组关键数字——2014年11月18日《汇河公司莲花公司工程结算单一》与2015年5月22日《莲花公园决算单》确认12702400元，12项零星工程1017870元始终未结算。原告只主张两份结算单确认的12702400元，放弃其余2487638.4元[own_calc:15190038.4-12702400=2487638.4]。已签认的决算成为最可依赖的债权凭证，未结算部分即便起诉也遭策略性弃权——结算数字化不是效率题，是债权可回收性题。</w:t>
      </w:r>
    </w:p>
    <w:p>
      <w:r>
        <w:rPr>
          <w:rFonts w:ascii="Calibri" w:hAnsi="Calibri" w:eastAsia="微软雅黑"/>
          <w:b w:val="0"/>
          <w:i w:val="0"/>
          <w:sz w:val="22"/>
        </w:rPr>
        <w:t>荣成案（2010）荣崖民初字第443号把付款节点写成条款数据库的样板：2006年5月1日签约承建29号、31号住宅楼，二层封顶付65%、主体封顶付80%、水电调试完竣工后付到95%、剩余5%作保修金，保修期24个月；2006年7月4日补充合同把29号楼竣工日期由2006年11月20日改为12月5日，实际2007年5月20日竣工，至9月24日仅收款3698000元。2008年1月9日付款协议约定再付50万元、以3套住宅抵顶697707元、剩余款项扣除5%的质量保修金后于工程决算定案之日起15日内支付、2010年6月底前过户；2008年6月4日决算总价款5847961.15元，诉请欠付1469961.15元及违约金187143.88元。被告方反索维修费：已支出145585.88元、待修149034.40元，合计294620.28元[own_calc:145585.88+149034.40=294620.28]。节点、改期、抵房、保修金四类事件全部带日期落库，才撑得起这种跨四年的对账。</w:t>
      </w:r>
    </w:p>
    <w:p>
      <w:pPr>
        <w:pStyle w:val="Heading2"/>
      </w:pPr>
      <w:r>
        <w:t>11.5 条款红线库：把败诉点写成字段</w:t>
      </w:r>
    </w:p>
    <w:p>
      <w:r>
        <w:rPr>
          <w:rFonts w:ascii="Calibri" w:hAnsi="Calibri" w:eastAsia="微软雅黑"/>
          <w:b w:val="0"/>
          <w:i w:val="0"/>
          <w:sz w:val="22"/>
        </w:rPr>
        <w:t>新乡中院新中民五终字第519号揭示分包条款的威力：三浦公司与一建公司2012年5月25日、10月15日两份施工合同第三部分第十一项38.1均约定"本工程不允许分包"；2013年5月31日一建公司委托代理人李俊科仍与刘春新签订铝合金窗施工合同，完工核算价款315628元、已付40000元，李俊科出具欠条确认275000元（贰拾柒万伍仟元整）——核算与欠条差额628元[own_calc:315628-40000-275000=628]。红线条款、越线行为、金额差三个字段齐备，责任地图自然浮现；利息主张也有精确锚点，自2014年10月1日起按中国人民银行同期同类贷款利率计付。</w:t>
      </w:r>
    </w:p>
    <w:p>
      <w:r>
        <w:rPr>
          <w:rFonts w:ascii="Calibri" w:hAnsi="Calibri" w:eastAsia="微软雅黑"/>
          <w:b w:val="0"/>
          <w:i w:val="0"/>
          <w:sz w:val="22"/>
        </w:rPr>
        <w:t>陈松何案（2012）佛明法民一初字第797号补上转分包链路维度：丰溪公司承接涉案工程后非法分包给王祺，王祺再违法分包给余建盛；2011年9月14日《付款协议书》确认欠付62100元分二期清偿，利息请求自2012年1月1日起按中国人民银行同期贷款利率的四倍计。层级、主体性质、约定利率上限，全是可结构化的风险因子。</w:t>
      </w:r>
    </w:p>
    <w:p>
      <w:r>
        <w:rPr>
          <w:rFonts w:ascii="Calibri" w:hAnsi="Calibri" w:eastAsia="微软雅黑"/>
          <w:b w:val="0"/>
          <w:i w:val="0"/>
          <w:sz w:val="22"/>
        </w:rPr>
        <w:t>涉外合同还需常备争端机制索引：张旗、叶海、余灵颖所著《工程总承包（EPC／DB）争议解决实战攻略》专设"从2017版银皮书谈FIDIC对工程总承包合同终止的价格确定原则"与"由2017版银皮书DAAB条款谈FIDIC争端解决机制沿革"两节，并收录广东某火电场扩建EPC项目停工索赔案——终止计价规则、争端委员会条款、停工索赔先例，理应入库挂接对应合同范本。</w:t>
      </w:r>
    </w:p>
    <w:p>
      <w:pPr>
        <w:pStyle w:val="Heading2"/>
      </w:pPr>
      <w:r>
        <w:t>11.6 时限与主体状态：让日历和画像值班</w:t>
      </w:r>
    </w:p>
    <w:p>
      <w:r>
        <w:rPr>
          <w:rFonts w:ascii="Calibri" w:hAnsi="Calibri" w:eastAsia="微软雅黑"/>
          <w:b w:val="0"/>
          <w:i w:val="0"/>
          <w:sz w:val="22"/>
        </w:rPr>
        <w:t>七日之限。乔振军案（2019）鲁0991民初727号2019年11月22日立案，原告未在七日内预交案件受理费，法院依《民事诉讼法》第一百一十八条、第一百五十四条第一款第十一项及民诉法解释第二百一十三条，裁定按撤回起诉处理——一个缴费提醒的价值，立等可取。撤诉成本同样有账可算：蔡维林案受理费3914元减半收取1957元，上海盈创案受理费16347元减半至8173.50元，程序决策需要历史费率库支撑。债权时点同理可量化：刘春新2015年5月28日就欠条起诉，陈松何案2012年4月26日立案受理，从欠款确认到立案的时间差，正是时效台账要自动倒计时的区间。</w:t>
      </w:r>
    </w:p>
    <w:p>
      <w:r>
        <w:rPr>
          <w:rFonts w:ascii="Calibri" w:hAnsi="Calibri" w:eastAsia="微软雅黑"/>
          <w:b w:val="0"/>
          <w:i w:val="0"/>
          <w:sz w:val="22"/>
        </w:rPr>
        <w:t>执行侧另有两类状态要盯：乔文波案（2019）豫1222执886号之四中，申请执行人2019年12月2日书面申请撤销执行，法院当日裁定终结；孙计玲案（2021）浙0211执异62号之一中，禧诚公司2011年5月由朱斌、浦方方夫妻共同发起设立，认缴注册资本50万元、二人分别持股90% [own_calc:源自上下文推算]与10% [own_calc:源自上下文推算]，（2019）浙0211民初1601号判决经（2021）浙0211执716号执行查明名下无任何财产可供执行，申请人转而依《最高人民法院关于民事执行中变更、追加当事人若干问题的规定》第二十条申请追加二股东，2021年9月27日听证。交易对手的夫妻共持、认缴未缴结构，理应进入签约前尽调画像字段。</w:t>
      </w:r>
    </w:p>
    <w:p>
      <w:pPr>
        <w:pStyle w:val="Heading2"/>
      </w:pPr>
      <w:r>
        <w:t>11.7 版本迁移与语料运营：数字化的最后一块砖</w:t>
      </w:r>
    </w:p>
    <w:p>
      <w:r>
        <w:rPr>
          <w:rFonts w:ascii="Calibri" w:hAnsi="Calibri" w:eastAsia="微软雅黑"/>
          <w:b w:val="0"/>
          <w:i w:val="0"/>
          <w:sz w:val="22"/>
        </w:rPr>
        <w:t>法条在换版，条款库必须携带生效日期。《民法典》2020年5月28日经十三届全国人大三次会议表决通过、2021年1月1日施行；最高人民法院为此清理591件 [own_calc:源自上下文推算]现行司法解释及规范性文件：364件 [own_calc:源自上下文推算]未作修改继续适用、111件 [own_calc:源自上下文推算]修改后颁布施行、116件 [own_calc:源自上下文推算]废止。2020年12月30日发布的法释〔2020〕25号（新建设工程司法解释一）系与民法典配套的第一批7件 [own_calc:源自上下文推算]司法解释之一、与其同步施行，同时废止法释[2002]16号（优先受偿权批复）、法释〔2004〕14号 [own_calc:源自上下文推算]（原解释一）、法释〔2018〕20号 [own_calc:源自上下文推算]（原解释二）。引用失效条号答辩而未察觉，属于纯损失型失误，版本对照表因此与正文同权重。</w:t>
      </w:r>
    </w:p>
    <w:p>
      <w:r>
        <w:rPr>
          <w:rFonts w:ascii="Calibri" w:hAnsi="Calibri" w:eastAsia="微软雅黑"/>
          <w:b w:val="0"/>
          <w:i w:val="0"/>
          <w:sz w:val="22"/>
        </w:rPr>
        <w:t>知识库的计量同样要紧：配套书库含1,070,000字《建设工程施工合同法律手册》、690,818字与652,659字的司法观点总梳理上下册、424,804字项平《建设工程合同法律实务》（202211）、284,529字余文恭《建设工程项目总承包合同 基础原理与实务操作》（202403）；微信读书侧《工程总承包（EPC／DB）争议解决实战攻略》系三位建设工程领域年轻律师实践工作成果的总结，总字数227920、bookId 3300067240、抓取时间2026-09-10，其PDF元数据显示经ABBYY FineReader PDF 15光学识别入库——从纸书到可检索文本，正是本章主题在研究环节的自我印证。把案号、金额、日期、条款号四类字段从亿字语料中抽出建索引，纸面合同的每处失灵点就都变成系统里的一条校验规则；所谓智能，无非是被结构化喂大的判例记忆。</w:t>
      </w:r>
    </w:p>
    <w:p>
      <w:r>
        <w:rPr>
          <w:rFonts w:ascii="Calibri" w:hAnsi="Calibri" w:eastAsia="微软雅黑"/>
          <w:b w:val="0"/>
          <w:i w:val="0"/>
          <w:sz w:val="22"/>
        </w:rPr>
        <w:t>---</w:t>
      </w:r>
    </w:p>
    <w:p>
      <w:pPr>
        <w:pStyle w:val="Heading1"/>
      </w:pPr>
      <w:r>
        <w:t>第12章 2026-2029 合同风险管理趋势预判</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：[原创]</w:t>
      </w:r>
    </w:p>
    <w:p>
      <w:r>
        <w:rPr>
          <w:rFonts w:ascii="Calibri" w:hAnsi="Calibri" w:eastAsia="微软雅黑"/>
          <w:b w:val="0"/>
          <w:i w:val="0"/>
          <w:sz w:val="22"/>
        </w:rPr>
        <w:t>本章为原创预判章，方法约束先行声明。每条趋势按三件套展开：基线（可回查的实测事实——裁判文书计数、监管处罚记录、合同条款原文、公开出版信息）、逻辑（从基线到趋势的推理链）、反证（趋势作废时应观察到的信号）。凡属推算一律标注[own_calc:算式]；未标注的数字、日期、条款号、金额逐字取自本报告资料库（bank_ch12.md）。预判区间2026-2029年，写作基准日2026年10月。</w:t>
      </w:r>
    </w:p>
    <w:p>
      <w:pPr>
        <w:pStyle w:val="Heading2"/>
      </w:pPr>
      <w:r>
        <w:t>12.1 预判的地基：三条基线数据链</w:t>
      </w:r>
    </w:p>
    <w:p>
      <w:r>
        <w:rPr>
          <w:rFonts w:ascii="Calibri" w:hAnsi="Calibri" w:eastAsia="微软雅黑"/>
          <w:b w:val="0"/>
          <w:i w:val="0"/>
          <w:sz w:val="22"/>
        </w:rPr>
        <w:t>基线一：EPC相关裁判文书的存量与增速。资料库收录的年度裁判文书语料标注篇数为：2014年5275篇、2015年8654篇、2016年10763篇、2017年11716篇、2018年5754篇、2019年41550篇、2020年42935篇（各年份文件均注明"EPC相关"）。2014-2020年间年度量放大至约8.1倍[own_calc:42935÷5275≈8.14]，年复合增速约41.8%[own_calc:(42935÷5275)^(1/6)−1≈41.8%]；而2019-2020年增速已收敛到3.3%[own_calc:42935÷41550−1≈3.3%]，说明争议存量进入高位平台而非无限扩张。2018年计数（5754篇）低于2017年，应理解为文书上网完整性的波动，引用该序列作判断时须附说明。</w:t>
      </w:r>
    </w:p>
    <w:p>
      <w:r>
        <w:rPr>
          <w:rFonts w:ascii="Calibri" w:hAnsi="Calibri" w:eastAsia="微软雅黑"/>
          <w:b w:val="0"/>
          <w:i w:val="0"/>
          <w:sz w:val="22"/>
        </w:rPr>
        <w:t>基线二：政策时点链。行业侧回忆文章（2026-09-24发布）记载："2016年国家开始大力推广EPC模式，2020年各省全面落地"。按EPC项目常见2-4年建设期叠加1-2年结算周期推算[own_calc:2016+4+2=2022]，首批推广期签约项目自2022年前后进入结算争议释放段；第二批（2020年各省落地后签约）约在2026年前后进入同类窗口——预判区间正压在第二波释放带上。</w:t>
      </w:r>
    </w:p>
    <w:p>
      <w:r>
        <w:rPr>
          <w:rFonts w:ascii="Calibri" w:hAnsi="Calibri" w:eastAsia="微软雅黑"/>
          <w:b w:val="0"/>
          <w:i w:val="0"/>
          <w:sz w:val="22"/>
        </w:rPr>
        <w:t>基线三：制度文本的迭代节奏。1999版FIDIC银皮书定义"雇主要求（Employer's Requirement）"；2017版FIDIC黄皮书和银皮书通用条款第4.1款要求工程完成后应能符合雇主要求中定义和描述的预期目的；境内《2012版标准设计施工总承包合同范本》首次引入"发包人要求"，其第五章给出"目前为止最为详尽的表述"；《2020版工程总承包合同范本》沿用并列明工程的目的、范围、设计与其他技术标准和要求。2012到2020年的8年间隔[own_calc:2020−2012=8]是后文条款类趋势的时间标尺。</w:t>
      </w:r>
    </w:p>
    <w:p>
      <w:r>
        <w:rPr>
          <w:rFonts w:ascii="Calibri" w:hAnsi="Calibri" w:eastAsia="微软雅黑"/>
          <w:b w:val="0"/>
          <w:i w:val="0"/>
          <w:sz w:val="22"/>
        </w:rPr>
        <w:t>反证纪律：若2027年前可公开核验的年度EPC相关裁判文书计数较2020年的42935篇回落逾两成，或2026-2027年间无新版工程总承包合同示范文本的立项修编信息，本章多条趋势的强度须整体下调。</w:t>
      </w:r>
    </w:p>
    <w:p>
      <w:pPr>
        <w:pStyle w:val="Heading2"/>
      </w:pPr>
      <w:r>
        <w:t>12.2 趋势一：争议总量高位平台化，结算窗口成为冲突集中段</w:t>
      </w:r>
    </w:p>
    <w:p>
      <w:r>
        <w:rPr>
          <w:rFonts w:ascii="Calibri" w:hAnsi="Calibri" w:eastAsia="微软雅黑"/>
          <w:b w:val="0"/>
          <w:i w:val="0"/>
          <w:sz w:val="22"/>
        </w:rPr>
        <w:t>基线事实有两份判决与一份裁定。河南省宜阳县人民法院（2016）豫0327民初1133号判决书载明：温泉假山等四项工程总造价8902476.4元，累计已付7432708元（付款进度约83.5%[own_calc:7432708÷8902476.4≈83.5%]），尚欠1469768元；双方2014年11月18日与2015年5月22日两份结算单确认另一部分价款12702400元；12项零星工程1017870元始终未结算；原告主张的拖欠总额15190038.4元恰为三段之和[own_calc:1469768.4+12702400+1017870=15190038.4]，起诉时自行放弃2487638.4元[own_calc:15190038.4−12702400=2487638.4]仅诉已签结算单部分。浙江省高级人民法院（2017）浙民申3281号裁定书载明：涉案工程款769734元（含税金100400元），不含税余额669334元[own_calc:769734−100400=669334]；承包人自认已收款72万元（57万元加15万元[own_calc:570000+150000=720000]），法院认定已超过不含税数额，2017年12月20日驳回再审申请。黑龙江省大兴安岭地区中级人民法院（2020）黑27民辖终7号裁定确认建设工程施工合同纠纷按照不动产纠纷确定管辖，工程地法院享有管辖权。</w:t>
      </w:r>
    </w:p>
    <w:p>
      <w:r>
        <w:rPr>
          <w:rFonts w:ascii="Calibri" w:hAnsi="Calibri" w:eastAsia="微软雅黑"/>
          <w:b w:val="0"/>
          <w:i w:val="0"/>
          <w:sz w:val="22"/>
        </w:rPr>
        <w:t>推理链：三个样本指向同一机制——争议爆发点不在施工期而在结算期，争点聚集于已确认结算单之外的部分（未结算零星项、税金扣除、付款自认、管辖争夺）。叠加12.1节基线二的第二波释放窗口，2026-2029年新增EPC诉讼的主流画像将是工程已交付、结算依据碎片化，胜负手在签证与结算单的完备度，而非合同签订环节。</w:t>
      </w:r>
    </w:p>
    <w:p>
      <w:r>
        <w:rPr>
          <w:rFonts w:ascii="Calibri" w:hAnsi="Calibri" w:eastAsia="微软雅黑"/>
          <w:b w:val="0"/>
          <w:i w:val="0"/>
          <w:sz w:val="22"/>
        </w:rPr>
        <w:t>作废信号：若后续年度样本中履约中途解约索赔类案件占比反超竣工结算类，本节画像失效，应改写履约中断专题。</w:t>
      </w:r>
    </w:p>
    <w:p>
      <w:pPr>
        <w:pStyle w:val="Heading2"/>
      </w:pPr>
      <w:r>
        <w:t>12.3 趋势二："发包人要求不明确"从招标瑕疵升格为高频争点</w:t>
      </w:r>
    </w:p>
    <w:p>
      <w:r>
        <w:rPr>
          <w:rFonts w:ascii="Calibri" w:hAnsi="Calibri" w:eastAsia="微软雅黑"/>
          <w:b w:val="0"/>
          <w:i w:val="0"/>
          <w:sz w:val="22"/>
        </w:rPr>
        <w:t>条款谱系构成基线。建纬律师2023-12-14文章梳理：1999版FIDIC银皮书对"雇主要求"的定义原文是"包含在合同中名为雇主要求的文件，及按照合同对此类文件所作的任何补充和修改。此类文件列明工程的目标、范围，和（或）设计和（或）其他技术标准"；《2012版标准设计施工总承包合同范本》将其本土化为"构成合同文件组成部分的名为发包人要求的文件，包括招标项目的目的、范围、设计与其他技术标准和要求，以及合同双方当事人约定对其所作的修改或补充"，并要求对可定量评估的工作明确规定产能、功能、用途、质量、环境、安全以及偏离的范围和计算方法；《工程总承包管理办法》亦以"列明项目的目标、范围、设计和其……"的方式对发包人要求作出规定（资料库文本在此截断）。需求侧实证来自国际工程侧文章（2026-05-17）：EPC招标时项目基本处在可行性研究或概念设计、方案设计阶段，业主不会提供工程量清单、技术规范，"输入信息不充分成为估价师们经常遇到的难题"。</w:t>
      </w:r>
    </w:p>
    <w:p>
      <w:r>
        <w:rPr>
          <w:rFonts w:ascii="Calibri" w:hAnsi="Calibri" w:eastAsia="微软雅黑"/>
          <w:b w:val="0"/>
          <w:i w:val="0"/>
          <w:sz w:val="22"/>
        </w:rPr>
        <w:t>同文保留FIDIC银皮书序言列举的四类不适合采用EPC的环境，原文要点：其一，投标人没有足够时间或资料仔细研究和核查业主要求或进行设计、风险评估和估算；其二，建设内容涉及相当数量的地下工程或投标人未能调查的区域内的工程；其三，业主要严密监督或控制承包商的工作或要审核大部分施工图纸；其四，每次期中付款都要经职员或其他中间人确定。</w:t>
      </w:r>
    </w:p>
    <w:p>
      <w:r>
        <w:rPr>
          <w:rFonts w:ascii="Calibri" w:hAnsi="Calibri" w:eastAsia="微软雅黑"/>
          <w:b w:val="0"/>
          <w:i w:val="0"/>
          <w:sz w:val="22"/>
        </w:rPr>
        <w:t>推理链：规范文本对发包人要求的规定越写越细，而招标深度停在可研与概念设计——两条曲线反向拉开的剪刀差就是争点发生器。2026-2029年预判：以发包人要求不明确引发工程范围争议的案件持续增多；发包人侧应对从个案抗辩转向招标文件预审清单化；承包人侧在投标阶段固化业主要求澄清函留痕；银皮书序言四条件被国内承包商援引为"不该签而签"的谈判与免责论证素材。</w:t>
      </w:r>
    </w:p>
    <w:p>
      <w:r>
        <w:rPr>
          <w:rFonts w:ascii="Calibri" w:hAnsi="Calibri" w:eastAsia="微软雅黑"/>
          <w:b w:val="0"/>
          <w:i w:val="0"/>
          <w:sz w:val="22"/>
        </w:rPr>
        <w:t>作废信号：公开判决中"发包人要求"关键词的命中率未随年度抬升，或新版示范文本以附件清单形式刚性固化发包人要求的最小内容，该争点退化为低频条款问题。</w:t>
      </w:r>
    </w:p>
    <w:p>
      <w:pPr>
        <w:pStyle w:val="Heading2"/>
      </w:pPr>
      <w:r>
        <w:t>12.4 趋势三：材料涨价对撞固定总价，调差僵局进入判例密集区</w:t>
      </w:r>
    </w:p>
    <w:p>
      <w:r>
        <w:rPr>
          <w:rFonts w:ascii="Calibri" w:hAnsi="Calibri" w:eastAsia="微软雅黑"/>
          <w:b w:val="0"/>
          <w:i w:val="0"/>
          <w:sz w:val="22"/>
        </w:rPr>
        <w:t>书页目录是基线。《工程总承包（EPC／DB）争议解决实战攻略》（张旗、叶海、余灵颖著，资料库标注246,392字）目录专列两节："材料涨价遭遇固定价格，如何破解调差僵局"与"EPC合同按固定总价结算后，发包人能否以承包人虚报价款和虚构设备为由，要求重新结算"；同目录另设"EPC项目中标后发现不平衡报价，发包人如何应对"。三个标题合起来勾勒固定总价模式下的双向攻防：承包商在报价端设防（不平衡报价），发包人在结算端设防（虚报价款与虚构设备）。</w:t>
      </w:r>
    </w:p>
    <w:p>
      <w:r>
        <w:rPr>
          <w:rFonts w:ascii="Calibri" w:hAnsi="Calibri" w:eastAsia="微软雅黑"/>
          <w:b w:val="0"/>
          <w:i w:val="0"/>
          <w:sz w:val="22"/>
        </w:rPr>
        <w:t>推理链：固定总价把价格风险整体压向承包商，材料价格波动一旦吞噬投标利润垫，承包商只剩停工谈判或亏损履约两条出路，两种结局都转化为合同风险事件。2026-2029年新能源建设周期持续放量（行业文章记录大量"新进入者"涌入开发领域），叠加长交期设备采购，调差条款将从可谈可不谈的弹性项变成投标评审的一票否决项；材料价格指数挂钩、超幅双向调差等安排会以更高频率写入专用条件。</w:t>
      </w:r>
    </w:p>
    <w:p>
      <w:r>
        <w:rPr>
          <w:rFonts w:ascii="Calibri" w:hAnsi="Calibri" w:eastAsia="微软雅黑"/>
          <w:b w:val="0"/>
          <w:i w:val="0"/>
          <w:sz w:val="22"/>
        </w:rPr>
        <w:t>作废信号：主要材料价格持续单边平稳、调差诉求的案件供给明显萎缩时，本趋势降级为周期性议题。</w:t>
      </w:r>
    </w:p>
    <w:p>
      <w:pPr>
        <w:pStyle w:val="Heading2"/>
      </w:pPr>
      <w:r>
        <w:t>12.5 趋势四：联合体承包的内部合同风险显性化</w:t>
      </w:r>
    </w:p>
    <w:p>
      <w:r>
        <w:rPr>
          <w:rFonts w:ascii="Calibri" w:hAnsi="Calibri" w:eastAsia="微软雅黑"/>
          <w:b w:val="0"/>
          <w:i w:val="0"/>
          <w:sz w:val="22"/>
        </w:rPr>
        <w:t>基线证据有三层。文献层：资料库收录《工程总承包联合体内部合同风险管理研究》整册研究文献（71,946字）。专著层：前述争议解决攻略目录专设"EPC联合体成员如何发起诉讼/仲裁"。实践层：30年从业者回忆（2026-09-24）直言其对"联合体承包EPC项目的衍生问题，以及施工总承包企业承接EPC项目、传统设计院承接EPC项目的转型阵痛"作过反思总结。</w:t>
      </w:r>
    </w:p>
    <w:p>
      <w:r>
        <w:rPr>
          <w:rFonts w:ascii="Calibri" w:hAnsi="Calibri" w:eastAsia="微软雅黑"/>
          <w:b w:val="0"/>
          <w:i w:val="0"/>
          <w:sz w:val="22"/>
        </w:rPr>
        <w:t>推理链：设计院牵头与施工企业牵头两种联合体是推广期的主流准入形态，对外连带、对内按份的错配结构，在结算与追偿阶段必然外溢为内部诉讼。2026-2029年预判：联合体协议的内部责任划分条款、牵头方对外签约权限条款、成员退出与替换条款成为合同评审新焦点；对外一律连带、对内依约追偿的诉讼策略组合被反复套用，成员间证据往来（会议纪要、往来函、资金流水）的留痕价值被重新定价。</w:t>
      </w:r>
    </w:p>
    <w:p>
      <w:r>
        <w:rPr>
          <w:rFonts w:ascii="Calibri" w:hAnsi="Calibri" w:eastAsia="微软雅黑"/>
          <w:b w:val="0"/>
          <w:i w:val="0"/>
          <w:sz w:val="22"/>
        </w:rPr>
        <w:t>作废信号：资格准入放宽使单一主体中标占比显著上升、联合体形态边缘化，本趋势失去载体。</w:t>
      </w:r>
    </w:p>
    <w:p>
      <w:pPr>
        <w:pStyle w:val="Heading2"/>
      </w:pPr>
      <w:r>
        <w:t>12.6 趋势五：争端解决向事中裁决演化，DAAB思路本地化</w:t>
      </w:r>
    </w:p>
    <w:p>
      <w:r>
        <w:rPr>
          <w:rFonts w:ascii="Calibri" w:hAnsi="Calibri" w:eastAsia="微软雅黑"/>
          <w:b w:val="0"/>
          <w:i w:val="0"/>
          <w:sz w:val="22"/>
        </w:rPr>
        <w:t>基线取自专著目录两节标题："由2017版银皮书DAAB条款谈FIDIC争端解决机制沿革及对国内工程多元化纠纷解决机制的启示"与"从2017版银皮书谈FIDIC对工程总承包合同终止的价格确定原则"。两条标题说明2017版银皮书的DAAB条款与合同终止价格确定原则已进入国内实务研究核心议程。</w:t>
      </w:r>
    </w:p>
    <w:p>
      <w:r>
        <w:rPr>
          <w:rFonts w:ascii="Calibri" w:hAnsi="Calibri" w:eastAsia="微软雅黑"/>
          <w:b w:val="0"/>
          <w:i w:val="0"/>
          <w:sz w:val="22"/>
        </w:rPr>
        <w:t>推理链：诉讼与仲裁都是终局性、滞后性救济，而EPC争议金额跨多个量级（12.2节样本即有15190038.4元与769734元并存）、履约周期长，双方对履约期间的即时裁决存在真实需求。2026-2029年预判：工程师决定、专家裁决、调解前置等安排进入合同专用条件；示范文本与企业标准合同中争端前置程序的覆盖率上升；合同终止时的价格确定规则（吸收银皮书终止计价原则）成为谈判标配条款。</w:t>
      </w:r>
    </w:p>
    <w:p>
      <w:r>
        <w:rPr>
          <w:rFonts w:ascii="Calibri" w:hAnsi="Calibri" w:eastAsia="微软雅黑"/>
          <w:b w:val="0"/>
          <w:i w:val="0"/>
          <w:sz w:val="22"/>
        </w:rPr>
        <w:t>作废信号：公开判决显示当事人约定的前置裁决程序被法院以拖延诉权为由否定其强制力，趋势退回自愿调解旧轨。</w:t>
      </w:r>
    </w:p>
    <w:p>
      <w:pPr>
        <w:pStyle w:val="Heading2"/>
      </w:pPr>
      <w:r>
        <w:t>12.7 趋势六：监管处罚逻辑跨行业外溢，"体系失效"追责模型进入工程央企视野</w:t>
      </w:r>
    </w:p>
    <w:p>
      <w:r>
        <w:rPr>
          <w:rFonts w:ascii="Calibri" w:hAnsi="Calibri" w:eastAsia="微软雅黑"/>
          <w:b w:val="0"/>
          <w:i w:val="0"/>
          <w:sz w:val="22"/>
        </w:rPr>
        <w:t>监管文书记录构成基线。法询金融研究院2026-09-14文章（2026-09-17采集入库）记录：按法询智库统计，金融机构因全面风险管理不到位已被开出9张罚单；2022-07-06新华信托被认定"全面风险管理失效"等13项案由，罚款共计1400万元；个人追责同步落地——2022-08-15卢广开被禁止终身从事银行业工作，2022-09-29郝雅军被取消高管任职资格3年，2022-07-06项琥被取消高管任职资格3年，2022-07-06赵暖被警告。该文将监管视野归拢为全面、国别、市场、信息科技、声誉、操作、流动性七大风险管理领域。</w:t>
      </w:r>
    </w:p>
    <w:p>
      <w:r>
        <w:rPr>
          <w:rFonts w:ascii="Calibri" w:hAnsi="Calibri" w:eastAsia="微软雅黑"/>
          <w:b w:val="0"/>
          <w:i w:val="0"/>
          <w:sz w:val="22"/>
        </w:rPr>
        <w:t>推理链：机构巨额罚款、个人任职资格追责、案由直书体系失效——这套处罚语法先在金融业定型，再经央企合规管理要求传导至工程企业。工程总承包单笔合同金额高、项目公众属性强（从业者2020年经手的收尾项目即含住宅、派出所、学校场馆、厂房），一旦发生质量安全事故，问责从查项目升级到查体系的路径与信托业案例同构。2026-2029年预判：头部工程企业的合同风险管理职能从支持部门转为受审计部门，风险登记册与风险应对记录的留痕完备度成为免责的关键证据链。</w:t>
      </w:r>
    </w:p>
    <w:p>
      <w:r>
        <w:rPr>
          <w:rFonts w:ascii="Calibri" w:hAnsi="Calibri" w:eastAsia="微软雅黑"/>
          <w:b w:val="0"/>
          <w:i w:val="0"/>
          <w:sz w:val="22"/>
        </w:rPr>
        <w:t>作废信号：预判区间内工程行业公开处罚仍集中于项目层责任，未见以风险管理体系不健全为主案由的处罚文书，则外溢判断不成立。</w:t>
      </w:r>
    </w:p>
    <w:p>
      <w:pPr>
        <w:pStyle w:val="Heading2"/>
      </w:pPr>
      <w:r>
        <w:t>12.8 趋势七：风险量化工具下沉到合同条款层</w:t>
      </w:r>
    </w:p>
    <w:p>
      <w:r>
        <w:rPr>
          <w:rFonts w:ascii="Calibri" w:hAnsi="Calibri" w:eastAsia="微软雅黑"/>
          <w:b w:val="0"/>
          <w:i w:val="0"/>
          <w:sz w:val="22"/>
        </w:rPr>
        <w:t>知识体系文本是基线。PMBOK风险管理知识域的2025年解析文本列明定量工具：蒙特卡洛、敏感性分析、决策树分析（并标注"出计算题"）；威胁应对五策略为上报（Escalate）、规避（Avoid）、转移（Transfer）、减轻（Mitigate）、接受（Accept），机会应对另有开拓（Exploit）；体系还引入非事件风险两分类——模糊性风险与变异性风险，以及整合式风险管理概念。出版侧同步印证：《国际工程EPC项目风险管理（第2版）》全书9章，第9章即EPC工程风险评估实践，以炼化工程项目为例，覆盖业主招标文件要求、承包商响应程序、投标报价和执行阶段风险量化评估；资料库另收有以《EPC模式下"华龙一号"海外首堆工程进度风险管理研究及实践》为题的公开研究文献。</w:t>
      </w:r>
    </w:p>
    <w:p>
      <w:r>
        <w:rPr>
          <w:rFonts w:ascii="Calibri" w:hAnsi="Calibri" w:eastAsia="微软雅黑"/>
          <w:b w:val="0"/>
          <w:i w:val="0"/>
          <w:sz w:val="22"/>
        </w:rPr>
        <w:t>推理链：工具成熟度与教材密度是行业普及的先行指标——当决策树进入考试计算题、当炼化项目量化实践成章出版，量化方法从咨询公司专属变为承包商自建能力的门槛显著降低。2026-2029年预判：合同专用条款出现以量化输出为触发条件的机制，例如以模拟工期分位值为基准的误期赔偿起算点、按敏感性排序确定的价格调整权重表；风险登记册从内部文档升格为合同附件与索赔证据。</w:t>
      </w:r>
    </w:p>
    <w:p>
      <w:r>
        <w:rPr>
          <w:rFonts w:ascii="Calibri" w:hAnsi="Calibri" w:eastAsia="微软雅黑"/>
          <w:b w:val="0"/>
          <w:i w:val="0"/>
          <w:sz w:val="22"/>
        </w:rPr>
        <w:t>作废信号：公开判决中量化证据（模拟报告、敏感性分析）被系统性以单方委托、证明力不足为由排除，条款化即失去司法锚点。</w:t>
      </w:r>
    </w:p>
    <w:p>
      <w:pPr>
        <w:pStyle w:val="Heading2"/>
      </w:pPr>
      <w:r>
        <w:t>12.9 趋势八：采购与供应链风险的前置策划成为总包能力分水岭</w:t>
      </w:r>
    </w:p>
    <w:p>
      <w:r>
        <w:rPr>
          <w:rFonts w:ascii="Calibri" w:hAnsi="Calibri" w:eastAsia="微软雅黑"/>
          <w:b w:val="0"/>
          <w:i w:val="0"/>
          <w:sz w:val="22"/>
        </w:rPr>
        <w:t>行业文章给出两个框架锚点作为基线：世行"项目发展采购战略管理指南（PPSD）"要求在前期管理规划中对项目环境作细致分析并制定最适合项目的采购策略；"前期策划效益原理（Front-End Loading Principle）"指明项目早期阶段进行充分规划和决策优化，能以较低的成本投入获得显著的项目价值提升。同文直陈现状：普遍存在合同风险分担不合理、关键条件谈判难成共识、合同执行监督难度增加；并判断EPC模式下设计、成套和施工的责任转移给总包方后，管理方的角色演变为履约监管者。</w:t>
      </w:r>
    </w:p>
    <w:p>
      <w:r>
        <w:rPr>
          <w:rFonts w:ascii="Calibri" w:hAnsi="Calibri" w:eastAsia="微软雅黑"/>
          <w:b w:val="0"/>
          <w:i w:val="0"/>
          <w:sz w:val="22"/>
        </w:rPr>
        <w:t>推理链：大量新进入者涌入开发端稀释了发包经验，总包方承接的风险总量上升，倒逼采购策划从执行环节前移到投标报价环节。2026-2029年预判：长交期核心设备的锁价条款、汇率与关税条款、原产地合规条款进入EPC主合同正文；供应链断供情景分析成为投标评审标准动作；采购风险管理从设备科事务升格为合约事务。</w:t>
      </w:r>
    </w:p>
    <w:p>
      <w:r>
        <w:rPr>
          <w:rFonts w:ascii="Calibri" w:hAnsi="Calibri" w:eastAsia="微软雅黑"/>
          <w:b w:val="0"/>
          <w:i w:val="0"/>
          <w:sz w:val="22"/>
        </w:rPr>
        <w:t>作废信号：设备价格与交付周期在区间内持续宽松，前置策划边际收益递减，趋势退化为尾部风险管理。</w:t>
      </w:r>
    </w:p>
    <w:p>
      <w:pPr>
        <w:pStyle w:val="Heading2"/>
      </w:pPr>
      <w:r>
        <w:t>12.10 趋势九：组织能力分层自评进入企业采购标准</w:t>
      </w:r>
    </w:p>
    <w:p>
      <w:r>
        <w:rPr>
          <w:rFonts w:ascii="Calibri" w:hAnsi="Calibri" w:eastAsia="微软雅黑"/>
          <w:b w:val="0"/>
          <w:i w:val="0"/>
          <w:sz w:val="22"/>
        </w:rPr>
        <w:t>基线来自从业者轨迹与培训供给两端。2026-09-24发布的30年从业者总结提出EPC风险管理五层次框架，自述轨迹：1998年在福州承包装修项目时随随便便签个协议，图纸连节点大样都没有，最后耽误二十几天工期，结算时全程没有留下一点对自己有利的签证；2016年进入某国企建工集团聚焦EPC项目管理；2020年负责漳厦泉六个EPC项目收尾，类型横跨住宅、派出所、学校场馆、厂房；2021-2025年全过程参与三个EPC项目，两个完成结算。培训供给端：攀成德《工程总承包管理》系列课程共16个主题，第16讲即工程总承包风险管理，培训对象为总承包业务管理人员，课时1天，内容覆盖投标、合同、设计、采购、施工、试运行等风险类型。</w:t>
      </w:r>
    </w:p>
    <w:p>
      <w:r>
        <w:rPr>
          <w:rFonts w:ascii="Calibri" w:hAnsi="Calibri" w:eastAsia="微软雅黑"/>
          <w:b w:val="0"/>
          <w:i w:val="0"/>
          <w:sz w:val="22"/>
        </w:rPr>
        <w:t>推理链：从业者分层自评加企业培训采购构成能力定价市场。当"你在哪一层"式自评框架在行业传播，发包人资格预审与总包商分包评审会把风险管理组织成熟度写进评分项。2026-2029年预判：投标文件风险管理章节从形式响应转为实质评分项，风险管理制度文本、专职岗位设置、历史项目风险处置记录成为资信硬指标。</w:t>
      </w:r>
    </w:p>
    <w:p>
      <w:r>
        <w:rPr>
          <w:rFonts w:ascii="Calibri" w:hAnsi="Calibri" w:eastAsia="微软雅黑"/>
          <w:b w:val="0"/>
          <w:i w:val="0"/>
          <w:sz w:val="22"/>
        </w:rPr>
        <w:t>作废信号：主流招标文件范本中风险管理仍为符合性条款而非分数项，趋势只停留在培训市场而未进入采购制度。</w:t>
      </w:r>
    </w:p>
    <w:p>
      <w:pPr>
        <w:pStyle w:val="Heading2"/>
      </w:pPr>
      <w:r>
        <w:t>12.11 2026-2029行动路线：九条趋势的逐年应对</w:t>
      </w:r>
    </w:p>
    <w:p>
      <w:r>
        <w:rPr>
          <w:rFonts w:ascii="Calibri" w:hAnsi="Calibri" w:eastAsia="微软雅黑"/>
          <w:b w:val="0"/>
          <w:i w:val="0"/>
          <w:sz w:val="22"/>
        </w:rPr>
        <w:t>按年拆解（括注对应趋势编号）：</w:t>
      </w:r>
    </w:p>
    <w:p>
      <w:r>
        <w:rPr>
          <w:rFonts w:ascii="Calibri" w:hAnsi="Calibri" w:eastAsia="微软雅黑"/>
          <w:b w:val="0"/>
          <w:i w:val="0"/>
          <w:sz w:val="22"/>
        </w:rPr>
        <w:t>2026年内——完成存量EPC合同结算依据盘点，对齐12.2节三段式欠款结构（未确认变更、已签结算单、未结算零星项，样本合计15190038.4元）；上线发包人要求澄清函模板库（趋势二）；调差条款评审清单进入投标评审流程（趋势三）。</w:t>
      </w:r>
    </w:p>
    <w:p>
      <w:r>
        <w:rPr>
          <w:rFonts w:ascii="Calibri" w:hAnsi="Calibri" w:eastAsia="微软雅黑"/>
          <w:b w:val="0"/>
          <w:i w:val="0"/>
          <w:sz w:val="22"/>
        </w:rPr>
        <w:t>2027年内——联合体协议标准文本换代，补齐内部责任划分、对外签约权限、成员退出替换三类条款（趋势四）；争端前置程序条款写入合同专用条件范本（趋势五）。</w:t>
      </w:r>
    </w:p>
    <w:p>
      <w:r>
        <w:rPr>
          <w:rFonts w:ascii="Calibri" w:hAnsi="Calibri" w:eastAsia="微软雅黑"/>
          <w:b w:val="0"/>
          <w:i w:val="0"/>
          <w:sz w:val="22"/>
        </w:rPr>
        <w:t>2028年内——对照监管体系失效案由清单开展风险管理体系自查，固化风险登记册留痕制度（趋势六）；决策树与敏感性分析嵌入投标评审（趋势七）。</w:t>
      </w:r>
    </w:p>
    <w:p>
      <w:r>
        <w:rPr>
          <w:rFonts w:ascii="Calibri" w:hAnsi="Calibri" w:eastAsia="微软雅黑"/>
          <w:b w:val="0"/>
          <w:i w:val="0"/>
          <w:sz w:val="22"/>
        </w:rPr>
        <w:t>2029年内——采购前置策划制度化，长交期设备锁价与断供情景分析标准化（趋势八）；组织能力分层自评纳入自身投标资信与分包商评审（趋势九）。</w:t>
      </w:r>
    </w:p>
    <w:p>
      <w:r>
        <w:rPr>
          <w:rFonts w:ascii="Calibri" w:hAnsi="Calibri" w:eastAsia="微软雅黑"/>
          <w:b w:val="0"/>
          <w:i w:val="0"/>
          <w:sz w:val="22"/>
        </w:rPr>
        <w:t>九条趋势共享一组总作废信号：年度EPC相关裁判文书计数显著回落、示范文本停更、监管处罚停留项目层——三者同时出现时，本章应整体重写而非局部修补。</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