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提案版本：V3.2（操作手册级 · 含智能复利引擎 + 红队质询应答 + 用户主权十维灵活性 + 竞品源码级全维超越 + 技能铸造厂四源蒸馏 + 最难优先开发宪法 + 信任-上下文引擎）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21 章 + 19 附录 · 红队 13 问全落解 · 十维灵活性 300+ 配置项 · 铸造厂四源 46 项蒸馏调研 · 九大最难问题 H1-H9 攻坚宪法 · 信任-上下文引擎 TCN+NPI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版本：V3.2（V3.1 之上：第 21 章信任-上下文引擎——最长长板的最大化：TCN 四环飞轮/信任账本与阶梯/三层上下文与 18 源矩阵/需求三角定位/五维画像×四层任务解析/需求逼近指数 NPI）｜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 章（愿景、生态、商业、市场、智能复利、红队质询、用户主权、竞品超越、技能铸造厂、最难优先宪法、信任-上下文长板）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风险的整体暴露度评估（V3.2：十大→二十大）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