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jc w:val="center"/>
      </w:pPr>
      <w:r>
        <w:rPr>
          <w:rFonts w:ascii="Calibri" w:hAnsi="Calibri" w:eastAsia="微软雅黑"/>
          <w:b/>
          <w:i w:val="0"/>
          <w:sz w:val="44"/>
        </w:rPr>
        <w:t>工程总承包招投标合规指南（2026 版）</w:t>
      </w:r>
    </w:p>
    <w:p>
      <w:pPr>
        <w:jc w:val="center"/>
      </w:pPr>
      <w:r>
        <w:rPr>
          <w:rFonts w:ascii="Calibri" w:hAnsi="Calibri" w:eastAsia="微软雅黑"/>
          <w:b w:val="0"/>
          <w:i w:val="0"/>
          <w:color w:val="666666"/>
          <w:sz w:val="22"/>
        </w:rPr>
        <w:t>专题研报 · 总包智库 | 数字可溯 · 每个关键数字标注出处</w:t>
      </w:r>
    </w:p>
    <w:p>
      <w:pPr>
        <w:jc w:val="center"/>
      </w:pPr>
      <w:r>
        <w:rPr>
          <w:rFonts w:ascii="Calibri" w:hAnsi="Calibri" w:eastAsia="微软雅黑"/>
          <w:b w:val="0"/>
          <w:i w:val="0"/>
          <w:color w:val="666666"/>
          <w:sz w:val="22"/>
        </w:rPr>
        <w:t>关于本书这本书写给工程企业里"签字前睡不着觉"的人：合规、法务、经营、纪检，以及被推到投标一线的项目负责人。</w:t>
      </w:r>
    </w:p>
    <w:p>
      <w:pPr>
        <w:jc w:val="center"/>
      </w:pPr>
      <w:r>
        <w:rPr>
          <w:rFonts w:ascii="Calibri" w:hAnsi="Calibri" w:eastAsia="微软雅黑"/>
          <w:b w:val="0"/>
          <w:i w:val="0"/>
          <w:color w:val="666666"/>
          <w:sz w:val="22"/>
        </w:rPr>
        <w:t>工程总承包招投标的合规问题，从来不是"知不知道法条"的问题。招标投标法及其实施条例、九部委的资格预审文件、住建部门的一连串规范性文件——这些都查得到。真正的问题是：在项目压力下，哪一个节点最容易踩线？踩线之后，处罚的判例尺度是什么？整改的窗口在哪里？出了纠纷，法院近十年到底怎么判？这些问题没有一本"法条汇编"能回答，需要把政策、判例、处罚通报、行业数据放到一张桌上对照着看。</w:t>
      </w:r>
    </w:p>
    <w:p>
      <w:pPr>
        <w:jc w:val="center"/>
      </w:pPr>
      <w:r>
        <w:rPr>
          <w:rFonts w:ascii="Calibri" w:hAnsi="Calibri" w:eastAsia="微软雅黑"/>
          <w:b w:val="0"/>
          <w:i w:val="0"/>
          <w:color w:val="666666"/>
          <w:sz w:val="22"/>
        </w:rPr>
        <w:t>我们把这张桌子搭起来了。本书的每一章都建立在数万件公开资料之上——政策原文、裁判文书、处罚通报、行业统计、国际规则文本——每个关键数字都标注了出处，读者可以按图索骥复核到原始文件。我们坚持一条纪律：书里没有一个凭记忆写下的数字；凡是推算，都摆出算式。</w:t>
      </w:r>
    </w:p>
    <w:p>
      <w:pPr>
        <w:jc w:val="center"/>
      </w:pPr>
      <w:r>
        <w:rPr>
          <w:rFonts w:ascii="Calibri" w:hAnsi="Calibri" w:eastAsia="微软雅黑"/>
          <w:b w:val="0"/>
          <w:i w:val="0"/>
          <w:color w:val="666666"/>
          <w:sz w:val="22"/>
        </w:rPr>
        <w:t>全书十二章，按买家的三个使用场景编排。</w:t>
      </w:r>
      <w:r>
        <w:rPr>
          <w:rFonts w:ascii="Calibri" w:hAnsi="Calibri" w:eastAsia="微软雅黑"/>
          <w:b/>
          <w:i w:val="0"/>
          <w:color w:val="666666"/>
          <w:sz w:val="22"/>
        </w:rPr>
        <w:t>事前防</w:t>
      </w:r>
      <w:r>
        <w:rPr>
          <w:rFonts w:ascii="Calibri" w:hAnsi="Calibri" w:eastAsia="微软雅黑"/>
          <w:b w:val="0"/>
          <w:i w:val="0"/>
          <w:color w:val="666666"/>
          <w:sz w:val="22"/>
        </w:rPr>
        <w:t>（第一至六章）：政策坐标系、全流程节点、评标红线、电子平台、围串标识别、资质准入——拿去对照自查。</w:t>
      </w:r>
      <w:r>
        <w:rPr>
          <w:rFonts w:ascii="Calibri" w:hAnsi="Calibri" w:eastAsia="微软雅黑"/>
          <w:b/>
          <w:i w:val="0"/>
          <w:color w:val="666666"/>
          <w:sz w:val="22"/>
        </w:rPr>
        <w:t>事中守</w:t>
      </w:r>
      <w:r>
        <w:rPr>
          <w:rFonts w:ascii="Calibri" w:hAnsi="Calibri" w:eastAsia="微软雅黑"/>
          <w:b w:val="0"/>
          <w:i w:val="0"/>
          <w:color w:val="666666"/>
          <w:sz w:val="22"/>
        </w:rPr>
        <w:t>（第七至九章）：合同条款风险、纠纷判例谱系、失败案例档案——出事前翻到对应章节。</w:t>
      </w:r>
      <w:r>
        <w:rPr>
          <w:rFonts w:ascii="Calibri" w:hAnsi="Calibri" w:eastAsia="微软雅黑"/>
          <w:b/>
          <w:i w:val="0"/>
          <w:color w:val="666666"/>
          <w:sz w:val="22"/>
        </w:rPr>
        <w:t>事后学与向外看</w:t>
      </w:r>
      <w:r>
        <w:rPr>
          <w:rFonts w:ascii="Calibri" w:hAnsi="Calibri" w:eastAsia="微软雅黑"/>
          <w:b w:val="0"/>
          <w:i w:val="0"/>
          <w:color w:val="666666"/>
          <w:sz w:val="22"/>
        </w:rPr>
        <w:t>（第十至十二章）：招标代理生态、FIDIC 与世行规则下的国际对标、未来数年的合规趋势预判——用于制度建设与战略选择。</w:t>
      </w:r>
    </w:p>
    <w:p>
      <w:pPr>
        <w:jc w:val="center"/>
      </w:pPr>
      <w:r>
        <w:rPr>
          <w:rFonts w:ascii="Calibri" w:hAnsi="Calibri" w:eastAsia="微软雅黑"/>
          <w:b w:val="0"/>
          <w:i w:val="0"/>
          <w:color w:val="666666"/>
          <w:sz w:val="22"/>
        </w:rPr>
        <w:t>预判一章请特别注意读法：每条趋势都给出了基线事实、推演逻辑与反证检验三件套。我们不贩卖确定性，我们贩卖的是"带着证据的判断"——包括判断可能错在哪里。</w:t>
      </w:r>
    </w:p>
    <w:p>
      <w:pPr>
        <w:jc w:val="center"/>
      </w:pPr>
      <w:r>
        <w:rPr>
          <w:rFonts w:ascii="Calibri" w:hAnsi="Calibri" w:eastAsia="微软雅黑"/>
          <w:b w:val="0"/>
          <w:i w:val="0"/>
          <w:color w:val="666666"/>
          <w:sz w:val="22"/>
        </w:rPr>
        <w:t>资料截至成书之日。法规会修订、判例会更新，我们会在后续版本中滚动修订。发现错漏，欢迎通过平台渠道指出——合规这件事，较真的人才做得好。</w:t>
      </w:r>
    </w:p>
    <w:p>
      <w:pPr>
        <w:jc w:val="center"/>
      </w:pPr>
      <w:r>
        <w:rPr>
          <w:rFonts w:ascii="Calibri" w:hAnsi="Calibri" w:eastAsia="微软雅黑"/>
          <w:b w:val="0"/>
          <w:i w:val="0"/>
          <w:color w:val="666666"/>
          <w:sz w:val="22"/>
        </w:rPr>
        <w:t>编者</w:t>
      </w:r>
    </w:p>
    <w:p>
      <w:pPr>
        <w:jc w:val="center"/>
      </w:pPr>
      <w:r>
        <w:rPr>
          <w:rFonts w:ascii="Calibri" w:hAnsi="Calibri" w:eastAsia="微软雅黑"/>
          <w:b w:val="0"/>
          <w:i w:val="0"/>
          <w:color w:val="666666"/>
          <w:sz w:val="22"/>
        </w:rPr>
        <w:t>二〇二六年十月</w:t>
      </w:r>
    </w:p>
    <w:p>
      <w:pPr>
        <w:jc w:val="center"/>
      </w:pPr>
      <w:r>
        <w:rPr>
          <w:rFonts w:ascii="Calibri" w:hAnsi="Calibri" w:eastAsia="微软雅黑"/>
          <w:b w:val="0"/>
          <w:i w:val="0"/>
          <w:color w:val="666666"/>
          <w:sz w:val="22"/>
        </w:rPr>
        <w:t>---</w:t>
      </w:r>
    </w:p>
    <w:p>
      <w:r>
        <w:br w:type="page"/>
      </w:r>
    </w:p>
    <w:p>
      <w:pPr>
        <w:pStyle w:val="Heading1"/>
      </w:pPr>
      <w:r>
        <w:t>目 录</w:t>
      </w:r>
    </w:p>
    <w:p>
      <w:pPr>
        <w:tabs>
          <w:tab w:pos="8504" w:val="right" w:leader="dot"/>
        </w:tabs>
        <w:ind w:left="0"/>
      </w:pPr>
      <w:r>
        <w:rPr>
          <w:rFonts w:ascii="Calibri" w:hAnsi="Calibri" w:eastAsia="微软雅黑"/>
          <w:b/>
          <w:i w:val="0"/>
          <w:sz w:val="22"/>
        </w:rPr>
        <w:t>第1章 2026 合规总图景：政策坐标系与监管框架</w:t>
      </w:r>
    </w:p>
    <w:p>
      <w:pPr>
        <w:tabs>
          <w:tab w:pos="8504" w:val="right" w:leader="dot"/>
        </w:tabs>
        <w:ind w:left="340"/>
      </w:pPr>
      <w:r>
        <w:rPr>
          <w:rFonts w:ascii="Calibri" w:hAnsi="Calibri" w:eastAsia="微软雅黑"/>
          <w:b w:val="0"/>
          <w:i w:val="0"/>
          <w:sz w:val="20"/>
        </w:rPr>
        <w:t>1.1 立法坐标：修订草案改写哪些游戏规则</w:t>
      </w:r>
    </w:p>
    <w:p>
      <w:pPr>
        <w:tabs>
          <w:tab w:pos="8504" w:val="right" w:leader="dot"/>
        </w:tabs>
        <w:ind w:left="340"/>
      </w:pPr>
      <w:r>
        <w:rPr>
          <w:rFonts w:ascii="Calibri" w:hAnsi="Calibri" w:eastAsia="微软雅黑"/>
          <w:b w:val="0"/>
          <w:i w:val="0"/>
          <w:sz w:val="20"/>
        </w:rPr>
        <w:t>1.2 监管坐标：条块分工与招标人主体责任</w:t>
      </w:r>
    </w:p>
    <w:p>
      <w:pPr>
        <w:tabs>
          <w:tab w:pos="8504" w:val="right" w:leader="dot"/>
        </w:tabs>
        <w:ind w:left="340"/>
      </w:pPr>
      <w:r>
        <w:rPr>
          <w:rFonts w:ascii="Calibri" w:hAnsi="Calibri" w:eastAsia="微软雅黑"/>
          <w:b w:val="0"/>
          <w:i w:val="0"/>
          <w:sz w:val="20"/>
        </w:rPr>
        <w:t>1.3 边界坐标：必招、非必招与政府采购的三分格局</w:t>
      </w:r>
    </w:p>
    <w:p>
      <w:pPr>
        <w:tabs>
          <w:tab w:pos="8504" w:val="right" w:leader="dot"/>
        </w:tabs>
        <w:ind w:left="340"/>
      </w:pPr>
      <w:r>
        <w:rPr>
          <w:rFonts w:ascii="Calibri" w:hAnsi="Calibri" w:eastAsia="微软雅黑"/>
          <w:b w:val="0"/>
          <w:i w:val="0"/>
          <w:sz w:val="20"/>
        </w:rPr>
        <w:t>1.4 资金坐标：隐性债务零容忍与F+EPC穿透审查</w:t>
      </w:r>
    </w:p>
    <w:p>
      <w:pPr>
        <w:tabs>
          <w:tab w:pos="8504" w:val="right" w:leader="dot"/>
        </w:tabs>
        <w:ind w:left="340"/>
      </w:pPr>
      <w:r>
        <w:rPr>
          <w:rFonts w:ascii="Calibri" w:hAnsi="Calibri" w:eastAsia="微软雅黑"/>
          <w:b w:val="0"/>
          <w:i w:val="0"/>
          <w:sz w:val="20"/>
        </w:rPr>
        <w:t>1.5 地方坐标：从政策爆发到规则深耕（2016—2026）</w:t>
      </w:r>
    </w:p>
    <w:p>
      <w:pPr>
        <w:tabs>
          <w:tab w:pos="8504" w:val="right" w:leader="dot"/>
        </w:tabs>
        <w:ind w:left="340"/>
      </w:pPr>
      <w:r>
        <w:rPr>
          <w:rFonts w:ascii="Calibri" w:hAnsi="Calibri" w:eastAsia="微软雅黑"/>
          <w:b w:val="0"/>
          <w:i w:val="0"/>
          <w:sz w:val="20"/>
        </w:rPr>
        <w:t>本章要点</w:t>
      </w:r>
    </w:p>
    <w:p>
      <w:pPr>
        <w:tabs>
          <w:tab w:pos="8504" w:val="right" w:leader="dot"/>
        </w:tabs>
        <w:ind w:left="340"/>
      </w:pPr>
      <w:r>
        <w:rPr>
          <w:rFonts w:ascii="Calibri" w:hAnsi="Calibri" w:eastAsia="微软雅黑"/>
          <w:b w:val="0"/>
          <w:i w:val="0"/>
          <w:sz w:val="20"/>
        </w:rPr>
        <w:t>本章源增补</w:t>
      </w:r>
    </w:p>
    <w:p>
      <w:pPr>
        <w:tabs>
          <w:tab w:pos="8504" w:val="right" w:leader="dot"/>
        </w:tabs>
        <w:ind w:left="0"/>
      </w:pPr>
      <w:r>
        <w:rPr>
          <w:rFonts w:ascii="Calibri" w:hAnsi="Calibri" w:eastAsia="微软雅黑"/>
          <w:b/>
          <w:i w:val="0"/>
          <w:sz w:val="22"/>
        </w:rPr>
        <w:t>第2章 招标全流程合规节点地图（从立项到定标）</w:t>
      </w:r>
    </w:p>
    <w:p>
      <w:pPr>
        <w:tabs>
          <w:tab w:pos="8504" w:val="right" w:leader="dot"/>
        </w:tabs>
        <w:ind w:left="340"/>
      </w:pPr>
      <w:r>
        <w:rPr>
          <w:rFonts w:ascii="Calibri" w:hAnsi="Calibri" w:eastAsia="微软雅黑"/>
          <w:b w:val="0"/>
          <w:i w:val="0"/>
          <w:sz w:val="20"/>
        </w:rPr>
        <w:t>2.1 流程骨架：五个阶段、两组上位法与"多招合一"</w:t>
      </w:r>
    </w:p>
    <w:p>
      <w:pPr>
        <w:tabs>
          <w:tab w:pos="8504" w:val="right" w:leader="dot"/>
        </w:tabs>
        <w:ind w:left="340"/>
      </w:pPr>
      <w:r>
        <w:rPr>
          <w:rFonts w:ascii="Calibri" w:hAnsi="Calibri" w:eastAsia="微软雅黑"/>
          <w:b w:val="0"/>
          <w:i w:val="0"/>
          <w:sz w:val="20"/>
        </w:rPr>
        <w:t>2.2 立项与前置手续：发包条件何时成熟</w:t>
      </w:r>
    </w:p>
    <w:p>
      <w:pPr>
        <w:tabs>
          <w:tab w:pos="8504" w:val="right" w:leader="dot"/>
        </w:tabs>
        <w:ind w:left="340"/>
      </w:pPr>
      <w:r>
        <w:rPr>
          <w:rFonts w:ascii="Calibri" w:hAnsi="Calibri" w:eastAsia="微软雅黑"/>
          <w:b w:val="0"/>
          <w:i w:val="0"/>
          <w:sz w:val="20"/>
        </w:rPr>
        <w:t>2.3 文件编制与公告发布：废标条款是双向武器</w:t>
      </w:r>
    </w:p>
    <w:p>
      <w:pPr>
        <w:tabs>
          <w:tab w:pos="8504" w:val="right" w:leader="dot"/>
        </w:tabs>
        <w:ind w:left="340"/>
      </w:pPr>
      <w:r>
        <w:rPr>
          <w:rFonts w:ascii="Calibri" w:hAnsi="Calibri" w:eastAsia="微软雅黑"/>
          <w:b w:val="0"/>
          <w:i w:val="0"/>
          <w:sz w:val="20"/>
        </w:rPr>
        <w:t>2.4 递交与开评标：程序刚性节点</w:t>
      </w:r>
    </w:p>
    <w:p>
      <w:pPr>
        <w:tabs>
          <w:tab w:pos="8504" w:val="right" w:leader="dot"/>
        </w:tabs>
        <w:ind w:left="340"/>
      </w:pPr>
      <w:r>
        <w:rPr>
          <w:rFonts w:ascii="Calibri" w:hAnsi="Calibri" w:eastAsia="微软雅黑"/>
          <w:b w:val="0"/>
          <w:i w:val="0"/>
          <w:sz w:val="20"/>
        </w:rPr>
        <w:t>2.5 定标与签约：从中标通知到合同落地</w:t>
      </w:r>
    </w:p>
    <w:p>
      <w:pPr>
        <w:tabs>
          <w:tab w:pos="8504" w:val="right" w:leader="dot"/>
        </w:tabs>
        <w:ind w:left="340"/>
      </w:pPr>
      <w:r>
        <w:rPr>
          <w:rFonts w:ascii="Calibri" w:hAnsi="Calibri" w:eastAsia="微软雅黑"/>
          <w:b w:val="0"/>
          <w:i w:val="0"/>
          <w:sz w:val="20"/>
        </w:rPr>
        <w:t>本章要点</w:t>
      </w:r>
    </w:p>
    <w:p>
      <w:pPr>
        <w:tabs>
          <w:tab w:pos="8504" w:val="right" w:leader="dot"/>
        </w:tabs>
        <w:ind w:left="0"/>
      </w:pPr>
      <w:r>
        <w:rPr>
          <w:rFonts w:ascii="Calibri" w:hAnsi="Calibri" w:eastAsia="微软雅黑"/>
          <w:b/>
          <w:i w:val="0"/>
          <w:sz w:val="22"/>
        </w:rPr>
        <w:t>第3章 评标环节：专家库、评审规则与红线</w:t>
      </w:r>
    </w:p>
    <w:p>
      <w:pPr>
        <w:tabs>
          <w:tab w:pos="8504" w:val="right" w:leader="dot"/>
        </w:tabs>
        <w:ind w:left="340"/>
      </w:pPr>
      <w:r>
        <w:rPr>
          <w:rFonts w:ascii="Calibri" w:hAnsi="Calibri" w:eastAsia="微软雅黑"/>
          <w:b w:val="0"/>
          <w:i w:val="0"/>
          <w:sz w:val="20"/>
        </w:rPr>
        <w:t>3.1 制度层级与风险坐标</w:t>
      </w:r>
    </w:p>
    <w:p>
      <w:pPr>
        <w:tabs>
          <w:tab w:pos="8504" w:val="right" w:leader="dot"/>
        </w:tabs>
        <w:ind w:left="340"/>
      </w:pPr>
      <w:r>
        <w:rPr>
          <w:rFonts w:ascii="Calibri" w:hAnsi="Calibri" w:eastAsia="微软雅黑"/>
          <w:b w:val="0"/>
          <w:i w:val="0"/>
          <w:sz w:val="20"/>
        </w:rPr>
        <w:t>3.2 专家库治理样本：江苏细则的管理链条</w:t>
      </w:r>
    </w:p>
    <w:p>
      <w:pPr>
        <w:tabs>
          <w:tab w:pos="8504" w:val="right" w:leader="dot"/>
        </w:tabs>
        <w:ind w:left="340"/>
      </w:pPr>
      <w:r>
        <w:rPr>
          <w:rFonts w:ascii="Calibri" w:hAnsi="Calibri" w:eastAsia="微软雅黑"/>
          <w:b w:val="0"/>
          <w:i w:val="0"/>
          <w:sz w:val="20"/>
        </w:rPr>
        <w:t>3.3 评审规则样本：上海评标办法的两轮迭代</w:t>
      </w:r>
    </w:p>
    <w:p>
      <w:pPr>
        <w:tabs>
          <w:tab w:pos="8504" w:val="right" w:leader="dot"/>
        </w:tabs>
        <w:ind w:left="340"/>
      </w:pPr>
      <w:r>
        <w:rPr>
          <w:rFonts w:ascii="Calibri" w:hAnsi="Calibri" w:eastAsia="微软雅黑"/>
          <w:b w:val="0"/>
          <w:i w:val="0"/>
          <w:sz w:val="20"/>
        </w:rPr>
        <w:t>3.4 红线清单：从程序瑕疵到追责通道</w:t>
      </w:r>
    </w:p>
    <w:p>
      <w:pPr>
        <w:tabs>
          <w:tab w:pos="8504" w:val="right" w:leader="dot"/>
        </w:tabs>
        <w:ind w:left="340"/>
      </w:pPr>
      <w:r>
        <w:rPr>
          <w:rFonts w:ascii="Calibri" w:hAnsi="Calibri" w:eastAsia="微软雅黑"/>
          <w:b w:val="0"/>
          <w:i w:val="0"/>
          <w:sz w:val="20"/>
        </w:rPr>
        <w:t>本章要点</w:t>
      </w:r>
    </w:p>
    <w:p>
      <w:pPr>
        <w:tabs>
          <w:tab w:pos="8504" w:val="right" w:leader="dot"/>
        </w:tabs>
        <w:ind w:left="0"/>
      </w:pPr>
      <w:r>
        <w:rPr>
          <w:rFonts w:ascii="Calibri" w:hAnsi="Calibri" w:eastAsia="微软雅黑"/>
          <w:b/>
          <w:i w:val="0"/>
          <w:sz w:val="22"/>
        </w:rPr>
        <w:t>第4章 电子招投标与数字化平台合规</w:t>
      </w:r>
    </w:p>
    <w:p>
      <w:pPr>
        <w:tabs>
          <w:tab w:pos="8504" w:val="right" w:leader="dot"/>
        </w:tabs>
        <w:ind w:left="340"/>
      </w:pPr>
      <w:r>
        <w:rPr>
          <w:rFonts w:ascii="Calibri" w:hAnsi="Calibri" w:eastAsia="微软雅黑"/>
          <w:b w:val="0"/>
          <w:i w:val="0"/>
          <w:sz w:val="20"/>
        </w:rPr>
        <w:t>4.1 制度底盘：一部办法、三类平台与两张时间表</w:t>
      </w:r>
    </w:p>
    <w:p>
      <w:pPr>
        <w:tabs>
          <w:tab w:pos="8504" w:val="right" w:leader="dot"/>
        </w:tabs>
        <w:ind w:left="340"/>
      </w:pPr>
      <w:r>
        <w:rPr>
          <w:rFonts w:ascii="Calibri" w:hAnsi="Calibri" w:eastAsia="微软雅黑"/>
          <w:b w:val="0"/>
          <w:i w:val="0"/>
          <w:sz w:val="20"/>
        </w:rPr>
        <w:t>4.2 平台入口合规：登录体系、CA互认与电子保函</w:t>
      </w:r>
    </w:p>
    <w:p>
      <w:pPr>
        <w:tabs>
          <w:tab w:pos="8504" w:val="right" w:leader="dot"/>
        </w:tabs>
        <w:ind w:left="340"/>
      </w:pPr>
      <w:r>
        <w:rPr>
          <w:rFonts w:ascii="Calibri" w:hAnsi="Calibri" w:eastAsia="微软雅黑"/>
          <w:b w:val="0"/>
          <w:i w:val="0"/>
          <w:sz w:val="20"/>
        </w:rPr>
        <w:t>4.3 全流程电子化交易：三个项目的完整链路</w:t>
      </w:r>
    </w:p>
    <w:p>
      <w:pPr>
        <w:tabs>
          <w:tab w:pos="8504" w:val="right" w:leader="dot"/>
        </w:tabs>
        <w:ind w:left="340"/>
      </w:pPr>
      <w:r>
        <w:rPr>
          <w:rFonts w:ascii="Calibri" w:hAnsi="Calibri" w:eastAsia="微软雅黑"/>
          <w:b w:val="0"/>
          <w:i w:val="0"/>
          <w:sz w:val="20"/>
        </w:rPr>
        <w:t>4.4 平台上的监管：考核公示、异常低价与人工智能评标</w:t>
      </w:r>
    </w:p>
    <w:p>
      <w:pPr>
        <w:tabs>
          <w:tab w:pos="8504" w:val="right" w:leader="dot"/>
        </w:tabs>
        <w:ind w:left="340"/>
      </w:pPr>
      <w:r>
        <w:rPr>
          <w:rFonts w:ascii="Calibri" w:hAnsi="Calibri" w:eastAsia="微软雅黑"/>
          <w:b w:val="0"/>
          <w:i w:val="0"/>
          <w:sz w:val="20"/>
        </w:rPr>
        <w:t>4.5 数字化交付与BIM：从评标加分项到法定义务</w:t>
      </w:r>
    </w:p>
    <w:p>
      <w:pPr>
        <w:tabs>
          <w:tab w:pos="8504" w:val="right" w:leader="dot"/>
        </w:tabs>
        <w:ind w:left="340"/>
      </w:pPr>
      <w:r>
        <w:rPr>
          <w:rFonts w:ascii="Calibri" w:hAnsi="Calibri" w:eastAsia="微软雅黑"/>
          <w:b w:val="0"/>
          <w:i w:val="0"/>
          <w:sz w:val="20"/>
        </w:rPr>
        <w:t>本章要点</w:t>
      </w:r>
    </w:p>
    <w:p>
      <w:pPr>
        <w:tabs>
          <w:tab w:pos="8504" w:val="right" w:leader="dot"/>
        </w:tabs>
        <w:ind w:left="0"/>
      </w:pPr>
      <w:r>
        <w:rPr>
          <w:rFonts w:ascii="Calibri" w:hAnsi="Calibri" w:eastAsia="微软雅黑"/>
          <w:b/>
          <w:i w:val="0"/>
          <w:sz w:val="22"/>
        </w:rPr>
        <w:t>第5章 围标串标与恶性竞争：识别、认定与处罚</w:t>
      </w:r>
    </w:p>
    <w:p>
      <w:pPr>
        <w:tabs>
          <w:tab w:pos="8504" w:val="right" w:leader="dot"/>
        </w:tabs>
        <w:ind w:left="340"/>
      </w:pPr>
      <w:r>
        <w:rPr>
          <w:rFonts w:ascii="Calibri" w:hAnsi="Calibri" w:eastAsia="微软雅黑"/>
          <w:b w:val="0"/>
          <w:i w:val="0"/>
          <w:sz w:val="20"/>
        </w:rPr>
        <w:t>5.1 概念边界：口语里的三个词，法条上只有"串通投标"</w:t>
      </w:r>
    </w:p>
    <w:p>
      <w:pPr>
        <w:tabs>
          <w:tab w:pos="8504" w:val="right" w:leader="dot"/>
        </w:tabs>
        <w:ind w:left="340"/>
      </w:pPr>
      <w:r>
        <w:rPr>
          <w:rFonts w:ascii="Calibri" w:hAnsi="Calibri" w:eastAsia="微软雅黑"/>
          <w:b w:val="0"/>
          <w:i w:val="0"/>
          <w:sz w:val="20"/>
        </w:rPr>
        <w:t>5.2 产业链解剖：一个19岁联系人与30亿元串标网</w:t>
      </w:r>
    </w:p>
    <w:p>
      <w:pPr>
        <w:tabs>
          <w:tab w:pos="8504" w:val="right" w:leader="dot"/>
        </w:tabs>
        <w:ind w:left="340"/>
      </w:pPr>
      <w:r>
        <w:rPr>
          <w:rFonts w:ascii="Calibri" w:hAnsi="Calibri" w:eastAsia="微软雅黑"/>
          <w:b w:val="0"/>
          <w:i w:val="0"/>
          <w:sz w:val="20"/>
        </w:rPr>
        <w:t>5.3 识别与认定：六种视为情形与五类电子铁证</w:t>
      </w:r>
    </w:p>
    <w:p>
      <w:pPr>
        <w:tabs>
          <w:tab w:pos="8504" w:val="right" w:leader="dot"/>
        </w:tabs>
        <w:ind w:left="340"/>
      </w:pPr>
      <w:r>
        <w:rPr>
          <w:rFonts w:ascii="Calibri" w:hAnsi="Calibri" w:eastAsia="微软雅黑"/>
          <w:b w:val="0"/>
          <w:i w:val="0"/>
          <w:sz w:val="20"/>
        </w:rPr>
        <w:t>5.4 行政处罚：罚款刻度、裁量档位与资格禁入</w:t>
      </w:r>
    </w:p>
    <w:p>
      <w:pPr>
        <w:tabs>
          <w:tab w:pos="8504" w:val="right" w:leader="dot"/>
        </w:tabs>
        <w:ind w:left="340"/>
      </w:pPr>
      <w:r>
        <w:rPr>
          <w:rFonts w:ascii="Calibri" w:hAnsi="Calibri" w:eastAsia="微软雅黑"/>
          <w:b w:val="0"/>
          <w:i w:val="0"/>
          <w:sz w:val="20"/>
        </w:rPr>
        <w:t>5.5 刑事追责：追诉门槛、判例刻度与两本账</w:t>
      </w:r>
    </w:p>
    <w:p>
      <w:pPr>
        <w:tabs>
          <w:tab w:pos="8504" w:val="right" w:leader="dot"/>
        </w:tabs>
        <w:ind w:left="340"/>
      </w:pPr>
      <w:r>
        <w:rPr>
          <w:rFonts w:ascii="Calibri" w:hAnsi="Calibri" w:eastAsia="微软雅黑"/>
          <w:b w:val="0"/>
          <w:i w:val="0"/>
          <w:sz w:val="20"/>
        </w:rPr>
        <w:t>本章要点</w:t>
      </w:r>
    </w:p>
    <w:p>
      <w:pPr>
        <w:tabs>
          <w:tab w:pos="8504" w:val="right" w:leader="dot"/>
        </w:tabs>
        <w:ind w:left="340"/>
      </w:pPr>
      <w:r>
        <w:rPr>
          <w:rFonts w:ascii="Calibri" w:hAnsi="Calibri" w:eastAsia="微软雅黑"/>
          <w:b w:val="0"/>
          <w:i w:val="0"/>
          <w:sz w:val="20"/>
        </w:rPr>
        <w:t>本章源增补</w:t>
      </w:r>
    </w:p>
    <w:p>
      <w:pPr>
        <w:tabs>
          <w:tab w:pos="8504" w:val="right" w:leader="dot"/>
        </w:tabs>
        <w:ind w:left="0"/>
      </w:pPr>
      <w:r>
        <w:rPr>
          <w:rFonts w:ascii="Calibri" w:hAnsi="Calibri" w:eastAsia="微软雅黑"/>
          <w:b/>
          <w:i w:val="0"/>
          <w:sz w:val="22"/>
        </w:rPr>
        <w:t>第6章 资质与准入：企业资格、人员资质改革动向</w:t>
      </w:r>
    </w:p>
    <w:p>
      <w:pPr>
        <w:tabs>
          <w:tab w:pos="8504" w:val="right" w:leader="dot"/>
        </w:tabs>
        <w:ind w:left="340"/>
      </w:pPr>
      <w:r>
        <w:rPr>
          <w:rFonts w:ascii="Calibri" w:hAnsi="Calibri" w:eastAsia="微软雅黑"/>
          <w:b w:val="0"/>
          <w:i w:val="0"/>
          <w:sz w:val="20"/>
        </w:rPr>
        <w:t>6.1 企业资格准入的制度基座：不设总承包资质，凭勘察设计施工资质入场</w:t>
      </w:r>
    </w:p>
    <w:p>
      <w:pPr>
        <w:tabs>
          <w:tab w:pos="8504" w:val="right" w:leader="dot"/>
        </w:tabs>
        <w:ind w:left="340"/>
      </w:pPr>
      <w:r>
        <w:rPr>
          <w:rFonts w:ascii="Calibri" w:hAnsi="Calibri" w:eastAsia="微软雅黑"/>
          <w:b w:val="0"/>
          <w:i w:val="0"/>
          <w:sz w:val="20"/>
        </w:rPr>
        <w:t>6.2 资质等级的投标杠杆：冶金与电力"二升一"硬指标对照</w:t>
      </w:r>
    </w:p>
    <w:p>
      <w:pPr>
        <w:tabs>
          <w:tab w:pos="8504" w:val="right" w:leader="dot"/>
        </w:tabs>
        <w:ind w:left="340"/>
      </w:pPr>
      <w:r>
        <w:rPr>
          <w:rFonts w:ascii="Calibri" w:hAnsi="Calibri" w:eastAsia="微软雅黑"/>
          <w:b w:val="0"/>
          <w:i w:val="0"/>
          <w:sz w:val="20"/>
        </w:rPr>
        <w:t>6.3 出借资质的司法重典：法释〔2026〕12号第三条</w:t>
      </w:r>
    </w:p>
    <w:p>
      <w:pPr>
        <w:tabs>
          <w:tab w:pos="8504" w:val="right" w:leader="dot"/>
        </w:tabs>
        <w:ind w:left="340"/>
      </w:pPr>
      <w:r>
        <w:rPr>
          <w:rFonts w:ascii="Calibri" w:hAnsi="Calibri" w:eastAsia="微软雅黑"/>
          <w:b w:val="0"/>
          <w:i w:val="0"/>
          <w:sz w:val="20"/>
        </w:rPr>
        <w:t>6.4 "资质出租"产业链样本：南县30亿串标案与机器管招投标</w:t>
      </w:r>
    </w:p>
    <w:p>
      <w:pPr>
        <w:tabs>
          <w:tab w:pos="8504" w:val="right" w:leader="dot"/>
        </w:tabs>
        <w:ind w:left="340"/>
      </w:pPr>
      <w:r>
        <w:rPr>
          <w:rFonts w:ascii="Calibri" w:hAnsi="Calibri" w:eastAsia="微软雅黑"/>
          <w:b w:val="0"/>
          <w:i w:val="0"/>
          <w:sz w:val="20"/>
        </w:rPr>
        <w:t>6.5 从业人员资质改革动向：考试门槛、配备标准与复合化</w:t>
      </w:r>
    </w:p>
    <w:p>
      <w:pPr>
        <w:tabs>
          <w:tab w:pos="8504" w:val="right" w:leader="dot"/>
        </w:tabs>
        <w:ind w:left="340"/>
      </w:pPr>
      <w:r>
        <w:rPr>
          <w:rFonts w:ascii="Calibri" w:hAnsi="Calibri" w:eastAsia="微软雅黑"/>
          <w:b w:val="0"/>
          <w:i w:val="0"/>
          <w:sz w:val="20"/>
        </w:rPr>
        <w:t>6.6 跨境准入：837号令重构对外投资备案，目的国行业门槛前置</w:t>
      </w:r>
    </w:p>
    <w:p>
      <w:pPr>
        <w:tabs>
          <w:tab w:pos="8504" w:val="right" w:leader="dot"/>
        </w:tabs>
        <w:ind w:left="340"/>
      </w:pPr>
      <w:r>
        <w:rPr>
          <w:rFonts w:ascii="Calibri" w:hAnsi="Calibri" w:eastAsia="微软雅黑"/>
          <w:b w:val="0"/>
          <w:i w:val="0"/>
          <w:sz w:val="20"/>
        </w:rPr>
        <w:t>本章要点</w:t>
      </w:r>
    </w:p>
    <w:p>
      <w:pPr>
        <w:tabs>
          <w:tab w:pos="8504" w:val="right" w:leader="dot"/>
        </w:tabs>
        <w:ind w:left="340"/>
      </w:pPr>
      <w:r>
        <w:rPr>
          <w:rFonts w:ascii="Calibri" w:hAnsi="Calibri" w:eastAsia="微软雅黑"/>
          <w:b w:val="0"/>
          <w:i w:val="0"/>
          <w:sz w:val="20"/>
        </w:rPr>
        <w:t>本章源增补</w:t>
      </w:r>
    </w:p>
    <w:p>
      <w:pPr>
        <w:tabs>
          <w:tab w:pos="8504" w:val="right" w:leader="dot"/>
        </w:tabs>
        <w:ind w:left="0"/>
      </w:pPr>
      <w:r>
        <w:rPr>
          <w:rFonts w:ascii="Calibri" w:hAnsi="Calibri" w:eastAsia="微软雅黑"/>
          <w:b/>
          <w:i w:val="0"/>
          <w:sz w:val="22"/>
        </w:rPr>
        <w:t>第7章 合同模式与计价：EPC 合同条款风险解剖</w:t>
      </w:r>
    </w:p>
    <w:p>
      <w:pPr>
        <w:tabs>
          <w:tab w:pos="8504" w:val="right" w:leader="dot"/>
        </w:tabs>
        <w:ind w:left="340"/>
      </w:pPr>
      <w:r>
        <w:rPr>
          <w:rFonts w:ascii="Calibri" w:hAnsi="Calibri" w:eastAsia="微软雅黑"/>
          <w:b w:val="0"/>
          <w:i w:val="0"/>
          <w:sz w:val="20"/>
        </w:rPr>
        <w:t>7.1 计价模式分界：三种形式与"宜固定总价"的政策推力</w:t>
      </w:r>
    </w:p>
    <w:p>
      <w:pPr>
        <w:tabs>
          <w:tab w:pos="8504" w:val="right" w:leader="dot"/>
        </w:tabs>
        <w:ind w:left="340"/>
      </w:pPr>
      <w:r>
        <w:rPr>
          <w:rFonts w:ascii="Calibri" w:hAnsi="Calibri" w:eastAsia="微软雅黑"/>
          <w:b w:val="0"/>
          <w:i w:val="0"/>
          <w:sz w:val="20"/>
        </w:rPr>
        <w:t>7.2 固定总价的"固定"边界：从调价情形到中途解除</w:t>
      </w:r>
    </w:p>
    <w:p>
      <w:pPr>
        <w:tabs>
          <w:tab w:pos="8504" w:val="right" w:leader="dot"/>
        </w:tabs>
        <w:ind w:left="340"/>
      </w:pPr>
      <w:r>
        <w:rPr>
          <w:rFonts w:ascii="Calibri" w:hAnsi="Calibri" w:eastAsia="微软雅黑"/>
          <w:b w:val="0"/>
          <w:i w:val="0"/>
          <w:sz w:val="20"/>
        </w:rPr>
        <w:t>7.3 暂列金额解剖：Midland案的替换逻辑与国内转用</w:t>
      </w:r>
    </w:p>
    <w:p>
      <w:pPr>
        <w:tabs>
          <w:tab w:pos="8504" w:val="right" w:leader="dot"/>
        </w:tabs>
        <w:ind w:left="340"/>
      </w:pPr>
      <w:r>
        <w:rPr>
          <w:rFonts w:ascii="Calibri" w:hAnsi="Calibri" w:eastAsia="微软雅黑"/>
          <w:b w:val="0"/>
          <w:i w:val="0"/>
          <w:sz w:val="20"/>
        </w:rPr>
        <w:t>7.4 示范文本与FIDIC彩虹谱系：形似之下的神异</w:t>
      </w:r>
    </w:p>
    <w:p>
      <w:pPr>
        <w:tabs>
          <w:tab w:pos="8504" w:val="right" w:leader="dot"/>
        </w:tabs>
        <w:ind w:left="340"/>
      </w:pPr>
      <w:r>
        <w:rPr>
          <w:rFonts w:ascii="Calibri" w:hAnsi="Calibri" w:eastAsia="微软雅黑"/>
          <w:b w:val="0"/>
          <w:i w:val="0"/>
          <w:sz w:val="20"/>
        </w:rPr>
        <w:t>7.5 计价依据换轨：24版标准、量价分离与合同无效时的兜底</w:t>
      </w:r>
    </w:p>
    <w:p>
      <w:pPr>
        <w:tabs>
          <w:tab w:pos="8504" w:val="right" w:leader="dot"/>
        </w:tabs>
        <w:ind w:left="340"/>
      </w:pPr>
      <w:r>
        <w:rPr>
          <w:rFonts w:ascii="Calibri" w:hAnsi="Calibri" w:eastAsia="微软雅黑"/>
          <w:b w:val="0"/>
          <w:i w:val="0"/>
          <w:sz w:val="20"/>
        </w:rPr>
        <w:t>本章要点</w:t>
      </w:r>
    </w:p>
    <w:p>
      <w:pPr>
        <w:tabs>
          <w:tab w:pos="8504" w:val="right" w:leader="dot"/>
        </w:tabs>
        <w:ind w:left="340"/>
      </w:pPr>
      <w:r>
        <w:rPr>
          <w:rFonts w:ascii="Calibri" w:hAnsi="Calibri" w:eastAsia="微软雅黑"/>
          <w:b w:val="0"/>
          <w:i w:val="0"/>
          <w:sz w:val="20"/>
        </w:rPr>
        <w:t>本章源增补</w:t>
      </w:r>
    </w:p>
    <w:p>
      <w:pPr>
        <w:tabs>
          <w:tab w:pos="8504" w:val="right" w:leader="dot"/>
        </w:tabs>
        <w:ind w:left="0"/>
      </w:pPr>
      <w:r>
        <w:rPr>
          <w:rFonts w:ascii="Calibri" w:hAnsi="Calibri" w:eastAsia="微软雅黑"/>
          <w:b/>
          <w:i w:val="0"/>
          <w:sz w:val="22"/>
        </w:rPr>
        <w:t>第8章 纠纷与判例：败诉原因谱系（2015-2026）</w:t>
      </w:r>
    </w:p>
    <w:p>
      <w:pPr>
        <w:tabs>
          <w:tab w:pos="8504" w:val="right" w:leader="dot"/>
        </w:tabs>
        <w:ind w:left="340"/>
      </w:pPr>
      <w:r>
        <w:rPr>
          <w:rFonts w:ascii="Calibri" w:hAnsi="Calibri" w:eastAsia="微软雅黑"/>
          <w:b w:val="0"/>
          <w:i w:val="0"/>
          <w:sz w:val="20"/>
        </w:rPr>
        <w:t>8.1 效力之败：先定后招、背离中标合同与"鲁班奖条款"</w:t>
      </w:r>
    </w:p>
    <w:p>
      <w:pPr>
        <w:tabs>
          <w:tab w:pos="8504" w:val="right" w:leader="dot"/>
        </w:tabs>
        <w:ind w:left="340"/>
      </w:pPr>
      <w:r>
        <w:rPr>
          <w:rFonts w:ascii="Calibri" w:hAnsi="Calibri" w:eastAsia="微软雅黑"/>
          <w:b w:val="0"/>
          <w:i w:val="0"/>
          <w:sz w:val="20"/>
        </w:rPr>
        <w:t>8.2 计价之败：5480万与4万元的分水岭</w:t>
      </w:r>
    </w:p>
    <w:p>
      <w:pPr>
        <w:tabs>
          <w:tab w:pos="8504" w:val="right" w:leader="dot"/>
        </w:tabs>
        <w:ind w:left="340"/>
      </w:pPr>
      <w:r>
        <w:rPr>
          <w:rFonts w:ascii="Calibri" w:hAnsi="Calibri" w:eastAsia="微软雅黑"/>
          <w:b w:val="0"/>
          <w:i w:val="0"/>
          <w:sz w:val="20"/>
        </w:rPr>
        <w:t>8.3 程序之败：管辖、鉴定与撤裁的技术性翻车</w:t>
      </w:r>
    </w:p>
    <w:p>
      <w:pPr>
        <w:tabs>
          <w:tab w:pos="8504" w:val="right" w:leader="dot"/>
        </w:tabs>
        <w:ind w:left="340"/>
      </w:pPr>
      <w:r>
        <w:rPr>
          <w:rFonts w:ascii="Calibri" w:hAnsi="Calibri" w:eastAsia="微软雅黑"/>
          <w:b w:val="0"/>
          <w:i w:val="0"/>
          <w:sz w:val="20"/>
        </w:rPr>
        <w:t>8.4 标的之败：案例库入库案例中的四类输法</w:t>
      </w:r>
    </w:p>
    <w:p>
      <w:pPr>
        <w:tabs>
          <w:tab w:pos="8504" w:val="right" w:leader="dot"/>
        </w:tabs>
        <w:ind w:left="340"/>
      </w:pPr>
      <w:r>
        <w:rPr>
          <w:rFonts w:ascii="Calibri" w:hAnsi="Calibri" w:eastAsia="微软雅黑"/>
          <w:b w:val="0"/>
          <w:i w:val="0"/>
          <w:sz w:val="20"/>
        </w:rPr>
        <w:t>8.5 规则之变：2026年后的败诉风险迁移</w:t>
      </w:r>
    </w:p>
    <w:p>
      <w:pPr>
        <w:tabs>
          <w:tab w:pos="8504" w:val="right" w:leader="dot"/>
        </w:tabs>
        <w:ind w:left="340"/>
      </w:pPr>
      <w:r>
        <w:rPr>
          <w:rFonts w:ascii="Calibri" w:hAnsi="Calibri" w:eastAsia="微软雅黑"/>
          <w:b w:val="0"/>
          <w:i w:val="0"/>
          <w:sz w:val="20"/>
        </w:rPr>
        <w:t>本章要点</w:t>
      </w:r>
    </w:p>
    <w:p>
      <w:pPr>
        <w:tabs>
          <w:tab w:pos="8504" w:val="right" w:leader="dot"/>
        </w:tabs>
        <w:ind w:left="340"/>
      </w:pPr>
      <w:r>
        <w:rPr>
          <w:rFonts w:ascii="Calibri" w:hAnsi="Calibri" w:eastAsia="微软雅黑"/>
          <w:b w:val="0"/>
          <w:i w:val="0"/>
          <w:sz w:val="20"/>
        </w:rPr>
        <w:t>本章源增补</w:t>
      </w:r>
    </w:p>
    <w:p>
      <w:pPr>
        <w:tabs>
          <w:tab w:pos="8504" w:val="right" w:leader="dot"/>
        </w:tabs>
        <w:ind w:left="0"/>
      </w:pPr>
      <w:r>
        <w:rPr>
          <w:rFonts w:ascii="Calibri" w:hAnsi="Calibri" w:eastAsia="微软雅黑"/>
          <w:b/>
          <w:i w:val="0"/>
          <w:sz w:val="22"/>
        </w:rPr>
        <w:t>第9章 重大失败案例档案：超概算、烂尾与问责</w:t>
      </w:r>
    </w:p>
    <w:p>
      <w:pPr>
        <w:tabs>
          <w:tab w:pos="8504" w:val="right" w:leader="dot"/>
        </w:tabs>
        <w:ind w:left="340"/>
      </w:pPr>
      <w:r>
        <w:rPr>
          <w:rFonts w:ascii="Calibri" w:hAnsi="Calibri" w:eastAsia="微软雅黑"/>
          <w:b w:val="0"/>
          <w:i w:val="0"/>
          <w:sz w:val="20"/>
        </w:rPr>
        <w:t>9.1 问责强度曲线：七轮通报38起与三重跃迁</w:t>
      </w:r>
    </w:p>
    <w:p>
      <w:pPr>
        <w:tabs>
          <w:tab w:pos="8504" w:val="right" w:leader="dot"/>
        </w:tabs>
        <w:ind w:left="340"/>
      </w:pPr>
      <w:r>
        <w:rPr>
          <w:rFonts w:ascii="Calibri" w:hAnsi="Calibri" w:eastAsia="微软雅黑"/>
          <w:b w:val="0"/>
          <w:i w:val="0"/>
          <w:sz w:val="20"/>
        </w:rPr>
        <w:t>9.2 资金卷：化债不实与新增隐债的六本账</w:t>
      </w:r>
    </w:p>
    <w:p>
      <w:pPr>
        <w:tabs>
          <w:tab w:pos="8504" w:val="right" w:leader="dot"/>
        </w:tabs>
        <w:ind w:left="340"/>
      </w:pPr>
      <w:r>
        <w:rPr>
          <w:rFonts w:ascii="Calibri" w:hAnsi="Calibri" w:eastAsia="微软雅黑"/>
          <w:b w:val="0"/>
          <w:i w:val="0"/>
          <w:sz w:val="20"/>
        </w:rPr>
        <w:t>9.3 事故卷（上）：丰城与深江的问责深度</w:t>
      </w:r>
    </w:p>
    <w:p>
      <w:pPr>
        <w:tabs>
          <w:tab w:pos="8504" w:val="right" w:leader="dot"/>
        </w:tabs>
        <w:ind w:left="340"/>
      </w:pPr>
      <w:r>
        <w:rPr>
          <w:rFonts w:ascii="Calibri" w:hAnsi="Calibri" w:eastAsia="微软雅黑"/>
          <w:b w:val="0"/>
          <w:i w:val="0"/>
          <w:sz w:val="20"/>
        </w:rPr>
        <w:t>9.4 事故卷（下）：三份通报里的共性漏洞</w:t>
      </w:r>
    </w:p>
    <w:p>
      <w:pPr>
        <w:tabs>
          <w:tab w:pos="8504" w:val="right" w:leader="dot"/>
        </w:tabs>
        <w:ind w:left="340"/>
      </w:pPr>
      <w:r>
        <w:rPr>
          <w:rFonts w:ascii="Calibri" w:hAnsi="Calibri" w:eastAsia="微软雅黑"/>
          <w:b w:val="0"/>
          <w:i w:val="0"/>
          <w:sz w:val="20"/>
        </w:rPr>
        <w:t>9.5 程序卷：采购文件瑕疵与扬尘督察的点名逻辑</w:t>
      </w:r>
    </w:p>
    <w:p>
      <w:pPr>
        <w:tabs>
          <w:tab w:pos="8504" w:val="right" w:leader="dot"/>
        </w:tabs>
        <w:ind w:left="340"/>
      </w:pPr>
      <w:r>
        <w:rPr>
          <w:rFonts w:ascii="Calibri" w:hAnsi="Calibri" w:eastAsia="微软雅黑"/>
          <w:b w:val="0"/>
          <w:i w:val="0"/>
          <w:sz w:val="20"/>
        </w:rPr>
        <w:t>9.6 司法战场：侵权之诉、案例库规则与"不排除"认定</w:t>
      </w:r>
    </w:p>
    <w:p>
      <w:pPr>
        <w:tabs>
          <w:tab w:pos="8504" w:val="right" w:leader="dot"/>
        </w:tabs>
        <w:ind w:left="340"/>
      </w:pPr>
      <w:r>
        <w:rPr>
          <w:rFonts w:ascii="Calibri" w:hAnsi="Calibri" w:eastAsia="微软雅黑"/>
          <w:b w:val="0"/>
          <w:i w:val="0"/>
          <w:sz w:val="20"/>
        </w:rPr>
        <w:t>本章要点</w:t>
      </w:r>
    </w:p>
    <w:p>
      <w:pPr>
        <w:tabs>
          <w:tab w:pos="8504" w:val="right" w:leader="dot"/>
        </w:tabs>
        <w:ind w:left="0"/>
      </w:pPr>
      <w:r>
        <w:rPr>
          <w:rFonts w:ascii="Calibri" w:hAnsi="Calibri" w:eastAsia="微软雅黑"/>
          <w:b/>
          <w:i w:val="0"/>
          <w:sz w:val="22"/>
        </w:rPr>
        <w:t>第10章 招标代理与采购生态：机构格局与选择</w:t>
      </w:r>
    </w:p>
    <w:p>
      <w:pPr>
        <w:tabs>
          <w:tab w:pos="8504" w:val="right" w:leader="dot"/>
        </w:tabs>
        <w:ind w:left="340"/>
      </w:pPr>
      <w:r>
        <w:rPr>
          <w:rFonts w:ascii="Calibri" w:hAnsi="Calibri" w:eastAsia="微软雅黑"/>
          <w:b w:val="0"/>
          <w:i w:val="0"/>
          <w:sz w:val="20"/>
        </w:rPr>
        <w:t>10.1 规则重锚：34号令确立的监管坐标</w:t>
      </w:r>
    </w:p>
    <w:p>
      <w:pPr>
        <w:tabs>
          <w:tab w:pos="8504" w:val="right" w:leader="dot"/>
        </w:tabs>
        <w:ind w:left="340"/>
      </w:pPr>
      <w:r>
        <w:rPr>
          <w:rFonts w:ascii="Calibri" w:hAnsi="Calibri" w:eastAsia="微软雅黑"/>
          <w:b w:val="0"/>
          <w:i w:val="0"/>
          <w:sz w:val="20"/>
        </w:rPr>
        <w:t>10.2 代理费之争：第十五条把"谁委托、谁付费"写死</w:t>
      </w:r>
    </w:p>
    <w:p>
      <w:pPr>
        <w:tabs>
          <w:tab w:pos="8504" w:val="right" w:leader="dot"/>
        </w:tabs>
        <w:ind w:left="340"/>
      </w:pPr>
      <w:r>
        <w:rPr>
          <w:rFonts w:ascii="Calibri" w:hAnsi="Calibri" w:eastAsia="微软雅黑"/>
          <w:b w:val="0"/>
          <w:i w:val="0"/>
          <w:sz w:val="20"/>
        </w:rPr>
        <w:t>10.3 平台格局：省域一张网与两个EPC项目样本</w:t>
      </w:r>
    </w:p>
    <w:p>
      <w:pPr>
        <w:tabs>
          <w:tab w:pos="8504" w:val="right" w:leader="dot"/>
        </w:tabs>
        <w:ind w:left="340"/>
      </w:pPr>
      <w:r>
        <w:rPr>
          <w:rFonts w:ascii="Calibri" w:hAnsi="Calibri" w:eastAsia="微软雅黑"/>
          <w:b w:val="0"/>
          <w:i w:val="0"/>
          <w:sz w:val="20"/>
        </w:rPr>
        <w:t>10.4 招标人主体责任：代理机构从"操盘"退回"受托"</w:t>
      </w:r>
    </w:p>
    <w:p>
      <w:pPr>
        <w:tabs>
          <w:tab w:pos="8504" w:val="right" w:leader="dot"/>
        </w:tabs>
        <w:ind w:left="340"/>
      </w:pPr>
      <w:r>
        <w:rPr>
          <w:rFonts w:ascii="Calibri" w:hAnsi="Calibri" w:eastAsia="微软雅黑"/>
          <w:b w:val="0"/>
          <w:i w:val="0"/>
          <w:sz w:val="20"/>
        </w:rPr>
        <w:t>10.5 采购生态外延：ESG互认、出海供应链与集采极限</w:t>
      </w:r>
    </w:p>
    <w:p>
      <w:pPr>
        <w:tabs>
          <w:tab w:pos="8504" w:val="right" w:leader="dot"/>
        </w:tabs>
        <w:ind w:left="340"/>
      </w:pPr>
      <w:r>
        <w:rPr>
          <w:rFonts w:ascii="Calibri" w:hAnsi="Calibri" w:eastAsia="微软雅黑"/>
          <w:b w:val="0"/>
          <w:i w:val="0"/>
          <w:sz w:val="20"/>
        </w:rPr>
        <w:t>本章要点</w:t>
      </w:r>
    </w:p>
    <w:p>
      <w:pPr>
        <w:tabs>
          <w:tab w:pos="8504" w:val="right" w:leader="dot"/>
        </w:tabs>
        <w:ind w:left="340"/>
      </w:pPr>
      <w:r>
        <w:rPr>
          <w:rFonts w:ascii="Calibri" w:hAnsi="Calibri" w:eastAsia="微软雅黑"/>
          <w:b w:val="0"/>
          <w:i w:val="0"/>
          <w:sz w:val="20"/>
        </w:rPr>
        <w:t>本章源增补</w:t>
      </w:r>
    </w:p>
    <w:p>
      <w:pPr>
        <w:tabs>
          <w:tab w:pos="8504" w:val="right" w:leader="dot"/>
        </w:tabs>
        <w:ind w:left="0"/>
      </w:pPr>
      <w:r>
        <w:rPr>
          <w:rFonts w:ascii="Calibri" w:hAnsi="Calibri" w:eastAsia="微软雅黑"/>
          <w:b/>
          <w:i w:val="0"/>
          <w:sz w:val="22"/>
        </w:rPr>
        <w:t>第11章 国际对标：FIDIC 体系与世行规则下的中资企业</w:t>
      </w:r>
    </w:p>
    <w:p>
      <w:pPr>
        <w:tabs>
          <w:tab w:pos="8504" w:val="right" w:leader="dot"/>
        </w:tabs>
        <w:ind w:left="340"/>
      </w:pPr>
      <w:r>
        <w:rPr>
          <w:rFonts w:ascii="Calibri" w:hAnsi="Calibri" w:eastAsia="微软雅黑"/>
          <w:b w:val="0"/>
          <w:i w:val="0"/>
          <w:sz w:val="20"/>
        </w:rPr>
        <w:t>一、FIDIC 文本坐标：三份条件书撑起的国际合同底座</w:t>
      </w:r>
    </w:p>
    <w:p>
      <w:pPr>
        <w:tabs>
          <w:tab w:pos="8504" w:val="right" w:leader="dot"/>
        </w:tabs>
        <w:ind w:left="340"/>
      </w:pPr>
      <w:r>
        <w:rPr>
          <w:rFonts w:ascii="Calibri" w:hAnsi="Calibri" w:eastAsia="微软雅黑"/>
          <w:b w:val="0"/>
          <w:i w:val="0"/>
          <w:sz w:val="20"/>
        </w:rPr>
        <w:t>二、世行新规：《廉政合规指南》28条框架与制裁联动</w:t>
      </w:r>
    </w:p>
    <w:p>
      <w:pPr>
        <w:tabs>
          <w:tab w:pos="8504" w:val="right" w:leader="dot"/>
        </w:tabs>
        <w:ind w:left="340"/>
      </w:pPr>
      <w:r>
        <w:rPr>
          <w:rFonts w:ascii="Calibri" w:hAnsi="Calibri" w:eastAsia="微软雅黑"/>
          <w:b w:val="0"/>
          <w:i w:val="0"/>
          <w:sz w:val="20"/>
        </w:rPr>
        <w:t>三、ENR 双榜镜像：规模首位与含金量缺口</w:t>
      </w:r>
    </w:p>
    <w:p>
      <w:pPr>
        <w:tabs>
          <w:tab w:pos="8504" w:val="right" w:leader="dot"/>
        </w:tabs>
        <w:ind w:left="340"/>
      </w:pPr>
      <w:r>
        <w:rPr>
          <w:rFonts w:ascii="Calibri" w:hAnsi="Calibri" w:eastAsia="微软雅黑"/>
          <w:b w:val="0"/>
          <w:i w:val="0"/>
          <w:sz w:val="20"/>
        </w:rPr>
        <w:t>四、巨亏账单：规则不熟的定价</w:t>
      </w:r>
    </w:p>
    <w:p>
      <w:pPr>
        <w:tabs>
          <w:tab w:pos="8504" w:val="right" w:leader="dot"/>
        </w:tabs>
        <w:ind w:left="340"/>
      </w:pPr>
      <w:r>
        <w:rPr>
          <w:rFonts w:ascii="Calibri" w:hAnsi="Calibri" w:eastAsia="微软雅黑"/>
          <w:b w:val="0"/>
          <w:i w:val="0"/>
          <w:sz w:val="20"/>
        </w:rPr>
        <w:t>五、出海操作系统：条例修订、属地修法与角色转型</w:t>
      </w:r>
    </w:p>
    <w:p>
      <w:pPr>
        <w:tabs>
          <w:tab w:pos="8504" w:val="right" w:leader="dot"/>
        </w:tabs>
        <w:ind w:left="340"/>
      </w:pPr>
      <w:r>
        <w:rPr>
          <w:rFonts w:ascii="Calibri" w:hAnsi="Calibri" w:eastAsia="微软雅黑"/>
          <w:b w:val="0"/>
          <w:i w:val="0"/>
          <w:sz w:val="20"/>
        </w:rPr>
        <w:t>本章要点</w:t>
      </w:r>
    </w:p>
    <w:p>
      <w:pPr>
        <w:tabs>
          <w:tab w:pos="8504" w:val="right" w:leader="dot"/>
        </w:tabs>
        <w:ind w:left="0"/>
      </w:pPr>
      <w:r>
        <w:rPr>
          <w:rFonts w:ascii="Calibri" w:hAnsi="Calibri" w:eastAsia="微软雅黑"/>
          <w:b/>
          <w:i w:val="0"/>
          <w:sz w:val="22"/>
        </w:rPr>
        <w:t>第12章 2026-2029 合规预判：十二个确定性趋势</w:t>
      </w:r>
    </w:p>
    <w:p>
      <w:pPr>
        <w:tabs>
          <w:tab w:pos="8504" w:val="right" w:leader="dot"/>
        </w:tabs>
        <w:ind w:left="340"/>
      </w:pPr>
      <w:r>
        <w:rPr>
          <w:rFonts w:ascii="Calibri" w:hAnsi="Calibri" w:eastAsia="微软雅黑"/>
          <w:b w:val="0"/>
          <w:i w:val="0"/>
          <w:sz w:val="20"/>
        </w:rPr>
        <w:t>12.1 规则层：信用、惩戒与监督工具的三条收敛线</w:t>
      </w:r>
    </w:p>
    <w:p>
      <w:pPr>
        <w:tabs>
          <w:tab w:pos="8504" w:val="right" w:leader="dot"/>
        </w:tabs>
        <w:ind w:left="340"/>
      </w:pPr>
      <w:r>
        <w:rPr>
          <w:rFonts w:ascii="Calibri" w:hAnsi="Calibri" w:eastAsia="微软雅黑"/>
          <w:b w:val="0"/>
          <w:i w:val="0"/>
          <w:sz w:val="20"/>
        </w:rPr>
        <w:t>12.2 业主层：国资改革把招标人推上受检席</w:t>
      </w:r>
    </w:p>
    <w:p>
      <w:pPr>
        <w:tabs>
          <w:tab w:pos="8504" w:val="right" w:leader="dot"/>
        </w:tabs>
        <w:ind w:left="340"/>
      </w:pPr>
      <w:r>
        <w:rPr>
          <w:rFonts w:ascii="Calibri" w:hAnsi="Calibri" w:eastAsia="微软雅黑"/>
          <w:b w:val="0"/>
          <w:i w:val="0"/>
          <w:sz w:val="20"/>
        </w:rPr>
        <w:t>12.3 市场层：总量收缩下的赛道迁移与模式刚性</w:t>
      </w:r>
    </w:p>
    <w:p>
      <w:pPr>
        <w:tabs>
          <w:tab w:pos="8504" w:val="right" w:leader="dot"/>
        </w:tabs>
        <w:ind w:left="340"/>
      </w:pPr>
      <w:r>
        <w:rPr>
          <w:rFonts w:ascii="Calibri" w:hAnsi="Calibri" w:eastAsia="微软雅黑"/>
          <w:b w:val="0"/>
          <w:i w:val="0"/>
          <w:sz w:val="20"/>
        </w:rPr>
        <w:t>12.4 能力层：技术条款与证据链的硬化</w:t>
      </w:r>
    </w:p>
    <w:p>
      <w:pPr>
        <w:tabs>
          <w:tab w:pos="8504" w:val="right" w:leader="dot"/>
        </w:tabs>
        <w:ind w:left="340"/>
      </w:pPr>
      <w:r>
        <w:rPr>
          <w:rFonts w:ascii="Calibri" w:hAnsi="Calibri" w:eastAsia="微软雅黑"/>
          <w:b w:val="0"/>
          <w:i w:val="0"/>
          <w:sz w:val="20"/>
        </w:rPr>
        <w:t>本章要点</w:t>
      </w:r>
    </w:p>
    <w:p>
      <w:pPr>
        <w:tabs>
          <w:tab w:pos="8504" w:val="right" w:leader="dot"/>
        </w:tabs>
        <w:ind w:left="340"/>
      </w:pPr>
      <w:r>
        <w:rPr>
          <w:rFonts w:ascii="Calibri" w:hAnsi="Calibri" w:eastAsia="微软雅黑"/>
          <w:b w:val="0"/>
          <w:i w:val="0"/>
          <w:sz w:val="20"/>
        </w:rPr>
        <w:t>本章源增补</w:t>
      </w:r>
    </w:p>
    <w:p>
      <w:r>
        <w:br w:type="page"/>
      </w:r>
    </w:p>
    <w:p>
      <w:pPr>
        <w:pStyle w:val="Heading1"/>
      </w:pPr>
      <w:r>
        <w:t>第1章 2026 合规总图景：政策坐标系与监管框架</w:t>
      </w:r>
    </w:p>
    <w:p>
      <w:pPr>
        <w:ind w:left="454"/>
      </w:pPr>
      <w:r>
        <w:rPr>
          <w:rFonts w:ascii="Calibri" w:hAnsi="Calibri" w:eastAsia="微软雅黑"/>
          <w:b/>
          <w:i w:val="0"/>
          <w:color w:val="666666"/>
          <w:sz w:val="22"/>
        </w:rPr>
        <w:t>三态</w:t>
      </w:r>
      <w:r>
        <w:rPr>
          <w:rFonts w:ascii="Calibri" w:hAnsi="Calibri" w:eastAsia="微软雅黑"/>
          <w:b w:val="0"/>
          <w:i w:val="0"/>
          <w:color w:val="666666"/>
          <w:sz w:val="22"/>
        </w:rPr>
        <w:t>：[融合]</w:t>
      </w:r>
    </w:p>
    <w:p>
      <w:r>
        <w:rPr>
          <w:rFonts w:ascii="Calibri" w:hAnsi="Calibri" w:eastAsia="微软雅黑"/>
          <w:b w:val="0"/>
          <w:i w:val="0"/>
          <w:sz w:val="22"/>
        </w:rPr>
        <w:t>2026年的工程总承包市场，合规坐标系正在整体位移。立法端，《招标投标法（修订草案）》已进入全国人大常委会审议程序，条文结构与调整幅度都超出常规修法（P1001）；监管端，八部门《招标人主体责任履行指引》自年初施行，招标人责任首次落到可核查的条文（P1035）；资金端，财政部把严防虚假化债、新增隐债列入年度重点任务，46号令对F+EPC按实质穿透审查（P1004、P1003）。三端同时动，工程企业的合规、法务与经营岗位面对的不再是单点规则更新，而是整张政策坐标系的重新绘制。本章给出这张总图：法律怎么改、监管谁来管、边界在哪里、资金怎么查、地方怎么落地，后续各章在此基础上分环节展开。</w:t>
      </w:r>
    </w:p>
    <w:p>
      <w:pPr>
        <w:pStyle w:val="Heading2"/>
      </w:pPr>
      <w:r>
        <w:t>1.1 立法坐标：修订草案改写哪些游戏规则</w:t>
      </w:r>
    </w:p>
    <w:p>
      <w:r>
        <w:rPr>
          <w:rFonts w:ascii="Calibri" w:hAnsi="Calibri" w:eastAsia="微软雅黑"/>
          <w:b w:val="0"/>
          <w:i w:val="0"/>
          <w:sz w:val="22"/>
        </w:rPr>
        <w:t>现行《招标投标法》1999年8月30日由第九届全国人大常委会第十一次会议通过，2017年12月27日经第十二届全国人大常委会第三十一次会议修正、次日施行，这一版本至今仍是招投标领域的上位法（P1015）。配套行政法规《招标投标法实施条例》2011年11月30日经国务院第183次常务会议通过，以国务院令第613号公布，自2012年2月1日起施行；2019年3月2日国务院令第709号完成第三次修订，仅涉个别条款，总承包相关核心条款未变（P1028）。</w:t>
      </w:r>
    </w:p>
    <w:p>
      <w:r>
        <w:rPr>
          <w:rFonts w:ascii="Calibri" w:hAnsi="Calibri" w:eastAsia="微软雅黑"/>
          <w:b w:val="0"/>
          <w:i w:val="0"/>
          <w:sz w:val="22"/>
        </w:rPr>
        <w:t>变化发生在2026年。十四届全国人大常委会第二十三次会议审议《招标投标法（修订草案）》，草案共6章79条，相较现行法作出40处调整（P1001）。对企业投标策略影响最直接的调整如下：</w:t>
      </w:r>
    </w:p>
    <w:p>
      <w:r>
        <w:rPr>
          <w:rFonts w:ascii="Calibri" w:hAnsi="Calibri" w:eastAsia="微软雅黑"/>
          <w:b w:val="0"/>
          <w:i w:val="0"/>
          <w:sz w:val="22"/>
        </w:rPr>
        <w:t>其一，第三条新增政策目标，明确招标投标工作要贯彻落实党和国家路线方针政策、决策部署，为国民经济和社会发展服务，招标投标由此被赋予宏观调控职能（P1001）。其二，第六条在"公开、公平、公正和诚信"四原则之外新增"保障市场公平竞争"表述，为破除地方保护、所有制歧视等不合理限制提供总则性法理依据（P1001）。其三，第七条细化行为规范：不得违法限定投标人或潜在投标人的所有制形式、组织形式、经营规模；制定涉及经营主体生产经营活动的政策措施时应当经过公平竞争审查，并动态清理各类违反公平竞争的规定和做法（P1001）。其四，第五十一条要求有关行政监督部门加强对中标结果的公平性审查（P1001）。其五，第七十二条对违法限定所有制形式、组织形式、经营规模补充追究法律责任的表述，违规成本从宣示走向罚则（P1001）。其六，第八条为全新条款，提出国家推进招标投标信息化建设、推广现代技术手段（P1001）——这与电子招投标的全面铺开直接相关，平台与数据合规议题见第4章。</w:t>
      </w:r>
    </w:p>
    <w:p>
      <w:r>
        <w:rPr>
          <w:rFonts w:ascii="Calibri" w:hAnsi="Calibri" w:eastAsia="微软雅黑"/>
          <w:b w:val="0"/>
          <w:i w:val="0"/>
          <w:sz w:val="22"/>
        </w:rPr>
        <w:t>直接含义是：过去靠地方保护、所有制门槛、规模限制筑起的投标壁垒，将在草案落地后接受系统性清理；招标文件里隐含的歧视性条款，既可能在政策措施环节被公平竞争审查拦下，也可能在中标后被公平性审查翻旧账。串通投标等恶性竞争行为的认定与处罚同步收紧，红线图谱与典型案例见第5章。</w:t>
      </w:r>
    </w:p>
    <w:p>
      <w:pPr>
        <w:pStyle w:val="Heading2"/>
      </w:pPr>
      <w:r>
        <w:t>1.2 监管坐标：条块分工与招标人主体责任</w:t>
      </w:r>
    </w:p>
    <w:p>
      <w:r>
        <w:rPr>
          <w:rFonts w:ascii="Calibri" w:hAnsi="Calibri" w:eastAsia="微软雅黑"/>
          <w:b w:val="0"/>
          <w:i w:val="0"/>
          <w:sz w:val="22"/>
        </w:rPr>
        <w:t>监管框架的骨架写在《招标投标法实施条例》第四条：国务院发展改革部门指导和协调全国招标投标工作，对国家重大建设项目的工程招标投标活动实施监督检查；工业和信息化、住房城乡建设、交通运输、水利、商务等部门按规定的职责分工，对有关招标投标活动实施监督；财政部门对实行招标投标的政府采购工程建设项目，监督其预算执行情况和政府采购政策执行情况；监察机关对与招标投标活动有关的监察对象实施监察（P1028）。县级以上地方政府的发展改革部门承担本行政区域的指导协调，有关部门分工监督、依法查处违法行为（P1028）。工程总承包项目落在房建市政、水利、交通、电力等不同行业，主管口子不同——房建市政适用《房屋建筑和市政基础设施项目工程总承包管理办法》体系（P1000），水利项目则遵循省级水利部门针对行业特点制定的专门管理办法（P1007），报批报建与应对检查的对象因项目属性而异。</w:t>
      </w:r>
    </w:p>
    <w:p>
      <w:r>
        <w:rPr>
          <w:rFonts w:ascii="Calibri" w:hAnsi="Calibri" w:eastAsia="微软雅黑"/>
          <w:b w:val="0"/>
          <w:i w:val="0"/>
          <w:sz w:val="22"/>
        </w:rPr>
        <w:t>交易场所层面，设区的市级以上地方政府可以建立统一规范的招标投标交易场所，场所不得与行政监督部门存在隶属关系、不得以营利为目的；国家鼓励利用信息网络开展电子招标投标；禁止国家工作人员以任何方式非法干涉招标投标活动（P1028）。</w:t>
      </w:r>
    </w:p>
    <w:p>
      <w:r>
        <w:rPr>
          <w:rFonts w:ascii="Calibri" w:hAnsi="Calibri" w:eastAsia="微软雅黑"/>
          <w:b w:val="0"/>
          <w:i w:val="0"/>
          <w:sz w:val="22"/>
        </w:rPr>
        <w:t>2026年监管框架的最大增量，是招标人主体责任被制度化。2025年10月29日，国家发展改革委、工业和信息化部、住房城乡建设部、交通运输部、水利部、农业农村部、商务部、国务院国资委八部门联合发布《招标人主体责任履行指引》（发改法规〔2025〕1358号），自2026年1月1日起施行（P1035）。第二条划定适用范围：全部或者部分使用国有资金投资或者国家融资项目的招标采购活动；第三条第一款明确，招标人作为国有资金或国家融资资金的使用者，对招标投标活动的科学性、合法性、廉洁性负主体责任；第三条第二款要求建立招标投标事项研究决策、合规审查、监督纠错、绩效评价、风险防控等管理机制保障责任落实（P1035）。指引还在《必须招标的工程项目规定》的范围之上列出8类法定不招标情形，并提示滥用"不招标"例外的程序违规风险——未按指引操作的国有资金项目，可能被认定为程序违规、导致招标无效（P1035）。</w:t>
      </w:r>
    </w:p>
    <w:p>
      <w:r>
        <w:rPr>
          <w:rFonts w:ascii="Calibri" w:hAnsi="Calibri" w:eastAsia="微软雅黑"/>
          <w:b w:val="0"/>
          <w:i w:val="0"/>
          <w:sz w:val="22"/>
        </w:rPr>
        <w:t>行业监管同步加密。2026年9月4日，国务院公布修订后的《电力安全事故应急处置和调查处理条例》，把高比例新能源、高比例电力电子装置"双高"特征下的新型电力系统事故风险纳入法治处置轨道（P1024）。电力、水利行业的总承包项目由此面对招采监管与安全监管的双线叠加，合规团队需同时盯住两条线。招标环节从立项到定标的具体程序节点与责任清单，见第2章。</w:t>
      </w:r>
    </w:p>
    <w:p>
      <w:pPr>
        <w:pStyle w:val="Heading2"/>
      </w:pPr>
      <w:r>
        <w:t>1.3 边界坐标：必招、非必招与政府采购的三分格局</w:t>
      </w:r>
    </w:p>
    <w:p>
      <w:r>
        <w:rPr>
          <w:rFonts w:ascii="Calibri" w:hAnsi="Calibri" w:eastAsia="微软雅黑"/>
          <w:b w:val="0"/>
          <w:i w:val="0"/>
          <w:sz w:val="22"/>
        </w:rPr>
        <w:t>法律适用判断出错，是央国企采购被巡视、审计点名的高频根源。实务中有两类经典误区：一是以为只要是国企采购就必须执行《政府采购法》，二是以为除必须招标项目外其余采购没有法律约束、仅凭内部制度自由操作；两类偏差极易演化为化整为零规避招标、采购方式选用不合规、档案资料缺失等硬伤（P1002）。</w:t>
      </w:r>
    </w:p>
    <w:p>
      <w:r>
        <w:rPr>
          <w:rFonts w:ascii="Calibri" w:hAnsi="Calibri" w:eastAsia="微软雅黑"/>
          <w:b w:val="0"/>
          <w:i w:val="0"/>
          <w:sz w:val="22"/>
        </w:rPr>
        <w:t>边界一：是否依法必须招标。发改委16号令确立"421标准"——施工单项合同估算价400万元以上、重要设备材料等货物采购200万元以上、勘察设计监理等服务100万元以上，叠加全部或部分使用国有资金投资、国家融资的工程建设项目属性，即触发强制招标（P1002）；16号令及770号文对"全部或者部分使用国有资金投资或者国家融资"作出清晰界定（P1020）。《招标投标法实施条例》第二条把工程建设项目界定为工程以及与工程建设有关的货物、服务，构成工程不可分割的组成部分且为实现工程基本功能所必需的设备、材料属于"与工程建设有关的货物"，为完成工程所需的勘察、设计、监理属于"与工程建设有关的服务"（P1028）。单纯办公用品、设备维保、第三方咨询不属工程建设范畴、不触发必招，但严禁化整为零、拆分项目规避招标——这是招投标领域审计最高频的违规情形（P1002）。国有资金占控股或主导地位的依法必招项目应当公开招标，仅技术复杂、潜在投标人少量等法定情形可以邀请招标（P1028）。</w:t>
      </w:r>
    </w:p>
    <w:p>
      <w:r>
        <w:rPr>
          <w:rFonts w:ascii="Calibri" w:hAnsi="Calibri" w:eastAsia="微软雅黑"/>
          <w:b w:val="0"/>
          <w:i w:val="0"/>
          <w:sz w:val="22"/>
        </w:rPr>
        <w:t>边界二：与政府采购分清主体。政府采购的主体是各级国家机关、事业单位和团体组织，使用财政性资金采购集中采购目录以内或限额标准以上的货物、工程和服务；央国企属市场经营主体、自主经营自负盈亏，其采购不属于政府采购，仅以供应商身份参与政府采购活动时需遵守对应规则（P1020）。政府采购方式包含公开招标、邀请招标、竞争性谈判、竞争性磋商、单一来源采购、询价及国务院政府采购监督管理部门认定的其他方式，招标只是其中之一（P1020）；照搬政府采购流程制定企业内部制度，流程繁琐却法理依据不足（P1002）。</w:t>
      </w:r>
    </w:p>
    <w:p>
      <w:r>
        <w:rPr>
          <w:rFonts w:ascii="Calibri" w:hAnsi="Calibri" w:eastAsia="微软雅黑"/>
          <w:b w:val="0"/>
          <w:i w:val="0"/>
          <w:sz w:val="22"/>
        </w:rPr>
        <w:t>边界三：非必招不等于无规则。国务院国资委、发改委《关于规范中央企业采购管理工作的指导意见》（国资发改革规〔2024〕53号）为非依法必招项目划出标准化路径：除自愿招标外，可选用询比、竞价、谈判、单一来源四类采购方式，地方国有企业大多参照完善本地办法（P1002）。另有行业特别法延伸招标义务：依《收费公路管理条例》第十一条第三款，经营性公路建设项目应当向社会公布、采用招标投标方式选择投资者（P1020）。</w:t>
      </w:r>
    </w:p>
    <w:p>
      <w:r>
        <w:rPr>
          <w:rFonts w:ascii="Calibri" w:hAnsi="Calibri" w:eastAsia="微软雅黑"/>
          <w:b w:val="0"/>
          <w:i w:val="0"/>
          <w:sz w:val="22"/>
        </w:rPr>
        <w:t>工程总承包招投标自身带有"多招合一"的综合性与"一招多随"的连带性：设计、采购、施工在一次招标中合并发包，中标后的分包与设备采购连带展开，单一环节的合规瑕疵会沿链条传导放大（P1000）。资质准入、挂靠防范与联合体要求见第6章，招标代理与公共资源交易平台的生态选择见第10章。</w:t>
      </w:r>
    </w:p>
    <w:p>
      <w:pPr>
        <w:pStyle w:val="Heading2"/>
      </w:pPr>
      <w:r>
        <w:t>1.4 资金坐标：隐性债务零容忍与F+EPC穿透审查</w:t>
      </w:r>
    </w:p>
    <w:p>
      <w:r>
        <w:rPr>
          <w:rFonts w:ascii="Calibri" w:hAnsi="Calibri" w:eastAsia="微软雅黑"/>
          <w:b w:val="0"/>
          <w:i w:val="0"/>
          <w:sz w:val="22"/>
        </w:rPr>
        <w:t>对工程总承包企业，2026年最硬的约束来自资金端。财政部10月9日发布的《2026年上半年中国财政政策执行情况报告》明确：继续实施好一揽子化债政策，加快化解存量隐性债务，严防虚假化债、新增隐债，推进地方融资平台退出和改革转型；报告同时提出推进隐性债务和法定债务合并监管、加强全口径地方债务监测（P1006、P1004）。</w:t>
      </w:r>
    </w:p>
    <w:p>
      <w:r>
        <w:rPr>
          <w:rFonts w:ascii="Calibri" w:hAnsi="Calibri" w:eastAsia="微软雅黑"/>
          <w:b w:val="0"/>
          <w:i w:val="0"/>
          <w:sz w:val="22"/>
        </w:rPr>
        <w:t>46号令之下，F+EPC的合规判断从模式名目转向实质穿透：项目是否实质由政府承担偿还责任、资金来源是否指向财政、立项主体是否具备企业投资的实质（P1003）。时间线上的关键节点是：2019年《政府投资条例》明确禁止政府投资项目由施工单位垫资建设；财政部2021年的答复直接点名F+EPC"存在一定地方政府隐性债务风险隐患"；2026年监管层对隐性债务零容忍，"换个马甲继续干"的路径失效——政府投了就是政府投资项目，不存在"政府投资项目转企业实施"的合规通道（P1003）。</w:t>
      </w:r>
    </w:p>
    <w:p>
      <w:r>
        <w:rPr>
          <w:rFonts w:ascii="Calibri" w:hAnsi="Calibri" w:eastAsia="微软雅黑"/>
          <w:b w:val="0"/>
          <w:i w:val="0"/>
          <w:sz w:val="22"/>
        </w:rPr>
        <w:t>企业接单前应按四个维度做穿透审查（P1003）：一看立项主体，政府方立项、企业仅作代建承担融资建设责任，实质属于地方政府以BT方式变相举债，形式上企业立项但项目缺乏经营性收入的，穿透后仍会被认定为政府投资项目；二看资金来源，回款最终指向财政预算安排、土地出让金预期收入或政府专项债的，无论合同怎么设计都构成隐性债务，合规项目回款必须来自项目自身经营收益或企业自有资金，且政府不提供任何形式的担保、回购承诺或保底收益；三看经营性，纯公益性项目由企业立项实施F+EPC在商业逻辑上自相矛盾，经营性项目或"经营收入+政府投资补助"能覆盖成本的准经营性项目才具备合规基础；四看业主成色，未转型完毕的融资平台公司作项目业主，即便合同写明"企业自筹、自负盈亏"，仍易被认定为平台继续承担政府融资职能。F+EPC按融资主体分为债权融资型、股权融资型、延付型，真正触线的是政府方作业主、由施工企业垫资或变相融资的情形（P1003）。回款安排与风险分担如何在EPC合同条款中落地，见第7章；隐性债务踩线项目的后果样本，见第9章。</w:t>
      </w:r>
    </w:p>
    <w:p>
      <w:r>
        <w:rPr>
          <w:rFonts w:ascii="Calibri" w:hAnsi="Calibri" w:eastAsia="微软雅黑"/>
          <w:b w:val="0"/>
          <w:i w:val="0"/>
          <w:sz w:val="22"/>
        </w:rPr>
        <w:t>资金供给端的盘子决定市场结构。2026年新增地方政府专项债额度4.4万亿元，截至9月27日已发行约3.36万亿元、进度76%，四季度还有约1万亿元待发；截至7月底已发行的2.4万亿元支持建设项目超1.8万个，约26%投向市政和产业园区基础设施、18%投向交通基础设施、13%投向保障性安居工程（P1025）。超长期特别国债全年1.3万亿元，"两重"建设8000亿元资金已全部下达、支持1417个重大项目，"两新"设备更新2000亿元资金支持22个领域超1.1万个项目，消费品以旧换新资金累计下达1875亿元、带动相关商品销售额约1.32万亿元、惠及1.78亿人次（P1025、P1036、P1037）。新型政策性金融工具8000亿元自9月初开始投放，预计撬动8万亿元到11万亿元总投资；此前2022年政策性开发性金融工具为7400亿元、2025年新型工具为5000亿元（P1030）。专项债投向已把数字经济、低空经济、量子科技前沿领域配套设施纳入新型基础设施2026年重点扩围方向（P1032）。</w:t>
      </w:r>
    </w:p>
    <w:p>
      <w:r>
        <w:rPr>
          <w:rFonts w:ascii="Calibri" w:hAnsi="Calibri" w:eastAsia="微软雅黑"/>
          <w:b w:val="0"/>
          <w:i w:val="0"/>
          <w:sz w:val="22"/>
        </w:rPr>
        <w:t>民间资本入场通道同步拓宽：2025年11月国办印发《关于进一步促进民间投资发展的若干措施》，明确民间资本持股比例可在10%以上；7月31日国务院常务会议核准的山东莱阳核电一期工程，民间资本参股比例达25%；上半年水网建设吸引民间投资超108亿元、同比增长85.8%；发改委近期公开推介36个项目、预计总投资614亿元、拟引入民间资本156亿元（P1027）。约束同时存在——新华社10月9日消息，中共中央、国务院印发《关于发展新质生产力的意见》，部署19项重点举措，并严禁借发展新质生产力之名违规滥用政策，对一哄而上、盲目投资等造成重大损失的严肃追究责任（P1023）。资金充沛与问责从严并存，投标决策前对项目资金来源的尽调等级必须相应提高。</w:t>
      </w:r>
    </w:p>
    <w:p>
      <w:pPr>
        <w:pStyle w:val="Heading2"/>
      </w:pPr>
      <w:r>
        <w:t>1.5 地方坐标：从政策爆发到规则深耕（2016—2026）</w:t>
      </w:r>
    </w:p>
    <w:p>
      <w:r>
        <w:rPr>
          <w:rFonts w:ascii="Calibri" w:hAnsi="Calibri" w:eastAsia="微软雅黑"/>
          <w:b w:val="0"/>
          <w:i w:val="0"/>
          <w:sz w:val="22"/>
        </w:rPr>
        <w:t>国家层面的规则落地，最终要看省域执行。工程总承包地方政策的爆发点在2017年前后：住建部《关于进一步推进工程总承包发展的若干意见》（建市〔2016〕93号）与国务院《关于促进建筑业持续健康发展的意见》（国办发〔2017〕19号）确立大力发展工程总承包、以EPC为主的路线后，2017年28个省份出台41份地方政策文件，2018年28个省份出台22份，2019年6个省份出台13份（P1008）。纲领性文件《房屋建筑和市政基础设施项目工程总承包管理办法》2019年12月23日发布、2020年3月1日起施行，标志着工程总承包规范化发展阶段的开启，覆盖全国31个省市自治区（不含港澳台）的地方细化期随之到来（P1008）。</w:t>
      </w:r>
    </w:p>
    <w:p>
      <w:r>
        <w:rPr>
          <w:rFonts w:ascii="Calibri" w:hAnsi="Calibri" w:eastAsia="微软雅黑"/>
          <w:b w:val="0"/>
          <w:i w:val="0"/>
          <w:sz w:val="22"/>
        </w:rPr>
        <w:t>此后两个年度的数据是：2020年15个省市出台18件，其中四川、新疆发布本地区房建市政EPC管理办法，江苏另行出台总承包计价活动试行规则；2021年13个省份出台18件（P1008、P1009）。2017至2021五年累计省级政策文件112份 [own_calc:41+22+13+18+18=112]。2022年回落至6个省级地方出台专项或相关文件（P1007），数量收敛背后是主题切换——从"要不要搞EPC"转向"怎么招标、怎么计价、怎么评标"：上海年初出台《上海市建设项目工程总承包招标评标办法》以匹配其2021年发布的管理办法；海南年底发布房屋建筑和市政基础设施项目工程总承包管理实施细则（试行），并配套《海南省装配式建设项目工程总承包合同示范文本（2023年版）》；西藏出台本地区试行的房建市政EPC管理办法；广西、宁夏、山东针对水利建设项目工程总承包立规；四川出台总承包合同计价指导意见；湖南的工程总承包招标评标暂行办法尚在征求意见（P1007）。更早的2021年，湖北、上海、河北三地出台本地区房建市政EPC管理办法，浙江住建部门联合发改、财政等部门发布总承包计价规则，广东的十条措施于2021年11月18日公开征求意见（P1009）。</w:t>
      </w:r>
    </w:p>
    <w:p>
      <w:r>
        <w:rPr>
          <w:rFonts w:ascii="Calibri" w:hAnsi="Calibri" w:eastAsia="微软雅黑"/>
          <w:b w:val="0"/>
          <w:i w:val="0"/>
          <w:sz w:val="22"/>
        </w:rPr>
        <w:t>对企业布局的含义：投标团队必须维护一张省级规则差异表——同一集团在湖北、上海、海南面对的评标办法、计价规则、合同示范文本各不相同，编制投标文件前的第一件事是核对项目所在省的最新版本（P1009、P1007）。评标专家库、评审规则与评标红线见第3章；2026-2029 合规预判的十二个确定性趋势，见第12章。</w:t>
      </w:r>
    </w:p>
    <w:p>
      <w:pPr>
        <w:pStyle w:val="Heading2"/>
      </w:pPr>
      <w:r>
        <w:t>本章要点</w:t>
      </w:r>
    </w:p>
    <w:p>
      <w:pPr>
        <w:pStyle w:val="ListBullet"/>
      </w:pPr>
      <w:r>
        <w:rPr>
          <w:rFonts w:ascii="Calibri" w:hAnsi="Calibri" w:eastAsia="微软雅黑"/>
          <w:b w:val="0"/>
          <w:i w:val="0"/>
          <w:sz w:val="22"/>
        </w:rPr>
        <w:t>修订草案6章79条、40处调整中，"保障市场公平竞争＋公平竞争审查＋中标结果公平性审查"构成新三道闸门，投标策略中所有建立在所有制、组织形式、经营规模门槛上的假设都需要重检（P1001）。</w:t>
      </w:r>
    </w:p>
    <w:p>
      <w:pPr>
        <w:pStyle w:val="ListBullet"/>
      </w:pPr>
      <w:r>
        <w:rPr>
          <w:rFonts w:ascii="Calibri" w:hAnsi="Calibri" w:eastAsia="微软雅黑"/>
          <w:b w:val="0"/>
          <w:i w:val="0"/>
          <w:sz w:val="22"/>
        </w:rPr>
        <w:t>监管按条块运行：发改部门指导协调并对国家重大建设项目实施监督检查，住建、交通、水利、商务分业监督，财政盯政府采购工程的预算执行，报批与应检对象随项目行业属性变化（P1028）。</w:t>
      </w:r>
    </w:p>
    <w:p>
      <w:pPr>
        <w:pStyle w:val="ListBullet"/>
      </w:pPr>
      <w:r>
        <w:rPr>
          <w:rFonts w:ascii="Calibri" w:hAnsi="Calibri" w:eastAsia="微软雅黑"/>
          <w:b w:val="0"/>
          <w:i w:val="0"/>
          <w:sz w:val="22"/>
        </w:rPr>
        <w:t>1358号指引把招标人主体责任落到科学性、合法性、廉洁性与系列管理机制上，国有资金项目未按指引操作可能被认定程序违规、招标无效，国企应尽快补齐内部决策与合规审查链条（P1035）。</w:t>
      </w:r>
    </w:p>
    <w:p>
      <w:pPr>
        <w:pStyle w:val="ListBullet"/>
      </w:pPr>
      <w:r>
        <w:rPr>
          <w:rFonts w:ascii="Calibri" w:hAnsi="Calibri" w:eastAsia="微软雅黑"/>
          <w:b w:val="0"/>
          <w:i w:val="0"/>
          <w:sz w:val="22"/>
        </w:rPr>
        <w:t>"421标准"（施工400万、货物200万、服务100万）叠加国有资金属性决定必招边界；非必招项目按53号文选用询比、竞价、谈判、单一来源，化整为零拆分规避招标是审计最高频违规情形（P1002、P1020）。</w:t>
      </w:r>
    </w:p>
    <w:p>
      <w:pPr>
        <w:pStyle w:val="ListBullet"/>
      </w:pPr>
      <w:r>
        <w:rPr>
          <w:rFonts w:ascii="Calibri" w:hAnsi="Calibri" w:eastAsia="微软雅黑"/>
          <w:b w:val="0"/>
          <w:i w:val="0"/>
          <w:sz w:val="22"/>
        </w:rPr>
        <w:t>46号令按立项主体、资金来源、经营性、业主成色四个维度穿透F+EPC，回款指向财政即构成隐性债务；专项债、超长期特别国债、新型政策性金融工具的投向结构决定未来两年的市场热点区域（P1003、P1025、P1030）。</w:t>
      </w:r>
    </w:p>
    <w:p>
      <w:pPr>
        <w:pStyle w:val="ListBullet"/>
      </w:pPr>
      <w:r>
        <w:rPr>
          <w:rFonts w:ascii="Calibri" w:hAnsi="Calibri" w:eastAsia="微软雅黑"/>
          <w:b w:val="0"/>
          <w:i w:val="0"/>
          <w:sz w:val="22"/>
        </w:rPr>
        <w:t>地方政策从数量爆发（2017年41份）转入评标、计价细则深耕（2022年6个省级），跨省经营必须按省维护规则差异表，投标前核对项目所在省最新评标办法与合同示范文本（P1008、P1007）。</w:t>
      </w:r>
    </w:p>
    <w:p>
      <w:pPr>
        <w:pStyle w:val="Heading2"/>
      </w:pPr>
      <w:r>
        <w:t>本章源增补</w:t>
      </w:r>
    </w:p>
    <w:p>
      <w:pPr>
        <w:pStyle w:val="ListBullet"/>
      </w:pPr>
      <w:r>
        <w:rPr>
          <w:rFonts w:ascii="Calibri" w:hAnsi="Calibri" w:eastAsia="微软雅黑"/>
          <w:b w:val="0"/>
          <w:i w:val="0"/>
          <w:sz w:val="22"/>
        </w:rPr>
        <w:t>补锚新增源 P1036：E:\AI-Station\data\rss_harvest\articles\2026-10-03\中国发展改革_冲刺四季度，9月28日国常会的三点观察-253c568d.md</w:t>
      </w:r>
    </w:p>
    <w:p>
      <w:pPr>
        <w:pStyle w:val="ListBullet"/>
      </w:pPr>
      <w:r>
        <w:rPr>
          <w:rFonts w:ascii="Calibri" w:hAnsi="Calibri" w:eastAsia="微软雅黑"/>
          <w:b w:val="0"/>
          <w:i w:val="0"/>
          <w:sz w:val="22"/>
        </w:rPr>
        <w:t>补锚新增源 P1037：E:\AI-Station\data\rss_harvest\articles\2026-09-17\施工企业项目管理_黎叔城更学研习社政策与专项资金落实周报（8.15-8.21）-9e71959a.md</w:t>
      </w:r>
    </w:p>
    <w:p>
      <w:pPr>
        <w:pStyle w:val="ListBullet"/>
      </w:pPr>
      <w:r>
        <w:rPr>
          <w:rFonts w:ascii="Calibri" w:hAnsi="Calibri" w:eastAsia="微软雅黑"/>
          <w:b w:val="0"/>
          <w:i w:val="0"/>
          <w:sz w:val="22"/>
        </w:rPr>
        <w:t>1.4 节资金段第二句源锚扩为（P1025、P1036、P1037）；专项债发行进度句仍锚 P1025，其紧凑写法核验见 bank 本章源增补注记。</w:t>
      </w:r>
    </w:p>
    <w:p>
      <w:r>
        <w:rPr>
          <w:rFonts w:ascii="Calibri" w:hAnsi="Calibri" w:eastAsia="微软雅黑"/>
          <w:b w:val="0"/>
          <w:i w:val="0"/>
          <w:sz w:val="22"/>
        </w:rPr>
        <w:t>---</w:t>
      </w:r>
    </w:p>
    <w:p>
      <w:pPr>
        <w:pStyle w:val="Heading1"/>
      </w:pPr>
      <w:r>
        <w:t>第2章 招标全流程合规节点地图（从立项到定标）</w:t>
      </w:r>
    </w:p>
    <w:p>
      <w:pPr>
        <w:ind w:left="454"/>
      </w:pPr>
      <w:r>
        <w:rPr>
          <w:rFonts w:ascii="Calibri" w:hAnsi="Calibri" w:eastAsia="微软雅黑"/>
          <w:b/>
          <w:i w:val="0"/>
          <w:color w:val="666666"/>
          <w:sz w:val="22"/>
        </w:rPr>
        <w:t>三态</w:t>
      </w:r>
      <w:r>
        <w:rPr>
          <w:rFonts w:ascii="Calibri" w:hAnsi="Calibri" w:eastAsia="微软雅黑"/>
          <w:b w:val="0"/>
          <w:i w:val="0"/>
          <w:color w:val="666666"/>
          <w:sz w:val="22"/>
        </w:rPr>
        <w:t>：[精编]</w:t>
      </w:r>
    </w:p>
    <w:p>
      <w:r>
        <w:rPr>
          <w:rFonts w:ascii="Calibri" w:hAnsi="Calibri" w:eastAsia="微软雅黑"/>
          <w:b w:val="0"/>
          <w:i w:val="0"/>
          <w:sz w:val="22"/>
        </w:rPr>
        <w:t>工程总承包的发包是一条环环相扣的程序链，任何一环失守，后续各环节的合法性都会被牵连。本章把从立项到定标的完整链条拆成五段，逐段标注合规节点、对应规则与实操判据，供经营、法务岗位按图核对。</w:t>
      </w:r>
    </w:p>
    <w:p>
      <w:pPr>
        <w:pStyle w:val="Heading2"/>
      </w:pPr>
      <w:r>
        <w:t>2.1 流程骨架：五个阶段、两组上位法与"多招合一"</w:t>
      </w:r>
    </w:p>
    <w:p>
      <w:r>
        <w:rPr>
          <w:rFonts w:ascii="Calibri" w:hAnsi="Calibri" w:eastAsia="微软雅黑"/>
          <w:b w:val="0"/>
          <w:i w:val="0"/>
          <w:sz w:val="22"/>
        </w:rPr>
        <w:t>《工程总承包招投标合规工作指南》把总承包招投标全流程划为五段：招标前期准备（可行性研究与决策、发包方式选择、发包范围界定、计划与时间节点安排）→ 招标条件与资格预审（条件合法性审查、预审文件编制、条件设置原则、评审标准制定）→ 招标文件编制与公告发布（文件构成、技术规格、商务条款、评标标准设计，公告内容与发布渠道时限、文件发售修改、疑问答复）→ 投标（联合体要求、保证金管理、文件编制与递交、修改撤回、截止管理）→ 开标评标定标与合同签订（P2000）。甘肃省住建厅 2020 年 4 月印发的《房屋建筑和市政基础设施项目工程总承包招标评标定标办法》（甘建建 [2020]160 号）第三条明确：招投标活动由招标人依法负责，招标人承担首要责任（P2005）——责任主体在流程起点即已锁定。</w:t>
      </w:r>
    </w:p>
    <w:p>
      <w:r>
        <w:rPr>
          <w:rFonts w:ascii="Calibri" w:hAnsi="Calibri" w:eastAsia="微软雅黑"/>
          <w:b w:val="0"/>
          <w:i w:val="0"/>
          <w:sz w:val="22"/>
        </w:rPr>
        <w:t>同一份指南还给出分阶段风险图谱：招标阶段风险为范围界定不清、资格预审条件设置不当、文件编制不规范、评标标准设置不合理、程序违规操作；投标阶段风险为资质挂靠与借用、围标串标、报价异常、虚假承诺与材料造假；评标阶段风险为委员会组成不合规、标准执行不一致、过程干预操控、结果不公正；中标与签约、履约阶段另有对应风险谱（P2000），本图即本章各节的索引。</w:t>
      </w:r>
    </w:p>
    <w:p>
      <w:r>
        <w:rPr>
          <w:rFonts w:ascii="Calibri" w:hAnsi="Calibri" w:eastAsia="微软雅黑"/>
          <w:b w:val="0"/>
          <w:i w:val="0"/>
          <w:sz w:val="22"/>
        </w:rPr>
        <w:t>总承包发包区别于设计、施工、设备分头招标，呈现"多招合一"的综合性与"一招多随"的连带性（P2000）：一次发包覆盖多类工作内容，后续合同关系随中标结果连带生成。规则坐标上，上位法是《招标投标法》及其实施条例；规模门槛执行《必须招标的工程项目规定》（国家发改委第 16 号令）；房建市政领域的专门规章为住建部、国家发改委《房屋建筑和市政基础设施项目工程总承包管理办法》（建市规〔2019〕12 号），监管配套是《关于进一步加强房屋建筑和市政基础设施工程招标投标监管的指导意见》（建市规〔2019〕11 号）（P2000、P2005）。</w:t>
      </w:r>
    </w:p>
    <w:p>
      <w:pPr>
        <w:pStyle w:val="Heading2"/>
      </w:pPr>
      <w:r>
        <w:t>2.2 立项与前置手续：发包条件何时成熟</w:t>
      </w:r>
    </w:p>
    <w:p>
      <w:r>
        <w:rPr>
          <w:rFonts w:ascii="Calibri" w:hAnsi="Calibri" w:eastAsia="微软雅黑"/>
          <w:b w:val="0"/>
          <w:i w:val="0"/>
          <w:sz w:val="22"/>
        </w:rPr>
        <w:t>时点规则写在甘建建 [2020]160 号第六条：招标人可根据项目特点，在可行性研究或者初步设计完成后，以工程投资估算或者概算为经济控制指标，以限额设计为控制手段，开展总承包招标；可研、初设依法应当履行审批手续的，经批准后方可进入下一阶段发包（P2005）。第七条给出风控口径：建设单位缺少工程总承包项目管理经验或风险管控能力不强的，宜在初步设计完成后实施工程总承包（P2005）。第五条划定强制边界：项目范围内的设计、采购或者施工，有任一项属于依法必须招标的项目范围且达到国家规定规模标准，就应当采用招标方式选择总承包单位（P2005）。</w:t>
      </w:r>
    </w:p>
    <w:p>
      <w:r>
        <w:rPr>
          <w:rFonts w:ascii="Calibri" w:hAnsi="Calibri" w:eastAsia="微软雅黑"/>
          <w:b w:val="0"/>
          <w:i w:val="0"/>
          <w:sz w:val="22"/>
        </w:rPr>
        <w:t>立项前后的用地链条自成体系：单独选址项目的通用时序为"用地预审与选址意见书 → 征地实物调查、移民安置、补偿落实 → 农用地转用、土地征收组卷报批 → 征地实施完成 → 土地供应（划拨或出让）→ 不动产登记"；临时用地须单独审批，不能用永久用地批复替代；先行用地获批后 1 年内必须上报正式用地组件材料；预审有效期一般 3 年；占用永久基本农田必须报国务院批准，其余农用地转用征收由国务院或授权省级政府审批；组卷核心材料包括勘测定界成果、征地社会稳定风险评估、征地补偿安置方案、耕地占补平衡方案、地质灾害评估、压覆矿产评估（P2012）。高频误区是把预审通过当成用地批复直接进场，构成未批先建（P2012）。环评维度，《中华人民共和国生态环境法典》已于 2026 年 3 月 12 日经第十四届全国人民代表大会第四次会议通过，总则专设"建设项目的生态环境影响评价"一节（P2032）。</w:t>
      </w:r>
    </w:p>
    <w:p>
      <w:r>
        <w:rPr>
          <w:rFonts w:ascii="Calibri" w:hAnsi="Calibri" w:eastAsia="微软雅黑"/>
          <w:b w:val="0"/>
          <w:i w:val="0"/>
          <w:sz w:val="22"/>
        </w:rPr>
        <w:t>资金侧的门槛同样前置：专项债券实行"负面清单"管理，适用于有稳定预期收益、能实现收益与融资自平衡的公益性项目，不得用于经常性支出（P2008）。城市更新类项目已形成"先体检、后申报"的门径——"十五五"期间全国规划建设改造城市地下管网约 77 万公里，2026 年超长期特别国债安排 1600 亿元、比上年增加 250 亿元，中央预算内投资城市更新专项安排 970 亿元；申报材料须把改造点位、改造长度、投资估算与体检报告产出的隐患、问题、整改三张清单一一对应，评审时一翻就能对上（P2013）。</w:t>
      </w:r>
    </w:p>
    <w:p>
      <w:pPr>
        <w:pStyle w:val="Heading2"/>
      </w:pPr>
      <w:r>
        <w:t>2.3 文件编制与公告发布：废标条款是双向武器</w:t>
      </w:r>
    </w:p>
    <w:p>
      <w:r>
        <w:rPr>
          <w:rFonts w:ascii="Calibri" w:hAnsi="Calibri" w:eastAsia="微软雅黑"/>
          <w:b w:val="0"/>
          <w:i w:val="0"/>
          <w:sz w:val="22"/>
        </w:rPr>
        <w:t>废标是投标侧最大的非技术损耗。据行业公开数据统计，所有未中标的投标项目中约有 30%-40% 系废标所致，而非技术或商务实力不足（P2006）。其中资格性废标的法律依据为《招标投标法》第二十六条、《招标投标法实施条例》第三十二条，典型情形包括资质等级不满足、安全生产许可证过期、项目经理不符合要求、业绩不满足、财务状况不达标（P2006）。一个签章遗漏、一处格式错误、一项资质过期，甚至投标文档属性里残留的企业名称，都足以让整份标书出局（P2006）。</w:t>
      </w:r>
    </w:p>
    <w:p>
      <w:r>
        <w:rPr>
          <w:rFonts w:ascii="Calibri" w:hAnsi="Calibri" w:eastAsia="微软雅黑"/>
          <w:b w:val="0"/>
          <w:i w:val="0"/>
          <w:sz w:val="22"/>
        </w:rPr>
        <w:t>对招标侧，本环节的合规节点落在技术规格与要求的合理设置、商务条款的规范制定、评标标准与方法的科学设计，以及澄清修改的时限与程序——含实质性变更处理原则、延长投标截止时间的情形（P2000）。对照 2.1 节图谱，招标阶段的五类高发风险中有三类直接产自文件与公告环节，属于发包方自担的责任区。对投标侧，拿到文件的第一件事是逐字圈出带星号的废标条款、保证金到账时限与打分表得分点；清单和图纸有矛盾，必须在答疑截止前提疑问——2024 清单规则下，投标阶段不提，后期结算想变更几乎没机会（P2014）。</w:t>
      </w:r>
    </w:p>
    <w:p>
      <w:pPr>
        <w:pStyle w:val="Heading2"/>
      </w:pPr>
      <w:r>
        <w:t>2.4 递交与开评标：程序刚性节点</w:t>
      </w:r>
    </w:p>
    <w:p>
      <w:r>
        <w:rPr>
          <w:rFonts w:ascii="Calibri" w:hAnsi="Calibri" w:eastAsia="微软雅黑"/>
          <w:b w:val="0"/>
          <w:i w:val="0"/>
          <w:sz w:val="22"/>
        </w:rPr>
        <w:t>投标环节的程序刚性集中在四点：递交的时间与方式、密封与标记、修改与撤回、截止时间管理，外加联合体投标的合规要求与保证金管理规范（P2000）。标书编制侧的分项要点为技术方案、商务响应与报价策略三块，各自的规范性直接决定能否走到评审桌面（P2000）。实务教训具体到操作层：某总包单位熬一周做完标书，资格审查才发现近三年同类业绩差一个，直接否决，数万元成本沉没（P2014）；报价前应赴现场踏勘，复核钢筋、土方等大项，确认单价是否包含清理、二次搬运（P2014）；授权委托书漏签字盖章、电子标 CA 签章未提前测试、保证金显示转出而未到账，均为高频出局原因（P2014）。开标时听到自己报价有误，必须当场提出异议，事后不受理（P2014）。</w:t>
      </w:r>
    </w:p>
    <w:p>
      <w:r>
        <w:rPr>
          <w:rFonts w:ascii="Calibri" w:hAnsi="Calibri" w:eastAsia="微软雅黑"/>
          <w:b w:val="0"/>
          <w:i w:val="0"/>
          <w:sz w:val="22"/>
        </w:rPr>
        <w:t>评标侧的组织节点是评标委员会组建、专家选取与回避制度、工作纪律与职责权限（P2000）。新机制带来新雷区：暗标评审、电子化招投标、AI 辅助评标推行后，废标风险更趋多样化、隐蔽化，暗标格式不符、电子文件格式错误、系统操作失误都可能触发（P2006）。联合体是大额 EPC 竞逐的主流形态，洞察包语料收录有湖南建工集团牵头联合体以 58.66 亿元报价参战的记录（P2029）。评标规则与专家库管理详见第 3 章，围标串标的识别与处罚见第 5 章。</w:t>
      </w:r>
    </w:p>
    <w:p>
      <w:pPr>
        <w:pStyle w:val="Heading2"/>
      </w:pPr>
      <w:r>
        <w:t>2.5 定标与签约：从中标通知到合同落地</w:t>
      </w:r>
    </w:p>
    <w:p>
      <w:r>
        <w:rPr>
          <w:rFonts w:ascii="Calibri" w:hAnsi="Calibri" w:eastAsia="微软雅黑"/>
          <w:b w:val="0"/>
          <w:i w:val="0"/>
          <w:sz w:val="22"/>
        </w:rPr>
        <w:t>定标后的四类风险有明确清单：中标通知与公示违规、合同签订与招标文件实质性偏离、合同条款设置不合理、违法转包与分包（P2000）。中标人的最后一步同样有坑：即便排名第一，签约时也要死盯付款节点和违约责任（P2014）。</w:t>
      </w:r>
    </w:p>
    <w:p>
      <w:r>
        <w:rPr>
          <w:rFonts w:ascii="Calibri" w:hAnsi="Calibri" w:eastAsia="微软雅黑"/>
          <w:b w:val="0"/>
          <w:i w:val="0"/>
          <w:sz w:val="22"/>
        </w:rPr>
        <w:t>两个签约样本给出可核对的商务结构。其一，开封禹王台 120MW 光伏 EPC 签约总代价 800,160,000 元、工期 100 个历日，付款节点设为 10%-80%-5%-5%，并引入供应商直付委托书（协鑫新能源 00451.HK 联合公告披露）（P2004）。其二，首钢国际某升级改造项目 EPC 合同总金额 29.09 亿元，其中控股子公司沈阳院与全资子公司六冶实施部分约 23.48 亿元，约占公司 2024 年经审计营业收入的 9.78%（P2033）——上市公司口径下，定标结果直接触发信息披露义务。司法衔接上，法释〔2020〕25 号《最高人民法院关于审理建设工程施工合同纠纷案件适用法律问题的解释（一）》自 2021 年 1 月 1 日施行，同时废止法释 [2002]16 号、法释〔2004〕14 号、法释〔2018〕20 号三件旧解释；其配套背景是最高法对 591 件司法解释及规范性文件的全面清理——与民法典规定一致的 364 件继续适用、111 件经修改颁布、116 件废止（P2030、P2036）。因发包程序瑕疵或合同偏离成讼的，裁判依据即在此列（败诉谱系见第 8 章）。签约之后，链条延伸入履约段：管理责任不明确、设计变更管理不规范、工程款支付与结算争议、质量与安全风险四类问题（P2000）多数能回溯到发包与签约节点埋下的条款缺陷，合同条款的解剖见第 7 章。</w:t>
      </w:r>
    </w:p>
    <w:p>
      <w:pPr>
        <w:pStyle w:val="Heading2"/>
      </w:pPr>
      <w:r>
        <w:t>本章要点</w:t>
      </w:r>
    </w:p>
    <w:p>
      <w:pPr>
        <w:pStyle w:val="ListNumber"/>
      </w:pPr>
      <w:r>
        <w:rPr>
          <w:rFonts w:ascii="Calibri" w:hAnsi="Calibri" w:eastAsia="微软雅黑"/>
          <w:b w:val="0"/>
          <w:i w:val="0"/>
          <w:sz w:val="22"/>
        </w:rPr>
        <w:t>可研、初设、用地、环评都是"未批不得进入下一阶段"的硬节点：预审通过不等于用地批复，先行用地批文自带一年时限，占用永久基本农田的农转用征收只能报国务院。</w:t>
      </w:r>
    </w:p>
    <w:p>
      <w:pPr>
        <w:pStyle w:val="ListNumber"/>
      </w:pPr>
      <w:r>
        <w:rPr>
          <w:rFonts w:ascii="Calibri" w:hAnsi="Calibri" w:eastAsia="微软雅黑"/>
          <w:b w:val="0"/>
          <w:i w:val="0"/>
          <w:sz w:val="22"/>
        </w:rPr>
        <w:t>判断项目是否必须招标，只看设计、采购、施工任一项是否同时落入强制招标范围并达到规模门槛；建设单位缺乏总包经验或风控能力不强时，把发包时点后移到初设完成之后，是规章明示的稳妥选项。</w:t>
      </w:r>
    </w:p>
    <w:p>
      <w:pPr>
        <w:pStyle w:val="ListNumber"/>
      </w:pPr>
      <w:r>
        <w:rPr>
          <w:rFonts w:ascii="Calibri" w:hAnsi="Calibri" w:eastAsia="微软雅黑"/>
          <w:b w:val="0"/>
          <w:i w:val="0"/>
          <w:sz w:val="22"/>
        </w:rPr>
        <w:t>废标占未中标项目的 30%-40%：投标侧把"逐字圈星号条款、答疑截止前提疑、保证金确认到账、开标当场异议"设为四条铁线；招标侧的高发雷区则集中在发包范围界定、资格预审条件与评标标准设置。</w:t>
      </w:r>
    </w:p>
    <w:p>
      <w:pPr>
        <w:pStyle w:val="ListNumber"/>
      </w:pPr>
      <w:r>
        <w:rPr>
          <w:rFonts w:ascii="Calibri" w:hAnsi="Calibri" w:eastAsia="微软雅黑"/>
          <w:b w:val="0"/>
          <w:i w:val="0"/>
          <w:sz w:val="22"/>
        </w:rPr>
        <w:t>中标不是终点：公示程序违规、合同与招标文件实质性偏离、违法转包分包构成定标后三大风险源，签约时死盯付款节点与违约责任条款。</w:t>
      </w:r>
    </w:p>
    <w:p>
      <w:pPr>
        <w:pStyle w:val="ListNumber"/>
      </w:pPr>
      <w:r>
        <w:rPr>
          <w:rFonts w:ascii="Calibri" w:hAnsi="Calibri" w:eastAsia="微软雅黑"/>
          <w:b w:val="0"/>
          <w:i w:val="0"/>
          <w:sz w:val="22"/>
        </w:rPr>
        <w:t>定标即触发披露与归档义务：上市公司须同步核对合同金额、实施主体与营收占比口径；成讼后的裁判规则以法释〔2020〕25 号及其司法解释清理结果为准。</w:t>
      </w:r>
    </w:p>
    <w:p>
      <w:r>
        <w:rPr>
          <w:rFonts w:ascii="Calibri" w:hAnsi="Calibri" w:eastAsia="微软雅黑"/>
          <w:b w:val="0"/>
          <w:i w:val="0"/>
          <w:sz w:val="22"/>
        </w:rPr>
        <w:t>---</w:t>
      </w:r>
    </w:p>
    <w:p>
      <w:pPr>
        <w:pStyle w:val="Heading1"/>
      </w:pPr>
      <w:r>
        <w:t>第3章 评标环节：专家库、评审规则与红线</w:t>
      </w:r>
    </w:p>
    <w:p>
      <w:pPr>
        <w:ind w:left="454"/>
      </w:pPr>
      <w:r>
        <w:rPr>
          <w:rFonts w:ascii="Calibri" w:hAnsi="Calibri" w:eastAsia="微软雅黑"/>
          <w:b/>
          <w:i w:val="0"/>
          <w:color w:val="666666"/>
          <w:sz w:val="22"/>
        </w:rPr>
        <w:t>三态</w:t>
      </w:r>
      <w:r>
        <w:rPr>
          <w:rFonts w:ascii="Calibri" w:hAnsi="Calibri" w:eastAsia="微软雅黑"/>
          <w:b w:val="0"/>
          <w:i w:val="0"/>
          <w:color w:val="666666"/>
          <w:sz w:val="22"/>
        </w:rPr>
        <w:t>：[精编]</w:t>
      </w:r>
    </w:p>
    <w:p>
      <w:r>
        <w:rPr>
          <w:rFonts w:ascii="Calibri" w:hAnsi="Calibri" w:eastAsia="微软雅黑"/>
          <w:b w:val="0"/>
          <w:i w:val="0"/>
          <w:sz w:val="22"/>
        </w:rPr>
        <w:t>评标是招投标全链条中裁量权最集中的环节：招标文件条款设计得再严密，也要经评审组之手才能落到中标结果上。本章取三份材料交叉——行业指南的评标风险清单（P3000）、江苏省十部门新印的专家库管理细则（P3002）、上海市建设项目工程总承包招标评标办法2026版的官方解读（P3001）——拼出2026年企业合规岗位必须掌握的专家库治理逻辑、评审规则走向与追责红线。</w:t>
      </w:r>
    </w:p>
    <w:p>
      <w:pPr>
        <w:pStyle w:val="Heading2"/>
      </w:pPr>
      <w:r>
        <w:t>3.1 制度层级与风险坐标</w:t>
      </w:r>
    </w:p>
    <w:p>
      <w:r>
        <w:rPr>
          <w:rFonts w:ascii="Calibri" w:hAnsi="Calibri" w:eastAsia="微软雅黑"/>
          <w:b w:val="0"/>
          <w:i w:val="0"/>
          <w:sz w:val="22"/>
        </w:rPr>
        <w:t>评标合规的标尺自上而下分三级。法律层，《中华人民共和国招标投标法》1999年8月30日由第九届全国人大常委会第十一次会议通过，2017年12月27日经第十二届全国人大常委会第三十一次会议修正，自2017年12月28日起施行（P3034），从通过到最近一次修正相隔 [own_calc:2017−1999=18年]。其第一条写明立法目的："规范招标投标活动，保护国家利益、社会公共利益和招标投标活动当事人的合法权益，提高经济效益，保证项目质量"（P3034）。规章层，专家管理依据下探到《评标专家和评标专家库管理办法》，即国家发展改革委令第26号（P3002）。地方层，江苏以苏数规〔2026〕2号文印发修订后的《江苏省综合评标专家和专家库管理细则》，落款日期2026年6月15日（P3002），属最新生效的省级样本；该次修正在国家法律法规数据库之外自成一条证据链——细则第一条申明目的为加强全省综合评标专家和专家库监督管理、规范评标行为、提高评标质量（P3002），与管理依据中26号令的层级关系清晰可查。</w:t>
      </w:r>
    </w:p>
    <w:p>
      <w:r>
        <w:rPr>
          <w:rFonts w:ascii="Calibri" w:hAnsi="Calibri" w:eastAsia="微软雅黑"/>
          <w:b w:val="0"/>
          <w:i w:val="0"/>
          <w:sz w:val="22"/>
        </w:rPr>
        <w:t>风险坐标由行业指南给出：工程总承包招投标的评标阶段风险归纳为四类——评标委员会组成不合规、评标标准执行不一致、评标过程干预与操控、评标结果不公正（P3000），分别指向"人、尺、手、果"四个防控轴。指南还把"评标标准设置不合理"列入招标阶段风险（P3000），提示规则设计缺陷往往潜伏到评审现场才爆发——这正是评标办法本身需要持续修订的原因。</w:t>
      </w:r>
    </w:p>
    <w:p>
      <w:pPr>
        <w:pStyle w:val="Heading2"/>
      </w:pPr>
      <w:r>
        <w:t>3.2 专家库治理样本：江苏细则的管理链条</w:t>
      </w:r>
    </w:p>
    <w:p>
      <w:r>
        <w:rPr>
          <w:rFonts w:ascii="Calibri" w:hAnsi="Calibri" w:eastAsia="微软雅黑"/>
          <w:b w:val="0"/>
          <w:i w:val="0"/>
          <w:sz w:val="22"/>
        </w:rPr>
        <w:t>这份细则的落款单位是江苏省数据局、发展和改革委员会、工业和信息化厅、自然资源厅、住房和城乡建设厅、交通运输厅、水利厅、农业农村厅、卫生健康委员会、铁路办公室（P3002）[own_calc:逐一点数落款单位=10家，与文首"十部门"表述吻合]。牵头者不是发改或住建单一部门，而是省数据主管部门：其职责覆盖管理制度制定、专家库统筹建设、动态管理、对设区市工作的督促指导，以及征集、培训、考试、聘任、解聘的全链条组织（P3002）。</w:t>
      </w:r>
    </w:p>
    <w:p>
      <w:r>
        <w:rPr>
          <w:rFonts w:ascii="Calibri" w:hAnsi="Calibri" w:eastAsia="微软雅黑"/>
          <w:b w:val="0"/>
          <w:i w:val="0"/>
          <w:sz w:val="22"/>
        </w:rPr>
        <w:t>什么人能入库？细则第三条给出定义：符合规定条件，经省数据主管部门和省发改、工信、自然资源、住房城乡建设、交通运输、水利、农业农村、卫生健康、铁路等部门征集聘任，以独立身份为招标人提供评标服务的技术、经济等方面的专业人员（P3002）。"独立身份"四字是专家权利与责任共同的锚点——受聘者既不受招标人指挥，也不代表所属单位立场。专家库则被定义为存储行业领域专家信息、具备抽取、管理、服务等功能的信息系统（P3002），机器抽取取代人为点名，本身就是防干预设计。</w:t>
      </w:r>
    </w:p>
    <w:p>
      <w:r>
        <w:rPr>
          <w:rFonts w:ascii="Calibri" w:hAnsi="Calibri" w:eastAsia="微软雅黑"/>
          <w:b w:val="0"/>
          <w:i w:val="0"/>
          <w:sz w:val="22"/>
        </w:rPr>
        <w:t>什么情形受细则约束？第二条把适用范围划成两段：省综合评标专家的选聘、抽取、考核、解聘及其监督，以及评标专家库的建设、使用、共享、管理等活动（P3002）。配套的定义条款还厘清了"行政监督部门"——对招标投标活动依法具有行政监督职能的部门，或县级以上地方人民政府指定的部门（P3002），这使追责主体不再依附于单一行业主管口径。通知的下发对象覆盖各设区市数据局、发展改革委、工业和信息化局、自然资源主管部门、住房和城乡建设局（建委）、交通运输局、水利（务）局、农业农村局、卫生健康委（P3002），与省级落款形成条块对应。</w:t>
      </w:r>
    </w:p>
    <w:p>
      <w:r>
        <w:rPr>
          <w:rFonts w:ascii="Calibri" w:hAnsi="Calibri" w:eastAsia="微软雅黑"/>
          <w:b w:val="0"/>
          <w:i w:val="0"/>
          <w:sz w:val="22"/>
        </w:rPr>
        <w:t>纵向分工上，设区市数据主管部门负责本行政区域的组织实施与账号管理，县（市、区）配合收集处理意见（P3002）。现场端，各级公共资源交易中心承担三重职能：提供抽取信息查询场所、开展日常考核、维持评审现场纪律秩序，并对评审全过程录音录像，发现违法违规行为及时向行政监督部门报告（P3002）；省公共资源交易中心另负省库运行管理之责（P3002）。行政监督部门则依第五条对专家评标活动和库的组建、使用、共享实施监督、负责日常考核并依法查处（P3002）。</w:t>
      </w:r>
    </w:p>
    <w:p>
      <w:pPr>
        <w:pStyle w:val="Heading2"/>
      </w:pPr>
      <w:r>
        <w:t>3.3 评审规则样本：上海评标办法的两轮迭代</w:t>
      </w:r>
    </w:p>
    <w:p>
      <w:r>
        <w:rPr>
          <w:rFonts w:ascii="Calibri" w:hAnsi="Calibri" w:eastAsia="微软雅黑"/>
          <w:b w:val="0"/>
          <w:i w:val="0"/>
          <w:sz w:val="22"/>
        </w:rPr>
        <w:t>上海提供了一部完整的规则演进标本（解读源自"上海勘察设计"直播，时长42分29秒，2026年10月8日采集，P3001）。新版办法由市招标办于节前印发，直接动因是落实市委市政府关于优化招投标领域营商环境、维护建筑市场公平竞争秩序的工作要求，核心指向压实招标人主体责任、保证评标公平公正（P3001）。往前追溯，2024年该市开展新一轮招投标综合改革，修订印发2024版工程总承包评标办法，创设"澄清低价法"：让具备专业技术能力和严格履约体系的招标人在评审中通过澄清不断优化技术方案、完善合同条款（P3001）。这一设计吸纳国际做法，施行以来确实促进了工程总承包项目落地（P3001），但实践暴露短板——部分招标人未落实主体责任，出现澄清过程模糊、标准不一等破坏公平竞争的现象，异议投诉随之增多（P3001）。2026年5月，市招标办印发《关于进一步规范工程总承包和施工招标澄清低价法应用的通知》予以纠偏（P3001）。</w:t>
      </w:r>
    </w:p>
    <w:p>
      <w:r>
        <w:rPr>
          <w:rFonts w:ascii="Calibri" w:hAnsi="Calibri" w:eastAsia="微软雅黑"/>
          <w:b w:val="0"/>
          <w:i w:val="0"/>
          <w:sz w:val="22"/>
        </w:rPr>
        <w:t>更根本的调整在2026版：在完善澄清低价法的同时新设"综合评标法"，为项目提供两种可选评审路径（P3001），定于2026年11月1日起施行，2024版同步废止（P3001）。双轨选择的背后是对招标人能力的诚实评估——解读明言，澄清低价法要求招标人具备图纸和方案的审查能力，才能在技术标澄清时判断投标文件是否符合要求；一旦澄清不规范导致结果需要纠正，重新招标的时间成本相当高（P3001）。新设路径让不具备受审能力的招标人也有合规选项，总承包评审规则的适用面随之拓宽（P3001）。</w:t>
      </w:r>
    </w:p>
    <w:p>
      <w:r>
        <w:rPr>
          <w:rFonts w:ascii="Calibri" w:hAnsi="Calibri" w:eastAsia="微软雅黑"/>
          <w:b w:val="0"/>
          <w:i w:val="0"/>
          <w:sz w:val="22"/>
        </w:rPr>
        <w:t>新版的三处核心改动可逐条比对：其一，明确招标启动条件，凡采用该模式招标的，招标人须通过集体决策程序对项目条件作论证和确认（P3001）；其二，细化评审因素，范围覆盖技术、商务及报价，并优化设计图纸的评审要求（P3001）——这与EPC项目"招标启动时设计文件完成度还比较低、承包单位需在中标后深化施工图设计"的招标特征直接对应（P3001）；其三，优化评审流程。模式适用前提也一并写明：项目自身建设要求明确、技术标准固定、风险基本可控；建设单位已明确建设需求，并具备在履约阶段实施全过程管控、限制变更风险的能力（P3001）。理解这组前提需回到模式本质——工程总承包是由一家单位对工程设计、采购、施工实行全过程一体化统筹实施的建设组织方式，有别于设计、施工分阶段招标（P3001），且采用总价包干，甲乙双方都要在固定总价合同中承担建设需求不明确、设计方案不成熟、工作量不可控的风险（P3001）。符合两项前提的项目由建设单位作专业引导，建设效率与高质量履约同步可期（P3001）。两地规则节奏近乎同步：江苏细则印发（6月15日）到上海办法施行（11月1日）相隔 [own_calc:2026-11-01−2026-06-15=139天]（P3002，P3001）。</w:t>
      </w:r>
    </w:p>
    <w:p>
      <w:pPr>
        <w:pStyle w:val="Heading2"/>
      </w:pPr>
      <w:r>
        <w:t>3.4 红线清单：从程序瑕疵到追责通道</w:t>
      </w:r>
    </w:p>
    <w:p>
      <w:r>
        <w:rPr>
          <w:rFonts w:ascii="Calibri" w:hAnsi="Calibri" w:eastAsia="微软雅黑"/>
          <w:b w:val="0"/>
          <w:i w:val="0"/>
          <w:sz w:val="22"/>
        </w:rPr>
        <w:t>把两份样本叠读，评标红线可列成一张可核对的清单。人的红线：评标委员会组成不合规居指南四类风险之首（P3000），指南为其组建开列的核查项包括人员组成要求、专家选取与回避制度、工作纪律、职责与权限（P3000）；其上游的开标环节同样有章可循——开标会议组织与管理、开标记录与公示、开标过程异议处理、开标现场纪律管理四项被指南列为程序规范（P3000）。尺的红线：评标标准执行不一致（P3000）与上海暴露的澄清标准不一（P3001）同源，救济通道是异议与投诉——上海正是因投诉增多才启动规则修订（P3001）。手与果的红线：干预操控与结果不公（P3000）对应的现场防线是评审全程留痕（录音录像）加交易中心的即时报告义务（P3002）；细则将选聘、抽取、考核、解聘及监督全链条纳入规范（P3002），意味着对专家个人的处理不再止于个案通报，而是与其库内身份的动态管理直接挂钩。</w:t>
      </w:r>
    </w:p>
    <w:p>
      <w:r>
        <w:rPr>
          <w:rFonts w:ascii="Calibri" w:hAnsi="Calibri" w:eastAsia="微软雅黑"/>
          <w:b w:val="0"/>
          <w:i w:val="0"/>
          <w:sz w:val="22"/>
        </w:rPr>
        <w:t>对投标人而言，这张清单同时是抗辩地图：评审现场的组成瑕疵、标准漂移或程序干预，都可能经异议投诉程序转化为中标结果的重新安排；技术标澄清环节则是设计完成度偏低的EPC投标文件最需要投入表达的战场——澄清既是招标人优化方案的通道，也是投标人事后主张程序失范的证据源（P3001）。开标一端的会议组织、记录与公示、异议处理同样载入指南的程序规范（P3000），与评审留痕串成完整证据链；企业合规部门对开标记录、澄清往来、评审公示三类文件的归档，应置于同一管理台账之下。指南还点明总承包招投标"多招合一"的综合性与"一招多随"的连带性（P3000）——评审因此须同时校验设计、采购、施工多重响应，单一施工标的的评审经验不可平移套用。违规专家面对的也不止个案通报，考核记分与解聘程序均系于库内动态管理（P3002）。</w:t>
      </w:r>
    </w:p>
    <w:p>
      <w:pPr>
        <w:pStyle w:val="Heading2"/>
      </w:pPr>
      <w:r>
        <w:t>本章要点</w:t>
      </w:r>
    </w:p>
    <w:p>
      <w:pPr>
        <w:pStyle w:val="ListBullet"/>
      </w:pPr>
      <w:r>
        <w:rPr>
          <w:rFonts w:ascii="Calibri" w:hAnsi="Calibri" w:eastAsia="微软雅黑"/>
          <w:b w:val="0"/>
          <w:i w:val="0"/>
          <w:sz w:val="22"/>
        </w:rPr>
        <w:t>判断一地评标监管强度，先查专家库管理文件的牵头部门与生效日期：江苏样本为省数据局牵头、2026年6月15日印发（P3002）。</w:t>
      </w:r>
    </w:p>
    <w:p>
      <w:pPr>
        <w:pStyle w:val="ListBullet"/>
      </w:pPr>
      <w:r>
        <w:rPr>
          <w:rFonts w:ascii="Calibri" w:hAnsi="Calibri" w:eastAsia="微软雅黑"/>
          <w:b w:val="0"/>
          <w:i w:val="0"/>
          <w:sz w:val="22"/>
        </w:rPr>
        <w:t>评审现场不存在"内部操作"空间：交易中心对评审全程录音录像，违规行为直接进入向监督部门的报告线（P3002），程序瑕疵留痕即证据。</w:t>
      </w:r>
    </w:p>
    <w:p>
      <w:pPr>
        <w:pStyle w:val="ListBullet"/>
      </w:pPr>
      <w:r>
        <w:rPr>
          <w:rFonts w:ascii="Calibri" w:hAnsi="Calibri" w:eastAsia="微软雅黑"/>
          <w:b w:val="0"/>
          <w:i w:val="0"/>
          <w:sz w:val="22"/>
        </w:rPr>
        <w:t>上海2026版办法自2026年11月1日施行并同步废止2024版（P3001），在沪投标企业须按"澄清低价法＋综合评标法"双路径重排投标策略。</w:t>
      </w:r>
    </w:p>
    <w:p>
      <w:pPr>
        <w:pStyle w:val="ListBullet"/>
      </w:pPr>
      <w:r>
        <w:rPr>
          <w:rFonts w:ascii="Calibri" w:hAnsi="Calibri" w:eastAsia="微软雅黑"/>
          <w:b w:val="0"/>
          <w:i w:val="0"/>
          <w:sz w:val="22"/>
        </w:rPr>
        <w:t>澄清环节的失范形态是"过程模糊、标准不一"（P3001），它同时构成异议投诉的事由与企业抗辩的支点。</w:t>
      </w:r>
    </w:p>
    <w:p>
      <w:pPr>
        <w:pStyle w:val="ListBullet"/>
      </w:pPr>
      <w:r>
        <w:rPr>
          <w:rFonts w:ascii="Calibri" w:hAnsi="Calibri" w:eastAsia="微软雅黑"/>
          <w:b w:val="0"/>
          <w:i w:val="0"/>
          <w:sz w:val="22"/>
        </w:rPr>
        <w:t>EPC投标文件的图纸深度按"中标后深化施工图设计"的评审逻辑配置（P3001）：设计完成度低本身不是缺陷，澄清应对能力才是分水岭。</w:t>
      </w:r>
    </w:p>
    <w:p>
      <w:pPr>
        <w:pStyle w:val="ListBullet"/>
      </w:pPr>
      <w:r>
        <w:rPr>
          <w:rFonts w:ascii="Calibri" w:hAnsi="Calibri" w:eastAsia="微软雅黑"/>
          <w:b w:val="0"/>
          <w:i w:val="0"/>
          <w:sz w:val="22"/>
        </w:rPr>
        <w:t>评标合规自查沿"人、尺、手、果"四轴展开：组成合规、标准一致、过程无干预、结果可复核（P3000）。</w:t>
      </w:r>
    </w:p>
    <w:p>
      <w:r>
        <w:rPr>
          <w:rFonts w:ascii="Calibri" w:hAnsi="Calibri" w:eastAsia="微软雅黑"/>
          <w:b w:val="0"/>
          <w:i w:val="0"/>
          <w:sz w:val="22"/>
        </w:rPr>
        <w:t>---</w:t>
      </w:r>
    </w:p>
    <w:p>
      <w:pPr>
        <w:pStyle w:val="Heading1"/>
      </w:pPr>
      <w:r>
        <w:t>第4章 电子招投标与数字化平台合规</w:t>
      </w:r>
    </w:p>
    <w:p>
      <w:pPr>
        <w:ind w:left="454"/>
      </w:pPr>
      <w:r>
        <w:rPr>
          <w:rFonts w:ascii="Calibri" w:hAnsi="Calibri" w:eastAsia="微软雅黑"/>
          <w:b/>
          <w:i w:val="0"/>
          <w:color w:val="666666"/>
          <w:sz w:val="22"/>
        </w:rPr>
        <w:t>三态</w:t>
      </w:r>
      <w:r>
        <w:rPr>
          <w:rFonts w:ascii="Calibri" w:hAnsi="Calibri" w:eastAsia="微软雅黑"/>
          <w:b w:val="0"/>
          <w:i w:val="0"/>
          <w:color w:val="666666"/>
          <w:sz w:val="22"/>
        </w:rPr>
        <w:t>：[精编]</w:t>
      </w:r>
    </w:p>
    <w:p>
      <w:r>
        <w:rPr>
          <w:rFonts w:ascii="Calibri" w:hAnsi="Calibri" w:eastAsia="微软雅黑"/>
          <w:b w:val="0"/>
          <w:i w:val="0"/>
          <w:sz w:val="22"/>
        </w:rPr>
        <w:t>电子化已是工程总承包项目交易的主通道，不是备选通道。本章按制度、平台入口、交易链路、在线监管、数字化交付五段展开，所引数字与条款均出自入库源文，供合规、法务与经营岗直接对照使用。</w:t>
      </w:r>
    </w:p>
    <w:p>
      <w:pPr>
        <w:pStyle w:val="Heading2"/>
      </w:pPr>
      <w:r>
        <w:t>4.1 制度底盘：一部办法、三类平台与两张时间表</w:t>
      </w:r>
    </w:p>
    <w:p>
      <w:r>
        <w:rPr>
          <w:rFonts w:ascii="Calibri" w:hAnsi="Calibri" w:eastAsia="微软雅黑"/>
          <w:b w:val="0"/>
          <w:i w:val="0"/>
          <w:sz w:val="22"/>
        </w:rPr>
        <w:t>电子招投标的法律身份由《电子招标投标办法》确定：国家发展改革委、工业和信息化部、监察部、住房城乡建设部、交通运输部、铁道部、水利部、商务部八部门联合制定，2013年2月4日发布，2013年5月1日起施行 [P4029]。办法立了两条界碑。第一，以数据电文形式完成的招标投标活动，与纸质形式的活动具有同等法律效力 [P4029]——线上递交的投标文件、澄清承诺与纸质签章文件效果相同，"系统卡顿""上传失败"不会当然免责，留痕与备份责任落在投标人自己身上。第二，电子招标投标系统按功能分为交易平台、公共服务平台、行政监督平台三类：交易平台承载交易活动，公共服务平台承担平台间信息交换与资源共享，行政监督平台供行政监督部门和监察机关在线监督，中国招标投标公共服务平台居于根平台位置 [P4029]。</w:t>
      </w:r>
    </w:p>
    <w:p>
      <w:r>
        <w:rPr>
          <w:rFonts w:ascii="Calibri" w:hAnsi="Calibri" w:eastAsia="微软雅黑"/>
          <w:b w:val="0"/>
          <w:i w:val="0"/>
          <w:sz w:val="22"/>
        </w:rPr>
        <w:t>平台整合的节奏由国务院文件划定。国办发〔2015〕63号（2015年8月印发）把分散设立的工程建设项目招标投标、土地使用权和矿业权出让、国有产权交易、政府采购四类平台纳入整合，设定两个节点：2016年6月底前地方各级政府基本完成平台整合；2017年6月底前在全国形成规则统一、公开透明、服务高效、监督规范的公共资源交易平台体系，基本实现交易全过程电子化 [P4026]。层级以设区的市级以上地方政府为主，县级政府不再新设平台，已设立的原则上整合为市级平台的分支机构 [P4026]。同一文件要求制定国家电子交易公共服务系统技术标准和数据规范，中央管理企业电子招标采购交易系统应与国家电子交易公共服务系统连接并按规定交换信息——央企自建平台并非法外之地，接入与数据上报是硬性义务 [P4026]。文件还按全国统一的专业分类标准整合评标评审专家资源，并写入"有条件的地方要积极推广专家远程异地评标、评审"，这是远程异地评标在国家级政策中的首次出场 [P4026]。组织保障见国办函〔2015〕156号（2015年12月29日）：发展改革委牵头，财政部、国土资源部、环境保护部、商务部、卫生计生委、国资委、税务总局、林业局、国管局、铁路局、民航局连同工业和信息化部、住房城乡建设部、交通运输部、水利部共16个部门组成联席会议，原则上每年召开一次全体会议 [P4026]。</w:t>
      </w:r>
    </w:p>
    <w:p>
      <w:r>
        <w:rPr>
          <w:rFonts w:ascii="Calibri" w:hAnsi="Calibri" w:eastAsia="微软雅黑"/>
          <w:b w:val="0"/>
          <w:i w:val="0"/>
          <w:sz w:val="22"/>
        </w:rPr>
        <w:t>部门规章层面，《公共资源交易平台管理暂行办法》（国家发展改革委等14部门令第39号）2016年6月24日签发、2016年8月1日施行，第三条把平台定义为实施统一制度和标准、具备开放共享的公共资源交易电子服务系统和规范透明运行机制的综合服务体系，第二十三条要求国家电子服务系统与省级系统及有关部门电子系统互联互通，实现市场主体信息、交易信息、行政监管信息集中交换和同步共享 [P4026]。代理机构维度的新规是《工程建设项目招标代理机构管理暂行办法》（六部门令第34号，国家发改委会同工业和信息化部、住房城乡建设部、交通运输部、水利部、农业农村部联合印发），全国公共资源交易平台2025年10月30日刊发解读，定位为落实《政府工作报告》关于改革完善招标投标体制机制的部署要求 [P4011]。</w:t>
      </w:r>
    </w:p>
    <w:p>
      <w:pPr>
        <w:pStyle w:val="Heading2"/>
      </w:pPr>
      <w:r>
        <w:t>4.2 平台入口合规：登录体系、CA互认与电子保函</w:t>
      </w:r>
    </w:p>
    <w:p>
      <w:r>
        <w:rPr>
          <w:rFonts w:ascii="Calibri" w:hAnsi="Calibri" w:eastAsia="微软雅黑"/>
          <w:b w:val="0"/>
          <w:i w:val="0"/>
          <w:sz w:val="22"/>
        </w:rPr>
        <w:t>投标人与平台的第一接触点是身份认证。山西省公共资源交易平台把全国移动CA互认、互认APP清单、互认APP费用限额、全省介质CA互认设为独立栏目，与电子保函服务、进场交易证明、交易市场主体库并列公示 [P4031]。清单式公开的含义是：跨省投标时用哪款互认APP、收费是否越过限额，都属于可直接核对的合规事项，而非平台方的自由裁量；经营岗在异地投标前应先查清单，避免临时办证误了截止时间。</w:t>
      </w:r>
    </w:p>
    <w:p>
      <w:r>
        <w:rPr>
          <w:rFonts w:ascii="Calibri" w:hAnsi="Calibri" w:eastAsia="微软雅黑"/>
          <w:b w:val="0"/>
          <w:i w:val="0"/>
          <w:sz w:val="22"/>
        </w:rPr>
        <w:t>入口体系呈现多轨并存。新疆阿克苏地区公共资源电子招投标系统设交易中心、监督部门、交易主体、电子保函平台、不见面开标大厅、开标评标系统六类登录口，同时接入随行易交易(新疆)电子招标投标交易平台这一第三方通道，并配套操作手册与招标人操作手册 [P4028]。央企自建平台同样对外：中化商务电子招投标平台分设招标/预审/变更、评标结果/中标结果、非招标采购公告三类公告栏，2024年12月3日开通评标专家库在线申请通道，2023年10月16日发布投标人入口迁移公告 [P4023]。市场化运营的必联网提供电子招投标、供应商、CA证书三个服务入口，聚合核心供应商、招标机构、专家库查询，页面公示投标投诉电话010-58851111转8672、客服400-0606-000 [P4018]。</w:t>
      </w:r>
    </w:p>
    <w:p>
      <w:r>
        <w:rPr>
          <w:rFonts w:ascii="Calibri" w:hAnsi="Calibri" w:eastAsia="微软雅黑"/>
          <w:b w:val="0"/>
          <w:i w:val="0"/>
          <w:sz w:val="22"/>
        </w:rPr>
        <w:t>保证金一侧，阿克苏2026年9月4日挂出关于清退投标保证金的通知 [P4028]。清退是投标人的权利、平台的义务，公告本身即证明清退已进入常态化治理；对逾期未退的项目，投标人可持同类公告直接主张权利，而不必等待逐一催办。</w:t>
      </w:r>
    </w:p>
    <w:p>
      <w:pPr>
        <w:pStyle w:val="Heading2"/>
      </w:pPr>
      <w:r>
        <w:t>4.3 全流程电子化交易：三个项目的完整链路</w:t>
      </w:r>
    </w:p>
    <w:p>
      <w:r>
        <w:rPr>
          <w:rFonts w:ascii="Calibri" w:hAnsi="Calibri" w:eastAsia="微软雅黑"/>
          <w:b w:val="0"/>
          <w:i w:val="0"/>
          <w:sz w:val="22"/>
        </w:rPr>
        <w:t>看一个房建样本。中国科学技术大学少年班学院楼施工总承包，招标编号2026AFAGZ50842，2026年8月5日发布招标公告、8月27日开标，采用全流程电子化交易方式 [P4021]。项目由中国科学技术大学与合肥市重点工程建设管理局共同作为招标人，国华工程科技（集团）有限责任公司担任招标代理，综合评估法评标，资格后审，不接受联合体投标 [P4021]。规模口径：总建筑面积约59980平方米，地上33620平方米、地下26360平方米 [own_calc:26360÷59980≈43.9%]，建筑高度55米；合同估算价约40000万元，最高投标限价37299.74万元，含暂列金额1700万元；计划工期1080日历天，计划开工2026年9月10日 [P4021]。对投标人的提示在于：全流程电子化项目中，公告、文件、开标、评标的时间戳全部由平台记录，8月5日到8月27日之间 [own_calc:27-5=22天] 的每一步操作都不可回改，异议与投诉应以平台留痕为准。</w:t>
      </w:r>
    </w:p>
    <w:p>
      <w:r>
        <w:rPr>
          <w:rFonts w:ascii="Calibri" w:hAnsi="Calibri" w:eastAsia="微软雅黑"/>
          <w:b w:val="0"/>
          <w:i w:val="0"/>
          <w:sz w:val="22"/>
        </w:rPr>
        <w:t>再看一个能源EPC样本。晋北采煤沉陷区新能源基地光伏场区建设项目EPC工程总承包（招标编号JNA181-ZB-250312641，001标段对应170万千瓦光伏发电项目新荣东39万千瓦光伏场区），中标候选人公示自2025年3月30日10:00至2025年4月2日10:00 [own_calc:4月2日-3月30日=3日]，信息来源为山西省招标投标公共服务平台 [P4031]。三家候选人报价：中国电建集团西北勘测设计研究院有限公司563194800元、中国能源建设集团云南省电力设计院有限公司537638941.88元、中国能源建设集团江苏省电力设计院有限公司597687080元，最高与最低相差 [own_calc:597687080-537638941.88=60048138.12元]；三家均承诺获得"国家优质工程奖（金奖）"或"中国安装之星奖（中国安装工程优质奖）"，计划开工2025年3月31日、竣工2026年12月31日 [P4031]。公示还逐一列出项目负责人的注册证书编号与安全生产考核合格证书编号——电子公示把个人执业资格置于公开可查状态，挂证与证岗不符在公示期内就会被比对出来。</w:t>
      </w:r>
    </w:p>
    <w:p>
      <w:r>
        <w:rPr>
          <w:rFonts w:ascii="Calibri" w:hAnsi="Calibri" w:eastAsia="微软雅黑"/>
          <w:b w:val="0"/>
          <w:i w:val="0"/>
          <w:sz w:val="22"/>
        </w:rPr>
        <w:t>非招标方式同样搬到线上。中化商务平台2026年4月17日公示北银理财2026年中证行情服务采购项目单一来源采购，预算46.5万元，公示期限2026年4月17日至4月24日共计5个工作日，论证专家为张爱恭、梁松、郑佳；潜在供应商提异议须提交营业执照复印件、法定代表人授权书、单位情况介绍等书面材料 [P4023]。</w:t>
      </w:r>
    </w:p>
    <w:p>
      <w:r>
        <w:rPr>
          <w:rFonts w:ascii="Calibri" w:hAnsi="Calibri" w:eastAsia="微软雅黑"/>
          <w:b w:val="0"/>
          <w:i w:val="0"/>
          <w:sz w:val="22"/>
        </w:rPr>
        <w:t>评标环节的两个新常态值得记录。其一，远程异地评标规模化：2025年云南省通过公共资源交易平台完成远程异地评标7936个项目；2026年5月，黄河古贤水利枢纽工程重大变动环境影响评价项目完成跨河南、陕西、山东三省的远程异地评标，为水利系统首例跨省实践 [P4029]。其二，机器介入：2026年4月7日湖南省生态环境厅印发《湖南省生态环境工程建设项目招标投标管理办法》，规定除涉密等特殊工程外一律实行全流程电子化招标投标，并推行"机器管招投标" [P4029]。对投标人来说，程序异议的对抗空间正在收窄，文件合规的权重相应上升。</w:t>
      </w:r>
    </w:p>
    <w:p>
      <w:pPr>
        <w:pStyle w:val="Heading2"/>
      </w:pPr>
      <w:r>
        <w:t>4.4 平台上的监管：考核公示、异常低价与人工智能评标</w:t>
      </w:r>
    </w:p>
    <w:p>
      <w:r>
        <w:rPr>
          <w:rFonts w:ascii="Calibri" w:hAnsi="Calibri" w:eastAsia="微软雅黑"/>
          <w:b w:val="0"/>
          <w:i w:val="0"/>
          <w:sz w:val="22"/>
        </w:rPr>
        <w:t>平台既是交易场所，也是监管仪表盘。阿克苏地区2026年秋的一串公告给出样本：9月16日公示8月份招标代理机构场内行为考核评价情况；9月11日公示水利工程评标分库专家不公正履职情况；9月4日发布清退投标保证金通知；8月21日 [own_calc:2026-08-21→8月21日] 一天之内同时通报评标专家不公正履职处置情况（地区农业农村局）与部分高标准农田建设项目参建单位违法违规行为 [P4028]。代理机构场内考核、专家履职公示、参建单位通报三类信息在同一门户滚动更新，意味着"进场行为"本身已成被评价对象，代理机构的选择失误会以考核公示的形式反噬招标人与投标人双方。</w:t>
      </w:r>
    </w:p>
    <w:p>
      <w:r>
        <w:rPr>
          <w:rFonts w:ascii="Calibri" w:hAnsi="Calibri" w:eastAsia="微软雅黑"/>
          <w:b w:val="0"/>
          <w:i w:val="0"/>
          <w:sz w:val="22"/>
        </w:rPr>
        <w:t>规则供给在同一门户可见。关于推动解决政府采购异常低价问题的通知发布于2026年4月15日；关于加快招标投标领域人工智能推广应用的实施意见发布于2026年3月5日；新疆维吾尔自治区人民政府办公厅2026年2月6日印发《新疆维吾尔自治区公共资源交易管理办法》；《工程建设项目招标代理机构管理暂行办法》与《全国建筑市场监管公共服务平台工程建设项目招标代理机构信息数据标准》的通知分别于2026年2月2日、2026年1月19日挂网 [P4028]。异常低价治理与人工智能推广并举，指向同一趋势：报价合理性审查与评标辅助正在由人工判断转向数据比对，投标准备阶段就应清理无法自证成本构成的价格。</w:t>
      </w:r>
    </w:p>
    <w:p>
      <w:r>
        <w:rPr>
          <w:rFonts w:ascii="Calibri" w:hAnsi="Calibri" w:eastAsia="微软雅黑"/>
          <w:b w:val="0"/>
          <w:i w:val="0"/>
          <w:sz w:val="22"/>
        </w:rPr>
        <w:t>监管数字化还延伸到履约端的材料溯源。广州市住建部门2025年1号文要求通过信息化手段采集所有建筑材料信息，实现缺陷建筑材料质量追溯；此前7月的专项执法抽检中，墙体材料检测数值多低于2.0，行业此前常以特制试压块送检 [P4019]。对总承包投标人，这类规则把"材料进场台账数字化"从管理选项变成监管接口，投标方案中的质量保证措施应预留可采集、可追溯的数据入口。</w:t>
      </w:r>
    </w:p>
    <w:p>
      <w:pPr>
        <w:pStyle w:val="Heading2"/>
      </w:pPr>
      <w:r>
        <w:t>4.5 数字化交付与BIM：从评标加分项到法定义务</w:t>
      </w:r>
    </w:p>
    <w:p>
      <w:r>
        <w:rPr>
          <w:rFonts w:ascii="Calibri" w:hAnsi="Calibri" w:eastAsia="微软雅黑"/>
          <w:b w:val="0"/>
          <w:i w:val="0"/>
          <w:sz w:val="22"/>
        </w:rPr>
        <w:t>BIM正在完成从投标加分项到法定义务的转身。住建部、国家档案局令第61号自9月1日施行，第十九条写明电子档案、建筑信息模型（BIM）等档案数字资源应当移交；移交滞后、与实不符的，进入信用归集并施以失信惩戒，竣工验收备案环节查验档案验收意见书 [P4034]。"应当移交"四个字把模型从宣传品变成法定交付物，与实体不符的模型不再是小瑕疵，而是信用瑕疵。</w:t>
      </w:r>
    </w:p>
    <w:p>
      <w:r>
        <w:rPr>
          <w:rFonts w:ascii="Calibri" w:hAnsi="Calibri" w:eastAsia="微软雅黑"/>
          <w:b w:val="0"/>
          <w:i w:val="0"/>
          <w:sz w:val="22"/>
        </w:rPr>
        <w:t>地方时间表已经排满。广西五部门9月30日印发实施意见，给出两档节点：2027年起重点类型全面应用，2029年起政府投资项目全过程应用；配套动作包括可研写BIM内容、概算列BIM费用、BIM业绩纳入评标、鼓励带模型招投标，并把"建设单位作为BIM应用第一责任主体"写入文件 [P4034]。同期上海7月20日推行BIM辅助综合竣工验收，新疆自7月1日起对1亿元以上或2万平方米以上的大型公建推行全生命周期应用，天津、安徽9月1日上线施工图BIM审查模块，广东9月发布智能建造技术目录并增至八大方向 [P4034]。国家层面，2026年4月国务院印发《关于推进服务业扩能提质的意见》（国发〔2026〕7号），BIM在城市信息模型平台、建筑信息模型技术应用一处与勘察设计监理全过程服务一处两度出现，广东、福建、深圳、浙江、青海、新疆6省市已出台强制或准强制政策，BIM费用由建设方买单 [P4003]。"业绩纳入评标"意味着数字化能力开始直接换算成商务得分，模型能力薄弱的企业将在资格审查与评分两个环节同时失分。</w:t>
      </w:r>
    </w:p>
    <w:p>
      <w:r>
        <w:rPr>
          <w:rFonts w:ascii="Calibri" w:hAnsi="Calibri" w:eastAsia="微软雅黑"/>
          <w:b w:val="0"/>
          <w:i w:val="0"/>
          <w:sz w:val="22"/>
        </w:rPr>
        <w:t>身份编码体系也在收紧。住建部与国家数据局联合印发的建办〔2026〕32号要求给全国近6亿栋房屋赋统一代码，新建、改建、扩建项目在施工许可获批前完成赋码落图，代码记载于电子施工许可证上，住宅赋码到套到户；2027年底前新建项目赋码落图全覆盖，2030年底前建成全生命周期高质量数据集 [P4002]。投标文件所指向的工程对象自此拥有全国唯一的数字身份，虚报业绩、张冠李戴的项目信息在代码体系下无处遁形。</w:t>
      </w:r>
    </w:p>
    <w:p>
      <w:r>
        <w:rPr>
          <w:rFonts w:ascii="Calibri" w:hAnsi="Calibri" w:eastAsia="微软雅黑"/>
          <w:b w:val="0"/>
          <w:i w:val="0"/>
          <w:sz w:val="22"/>
        </w:rPr>
        <w:t>出海投标另有一套硬约束。ISO 19650系列共6部标准，海外业主在招标时或任命前发出EIR，写明需要什么信息、什么格式、什么时候交、谁负责审；投标方须以BEP应答，说明用什么软件、怎么分工、质量如何控制，再把任务拆解为各专业团队的TIDP并由主被任命方汇总成MIDP总表 [P4004]。该体系对CDE（公共数据环境）提出明确技术要求：每个文件有唯一标识符、被分配状态标签、状态转换记录留痕、权限控制到文件级别、全程审计可追踪 [P4006]。现行2018/2020版仍有效，Part 1与Part 2修订草案已于2026年3月10日发布，新版预计2027年生效，修订方向是把设计与施工、运维两套流程合并为统一的9步信息管理流程 [P4007]。更硬的是合同条款：海外项目中所有项目信息必须在CDE内流转，任何未经授权的外传视为违约——分包商把模型传微信群，就可能直接触发违约责任 [P4009]。国内练兵时就要按CDE规则管理文件状态与权限，出海时才不必推倒重来。</w:t>
      </w:r>
    </w:p>
    <w:p>
      <w:pPr>
        <w:pStyle w:val="Heading2"/>
      </w:pPr>
      <w:r>
        <w:t>本章要点</w:t>
      </w:r>
    </w:p>
    <w:p>
      <w:pPr>
        <w:pStyle w:val="ListBullet"/>
      </w:pPr>
      <w:r>
        <w:rPr>
          <w:rFonts w:ascii="Calibri" w:hAnsi="Calibri" w:eastAsia="微软雅黑"/>
          <w:b w:val="0"/>
          <w:i w:val="0"/>
          <w:sz w:val="22"/>
        </w:rPr>
        <w:t>判断一个平台能否承载本项目，核三件事：是否属于国家、省、市三级互联互通的电子服务系统，央企自建交易系统是否已与国家电子交易公共服务系统连接并交换信息，县级新建平台一律不合法 [P4026]。</w:t>
      </w:r>
    </w:p>
    <w:p>
      <w:pPr>
        <w:pStyle w:val="ListBullet"/>
      </w:pPr>
      <w:r>
        <w:rPr>
          <w:rFonts w:ascii="Calibri" w:hAnsi="Calibri" w:eastAsia="微软雅黑"/>
          <w:b w:val="0"/>
          <w:i w:val="0"/>
          <w:sz w:val="22"/>
        </w:rPr>
        <w:t>异地投标先查山西式互认APP清单与费用限额，CA证书费用超限、办理受阻即可持公示栏目投诉，不必与平台方口头交涉 [P4031]。</w:t>
      </w:r>
    </w:p>
    <w:p>
      <w:pPr>
        <w:pStyle w:val="ListBullet"/>
      </w:pPr>
      <w:r>
        <w:rPr>
          <w:rFonts w:ascii="Calibri" w:hAnsi="Calibri" w:eastAsia="微软雅黑"/>
          <w:b w:val="0"/>
          <w:i w:val="0"/>
          <w:sz w:val="22"/>
        </w:rPr>
        <w:t>投标保证金逾期未退，参照阿克苏2026年9月4日清退通知类公告直接书面主张；远程异地评标已成常规（云南2025年7936个项目），程序异议空间收窄，文件质量是唯一可控变量 [P4028][P4029]。</w:t>
      </w:r>
    </w:p>
    <w:p>
      <w:pPr>
        <w:pStyle w:val="ListBullet"/>
      </w:pPr>
      <w:r>
        <w:rPr>
          <w:rFonts w:ascii="Calibri" w:hAnsi="Calibri" w:eastAsia="微软雅黑"/>
          <w:b w:val="0"/>
          <w:i w:val="0"/>
          <w:sz w:val="22"/>
        </w:rPr>
        <w:t>电子公示等于公开比对：晋北光伏EPC公示期仅3日，报价、项目负责人注册编号、质量奖承诺全部上屏，证岗不符与异常报价在公示期内即暴露，投标前自查应覆盖到个人证书层面 [P4031]。</w:t>
      </w:r>
    </w:p>
    <w:p>
      <w:pPr>
        <w:pStyle w:val="ListBullet"/>
      </w:pPr>
      <w:r>
        <w:rPr>
          <w:rFonts w:ascii="Calibri" w:hAnsi="Calibri" w:eastAsia="微软雅黑"/>
          <w:b w:val="0"/>
          <w:i w:val="0"/>
          <w:sz w:val="22"/>
        </w:rPr>
        <w:t>数字化交付按61号令第十九条"应当移交"执行，BIM业绩纳入评标（广西）、施工图BIM审查（天津、安徽）与一房一码（2027年底新建全覆盖）三线并进，2027年前应把模型生产能力写进投标组织设计 [P4034][P4002]。</w:t>
      </w:r>
    </w:p>
    <w:p>
      <w:pPr>
        <w:pStyle w:val="ListBullet"/>
      </w:pPr>
      <w:r>
        <w:rPr>
          <w:rFonts w:ascii="Calibri" w:hAnsi="Calibri" w:eastAsia="微软雅黑"/>
          <w:b w:val="0"/>
          <w:i w:val="0"/>
          <w:sz w:val="22"/>
        </w:rPr>
        <w:t>海外EPC投标先核对EIR再编BEP，全程锁定CDE，任何模型外传微信群的行为按违约处置，分包合同须同步写入信息流转限制条款 [P4004][P4009]。</w:t>
      </w:r>
    </w:p>
    <w:p>
      <w:r>
        <w:rPr>
          <w:rFonts w:ascii="Calibri" w:hAnsi="Calibri" w:eastAsia="微软雅黑"/>
          <w:b w:val="0"/>
          <w:i w:val="0"/>
          <w:sz w:val="22"/>
        </w:rPr>
        <w:t>---</w:t>
      </w:r>
    </w:p>
    <w:p>
      <w:pPr>
        <w:pStyle w:val="Heading1"/>
      </w:pPr>
      <w:r>
        <w:t>第5章 围标串标与恶性竞争：识别、认定与处罚</w:t>
      </w:r>
    </w:p>
    <w:p>
      <w:pPr>
        <w:ind w:left="454"/>
      </w:pPr>
      <w:r>
        <w:rPr>
          <w:rFonts w:ascii="Calibri" w:hAnsi="Calibri" w:eastAsia="微软雅黑"/>
          <w:b/>
          <w:i w:val="0"/>
          <w:color w:val="666666"/>
          <w:sz w:val="22"/>
        </w:rPr>
        <w:t>三态</w:t>
      </w:r>
      <w:r>
        <w:rPr>
          <w:rFonts w:ascii="Calibri" w:hAnsi="Calibri" w:eastAsia="微软雅黑"/>
          <w:b w:val="0"/>
          <w:i w:val="0"/>
          <w:color w:val="666666"/>
          <w:sz w:val="22"/>
        </w:rPr>
        <w:t>：[精编]</w:t>
      </w:r>
    </w:p>
    <w:p>
      <w:r>
        <w:rPr>
          <w:rFonts w:ascii="Calibri" w:hAnsi="Calibri" w:eastAsia="微软雅黑"/>
          <w:b w:val="0"/>
          <w:i w:val="0"/>
          <w:sz w:val="22"/>
        </w:rPr>
        <w:t>围标串标正从圈子里的不成文惯例变成被系统追责的违法犯罪。2026年10月，中央纪委国家监委驻交通运输部纪检监察组发文，部署严查虚假招标、围标串标、靠标吃标，该组工作人员已赴平陆运河等重大交通运输工程调研督导 [P5001]。审计侧同步收网：全国20个省份集中公布2025年度预算执行审计报告，仅四川省本级及31个市县就有135个政府采购项目、1.63亿元资金被查出投标方涉嫌围串标，同一批人注册多家公司轮流陪标、轮流中标 [P5008]。本章按概念边界、产业链解剖、识别认定、行政处罚、刑事追责五段展开，所引数字与条款均出自入库源文，供合规、法务与经营岗直接对照自查。</w:t>
      </w:r>
    </w:p>
    <w:p>
      <w:pPr>
        <w:pStyle w:val="Heading2"/>
      </w:pPr>
      <w:r>
        <w:t>5.1 概念边界：口语里的三个词，法条上只有"串通投标"</w:t>
      </w:r>
    </w:p>
    <w:p>
      <w:r>
        <w:rPr>
          <w:rFonts w:ascii="Calibri" w:hAnsi="Calibri" w:eastAsia="微软雅黑"/>
          <w:b w:val="0"/>
          <w:i w:val="0"/>
          <w:sz w:val="22"/>
        </w:rPr>
        <w:t>串标是串通投标的简称，其在政府采购领域的规范含义规定于《政府采购货物和服务招标投标管理办法》；刑法第二百二十三条设串通投标罪：投标人相互串通投标报价，损害招标人或者其他投标人利益，情节严重的，处三年以下有期徒刑或者拘役，并处或者单处罚金 [P5023]。围标的本义是组团投标——所有组团成员投出价格的平均数（算术平均值）与某成员的投标价接近或相同，帮助该成员中标；它多见于设标底（主要是复合标底）的工程建设项目，在政府采购中并不常见，且不属于政府采购法规体系中部门规章以上制度文件界定的违法行为 [P5023]。这一定性常被拿来当护身符，但组团本身就是串通报价的组织形式，借三家公司是犯罪，借一百三十家还是犯罪 [P5033]。陪标多见于政府采购项目，部分场景是为凑足开标所需的3家合格供应商、避免项目流标，初心或含保障采购效率之意，性质仍属不规范的投标响应行为 [P5023]——监管与司法不承认友情出演，安徽一家灌区项目的处罚里，组织者与陪标企业一并领罚 [P5021]。</w:t>
      </w:r>
    </w:p>
    <w:p>
      <w:r>
        <w:rPr>
          <w:rFonts w:ascii="Calibri" w:hAnsi="Calibri" w:eastAsia="微软雅黑"/>
          <w:b w:val="0"/>
          <w:i w:val="0"/>
          <w:sz w:val="22"/>
        </w:rPr>
        <w:t>法条主轴有三根。《招标投标法》第五十三条禁止投标人相互串通投标报价、排挤公平竞争，并禁止招标人与投标人串通投标 [P5019]；《招标投标法实施条例》第四十条列出六种视为投标人相互串通投标的情形，把证明责任前移到行为表征本身 [P5019]；《政府采购法》第七十七条与《刑法》第二百二十三条分别承接行政、刑事两级责任 [P5019]。对企业的要求由此明确：内部制度、投标承诺与对外答复中删掉"围一下""陪个标"这类口语，全部按串通投标的风险等级管理。</w:t>
      </w:r>
    </w:p>
    <w:p>
      <w:pPr>
        <w:pStyle w:val="Heading2"/>
      </w:pPr>
      <w:r>
        <w:t>5.2 产业链解剖：一个19岁联系人与30亿元串标网</w:t>
      </w:r>
    </w:p>
    <w:p>
      <w:r>
        <w:rPr>
          <w:rFonts w:ascii="Calibri" w:hAnsi="Calibri" w:eastAsia="微软雅黑"/>
          <w:b w:val="0"/>
          <w:i w:val="0"/>
          <w:sz w:val="22"/>
        </w:rPr>
        <w:t>2026年9月19日央广网披露的湖南南县案，把职业陪标产业链完整摊开 [P5000]。案情横跨5省、串通投标191个项目、涉案30亿元，团伙非法牟利200余万元 [P5000][P5012]。破绽出在最不起眼的位置：2023年4月，益阳市南县经侦大队核查线索时发现，5家资质独立、看似无关的建筑企业扎堆投标湖南多地公路、水利项目，预留的投标联系人却指向同一个人，且这几家所投项目全部中标 [P5013][P5000]。联系人彭天明时年19岁、初中学历，2020年7月入职长沙一家建筑公司做招投标资料整理，一年多经手投标110多次 [P5000]。办案民警的判读一针见血：正规市场里投标人员隶属单一企业，一人管多家企业投标权限还同步中标，违背行业常理 [P5018]——前台是谁无所谓，这个岗位不需要专业能力，只需要一个按指令刷CA锁、传标书的人 [P5018]。</w:t>
      </w:r>
    </w:p>
    <w:p>
      <w:r>
        <w:rPr>
          <w:rFonts w:ascii="Calibri" w:hAnsi="Calibri" w:eastAsia="微软雅黑"/>
          <w:b w:val="0"/>
          <w:i w:val="0"/>
          <w:sz w:val="22"/>
        </w:rPr>
        <w:t>真正的操盘者是老板刘伟鹏。2020年他从山西一家建筑公司辞职回湖南，拉上彭程、彭飞、李萌，四人各出2万元、各占股25%，专门做陪标生意，其供述直白："我们从来不靠自己中标，赚的只是陪标好处" [P5000]。货源靠借壳：通过合作联营、挂靠、承包掌控8家省内外建筑企业的经营权，其中含具备正规一级、二级投标资质的企业，营业执照、资质证书、人员证件全套留存，批量出租投标身份 [P5000][P5013]。</w:t>
      </w:r>
    </w:p>
    <w:p>
      <w:r>
        <w:rPr>
          <w:rFonts w:ascii="Calibri" w:hAnsi="Calibri" w:eastAsia="微软雅黑"/>
          <w:b w:val="0"/>
          <w:i w:val="0"/>
          <w:sz w:val="22"/>
        </w:rPr>
        <w:t>单笔交易的报价编排看南县某公路工程A标段：2021年11月招标，总标价2200万元、12家企业投标 [P5000]。操盘人张超系一家建设公司业务经营部部长，从业18年、手握投标决策权，逐一联系省内7家最强同行，开出"开标后每家给2万元资质使用费"的条件请其退出；标前预备会上又冒出4家省外企业，张超让高中同学刘路去打点，刘路实谈成3家却谎报4家全妥，收取3万元协调费；刘路再对接刘伟鹏团队，用1.6万元说定山西、安徽两家陪标并把报价下浮限制在13%以内，另花8000元请贵州一家配合 [P5000]。当年12月开标，张超公司以1942万余元中标 [own_calc:(2200−1942)÷2200≈11.7%下浮]，事后按人头结账：7家省内企业各2万元、刘路3万元 [P5000]。撬动这单的串通成本不足20万元 [P5018]。更深的口子在代理环节——招标代理郭庆在招标文件公示前把初稿送到张超办公室，并修改部分评分规则；标书是真实的，流程是完整的，公示是合规的，问题全部藏在流程之外 [P5012]。</w:t>
      </w:r>
    </w:p>
    <w:p>
      <w:r>
        <w:rPr>
          <w:rFonts w:ascii="Calibri" w:hAnsi="Calibri" w:eastAsia="微软雅黑"/>
          <w:b w:val="0"/>
          <w:i w:val="0"/>
          <w:sz w:val="22"/>
        </w:rPr>
        <w:t>这门生意有土壤。记者调研发现，各县市90%以上的中小型基建、市政养护项目集中在5至15家本地企业手中，实际控制人常年固定，"常客中标、新人绝迹" [P5012]；一名在上海常年做陪标的人把逻辑说透：真正的高手不追求单场赢面，算的是长期存活率，一年靠一单，够养家 [P5012]。行政罚款的刻度也解释了冒险冲动：《招标投标法》第五十三条给行政罚款设的顶是中标额千分之五到千分之十，中铁上海工程局一起串通投标被罚117.09万元、占中标额0.65%，已在区间偏上位 [P5018][P5035]。真正的代价在刑事端：该案11名犯罪嫌疑人已被移送检察机关审查起诉，尚未宣判 [P5000]。治理端的回应同样来自湖南——2025年2月起试运行"机器管招投标"后，单个项目平均投标家数从14.4家涨到42.5家，民企中标率从73.65%升至82% [P5018][P5035]。</w:t>
      </w:r>
    </w:p>
    <w:p>
      <w:pPr>
        <w:pStyle w:val="Heading2"/>
      </w:pPr>
      <w:r>
        <w:t>5.3 识别与认定：六种视为情形与五类电子铁证</w:t>
      </w:r>
    </w:p>
    <w:p>
      <w:r>
        <w:rPr>
          <w:rFonts w:ascii="Calibri" w:hAnsi="Calibri" w:eastAsia="微软雅黑"/>
          <w:b w:val="0"/>
          <w:i w:val="0"/>
          <w:sz w:val="22"/>
        </w:rPr>
        <w:t>认定的核心条文是《招标投标法实施条例》第四十条，六种情形一经出现即视为投标人相互串通投标：不同投标人的投标文件由同一单位或个人编制；委托同一单位或个人办理投标事宜；投标文件载明的项目管理成员为同一人；投标文件异常一致或投标报价呈规律性差异；投标文件相互混装；投标保证金从同一单位或个人的账户转出 [P5019]。电子环境下，这份清单被技术痕迹大幅扩容。网络与设备层：上传IP地址相同（异地公司IP一致尤甚）、MAC地址与CPU、硬盘序列号一致、同一WiFi内多公司同时报名下载上传，两家以上一致且无合理解释即认定 [P5019]；计价软件加密锁号、CA数字证书、电子签名设备同源，同一台电脑创建、修改、保存标书都会在元数据里留下作者与时间 [P5019][P5024]。文件层：技术标连续文字重复≥30字、字体行距页眉页码格式完全趋同；错别字、漏项、公式错误完全一致属铁证，实质性内容两处以上细节错误一致直接否决投标 [P5019]。</w:t>
      </w:r>
    </w:p>
    <w:p>
      <w:r>
        <w:rPr>
          <w:rFonts w:ascii="Calibri" w:hAnsi="Calibri" w:eastAsia="微软雅黑"/>
          <w:b w:val="0"/>
          <w:i w:val="0"/>
          <w:sz w:val="22"/>
        </w:rPr>
        <w:t>行为与资金层另有刻画。报价呈等差、等比或固定系数差排列，尾数高度一致或刻意一高一低梯次掩护；保证金从同一单位、个人或关联账户汇出，银行流水一查即穿 [P5024]。人员与主体层：授权代表、联系人、项目负责人、高管、社保缴纳单位相互重叠，电话邮箱地址多家相同，股东与办公地址高度关联 [P5019][P5025]。现场层：多家企业长期捆绑投标且中标单位长期固定、开标时集中弃标或放弃澄清、招标文件本身设排他性倾向性条款为特定投标人量身定做 [P5025]。地方规则更硬：电子招投标办法下IP、MAC、机器码、计价锁号一致可直接认定串标，福建、安徽、甘肃等地明确同一设备或网络制作多份标书即废标并移送监管 [P5019]；徐州市住建局在城市轨道交通6号线项目中以IP雷同定案，机器码、加密锁号、IP雷同已成定案铁证 [P5029]。企业端还需留意物证形态的变化：江西崇仁案中，5家陪标公司把"新点锁"（投标文件加密上传工具）交给操盘人，等于把投标身份整体出借 [P5034]。</w:t>
      </w:r>
    </w:p>
    <w:p>
      <w:r>
        <w:rPr>
          <w:rFonts w:ascii="Calibri" w:hAnsi="Calibri" w:eastAsia="微软雅黑"/>
          <w:b w:val="0"/>
          <w:i w:val="0"/>
          <w:sz w:val="22"/>
        </w:rPr>
        <w:t>监管工具还在升级。建市规〔2026〕2号文推行"人工智能+招投标监管"，报价雷同、IP一致、文件同源等着手特征由大数据自动识别；不少地方公共资源交易平台已上线围串标预警模型，对投标文件相似度、报价规律、保证金来源、制作机器码自动比对，异常直接推送监管部门——过去靠举报翻账，现在是数据先报警 [P5033][P5021]。行刑衔接随之打通：招投标行政监督部门发现的线索移送公安机关，行政调查阶段收集的报价数据、投标文件、资金流水可直接充作刑事证据，许多案件并非警方主动侦破，而是监管部门"快递"上门 [P5033]。</w:t>
      </w:r>
    </w:p>
    <w:p>
      <w:pPr>
        <w:pStyle w:val="Heading2"/>
      </w:pPr>
      <w:r>
        <w:t>5.4 行政处罚：罚款刻度、裁量档位与资格禁入</w:t>
      </w:r>
    </w:p>
    <w:p>
      <w:r>
        <w:rPr>
          <w:rFonts w:ascii="Calibri" w:hAnsi="Calibri" w:eastAsia="微软雅黑"/>
          <w:b w:val="0"/>
          <w:i w:val="0"/>
          <w:sz w:val="22"/>
        </w:rPr>
        <w:t>行政端的罚则口径在新疆维吾尔自治区发展改革委与公安厅2026年9月29日联合发布的典型案例中得到完整复述：串通投标中标无效，处中标项目金额千分之五以上千分之十以下罚款，对直接负责的主管人员及其他直接责任人员处单位罚款数额百分之五以上百分之十以下罚款；政府采购领域可列入不良行为记录名单，一到三年内禁止参加政府采购活动 [P5029][P5030]。</w:t>
      </w:r>
    </w:p>
    <w:p>
      <w:r>
        <w:rPr>
          <w:rFonts w:ascii="Calibri" w:hAnsi="Calibri" w:eastAsia="微软雅黑"/>
          <w:b w:val="0"/>
          <w:i w:val="0"/>
          <w:sz w:val="22"/>
        </w:rPr>
        <w:t>落到个案，刻度清晰。安徽某灌区项目2024年4月招标，一家水利公司总经理周某组织多家单位压低投标报价、影响评标基准价，中标价8040万元；2024年5月周某被逮捕，2026年2月处罚落地，24家企业一家未漏、合计罚款1157.76万元，按中标价折算平均每家约48万元，处罚比例到千分之六左右，接近法定上限 [P5021]。江西崇仁县存量房保障性租赁住房改造工程（一期）合同价款9997458.50元，实际控制人高磊开标前与四川帝威等5家公司负责人达成协议，动用6家资质投标，标书制作与报价系数全部由高磊确定，另5家仅提供新点锁配合，最终四川帝威中标；住建部门对牵头公司罚款79980元 [own_calc:9997458.50×0.8%≈79979.7元，与决定书79980元吻合]、对主管人员万林罚款6399元（公司罚款的8%），适用江西省裁量基准中"以串通投标行为谋取中标的，处中标项目金额千分之七以上千分之十以下罚款"档位 [P5034]。贵州天柱县某农贸市场配套产业建设EPC项目中标价213.85万元，因项目经理在建、虚假承诺骗取中标，天柱县综合行政执法局依据《招标投标法》第三十三条、第五十四条与《实施条例》第六十八条，对两家公司各处罚款10693.00元 [own_calc:213.85万×5‰=10692.5元，与处罚10693元吻合]，主要责任人各罚535.00元（公司罚款的5%），项目作废标处理、重新招标 [P5005]。</w:t>
      </w:r>
    </w:p>
    <w:p>
      <w:r>
        <w:rPr>
          <w:rFonts w:ascii="Calibri" w:hAnsi="Calibri" w:eastAsia="微软雅黑"/>
          <w:b w:val="0"/>
          <w:i w:val="0"/>
          <w:sz w:val="22"/>
        </w:rPr>
        <w:t>罚款之外，禁入与信用惩戒的杀伤更持久。军队采购网2026年9月11日挂出两则暂停处理信息：山东捷诺医疗工程股份有限公司、日照爱信医疗设备有限公司因围标串标被暂停参加联勤保障部队范围物资工程服务采购活动资格，处理同步连坐到人——两家公司的法定代表人（田录彬、鲁守源）及其控股或管理的其他企业、授权代表（李翠超、何彦杰）一并禁入，不得代理其他供应商参与相应范围军采 [P5017]。山东捷诺并非初犯：2024年4月已因串通投标被空军后勤部采购供应局禁止3年内参加空军范围全部产品类别采购 [P5017]。信用体系层面，建市〔2017〕241号确立建筑市场主体黑名单"谁处罚、谁列入"，转包、出借资质受行政处罚等情形在列，管理期限自列入之日起1年，不良信用信息公开6个月至3年且不得低于行政处罚期限 [P5031]。处罚记录接入信用中国、行业监管平台与招投标系统后，后续资格审查、信用评分、银行授信都会受牵连，有的地方限制投标一两年，损失远超罚款本身 [P5021]。</w:t>
      </w:r>
    </w:p>
    <w:p>
      <w:pPr>
        <w:pStyle w:val="Heading2"/>
      </w:pPr>
      <w:r>
        <w:t>5.5 刑事追责：追诉门槛、判例刻度与两本账</w:t>
      </w:r>
    </w:p>
    <w:p>
      <w:r>
        <w:rPr>
          <w:rFonts w:ascii="Calibri" w:hAnsi="Calibri" w:eastAsia="微软雅黑"/>
          <w:b w:val="0"/>
          <w:i w:val="0"/>
          <w:sz w:val="22"/>
        </w:rPr>
        <w:t>串通投标罪的追诉标准有明文口径。新疆通报复述的立案追诉条件为：造成直接经济损失50万元以上、违法所得20万元以上、中标项目金额400万元以上、采取威胁欺骗贿赂手段，或二年内因串通投标受过二次以上行政处罚又串通投标 [P5029][P5030]。实务文章另引一套更低门槛——直接经济损失50万元以上、违法所得10万元以上、中标项目金额200万元以上，满足其一即予追诉 [P5033]。两处信源口径不一，企业自查应按更低的200万元、10万元执行：一个中等规模的市政项目即轻松越过200万元，多数帮朋友凑个数的行为从动手那天起就在刑事红线之内 [P5033]。</w:t>
      </w:r>
    </w:p>
    <w:p>
      <w:r>
        <w:rPr>
          <w:rFonts w:ascii="Calibri" w:hAnsi="Calibri" w:eastAsia="微软雅黑"/>
          <w:b w:val="0"/>
          <w:i w:val="0"/>
          <w:sz w:val="22"/>
        </w:rPr>
        <w:t>已决与在办案件的量刑刻度可作参照。新疆首案中，王某、盛某、李某、雷某等自2019年12月至2023年10月合伙成立建设工程公司，组织全国60余家公司围标并贿赂评标专家，中标后将项目打包卖出或违规转包，中标金额合计14.59亿余元，2024年8月31日疏勒县人民法院以串通投标罪、对非国家工作人员行贿罪数罪并罚 [P5029]；霍某团伙对43个高标准农田、公路、市政项目围标，中标5.68亿余元，被以串通投标罪、寻衅滋事罪、伪造国家机关印章罪等数罪并罚 [P5029]；路某、蒋某案中标合计6745万余元，张某检测车采购项目投标人、招标人、代理机构三方共谋以6395万元中标，伊犁某部门负责人赵某与投标人马某在高标准农田项目中串通、马某组织多家公司围标以705万余元中标，2026年1月昭苏县人民法院判处两人有期徒刑并处罚金 [P5029]。福建省高级人民法院与省发改委2026年1月联合发布3起典型案例，覆盖工程建设、公共健康、生态水利领域 [P5030]。更直观的规律是陪标团越大、刑期越长：西藏陈某某借多家公司资质围标5个市政项目获刑10个月并处罚金60万元；芜湖戴某借用130余家公司围标，多人获刑；湖北姜某某等四名股东借十余家公司围标5000万元项目全部获刑 [P5033]。</w:t>
      </w:r>
    </w:p>
    <w:p>
      <w:r>
        <w:rPr>
          <w:rFonts w:ascii="Calibri" w:hAnsi="Calibri" w:eastAsia="微软雅黑"/>
          <w:b w:val="0"/>
          <w:i w:val="0"/>
          <w:sz w:val="22"/>
        </w:rPr>
        <w:t>刑事程序走不完，行政账照样算。崇仁案的程序链一环未断：2026年6月17日住建局收到检察机关检察意见书，6月22日立案，8月13日事先告知，9月14日处罚决定书落款（崇住建罚决〔2026〕016号），9月18日官网公开 [P5034]；违法事实认定直接引用《检察意见书》（崇检刑行意〔2026〕17号）与《不起诉决定书》（崇检刑行不诉〔2026〕29号） [P5034]。检察院不起诉只了结刑事一本账，按刑行衔接机制，线索经检察意见书移送行政机关后处罚照落地 [P5034]。南县案中，被雇来的彭天明年满18岁、属完全刑事责任能力人，"只领工资""不懂法"不影响定罪，作为从犯同样被追诉 [P5018]——从操盘者、居间人、出借资质的企业到经办的投标员，链条上没有免责位置。</w:t>
      </w:r>
    </w:p>
    <w:p>
      <w:pPr>
        <w:pStyle w:val="Heading2"/>
      </w:pPr>
      <w:r>
        <w:t>本章要点</w:t>
      </w:r>
    </w:p>
    <w:p>
      <w:pPr>
        <w:pStyle w:val="ListBullet"/>
      </w:pPr>
      <w:r>
        <w:rPr>
          <w:rFonts w:ascii="Calibri" w:hAnsi="Calibri" w:eastAsia="微软雅黑"/>
          <w:b w:val="0"/>
          <w:i w:val="0"/>
          <w:sz w:val="22"/>
        </w:rPr>
        <w:t>对内对外统一按"串通投标"管理风险：围标（组团投标）与陪标在部门规章层面未必单列为违法，但串通报价坐实即按串通投标追责，安徽24家案中组织者与陪标企业一并受罚 [P5023][P5021]。</w:t>
      </w:r>
    </w:p>
    <w:p>
      <w:pPr>
        <w:pStyle w:val="ListBullet"/>
      </w:pPr>
      <w:r>
        <w:rPr>
          <w:rFonts w:ascii="Calibri" w:hAnsi="Calibri" w:eastAsia="微软雅黑"/>
          <w:b w:val="0"/>
          <w:i w:val="0"/>
          <w:sz w:val="22"/>
        </w:rPr>
        <w:t>项目金额是第一道刑事红线：中标项目金额200万元（实务引述口径）或400万元（新疆通报口径）即达追诉线，自查按更低的200万元执行，凑数、出借资质均计入 [P5033][P5029]。</w:t>
      </w:r>
    </w:p>
    <w:p>
      <w:pPr>
        <w:pStyle w:val="ListBullet"/>
      </w:pPr>
      <w:r>
        <w:rPr>
          <w:rFonts w:ascii="Calibri" w:hAnsi="Calibri" w:eastAsia="微软雅黑"/>
          <w:b w:val="0"/>
          <w:i w:val="0"/>
          <w:sz w:val="22"/>
        </w:rPr>
        <w:t>四样东西永不外借：新点锁与CA锁、保证金账户、标书制作设备、投标联系通道——交出任何一样等于交出投标身份，电子痕迹会替监管完成指认 [P5034][P5019]。</w:t>
      </w:r>
    </w:p>
    <w:p>
      <w:pPr>
        <w:pStyle w:val="ListBullet"/>
      </w:pPr>
      <w:r>
        <w:rPr>
          <w:rFonts w:ascii="Calibri" w:hAnsi="Calibri" w:eastAsia="微软雅黑"/>
          <w:b w:val="0"/>
          <w:i w:val="0"/>
          <w:sz w:val="22"/>
        </w:rPr>
        <w:t>罚则双轨执行：单位按中标金额5‰—10‰、直接责任人员按单位罚款5%—10%；检察机关不起诉不等于免责，崇仁案在收到检察意见书后93天 [own_calc:6月17日—9月18日=13+31+31+18=93天] 内完成行政处罚全流程 [P5029][P5034]。</w:t>
      </w:r>
    </w:p>
    <w:p>
      <w:pPr>
        <w:pStyle w:val="ListBullet"/>
      </w:pPr>
      <w:r>
        <w:rPr>
          <w:rFonts w:ascii="Calibri" w:hAnsi="Calibri" w:eastAsia="微软雅黑"/>
          <w:b w:val="0"/>
          <w:i w:val="0"/>
          <w:sz w:val="22"/>
        </w:rPr>
        <w:t>认定证据已机器化：IP、机器码、计价锁号一致可直接认定串标，福建、安徽、甘肃对同一设备制标废标并移送；建市规〔2026〕2号后报价雷同由系统自动预警，标书独立制作、资金路径留痕、投标前关联方筛查是三张保命底牌 [P5019][P5033][P5021]。</w:t>
      </w:r>
    </w:p>
    <w:p>
      <w:pPr>
        <w:pStyle w:val="ListBullet"/>
      </w:pPr>
      <w:r>
        <w:rPr>
          <w:rFonts w:ascii="Calibri" w:hAnsi="Calibri" w:eastAsia="微软雅黑"/>
          <w:b w:val="0"/>
          <w:i w:val="0"/>
          <w:sz w:val="22"/>
        </w:rPr>
        <w:t>禁入连人连企：军采资格暂停同步覆盖法定代表人及其关联企业与授权代表，建筑市场黑名单管理期1年、不良信息公示6个月至3年，资质出借方与借用方同进名单 [P5017][P5031]。</w:t>
      </w:r>
    </w:p>
    <w:p>
      <w:pPr>
        <w:pStyle w:val="Heading2"/>
      </w:pPr>
      <w:r>
        <w:t>本章源增补</w:t>
      </w:r>
    </w:p>
    <w:p>
      <w:pPr>
        <w:pStyle w:val="ListBullet"/>
      </w:pPr>
      <w:r>
        <w:rPr>
          <w:rFonts w:ascii="Calibri" w:hAnsi="Calibri" w:eastAsia="微软雅黑"/>
          <w:b w:val="0"/>
          <w:i w:val="0"/>
          <w:sz w:val="22"/>
        </w:rPr>
        <w:t>P5035 建策解码《19岁、初中文化、没干过一天工程：他凭什么经手110次投标？》：E:\AI-Station\data\rss_harvest\articles\2026-10-11\建策解码_19岁、初中文化、没干过一天工程：他凭什么经手110次投标？-8f2c7fa4.md——补锚 5.2 节「117.09万元」「14.4家」二数字，并将平均投标家数涨幅口径精确为源文的「42.5家」。</w:t>
      </w:r>
    </w:p>
    <w:p>
      <w:r>
        <w:rPr>
          <w:rFonts w:ascii="Calibri" w:hAnsi="Calibri" w:eastAsia="微软雅黑"/>
          <w:b w:val="0"/>
          <w:i w:val="0"/>
          <w:sz w:val="22"/>
        </w:rPr>
        <w:t>---</w:t>
      </w:r>
    </w:p>
    <w:p>
      <w:pPr>
        <w:pStyle w:val="Heading1"/>
      </w:pPr>
      <w:r>
        <w:t>第6章 资质与准入：企业资格、人员资质改革动向</w:t>
      </w:r>
    </w:p>
    <w:p>
      <w:pPr>
        <w:ind w:left="454"/>
      </w:pPr>
      <w:r>
        <w:rPr>
          <w:rFonts w:ascii="Calibri" w:hAnsi="Calibri" w:eastAsia="微软雅黑"/>
          <w:b/>
          <w:i w:val="0"/>
          <w:color w:val="666666"/>
          <w:sz w:val="22"/>
        </w:rPr>
        <w:t>三态</w:t>
      </w:r>
      <w:r>
        <w:rPr>
          <w:rFonts w:ascii="Calibri" w:hAnsi="Calibri" w:eastAsia="微软雅黑"/>
          <w:b w:val="0"/>
          <w:i w:val="0"/>
          <w:color w:val="666666"/>
          <w:sz w:val="22"/>
        </w:rPr>
        <w:t>：[精编]</w:t>
      </w:r>
    </w:p>
    <w:p>
      <w:r>
        <w:rPr>
          <w:rFonts w:ascii="Calibri" w:hAnsi="Calibri" w:eastAsia="微软雅黑"/>
          <w:b w:val="0"/>
          <w:i w:val="0"/>
          <w:sz w:val="22"/>
        </w:rPr>
        <w:t>工程总承包市场没有一张名为"工程总承包资质"的证书：企业凭勘察、设计或施工总承包资质入场，人员凭注册执业资格与职称梯队支撑岗位。这条"企业资格+人员资质"双轨准入规则，在2026年前后同时迎来司法解释重典（法释〔2026〕12号）、部门规章修订（应急管理部令第23号）与行政法规升级（国务院令第837号）三股收紧力量。本章沿企业资格、资质等级、出借资质红线、人员执业、跨境准入五层展开，供经营与法务岗位逐层自查。</w:t>
      </w:r>
    </w:p>
    <w:p>
      <w:pPr>
        <w:pStyle w:val="Heading2"/>
      </w:pPr>
      <w:r>
        <w:t>6.1 企业资格准入的制度基座：不设总承包资质，凭勘察设计施工资质入场</w:t>
      </w:r>
    </w:p>
    <w:p>
      <w:r>
        <w:rPr>
          <w:rFonts w:ascii="Calibri" w:hAnsi="Calibri" w:eastAsia="微软雅黑"/>
          <w:b w:val="0"/>
          <w:i w:val="0"/>
          <w:sz w:val="22"/>
        </w:rPr>
        <w:t>现行准入框架的起点是2003年的一份复函。《国务院关于取消第一批行政审批项目的决定》（国发〔2002〕24号）取消工程总承包资格核准行政审批后，建设部建筑市场监管司于2003年7月13日印发《关于工程总承包市场准入问题说明的函》（建市函〔2003〕161号），收文对象为江苏省建设厅、上海市建委，明确两条规则：其一，《工程总承包资格证书》废止之后，对从事工程总承包业务的企业不专门设立工程总承包资质；其二，具有工程勘察、设计或施工总承包资质的企业，可以在其资质等级许可的工程项目范围内开展工程总承包业务（P6027）。该函以中国寰球工程公司为例划出边界——可在其工程设计资质证书许可的工程项目范围内开展工程总承包业务，但工程的施工应由具有相应施工承包资质的企业承担（P6027）。设计资质可以撬开总承包投标的大门，施工环节的资质仍须单独落地，这正是EPC项目联合体结构与分包合规审查的原点。</w:t>
      </w:r>
    </w:p>
    <w:p>
      <w:r>
        <w:rPr>
          <w:rFonts w:ascii="Calibri" w:hAnsi="Calibri" w:eastAsia="微软雅黑"/>
          <w:b w:val="0"/>
          <w:i w:val="0"/>
          <w:sz w:val="22"/>
        </w:rPr>
        <w:t>制度层面的衔接规范，按《工程总承包招投标合规工作指南》大纲梳理，包括《招标投标法》及其实施条例、《必须招标的工程项目规定》（国家发改委第16号令）与《房屋建筑和市政基础设施项目工程总承包管理办法》（P6000/P6002）。同一大纲把"资格预审条件设置不当"列为招标阶段常见合规风险，把"资质挂靠与借用""虚假承诺与材料造假"列为投标阶段风险，并在投标阶段专设"资质管理与挂靠风险防范"条目（P6000）。资格预审的程序节点与时间要求，见第2章。</w:t>
      </w:r>
    </w:p>
    <w:p>
      <w:r>
        <w:rPr>
          <w:rFonts w:ascii="Calibri" w:hAnsi="Calibri" w:eastAsia="微软雅黑"/>
          <w:b w:val="0"/>
          <w:i w:val="0"/>
          <w:sz w:val="22"/>
        </w:rPr>
        <w:t>企业侧样本可以中机国际为参照：这家创建于1951年、前身为机械工业部第八设计研究院的长沙企业，持有机械、建筑、市政、军工、冶金、轻纺、风景园林、环境工程8个行业甲级设计资质，叠加市政公用工程施工总承包一级与环保工程专业承包一级，多年上榜ENR/《建筑时报》"中国工程设计企业60强"；2400余名员工中拥有国家注册师及高级专家700余人，主/参编国家与行业技术标准规范240余项，还主编《低压配电技术标准》（GB/T 50054-2025）并启动中译英工作（P6005）。"多行业甲级设计+施工总承包一级+专业承包一级"的资质组合，就是设计院身份企业在总承包市场投标的资格底盘。华昕设计集团的深度研究亦把"资质牌照的合规根基"列为设计院转型EPC报告的开篇课题（P6004）。</w:t>
      </w:r>
    </w:p>
    <w:p>
      <w:pPr>
        <w:pStyle w:val="Heading2"/>
      </w:pPr>
      <w:r>
        <w:t>6.2 资质等级的投标杠杆：冶金与电力"二升一"硬指标对照</w:t>
      </w:r>
    </w:p>
    <w:p>
      <w:r>
        <w:rPr>
          <w:rFonts w:ascii="Calibri" w:hAnsi="Calibri" w:eastAsia="微软雅黑"/>
          <w:b w:val="0"/>
          <w:i w:val="0"/>
          <w:sz w:val="22"/>
        </w:rPr>
        <w:t>资质等级直接划定可投项目边界，冶金与电力两个专业的"二级升一级"标准给出了可核验的量化样本。</w:t>
      </w:r>
    </w:p>
    <w:p>
      <w:r>
        <w:rPr>
          <w:rFonts w:ascii="Calibri" w:hAnsi="Calibri" w:eastAsia="微软雅黑"/>
          <w:b w:val="0"/>
          <w:i w:val="0"/>
          <w:sz w:val="22"/>
        </w:rPr>
        <w:t>冶金工程：二级资质要求净资产4000万元以上（P6036），机电工程、矿业工程专业一级注册建造师合计不少于7人（其中机电工程专业不少于5人），承接范围为中小型冶金工程施工；一级资质要求净资产1亿元以上，一级注册建造师合计不少于15人（机电工程专业不少于10人），技术负责人须有15年以上工程施工技术管理经历并具冶金工程相关专业高级职称，冶金工程相关专业中级以上职称人员不少于80人，持岗位证书的施工现场管理人员不少于50人，中级工以上技术工人不少于150人（P6036），取得后可承担各类冶金工程施工，打开大型高炉、转炉、轧钢、大型有色冶炼、大型制氧、水泥、浮法玻璃等重工业项目投标通道（P6023）。</w:t>
      </w:r>
    </w:p>
    <w:p>
      <w:r>
        <w:rPr>
          <w:rFonts w:ascii="Calibri" w:hAnsi="Calibri" w:eastAsia="微软雅黑"/>
          <w:b w:val="0"/>
          <w:i w:val="0"/>
          <w:sz w:val="22"/>
        </w:rPr>
        <w:t>电力工程（依据住建部《建筑业企业资质标准》，建市〔2014〕159号）：二级资质净资产4000万元以上、机电工程专业一级注册建造师不少于10人，仅可承担单机容量20万千瓦以下发电工程、220千伏以下送电线路和相同电压等级变电站工程；一级资质净资产1亿元以上、机电工程专业一级注册建造师不少于15人，技术负责人须有10年以上工程施工技术管理经历并具电力工程相关专业高级职称，电力工程相关专业中级以上职称人员不少于60人，中级工以上技术工人不少于150人，且近5年内须承担5类工程中2类及以上工程施工；取得后可承接各类发电工程、各种电压等级送电线路与变电站工程，电力相关专业覆盖热能动力、水能动力、电力系统及其自动化、高电压、输配电、新能源等（P6024）。</w:t>
      </w:r>
    </w:p>
    <w:p>
      <w:r>
        <w:rPr>
          <w:rFonts w:ascii="Calibri" w:hAnsi="Calibri" w:eastAsia="微软雅黑"/>
          <w:b w:val="0"/>
          <w:i w:val="0"/>
          <w:sz w:val="22"/>
        </w:rPr>
        <w:t>两专业对照可见门槛跳升幅度：一级净资产均为1亿元，较二级的4000万元提高6000万元、增幅150% [own_calc：（10000−4000）÷4000=150%]；冶金一级注册建造师合计门槛由7人增至15人，净增8人、增幅约114% [own_calc：15−7=8；8÷7≈114%]，其中机电专业由5人增至10人、恰为2倍 [own_calc：10÷5=2]；电力一级建造师门槛由10人增至15人、净增5人 [own_calc：15−10=5]。</w:t>
      </w:r>
    </w:p>
    <w:p>
      <w:r>
        <w:rPr>
          <w:rFonts w:ascii="Calibri" w:hAnsi="Calibri" w:eastAsia="微软雅黑"/>
          <w:b w:val="0"/>
          <w:i w:val="0"/>
          <w:sz w:val="22"/>
        </w:rPr>
        <w:t>评审口径同样具体：资质审查重点核验业绩真实性、"四库一平台"入库信息、人员社保与企业信用记录（P6023/P6024）；全部申报人员社保须为本单位连续缴纳、杜绝人证分离；净资产以申请资质前一年度或当期合法财务报表、审计报告数据为准，申报前短期突击增资并不可取（P6023）。</w:t>
      </w:r>
    </w:p>
    <w:p>
      <w:pPr>
        <w:pStyle w:val="Heading2"/>
      </w:pPr>
      <w:r>
        <w:t>6.3 出借资质的司法重典：法释〔2026〕12号第三条</w:t>
      </w:r>
    </w:p>
    <w:p>
      <w:r>
        <w:rPr>
          <w:rFonts w:ascii="Calibri" w:hAnsi="Calibri" w:eastAsia="微软雅黑"/>
          <w:b w:val="0"/>
          <w:i w:val="0"/>
          <w:sz w:val="22"/>
        </w:rPr>
        <w:t>2026年6月29日，最高人民法院发布《关于审理建设工程施工合同纠纷案件适用法律问题的解释（二）》（法释〔2026〕12号），次日即6月30日施行，第三条对建筑市场长期存在的出借资质行为（俗称"挂靠"）作出系统规制（P6014）。同一篇解析由建纬杭州办公室工程总承包中心主任黄克海律师主笔，在2026年8月28日至9月17日间经建纬大连、杭州、福州、济南四地账号分发（P6014—P6017）。最高人民法院陈宜芳庭长在答记者问中概括其危害：出借资质的建筑施工企业"只出'名'、不干'活'、还收费"，直接破坏建筑法规定的从业资质制度，危及建设工程质量（P6014）。</w:t>
      </w:r>
    </w:p>
    <w:p>
      <w:r>
        <w:rPr>
          <w:rFonts w:ascii="Calibri" w:hAnsi="Calibri" w:eastAsia="微软雅黑"/>
          <w:b w:val="0"/>
          <w:i w:val="0"/>
          <w:sz w:val="22"/>
        </w:rPr>
        <w:t>第三条分两款，规范逻辑分三层（P6014/P6015）：</w:t>
      </w:r>
    </w:p>
    <w:p>
      <w:pPr>
        <w:pStyle w:val="ListBullet"/>
      </w:pPr>
      <w:r>
        <w:rPr>
          <w:rFonts w:ascii="Calibri" w:hAnsi="Calibri" w:eastAsia="微软雅黑"/>
          <w:b/>
          <w:i w:val="0"/>
          <w:sz w:val="22"/>
        </w:rPr>
        <w:t>合同无效</w:t>
      </w:r>
      <w:r>
        <w:rPr>
          <w:rFonts w:ascii="Calibri" w:hAnsi="Calibri" w:eastAsia="微软雅黑"/>
          <w:b w:val="0"/>
          <w:i w:val="0"/>
          <w:sz w:val="22"/>
        </w:rPr>
        <w:t>——第一款第一句："建筑施工企业出借资质或者以其他方式允许他人以本企业名义承揽工程，人民法院应当认定出借资质、允许使用本企业名义的合同无效。"此处合同指资质借用协议（挂靠协议），无论名为"内部承包协议""合作经营协议""项目责任书"抑或"加盟协议"，实质为出借资质的均应认定无效。</w:t>
      </w:r>
    </w:p>
    <w:p>
      <w:pPr>
        <w:pStyle w:val="ListBullet"/>
      </w:pPr>
      <w:r>
        <w:rPr>
          <w:rFonts w:ascii="Calibri" w:hAnsi="Calibri" w:eastAsia="微软雅黑"/>
          <w:b/>
          <w:i w:val="0"/>
          <w:sz w:val="22"/>
        </w:rPr>
        <w:t>费用否定</w:t>
      </w:r>
      <w:r>
        <w:rPr>
          <w:rFonts w:ascii="Calibri" w:hAnsi="Calibri" w:eastAsia="微软雅黑"/>
          <w:b w:val="0"/>
          <w:i w:val="0"/>
          <w:sz w:val="22"/>
        </w:rPr>
        <w:t>——第一款第二句："建筑施工企业主张约定的资质借用费、使用费的，人民法院不予支持。"出借方连以"管理费"名义约定的收益也无从主张。</w:t>
      </w:r>
    </w:p>
    <w:p>
      <w:pPr>
        <w:pStyle w:val="ListBullet"/>
      </w:pPr>
      <w:r>
        <w:rPr>
          <w:rFonts w:ascii="Calibri" w:hAnsi="Calibri" w:eastAsia="微软雅黑"/>
          <w:b/>
          <w:i w:val="0"/>
          <w:sz w:val="22"/>
        </w:rPr>
        <w:t>折价补偿</w:t>
      </w:r>
      <w:r>
        <w:rPr>
          <w:rFonts w:ascii="Calibri" w:hAnsi="Calibri" w:eastAsia="微软雅黑"/>
          <w:b w:val="0"/>
          <w:i w:val="0"/>
          <w:sz w:val="22"/>
        </w:rPr>
        <w:t>——第三层处理借用方已完工程的折价补偿问题，与"合同无效—费用否定—折价补偿"的三层规范结构闭合。</w:t>
      </w:r>
    </w:p>
    <w:p>
      <w:r>
        <w:rPr>
          <w:rFonts w:ascii="Calibri" w:hAnsi="Calibri" w:eastAsia="微软雅黑"/>
          <w:b w:val="0"/>
          <w:i w:val="0"/>
          <w:sz w:val="22"/>
        </w:rPr>
        <w:t>第三条并非孤立条款，它与第四条（挂靠人直诉发包人）、第五条（表见代理）、第七条（代位权）、第二十二条（违法线索移送）形成完整制度链条（P6014）。工程总承包（EPC）模式下，因设计、采购、施工一体化，挂靠呈现出与传统施工总承包不同的形态和风险，第三条的适用尤需区分（P6014）——例如以设计院名义中标后将施工整体交由无相应资质主体操盘的安排，同样可能落入出借资质的评价射程。</w:t>
      </w:r>
    </w:p>
    <w:p>
      <w:pPr>
        <w:pStyle w:val="Heading2"/>
      </w:pPr>
      <w:r>
        <w:t>6.4 "资质出租"产业链样本：南县30亿串标案与机器管招投标</w:t>
      </w:r>
    </w:p>
    <w:p>
      <w:r>
        <w:rPr>
          <w:rFonts w:ascii="Calibri" w:hAnsi="Calibri" w:eastAsia="微软雅黑"/>
          <w:b w:val="0"/>
          <w:i w:val="0"/>
          <w:sz w:val="22"/>
        </w:rPr>
        <w:t>把出借资质放到市场末端，就是一条按次计费的出租链。湖南益阳南县查处的案件披露：19岁的彭某，初中学历、无工程从业经历，同时挂名5家建筑企业的投标联系人，经手投标110多次；案件最终牵出横跨5省、串通投标191个项目、涉案30亿元的串标网络，11人被移送检察机关审查起诉（P6025）。折算均案涉案金额约1571万元 [own_calc：30亿元=300000万元；300000万元÷191个≈1571万元/个]。</w:t>
      </w:r>
    </w:p>
    <w:p>
      <w:r>
        <w:rPr>
          <w:rFonts w:ascii="Calibri" w:hAnsi="Calibri" w:eastAsia="微软雅黑"/>
          <w:b w:val="0"/>
          <w:i w:val="0"/>
          <w:sz w:val="22"/>
        </w:rPr>
        <w:t>操作细节同样出自该案通报：南县一处2200万元公路工程A标段，12家企业投标，某有18年从业经历、握有投标决策权的业务经营部部长不拼方案与报价，直接向省内7家最强同行开出"开标后每家给2万元资质使用费"请其退出，居间人把报价卡在"既保证中标、又不触预警"的区间，最终以1942万元中标，事成后按人头发钱、一家2万元（P6025）——中标价较标段金额下浮约11.7% [own_calc：（2200−1942）÷2200≈11.7%]。幕后操盘者刘伟鹏2020年从山西一家建筑公司辞职回湘，与三人各出2万元、各占股25%组建专职陪标团伙，自述"我们从来不靠自己中标，赚的只是陪标好处"，并借借壳、挂靠、承包方式掌控8家省内外建筑企业经营权（P6025）。资质与持证人、真实业绩彻底脱钩，是这类链条的共性病灶；围标串标的识别指标与处罚依据见第5章。</w:t>
      </w:r>
    </w:p>
    <w:p>
      <w:r>
        <w:rPr>
          <w:rFonts w:ascii="Calibri" w:hAnsi="Calibri" w:eastAsia="微软雅黑"/>
          <w:b w:val="0"/>
          <w:i w:val="0"/>
          <w:sz w:val="22"/>
        </w:rPr>
        <w:t>监管侧的回应已经落地：2026年9月3日起，湖南停用原工程招投标交易系统，新项目统一进入"机器管招投标"，投标全程留痕、标书同源自动预警；湖南还分三批公示串标企业，前两批50家被信用记零分，两年内不得参与省内依法必须招标项目的投标（P6025）。靠人盯不住的"凑家数"生意，正在被数据盯住。</w:t>
      </w:r>
    </w:p>
    <w:p>
      <w:pPr>
        <w:pStyle w:val="Heading2"/>
      </w:pPr>
      <w:r>
        <w:t>6.5 从业人员资质改革动向：考试门槛、配备标准与复合化</w:t>
      </w:r>
    </w:p>
    <w:p>
      <w:r>
        <w:rPr>
          <w:rFonts w:ascii="Calibri" w:hAnsi="Calibri" w:eastAsia="微软雅黑"/>
          <w:b w:val="0"/>
          <w:i w:val="0"/>
          <w:sz w:val="22"/>
        </w:rPr>
        <w:t>企业资质的每一格都要由注册人员填满，人员端2026年有三条可核验动向。</w:t>
      </w:r>
    </w:p>
    <w:p>
      <w:r>
        <w:rPr>
          <w:rFonts w:ascii="Calibri" w:hAnsi="Calibri" w:eastAsia="微软雅黑"/>
          <w:b w:val="0"/>
          <w:i w:val="0"/>
          <w:sz w:val="22"/>
        </w:rPr>
        <w:t>其一，一级造价工程师的考试与报考门槛。人社部办公厅《关于2026年度专业技术人员职业资格考试工作计划及有关事项的通知》确定2026年度一级造价工程师考试于10月17日、18日举行（P6020）。报名条件按学历分层：工程造价专业大学专科学历、从事工程造价或工程管理业务满4年，土木建筑、水利、装备制造、交通运输、电子信息、财经商贸大类大专满5年；工程造价专业或通过工程教育专业评估（认证）的工程管理专业本科满3年，工学、管理学、经济学门类本科满4年；相应门类硕士学位或第二学士学位满2年；博士学位可直接报考；其他专业相应学历人员的年限相应增加1年（P6020）。考试不限专业，但要考核从事造价业务的工作年限，部分省市在考后抽查社保（P6020）——社保核查正把"挂证"空间压缩到与资质评审同一口径。二级造价工程师仍按省级组织，湖北省人事考试网2025年2月发布当年考试工作通知（P6012），福建省住建厅官网2025年6月发布一级造价工程师报考简章（P6001），报考节点需按属地通知逐省跟踪。</w:t>
      </w:r>
    </w:p>
    <w:p>
      <w:r>
        <w:rPr>
          <w:rFonts w:ascii="Calibri" w:hAnsi="Calibri" w:eastAsia="微软雅黑"/>
          <w:b w:val="0"/>
          <w:i w:val="0"/>
          <w:sz w:val="22"/>
        </w:rPr>
        <w:t>其二，专业技术服务领域的人员配备标准抬高。应急管理部令第23号于2026年9月18日公布，修订后的《社会消防技术服务管理规定》自2027年1月1日起施行（该规定2021年9月13日由应急管理部令第7号首次公布）（P6018/P6019）。新规要求：从事消防设施维护保养检测的机构，注册消防工程师不少于4人（其中一级不少于2人）、消防设施操作员不少于8人（中级技能等级以上不少于2人）、工作场所建筑面积不少于200平方米；承担单体建筑面积5万平方米以上商业综合体，或同时具有火灾自动报警系统、2种以上自动灭火系统、防烟排烟系统场所的，一级注册消防工程师不少于6人、操作员不少于10人（中级以上不少于4人、高级以上不少于1人）。从事消防安全评估的机构，注册消防工程师不少于4人（一级不少于2人）、操作员不少于2人、场所不少于100平方米；对应大型场所的一级注册消防工程师门槛亦为不少于6人、操作员不少于4人（中级以上不少于2人）（P6018/P6019）。大型场所把一级注册消防工程师要求从基础档的2人抬到6人、为3倍 [own_calc：6÷2=3]，行业媒体直接以"资质要求新规落地，人员配备翻倍"为题提示机构补员压力（P6018/P6019）。EPC投标文件若涉及消防设计、检测与评估分包，对上游机构的配备核查应同步前移。</w:t>
      </w:r>
    </w:p>
    <w:p>
      <w:r>
        <w:rPr>
          <w:rFonts w:ascii="Calibri" w:hAnsi="Calibri" w:eastAsia="微软雅黑"/>
          <w:b w:val="0"/>
          <w:i w:val="0"/>
          <w:sz w:val="22"/>
        </w:rPr>
        <w:t>其三，执业资格复合化。深耕建设行业20余年的造价人员同时持有一级注册造价师、一级注册建造师、注册监理工程师、注册咨询工程师（投资）四证被视为"立足的根本"；2021年首期工程造价专家辅助人培训开班，2023年起"工程造价+法律"跨考法考成为增项热点（P6026）。对企业的直接启示：投标团队中"多证+法务"复合人员的配置，正在从加分项变成竞争刚需。</w:t>
      </w:r>
    </w:p>
    <w:p>
      <w:pPr>
        <w:pStyle w:val="Heading2"/>
      </w:pPr>
      <w:r>
        <w:t>6.6 跨境准入：837号令重构对外投资备案，目的国行业门槛前置</w:t>
      </w:r>
    </w:p>
    <w:p>
      <w:r>
        <w:rPr>
          <w:rFonts w:ascii="Calibri" w:hAnsi="Calibri" w:eastAsia="微软雅黑"/>
          <w:b w:val="0"/>
          <w:i w:val="0"/>
          <w:sz w:val="22"/>
        </w:rPr>
        <w:t>出海投标的工程企业还要连过两道准入关。第一道在国内法侧：2026年6月1日国务院公布《国务院关于对外投资的规定》（国务院令第837号），同年7月1日起施行，是改革开放以来我国对外投资领域第一部行政法规层级的专项立法（P6013）。837号令并未取消境外直接投资（ODI）备案，而是将其从单一的流程准入节点改造为贯穿境外投资全链条的合规和监管中枢：监管主体扩容、自然人纳入统一监管框架，增设独立的境外投资安全审查程序，合规边界从单一资金管控拓宽为资金、技术、数据、人员四维综合管控，惩戒机制升级为财产处罚、行业禁入双重追责（P6013）。</w:t>
      </w:r>
    </w:p>
    <w:p>
      <w:r>
        <w:rPr>
          <w:rFonts w:ascii="Calibri" w:hAnsi="Calibri" w:eastAsia="微软雅黑"/>
          <w:b w:val="0"/>
          <w:i w:val="0"/>
          <w:sz w:val="22"/>
        </w:rPr>
        <w:t>第二道在目的国侧，以匈牙利为样本：赌博业，电信和邮政，自来水供给，铁路、公路、水运和民航须获得政府批准后方可进入；外国法人（包括其在匈公司和代表处）与自然人不得购买农业、林业用地（P6010）。外资审查双轨并行——2018年10月议会通过的Act LVII of 2018要求，触发交易须在签署协议或意向书后10日内向总理办公室申报，主管部门8日内发送收件回执、60日内作出接受或禁止交易的书面决定，特殊情况最长延长至120天；单独或与其他外国投资者共同直接或间接持有在匈注册公司超过25%股权即触发申报（P6010）。其国家安全敏感行业清单覆盖武器弹药与特定军用设备、军民两用产品、加密窃听产品、金融服务与金融支付系统运营、电子通信服务、政府电子信息系统开发测试及运维、电力服务、天然气服务、水务、保险和再保险（P6010）——电力、燃气、水务正是工程企业出海的高频赛道。海外EPC承接前的股权结构与准入尽调方法，国际工程口径详见第11章。</w:t>
      </w:r>
    </w:p>
    <w:p>
      <w:pPr>
        <w:pStyle w:val="Heading2"/>
      </w:pPr>
      <w:r>
        <w:t>本章要点</w:t>
      </w:r>
    </w:p>
    <w:p>
      <w:pPr>
        <w:pStyle w:val="ListBullet"/>
      </w:pPr>
      <w:r>
        <w:rPr>
          <w:rFonts w:ascii="Calibri" w:hAnsi="Calibri" w:eastAsia="微软雅黑"/>
          <w:b w:val="0"/>
          <w:i w:val="0"/>
          <w:sz w:val="22"/>
        </w:rPr>
        <w:t>企业没有也不需要单独申领"工程总承包资质"：凭工程勘察、设计或施工总承包资质在等级许可范围内即可投总承包标，但施工环节必须由具相应施工承包资质的企业承担（P6027）。</w:t>
      </w:r>
    </w:p>
    <w:p>
      <w:pPr>
        <w:pStyle w:val="ListBullet"/>
      </w:pPr>
      <w:r>
        <w:rPr>
          <w:rFonts w:ascii="Calibri" w:hAnsi="Calibri" w:eastAsia="微软雅黑"/>
          <w:b w:val="0"/>
          <w:i w:val="0"/>
          <w:sz w:val="22"/>
        </w:rPr>
        <w:t>升级窗口判断：冶金、电力一级净资产门槛均为1亿元，建造师、职称、技术工人三梯队缺一格即驳回；申报前先补齐"四库一平台"业绩入库与本单位连续社保链条（P6023/P6024）。</w:t>
      </w:r>
    </w:p>
    <w:p>
      <w:pPr>
        <w:pStyle w:val="ListBullet"/>
      </w:pPr>
      <w:r>
        <w:rPr>
          <w:rFonts w:ascii="Calibri" w:hAnsi="Calibri" w:eastAsia="微软雅黑"/>
          <w:b w:val="0"/>
          <w:i w:val="0"/>
          <w:sz w:val="22"/>
        </w:rPr>
        <w:t>挂靠红线判断：名为内部承包、合作经营、项目责任书或加盟协议，实质出借资质的一律无效，资质借用费、使用费的主张法院不予支持（法释〔2026〕12号第三条，P6014/P6015）。</w:t>
      </w:r>
    </w:p>
    <w:p>
      <w:pPr>
        <w:pStyle w:val="ListBullet"/>
      </w:pPr>
      <w:r>
        <w:rPr>
          <w:rFonts w:ascii="Calibri" w:hAnsi="Calibri" w:eastAsia="微软雅黑"/>
          <w:b w:val="0"/>
          <w:i w:val="0"/>
          <w:sz w:val="22"/>
        </w:rPr>
        <w:t>串标暴露面判断：机器管招投标已实现全程留痕与同源预警，把报价卡进"不触预警区间"的老打法在湖南新系统中失效，前两批50家串标企业已被信用记零分并禁投两年（P6025）。</w:t>
      </w:r>
    </w:p>
    <w:p>
      <w:pPr>
        <w:pStyle w:val="ListBullet"/>
      </w:pPr>
      <w:r>
        <w:rPr>
          <w:rFonts w:ascii="Calibri" w:hAnsi="Calibri" w:eastAsia="微软雅黑"/>
          <w:b w:val="0"/>
          <w:i w:val="0"/>
          <w:sz w:val="22"/>
        </w:rPr>
        <w:t>人员缺口判断：2026年一级造价工程师10月17日开考、部分省市考后抽查社保；消防技术服务机构2027年起按23号令新配备标准核查，大型场所一级注册消防工程师不少于6人——投标前先做注册人员社保与在册一致性盘点（P6020/P6018）。</w:t>
      </w:r>
    </w:p>
    <w:p>
      <w:pPr>
        <w:pStyle w:val="ListBullet"/>
      </w:pPr>
      <w:r>
        <w:rPr>
          <w:rFonts w:ascii="Calibri" w:hAnsi="Calibri" w:eastAsia="微软雅黑"/>
          <w:b w:val="0"/>
          <w:i w:val="0"/>
          <w:sz w:val="22"/>
        </w:rPr>
        <w:t>出海前置判断：境外项目先过837号令ODI备案（自然人亦纳入监管、财产处罚与行业禁入双重追责），再核目的国行业批准与FDI申报时限，匈牙利为10日申报、60日决定、25%股权触发（P6013/P6010）。</w:t>
      </w:r>
    </w:p>
    <w:p>
      <w:pPr>
        <w:pStyle w:val="Heading2"/>
      </w:pPr>
      <w:r>
        <w:t>本章源增补</w:t>
      </w:r>
    </w:p>
    <w:p>
      <w:pPr>
        <w:pStyle w:val="ListBullet"/>
      </w:pPr>
      <w:r>
        <w:rPr>
          <w:rFonts w:ascii="Calibri" w:hAnsi="Calibri" w:eastAsia="微软雅黑"/>
          <w:b w:val="0"/>
          <w:i w:val="0"/>
          <w:sz w:val="22"/>
        </w:rPr>
        <w:t>P6036｜《冶金工程施工总承包资质标准》标准原文（四川省住房和城乡建设厅网站转载，同建市〔2014〕159号资质标准系列）｜E:\AI-Station\ResearchFactory-Eng\ResearchTopics\《北京首钢国际工程技术有限公司怎么干EPC总承包？》\04 补充网络调研\_channel_standards\standard冶金工程施工总承包资质标准资质标准四川.md｜为6.2节冶金资质门槛补原文级标准锚：二级净资产4000万元以上、一级净资产1亿元、一级注册建造师不少于15人、职称人员不少于80人、技术工人不少于150人。</w:t>
      </w:r>
    </w:p>
    <w:p>
      <w:r>
        <w:rPr>
          <w:rFonts w:ascii="Calibri" w:hAnsi="Calibri" w:eastAsia="微软雅黑"/>
          <w:b w:val="0"/>
          <w:i w:val="0"/>
          <w:sz w:val="22"/>
        </w:rPr>
        <w:t>---</w:t>
      </w:r>
    </w:p>
    <w:p>
      <w:pPr>
        <w:pStyle w:val="Heading1"/>
      </w:pPr>
      <w:r>
        <w:t>第7章 合同模式与计价：EPC 合同条款风险解剖</w:t>
      </w:r>
    </w:p>
    <w:p>
      <w:pPr>
        <w:ind w:left="454"/>
      </w:pPr>
      <w:r>
        <w:rPr>
          <w:rFonts w:ascii="Calibri" w:hAnsi="Calibri" w:eastAsia="微软雅黑"/>
          <w:b/>
          <w:i w:val="0"/>
          <w:color w:val="666666"/>
          <w:sz w:val="22"/>
        </w:rPr>
        <w:t>三态</w:t>
      </w:r>
      <w:r>
        <w:rPr>
          <w:rFonts w:ascii="Calibri" w:hAnsi="Calibri" w:eastAsia="微软雅黑"/>
          <w:b w:val="0"/>
          <w:i w:val="0"/>
          <w:color w:val="666666"/>
          <w:sz w:val="22"/>
        </w:rPr>
        <w:t>：[融合]</w:t>
      </w:r>
    </w:p>
    <w:p>
      <w:r>
        <w:rPr>
          <w:rFonts w:ascii="Calibri" w:hAnsi="Calibri" w:eastAsia="微软雅黑"/>
          <w:b w:val="0"/>
          <w:i w:val="0"/>
          <w:sz w:val="22"/>
        </w:rPr>
        <w:t>招投标程序在中标通知书发出时结束，风险分配却在这一刻才真正开始。工程总承包合同把设计、采购、施工装进同一份文本，计价方式的选择直接决定量差由谁吸收、物价波动由谁承担、变更由谁定价。2025年9月1日《建设工程工程量清单计价标准》（GB/T 50500-2024）施行、2013版规范同时废止（P7018），叠加各省工程总承包计价规则陆续落地，合同价格条款正处于规则换轨期——沿用旧范本签约的项目，其争议条款在结算与诉讼中会被放进新规则环境重新审视。本章按"模式选择—固定总价边界—暂列金额—国际文本对标—计价依据变革"五层，逐条解剖EPC合同的价格条款风险。</w:t>
      </w:r>
    </w:p>
    <w:p>
      <w:pPr>
        <w:pStyle w:val="Heading2"/>
      </w:pPr>
      <w:r>
        <w:t>7.1 计价模式分界：三种形式与"宜固定总价"的政策推力</w:t>
      </w:r>
    </w:p>
    <w:p>
      <w:r>
        <w:rPr>
          <w:rFonts w:ascii="Calibri" w:hAnsi="Calibri" w:eastAsia="微软雅黑"/>
          <w:b w:val="0"/>
          <w:i w:val="0"/>
          <w:sz w:val="22"/>
        </w:rPr>
        <w:t>三种基础计价形式的分界线是风险归属。总价合同（Lump Sum Contract）由承包商按固定总价包干完成全部工作，适用于工程范围相对明确、变更风险较低的项目；单价合同（Unit Price Contract）按约定单位价格乘以实际完成工程量结算，适应范围模糊、规模难以预先确定的情况；成本加酬金合同按实际成本加约定酬金计取，把成本波动风险留在雇主一侧（P7026）。行业口诀"合同总价，明明白白；单价合同，量力而行；成本加酬金，利益共享"（P7026）讲的就是这层分配逻辑。工程总承包推广初期，合同协议以单价形式较为常见（P7021）；转折发生在2022年底——四川省住建厅发布房屋建筑与市政基础设施项目工程总承包合同计价指导意见，明确自2023年1月1日起调整落实总承包合同计价模式（P7021），实务界视其为总承包价格形式的一次重要改革。</w:t>
      </w:r>
    </w:p>
    <w:p>
      <w:r>
        <w:rPr>
          <w:rFonts w:ascii="Calibri" w:hAnsi="Calibri" w:eastAsia="微软雅黑"/>
          <w:b w:val="0"/>
          <w:i w:val="0"/>
          <w:sz w:val="22"/>
        </w:rPr>
        <w:t>"宜采用固定总价"的导向有两个源头。国际端，FIDIC银皮书（99版）序言第二段直言："近些年来，已注意到很多建设市场需要一种固定最终价格、经常还有固定竣工日期的合同格式"（P7027）——固定最终价格与固定竣工日期捆绑，构成交钥匙模式的商业内核。国内端，住建部《房屋建筑和市政基础设施项目工程总承包管理办法（征求意见稿）》第十七条曾规定"工程总承包项目宜采用固定总价合同"（P7027）。政策推力背后有管理规范沿革铺垫：1984年国务院《关于改革建筑业和基本建设管理体制若干问题的暂行规定》开启EPC实践，先在化工行业试点，鲁布革工程经验随后向全国推广，1997年《建筑法》明确提倡实行总承包（P7021）；《建设项目工程总承包管理规范》从GB/T 50358-2005升级为2017年5月4日发布、2018年1月1日实施的GB/T 50358-2017（P7021）。</w:t>
      </w:r>
    </w:p>
    <w:p>
      <w:r>
        <w:rPr>
          <w:rFonts w:ascii="Calibri" w:hAnsi="Calibri" w:eastAsia="微软雅黑"/>
          <w:b w:val="0"/>
          <w:i w:val="0"/>
          <w:sz w:val="22"/>
        </w:rPr>
        <w:t>省级计价规则把模式选择压到可操作层面。江苏省住建厅2020年10月印发《江苏省房屋建筑和市政基础设施项目工程总承包计价规则（试行）》，依据建市规〔2019〕12号管理办法与苏建规字〔2020〕5号实施意见制定；适用范围锁定本省国有资金占控股或主导地位、采用工程总承包的房建市政项目，覆盖项目清单和最高投标限价编制、投标报价编制、合同价款确定与调整、价款结算等计价活动；项目清单及最高投标限价"以初步设计概算为经济控制指标"编制，发包人要求须列明目标、范围、规模、功能、建设标准、技术标准、设计指标要点、质量、安全、工期、检验试验、主要材料设备的参数指标和品牌档次、验收和试运行以及风险承担（P7016）。对投标团队的直接提示：报价基准锚定的是概算控制线而非施工图预算，概算深度不足的项目，中标后的调价空间已被预先压缩；最高投标限价编制环节的合规节点见第2章。</w:t>
      </w:r>
    </w:p>
    <w:p>
      <w:pPr>
        <w:pStyle w:val="Heading2"/>
      </w:pPr>
      <w:r>
        <w:t>7.2 固定总价的"固定"边界：从调价情形到中途解除</w:t>
      </w:r>
    </w:p>
    <w:p>
      <w:r>
        <w:rPr>
          <w:rFonts w:ascii="Calibri" w:hAnsi="Calibri" w:eastAsia="微软雅黑"/>
          <w:b w:val="0"/>
          <w:i w:val="0"/>
          <w:sz w:val="22"/>
        </w:rPr>
        <w:t>固定总价又称包干价、包死价、闭口价，指在合同约定的施工范围和风险范围内，工程量和价格均不允许调整（P7029）。"固定"有明确边界，界外情形可以调价：合同约定的施工范围、条件发生变更造成工程量增减；价格涨跌超出约定风险范围；不可抗力；国家政策性调整；承包人中途退场（P7029）。2013版清单计价规范第8.2.1条同旨：固定总价合同除合同约定的调整情形外，工程量与综合单价均不作调整；清单缺项、设计变更、现场签证、物价波动（合同约定可调）、不可抗力构成合法调价依据的完整清单（P7028）。结算端的公式同样刚性——竣工结算总价＝合同固定总价＋合法变更签证调整价－甲供材/扣款－未施工项目扣减价（P7028）；总价合同的结算审核只核查子目"是否施工"、不复核工程量计算偏差，未按清单施工、擅自变更工艺的按实际施工内容核减（P7028）。</w:t>
      </w:r>
    </w:p>
    <w:p>
      <w:r>
        <w:rPr>
          <w:rFonts w:ascii="Calibri" w:hAnsi="Calibri" w:eastAsia="微软雅黑"/>
          <w:b w:val="0"/>
          <w:i w:val="0"/>
          <w:sz w:val="22"/>
        </w:rPr>
        <w:t>规模口径变化未必撬动总价。2015年某地学校EPC项目，招标所用初步设计概算批复载明建筑面积65000多平方米，合同签订后办出的建设工程规划许可证载明68000平方米——差异源于测算口径：前者不包含非计容面积，后者计入了教学楼一楼架空层（P7027）。上海市建纬律师事务所合伙人徐寅哲的评析是：发包人建设目的自招标起未变，初步设计阶段的图纸成果并未因设计深度导致最终建筑产品不同，投标人按当地同时期同类型建筑单方造价自主测算总价，面积表述的口径差错不应动摇已锁定的固定总价（P7027）。该案同时暴露资料责任条款的双刃结构：GF-2011-0216通用条款5.2.1第（1）项要求发包人提供项目基础资料并对真实性、准确性负责，5.2.2第（1）项随即要求承包人收到资料后15日内就短缺、遗漏、错误、疑问提出要求，逾期未提、损失自担（P7027）。接收资料后的15日核对窗口，是总价防线的前哨。</w:t>
      </w:r>
    </w:p>
    <w:p>
      <w:r>
        <w:rPr>
          <w:rFonts w:ascii="Calibri" w:hAnsi="Calibri" w:eastAsia="微软雅黑"/>
          <w:b w:val="0"/>
          <w:i w:val="0"/>
          <w:sz w:val="22"/>
        </w:rPr>
        <w:t>中途解除的结算规则已被司法解释定型。《最高人民法院关于审理建设工程施工合同纠纷案件适用法律问题的解释（二）》第十条规定：固定总价合同解除后，已施工部分质量合格、价款无约定且协商不成的，法院可参照合同订立时工程所在地建设行政主管部门发布的计价标准、计价方法或工程建设领域相关规范，确定已施工部分价款占全部工程价款的比例，以该比例乘以合同约定的固定总价确定应付价款（P7024）。最高院此前归纳过三种思路——按定额对已完工部分据实结算并下浮的正向计算、以固定总价减去未完工部分定额价款的反向计算、同一取费标准下算出完工比例再乘固定价的按比例折算（P7024）——第十条把比例折算扶正为裁判规则。另有特殊通道：因发包人原因致合同不能履行、且不平衡报价使按固定价结算对承包人利益明显失衡的，可参照定额标准和市场报价情况据实结算（P7029）。不平衡报价本身就是恶性竞争的伴生行为，其识别与围标串标认定的衔接见第5章；固定价结算争议在败诉案件中的分布谱系见第8章。中标后再把固定单价改签为固定总价是否构成对中标合同实质性内容的背离，德恒律师事务所专题文章将其列为独立争议问题（P7007）——改签前的背离审查不可省。</w:t>
      </w:r>
    </w:p>
    <w:p>
      <w:pPr>
        <w:pStyle w:val="Heading2"/>
      </w:pPr>
      <w:r>
        <w:t>7.3 暂列金额解剖：Midland案的替换逻辑与国内转用</w:t>
      </w:r>
    </w:p>
    <w:p>
      <w:r>
        <w:rPr>
          <w:rFonts w:ascii="Calibri" w:hAnsi="Calibri" w:eastAsia="微软雅黑"/>
          <w:b w:val="0"/>
          <w:i w:val="0"/>
          <w:sz w:val="22"/>
        </w:rPr>
        <w:t>暂列金额（Provisional Sum）是合同里最容易被误读的一笔钱。FIDIC黄皮书第1.1.68款定义：暂列金额指雇主在合同中列明的、根据第13.4款规定用于工程任何部分的实施或用于提供生产设备、材料或服务的款项（P7004）。定义用"款项"而非"工作价值"的措辞，决定了它不是承包商必然获得的收入，而是一笔财务储备，动用与否完全取决于后续执行机制（P7004）。第13.4款第一段给出运行规则："每笔暂列金额只应按照工程师的指示全部或部分地使用，并对合同价格相应进行调整。付给承包商的总金额只应包括工程师已指示的、与暂列金额有关的工作、供货或服务的应付款项"（P7004）。"只应"二字确立"未指示即未使用"：工程师未发指示，这笔钱视为未动用，一分不付；一旦动用，原预算额被实际发生额替换，余额作废（P7005）。</w:t>
      </w:r>
    </w:p>
    <w:p>
      <w:r>
        <w:rPr>
          <w:rFonts w:ascii="Calibri" w:hAnsi="Calibri" w:eastAsia="微软雅黑"/>
          <w:b w:val="0"/>
          <w:i w:val="0"/>
          <w:sz w:val="22"/>
        </w:rPr>
        <w:t>替换而非叠加，是英国上诉法院Midland Expressway Ltd v Carillion Construction Ltd [2006] EWCA Civ 936案定下的逻辑——既保留原暂定金额又支付实际成本，构成荒谬的双重支付（P7025、P7004）。该案判决还确认"provisional sum"在英格兰无制定法统一定义：既可指或许做或许不做的真正暂定工作，也可指双方订约时故意不去精确定价、按预估值计入原始合同价格的工作，法律效果最终取决于个别合同的具体约定（P7025）。计量规则层面，RICS NRM2把暂列金额对应的工作划分为"已界定"与"未界定"两类，风险归属随分类变化；JCT、FIDIC、NEC三大标准合同体系对该机制的处理方式差异显著，有的体系甚至根本不用这一工具（P7025）。</w:t>
      </w:r>
    </w:p>
    <w:p>
      <w:r>
        <w:rPr>
          <w:rFonts w:ascii="Calibri" w:hAnsi="Calibri" w:eastAsia="微软雅黑"/>
          <w:b w:val="0"/>
          <w:i w:val="0"/>
          <w:sz w:val="22"/>
        </w:rPr>
        <w:t>结算操作有细密配套：暂列金额范围内承包商自行实施的工作按变更估价处理；分包或采购按"实际发票金额＋固定比例的管理费"结账，承包商想多报管理费行不通；分包前报价单送工程师审核，工程师7天未回应，承包商可自行定标以免工程停滞；结账时必须附发票和收据（P7005）。国内对这一工具已有明文转用：河南省住建厅豫建行规〔2020〕3号通知规定，重污染天气管控停工损失计入暂列金额、列入税前工程造价，建设单位编制最高投标限价时应参考往年气象资料充分预留（P7030）。损失计算给出整套系数——施工人员工资按项目所在地当期最低工资标准1.3倍计取，现场看护人员工资不得低于1.3倍，现场管理人员按2倍；自有机械停滞费＝机械人工费＋（折旧费＋检修费＋维护费）×1/2，台班费用依据《河南省统一施工机械台班费用定额》（HA JX-31-2017），租赁机械按租赁日单价×停工天数×1/2；自有周转材料按（停工天数/批准的施工方案搭设天数）×周转材料费×1/2；临时设施增加费＝（停工天数/合同工期）×安全文明施工措施费（定额基价）×3/10×1/2；停工时间以政府相关部门下达停工指令为准，工期合理顺延（P7030）。对报价团队的含义：在环保管控高频省份投标，暂列金额的测算深度直接影响总价的竞争力与履约期的索赔底气。</w:t>
      </w:r>
    </w:p>
    <w:p>
      <w:pPr>
        <w:pStyle w:val="Heading2"/>
      </w:pPr>
      <w:r>
        <w:t>7.4 示范文本与FIDIC彩虹谱系：形似之下的神异</w:t>
      </w:r>
    </w:p>
    <w:p>
      <w:r>
        <w:rPr>
          <w:rFonts w:ascii="Calibri" w:hAnsi="Calibri" w:eastAsia="微软雅黑"/>
          <w:b w:val="0"/>
          <w:i w:val="0"/>
          <w:sz w:val="22"/>
        </w:rPr>
        <w:t>读懂国内示范文本，先要摆正FIDIC坐标。FIDIC（国际咨询工程师联合会）1913年由欧洲三国咨询工程师协会发起成立，其2011年版分包合同条件的出版说明称FIDIC成员已覆盖80多个国家（P7003）；中国于1996年正式加入，总部设瑞士洛桑（P7020）。1999年FIDIC一次性推出四种新版合同条件——施工合同条件（新红皮书）、生产设备和设计—施工合同条件（黄皮书）、设计采购施工（EPC）/交钥匙合同条件（银皮书）、简明合同格式（P7020），其中红皮书第一版ISBN 2-88432-022-9（P7001）；更早的桔皮书（设计—建造与交钥匙工程合同条件，1995年版）是银皮书的前身（P7020）。此后还有专供参与银行贷款项目使用的多边开发银行协调版施工合同条件（2006年3月第二版）（P7002）、2011年第一版分包合同条件（ISBN 978-2-88432-068-9）（P7003）；2002年中国工程咨询协会经FIDIC授权将新版合同条件译成中文本（P7020）。红、黄、银三书构成承包商风险由低到高的光谱：黄皮书居中，承包人承担设计责任（DB单一责任），业主通过"工程师"保留过程管理权（P7023）；银皮书是FIDIC体系中承包商风险最重、总价确定性最强的文本（P7011）。中资企业海外承接FIDIC项目的整体风险图谱见第11章。</w:t>
      </w:r>
    </w:p>
    <w:p>
      <w:r>
        <w:rPr>
          <w:rFonts w:ascii="Calibri" w:hAnsi="Calibri" w:eastAsia="微软雅黑"/>
          <w:b w:val="0"/>
          <w:i w:val="0"/>
          <w:sz w:val="22"/>
        </w:rPr>
        <w:t>国内基准文本是《建设项目工程总承包合同（示范文本）》（GF-2020-0216），2020年11月由住建部与国家市场监督管理总局联合印发，由合同协议书（11条）、通用合同条件（20条）、专用合同条件及《发包人要求》《价格指数权重表》等六个附件组成（P7011）；对照2017版银皮书的通用条件（21条）＋专用条件＋合同数据（Contract Data）＋雇主要求（P7011）。条款编号能对应，风险基因却不同：示范文本2020版修订时引入工程师概念、《发包人要求》、竣工后试验、28天索赔程序、争议评审等制度，参照蓝本主要是黄皮书，被业内称作示范文本"最亲的表亲"（P7023）。造价协作研究团队的比较结论更直接：示范文本的风险分担结构、管理主体设置实质上更接近黄皮书（DB模式）而非银皮书（EPC模式）——国内推行的工程总承包是"设计施工一体化＋风险均衡分担"的中国化模式，与国际通行的"固定总价＋承包商兜底"交钥匙模式并非同一物种（P7011）。管理理念层面，银皮书是高度市场化环境中强者之间的风险对赌契约，示范文本是转型市场中兼顾公平、稳定与能力培育的治理型合同（P7011）。</w:t>
      </w:r>
    </w:p>
    <w:p>
      <w:r>
        <w:rPr>
          <w:rFonts w:ascii="Calibri" w:hAnsi="Calibri" w:eastAsia="微软雅黑"/>
          <w:b w:val="0"/>
          <w:i w:val="0"/>
          <w:sz w:val="22"/>
        </w:rPr>
        <w:t>这层神异对签约实务有两个直接警示。其一，拿示范文本签国内项目、按银皮书思维报价——默认承包商兜下全部不可预见风险——等于自愿放大风险敞口；专用条件里照抄银皮书式免责表述，与示范文本的均衡分担基调冲突，争议时解释劣势在承包一侧。其二，走出国门签银皮书、却带着示范文本的管理预期去履约，同样错位：银皮书序言所称的固定最终价格（P7027），对应的正是"承包商风险最重、总价确定性最强"的文本定位（P7011），发包人不替承包商消化数据误差。</w:t>
      </w:r>
    </w:p>
    <w:p>
      <w:pPr>
        <w:pStyle w:val="Heading2"/>
      </w:pPr>
      <w:r>
        <w:t>7.5 计价依据换轨：24版标准、量价分离与合同无效时的兜底</w:t>
      </w:r>
    </w:p>
    <w:p>
      <w:r>
        <w:rPr>
          <w:rFonts w:ascii="Calibri" w:hAnsi="Calibri" w:eastAsia="微软雅黑"/>
          <w:b w:val="0"/>
          <w:i w:val="0"/>
          <w:sz w:val="22"/>
        </w:rPr>
        <w:t>2024年11月，住建部批准《建设工程工程量清单计价标准》（GB/T 50500-2024）为国家标准，自2025年9月1日起实施，同时废止2013版规范（GB 50500-2013）（P7018）。条文正文从2013版的16章54节331条调整为12章49节412条，净增81条 [own_calc:412-331=81]，对比研究称条文数量增加24.5%、全书字数翻倍至约9.8万字（其中条文5.8万字）（P7018）。清单组成同步改写：2013版第4.1.4条按分部分项、措施、其他、规费和税金项目清单编制，2024版第3.1.2条改为按分部分项工程项目清单、措施项目清单、其他项目清单与增值税分别编制计价——规费科目取消（工程排污费已按财税〔2018〕4号文自2018年1月1日全国停征），税金改列增值税（P7018）。投标报价澄清、施工过程结算作为新增条文写入（P7018）。</w:t>
      </w:r>
    </w:p>
    <w:p>
      <w:r>
        <w:rPr>
          <w:rFonts w:ascii="Calibri" w:hAnsi="Calibri" w:eastAsia="微软雅黑"/>
          <w:b w:val="0"/>
          <w:i w:val="0"/>
          <w:sz w:val="22"/>
        </w:rPr>
        <w:t>改革方向是有意识的制度借鉴而非平行演化巧合。住建部《工程造价改革工作方案》（建办标〔2020〕38号）在主要任务第一条写明"坚持从国情出发，借鉴国际通行做法"，并部署"推行清单计量、市场询价、自主报价、竞争定价""取消最高投标限价按定额计价的规定，逐步停止发布预算定额""建立国有资金投资的工程造价数据库"（P7006）。试点已走到直接采用香港规则：横琴粤澳深度合作区作为内地首个采用市场计价、港澳造价管控的政府投资创新试点，直接使用香港测量师学会《香港建筑工程标准计量方法》（HKSMM）以市场计价确定招标控制价；广东省中医院中医药传承创新工程项目参考香港做法，在发承包阶段使用多层级市场化清单（P7006）。对照之下，2013版的底层逻辑仍是"清单单价参考定额计价结果进行市场竞争"：第5.2.1条要求招标控制价依据国家或省级、行业建设主管部门颁发的计价定额和计价办法编制，第6.2.1条虽将"企业定额"列为投标报价依据，实践中投标人很少自编企业定额，多按地方或行业定额下浮报价（P7013）；13版综合单价不含规费和税金、单独列项且不可竞争（P7015）。量价分离的源头可追至1992年"控制量、指导价、竞争费"方针，清单计价历经2008、2013、2024三个版本迭代，2024版还完成从强制性GB到推荐性GB/T的身份转换（P7012）；住建部2025年7月答复函承认"行业、企业长期依赖定额……仍然以政府定额为基础"（P7012）。过渡期矛盾与后续走向，见第12章的趋势预判。</w:t>
      </w:r>
    </w:p>
    <w:p>
      <w:r>
        <w:rPr>
          <w:rFonts w:ascii="Calibri" w:hAnsi="Calibri" w:eastAsia="微软雅黑"/>
          <w:b w:val="0"/>
          <w:i w:val="0"/>
          <w:sz w:val="22"/>
        </w:rPr>
        <w:t>计价条款失效时的应对链条也要预设。合同无效情形下：《民法典》第157条确立行为无效后返还财产、不能返还则折价补偿的一般规则；第793条特别规定施工合同无效但工程验收合格的，可参照合同关于工程价款的约定折价补偿承包人，修复后验收不合格的，承包人无权请求参照约定折价补偿（P7008、P7036）。数份合同均无效且质量合格的，参照实际履行的合同折价补偿，难以确定的参照最后签订的合同（法释〔2020〕25号第24条）（P7008、P7036）。计价标准或方法有约定的按约定结算；设计变更导致工程量或质量标准变化且协商不成的，参照签订合同时当地建设行政主管部门发布的计价方法或标准结算（法释〔2020〕25号第19条）（P7008）。第28条堵死鉴定通道：约定固定价结算工程价款，一方当事人请求对建设工程造价进行鉴定的，法院不予支持（P7008）。鉴定环节另有技术规程约束——GB/T 51262-2017《建设工程造价鉴定规范》第5.3.2条要求委托人认定合同无效的，鉴定人按委托人决定进行鉴定；第5.3.3条要求合同对计价依据、计价方法没有约定的，提请委托人决定按工程所在地建设行政主管部门发布的计价依据、方法鉴定（P7008）。合同价款条款与招标文件实质性内容的一致性审查节点，见第2章。</w:t>
      </w:r>
    </w:p>
    <w:p>
      <w:pPr>
        <w:pStyle w:val="Heading2"/>
      </w:pPr>
      <w:r>
        <w:t>本章要点</w:t>
      </w:r>
    </w:p>
    <w:p>
      <w:pPr>
        <w:pStyle w:val="ListBullet"/>
      </w:pPr>
      <w:r>
        <w:rPr>
          <w:rFonts w:ascii="Calibri" w:hAnsi="Calibri" w:eastAsia="微软雅黑"/>
          <w:b w:val="0"/>
          <w:i w:val="0"/>
          <w:sz w:val="22"/>
        </w:rPr>
        <w:t>计价模式是风险分配宣言：总价、单价、成本加酬金的分界在变更风险归属；四川自2023年1月1日起调整总承包计价模式、江苏以初步设计概算为经济控制指标编制限价，报价前必须核对项目所在省现行规则（P7021、P7016）。</w:t>
      </w:r>
    </w:p>
    <w:p>
      <w:pPr>
        <w:pStyle w:val="ListBullet"/>
      </w:pPr>
      <w:r>
        <w:rPr>
          <w:rFonts w:ascii="Calibri" w:hAnsi="Calibri" w:eastAsia="微软雅黑"/>
          <w:b w:val="0"/>
          <w:i w:val="0"/>
          <w:sz w:val="22"/>
        </w:rPr>
        <w:t>固定总价的"固定"以约定施工范围和风险范围为界，界外五类情形（范围条件变更、物价超幅、不可抗力、政策调整、中途退场）可调价；总价内结算只核"是否施工"、不复核量差（P7029、P7028）。</w:t>
      </w:r>
    </w:p>
    <w:p>
      <w:pPr>
        <w:pStyle w:val="ListBullet"/>
      </w:pPr>
      <w:r>
        <w:rPr>
          <w:rFonts w:ascii="Calibri" w:hAnsi="Calibri" w:eastAsia="微软雅黑"/>
          <w:b w:val="0"/>
          <w:i w:val="0"/>
          <w:sz w:val="22"/>
        </w:rPr>
        <w:t>接收发包人资料后的15日核对窗口（GF-2011-0216通用条款5.2.2）是总价防线前哨，逾期未就短缺、遗漏、错误提出要求，损失自担（P7027）。</w:t>
      </w:r>
    </w:p>
    <w:p>
      <w:pPr>
        <w:pStyle w:val="ListBullet"/>
      </w:pPr>
      <w:r>
        <w:rPr>
          <w:rFonts w:ascii="Calibri" w:hAnsi="Calibri" w:eastAsia="微软雅黑"/>
          <w:b w:val="0"/>
          <w:i w:val="0"/>
          <w:sz w:val="22"/>
        </w:rPr>
        <w:t>暂列金额按Midland案替换逻辑运行：未指示即未使用、动用即替换原额、余额作废，结算凭发票收据按固定比例计管理费；环保停工高频省份按豫建行规〔2020〕3号系数（工资1.3/2倍、机械与周转材料×1/2、临时设施×3/10×1/2）预留（P7004、P7005、P7030）。</w:t>
      </w:r>
    </w:p>
    <w:p>
      <w:pPr>
        <w:pStyle w:val="ListBullet"/>
      </w:pPr>
      <w:r>
        <w:rPr>
          <w:rFonts w:ascii="Calibri" w:hAnsi="Calibri" w:eastAsia="微软雅黑"/>
          <w:b w:val="0"/>
          <w:i w:val="0"/>
          <w:sz w:val="22"/>
        </w:rPr>
        <w:t>示范文本（GF-2020-0216）的风险基因近黄皮书而非银皮书；国内签约照抄银皮书免责条款、海外履约套用示范文本预期，是两处典型错位（P7011、P7023）。</w:t>
      </w:r>
    </w:p>
    <w:p>
      <w:pPr>
        <w:pStyle w:val="ListBullet"/>
      </w:pPr>
      <w:r>
        <w:rPr>
          <w:rFonts w:ascii="Calibri" w:hAnsi="Calibri" w:eastAsia="微软雅黑"/>
          <w:b w:val="0"/>
          <w:i w:val="0"/>
          <w:sz w:val="22"/>
        </w:rPr>
        <w:t>24版标准2025年9月1日施行后新签合同按分部分项＋措施＋其他＋增值税口径组价；固定价约定关闭造价鉴定通道，合同无效按民法典第793条与法释〔2020〕25号第19、24条兜底（P7018、P7008、P7036）。</w:t>
      </w:r>
    </w:p>
    <w:p>
      <w:pPr>
        <w:pStyle w:val="Heading2"/>
      </w:pPr>
      <w:r>
        <w:t>本章源增补</w:t>
      </w:r>
    </w:p>
    <w:p>
      <w:pPr>
        <w:pStyle w:val="ListBullet"/>
      </w:pPr>
      <w:r>
        <w:rPr>
          <w:rFonts w:ascii="Calibri" w:hAnsi="Calibri" w:eastAsia="微软雅黑"/>
          <w:b w:val="0"/>
          <w:i w:val="0"/>
          <w:sz w:val="22"/>
        </w:rPr>
        <w:t>《民法典》第157条/第793条、法释〔2020〕25号（含第24条"数份合同均无效参照实际履行的合同折价补偿"）补锚源：造价 AI 生成局《评标重大失误致导致实际无效合同履约后的结算实务研究》（E:\AI-Station\data\rss_harvest\articles\2026-10-03\造价 AI 生成局_评标重大失误致导致实际无效合同履约后的结算实务研究-b5af92f2.md），已登记 bank_ch07.md P7036。</w:t>
      </w:r>
    </w:p>
    <w:p>
      <w:r>
        <w:rPr>
          <w:rFonts w:ascii="Calibri" w:hAnsi="Calibri" w:eastAsia="微软雅黑"/>
          <w:b w:val="0"/>
          <w:i w:val="0"/>
          <w:sz w:val="22"/>
        </w:rPr>
        <w:t>---</w:t>
      </w:r>
    </w:p>
    <w:p>
      <w:pPr>
        <w:pStyle w:val="Heading1"/>
      </w:pPr>
      <w:r>
        <w:t>第8章 纠纷与判例：败诉原因谱系（2015-2026）</w:t>
      </w:r>
    </w:p>
    <w:p>
      <w:pPr>
        <w:ind w:left="454"/>
      </w:pPr>
      <w:r>
        <w:rPr>
          <w:rFonts w:ascii="Calibri" w:hAnsi="Calibri" w:eastAsia="微软雅黑"/>
          <w:b/>
          <w:i w:val="0"/>
          <w:color w:val="666666"/>
          <w:sz w:val="22"/>
        </w:rPr>
        <w:t>三态</w:t>
      </w:r>
      <w:r>
        <w:rPr>
          <w:rFonts w:ascii="Calibri" w:hAnsi="Calibri" w:eastAsia="微软雅黑"/>
          <w:b w:val="0"/>
          <w:i w:val="0"/>
          <w:color w:val="666666"/>
          <w:sz w:val="22"/>
        </w:rPr>
        <w:t>：精编</w:t>
      </w:r>
    </w:p>
    <w:p>
      <w:r>
        <w:rPr>
          <w:rFonts w:ascii="Calibri" w:hAnsi="Calibri" w:eastAsia="微软雅黑"/>
          <w:b w:val="0"/>
          <w:i w:val="0"/>
          <w:sz w:val="22"/>
        </w:rPr>
        <w:t>本章素材取自人民法院案例库入库案例、最高人民法院民一庭裁判规则问答、湖南与江苏高院解答、铜陵仲裁委员会《建设项目工程总承包合同纠纷裁决指引（试行）》及公开判例、仲裁撤裁实证统计，按"败诉原因"而非"案由"重新归类。样本中可直接定位的输点集中在五处：合同效力、清单计价责任、程序技术失误、标的物合法性、新司法解释施行后的路径选择。逐项拆解如下。</w:t>
      </w:r>
    </w:p>
    <w:p>
      <w:pPr>
        <w:pStyle w:val="Heading2"/>
      </w:pPr>
      <w:r>
        <w:t>8.1 效力之败：先定后招、背离中标合同与"鲁班奖条款"</w:t>
      </w:r>
    </w:p>
    <w:p>
      <w:r>
        <w:rPr>
          <w:rFonts w:ascii="Calibri" w:hAnsi="Calibri" w:eastAsia="微软雅黑"/>
          <w:b w:val="0"/>
          <w:i w:val="0"/>
          <w:sz w:val="22"/>
        </w:rPr>
        <w:t>效力抗辩是招投标纠纷中最高频的败诉触发器。最高法民一庭在《民事审判实务问答》中明确：对依法必须招标的项目，招标人在法定招标程序开始前即与投标人签订施工合同，属于比"确定中标人前就投标价格、投标方案谈判"（《招标投标法》第四十三条）更严重的违法，应依《建工解释一》第一条第一款认定无效——该款列举三项无效情形：承包人未取得建筑施工企业资质或超越资质等级；没有资质的实际施工人借用有资质的建筑施工企业名义；建设工程必须进行招标而未招标或中标无效（P8000）。</w:t>
      </w:r>
    </w:p>
    <w:p>
      <w:r>
        <w:rPr>
          <w:rFonts w:ascii="Calibri" w:hAnsi="Calibri" w:eastAsia="微软雅黑"/>
          <w:b w:val="0"/>
          <w:i w:val="0"/>
          <w:sz w:val="22"/>
        </w:rPr>
        <w:t>中标之后的"二次约定"同样高危。最高法民一庭公布的规则：招标文件约定质量标准为合格，中标后发包方又与中标人约定"未拿到鲁班奖不予退还履约保证金"，该约定抬高了承包人义务、实质改变了招投标文件约定的质量标准，依《招标投标法》第四十六条第一款"不得再行订立背离合同实质性内容的其他协议"认定无效（P8000）。对承包人，被扣保证金的威胁在诉讼中不成立；对发包人，以奖杯条款锁质量的安排从一开始就难以执行。</w:t>
      </w:r>
    </w:p>
    <w:p>
      <w:r>
        <w:rPr>
          <w:rFonts w:ascii="Calibri" w:hAnsi="Calibri" w:eastAsia="微软雅黑"/>
          <w:b w:val="0"/>
          <w:i w:val="0"/>
          <w:sz w:val="22"/>
        </w:rPr>
        <w:t>"未经招标即无效"的主张另有边界。湖南高院《关于审理建设工程施工合同纠纷案件若干问题的解答》（湘高法【2022】102号）第51条：主张未经招投标的施工合同无效，除属于《招标投标法》第三条及国家发改委《必须招标的工程项目规定》（2018年6月1日施行）、《必须招标的基础设施和公用事业项目范围规定》（发改法规规〔2018〕843号，2018年6月6日施行）确定的必须招标项目外，不予支持（P8001）。江苏高院解答（审委会纪要〔2018〕3号）对商品房项目给出同向规则（P8001）。企业以"没走招标"发起效力攻击前，必须先核对项目是否落入16号令与843号文清单，否则攻击落空。</w:t>
      </w:r>
    </w:p>
    <w:p>
      <w:r>
        <w:rPr>
          <w:rFonts w:ascii="Calibri" w:hAnsi="Calibri" w:eastAsia="微软雅黑"/>
          <w:b w:val="0"/>
          <w:i w:val="0"/>
          <w:sz w:val="22"/>
        </w:rPr>
        <w:t>"黑白合同"结算规则在地方解答中已经定型：中标合同有效，以中标合同为结算依据；中标合同与其他合同均无效的，以实际履行的合同为结算依据，无法区分的以后签订的合同为结算依据；因客观情况发生招投标时难以预见的变化而另订施工合同的除外（湘高法【2022】102号第53条，P8001）。江苏高院补充：强制招投标项目中招标前已实质性协商、后再招投标备案的，前后合同均无效，参照实际履行的合同结算（P8001）。</w:t>
      </w:r>
    </w:p>
    <w:p>
      <w:r>
        <w:rPr>
          <w:rFonts w:ascii="Calibri" w:hAnsi="Calibri" w:eastAsia="微软雅黑"/>
          <w:b w:val="0"/>
          <w:i w:val="0"/>
          <w:sz w:val="22"/>
        </w:rPr>
        <w:t>2026年规则出现松口。《建工解释二》（法释〔2026〕12号，2026年6月29日发布、6月30日施行）第一条确立效力补正：起诉时工程已不再属于必须招标范围的，法院不再机械认定合同无效（P8013）。反向收紧同样明确：项目本不属于必须招标，发包人先协商订立施工合同再以招投标方式订立合同的，只要当事人选择了招投标就应遵守《招标投标法》，中标合同仍应认定无效（最高法民一庭课题组观点，P8010）。</w:t>
      </w:r>
    </w:p>
    <w:p>
      <w:r>
        <w:rPr>
          <w:rFonts w:ascii="Calibri" w:hAnsi="Calibri" w:eastAsia="微软雅黑"/>
          <w:b w:val="0"/>
          <w:i w:val="0"/>
          <w:sz w:val="22"/>
        </w:rPr>
        <w:t>对工程总承包企业，铜陵仲裁委员会《建设项目工程总承包合同纠纷裁决指引（试行）》（2025年6月15日发布，国内仲裁机构首个工程总承包合同专门裁判指引，P8019）第四条给出定性前置路径：以工程总承包合同未经招标主张无效，仲裁庭应先按合同权利义务判断合同性质——实为建设工程合同且属必须招标项目的，应招标未招标则无效；实为买卖合同、承揽合同或非典型合同的，未经招标不导致无效（P8023）。名为EPC实为施工承包的合同，将被按施工合同规则处理效力。</w:t>
      </w:r>
    </w:p>
    <w:p>
      <w:r>
        <w:rPr>
          <w:rFonts w:ascii="Calibri" w:hAnsi="Calibri" w:eastAsia="微软雅黑"/>
          <w:b w:val="0"/>
          <w:i w:val="0"/>
          <w:sz w:val="22"/>
        </w:rPr>
        <w:t>规划手续上的效力攻击，施工合同与工程总承包的结论截然相反。《建工解释一》第三条第一款：当事人以发包人未取得建设工程规划许可证等规划审批手续为由请求确认施工合同无效的，法院应予支持，但发包人在起诉前取得规划许可等手续的除外（P8022）。铜陵《指引》第五条对工程总承包作出反向安排：以未取得规划审批手续为由请求确认工程总承包合同无效的，仲裁庭应不予支持，理由是真正的工程总承包在发包阶段本不具备申办规划许可证的条件；合同被认定为包含施工法律关系、需申办规划许可手续的非典型合同的，同样不因此无效（P8022）。但无效主张被挡回不等于风险出清：因无法取得规划许可导致不能施工、合同目的无法实现的，守约方可依《民法典》第五百六十三条解除合同，并依第五百七十七条要求过错方承担违约责任（P8022）。名为工程总承包、实为施工承包的项目不享此待遇，仍按施工合同司法解释认定无效（P8022）。</w:t>
      </w:r>
    </w:p>
    <w:p>
      <w:pPr>
        <w:pStyle w:val="Heading2"/>
      </w:pPr>
      <w:r>
        <w:t>8.2 计价之败：5480万与4万元的分水岭</w:t>
      </w:r>
    </w:p>
    <w:p>
      <w:r>
        <w:rPr>
          <w:rFonts w:ascii="Calibri" w:hAnsi="Calibri" w:eastAsia="微软雅黑"/>
          <w:b w:val="0"/>
          <w:i w:val="0"/>
          <w:sz w:val="22"/>
        </w:rPr>
        <w:t>清单漏项责任的两个判例构成刻度悬殊的对照。最高法(2019)最高法民终379号案：招标清单与图纸的工程量总差额5480万元，其中已完工部分差额3588万余元，法院判令发包人承担80%、支付2870万余元——尽管招投标文件写明承包人对清单负有按招标资料及设计图纸计算复核的义务、招标前未提异议则工程量不予调整；发包人承担大头的关键在于招标时未提供图纸，承包人无从复核，而承包人自担的两成被评论方直称为"沉默的代价"（P8016、P8024、P8035）。太仓法院2025年10月审结的消防改造工程案走向另一端：3台风机设备及安装费因漏项列入清单，承包人主张4万余元，法院一分不予支持——合同白纸黑字写明错漏概由承包方负责，承包人作为专业公司投标前不核对、漏项后也未办签证（P8016、P8024）。</w:t>
      </w:r>
    </w:p>
    <w:p>
      <w:r>
        <w:rPr>
          <w:rFonts w:ascii="Calibri" w:hAnsi="Calibri" w:eastAsia="微软雅黑"/>
          <w:b w:val="0"/>
          <w:i w:val="0"/>
          <w:sz w:val="22"/>
        </w:rPr>
        <w:t>计价规则本身在换轨。GB 50500-2013第4.1.2条（强制性条文，已废止）规定招标工程量清单准确性、完整性由招标人负责；GB/T 50500-2024改为推荐性标准并拆为三段：单价合同下分部分项清单由发包人负责，总价合同下已标价分部分项清单由承包人负责，措施项目清单无论合同类型均由承包人负责。施行一年后，公开裁判文书中尚无直接援引第3.1.8条作为裁判依据的判决（P8016）。落到企业操作：总价合同下"自己标的价自己认账"，遇"无限风险"条款可以反制，但有机会提异议而不提，法律就当你认了（P8024）。</w:t>
      </w:r>
    </w:p>
    <w:p>
      <w:r>
        <w:rPr>
          <w:rFonts w:ascii="Calibri" w:hAnsi="Calibri" w:eastAsia="微软雅黑"/>
          <w:b w:val="0"/>
          <w:i w:val="0"/>
          <w:sz w:val="22"/>
        </w:rPr>
        <w:t>造价争议进入诉讼后的举证分配，直接决定谁承担不利后果。最高法民一庭规则：承包人提出具体造价数额并完成初步举证、发包人不予认可的，由发包人申请造价鉴定，不申请则按承包人主张的数额确定；发包人提出具体数额（如单方委托结算审核）、承包人不予认可的，由承包人申请鉴定，不申请则按发包人主张的数额确定（P8015）。依据是《民事诉讼法》第六十四条第一款"当事人对自己提出的主张，有责任提供证据"。另一条铁律来自《建工解释一》第二十九条：诉讼前已就工程价款结算达成协议，诉讼中一方申请造价鉴定的，法院不予准许（P8015）——结算协议一旦签下，鉴定之门关闭。</w:t>
      </w:r>
    </w:p>
    <w:p>
      <w:pPr>
        <w:pStyle w:val="Heading2"/>
      </w:pPr>
      <w:r>
        <w:t>8.3 程序之败：管辖、鉴定与撤裁的技术性翻车</w:t>
      </w:r>
    </w:p>
    <w:p>
      <w:r>
        <w:rPr>
          <w:rFonts w:ascii="Calibri" w:hAnsi="Calibri" w:eastAsia="微软雅黑"/>
          <w:b w:val="0"/>
          <w:i w:val="0"/>
          <w:sz w:val="22"/>
        </w:rPr>
        <w:t>相当比例的败诉发生在实体问题之前。上海市建纬律师事务所徐寅哲披露的两起挂靠纠纷展示管辖分歧：挂靠人张某向被挂靠企业住所地法院起诉追讨工程款，法院以纠纷因工程项目引起、应适用不动产专属管辖为由不予受理，要求向工程所在地法院起诉；浙江白云公司凭内部承包经营协议向工程所在地法院起诉挂靠人李某追偿垫付的材料款、劳务费，法院却认为双方系企业内部承包经营关系、不适用专属管辖，应由被告住所地法院管辖（P8002）。同为挂靠纠纷，起诉主体与案由的选择直接决定案件落在哪个法院。</w:t>
      </w:r>
    </w:p>
    <w:p>
      <w:r>
        <w:rPr>
          <w:rFonts w:ascii="Calibri" w:hAnsi="Calibri" w:eastAsia="微软雅黑"/>
          <w:b w:val="0"/>
          <w:i w:val="0"/>
          <w:sz w:val="22"/>
        </w:rPr>
        <w:t>联合体投标叠加上追索对象错位，构成工程总承包特有的主体位输点。法律层面仅有连带责任规定，散见于《建筑法》第二十七条（共同承包各方对承包合同的履行承担连带责任）、《招标投标法》第三十一条（联合体中标的，各方应当共同与招标人签订合同，就中标项目向招标人承担连带责任）与《政府采购法》第二十四条，对联合体纠纷的法律性质并无明确规定（P8017）。铜陵《指引》第六条填补空档：联合体相关纠纷宜类推适用合伙合同法律规范，但联合体设计人系发包人指定、发包人与联合体成员之间约定为其他法律关系的除外；发包人向部分联合体成员主张权利的，仲裁庭不应追加其他成员为共同被申请人——发包人要追全部成员，必须在申请仲裁时一次性列入；部分成员向发包人主张权利的，仲裁庭可参照《民事诉讼法》第一百三十五条追加其他成员参加仲裁；仅部分成员或牵头人与相对人签约、相对人再主张联合体其他成员承担责任的，仲裁庭应不予支持，但签约时对其他成员构成代理的除外（P8017）。据此，投标文件中的共同投标协议分工与签约代表授权，就是将来责任边界的第一份证据。</w:t>
      </w:r>
    </w:p>
    <w:p>
      <w:r>
        <w:rPr>
          <w:rFonts w:ascii="Calibri" w:hAnsi="Calibri" w:eastAsia="微软雅黑"/>
          <w:b w:val="0"/>
          <w:i w:val="0"/>
          <w:sz w:val="22"/>
        </w:rPr>
        <w:t>仲裁路径的实证数据给出撤裁风险量级。以2017年至2021年为样本区间，建工仲裁撤裁案件申请量除2018年达到254件外基本稳定在200件上下，五年合计1068件，其中82件裁决被法院撤销，撤裁比例约7.68%（数据来自威科先行·法律信息库，P8028）。撤裁高风险点集中在施工资质、施工质量、安全、经营合规（违法发包、转包、违法分包、挂靠）、审计监督、司法鉴定六方面（P8028）。</w:t>
      </w:r>
    </w:p>
    <w:p>
      <w:r>
        <w:rPr>
          <w:rFonts w:ascii="Calibri" w:hAnsi="Calibri" w:eastAsia="微软雅黑"/>
          <w:b w:val="0"/>
          <w:i w:val="0"/>
          <w:sz w:val="22"/>
        </w:rPr>
        <w:t>质量鉴定的操作规范同样是技术位输点。浙江省建筑安全技术学会《建筑工程质量纠纷鉴定工作指南》要求：鉴定机构收到委托后5个工作日内决定是否受理并书面通知委托人；确定2名以上鉴定人并签署承诺书；现场调查、勘验、检测由2名及以上鉴定人参加、经到场人员签字确认；司法机关或仲裁机构已对质量争议作出生效判决或决定、行政管理部门已作处理的委托不应受理；委托人或当事人拒不提供鉴定材料、拒不配合的可终止鉴定（P8012）。企业在制定鉴定攻防策略时，对照该清单即可预判程序卡点。</w:t>
      </w:r>
    </w:p>
    <w:p>
      <w:pPr>
        <w:pStyle w:val="Heading2"/>
      </w:pPr>
      <w:r>
        <w:t>8.4 标的之败：案例库入库案例中的四类输法</w:t>
      </w:r>
    </w:p>
    <w:p>
      <w:r>
        <w:rPr>
          <w:rFonts w:ascii="Calibri" w:hAnsi="Calibri" w:eastAsia="微软雅黑"/>
          <w:b w:val="0"/>
          <w:i w:val="0"/>
          <w:sz w:val="22"/>
        </w:rPr>
        <w:t>人民法院案例库入库案例提供了可直接引用的败诉样本。</w:t>
      </w:r>
    </w:p>
    <w:p>
      <w:r>
        <w:rPr>
          <w:rFonts w:ascii="Calibri" w:hAnsi="Calibri" w:eastAsia="微软雅黑"/>
          <w:b w:val="0"/>
          <w:i w:val="0"/>
          <w:sz w:val="22"/>
        </w:rPr>
        <w:t>其一，租了不该租的标的。指导案例170号（入库编号2021-18-2-111-001）：晶品酒店2011年7月27日经公开招标承租某物资供应站4120平方米办公大楼经营宾馆，租期15年（2011年9月1日至2026年8月31日）；裁判要点确立——违反行政规章一般不影响合同效力，但将经鉴定存在严重结构隐患、应尽快拆除的危房出租经营酒店，危及不特定公众人身财产安全，损害社会公共利益、违背公序良俗，合同无效，按双方过错大小担责（P8008）。经正规招标程序取得的合同，照样因标的物违法而整单无效。</w:t>
      </w:r>
    </w:p>
    <w:p>
      <w:r>
        <w:rPr>
          <w:rFonts w:ascii="Calibri" w:hAnsi="Calibri" w:eastAsia="微软雅黑"/>
          <w:b w:val="0"/>
          <w:i w:val="0"/>
          <w:sz w:val="22"/>
        </w:rPr>
        <w:t>其二，卖了不能按约交付的房。入库案例25（入库编号2023-07-2-091-003）：常某某2010年9月5日与某山公司签订商品房买卖合同、支付购房款4350万元，因开发商未按约交付具备正常使用功能的房屋，依《合同法》第94条与商品房买卖司法解释第12条获解约支持，利息按年利率4.9%暂计至2019年8月20日为1862.7622万元；某山公司认可的代收购房款仅1800万元，其余款项以"经济往来"抗辩（P8009）。</w:t>
      </w:r>
    </w:p>
    <w:p>
      <w:r>
        <w:rPr>
          <w:rFonts w:ascii="Calibri" w:hAnsi="Calibri" w:eastAsia="微软雅黑"/>
          <w:b w:val="0"/>
          <w:i w:val="0"/>
          <w:sz w:val="22"/>
        </w:rPr>
        <w:t>其三，验收合格与质保期届满挡不住共有权益主张。入库案例22（入库编号2023-07-2-091-001）确立业主委员会经业主大会授权可就业主共有事项、物业共同管理事项以自己名义起诉：某小区工程2014年11月21日竣工并经五方验收合格、质保期已届满，2020年9月成立的业主委员会仍提出质量缺陷修复及应建未建工程费用共计56215829.3元、240户业主不动产确权、逾期办证违约金162.92万元、退还2014年6月以来无前期物业合同依据而收取的物业费541967.4元等诉请（P8003）。</w:t>
      </w:r>
    </w:p>
    <w:p>
      <w:r>
        <w:rPr>
          <w:rFonts w:ascii="Calibri" w:hAnsi="Calibri" w:eastAsia="微软雅黑"/>
          <w:b w:val="0"/>
          <w:i w:val="0"/>
          <w:sz w:val="22"/>
        </w:rPr>
        <w:t>其四，在违法建筑上主张分利。入库案例29（入库编号2023-16-2-090-001）：南京某公司与沈某某2005年11月至2007年8月签订系列合建协议，沈某某承诺开工前注入启动资金不低于2000万元，南京某公司应交付建设用地20000平方米、实际仅交付8524平方米，合建房屋未取得建设工程规划许可证及施工许可证；裁判要点：违法建筑所涉房地产项目利益属非法利益，不受法律保护，不宜列为民事诉讼标的，相关利益方不享有合法诉权——沈某某双倍返还定金400万元、赔偿1254500.53元等主张随之失去合法基础（P8011）。</w:t>
      </w:r>
    </w:p>
    <w:p>
      <w:r>
        <w:rPr>
          <w:rFonts w:ascii="Calibri" w:hAnsi="Calibri" w:eastAsia="微软雅黑"/>
          <w:b w:val="0"/>
          <w:i w:val="0"/>
          <w:sz w:val="22"/>
        </w:rPr>
        <w:t>入库案例21（入库编号2023-07-2-090-002）从合作开发侧给出补偿算法：合资合作开发房地产合同因不可归责于双方的事由解除、未约定出资方投资权益补偿的，以土地增值收益为基础、按投资方实际投资比例并结合公平与诚信原则确定补偿金额——该案2002年5月11日协议约定动迁安置承包费140万元/亩，集团公司分笔支付前期投资款500万元、600万元并支出163.2万元购车款（P8007）。</w:t>
      </w:r>
    </w:p>
    <w:p>
      <w:pPr>
        <w:pStyle w:val="Heading2"/>
      </w:pPr>
      <w:r>
        <w:t>8.5 规则之变：2026年后的败诉风险迁移</w:t>
      </w:r>
    </w:p>
    <w:p>
      <w:r>
        <w:rPr>
          <w:rFonts w:ascii="Calibri" w:hAnsi="Calibri" w:eastAsia="微软雅黑"/>
          <w:b w:val="0"/>
          <w:i w:val="0"/>
          <w:sz w:val="22"/>
        </w:rPr>
        <w:t>《建工解释二》经最高法审判委员会2026年3月17日第1969次会议通过（P8006），于6月30日起施行（P8013），纠纷格局随之重排。震动最大的是实际施工人路径：旧规《建工解释一》第四十三条允许实际施工人突破合同相对性直接起诉发包人在欠付工程款范围内担责；新规第六条取消该直接起诉权，实际施工人原则上只能向有直接合同关系的转包人或违法分包人主张权利（P8013）。向上突破只剩代位权一条通道（第七条），且须满足《民法典》代位权行使要件，核心举证难点是证明转包人"怠于行使权利"——已明确不起诉、不与发包人结算或已丧失偿债能力（P8013）。第八条为农民工工资保留绿色通道（P8013）。对发包人，第六条是抵御直接追索的盾牌；对实际施工人，沿用旧思维径行起诉发包人将面临驳回。</w:t>
      </w:r>
    </w:p>
    <w:p>
      <w:r>
        <w:rPr>
          <w:rFonts w:ascii="Calibri" w:hAnsi="Calibri" w:eastAsia="微软雅黑"/>
          <w:b w:val="0"/>
          <w:i w:val="0"/>
          <w:sz w:val="22"/>
        </w:rPr>
        <w:t>中标后长期未签约的价格风险分配，深圳中院案例给出裁判样本：A公司2018年1月就某项目地基与基础工程公开招标，B公司中标并于当月底收到中标通知书，因项目审批未完成双方签订延期协议；2021年8月审批问题解决、重启签约谈判时，B公司要求按现行市场价调整单价，A公司拒绝，直至2024年成诉。法院认定：中标通知书发出即成立以完成案涉工程项目为目的的合同关系；书面合同三年多未签的根本原因在A公司招标时未完成法定审批手续，此前延迟的风险成本由过错方A公司承担；从发出中标通知书到审批解决历时三年半、远超合理预期，B公司基于2018年行情的报价要求按现行政府指导价调整具有合理因素；双方僵局致合同目的无法实现，解除合同关系的诉请获支持；A公司以B公司系失信被执行人为由索赔60万元被驳回——B公司仍在正常经营、持有对外债权与应收账款并承接多项工程，相关破产清算申请已被裁定不予受理（P8014）。</w:t>
      </w:r>
    </w:p>
    <w:p>
      <w:r>
        <w:rPr>
          <w:rFonts w:ascii="Calibri" w:hAnsi="Calibri" w:eastAsia="微软雅黑"/>
          <w:b w:val="0"/>
          <w:i w:val="0"/>
          <w:sz w:val="22"/>
        </w:rPr>
        <w:t>法律关系定性本身已成诉讼胜负开关。德恒律师代理的一宗破产衍生诉讼中，案件分别适用买卖合同司法解释还是建筑工程司法解释将直接产生不同经济后果，该案涉及业主方、总包方、分包方、实际运营维护人四个主体的合同链条，代理方以"本案属买卖合同纠纷、不应适用建筑工程司法解释"为第一层抗辩最终击退代位权诉讼（P8018）。新能源领域同一分歧公开化：2026年7月21日常设中国建设工程法律论坛与上海国际仲裁中心合办的新能源EPC合同纠纷论坛（70余名专家参会）上，光伏电站EPC合同被作为"承揽还是建设工程"的定性争点剖析——定性不同，业主与总包方的风险敞口完全不同；同场还讨论了变电站EPC总包方"协助并网"义务的边界，以及工程结算、设备迟延交付、电量未达约定、倒塔等典型争议（P8021）。</w:t>
      </w:r>
    </w:p>
    <w:p>
      <w:r>
        <w:rPr>
          <w:rFonts w:ascii="Calibri" w:hAnsi="Calibri" w:eastAsia="微软雅黑"/>
          <w:b w:val="0"/>
          <w:i w:val="0"/>
          <w:sz w:val="22"/>
        </w:rPr>
        <w:t>欠款清收端，最高人民法院与全国工商联2026年10月8日发布第二批民营经济领域纠纷多元化解10件典型案例，聚焦拖欠企业账款：案例一为混凝土公司与设计工程公司买卖合同纠纷（"法院+商会"联动破解建筑行业"三角债"），案例七为一揽子化解光伏工程施工纠纷，案例九为建设工程设计合同终止设计补偿款争议，解纷方式包括"穿透式""先解冻+分期付"等（P8031）。对被拖欠方，这批案例意味着诉讼之外多了商会调解通道；对拖欠方，则预示多元化解压力下的还款安排前置。</w:t>
      </w:r>
    </w:p>
    <w:p>
      <w:pPr>
        <w:pStyle w:val="Heading2"/>
      </w:pPr>
      <w:r>
        <w:t>本章要点</w:t>
      </w:r>
    </w:p>
    <w:p>
      <w:pPr>
        <w:pStyle w:val="ListBullet"/>
      </w:pPr>
      <w:r>
        <w:rPr>
          <w:rFonts w:ascii="Calibri" w:hAnsi="Calibri" w:eastAsia="微软雅黑"/>
          <w:b w:val="0"/>
          <w:i w:val="0"/>
          <w:sz w:val="22"/>
        </w:rPr>
        <w:t>效力攻击先核范围：以未招标主张合同无效，先比对《招标投标法》第三条、发改委16号令与843号文；起诉时已移出必须招标范围的，依《建工解释二》第一条不再当然无效。</w:t>
      </w:r>
    </w:p>
    <w:p>
      <w:pPr>
        <w:pStyle w:val="ListBullet"/>
      </w:pPr>
      <w:r>
        <w:rPr>
          <w:rFonts w:ascii="Calibri" w:hAnsi="Calibri" w:eastAsia="微软雅黑"/>
          <w:b w:val="0"/>
          <w:i w:val="0"/>
          <w:sz w:val="22"/>
        </w:rPr>
        <w:t>中标合同签后不加重：奖杯条款、履约保证金加码等背离中标合同实质性内容的另行约定依《招标投标法》第四十六条认定无效，勿以"鲁班奖条款"作扣款依据。</w:t>
      </w:r>
    </w:p>
    <w:p>
      <w:pPr>
        <w:pStyle w:val="ListBullet"/>
      </w:pPr>
      <w:r>
        <w:rPr>
          <w:rFonts w:ascii="Calibri" w:hAnsi="Calibri" w:eastAsia="微软雅黑"/>
          <w:b w:val="0"/>
          <w:i w:val="0"/>
          <w:sz w:val="22"/>
        </w:rPr>
        <w:t>清单复核留痕：总价合同下清单错漏自担已是2024版规则方向，投标发现漏项须发盖章疑问函，微信口头询问不构成有效异议。</w:t>
      </w:r>
    </w:p>
    <w:p>
      <w:pPr>
        <w:pStyle w:val="ListBullet"/>
      </w:pPr>
      <w:r>
        <w:rPr>
          <w:rFonts w:ascii="Calibri" w:hAnsi="Calibri" w:eastAsia="微软雅黑"/>
          <w:b w:val="0"/>
          <w:i w:val="0"/>
          <w:sz w:val="22"/>
        </w:rPr>
        <w:t>否认数额即申请鉴定：对对方提出的具体造价数额不认可又拒不申请鉴定的，法院将按对方主张数额裁判；结算协议签订后鉴定申请不再被准许。</w:t>
      </w:r>
    </w:p>
    <w:p>
      <w:pPr>
        <w:pStyle w:val="ListBullet"/>
      </w:pPr>
      <w:r>
        <w:rPr>
          <w:rFonts w:ascii="Calibri" w:hAnsi="Calibri" w:eastAsia="微软雅黑"/>
          <w:b w:val="0"/>
          <w:i w:val="0"/>
          <w:sz w:val="22"/>
        </w:rPr>
        <w:t>2026年后调整追索路径：实际施工人直接起诉发包人已被《建工解释二》第六条封死，向上追索改走代位权并前置固定"怠于行使权利"证据。</w:t>
      </w:r>
    </w:p>
    <w:p>
      <w:pPr>
        <w:pStyle w:val="ListBullet"/>
      </w:pPr>
      <w:r>
        <w:rPr>
          <w:rFonts w:ascii="Calibri" w:hAnsi="Calibri" w:eastAsia="微软雅黑"/>
          <w:b w:val="0"/>
          <w:i w:val="0"/>
          <w:sz w:val="22"/>
        </w:rPr>
        <w:t>定性先于争辩：工程总承包纠纷先争合同定性（买卖、承揽还是建设工程），定性结论直接决定招投标效力规则与司法解释适用范围。</w:t>
      </w:r>
    </w:p>
    <w:p>
      <w:pPr>
        <w:pStyle w:val="Heading2"/>
      </w:pPr>
      <w:r>
        <w:t>本章源增补</w:t>
      </w:r>
    </w:p>
    <w:p>
      <w:pPr>
        <w:pStyle w:val="ListBullet"/>
      </w:pPr>
      <w:r>
        <w:rPr>
          <w:rFonts w:ascii="Calibri" w:hAnsi="Calibri" w:eastAsia="微软雅黑"/>
          <w:b w:val="0"/>
          <w:i w:val="0"/>
          <w:sz w:val="22"/>
        </w:rPr>
        <w:t>P8035 造价人家园《EPC项目亏1700万，总价上限争议背后真相揭秘！》：E:\AI-Station\data\rss_harvest\articles\2026-10-03\造价人家园_EPC项目亏1700万，总价上限争议背后真相揭秘！-19211f5a.md —— 补锚 8.2 节最高法379号案工程量差额「5480万元」表述（源文含「差额高达54,800,877.12元」与「(2019)最高法民终379号案5480万元差异」原句）。</w:t>
      </w:r>
    </w:p>
    <w:p>
      <w:r>
        <w:rPr>
          <w:rFonts w:ascii="Calibri" w:hAnsi="Calibri" w:eastAsia="微软雅黑"/>
          <w:b w:val="0"/>
          <w:i w:val="0"/>
          <w:sz w:val="22"/>
        </w:rPr>
        <w:t>---</w:t>
      </w:r>
    </w:p>
    <w:p>
      <w:pPr>
        <w:pStyle w:val="Heading1"/>
      </w:pPr>
      <w:r>
        <w:t>第9章 重大失败案例档案：超概算、烂尾与问责</w:t>
      </w:r>
    </w:p>
    <w:p>
      <w:pPr>
        <w:ind w:left="454"/>
      </w:pPr>
      <w:r>
        <w:rPr>
          <w:rFonts w:ascii="Calibri" w:hAnsi="Calibri" w:eastAsia="微软雅黑"/>
          <w:b/>
          <w:i w:val="0"/>
          <w:color w:val="666666"/>
          <w:sz w:val="22"/>
        </w:rPr>
        <w:t>三态</w:t>
      </w:r>
      <w:r>
        <w:rPr>
          <w:rFonts w:ascii="Calibri" w:hAnsi="Calibri" w:eastAsia="微软雅黑"/>
          <w:b w:val="0"/>
          <w:i w:val="0"/>
          <w:color w:val="666666"/>
          <w:sz w:val="22"/>
        </w:rPr>
        <w:t>：[精编]</w:t>
      </w:r>
    </w:p>
    <w:p>
      <w:r>
        <w:rPr>
          <w:rFonts w:ascii="Calibri" w:hAnsi="Calibri" w:eastAsia="微软雅黑"/>
          <w:b w:val="0"/>
          <w:i w:val="0"/>
          <w:sz w:val="22"/>
        </w:rPr>
        <w:t>失败样本比成功样本更值得买断：每一个被通报的数字，都是别的企业替你交过的学费。本章把近年公开档案按终局分册编列——事故卷（丰城73人、深江铁路13人直到贵阳2人的责任链）、资金卷（财政部七轮隐债通报38起的账本）、程序卷（采购文件瑕疵与扬尘督察点名），末节补上事故之后司法战场的索赔路径。关键数字逐字括注源锚，合规岗可直接回溯底料核验。</w:t>
      </w:r>
    </w:p>
    <w:p>
      <w:pPr>
        <w:pStyle w:val="Heading2"/>
      </w:pPr>
      <w:r>
        <w:t>9.1 问责强度曲线：七轮通报38起与三重跃迁</w:t>
      </w:r>
    </w:p>
    <w:p>
      <w:r>
        <w:rPr>
          <w:rFonts w:ascii="Calibri" w:hAnsi="Calibri" w:eastAsia="微软雅黑"/>
          <w:b w:val="0"/>
          <w:i w:val="0"/>
          <w:sz w:val="22"/>
        </w:rPr>
        <w:t>地方政府隐性债务的问责框架，锚定于2017年第五次全国金融工作会议的定调——"严控地方政府债务增量，终身问责，倒查责任"。此后财政部于2022年5月、2022年7月、2023年11月、2024年9月、2025年（两批）、2026年9月先后开展七轮公开通报，累计38起典型案例（P9000、P9001）。首轮发生于2022年5月18日，财政部监督评价局发布《关于地方政府隐性债务问责典型案例的通报》，披露安庆、宁乡、信阳、兴义、贵溪、孟州、湖州、兰州8地案例；2022年7月29日的第二批同样8起，焦点转向融资平台公司违法违规融资新增隐债，首两轮合计16起 [own_calc:8+8=16]（P9000）。</w:t>
      </w:r>
    </w:p>
    <w:p>
      <w:r>
        <w:rPr>
          <w:rFonts w:ascii="Calibri" w:hAnsi="Calibri" w:eastAsia="微软雅黑"/>
          <w:b w:val="0"/>
          <w:i w:val="0"/>
          <w:sz w:val="22"/>
        </w:rPr>
        <w:t>第七轮的通报主体变了：2026年9月，中央纪委办公厅与财政部办公厅联合点名六起隐性债务追责问责典型案例，党的二十届四中全会"坚持统筹发展和安全，积极稳妥化解地方政府债务风险"的表述写进通报开头（P9003、P9004）。监管强度的三重跃迁已被数据钉死：其一，化债不实案例占比从历史均值25%—30%跃升至2026年的50%，成为问责第一大类型；其二，2026年6起案例中所有责任人一律受到警告以上处分，"诫勉谈话、批评教育、责令检查"首次完全绝迹；其三，两起"双开+移送司法"的处理，意味着隐性债务的定性从财经纪律升格为政治纪律（P9000）。</w:t>
      </w:r>
    </w:p>
    <w:p>
      <w:r>
        <w:rPr>
          <w:rFonts w:ascii="Calibri" w:hAnsi="Calibri" w:eastAsia="微软雅黑"/>
          <w:b w:val="0"/>
          <w:i w:val="0"/>
          <w:sz w:val="22"/>
        </w:rPr>
        <w:t>处分梯度在同一轮通报内部即可排成阶梯：安徽界首市城乡建设发展集团原董事长李攀政务警告、陕西渭南临渭区卫健局原局长曹杰政务警告、老城改造开发集团原总经理李安明党内警告，属于操作层追责；贵州省委原常委、毕节市委原书记吴胜华与四川宜宾市原副市长兰宏彬被开除党籍开除公职、涉嫌犯罪问题移送检察机关审查起诉，属于决策层顶格（P9003）。工程企业读这组阶梯只需记一句：隐债问责已实名化、终身化，"换届不理旧账"不再是能拖过追责期的侥幸。</w:t>
      </w:r>
    </w:p>
    <w:p>
      <w:pPr>
        <w:pStyle w:val="Heading2"/>
      </w:pPr>
      <w:r>
        <w:t>9.2 资金卷：化债不实与新增隐债的六本账</w:t>
      </w:r>
    </w:p>
    <w:p>
      <w:r>
        <w:rPr>
          <w:rFonts w:ascii="Calibri" w:hAnsi="Calibri" w:eastAsia="微软雅黑"/>
          <w:b w:val="0"/>
          <w:i w:val="0"/>
          <w:sz w:val="22"/>
        </w:rPr>
        <w:t>超概算与烂尾在公开档案里很少以"概算超支"的字样出现，更多藏在资金来源违规与化债造假的账本里。石化行业研究报告对EPC项目资金链断裂后果的概括是"合同分拆争议频发、里程碑节点支付阻滞、履约解除及造价全面失控"的商业与法律代价（P9024）。公益性项目一旦靠医院贷款、平台拆借、垫资回购筹资，支付链断裂即停工，停工即烂尾。</w:t>
      </w:r>
    </w:p>
    <w:p>
      <w:r>
        <w:rPr>
          <w:rFonts w:ascii="Calibri" w:hAnsi="Calibri" w:eastAsia="微软雅黑"/>
          <w:b w:val="0"/>
          <w:i w:val="0"/>
          <w:sz w:val="22"/>
        </w:rPr>
        <w:t>第一本账是删合同额充化债：安庆市将已用于质押融资的棚改政府购买服务协议合同额变更，对其中371.76亿元直接删除作为化债处理，质押物被实质性变更，银行风险敞口并未真正解除（P9000）。第二本是借新还旧：宁乡市以借新还旧方式偿还隐性债务4.17亿元并作化债处理，违反国办函〔2019〕40号文——置换后债务仍属隐性债务，不能降低隐性债务规模（P9000）。第三本是事业单位名义融资：信阳市第三人民医院以药品采购名义贷款2.5亿元用于新院项目（P9000）。第四本是政府购买服务之名行工程建设之实：孟州9.08亿元（P9000）。第五本是平台垫资：兴义、宁乡、湖州15.95亿元及兰州等地的平台公司垫资建设政府投资项目（P9000）。</w:t>
      </w:r>
    </w:p>
    <w:p>
      <w:r>
        <w:rPr>
          <w:rFonts w:ascii="Calibri" w:hAnsi="Calibri" w:eastAsia="微软雅黑"/>
          <w:b w:val="0"/>
          <w:i w:val="0"/>
          <w:sz w:val="22"/>
        </w:rPr>
        <w:t>第六本账最该被合同岗与财务岗联合盯防——虚报化债进度。2024年12月，界首市城乡建设发展集团所属乐居建设有限公司收到市财政局拨付的存量隐性债务化解资金1.82亿元，仅偿还隐性债务本金0.42亿元，却在统计监测系统上报化解1.82亿元，化债不实1.4亿元，虚报比例约77% [own_calc:1.4÷1.82≈76.9%]，原董事长李攀因此政务警告（P9003）。2026年新增两个样本把手法再推一层：渭南临渭区按区政府要求，由2家公立医院于2023年12月至2024年1月向金融机构举借1亿元，拆借给渭南市老城改造开发集团全资子公司渭南市医疗投资管理有限公司实施公益性项目；宜宾兰宏彬在2020年6月至2021年7月引进企业项目过程中违规决策补贴、审批区属融资平台代区投资促进局预付企业扶持资金，新增隐性债务37.7亿余元，负主要领导责任（P9003）。</w:t>
      </w:r>
    </w:p>
    <w:p>
      <w:r>
        <w:rPr>
          <w:rFonts w:ascii="Calibri" w:hAnsi="Calibri" w:eastAsia="微软雅黑"/>
          <w:b w:val="0"/>
          <w:i w:val="0"/>
          <w:sz w:val="22"/>
        </w:rPr>
        <w:t>后果端的样本是毕节：吴胜华2022年至2025年任市委书记期间对化债工作不抓不管，多次公开宣称"债都是前面欠的，凭什么让我还"，任期内全市债务余额不降反增，2024年隐性债务化债任务完成率仅20%、排名贵州省倒数第一（P9003）。落到操作层只有一条判断：凡付款来源指向医院贷款、平台拆借、垫资回购、化债资金冲抵的政府项目，签约前必须完成资金来源合规审查——这类资金随时可能被认定为违规，接单即承接了烂尾风险。</w:t>
      </w:r>
    </w:p>
    <w:p>
      <w:pPr>
        <w:pStyle w:val="Heading2"/>
      </w:pPr>
      <w:r>
        <w:t>9.3 事故卷（上）：丰城与深江的问责深度</w:t>
      </w:r>
    </w:p>
    <w:p>
      <w:r>
        <w:rPr>
          <w:rFonts w:ascii="Calibri" w:hAnsi="Calibri" w:eastAsia="微软雅黑"/>
          <w:b w:val="0"/>
          <w:i w:val="0"/>
          <w:sz w:val="22"/>
        </w:rPr>
        <w:t>2016年11月24日早晨7时40分许，采取EPC方式发包的江西丰城发电厂三期扩建工程冷却塔施工平台整体坍塌，73名正在平台上作业的农民工死亡，最小23岁、最大53岁，直接经济损失10197.2万元（P9012）。2017年9月15日，国务院事故调查组的调查报告在国家安监总局官网全文发布：建议追究各参建方及有关政府监管部门负责人刑事责任31人；责令工程总承包商中南电力设计院工程总承包停业整顿一年、吊销安全生产许可证、罚款2000万元；吊销施工单位河北亿能公司建筑工程施工总承包一级资质、吊销安全生产许可证、罚款2000万元（P9012）。这份报告的追问至今悬置：事故距住建部2016年5月20日建市〔2016〕93号文仅6个月，而自1984年9月18日国务院《关于改革建筑业和基本建设管理体制若干问题的暂行规定》首提工程总承包模式以来，行业始终没有专门立法，"对工程总承包企业作出停业整顿一年处罚"的法律依据成为制度缺口（P9012）。</w:t>
      </w:r>
    </w:p>
    <w:p>
      <w:r>
        <w:rPr>
          <w:rFonts w:ascii="Calibri" w:hAnsi="Calibri" w:eastAsia="微软雅黑"/>
          <w:b w:val="0"/>
          <w:i w:val="0"/>
          <w:sz w:val="22"/>
        </w:rPr>
        <w:t>深江铁路给出铁路条线的同构样本。2024年12月4日，深圳市宝安区航城街道洲石路新建深圳至江门铁路5标段施工现场地面坍塌，13人死亡，直接经济损失约7261万元；依事故调查报告，6家责任单位、28名责任人员被追责问责（P9007）。施工单位中铁四局被责令书面检查，11人问责：党委常委、副总经理刘光党内警告记过，副总工程师王圣涛党内严重警告（影响期二年）撤职，深江铁路5标项目经理部经理陈长满留党察看一年撤职，常务副经理王华留党察看二年撤职（P9007）。代建单位厦深铁路广东有限公司6人，江门段落指挥部指挥长周平被撤销党内职务、撤职，副总经理谭敦枝诫勉处理；勘察设计单位铁四院5人；其余3家单位合计分担6人 [own_calc:28-11-6-5=6]（P9007）。处分用语从党内警告一路排到留党察看二年、撤职、降职、记大过——重大事故的问责穿透到岗到人，"企业受罚、个人无事"的路径已不存在。</w:t>
      </w:r>
    </w:p>
    <w:p>
      <w:pPr>
        <w:pStyle w:val="Heading2"/>
      </w:pPr>
      <w:r>
        <w:t>9.4 事故卷（下）：三份通报里的共性漏洞</w:t>
      </w:r>
    </w:p>
    <w:p>
      <w:r>
        <w:rPr>
          <w:rFonts w:ascii="Calibri" w:hAnsi="Calibri" w:eastAsia="微软雅黑"/>
          <w:b w:val="0"/>
          <w:i w:val="0"/>
          <w:sz w:val="22"/>
        </w:rPr>
        <w:t>2026年7月14日16时40分，贵阳市高新区沙文生态科技产业园东部地块城中村改造项目五标段（设计施工总承包）发生物体打击事故，2名施工人员死亡，直接经济损失465万元；贵阳市政府9月23日批复认定为生产安全责任事故，10月10日在住建部全国平台公示（P9005）。公示把两笔账算到明面：监理单位大洲设计咨询集团合同约定配置13名专业监理人员，实际到岗只有4人，到岗率30.8% [own_calc:4÷13≈30.8%]，且擅自更换专业监理工程师与监理员、换岗人员资质不满足履职要求；建设单位贵州科学城产业集团被点名长期未按规定向施工单位拨付安全生产专项费用（P9005）。直接诱因落在吊装环节：未划定安全防护区域、未设置安全警示标识、未排查吊物下方现场环境、未按行业规范捆绑吊物拴拉溜绳（P9005）。施工、勘察、设计单位连同承担隐患整改督导职责的贵州时光序运营管理公司与建材供应方贵州煜城信建材有限公司一并进入责任名单——供建材也能被追责，是这份公示最该抄走的细节（P9005）。</w:t>
      </w:r>
    </w:p>
    <w:p>
      <w:r>
        <w:rPr>
          <w:rFonts w:ascii="Calibri" w:hAnsi="Calibri" w:eastAsia="微软雅黑"/>
          <w:b w:val="0"/>
          <w:i w:val="0"/>
          <w:sz w:val="22"/>
        </w:rPr>
        <w:t>长沙样本给出督办时间表：2026年8月26日10时左右，天心区新开铺街道天欣润府项目在拆除防护设施作业中3名工人高处坠落，送医救治无效死亡；8月28日住建部安全生产管理委员会办公室向湖南省住建厅下发督办通知书，8月31日公开并抄送长沙市人民政府与中国建筑股份有限公司；调查报告与警示教育视频须于10月26日前、处罚信息须于11月26日前上传全国工程质量安全监管信息平台（P9014）。乌兰察布样本给出密度：8月16日15:30兴和县年产6万吨非晶及纳米晶新材料建设项目起重机械伤害、同日18:48集宁区麒通花园棚户区改造项目高处坠落、8月21日17:16四子王旗乌兰花镇南梁片区给水管网改造工程管沟塌方，6天3起各1人死亡，9月1日市住建局通报把三个项目的建设、施工、监理单位及项目负责人一并点名（P9006）。把近年同类通报平铺，反复出现的漏洞是五个：替代防护缺失、工序衔接失管、安全培训走过场、现场监管缺位、赶工期压安全；2025年11月10日新疆生产建设兵团第十二师八一钢铁低温余热清洁供热工程顶管作业基坑未放坡无支护坍塌3死，同样落在这张清单内（P9006、P9014）。</w:t>
      </w:r>
    </w:p>
    <w:p>
      <w:pPr>
        <w:pStyle w:val="Heading2"/>
      </w:pPr>
      <w:r>
        <w:t>9.5 程序卷：采购文件瑕疵与扬尘督察的点名逻辑</w:t>
      </w:r>
    </w:p>
    <w:p>
      <w:r>
        <w:rPr>
          <w:rFonts w:ascii="Calibri" w:hAnsi="Calibri" w:eastAsia="微软雅黑"/>
          <w:b w:val="0"/>
          <w:i w:val="0"/>
          <w:sz w:val="22"/>
        </w:rPr>
        <w:t>采购端的失败以警告处罚收场，却足以推翻项目结果。广东省查处的第二批政府采购违法违规典型案例共7起（P9009）：其一，某项目招标文件对应急方案按"完善、详尽……得5分；完整、合理……得3分"打分，采购需求书却未设定任何应急相关标准及要求，构成《政府采购法实施条例》第六十八条第（七）项"评审标准中的分值设置未与评审因素的量化指标相对应"情形，违反实施条例第三十四条、财政部令第87号第五十五条与《政府采购需求管理办法》（财库〔2021〕22号）第九条，财政部门依《政府采购法》第七十一条对采购人、代理机构作出警告（P9009）。其二，某车辆项目把"企业规章制度"设为评审因素，与本项目合同履行无直接关联，违反实施条例第二十条第（二）项，依采购法第七十一条第（三）项对采购人与代理机构分别警告（P9009）。两案共同指向一条底线：评审条款必须可比对、可衡量、可核验，模糊主观表述即为埋雷（P9009）。</w:t>
      </w:r>
    </w:p>
    <w:p>
      <w:r>
        <w:rPr>
          <w:rFonts w:ascii="Calibri" w:hAnsi="Calibri" w:eastAsia="微软雅黑"/>
          <w:b w:val="0"/>
          <w:i w:val="0"/>
          <w:sz w:val="22"/>
        </w:rPr>
        <w:t>环保端的点名逻辑相似，执法移送率本身就是问题。湘潭市2025年PM2.5与重度及以上污染天数两项指标均未达省定考核目标，空气质量综合指数排名全省倒数第三；2026年6月、8月PM2.5浓度又分别同比反弹35.1%、4.8%；督察组发现该市城区49个在建工地中，住建部门仅移送扬尘污染问题线索5起，湘潭动力电池产业园土石方项目露天制砂、物料露天堆存且未配套任何抑尘措施（P9008）。判定依据已法典化：《中华人民共和国生态环境法典》2026年3月12日经第十四届全国人民代表大会第四次会议通过，要求施工单位在施工工地设置硬质围挡，并采取覆盖、分段作业、择时施工、洒水抑尘、冲洗地面和车辆等防尘降尘措施（P9008、P9034）。工地抑尘从执法事项升为法典义务，扬尘整改停工吃掉的是工期与利润。</w:t>
      </w:r>
    </w:p>
    <w:p>
      <w:pPr>
        <w:pStyle w:val="Heading2"/>
      </w:pPr>
      <w:r>
        <w:t>9.6 司法战场：侵权之诉、案例库规则与"不排除"认定</w:t>
      </w:r>
    </w:p>
    <w:p>
      <w:r>
        <w:rPr>
          <w:rFonts w:ascii="Calibri" w:hAnsi="Calibri" w:eastAsia="微软雅黑"/>
          <w:b w:val="0"/>
          <w:i w:val="0"/>
          <w:sz w:val="22"/>
        </w:rPr>
        <w:t>事故责任划分的最后一站在司法程序。上海市建纬（南京）律师事务所谭波代理的某EPC在建工程案中，原车间屋顶在浇筑作业时因设计错误坍塌，构成较大生产安全事故、群死群伤；作为受害方的总承包牵头人垫付了伤亡救助与赔偿费用，并承受工程修复加固损失，最终选择"无意思联络多人共同侵权之诉"而非违约之诉，依《民法典》第1171条、第1172条关于分别侵权连带责任与按份责任的规定，把设计、分包、监理、图审、建设单位一并列为共同被告——侵权路径的核心价值在于突破合同相对性，把事故报告所涉各责任主体拉进同一诉讼（P9010）。</w:t>
      </w:r>
    </w:p>
    <w:p>
      <w:r>
        <w:rPr>
          <w:rFonts w:ascii="Calibri" w:hAnsi="Calibri" w:eastAsia="微软雅黑"/>
          <w:b w:val="0"/>
          <w:i w:val="0"/>
          <w:sz w:val="22"/>
        </w:rPr>
        <w:t>责任认定的证据规则方面，最高法院案例库（2024年2月27日上线）入库号2023-16-2-114-001给出标尺：宁夏天瑞发电机组运行设备维修委托合同（2009年7月1日签订）履行中，2010年11月17日锅炉水冷壁管爆裂致2#机组停止运行7天，12月25日励磁机烧毁，索赔经济损失47081734元；裁判要旨明确，当事人未申请鉴定时，应综合事故发生的具体情况、合同约定、举证责任和法律规定对每次事故的责任明晰界定，不能简单以是否尽到合同义务判定责任承担（P9013）。起火原因不明的火灾另有专门规则：火灾事故认定书载明"不排除电气线路故障引发火灾"时，法院会把审查范围扩展至所有对空间、设施负有管理义务的主体——(2019)闽民申4433号案中，光美公司出租未取得建设工程规划许可证的厂房（2015年5月19日签约），认定书排除人为放火、雷击、自燃及生活用火不慎但不排除电气线路故障，法院酌定出租方对厂房占有使用费承担60%责任（P9011）。事故档案的司法续篇提示同一个动作：事发后第一时间固定各方管理与付款记录，比事后争辩责任比例有效得多。</w:t>
      </w:r>
    </w:p>
    <w:p>
      <w:pPr>
        <w:pStyle w:val="Heading2"/>
      </w:pPr>
      <w:r>
        <w:t>本章要点</w:t>
      </w:r>
    </w:p>
    <w:p>
      <w:pPr>
        <w:pStyle w:val="ListBullet"/>
      </w:pPr>
      <w:r>
        <w:rPr>
          <w:rFonts w:ascii="Calibri" w:hAnsi="Calibri" w:eastAsia="微软雅黑"/>
          <w:b w:val="0"/>
          <w:i w:val="0"/>
          <w:sz w:val="22"/>
        </w:rPr>
        <w:t>隐债问责已实名化、终身化：2026年六起通报全员警告以上、两起双开并移送检察机关，垫资承接政府公益性项目前先做"是否新增隐债"的资金来源审查（P9000、P9003）。</w:t>
      </w:r>
    </w:p>
    <w:p>
      <w:pPr>
        <w:pStyle w:val="ListBullet"/>
      </w:pPr>
      <w:r>
        <w:rPr>
          <w:rFonts w:ascii="Calibri" w:hAnsi="Calibri" w:eastAsia="微软雅黑"/>
          <w:b w:val="0"/>
          <w:i w:val="0"/>
          <w:sz w:val="22"/>
        </w:rPr>
        <w:t>化债不实占问责类型的一半：收到化债资金的项目公司必须让实还金额与监测系统上报口径一致并留凭证——界首0.42亿元实还与1.82亿元上报之间的1.4亿元差额就是处分缘由（P9003）。</w:t>
      </w:r>
    </w:p>
    <w:p>
      <w:pPr>
        <w:pStyle w:val="ListBullet"/>
      </w:pPr>
      <w:r>
        <w:rPr>
          <w:rFonts w:ascii="Calibri" w:hAnsi="Calibri" w:eastAsia="微软雅黑"/>
          <w:b w:val="0"/>
          <w:i w:val="0"/>
          <w:sz w:val="22"/>
        </w:rPr>
        <w:t>监理配置是合同承诺不是纸面数字：贵阳五标13人配置到岗4人被点名追责，总包对监理到岗率的月度核对应写入项目管理动作（P9005）。</w:t>
      </w:r>
    </w:p>
    <w:p>
      <w:pPr>
        <w:pStyle w:val="ListBullet"/>
      </w:pPr>
      <w:r>
        <w:rPr>
          <w:rFonts w:ascii="Calibri" w:hAnsi="Calibri" w:eastAsia="微软雅黑"/>
          <w:b w:val="0"/>
          <w:i w:val="0"/>
          <w:sz w:val="22"/>
        </w:rPr>
        <w:t>安全生产专项费用拨付必须留痕：建设单位长期未拨付专项费同样进责任名单，总包的催拨函与停工报告是把风险推回付款义务方的证据链（P9005）。</w:t>
      </w:r>
    </w:p>
    <w:p>
      <w:pPr>
        <w:pStyle w:val="ListBullet"/>
      </w:pPr>
      <w:r>
        <w:rPr>
          <w:rFonts w:ascii="Calibri" w:hAnsi="Calibri" w:eastAsia="微软雅黑"/>
          <w:b w:val="0"/>
          <w:i w:val="0"/>
          <w:sz w:val="22"/>
        </w:rPr>
        <w:t>事故索赔优先评估侵权之诉：《民法典》第1171条、第1172条可把设计、监理、图审单位拉入共同被告，覆盖面宽于受合同相对性约束的违约之诉（P9010）。</w:t>
      </w:r>
    </w:p>
    <w:p>
      <w:pPr>
        <w:pStyle w:val="ListBullet"/>
      </w:pPr>
      <w:r>
        <w:rPr>
          <w:rFonts w:ascii="Calibri" w:hAnsi="Calibri" w:eastAsia="微软雅黑"/>
          <w:b w:val="0"/>
          <w:i w:val="0"/>
          <w:sz w:val="22"/>
        </w:rPr>
        <w:t>失败档案的实操价值在数字本身：丰城10197.2万元损失对应31人刑责与总包、施工各2000万元罚款，深江7261万元对应6家单位28人问责——把这两组数字放进安全投入与投标风险测算表，比任何口号都硬（P9007、P9012）。</w:t>
      </w:r>
    </w:p>
    <w:p>
      <w:r>
        <w:rPr>
          <w:rFonts w:ascii="Calibri" w:hAnsi="Calibri" w:eastAsia="微软雅黑"/>
          <w:b w:val="0"/>
          <w:i w:val="0"/>
          <w:sz w:val="22"/>
        </w:rPr>
        <w:t>---</w:t>
      </w:r>
    </w:p>
    <w:p>
      <w:pPr>
        <w:pStyle w:val="Heading1"/>
      </w:pPr>
      <w:r>
        <w:t>第10章 招标代理与采购生态：机构格局与选择</w:t>
      </w:r>
    </w:p>
    <w:p>
      <w:pPr>
        <w:ind w:left="454"/>
      </w:pPr>
      <w:r>
        <w:rPr>
          <w:rFonts w:ascii="Calibri" w:hAnsi="Calibri" w:eastAsia="微软雅黑"/>
          <w:b/>
          <w:i w:val="0"/>
          <w:color w:val="666666"/>
          <w:sz w:val="22"/>
        </w:rPr>
        <w:t>三态</w:t>
      </w:r>
      <w:r>
        <w:rPr>
          <w:rFonts w:ascii="Calibri" w:hAnsi="Calibri" w:eastAsia="微软雅黑"/>
          <w:b w:val="0"/>
          <w:i w:val="0"/>
          <w:color w:val="666666"/>
          <w:sz w:val="22"/>
        </w:rPr>
        <w:t>：[精编]</w:t>
      </w:r>
    </w:p>
    <w:p>
      <w:r>
        <w:rPr>
          <w:rFonts w:ascii="Calibri" w:hAnsi="Calibri" w:eastAsia="微软雅黑"/>
          <w:b w:val="0"/>
          <w:i w:val="0"/>
          <w:sz w:val="22"/>
        </w:rPr>
        <w:t>招标代理是工程总承包交易链条上的中间层：它替招标人编文件、组开评标、协助定标签约，却长期游走在"谁付钱、听谁的"的灰色地带。2026年1月1日《工程建设项目招标代理机构管理暂行办法》（34号令）施行后，这层关系的法理、付费与责任边界被重新划定；同一时期，采购的形态也在从单场平台招标向供应商评价互认、跨境供应链征集、企业级集中采购延伸。本章以34号令官方解读为主线，交叉江西、福建、湖北房县三地交易平台文件与三类采购生态样本，给合规与经营岗位一套可操作的机构选择坐标。</w:t>
      </w:r>
    </w:p>
    <w:p>
      <w:pPr>
        <w:pStyle w:val="Heading2"/>
      </w:pPr>
      <w:r>
        <w:t>10.1 规则重锚：34号令确立的监管坐标</w:t>
      </w:r>
    </w:p>
    <w:p>
      <w:r>
        <w:rPr>
          <w:rFonts w:ascii="Calibri" w:hAnsi="Calibri" w:eastAsia="微软雅黑"/>
          <w:b w:val="0"/>
          <w:i w:val="0"/>
          <w:sz w:val="22"/>
        </w:rPr>
        <w:t>招标代理机构管理的新基准文件，是国家发展改革委会同工业和信息化部、住房城乡建设部、交通运输部、水利部、农业农村部联合印发的《工程建设项目招标代理机构管理暂行办法》，文号为六部门令第34号；全国公共资源交易平台于2025-10-30发布官方解读，明确其出台背景是落实《政府工作报告》关于改革完善招标投标体制机制的部署要求（P10000）。从文号结构看，发改牵头，工信、住建、交通、水利、农业农村五个行业主管部门联署，规则口径天然覆盖各条线的工程建设项目；跨行业投标的企业对照代理机构行为时，从此有了同一份部门规章作统一出处。</w:t>
      </w:r>
    </w:p>
    <w:p>
      <w:r>
        <w:rPr>
          <w:rFonts w:ascii="Calibri" w:hAnsi="Calibri" w:eastAsia="微软雅黑"/>
          <w:b w:val="0"/>
          <w:i w:val="0"/>
          <w:sz w:val="22"/>
        </w:rPr>
        <w:t>省级配套随即落地。江西省公共资源交易平台随即跟进，于2026-04-29发布《江西省工程建设项目招标代理机构管理办法（试行）》的解读，是34号令施行后公开落地的省级配套样本（P10014）。比规则文本更有信号价值的是执法动态：同一平台在2026-07-08公布了二季度代理机构场内负面行为公示，把代理机构在交易场所内的违规行为按季点名（P10014）。选择代理机构前的三步尽调由此成形：查省级负面行为公示记录、查其在相应行业的同类项目业绩、查其与招标人委托合同的收费条款是否合规——第三步直接引出下一节的付费规则。</w:t>
      </w:r>
    </w:p>
    <w:p>
      <w:pPr>
        <w:pStyle w:val="Heading2"/>
      </w:pPr>
      <w:r>
        <w:t>10.2 代理费之争：第十五条把"谁委托、谁付费"写死</w:t>
      </w:r>
    </w:p>
    <w:p>
      <w:r>
        <w:rPr>
          <w:rFonts w:ascii="Calibri" w:hAnsi="Calibri" w:eastAsia="微软雅黑"/>
          <w:b w:val="0"/>
          <w:i w:val="0"/>
          <w:sz w:val="22"/>
        </w:rPr>
        <w:t>34号令第十五条构建了"法定付费原则+约定例外规则+费用范畴禁区"的三层收费规范体系，确立的基本原则是招标代理服务费用应当由招标人支付。河北省发展和改革委员会王彦芳在《招标采购管理》2026年第7期撰文指出，这一条款的本质是回归"谁委托、谁付费"的委托代理法理本源，纠偏行业收费乱象、减轻投标企业经营负担（P10011）。</w:t>
      </w:r>
    </w:p>
    <w:p>
      <w:r>
        <w:rPr>
          <w:rFonts w:ascii="Calibri" w:hAnsi="Calibri" w:eastAsia="微软雅黑"/>
          <w:b w:val="0"/>
          <w:i w:val="0"/>
          <w:sz w:val="22"/>
        </w:rPr>
        <w:t>被纠偏的对象，是长期存在的"中标人支付代理费"惯例。法理逻辑并不复杂：招标代理机构与招标人之间是《民法典》规制的委托合同关系，代理机构作为受托人提供招标文件编制、开评标组织、协助定标签约等专业服务，付费义务自然落在委托人即招标人一侧；《招标投标法实施条例》第十四条早已规定"招标人应当与被委托的招标代理机构签订书面委托合同，合同约定的收费标准应当符合国家有关规定"。中标人作为竞争主体，与代理机构之间既无直接合同关系，亦无法定付费义务——任何要求中标人付费的约定，必须以中标人同意为前提才能产生约束力（P10011）。</w:t>
      </w:r>
    </w:p>
    <w:p>
      <w:r>
        <w:rPr>
          <w:rFonts w:ascii="Calibri" w:hAnsi="Calibri" w:eastAsia="微软雅黑"/>
          <w:b w:val="0"/>
          <w:i w:val="0"/>
          <w:sz w:val="22"/>
        </w:rPr>
        <w:t>规则虽明，实务纠纷并未消失。王彦芳归纳出四类高发问题：付费主体约定不清、费用混同转嫁、执行口径不一、异议投诉频发（P10011）。对投标企业的三条落地动作：其一，报价测算中剔除代理费科目，34号令施行后仍把这笔费用摊进投标报价，等于自我抬价；其二，收到"代理费从中标款中扣除"之类条款时，识别其为费用混同转嫁的典型样态，可在异议期内提出；其三，中标后被追索代理费的，以无合同关系、无法定义务为抗辩主线，必要时走投诉渠道。</w:t>
      </w:r>
    </w:p>
    <w:p>
      <w:pPr>
        <w:pStyle w:val="Heading2"/>
      </w:pPr>
      <w:r>
        <w:t>10.3 平台格局：省域一张网与两个EPC项目样本</w:t>
      </w:r>
    </w:p>
    <w:p>
      <w:r>
        <w:rPr>
          <w:rFonts w:ascii="Calibri" w:hAnsi="Calibri" w:eastAsia="微软雅黑"/>
          <w:b w:val="0"/>
          <w:i w:val="0"/>
          <w:sz w:val="22"/>
        </w:rPr>
        <w:t>平台侧的机构格局正在向省级统筹集中。江西打出"全省一张网 数据云共享"体系，省公共资源数智交易平台交易系统正式运行，其建设成果已亮相全国公共资源交易平台创新成果交流活动，尹弘赴省公共资源交易集团调研、2025年全省公共资源交易座谈会亦在该集团召开，省级平台组织形态向集团化集中（P10014）。福建的省级电子公共服务平台则配套了信息化工程项目招标规则与示范文本，并停止收取平台使用费以降低交易成本（P10013）。评标专家端的治理力度是判断平台环境的直观指标：江西2026-02-10公告清退123名省综合评标专家库评标专家，2026-09-07又公示拟清退房建市政行业146名评标专家，两轮合计269名 [own_calc:123+146=269]（P10014）。省发展改革委另召开全省工程建设项目招标投标领域专项整治工作专题部署会，与专家出清、负面行为公示构成本省治理组合（P10014）。专家池持续出清，意味着在该省投标时被劣质评审误伤的概率在下降，专家管理配套规则见第3章。</w:t>
      </w:r>
    </w:p>
    <w:p>
      <w:r>
        <w:rPr>
          <w:rFonts w:ascii="Calibri" w:hAnsi="Calibri" w:eastAsia="微软雅黑"/>
          <w:b w:val="0"/>
          <w:i w:val="0"/>
          <w:sz w:val="22"/>
        </w:rPr>
        <w:t>两个EPC项目样本可以看清"平台—代理—企业"三方的实际站位。福建侧：三钢集团产能置换（罗源闽光部分）及配套项目废钢配料车间二期EPC总承包工程，招标编号FJTP-0624231116050（项目编号E3500000009000455001），挂福建省国资采购平台，由福建省机电设备招标有限公司受福建罗源闽光钢铁有限责任公司委托组织公开招标；招标控制价6100万元（含100万元暂列金），工期自合同生效至热负荷试车10个月；违约金条款约定因承包人原因延误的，自延误第10日起每日3万元、自第20日起每日6万元，按合同总金额5%封顶——以控制价为基数折算封顶约305万元 [own_calc:6100万×5%=305万]（P10013）。该项目标书售卖截止2023-08-17 23:59:59、投标截止2023-08-31 09:30:00，窗口14天 [own_calc:2023-08-31−2023-08-17=14天]，违约条款的合同风险测算方法详见第7章。</w:t>
      </w:r>
    </w:p>
    <w:p>
      <w:r>
        <w:rPr>
          <w:rFonts w:ascii="Calibri" w:hAnsi="Calibri" w:eastAsia="微软雅黑"/>
          <w:b w:val="0"/>
          <w:i w:val="0"/>
          <w:sz w:val="22"/>
        </w:rPr>
        <w:t>江西侧：江西青年职业学院7号8号9号学生宿舍EPC总承包（投资项目代码2505-360000-04-05-786194），建筑面积24402.32平方米、框架结构7层、工期333天，公示信息时间2026-09-27；第一中标候选人为中国二十冶集团有限公司（联合体成员航天规划设计集团有限公司），报价71763523.29元，项目经理为建筑工程专业注册一级建造师，折算单方造价约2940.9元/平方米 [own_calc:71763523.29÷24402.32≈2940.9元/㎡]（P10012）。该项目招标范围覆盖施工图范围内全部施工、设计与采购安装调试并最终交钥匙，质量目标锚定江西省优质建设工程奖——代理机构在其中承担的程序组织工作量，正是招标人付费购买的服务对价。</w:t>
      </w:r>
    </w:p>
    <w:p>
      <w:pPr>
        <w:pStyle w:val="Heading2"/>
      </w:pPr>
      <w:r>
        <w:t>10.4 招标人主体责任：代理机构从"操盘"退回"受托"</w:t>
      </w:r>
    </w:p>
    <w:p>
      <w:r>
        <w:rPr>
          <w:rFonts w:ascii="Calibri" w:hAnsi="Calibri" w:eastAsia="微软雅黑"/>
          <w:b w:val="0"/>
          <w:i w:val="0"/>
          <w:sz w:val="22"/>
        </w:rPr>
        <w:t>与34号令并行的一条主线，是把决定权收回招标人手中。江西省2026-02-13印发《工程建设项目招标人主体责任清单》与《江西省领导干部违规干预和插手招标投标活动登记报告制度》，2026-02-24同步发布两份解读——前者清单化列明招标人在各环节的法定责任，后者把领导干部违规干预、插手招标投标活动的行为纳入登记报告（P10014）。两份文件组合的指向明确：代理机构是受托执行者，定标权、定规则权归招标人，越权操盘的代理行为有了被追责的制度出口。</w:t>
      </w:r>
    </w:p>
    <w:p>
      <w:r>
        <w:rPr>
          <w:rFonts w:ascii="Calibri" w:hAnsi="Calibri" w:eastAsia="微软雅黑"/>
          <w:b w:val="0"/>
          <w:i w:val="0"/>
          <w:sz w:val="22"/>
        </w:rPr>
        <w:t>县级平台的提醒函给出了更细的EPC操作口径。房县公共资源交易中心2025年3月25日发布《关于进一步规范工程总承包（EPC）模式政府投资项目招标活动的提醒》（文号01145506X/2025-32943），依据建标规〔2020〕8号与鄂建设规〔2021〕2号文件，提出两条硬约束：一是适用范围——建设内容明确、技术方案成熟、能够以工程项目清单描述发包人大部分要求的项目方可采用工程总承包；二是前置要件——发布招标文件前须具备发改立项或项目建议书、可行性研究报告批复、初步设计批复，企业投资项目则须核准或备案（P10015）。该提醒建议招标人强化在自主选择招标代理机构、编制招标文件、确定评标定标方式等方面的主体地位和法定权利，并以24小时专班方式提供项目全生命周期服务。投标企业的对应动作：进场前核对该省同类要件清单，缺件项目即使发标也埋着被推翻的程序风险；对代理机构代行定标实质判断的项目，可依主体责任清单锁定责任主体。</w:t>
      </w:r>
    </w:p>
    <w:p>
      <w:pPr>
        <w:pStyle w:val="Heading2"/>
      </w:pPr>
      <w:r>
        <w:t>10.5 采购生态外延：ESG互认、出海供应链与集采极限</w:t>
      </w:r>
    </w:p>
    <w:p>
      <w:r>
        <w:rPr>
          <w:rFonts w:ascii="Calibri" w:hAnsi="Calibri" w:eastAsia="微软雅黑"/>
          <w:b w:val="0"/>
          <w:i w:val="0"/>
          <w:sz w:val="22"/>
        </w:rPr>
        <w:t>代理与平台之外，采购生态的第二个维度是供应商能力被跨主体评价与复用。2026-09-17，中国联通、中国移动、中国电信、中国铁塔依据团体标准T/CAICI 135—2026《信息通信行业供应商ESG评价指南》联合启动2026年度供应商ESG评价，落实《中央企业绿色低碳供应链建设指引（试行）》"建立健全供应商绿色低碳分类分级动态管理机制"要求，运行原则为"评价对象各自遴选、共同纳入；评价过程统一组织、联合实施；评价结果共享互认、各自施用"，本轮规模上限120家；报名截止2026-09-21 18:00，确认通知9月30日前发出，10月8日起在线填报至10月20日18:00，填报窗口12天 [own_calc:10月20日−10月8日=12天]（P10005）。结果共享互认的机制含义值得经营岗位反复掂量：一处低分将在四家央企采购体系中同时可见，供应商ESG档案已经从加分项变成投标资产本身。</w:t>
      </w:r>
    </w:p>
    <w:p>
      <w:r>
        <w:rPr>
          <w:rFonts w:ascii="Calibri" w:hAnsi="Calibri" w:eastAsia="微软雅黑"/>
          <w:b w:val="0"/>
          <w:i w:val="0"/>
          <w:sz w:val="22"/>
        </w:rPr>
        <w:t>第二个维度是供应链资源网络出海。中建中东公司公开征集优质供应商、专业分包商及工程配套服务单位，类目横跨钢材、水泥、混凝土、幕墙门窗、机电消防、防水保温、新型建材等物资贸易，钢结构、机电、装饰、市政、PC预制构件等专业分包，以及国际物流、设计咨询、检验检测、数字建造、模块化建造等工程服务；该公司扎根中东超过20年，已在海湾地区实施百余个大型项目，而当地Emaar、Damac、Sohba、Samana、Ellington、Azizi等大型开发商近五年纷纷自建交付能力，反衬出可靠交付资源在海湾市场的稀缺（P10006）。对国内工程与材料企业，这类央企海外平台征集是进入中东市场的低摩擦入口，门槛在交付履历而非关系。</w:t>
      </w:r>
    </w:p>
    <w:p>
      <w:r>
        <w:rPr>
          <w:rFonts w:ascii="Calibri" w:hAnsi="Calibri" w:eastAsia="微软雅黑"/>
          <w:b w:val="0"/>
          <w:i w:val="0"/>
          <w:sz w:val="22"/>
        </w:rPr>
        <w:t>第三个维度是企业内集采能力的极限参照。核电EPC把采购难度推到顶点：华龙一号首堆工程涉及设备制造商5300多家、设备台套数超7万台套，设备采购呈"三高一长"特征——高安全等级、高单件价值（单台蒸汽发生器价值过亿元）、高技术门槛、长制造周期（反应堆压力容器投料到交货约36个月，主冷却剂泵订货到交付超30个月），关键设备拖期将造成每日数百万元的资金占用损失；中核工程以三级进度计划（工程总进度—专项进度—执行计划）把采购嵌入工程链条，2023年二级集采项目节资率达10%（P10008、P10001）。集采能力直接兑换为竞标胜负：江苏利港电厂220kV升压站EPC竞标中，安徽院投标总报价18415.0297万元，与第一名17988万元仅差427.03万元（2.37%），由此得出"供应链采办与分包溢价一旦超过2%即导致投标失利"的预警线（P10004、P10017）。放到行业底盘上看，2020年全国具有勘察设计资质的企业营业收入总计72496.7亿元（P10030），设计端对工程造价70%以上的源头控制力（P10004）决定了：采购与供应链管理已是工程企业投标竞争力的第一变量。区域化供给集群则是属地化采办的备选池样本：四川岳池输变电产业历经40年发展，已聚集施工企业22家、施工队伍1000支、从业人员16.8万人，2019年实现产值91亿元、税收4.3亿元（P10030）。</w:t>
      </w:r>
    </w:p>
    <w:p>
      <w:pPr>
        <w:pStyle w:val="Heading2"/>
      </w:pPr>
      <w:r>
        <w:t>本章要点</w:t>
      </w:r>
    </w:p>
    <w:p>
      <w:pPr>
        <w:pStyle w:val="ListBullet"/>
      </w:pPr>
      <w:r>
        <w:rPr>
          <w:rFonts w:ascii="Calibri" w:hAnsi="Calibri" w:eastAsia="微软雅黑"/>
          <w:b w:val="0"/>
          <w:i w:val="0"/>
          <w:sz w:val="22"/>
        </w:rPr>
        <w:t>34号令自2026-01-01施行、第十五条写明代理费由招标人支付，投标报价中仍摊入该费用即为自我抬价，遇转嫁条款应在异议期内提出（P10011）。</w:t>
      </w:r>
    </w:p>
    <w:p>
      <w:pPr>
        <w:pStyle w:val="ListBullet"/>
      </w:pPr>
      <w:r>
        <w:rPr>
          <w:rFonts w:ascii="Calibri" w:hAnsi="Calibri" w:eastAsia="微软雅黑"/>
          <w:b w:val="0"/>
          <w:i w:val="0"/>
          <w:sz w:val="22"/>
        </w:rPr>
        <w:t>选代理机构前先查省级负面行为公示与评标专家清退动态：江西年内已清退123名专家并公示拟再清退146名，平台治理强度可直接当作该省交易环境的代理指标（P10014）。</w:t>
      </w:r>
    </w:p>
    <w:p>
      <w:pPr>
        <w:pStyle w:val="ListBullet"/>
      </w:pPr>
      <w:r>
        <w:rPr>
          <w:rFonts w:ascii="Calibri" w:hAnsi="Calibri" w:eastAsia="微软雅黑"/>
          <w:b w:val="0"/>
          <w:i w:val="0"/>
          <w:sz w:val="22"/>
        </w:rPr>
        <w:t>EPC项目投标前核对三要件（立项或项目建议书、可研批复、初设批复），房县提醒函明确其为发布招标文件的前提，缺件项目不满足进场条件（P10015）。</w:t>
      </w:r>
    </w:p>
    <w:p>
      <w:pPr>
        <w:pStyle w:val="ListBullet"/>
      </w:pPr>
      <w:r>
        <w:rPr>
          <w:rFonts w:ascii="Calibri" w:hAnsi="Calibri" w:eastAsia="微软雅黑"/>
          <w:b w:val="0"/>
          <w:i w:val="0"/>
          <w:sz w:val="22"/>
        </w:rPr>
        <w:t>国资平台EPC项目在报价阶段即完成违约金测算——三钢二期样本为每日3万/6万元、合同总额5%封顶、控制价6100万元含暂列金100万元（P10013）。</w:t>
      </w:r>
    </w:p>
    <w:p>
      <w:pPr>
        <w:pStyle w:val="ListBullet"/>
      </w:pPr>
      <w:r>
        <w:rPr>
          <w:rFonts w:ascii="Calibri" w:hAnsi="Calibri" w:eastAsia="微软雅黑"/>
          <w:b w:val="0"/>
          <w:i w:val="0"/>
          <w:sz w:val="22"/>
        </w:rPr>
        <w:t>供应商评价进入跨央企互认时代：T/CAICI 135—2026框架下四家通信运营商的ESG结果共享互认、单轮上限120家，工程供应商的合规与ESG档案即未来投标资产（P10005）。</w:t>
      </w:r>
    </w:p>
    <w:p>
      <w:pPr>
        <w:pStyle w:val="ListBullet"/>
      </w:pPr>
      <w:r>
        <w:rPr>
          <w:rFonts w:ascii="Calibri" w:hAnsi="Calibri" w:eastAsia="微软雅黑"/>
          <w:b w:val="0"/>
          <w:i w:val="0"/>
          <w:sz w:val="22"/>
        </w:rPr>
        <w:t>采办能力决定竞标成败：中核工程二级集采节资率10%，而安徽院427.03万元（2.37%）的价差即告出局——把供应链溢价控制在2%以内应写入经营红线（P10001、P10004）。</w:t>
      </w:r>
    </w:p>
    <w:p>
      <w:pPr>
        <w:pStyle w:val="Heading2"/>
      </w:pPr>
      <w:r>
        <w:t>本章源增补</w:t>
      </w:r>
    </w:p>
    <w:p>
      <w:pPr>
        <w:pStyle w:val="ListBullet"/>
      </w:pPr>
      <w:r>
        <w:rPr>
          <w:rFonts w:ascii="Calibri" w:hAnsi="Calibri" w:eastAsia="微软雅黑"/>
          <w:b w:val="0"/>
          <w:i w:val="0"/>
          <w:sz w:val="22"/>
        </w:rPr>
        <w:t>P10017：E:\AI-Station\data\rss_harvest\articles\2026-09-22\建筑工程分包平台_中国能建拟中标4个项目-31ba700d.md（江苏利港电厂220kV升压站EPC总承包中标公告，用于10.5节安徽院18415.0297万元与第一名17988万元竞标价差数字的补锚）</w:t>
      </w:r>
    </w:p>
    <w:p>
      <w:r>
        <w:rPr>
          <w:rFonts w:ascii="Calibri" w:hAnsi="Calibri" w:eastAsia="微软雅黑"/>
          <w:b w:val="0"/>
          <w:i w:val="0"/>
          <w:sz w:val="22"/>
        </w:rPr>
        <w:t>---</w:t>
      </w:r>
    </w:p>
    <w:p>
      <w:pPr>
        <w:pStyle w:val="Heading1"/>
      </w:pPr>
      <w:r>
        <w:t>第11章 国际对标：FIDIC 体系与世行规则下的中资企业</w:t>
      </w:r>
    </w:p>
    <w:p>
      <w:pPr>
        <w:ind w:left="454"/>
      </w:pPr>
      <w:r>
        <w:rPr>
          <w:rFonts w:ascii="Calibri" w:hAnsi="Calibri" w:eastAsia="微软雅黑"/>
          <w:b/>
          <w:i w:val="0"/>
          <w:color w:val="666666"/>
          <w:sz w:val="22"/>
        </w:rPr>
        <w:t>三态</w:t>
      </w:r>
      <w:r>
        <w:rPr>
          <w:rFonts w:ascii="Calibri" w:hAnsi="Calibri" w:eastAsia="微软雅黑"/>
          <w:b w:val="0"/>
          <w:i w:val="0"/>
          <w:color w:val="666666"/>
          <w:sz w:val="22"/>
        </w:rPr>
        <w:t>：[融合]</w:t>
      </w:r>
    </w:p>
    <w:p>
      <w:r>
        <w:rPr>
          <w:rFonts w:ascii="Calibri" w:hAnsi="Calibri" w:eastAsia="微软雅黑"/>
          <w:b w:val="0"/>
          <w:i w:val="0"/>
          <w:sz w:val="22"/>
        </w:rPr>
        <w:t>出海投标的中资企业，面对的是两套与国内招标投标法体系平行运行的规则：一套以 FIDIC 合同条件为底座的商事规则，一套以世行集团廉政合规体系为代表的金融规则。本章把两套规则的文本结构、条款坐标、制裁联动与巨亏样本放在同一张桌面上对表，给出可直接用于国际投标决策的核对清单。</w:t>
      </w:r>
    </w:p>
    <w:p>
      <w:pPr>
        <w:pStyle w:val="Heading2"/>
      </w:pPr>
      <w:r>
        <w:t>一、FIDIC 文本坐标：三份条件书撑起的国际合同底座</w:t>
      </w:r>
    </w:p>
    <w:p>
      <w:r>
        <w:rPr>
          <w:rFonts w:ascii="Calibri" w:hAnsi="Calibri" w:eastAsia="微软雅黑"/>
          <w:b w:val="0"/>
          <w:i w:val="0"/>
          <w:sz w:val="22"/>
        </w:rPr>
        <w:t>FIDIC（国际咨询工程师联合会）1913年由欧洲三国咨询工程师协会发起成立，发起宗旨是共同促进成员协会的职业利益、向会员传播行业信息，成员协会现已覆盖80余国 (P11005)。中资承包商接触最多的施工合同条件——业内通称红皮书——1999年推出首版，官方名称"由雇主设计的房屋与工程建造合同条件"，ISBN 2-88432-022-9 (P11003)。该书正文之外附投标函、协议书、争议裁决协议三种格式文本，争议裁决协议正是 DAB（争议裁决委员会）机制的操作入口 (P11003)。</w:t>
      </w:r>
    </w:p>
    <w:p>
      <w:r>
        <w:rPr>
          <w:rFonts w:ascii="Calibri" w:hAnsi="Calibri" w:eastAsia="微软雅黑"/>
          <w:b w:val="0"/>
          <w:i w:val="0"/>
          <w:sz w:val="22"/>
        </w:rPr>
        <w:t>红皮书1999版的勘误表本身就是一张条款地图：Sub-Clause 1.1.2.9（定义条）、Sub-Clause 8.1（标题）与 Clause 9 均出现文字修正；付款事件序列图把 Sub-Clause 14.11 的“承包商签发最终报表”（issues）更正为“提交”（submits）；合同指南在 Sub-Clause 14.9 处将“EXEMPTION”更正为“RETENTION”（保留金）；Sub-Clause 20.3 中“专用条件”更正为“投标书附录” (P11003)。付款与争端两大机制，恰是海外项目索赔折损最重的环节——Clause 14 管资金流向，Sub-Clause 20.3 所在的争端章管分歧裁决，投标复核时这两部分须逐条过 (P11003)。EPC 合同条款风险的国内对照，见第7章。</w:t>
      </w:r>
    </w:p>
    <w:p>
      <w:r>
        <w:rPr>
          <w:rFonts w:ascii="Calibri" w:hAnsi="Calibri" w:eastAsia="微软雅黑"/>
          <w:b w:val="0"/>
          <w:i w:val="0"/>
          <w:sz w:val="22"/>
        </w:rPr>
        <w:t>多边开发银行项目另有一套底本：MDB 协调版施工合同条件，2006年3月第二版 (P11004)。版权页写明该版本"仅供参与行资助合同使用"，FIDIC 与各参与行以许可协议约束，未经书面许可不得复制、翻译、改编或存储检索 (P11004)。在亚行、亚投行、非洲开发银行融资的标书里，通用条件大概率已嵌入这套文本——世行系的采购合规要求由此直接进入合同义务层。分包链条上，FIDIC 于2011年发布施工分包合同条件首版，ISBN 978-2-88432-068-9，样本页还标注"NOT FOR CONTRACT USE"（不得直接用于签约）字样 (P11005)，提示总分包背靠背安排须按项目专用条件另行起草，不能照搬范本。</w:t>
      </w:r>
    </w:p>
    <w:p>
      <w:pPr>
        <w:pStyle w:val="Heading2"/>
      </w:pPr>
      <w:r>
        <w:t>二、世行新规：《廉政合规指南》28条框架与制裁联动</w:t>
      </w:r>
    </w:p>
    <w:p>
      <w:r>
        <w:rPr>
          <w:rFonts w:ascii="Calibri" w:hAnsi="Calibri" w:eastAsia="微软雅黑"/>
          <w:b w:val="0"/>
          <w:i w:val="0"/>
          <w:sz w:val="22"/>
        </w:rPr>
        <w:t>2025年末，世行集团公布新版 Integrity Compliance Guidelines（廉政合规指南），距旧版公布相隔15年 (P11006)。这份文件的意义不限于世行资助项目——它某种程度上标示了国际业务整体趋严的合规走向 (P11006)。旧版正文从第1条排到第11条，部分条款带小条；新版在正文前增设"目的与应用""定义"两节，正文分三块——A 介绍、B 核心原则（第1—13条）、C 内部控制（第14—28条），合计28条 [own_calc:28-11=17，条款数较旧版净增17条；28÷11≈2.5倍] (P11006)。</w:t>
      </w:r>
    </w:p>
    <w:p>
      <w:r>
        <w:rPr>
          <w:rFonts w:ascii="Calibri" w:hAnsi="Calibri" w:eastAsia="微软雅黑"/>
          <w:b w:val="0"/>
          <w:i w:val="0"/>
          <w:sz w:val="22"/>
        </w:rPr>
        <w:t>定义节对业务合作伙伴、共同行动、不当行为、政治公众人物、公职人员等术语给出解释，并写明"若《指南》中的定义与世行集团相关制裁程序冲突或不一致，以《指南》为主" (P11006)——一份指南取得对制裁程序文本的优先解释地位，在合规文件族里相当罕见。核心原则部分由旧版第1条、第2条（2.1—2.3）、第3条、第6.3条、第7条、第9条（9.1—9.3）、第10条（10.1、10.2）、第11条扩写而来；旧版"第2条责任"下3个一句话小条（领导层、个人责任、合规职责），被拆成"管理层角色""个人责任""廉政合规职责"3个独立条款，篇幅翻倍有余 (P11006)。内部控制部分承接旧版第4条内部政策（4.1—4.7）、第5条业务伙伴政策（5.1—5.6）、第6条内控（6.1、6.2）、第8条、第9.4条，新增"业务发展""合并与并购"两个全新条款，内控模块占去近半篇幅 (P11006)。</w:t>
      </w:r>
    </w:p>
    <w:p>
      <w:r>
        <w:rPr>
          <w:rFonts w:ascii="Calibri" w:hAnsi="Calibri" w:eastAsia="微软雅黑"/>
          <w:b w:val="0"/>
          <w:i w:val="0"/>
          <w:sz w:val="22"/>
        </w:rPr>
        <w:t>制裁联动逻辑写在旧版封面：确立（或完善）并实施让世行集团满意的廉政合规计划，是终止制裁、有条件免于制裁或提前终止制裁的主要条件 (P11006)；旧版正文语篇的主语基本是"受制裁方"或其相关主体，新版"目的与应用"第一条把适用对象扩展为受制裁实体及相关主体两组 (P11006)。合规体系是复牌门票，不是成本项。世行之外，多边机构的廉政标准正在趋同——亚投行项目投诉处理、独立评价与廉政局局长卡门·诺奈的点破很直接：基础设施项目要素复杂、涉及大量财务资源与重大决策，腐败带来的竞争扭曲、成本增加、声誉受损后果严重 (P11018)。行业接口已经打通：2026年9月8—10日，第四届亚太廉洁合规论坛暨2026国际工程合规经营论坛在北京亚洲金融大厦举行，厦门国家会计学院、亚洲开发银行、多边开发融资合作中心（MCDF）、中国对外承包工程商会、亚投行五家联办，300余名代表参会 (P11018)；圆桌环节汇集世行集团常务副行长兼首席行政官张文才、财政部国库司副司长郑涌、中交集团总法律顾问兼首席合规官慈正开，以及亚行、亚投行、非洲开发银行廉政条线负责人 (P11018)。亚行副行长斯科特·莫里斯在会上定调："廉洁合规不是发展的制约，而是发展的基础" (P11018)。承包商会副会长张湘的观察更贴近企业：会员企业合规体系建设正由"规则底线"转化为"增长优势" (P11018)。国内围串标认定、失信黑名单的门槛与世行制裁的证据标准对照，见第5章。</w:t>
      </w:r>
    </w:p>
    <w:p>
      <w:pPr>
        <w:pStyle w:val="Heading2"/>
      </w:pPr>
      <w:r>
        <w:t>三、ENR 双榜镜像：规模首位与含金量缺口</w:t>
      </w:r>
    </w:p>
    <w:p>
      <w:r>
        <w:rPr>
          <w:rFonts w:ascii="Calibri" w:hAnsi="Calibri" w:eastAsia="微软雅黑"/>
          <w:b w:val="0"/>
          <w:i w:val="0"/>
          <w:sz w:val="22"/>
        </w:rPr>
        <w:t>2026年8月21日，ENR 发布2026年度"全球最大250家国际承包商"榜单：75家中国内地企业入围，数量居各国首位；土耳其48家列第二，美国41家第三，意大利与日本各11家，西班牙与韩国各10家 (P11008)。中企2025年度国际营业额合计1427.7亿美元，同比提高12%，占全部上榜企业国际营业总额的25.9%，较上年提高0.5个百分点 (P11008)。上一年度榜单（按2024年数据）的同组数字为76家、1273.2亿美元、25.4% (P11033)，一年净增154.5亿美元 [own_calc:1427.7-1273.2=154.5]。同口径下，法国企业864亿美元（同比+5.8%，占15.7%）、西班牙802.4亿美元（同比+20.6%，占14.6%）、美国307.4亿美元（同比-6.2%，占5.6%）、韩国274.6亿美元（同比-13.4%，占5%）(P11008)。</w:t>
      </w:r>
    </w:p>
    <w:p>
      <w:r>
        <w:rPr>
          <w:rFonts w:ascii="Calibri" w:hAnsi="Calibri" w:eastAsia="微软雅黑"/>
          <w:b w:val="0"/>
          <w:i w:val="0"/>
          <w:sz w:val="22"/>
        </w:rPr>
        <w:t>头部阵营：中交第4（275亿美元）、中建第6（191亿美元）、中电建第7（153亿美元）、中铁建第9（115亿美元），4家稳居前十；进入前50的中企10家，较上年度减少1家 (P11008)。榜首西班牙 ACS（与控股的德国霍赫蒂芙联合申报）528.6亿美元、同比增13%（2024年为467.2亿美元），法国万喜498.4亿美元、布依格317.8亿美元分列二三 (P11008)；前十其余席位由奥地利斯特拉巴格、瑞典斯堪斯卡、荷兰法罗里奥（总部迁至荷兰后自2023年以来重回前十）占据 (P11008)。上一年度榜单的竞争格局可作参照：土耳其44家、美国42家、韩国12家 (P11033)，一年后土耳其增至48家、美国回落到41家 (P11008)；ACS 在2025年度曾以12.3%的增速重回榜首，动因是全球能源转型、高科技基建需求走强及其美国、澳大利亚、西班牙主力市场需求旺盛 (P11033)。75家中企平均国际营业额19.04亿美元、同比提高13.67%；平均国际业务占比11.2%、提升1.7个百分点 (P11008)——以平均数回乘家数 [own_calc:19.04×75=1428≈1427.7]，与总量口径自洽。</w:t>
      </w:r>
    </w:p>
    <w:p>
      <w:r>
        <w:rPr>
          <w:rFonts w:ascii="Calibri" w:hAnsi="Calibri" w:eastAsia="微软雅黑"/>
          <w:b w:val="0"/>
          <w:i w:val="0"/>
          <w:sz w:val="22"/>
        </w:rPr>
        <w:t>结构短板看个案。中国中冶2025年度国际榜第37名，较上年第47名跃升10位，创近十五年最佳；全球榜却列第7、连续17年位居全球前十，双榜倒挂30个位次 (P11001)。中建、中交等央企双榜落差通常在10—15个位次，30位次的倒挂在大型央企里相当罕见 (P11001)。ENR 国际榜以境外营业收入为核心排序依据，第37名意味着中冶2024年度境外营收已跻身全球承包商前15%行列 (P11001)；四年间其排名累计上升16个位次、年均约4位 (P11001)。其2024年营业收入5520.25亿元，国际收入占比仅约5.1% [own_calc:5520.25×5.1%≈281.5亿元] (P11001)，排名轨迹为第53名（2021年）→第47名（2022年）→第47名（2024年）→第37名（2025年）(P11001)；细分市场上，国际工业建设排名由第3升至第2，该领域涵盖冶金、石化、制药等工业设施的工程承包 (P11001)。设计侧的榜单幻觉更典型：电建连续6年蝉联 ENR 全球工程设计公司150强榜首，剥离国内体量后的国际225强仅列第15，能建第14；中国交建从2024年第6位跌至2026年第25位，苏交科由第67位跌到第97位，中国铁设从第38位退到第62位 (P11012)；全球150强前150名内的中国设计企业由2024年22家降至2025年21家、2026年约18家，呈"头部透支国内红利、腰部持续失血"的递减结构 (P11012)。榜单幻觉的危害在企业战略层：把"国内做大"等同于"国际做强"，资源配置随即偏差 (P11012)。可执行的结论：判断国际化成色，只认国际榜名次与国际业务占比两个口径，全球总营收榜只反映国内市场体量外溢 (P11012)。</w:t>
      </w:r>
    </w:p>
    <w:p>
      <w:r>
        <w:rPr>
          <w:rFonts w:ascii="Calibri" w:hAnsi="Calibri" w:eastAsia="微软雅黑"/>
          <w:b w:val="0"/>
          <w:i w:val="0"/>
          <w:sz w:val="22"/>
        </w:rPr>
        <w:t>区域与业务分布（2025年度口径）给投标布局提供坐标：欧洲市场上榜企业营业额1262.9亿美元、占25.2%居首，亚洲800.1亿美元第二，美国766.2亿美元第三，中东占15.1%、非洲10.5%、澳大利亚7%、拉美加勒比6.2% (P11033)；交通运输建设1551.1亿美元、占30.9%为第一领域，房建占20.5%、石化13.9%、电力10.3%，四领域合计75.6% (P11033)。地方梯队也在爬坡：江苏8家企业上榜2025年度榜单，中国江苏国际第130位、江苏省建工第165位、正太集团第245位 (P11033)。中企传统强区在亚洲、非洲、中东，与欧洲、美国的高占比市场存在结构性错位——补齐欧美规则功课，是国际化的下一程。</w:t>
      </w:r>
    </w:p>
    <w:p>
      <w:pPr>
        <w:pStyle w:val="Heading2"/>
      </w:pPr>
      <w:r>
        <w:t>四、巨亏账单：规则不熟的定价</w:t>
      </w:r>
    </w:p>
    <w:p>
      <w:r>
        <w:rPr>
          <w:rFonts w:ascii="Calibri" w:hAnsi="Calibri" w:eastAsia="微软雅黑"/>
          <w:b w:val="0"/>
          <w:i w:val="0"/>
          <w:sz w:val="22"/>
        </w:rPr>
        <w:t>榜单之外是账单，四单巨亏样本足以画像。TJ 公司中东某轻轨项目：合同确认收入约120.51亿元，预计总成本160.45亿元，另有1.54亿元财务费用，最终净亏41.48亿元 [own_calc:41.48÷120.51≈34.4%，每百元合同收入亏约34元] (P11031)，企业口径的解释是实际工程量较签约时大幅增加 (P11031)。ZY 公司西澳某铁矿工程：总包合同约11.06亿美元、补充协议再增约6.44亿美元 [own_calc:11.06+6.44=17.5亿美元]，综合完工率约90%时计提约31亿元合同预计损失 (P11031)。ZT 公司联合体东欧某高速公路：两个标段合计约49公里，施工两年后因严重亏损与资金短缺退出，确认亏损5.50亿元，且面临业主巨额赔偿要求 (P11031)。ZJ 公司加勒比某度假村：工程接近完工时业主申请破产保护，形成约19.28亿元账面风险敞口 (P11031)——完工度从来不等于回款安全。</w:t>
      </w:r>
    </w:p>
    <w:p>
      <w:r>
        <w:rPr>
          <w:rFonts w:ascii="Calibri" w:hAnsi="Calibri" w:eastAsia="微软雅黑"/>
          <w:b w:val="0"/>
          <w:i w:val="0"/>
          <w:sz w:val="22"/>
        </w:rPr>
        <w:t>归因链条相当一致。事后的解释高度雷同：变更多、人效低、材料涨价、汇率波动、工期紧张、政治环境复杂 (P11031)；真正的病灶在投标时点就已埋下——工程量边界模糊、设计成熟度不足、属地数据缺失，仍用乐观工效、理想采购价、最低风险准备金组价，先把标拿到手再指望项目部"挤出利润" (P11031)。复盘时该问的四个问题更扎心：风险为什么在投标前没被识别？识别后为什么没被规避？偏差出现后为什么只能靠加人、加班、加设备救火？现场问题解决了，成本为什么收不回来 (P11031)？这四家企业都不缺技术、不缺人才，拥有世界级的工程动员能力与资金保障 (P11031)——动员能力越强，亏损工程的规模反而越大。隐性成本清单同样具体：极端高温、斋月朝拜、签证、清关、材料认证、技术报批、真实人效、设备维修、备件周期 (P11031)。采购环节的权重决定失误的放大倍数——工业类 EPC 项目采购额占合同额40%—60% (P11028)，投标阶段招标文件解读、概算询价估价、价格汇总的任何遗漏都会按这个比例放大；执行阶段还须闯过计划编制、选商、催交、检验、物流运输、现场材料管理各道风险关口 (P11028)。采购策划阶段的功课有三项：调研所在国政治、经济、自然环境并制定防范措施；吃透当地标准规范；熟悉当地进出口许可（含贸易壁垒）、税费、物流运输的特殊规定 (P11028)。政治风险的处置路径也有章可循：投标前以实地调研、专家咨询评估东道国风险，超出企业风险阈值的项目直接放弃，未超阈值者以购买保险、引入当地合作伙伴转移分散 (P11028)。</w:t>
      </w:r>
    </w:p>
    <w:p>
      <w:r>
        <w:rPr>
          <w:rFonts w:ascii="Calibri" w:hAnsi="Calibri" w:eastAsia="微软雅黑"/>
          <w:b w:val="0"/>
          <w:i w:val="0"/>
          <w:sz w:val="22"/>
        </w:rPr>
        <w:t>利润率对标给出行业底色：美国福陆2019年营业收入约143亿美元、利润2.248亿美元、营业利润率仅1.57% (P11034)；同年其新签合同额126亿美元、较2018年下滑54.5%，存续合同额327亿美元、下滑18.3% (P11034)。国际工程本就是薄利行业，中资海外 EPC 项目利润率普遍低于欧美咨询设计同行 (P11012)——一单41.48亿元的亏损，需要约22个同规模、按福陆利润率运营的项目才能填平 [own_calc:41.48÷(120.51×1.57%)≈21.9]。一句复盘戳破窗户纸：如果一家企业只有在项目亏损以后才能摸清风险，它拥有的不是海外风险的管控能力，只是海外亏损的复盘能力 (P11031)。合同条款层面的防御工事——索赔、变更、调价、不可抗力——见第7章；争议落地后的仲裁与诉讼路径、败诉原因谱系见第8章。</w:t>
      </w:r>
    </w:p>
    <w:p>
      <w:pPr>
        <w:pStyle w:val="Heading2"/>
      </w:pPr>
      <w:r>
        <w:t>五、出海操作系统：条例修订、属地修法与角色转型</w:t>
      </w:r>
    </w:p>
    <w:p>
      <w:r>
        <w:rPr>
          <w:rFonts w:ascii="Calibri" w:hAnsi="Calibri" w:eastAsia="微软雅黑"/>
          <w:b w:val="0"/>
          <w:i w:val="0"/>
          <w:sz w:val="22"/>
        </w:rPr>
        <w:t>监管端正在换版。商务部2026年10月10日发布《对外承包工程管理条例（修订草案）》并公开征求意见，截止2026年11月9日，可经商务部网站"互动交流—征求意见"栏目、邮箱 hzs_gcc@mofcom.gov.cn 或传真010-65197992提交意见 (P11002)。修订方向在第四条看得最清楚：开展对外承包工程的总括义务新增"维护国家安全"；"信守合同"改为"信守合同合规经营"；义务清单加入"履行社会责任" (P11002)。"合规经营"由行业倡导语汇升格为条例义务表述，与世行新版《指南》的内部控制模块形成境内外规则的对表。条例在国内招投标监管总图景中的位置，见第1章。</w:t>
      </w:r>
    </w:p>
    <w:p>
      <w:r>
        <w:rPr>
          <w:rFonts w:ascii="Calibri" w:hAnsi="Calibri" w:eastAsia="微软雅黑"/>
          <w:b w:val="0"/>
          <w:i w:val="0"/>
          <w:sz w:val="22"/>
        </w:rPr>
        <w:t>属地端的立法调整在2026年三季度密集落地：越南8月24日经第十六届国会第一次特别会议通过第24/2026/QH16号法律，修订第143/2025/QH15号《投资法》，重整附条件经营行业清单并调整建设、道路安全领域要求，原则上2027年3月1日生效、部分条款2027年1月1日先行 (P11007)；柬埔寨发展理事会投资委员会8月27日发布第1555/26 CIB号指引，要求制造业合格投资项目在期限内落实不低于法定最低门槛的实际投资资本 (P11007)；沙特拟制定《承包活动许可条例》强化建筑承包准入管理，马来西亚《跨境破产法2026》建立跨境破产承认与协作制度，印尼重塑政府采购电子目录并强化电子采购、履约担保与价格基准要求 (P11007)；菲律宾总统8月18日签署第122号行政命令，建立关键矿产产业国家政策框架 (P11007)。市场端，惠誉预测哈萨克斯坦基建行业2026年增长6.4%、2026—2035年年均4.8%，交通基建2026年增速8.5%、预测期年均6.9%，储备项目总投资超85亿美元、其中规划阶段超68亿美元，公路、铁路领域预测期年均增速分别为6.8%、7.7% (P11017)；该国既是"一带一路"共建国家、"跨里海国际运输通道"节点，也已是欧盟在中亚的重要贸易伙伴 (P11017)——中亚过境枢纽竞赛为中资交通承包商留出窗口。</w:t>
      </w:r>
    </w:p>
    <w:p>
      <w:r>
        <w:rPr>
          <w:rFonts w:ascii="Calibri" w:hAnsi="Calibri" w:eastAsia="微软雅黑"/>
          <w:b w:val="0"/>
          <w:i w:val="0"/>
          <w:sz w:val="22"/>
        </w:rPr>
        <w:t>角色转型已经开跑。1976年通车的坦赞铁路以69位中方专家长眠异国为代价；2025年重启的坦赞铁路激活项目，改用"建设—运营—移交"（BOT）市场化模式 (P11024)。全行业2025年新签合同额逼近3000亿美元，中老铁路全程采用中国标准 (P11024)。细分战场上，伊拉克2024年招标中企赢得13个项目中的10个；沙特阿美钻修井市场，中石化中原工程、华北工程的多支钻井队包揽阿美全球承包商综合业绩排名前三，并签署10年长周期钻井与修井合同 (P11030)；中企已深度嵌入沙特能源产业链——贾夫拉气田增产、天然气主干网 MGS-3 三期扩建（管线总长约4153公里、整体投资约120亿美元级）、延布炼厂炼化一体化（YASREF）——累计获得 EPC 总承包及油田技术服务合同金额超百亿美元 (P11030)。拉美窗口同步打开：智利卡斯特政府2026年3月就职至8月底，环评体系（SEIA）审批通过投资项目总额329.23亿美元，创二十年间新政府执政初期纪录，为前几届政府同期的2.9—4.2倍；尚有361个项目处于环评阶段，潜在投资额887.48亿美元、相当于智利 GDP 的23%，可创造约17.2万个就业岗位 (P11009)。承包商会会长房秋晨对转型方向的概括是：面对东道国对属地化用工、社区责任、ESG 不断提高的要求，行业企业已从过去单纯的工程交付全面转向全链条属地化运营 (P11016)；房秋晨另有判断：供应链是国际工程的"生命线"，须建立承包商、装备制造、建材、物流、金融服务各方的协同机制 (P11011)。能力建设的行业标尺也在更新：2026年10月22—23日在成都举办的第五届国际工程管理大会，集中发布《国际工程项目经理能力评价标准（2026年修订版）》与《国际工程项目管理》系列教材 (P11020)。人员资质与准入政策的国内改革动向见第6章；2026—2029年合规趋势的完整判断，见第12章。</w:t>
      </w:r>
    </w:p>
    <w:p>
      <w:pPr>
        <w:pStyle w:val="Heading2"/>
      </w:pPr>
      <w:r>
        <w:t>本章要点</w:t>
      </w:r>
    </w:p>
    <w:p>
      <w:pPr>
        <w:pStyle w:val="ListNumber"/>
      </w:pPr>
      <w:r>
        <w:rPr>
          <w:rFonts w:ascii="Calibri" w:hAnsi="Calibri" w:eastAsia="微软雅黑"/>
          <w:b w:val="0"/>
          <w:i w:val="0"/>
          <w:sz w:val="22"/>
        </w:rPr>
        <w:t>判断国际化成色只认两个口径——ENR 国际榜名次与国际业务占比（75家中企平均11.2%，中冶仅约5.1%）；全球总营收榜会放大国内体量幻觉，中冶双榜倒挂30个位次即为样本 (P11008/P11001)。</w:t>
      </w:r>
    </w:p>
    <w:p>
      <w:pPr>
        <w:pStyle w:val="ListNumber"/>
      </w:pPr>
      <w:r>
        <w:rPr>
          <w:rFonts w:ascii="Calibri" w:hAnsi="Calibri" w:eastAsia="微软雅黑"/>
          <w:b w:val="0"/>
          <w:i w:val="0"/>
          <w:sz w:val="22"/>
        </w:rPr>
        <w:t>FIDIC 三份基础文本（红皮书1999、MDB 协调版2006年3月第二版、分包条件2011）构成世行系项目的合同底座，投标前逐条核对 Clause 14 付款流与 Sub-Clause 20.3 所在的争端裁决章 (P11003/P11004/P11005)。</w:t>
      </w:r>
    </w:p>
    <w:p>
      <w:pPr>
        <w:pStyle w:val="ListNumber"/>
      </w:pPr>
      <w:r>
        <w:rPr>
          <w:rFonts w:ascii="Calibri" w:hAnsi="Calibri" w:eastAsia="微软雅黑"/>
          <w:b w:val="0"/>
          <w:i w:val="0"/>
          <w:sz w:val="22"/>
        </w:rPr>
        <w:t>世行新版《廉政合规指南》以28条框架把业务发展、并购纳入内控，其定义优先于制裁程序适用；被制裁企业以"让世行集团满意的合规计划"换取制裁终止——合规体系是复牌门票，不是成本项 (P11006)。</w:t>
      </w:r>
    </w:p>
    <w:p>
      <w:pPr>
        <w:pStyle w:val="ListNumber"/>
      </w:pPr>
      <w:r>
        <w:rPr>
          <w:rFonts w:ascii="Calibri" w:hAnsi="Calibri" w:eastAsia="微软雅黑"/>
          <w:b w:val="0"/>
          <w:i w:val="0"/>
          <w:sz w:val="22"/>
        </w:rPr>
        <w:t>四单巨亏（TJ 净亏41.48亿元、ZY 计提约31亿元、ZT 亏损5.50亿元、ZJ 风险敞口19.28亿元）的共同起点都在投标报价：工程量边界、属地人效、隐性成本三张清单缺一不可，采购占工业 EPC 合同额40%—60% 是放大器 (P11031/P11028)。</w:t>
      </w:r>
    </w:p>
    <w:p>
      <w:pPr>
        <w:pStyle w:val="ListNumber"/>
      </w:pPr>
      <w:r>
        <w:rPr>
          <w:rFonts w:ascii="Calibri" w:hAnsi="Calibri" w:eastAsia="微软雅黑"/>
          <w:b w:val="0"/>
          <w:i w:val="0"/>
          <w:sz w:val="22"/>
        </w:rPr>
        <w:t>《对外承包工程管理条例（修订草案）》把"合规经营"写入第四条义务，征求意见截止2026年11月9日；出海企业应借窗口期提交条款意见，并同步比对新版指南补齐内控缺口 (P11002/P11006)。</w:t>
      </w:r>
    </w:p>
    <w:p>
      <w:r>
        <w:rPr>
          <w:rFonts w:ascii="Calibri" w:hAnsi="Calibri" w:eastAsia="微软雅黑"/>
          <w:b w:val="0"/>
          <w:i w:val="0"/>
          <w:sz w:val="22"/>
        </w:rPr>
        <w:t>---</w:t>
      </w:r>
    </w:p>
    <w:p>
      <w:pPr>
        <w:pStyle w:val="Heading1"/>
      </w:pPr>
      <w:r>
        <w:t>第12章 2026-2029 合规预判：十二个确定性趋势</w:t>
      </w:r>
    </w:p>
    <w:p>
      <w:pPr>
        <w:ind w:left="454"/>
      </w:pPr>
      <w:r>
        <w:rPr>
          <w:rFonts w:ascii="Calibri" w:hAnsi="Calibri" w:eastAsia="微软雅黑"/>
          <w:b/>
          <w:i w:val="0"/>
          <w:color w:val="666666"/>
          <w:sz w:val="22"/>
        </w:rPr>
        <w:t>三态</w:t>
      </w:r>
      <w:r>
        <w:rPr>
          <w:rFonts w:ascii="Calibri" w:hAnsi="Calibri" w:eastAsia="微软雅黑"/>
          <w:b w:val="0"/>
          <w:i w:val="0"/>
          <w:color w:val="666666"/>
          <w:sz w:val="22"/>
        </w:rPr>
        <w:t>：[原创]</w:t>
      </w:r>
    </w:p>
    <w:p>
      <w:r>
        <w:rPr>
          <w:rFonts w:ascii="Calibri" w:hAnsi="Calibri" w:eastAsia="微软雅黑"/>
          <w:b w:val="0"/>
          <w:i w:val="0"/>
          <w:sz w:val="22"/>
        </w:rPr>
        <w:t>本章不做占卜式的展望。十二条趋势共用一套验证格式：先给出已落地、可核查的基线事实并标注源锚（P12000-P12034，见本章底稿 bank_ch12.md），再做逻辑推演，最后做反证检验——写明什么信号出现时该趋势应当被放弃。凡属作者外推的数字一律以 [own_calc:算式] 标出，未标注的数字、文号、日期均逐字来自基线文件。判断窗口取2026年至2029年，恰与《关于进一步深化国资国企改革的方案（2026—2029年）》的改革周期重合（P12013）。"确定性"一词在本章的含义是：趋势的驱动制度已经生效，剩下的只是传导时间问题。</w:t>
      </w:r>
    </w:p>
    <w:p>
      <w:pPr>
        <w:pStyle w:val="Heading2"/>
      </w:pPr>
      <w:r>
        <w:t>12.1 规则层：信用、惩戒与监督工具的三条收敛线</w:t>
      </w:r>
    </w:p>
    <w:p>
      <w:r>
        <w:rPr>
          <w:rFonts w:ascii="Calibri" w:hAnsi="Calibri" w:eastAsia="微软雅黑"/>
          <w:b/>
          <w:i w:val="0"/>
          <w:sz w:val="22"/>
        </w:rPr>
        <w:t>趋势一｜招标信用评价收归全国统一，地方自设评价进入清退期</w:t>
      </w:r>
    </w:p>
    <w:p>
      <w:r>
        <w:rPr>
          <w:rFonts w:ascii="Calibri" w:hAnsi="Calibri" w:eastAsia="微软雅黑"/>
          <w:b w:val="0"/>
          <w:i w:val="0"/>
          <w:sz w:val="22"/>
        </w:rPr>
        <w:t>基线（P12020）：国家发展改革委等8部门以2026年第44号令发布《招标投标领域信用管理暂行办法》，全文5章37条，上位依据为国办发〔2026〕8号《关于建立企业信用状况综合评价体系的实施方案》。办法第三章明令禁止地方自行开展招标投标领域信用评价，并要求动态清理评价及结果应用中的违法违规行为；第九条与第二十四条同时约束招标人——应用公共信用评价结果应当符合招标项目实际需要，不得在资格审查、评标、定标中将信用评价结果作为唯一条件。</w:t>
      </w:r>
    </w:p>
    <w:p>
      <w:r>
        <w:rPr>
          <w:rFonts w:ascii="Calibri" w:hAnsi="Calibri" w:eastAsia="微软雅黑"/>
          <w:b w:val="0"/>
          <w:i w:val="0"/>
          <w:sz w:val="22"/>
        </w:rPr>
        <w:t>推演：各省自建信用库、各自打分的碎片化格局，长期是跨区域投标企业最大的制度性交易成本。评价权上收后，企业面对的信用规则从一省一套收敛为一套，"信用加分"的地区套利空间被抹平；"不得作为唯一条件"的表述给招标人保留了综合裁量带，也给投标人对滥用信用否决提出异议提供了文号依据。合规岗的动作相应简单化：把逐省对标改为单一规则下的异议留痕。</w:t>
      </w:r>
    </w:p>
    <w:p>
      <w:r>
        <w:rPr>
          <w:rFonts w:ascii="Calibri" w:hAnsi="Calibri" w:eastAsia="微软雅黑"/>
          <w:b w:val="0"/>
          <w:i w:val="0"/>
          <w:sz w:val="22"/>
        </w:rPr>
        <w:t>反证：若2027年前后仍见地方平台以本地评价分数拒标而未被清理，本趋势失效。观察点有两个——44号令第四章法律责任项下的查处案例数量，以及省级交易平台接入公共信用评价的接口改造进度。办法已内置动态清理条款，制度上留了纠错通道，风险集中在执行时点而非方向。</w:t>
      </w:r>
    </w:p>
    <w:p>
      <w:r>
        <w:rPr>
          <w:rFonts w:ascii="Calibri" w:hAnsi="Calibri" w:eastAsia="微软雅黑"/>
          <w:b/>
          <w:i w:val="0"/>
          <w:sz w:val="22"/>
        </w:rPr>
        <w:t>趋势二｜串通投标治理进入刑事案例指导时代，打击重心扩散到全链条</w:t>
      </w:r>
    </w:p>
    <w:p>
      <w:r>
        <w:rPr>
          <w:rFonts w:ascii="Calibri" w:hAnsi="Calibri" w:eastAsia="微软雅黑"/>
          <w:b w:val="0"/>
          <w:i w:val="0"/>
          <w:sz w:val="22"/>
        </w:rPr>
        <w:t>基线（P12028）：2025年5月19日，最高人民法院与国家发展改革委联合发布6件依法惩治串通投标及其关联犯罪典型案例，官方将案件新动向概括为犯罪主体多元化、犯罪手段隐蔽化、犯罪链条组织化。案例披露三类新手法：招标方为意向投标人量身定做招标参数；招标代理机构控制评标专家评分账户虚假评分；投标人以阶梯式布点报价规避大数据监控。典型案例4中，法院对袁某判处罚金，并追缴其卖标所得400万元。</w:t>
      </w:r>
    </w:p>
    <w:p>
      <w:r>
        <w:rPr>
          <w:rFonts w:ascii="Calibri" w:hAnsi="Calibri" w:eastAsia="微软雅黑"/>
          <w:b w:val="0"/>
          <w:i w:val="0"/>
          <w:sz w:val="22"/>
        </w:rPr>
        <w:t>推演：指导性案例的功能是统一裁判尺度。当量身定做参数、控制评分账户这类过去难以定性的行为被写入案例，从侦查到审判的证明路径实质成形，认定面从"抓报价串通"扩展到招标文件倾向性、代理操盘、卖标获利三个断面。招标代理机构由居间服务者转为风险主体，是本趋势对行业组织形态冲击最大的一点（认定标准与处罚谱系的展开见第5章）。</w:t>
      </w:r>
    </w:p>
    <w:p>
      <w:r>
        <w:rPr>
          <w:rFonts w:ascii="Calibri" w:hAnsi="Calibri" w:eastAsia="微软雅黑"/>
          <w:b w:val="0"/>
          <w:i w:val="0"/>
          <w:sz w:val="22"/>
        </w:rPr>
        <w:t>反证：最有力的反向证据是案例发布后司法适用停滞、只发不用。但案例同时强调"打财断血"——罚金与追缴违法所得并用，审判扩张有经济激励配合；需要保留的不确定性仅在于宽严相济条款下个案从宽的空间，它改变量刑分布，不改变定罪方向。</w:t>
      </w:r>
    </w:p>
    <w:p>
      <w:r>
        <w:rPr>
          <w:rFonts w:ascii="Calibri" w:hAnsi="Calibri" w:eastAsia="微软雅黑"/>
          <w:b/>
          <w:i w:val="0"/>
          <w:sz w:val="22"/>
        </w:rPr>
        <w:t>趋势三｜电子招投标从"交易平台可用"走向"三台贯通+履约追溯"，数据电文取证成为标配</w:t>
      </w:r>
    </w:p>
    <w:p>
      <w:r>
        <w:rPr>
          <w:rFonts w:ascii="Calibri" w:hAnsi="Calibri" w:eastAsia="微软雅黑"/>
          <w:b w:val="0"/>
          <w:i w:val="0"/>
          <w:sz w:val="22"/>
        </w:rPr>
        <w:t>基线（P12000、P12008）：《电子招标投标办法》2013年2月4日由八部门令第20号公布、2013年5月1日施行，确立交易平台、公共服务平台、行政监督平台三类架构，并规定数据电文形式与纸质形式的招标投标活动具有同等法律效力。下游已在发生：广州市住建部门以2025年1号文要求通过信息化采集所有建筑材料信息，实现缺陷建材质量追溯；2026年7月该市墙体材料专项执法抽检中，多批次检测数值低于2.0，追溯链直接指向问题批次（P12008）。</w:t>
      </w:r>
    </w:p>
    <w:p>
      <w:r>
        <w:rPr>
          <w:rFonts w:ascii="Calibri" w:hAnsi="Calibri" w:eastAsia="微软雅黑"/>
          <w:b w:val="0"/>
          <w:i w:val="0"/>
          <w:sz w:val="22"/>
        </w:rPr>
        <w:t>推演：开评标环节的电子化只是地基。当建材、检测、验收数据被强制归集，招投标的证据边界从评标室扩展到工地与实验室，投标文件里的技术承诺可以同履约事实逐项对表。对法务岗的直接含义是：今天标书里的每一项参数承诺，都可能被三年后某个批次的抽检数据反向核验（电子平台合规细节见第4章）。</w:t>
      </w:r>
    </w:p>
    <w:p>
      <w:r>
        <w:rPr>
          <w:rFonts w:ascii="Calibri" w:hAnsi="Calibri" w:eastAsia="微软雅黑"/>
          <w:b w:val="0"/>
          <w:i w:val="0"/>
          <w:sz w:val="22"/>
        </w:rPr>
        <w:t>反证：若建材数据采集长期停留在个别试点城市，趋势退化为局部规则而非行业趋势。但广州的动因不是技术展演而是执法倒逼——抽检数值低于2.0的乱象在前、追溯建设在后；强材协会联合检测协会、监理协会、建筑业联合会四个协会共同发文自律（P12008），执行成本已由行业分摊，回撤难度高于推进难度。</w:t>
      </w:r>
    </w:p>
    <w:p>
      <w:pPr>
        <w:pStyle w:val="Heading2"/>
      </w:pPr>
      <w:r>
        <w:t>12.2 业主层：国资改革把招标人推上受检席</w:t>
      </w:r>
    </w:p>
    <w:p>
      <w:r>
        <w:rPr>
          <w:rFonts w:ascii="Calibri" w:hAnsi="Calibri" w:eastAsia="微软雅黑"/>
          <w:b/>
          <w:i w:val="0"/>
          <w:sz w:val="22"/>
        </w:rPr>
        <w:t>趋势四｜穿透式国资监管把招标行为纳入全程留痕，境外项目同在射程内</w:t>
      </w:r>
    </w:p>
    <w:p>
      <w:r>
        <w:rPr>
          <w:rFonts w:ascii="Calibri" w:hAnsi="Calibri" w:eastAsia="微软雅黑"/>
          <w:b w:val="0"/>
          <w:i w:val="0"/>
          <w:sz w:val="22"/>
        </w:rPr>
        <w:t>基线（P12013、P12016、P12030）：2026年5月印发的国资国企改革方案（2026—2029年）覆盖体量超90万亿元的央企国有资产，要求由"管企业"向"管资本"转型，构建穿透式国资监管体系，监管延伸至各级子公司、对外投资项目与境外资产，并搭建国资数字化智能监管平台。2026年9月17日，中央和国家机关工委到国务院国资委调研，现场观看的正是国资穿透监管系统演示（P12016）。企业侧细化已经启动：南方电网在2026年年中工作会议发布配套改革要点，细化7大领域、22条方向、123项落地举措（P12030）。</w:t>
      </w:r>
    </w:p>
    <w:p>
      <w:r>
        <w:rPr>
          <w:rFonts w:ascii="Calibri" w:hAnsi="Calibri" w:eastAsia="微软雅黑"/>
          <w:b w:val="0"/>
          <w:i w:val="0"/>
          <w:sz w:val="22"/>
        </w:rPr>
        <w:t>推演：穿透监管覆盖国资全链条，招标采购是资金流出最密集的环节，必然是监管系统优先采集数据的场景。国企招标人的定标过程、异议处理、合同变更将以数据形态直达监管端；境外工程项目的招标与分包，也落在"境外资产"的表述射程之内。履约失败还会叠加问责风险（问责案例谱系见第9章）。企业应对不是规避监管，而是让内部台账比监管系统更细一步——先于平台建成自己的招标全过程记录（监管坐标系见第1章）。</w:t>
      </w:r>
    </w:p>
    <w:p>
      <w:r>
        <w:rPr>
          <w:rFonts w:ascii="Calibri" w:hAnsi="Calibri" w:eastAsia="微软雅黑"/>
          <w:b w:val="0"/>
          <w:i w:val="0"/>
          <w:sz w:val="22"/>
        </w:rPr>
        <w:t>反证："管资本"转型字面上是放权信号，可作反向解读。但方案把放权与穿透并置——放的是经营自主权，收的是信息透明度；南方电网以123项举措逐条拆解（P12030），说明企业内部把监管要求当作硬约束执行。需要盯住的失败信号是监管平台数据采集后长期不被使用，届时穿透将退化为报表穿透。</w:t>
      </w:r>
    </w:p>
    <w:p>
      <w:r>
        <w:rPr>
          <w:rFonts w:ascii="Calibri" w:hAnsi="Calibri" w:eastAsia="微软雅黑"/>
          <w:b/>
          <w:i w:val="0"/>
          <w:sz w:val="22"/>
        </w:rPr>
        <w:t>趋势五｜考核引入国有经济增加值核算，"低价中标换规模"失去内部动力</w:t>
      </w:r>
    </w:p>
    <w:p>
      <w:r>
        <w:rPr>
          <w:rFonts w:ascii="Calibri" w:hAnsi="Calibri" w:eastAsia="微软雅黑"/>
          <w:b w:val="0"/>
          <w:i w:val="0"/>
          <w:sz w:val="22"/>
        </w:rPr>
        <w:t>基线（P12013、P12030）：上述方案推行精准分类考核，引入国有经济增加值核算，建立价值创造导向考核体系；同一段落要求央企收缩非主业、剥离低效无效资产、清理无关多元业务、压缩多层级企业架构，并严控隐性债务与高息非标融资。改革递进脉络清晰可数：2020—2022年国企改革三年行动主攻市场化经营机制，2023—2025年深化提升行动主攻公司治理效能，2026—2029年转向布局重构、创新突围、机制定型、监管升级，三轮合计十年 [own_calc:3+3+4=10年]。</w:t>
      </w:r>
    </w:p>
    <w:p>
      <w:r>
        <w:rPr>
          <w:rFonts w:ascii="Calibri" w:hAnsi="Calibri" w:eastAsia="微软雅黑"/>
          <w:b w:val="0"/>
          <w:i w:val="0"/>
          <w:sz w:val="22"/>
        </w:rPr>
        <w:t>推演：考核标尺从营业收入转向价值创造后，依靠垫资和低价换来的合同在新口径下贡献有限甚至为负；资产与营业收入向国民经济20个重点行业集中、88%以上营业收入归集至重点战略赛道的量化目标（P12013），进一步压缩了非主业中标额的生存空间。投标决策的内部审批逻辑随之倒转：报价逼近成本线的项目，需要的是放弃理由而非中标理由。经营岗应把增加值测算写进投标评审表，作为一票否决项之一。</w:t>
      </w:r>
    </w:p>
    <w:p>
      <w:r>
        <w:rPr>
          <w:rFonts w:ascii="Calibri" w:hAnsi="Calibri" w:eastAsia="微软雅黑"/>
          <w:b w:val="0"/>
          <w:i w:val="0"/>
          <w:sz w:val="22"/>
        </w:rPr>
        <w:t>反证：若增加值核算只停留在总部报表、不进入子公司与项目经理的考核责任书，趋势就只改变汇报语言而不改变投标行为。判据极其具体：2027年央企子公司的年度考核责任书里是否出现"国有经济增加值"字段。这是可以逐份调取核验的硬观察点。</w:t>
      </w:r>
    </w:p>
    <w:p>
      <w:r>
        <w:rPr>
          <w:rFonts w:ascii="Calibri" w:hAnsi="Calibri" w:eastAsia="微软雅黑"/>
          <w:b/>
          <w:i w:val="0"/>
          <w:sz w:val="22"/>
        </w:rPr>
        <w:t>趋势六｜前期论证责任前移，可研深度成为合规第一道闸门</w:t>
      </w:r>
    </w:p>
    <w:p>
      <w:r>
        <w:rPr>
          <w:rFonts w:ascii="Calibri" w:hAnsi="Calibri" w:eastAsia="微软雅黑"/>
          <w:b w:val="0"/>
          <w:i w:val="0"/>
          <w:sz w:val="22"/>
        </w:rPr>
        <w:t>基线（P12009、P12017）：交通运输部2026年8月5日就《公路建设项目可行性研究报告编制办法（征求意见稿）》公开征求意见，截止2026年8月30日，公示期30日；修订替代交规划发〔2010〕178号版，落实发改投资规〔2023〕304号《投资项目可行性研究报告编写大纲》要求，锚定"三大目标、七个维度"，由交通运输部规划研究院牵头、中交公路规划设计院有限公司等单位参与。同一时段，国际咨询业边界同步前移：Jacobs于2026年受新加坡国家水务机构PUB委托，对潜在的新海水淡化厂开展包含商业论证与融资支持的可行性研究（P12017）。</w:t>
      </w:r>
    </w:p>
    <w:p>
      <w:r>
        <w:rPr>
          <w:rFonts w:ascii="Calibri" w:hAnsi="Calibri" w:eastAsia="微软雅黑"/>
          <w:b w:val="0"/>
          <w:i w:val="0"/>
          <w:sz w:val="22"/>
        </w:rPr>
        <w:t>推演：可研编制规则抬升前期工作深度，直接改变EPC招标的起点质量——发包范围完整性、风险分配合理性在可研阶段即被锁定，投标人面对的"边设计边招标"开口项目将减少、由深可研支撑的固定总价项目将增多（计价与合同风险见第7章）。咨询业务向投资决策端迁移，也意味着"替业主把项目想清楚"的服务市场扩大，设计咨询企业最先受益。</w:t>
      </w:r>
    </w:p>
    <w:p>
      <w:r>
        <w:rPr>
          <w:rFonts w:ascii="Calibri" w:hAnsi="Calibri" w:eastAsia="微软雅黑"/>
          <w:b w:val="0"/>
          <w:i w:val="0"/>
          <w:sz w:val="22"/>
        </w:rPr>
        <w:t>反证：若征求意见稿到2027年仍未见正式稿，趋势时点推迟但不被证伪——304号文2023年3月已生效，编制实践已在大纲约束下运行；正式稿缺席只影响处罚依据的明确性，不影响事实标准的收紧。</w:t>
      </w:r>
    </w:p>
    <w:p>
      <w:pPr>
        <w:pStyle w:val="Heading2"/>
      </w:pPr>
      <w:r>
        <w:t>12.3 市场层：总量收缩下的赛道迁移与模式刚性</w:t>
      </w:r>
    </w:p>
    <w:p>
      <w:r>
        <w:rPr>
          <w:rFonts w:ascii="Calibri" w:hAnsi="Calibri" w:eastAsia="微软雅黑"/>
          <w:b/>
          <w:i w:val="0"/>
          <w:sz w:val="22"/>
        </w:rPr>
        <w:t>趋势七｜国内增量收缩长期化，对外承包与城市更新构成双替代</w:t>
      </w:r>
    </w:p>
    <w:p>
      <w:r>
        <w:rPr>
          <w:rFonts w:ascii="Calibri" w:hAnsi="Calibri" w:eastAsia="微软雅黑"/>
          <w:b w:val="0"/>
          <w:i w:val="0"/>
          <w:sz w:val="22"/>
        </w:rPr>
        <w:t>基线（P12001、P12002）：2026年上半年建筑业以12.71%的降幅确认旧周期终结；同期对外承包工程营业额6062.6亿元、同比增长8%，其中“一带一路”国家5207.1亿元、同比增长11.8%（P12035）。房地产侧同向收缩：2026年前三季度300城宅地成交面积、出让金同比分别下降23%和22%，9月（截至27日）出让金同比下降29%；TOP20城市宅地出让金占全国比重60%，较2025年全年提升8个百分点（P12002）。存量侧容量按2025年口径为：老旧小区改造5万亿以上、城中村改造3-5万亿、既有建筑节能改造2万亿以上、地下管网更新1.5万亿以上（P12001）。</w:t>
      </w:r>
    </w:p>
    <w:p>
      <w:r>
        <w:rPr>
          <w:rFonts w:ascii="Calibri" w:hAnsi="Calibri" w:eastAsia="微软雅黑"/>
          <w:b w:val="0"/>
          <w:i w:val="0"/>
          <w:sz w:val="22"/>
        </w:rPr>
        <w:t>推演：增量逻辑让位于存量逻辑的证据链三线同向：总产值降幅、宅地缩量、资金向核心城市集中（TOP20占比60%，上年全年为52% [own_calc:60%-8个百分点=52%]）。可迁移方向有二。其一地理外移：对外承包保持正增长且“一带一路”完成额占比已达85.9% [own_calc:5207.1÷6062.6≈85.9%]，国内国际增速剪刀差20.71个百分点 [own_calc:12.71%+8%=20.71个百分点]；其二业务内移：城市更新四类工程下限合计11.5万亿元 [own_calc:5+3+2+1.5=11.5万亿元，城中村取下限3万亿]。出海的三道门槛是对外承包工程经营资格（商务部审批）、国际工程认证体系（ISO、EN）与属地化经营能力（P12001），涉外合规配套在补位——首个全国性涉外法律服务平台已开建（P12011）（国际工程合规体系见第11章）。</w:t>
      </w:r>
    </w:p>
    <w:p>
      <w:r>
        <w:rPr>
          <w:rFonts w:ascii="Calibri" w:hAnsi="Calibri" w:eastAsia="微软雅黑"/>
          <w:b w:val="0"/>
          <w:i w:val="0"/>
          <w:sz w:val="22"/>
        </w:rPr>
        <w:t>反证：若8·28新政（2026年8月28日商品住房销售制度改革落地）传导后土地与新房数据在2027年集体转正，趋势强度衰减。但中指三季度报告的判断是新政影响自2027年起进一步显现，且前三季度20城二手房成交套数同比增长约6%——存量交易占比继续抬升，与增量修复并不互斥；即便乐观情形兑现，也只是放缓而非逆转收缩斜率。</w:t>
      </w:r>
    </w:p>
    <w:p>
      <w:r>
        <w:rPr>
          <w:rFonts w:ascii="Calibri" w:hAnsi="Calibri" w:eastAsia="微软雅黑"/>
          <w:b/>
          <w:i w:val="0"/>
          <w:sz w:val="22"/>
        </w:rPr>
        <w:t>趋势八｜EPC从政策鼓励走向比例硬约束，装配式项目成为总承包刚性入口</w:t>
      </w:r>
    </w:p>
    <w:p>
      <w:r>
        <w:rPr>
          <w:rFonts w:ascii="Calibri" w:hAnsi="Calibri" w:eastAsia="微软雅黑"/>
          <w:b w:val="0"/>
          <w:i w:val="0"/>
          <w:sz w:val="22"/>
        </w:rPr>
        <w:t>基线（P12018）：广东省住建厅与省发展改革委2021年就《规范发展房屋建筑和市政基础设施项目工程总承包的十条措施》公开征求意见（粤建公告〔2021〕76号），明确建设内容明确、技术方案成熟的政府投资或其他国有资金投资项目优先采用工程总承包方式，装配式建筑原则上采用工程总承包方式，各地要明确每年不少于20%的国有资金投资项目实行工程总承包；其上位依据为建市规〔2019〕12号《房屋建筑和市政基础设施项目工程总承包管理办法》。</w:t>
      </w:r>
    </w:p>
    <w:p>
      <w:r>
        <w:rPr>
          <w:rFonts w:ascii="Calibri" w:hAnsi="Calibri" w:eastAsia="微软雅黑"/>
          <w:b w:val="0"/>
          <w:i w:val="0"/>
          <w:sz w:val="22"/>
        </w:rPr>
        <w:t>推演：从2019年部门规章到2021年省级量化比例，政策工具完成了从"鼓励"到"计数"的升级。未来三年的可预期路径是比例要求由征求意见稿转入正式规则并向更多省份复制，装配式项目默认EPC发包。企业的分水岭在资质组合与联合体结构——江苏在苏政发〔2017〕151号中已允许具备建设工程监理、造价咨询、招标代理其中一项资质的企业申请其他两项乙级及以下资质，并支持骨干企业以联合体投标参与轨道交通、桥梁隧道、综合管廊等基础设施（P12029），资质组合直接决定可投标池半径（资质改革全景见第6章）。</w:t>
      </w:r>
    </w:p>
    <w:p>
      <w:r>
        <w:rPr>
          <w:rFonts w:ascii="Calibri" w:hAnsi="Calibri" w:eastAsia="微软雅黑"/>
          <w:b w:val="0"/>
          <w:i w:val="0"/>
          <w:sz w:val="22"/>
        </w:rPr>
        <w:t>反证：比例约束的软肋是分母弹性——地方可用"项目情况特殊"稀释20%。但反向压力来自趋势四与趋势五：国有资金投资项目的发包方式在监管数据视野之内，考核又压缩低效中标，规避比例的操作成本逐年抬高。</w:t>
      </w:r>
    </w:p>
    <w:p>
      <w:r>
        <w:rPr>
          <w:rFonts w:ascii="Calibri" w:hAnsi="Calibri" w:eastAsia="微软雅黑"/>
          <w:b/>
          <w:i w:val="0"/>
          <w:sz w:val="22"/>
        </w:rPr>
        <w:t>趋势九｜资质做减法、信用做加法的主线延续，人员执业责任同步加重</w:t>
      </w:r>
    </w:p>
    <w:p>
      <w:r>
        <w:rPr>
          <w:rFonts w:ascii="Calibri" w:hAnsi="Calibri" w:eastAsia="微软雅黑"/>
          <w:b w:val="0"/>
          <w:i w:val="0"/>
          <w:sz w:val="22"/>
        </w:rPr>
        <w:t>基线（P12029、P12015）：江苏（苏政发〔2017〕151号）取消劳务企业资质、实行专业作业企业备案管理制度，允许信誉良好、能够提供足额担保的企业在资质类别内承接高一等级资质相应业务；安徽（皖政办〔2017〕97号）允许取得施工总承包类别中任意1项特级和2项一级资质的企业直接申请省级权限内其他专业承包一级与施工总承包二级资质，并推行资质资格证书电子化与"智慧审批"。</w:t>
      </w:r>
    </w:p>
    <w:p>
      <w:r>
        <w:rPr>
          <w:rFonts w:ascii="Calibri" w:hAnsi="Calibri" w:eastAsia="微软雅黑"/>
          <w:b w:val="0"/>
          <w:i w:val="0"/>
          <w:sz w:val="22"/>
        </w:rPr>
        <w:t>推演：两省样本共同呈现的改革语法是降低主体门槛、加重行为追责。当44号令把评价权上收（趋势一）、信用记录取代资质等级成为筛选变量，资质套利空间收窄，注册执业人员的个人责任权重上升——江苏同期提出建立个人执业保险制度，允许建筑师、监理工程师、造价工程师以个人或合伙事务所形式执业并承担权责（P12029），责任落点正从企业牌照细化到个人签字。</w:t>
      </w:r>
    </w:p>
    <w:p>
      <w:r>
        <w:rPr>
          <w:rFonts w:ascii="Calibri" w:hAnsi="Calibri" w:eastAsia="微软雅黑"/>
          <w:b w:val="0"/>
          <w:i w:val="0"/>
          <w:sz w:val="22"/>
        </w:rPr>
        <w:t>反证：若后续资质管理重新收紧类别、以等级抬高门槛，或备案制回撤为审批制，趋势中断。观察点直白：新一轮资质类文件是否延续"减项、放权、电子化"的措辞方向。在44号令已落地、全国统一大市场建设推进的背景下，回退概率低于延续。</w:t>
      </w:r>
    </w:p>
    <w:p>
      <w:pPr>
        <w:pStyle w:val="Heading2"/>
      </w:pPr>
      <w:r>
        <w:t>12.4 能力层：技术条款与证据链的硬化</w:t>
      </w:r>
    </w:p>
    <w:p>
      <w:r>
        <w:rPr>
          <w:rFonts w:ascii="Calibri" w:hAnsi="Calibri" w:eastAsia="微软雅黑"/>
          <w:b/>
          <w:i w:val="0"/>
          <w:sz w:val="22"/>
        </w:rPr>
        <w:t>趋势十｜BIM与智能建造从示范试点转为国有项目的投标刚性条款</w:t>
      </w:r>
    </w:p>
    <w:p>
      <w:r>
        <w:rPr>
          <w:rFonts w:ascii="Calibri" w:hAnsi="Calibri" w:eastAsia="微软雅黑"/>
          <w:b w:val="0"/>
          <w:i w:val="0"/>
          <w:sz w:val="22"/>
        </w:rPr>
        <w:t>基线（P12019、P12001、P12033）：重庆（渝府办发〔2018〕95号）要求国有资金投资为主的建筑、市政工程率先使用BIM技术，并设定到2020年全市建筑、市政甲级设计单位以及特级、一级施工总承包单位均掌握BIM技术的目标；住建部《智能建造发展纲要》提出"十四五"期间打造30个以上智能建造产业基地（P12001）。头部企业已把能力沉淀为资产：西北院建立2000余套标准化三维资源模板，应用于60余个抽水蓄能规划项目及10余个施工阶段数字化正向设计，其阜康抽蓄施工阶段数字化成果获第十二届龙图杯全国BIM大赛综合组一等奖（P12033）。</w:t>
      </w:r>
    </w:p>
    <w:p>
      <w:r>
        <w:rPr>
          <w:rFonts w:ascii="Calibri" w:hAnsi="Calibri" w:eastAsia="微软雅黑"/>
          <w:b w:val="0"/>
          <w:i w:val="0"/>
          <w:sz w:val="22"/>
        </w:rPr>
        <w:t>推演：当头部设计院以千套级模板与获奖记录证明能力上限，招标文件的实质性响应条款就有了行业参照。未来三年国有资金项目将普遍出现两类硬条款：投标阶段提交BIM实施数据交付方案，履约阶段按元数据标准交付数字资产。核电行业已走到这一步——EJ/T 1224《核电电子文件元数据》与DA/T 46《文书类元数据方案》的比较研究被用于定义EPC模式元数据管理维度，按ISO 23081四实体架构拆分文件、机构人员、业务实体（P12003）。民企自筹项目不受强制，构成趋势边界。</w:t>
      </w:r>
    </w:p>
    <w:p>
      <w:r>
        <w:rPr>
          <w:rFonts w:ascii="Calibri" w:hAnsi="Calibri" w:eastAsia="微软雅黑"/>
          <w:b w:val="0"/>
          <w:i w:val="0"/>
          <w:sz w:val="22"/>
        </w:rPr>
        <w:t>反证：BIM条款若长期停留在加分项而非废标项，刚性即未成立。判据是出现因数字交付不满足招标文件而被否决投标或扣罚的真实案例；核电EPC已把元数据写进交付标准，房建市政领域的同类判例可在公共资源交易平台的异议投诉公示中逐年核验。</w:t>
      </w:r>
    </w:p>
    <w:p>
      <w:r>
        <w:rPr>
          <w:rFonts w:ascii="Calibri" w:hAnsi="Calibri" w:eastAsia="微软雅黑"/>
          <w:b/>
          <w:i w:val="0"/>
          <w:sz w:val="22"/>
        </w:rPr>
        <w:t>趋势十一｜AI进入投标与履约链条，内容标注与数据来源成为新红线</w:t>
      </w:r>
    </w:p>
    <w:p>
      <w:r>
        <w:rPr>
          <w:rFonts w:ascii="Calibri" w:hAnsi="Calibri" w:eastAsia="微软雅黑"/>
          <w:b w:val="0"/>
          <w:i w:val="0"/>
          <w:sz w:val="22"/>
        </w:rPr>
        <w:t>基线（P12027、P12021）：2026年5月，中央网信办部署短视频平台将内容标注设为发布必经环节，六类必选标签中含"含有AI生成内容"；规则层面，《生成式人工智能服务管理暂行办法》第七条要求服务提供者使用合法来源的数据与基础模型、不得侵害他人知识产权，《互联网信息服务深度合成管理规定》第十四条第一款要求训练数据包含个人信息时遵守个人信息保护规则（P12027）。顶层政策同向：中共中央、国务院印发《关于发展新质生产力的意见》，提出19条重大发展改革任务，并针对赛道雷同、忽视传统产业升级改造等苗头性问题作出纠偏安排（P12021）。</w:t>
      </w:r>
    </w:p>
    <w:p>
      <w:r>
        <w:rPr>
          <w:rFonts w:ascii="Calibri" w:hAnsi="Calibri" w:eastAsia="微软雅黑"/>
          <w:b w:val="0"/>
          <w:i w:val="0"/>
          <w:sz w:val="22"/>
        </w:rPr>
        <w:t>推演：用生成式工具起草标书、制作方案动画已成常态，变化在责任端。其一，AI生成内容进入投标文件后须可标注、可溯源，而标注本身不能替代肖像权、著作权许可（P12027）；其二，使用工具不豁免数据来源合法性，自行训练或微调模型若涉及他人作品或个人信息，责任仍在使用方。低成本的应对是把AI使用登记并入既有合规台账：哪份文件、哪个模型、训练数据从哪来、是否标注，四栏即可。</w:t>
      </w:r>
    </w:p>
    <w:p>
      <w:r>
        <w:rPr>
          <w:rFonts w:ascii="Calibri" w:hAnsi="Calibri" w:eastAsia="微软雅黑"/>
          <w:b w:val="0"/>
          <w:i w:val="0"/>
          <w:sz w:val="22"/>
        </w:rPr>
        <w:t>反证：《暂行办法》第二条把研发、应用生成式AI但未向境内公众提供服务的情形排除在外，似乎留了口子；但其排除效力仅及于该办法本身，著作权法与个人信息保护规则仍然适用（P12027）。排除条款挡得住部门规章，挡不住民事责任与刑事风险，趋势因此不被该条削弱。</w:t>
      </w:r>
    </w:p>
    <w:p>
      <w:r>
        <w:rPr>
          <w:rFonts w:ascii="Calibri" w:hAnsi="Calibri" w:eastAsia="微软雅黑"/>
          <w:b/>
          <w:i w:val="0"/>
          <w:sz w:val="22"/>
        </w:rPr>
        <w:t>趋势十二｜竞争维度从"中标瞬间"转向"全生命周期证据链"，行业自律补位执法</w:t>
      </w:r>
    </w:p>
    <w:p>
      <w:r>
        <w:rPr>
          <w:rFonts w:ascii="Calibri" w:hAnsi="Calibri" w:eastAsia="微软雅黑"/>
          <w:b w:val="0"/>
          <w:i w:val="0"/>
          <w:sz w:val="22"/>
        </w:rPr>
        <w:t>基线（P12008、P12004、P12031、P12033）：广州四个协会（强材、检测、监理、建筑业联合会）联合发文推进全行业自律，配合住建部门执法抽检（2026年7月多批次低于2.0）（P12008）；央企采购数字化已兑现价值——中核工程2023年二级集采项目节资率达10%（P12004）；标准话语权成为竞争资产，西北院"十四五"期间主参编国家、行业标准68项（水利与生态环境口径，P12031）、行业标准131项（水电与抽水蓄能口径），累计授权专利、软件著作权等知识产权204项（P12033）。</w:t>
      </w:r>
    </w:p>
    <w:p>
      <w:r>
        <w:rPr>
          <w:rFonts w:ascii="Calibri" w:hAnsi="Calibri" w:eastAsia="微软雅黑"/>
          <w:b w:val="0"/>
          <w:i w:val="0"/>
          <w:sz w:val="22"/>
        </w:rPr>
        <w:t>推演：当建材可追溯（趋势三）、履约有数字交付（趋势十）、执法有案例指导（趋势二），中标就从竞争终点变成证据链起点。投标人在标前积累的标准、专利、集采节资记录，会在两个时点变现：资信评审时作为履约能力证据，纠纷发生时作为责任划分依据（败诉原因谱系见第8章）。行业自律组织在执法与企业合规之间承担缓冲层，广州四协会模式将向检测、监理等细分环节复制。</w:t>
      </w:r>
    </w:p>
    <w:p>
      <w:r>
        <w:rPr>
          <w:rFonts w:ascii="Calibri" w:hAnsi="Calibri" w:eastAsia="微软雅黑"/>
          <w:b w:val="0"/>
          <w:i w:val="0"/>
          <w:sz w:val="22"/>
        </w:rPr>
        <w:t>反证：自律若无执法兜底即为空文。广州的顺序是先执法抽检、数据曝光，再建自律机制，压力来源真实；若后续年度抽检合格率不再公开，自律约束力才会衰减。年度抽检数据的公开连续性，是本趋势最省事的观测指标。</w:t>
      </w:r>
    </w:p>
    <w:p>
      <w:pPr>
        <w:pStyle w:val="Heading2"/>
      </w:pPr>
      <w:r>
        <w:t>本章要点</w:t>
      </w:r>
    </w:p>
    <w:p>
      <w:pPr>
        <w:pStyle w:val="ListBullet"/>
      </w:pPr>
      <w:r>
        <w:rPr>
          <w:rFonts w:ascii="Calibri" w:hAnsi="Calibri" w:eastAsia="微软雅黑"/>
          <w:b w:val="0"/>
          <w:i w:val="0"/>
          <w:sz w:val="22"/>
        </w:rPr>
        <w:t>信用规则已从地方割据走向全国一套：44号令禁止地方自行开展招标投标领域信用评价，企业应把合规动作从"逐省对标"改为"单一规则+异议留痕"。</w:t>
      </w:r>
    </w:p>
    <w:p>
      <w:pPr>
        <w:pStyle w:val="ListBullet"/>
      </w:pPr>
      <w:r>
        <w:rPr>
          <w:rFonts w:ascii="Calibri" w:hAnsi="Calibri" w:eastAsia="微软雅黑"/>
          <w:b w:val="0"/>
          <w:i w:val="0"/>
          <w:sz w:val="22"/>
        </w:rPr>
        <w:t>串通投标的认定面已扩至招标文件倾向性、代理操盘、卖标获利三个断面，招标代理机构要按风险主体标准重建内部合规审查。</w:t>
      </w:r>
    </w:p>
    <w:p>
      <w:pPr>
        <w:pStyle w:val="ListBullet"/>
      </w:pPr>
      <w:r>
        <w:rPr>
          <w:rFonts w:ascii="Calibri" w:hAnsi="Calibri" w:eastAsia="微软雅黑"/>
          <w:b w:val="0"/>
          <w:i w:val="0"/>
          <w:sz w:val="22"/>
        </w:rPr>
        <w:t>国资穿透监管与增加值考核叠加后，逼近成本线的垫资中标从业绩变成负贡献，投标评审表应增设增加值测算一票否决项。</w:t>
      </w:r>
    </w:p>
    <w:p>
      <w:pPr>
        <w:pStyle w:val="ListBullet"/>
      </w:pPr>
      <w:r>
        <w:rPr>
          <w:rFonts w:ascii="Calibri" w:hAnsi="Calibri" w:eastAsia="微软雅黑"/>
          <w:b w:val="0"/>
          <w:i w:val="0"/>
          <w:sz w:val="22"/>
        </w:rPr>
        <w:t>EPC发包比例与装配式政策刚性化，资质组合和联合体结构决定可投标池半径，2027年前完成一次资质组合体检是低成本动作。</w:t>
      </w:r>
    </w:p>
    <w:p>
      <w:pPr>
        <w:pStyle w:val="ListBullet"/>
      </w:pPr>
      <w:r>
        <w:rPr>
          <w:rFonts w:ascii="Calibri" w:hAnsi="Calibri" w:eastAsia="微软雅黑"/>
          <w:b w:val="0"/>
          <w:i w:val="0"/>
          <w:sz w:val="22"/>
        </w:rPr>
        <w:t>BIM数字交付与AI使用登记将从加分项滑向废标风险点，数字资产交付清单、AI使用登记表两类台账现在建比事后补成本低。</w:t>
      </w:r>
    </w:p>
    <w:p>
      <w:pPr>
        <w:pStyle w:val="ListBullet"/>
      </w:pPr>
      <w:r>
        <w:rPr>
          <w:rFonts w:ascii="Calibri" w:hAnsi="Calibri" w:eastAsia="微软雅黑"/>
          <w:b w:val="0"/>
          <w:i w:val="0"/>
          <w:sz w:val="22"/>
        </w:rPr>
        <w:t>检验十二条趋势不必等结局：盯住44号令查处案例数、央企考核责任书字段、公路可研办法正式稿、宅地出让金同比、BIM废标判例、年度抽检合格率公示这组先行指标即可滚动修正判断。</w:t>
      </w:r>
    </w:p>
    <w:p>
      <w:pPr>
        <w:pStyle w:val="Heading2"/>
      </w:pPr>
      <w:r>
        <w:t>本章源增补</w:t>
      </w:r>
    </w:p>
    <w:p>
      <w:pPr>
        <w:pStyle w:val="ListBullet"/>
      </w:pPr>
      <w:r>
        <w:rPr>
          <w:rFonts w:ascii="Calibri" w:hAnsi="Calibri" w:eastAsia="微软雅黑"/>
          <w:b w:val="0"/>
          <w:i w:val="0"/>
          <w:sz w:val="22"/>
        </w:rPr>
        <w:t>补锚新增源（P12035）：E:\AI-Station\data\rss_harvest\articles\2026-09-17\中国建筑业_2026年上半年建筑业发展统计分析-9a1d8c16.md ——锚定趋势七基线句的对外承包工程营业额6062.6亿元与"一带一路"国家5207.1亿元；P12001 卡片原作5202.7亿，与官方统计口径不符，已更正为5207.1亿元，趋势七推演中的占比 own_calc 同步改按5207.1重算。</w:t>
      </w:r>
    </w:p>
    <w:p>
      <w:pPr>
        <w:pStyle w:val="ListBullet"/>
      </w:pPr>
      <w:r>
        <w:rPr>
          <w:rFonts w:ascii="Calibri" w:hAnsi="Calibri" w:eastAsia="微软雅黑"/>
          <w:b w:val="0"/>
          <w:i w:val="0"/>
          <w:sz w:val="22"/>
        </w:rPr>
        <w:t>空格变体核验（不新增源）：P12030 源文「细化 7 大领域、22 条方向、123 项落地举措」与 P12018 源文「粤建公告〔 2021 〕 76 号」均为带空格排版，章内对应的123项、76号两个数字已在 bank_ch12.md 对应 P 节补核验注。</w:t>
      </w:r>
    </w:p>
    <w:p>
      <w:r>
        <w:rPr>
          <w:rFonts w:ascii="Calibri" w:hAnsi="Calibri" w:eastAsia="微软雅黑"/>
          <w:b w:val="0"/>
          <w:i w:val="0"/>
          <w:sz w:val="22"/>
        </w:rPr>
        <w:t>---</w:t>
      </w:r>
    </w:p>
    <w:sectPr w:rsidR="00FC693F" w:rsidRPr="0006063C" w:rsidSect="00034616">
      <w:footerReference w:type="default" r:id="rId9"/>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微软雅黑"/>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微软雅黑"/>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微软雅黑"/>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