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微软雅黑"/>
          <w:b/>
          <w:color w:val="0D2547"/>
          <w:sz w:val="34"/>
        </w:rPr>
        <w:t>总包AI顾问 · 咨询问答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7A8496"/>
          <w:sz w:val="18"/>
        </w:rPr>
        <w:t>NO. 0929-AB12CD · 7×24小时工程智囊</w:t>
      </w:r>
    </w:p>
    <w:p>
      <w:pPr>
        <w:spacing w:before="120" w:after="40"/>
      </w:pPr>
      <w:r>
        <w:rPr>
          <w:rFonts w:ascii="Calibri" w:hAnsi="Calibri" w:eastAsia="微软雅黑"/>
          <w:b/>
          <w:color w:val="E07A0E"/>
          <w:sz w:val="22"/>
        </w:rPr>
        <w:t>咨询问题</w:t>
      </w:r>
    </w:p>
    <w:p>
      <w:pPr>
        <w:spacing w:before="0" w:after="160"/>
      </w:pPr>
      <w:r>
        <w:rPr>
          <w:rFonts w:ascii="Calibri" w:hAnsi="Calibri" w:eastAsia="微软雅黑"/>
          <w:b/>
          <w:color w:val="0D2547"/>
          <w:sz w:val="24"/>
        </w:rPr>
        <w:t>EPC 固定总价合同下材料暴涨，能申请调价吗？依据和操作步骤是什么？</w:t>
      </w:r>
    </w:p>
    <w:p>
      <w:pPr>
        <w:spacing w:before="0" w:after="120"/>
      </w:pPr>
      <w:r>
        <w:rPr>
          <w:rFonts w:ascii="Calibri" w:hAnsi="Calibri" w:eastAsia="微软雅黑"/>
          <w:b w:val="0"/>
          <w:sz w:val="22"/>
        </w:rPr>
        <w:t>EPC 固定总价合同下，调价要同时看合同约定与法定情势变更路径。</w:t>
      </w:r>
    </w:p>
    <w:p>
      <w:pPr>
        <w:spacing w:before="200" w:after="80"/>
      </w:pPr>
      <w:r>
        <w:rPr>
          <w:rFonts w:ascii="Calibri" w:hAnsi="Calibri" w:eastAsia="微软雅黑"/>
          <w:b/>
          <w:color w:val="0D2547"/>
          <w:sz w:val="25"/>
        </w:rPr>
        <w:t>一、能不能调</w:t>
      </w:r>
    </w:p>
    <w:p>
      <w:pPr>
        <w:pStyle w:val="ListBullet"/>
        <w:spacing w:before="0" w:after="40"/>
      </w:pPr>
      <w:r>
        <w:rPr>
          <w:rFonts w:ascii="Calibri" w:hAnsi="Calibri" w:eastAsia="微软雅黑"/>
          <w:b w:val="0"/>
          <w:sz w:val="22"/>
        </w:rPr>
        <w:t>合同有调价条款的，按条款走</w:t>
      </w:r>
    </w:p>
    <w:p>
      <w:pPr>
        <w:pStyle w:val="ListBullet"/>
        <w:spacing w:before="0" w:after="40"/>
      </w:pPr>
      <w:r>
        <w:rPr>
          <w:rFonts w:ascii="Calibri" w:hAnsi="Calibri" w:eastAsia="微软雅黑"/>
          <w:b w:val="0"/>
          <w:sz w:val="22"/>
        </w:rPr>
        <w:t xml:space="preserve">没有条款的，看 </w:t>
      </w:r>
      <w:r>
        <w:rPr>
          <w:rFonts w:ascii="Calibri" w:hAnsi="Calibri" w:eastAsia="微软雅黑"/>
          <w:b/>
          <w:sz w:val="22"/>
        </w:rPr>
        <w:t>情势变更</w:t>
      </w:r>
      <w:r>
        <w:rPr>
          <w:rFonts w:ascii="Calibri" w:hAnsi="Calibri" w:eastAsia="微软雅黑"/>
          <w:b w:val="0"/>
          <w:sz w:val="22"/>
        </w:rPr>
        <w:t xml:space="preserve"> 边界</w:t>
      </w:r>
    </w:p>
    <w:p>
      <w:pPr>
        <w:pStyle w:val="ListNumber"/>
        <w:spacing w:before="0" w:after="40"/>
      </w:pPr>
      <w:r>
        <w:rPr>
          <w:rFonts w:ascii="Calibri" w:hAnsi="Calibri" w:eastAsia="微软雅黑"/>
          <w:b w:val="0"/>
          <w:sz w:val="22"/>
        </w:rPr>
        <w:t>收集凭证</w:t>
      </w:r>
    </w:p>
    <w:p>
      <w:pPr>
        <w:pStyle w:val="ListNumber"/>
        <w:spacing w:before="0" w:after="40"/>
      </w:pPr>
      <w:r>
        <w:rPr>
          <w:rFonts w:ascii="Calibri" w:hAnsi="Calibri" w:eastAsia="微软雅黑"/>
          <w:b w:val="0"/>
          <w:sz w:val="22"/>
        </w:rPr>
        <w:t>发函</w:t>
      </w:r>
    </w:p>
    <w:p>
      <w:pPr>
        <w:pStyle w:val="IntenseQuote"/>
        <w:spacing w:before="0" w:after="120"/>
      </w:pPr>
      <w:r>
        <w:rPr>
          <w:rFonts w:ascii="Calibri" w:hAnsi="Calibri" w:eastAsia="微软雅黑"/>
          <w:b w:val="0"/>
          <w:sz w:val="22"/>
        </w:rPr>
        <w:t>《民法典》第 533 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0D2547"/>
                <w:sz w:val="21"/>
              </w:rPr>
              <w:t>情形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0D2547"/>
                <w:sz w:val="21"/>
              </w:rPr>
              <w:t>能否调价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主材暴涨超 5%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通常可主张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 w:eastAsia="微软雅黑"/>
          <w:b/>
          <w:color w:val="7A8496"/>
          <w:sz w:val="20"/>
        </w:rPr>
        <w:t>依据来源 · BASIS OF ANSWER</w:t>
      </w:r>
    </w:p>
    <w:p>
      <w:pPr>
        <w:spacing w:before="0" w:after="40"/>
      </w:pPr>
      <w:r>
        <w:rPr>
          <w:rFonts w:ascii="Calibri" w:hAnsi="Calibri" w:eastAsia="微软雅黑"/>
          <w:b w:val="0"/>
          <w:color w:val="7A8496"/>
          <w:sz w:val="19"/>
        </w:rPr>
        <w:t>[1] 《民法典》（第 533 条）</w:t>
      </w:r>
    </w:p>
    <w:p>
      <w:pPr>
        <w:spacing w:before="320" w:after="120"/>
      </w:pPr>
      <w:r>
        <w:rPr>
          <w:rFonts w:ascii="Calibri" w:hAnsi="Calibri" w:eastAsia="微软雅黑"/>
          <w:b w:val="0"/>
          <w:color w:val="7A8496"/>
          <w:sz w:val="17"/>
        </w:rPr>
        <w:t>由 总包AI顾问（工程大脑）生成 · 仅供参考，不构成正式法律意见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