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美化文档标题"/>
      </w:pPr>
      <w:r>
        <w:t>工程项目管理数字化转型白皮书（2026）</w:t>
      </w:r>
    </w:p>
    <w:p>
      <w:pPr>
        <w:pStyle w:val="美化目录标题"/>
      </w:pPr>
      <w:r>
        <w:t>目  录</w:t>
      </w:r>
    </w:p>
    <w:p>
      <w:r>
        <w:fldChar w:fldCharType="begin"/>
        <w:instrText xml:space="preserve"> TOC \o "1-3" \h \z \u </w:instrText>
        <w:fldChar w:fldCharType="separate"/>
        <w:t>（在 Word/WPS 中按 Ctrl+A → F9 更新目录域）</w:t>
        <w:fldChar w:fldCharType="end"/>
      </w:r>
    </w:p>
    <w:p>
      <w:pPr>
        <w:pStyle w:val="美化目录标题"/>
      </w:pPr>
      <w:r>
        <w:t>目  录</w:t>
      </w:r>
    </w:p>
    <w:p>
      <w:r>
        <w:fldChar w:fldCharType="begin"/>
        <w:instrText xml:space="preserve"> TOC \o "1-3" \h \z \u </w:instrText>
        <w:fldChar w:fldCharType="separate"/>
        <w:t>（在 Word/WPS 中按 Ctrl+A → F9 更新目录域）</w:t>
        <w:fldChar w:fldCharType="end"/>
      </w:r>
    </w:p>
    <w:p>
      <w:pPr>
        <w:pStyle w:val="美化标题1"/>
      </w:pPr>
      <w:r>
        <w:t>第一章 总体形势</w:t>
      </w:r>
    </w:p>
    <w:p>
      <w:pPr>
        <w:pStyle w:val="美化正文"/>
      </w:pPr>
      <w:r>
        <w:t>近年来，工程建设行业加速向数字化、智能化方向演进，项目管理模式正在经历深刻变革。本报告围绕项目管理的核心场景，系统梳理数字化转型的现状、路径与关键抓手。</w:t>
      </w:r>
    </w:p>
    <w:p>
      <w:pPr>
        <w:pStyle w:val="美化正文"/>
      </w:pPr>
      <w:r>
        <w:t>从行业实践看，领先企业已经将进度、质量、安全、成本等核心要素纳入统一数据平台管理，实现了全过程可视与可追溯。</w:t>
      </w:r>
    </w:p>
    <w:p>
      <w:pPr>
        <w:pStyle w:val="美化正文"/>
      </w:pPr>
      <w:r>
        <w:t>但整体上，中小企业的数字化能力仍然薄弱，工具碎片化、数据孤岛等问题突出。</w:t>
      </w:r>
    </w:p>
    <w:p>
      <w:pPr>
        <w:pStyle w:val="美化标题1"/>
      </w:pPr>
      <w:r>
        <w:t>一、转型的三大驱动力</w:t>
      </w:r>
    </w:p>
    <w:p>
      <w:pPr>
        <w:pStyle w:val="美化标题2"/>
      </w:pPr>
      <w:r>
        <w:t>（一）政策驱动</w:t>
      </w:r>
    </w:p>
    <w:p>
      <w:pPr>
        <w:pStyle w:val="美化正文"/>
      </w:pPr>
      <w:r>
        <w:t>各级主管部门陆续出台数字化转型指导意见，明确阶段性目标与评价标准，形成持续的政策推力。</w:t>
      </w:r>
    </w:p>
    <w:p>
      <w:pPr>
        <w:pStyle w:val="美化标题3"/>
      </w:pPr>
      <w:r>
        <w:t>1. 标准体系逐步完善</w:t>
      </w:r>
    </w:p>
    <w:p>
      <w:pPr>
        <w:pStyle w:val="美化标题3"/>
      </w:pPr>
      <w:r>
        <w:t>1.1 数据标准</w:t>
      </w:r>
    </w:p>
    <w:p>
      <w:pPr>
        <w:pStyle w:val="美化正文"/>
      </w:pPr>
      <w:r>
        <w:t>行业级数据标准与接口规范的发布，为跨系统协同奠定了基础。</w:t>
      </w:r>
    </w:p>
    <w:p>
      <w:pPr>
        <w:pStyle w:val="美化标题2"/>
      </w:pPr>
      <w:r>
        <w:t>（二）市场驱动</w:t>
      </w:r>
    </w:p>
    <w:p>
      <w:pPr>
        <w:pStyle w:val="美化正文"/>
      </w:pPr>
      <w:r>
        <w:t>业主方对交付确定性要求提高，倒逼承包方以数字化手段压缩管理损耗。</w:t>
      </w:r>
    </w:p>
    <w:p>
      <w:pPr>
        <w:pStyle w:val="美化正文"/>
      </w:pPr>
      <w:r>
        <w:t>本段是误居中的正文，用于测试对齐归一。</w:t>
      </w:r>
    </w:p>
    <w:p>
      <w:pPr>
        <w:pStyle w:val="美化标题1"/>
      </w:pPr>
      <w:r>
        <w:t>二、实施路径</w:t>
      </w:r>
    </w:p>
    <w:p>
      <w:pPr>
        <w:pStyle w:val="美化正文"/>
      </w:pPr>
      <w:r>
        <w:t>实施路径应遵循「先试点、再推广、后固化」的三步走策略，优先在进度管理与安全管理两个场景取得可量化的收益。</w:t>
      </w:r>
    </w:p>
    <w:p>
      <w:pPr>
        <w:pStyle w:val="美化正文"/>
      </w:pPr>
      <w:r>
        <w:t>下表给出两个场景的对比：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核心指标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预期收益</w:t>
            </w:r>
          </w:p>
        </w:tc>
      </w:tr>
      <w:tr>
        <w:tc>
          <w:tcPr>
            <w:tcW w:type="dxa" w:w="2880"/>
          </w:tcPr>
          <w:p>
            <w:r>
              <w:t>进度管理</w:t>
            </w:r>
          </w:p>
        </w:tc>
        <w:tc>
          <w:tcPr>
            <w:tcW w:type="dxa" w:w="2880"/>
          </w:tcPr>
          <w:p>
            <w:r>
              <w:t>计划符合率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安全管理</w:t>
            </w:r>
          </w:p>
        </w:tc>
        <w:tc>
          <w:tcPr>
            <w:tcW w:type="dxa" w:w="2880"/>
          </w:tcPr>
          <w:p>
            <w:r>
              <w:t>隐患闭环率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</w:tbl>
    <w:p>
      <w:pPr>
        <w:pStyle w:val="美化标题1"/>
      </w:pPr>
      <w:r>
        <w:t>三、结论</w:t>
      </w:r>
    </w:p>
    <w:p>
      <w:pPr>
        <w:pStyle w:val="美化正文"/>
      </w:pPr>
      <w:r>
        <w:t>数字化转型不是工具采购，而是管理能力的系统性重构。应以数据贯通为主线，以场景收益为标尺，稳步推进。</w:t>
      </w:r>
    </w:p>
    <w:p>
      <w:pPr>
        <w:pStyle w:val="美化尾注（首行）"/>
      </w:pPr>
      <w:r>
        <w:t>某工程建设咨询研究中心</w:t>
      </w:r>
    </w:p>
    <w:p>
      <w:pPr>
        <w:pStyle w:val="美化尾注（首行）"/>
      </w:pPr>
      <w:r>
        <w:t>2026年10月21日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美化正文">
    <w:name w:val="美化正文"/>
    <w:basedOn w:val="Normal"/>
    <w:uiPriority w:val="90"/>
    <w:pPr>
      <w:spacing w:before="0" w:after="0" w:line="324" w:lineRule="auto"/>
      <w:ind w:firstLineChars="200" w:firstLine="480"/>
      <w:jc w:val="both"/>
      <w:outlineLvl w:val="9"/>
      <w:widowControl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美化文档标题">
    <w:name w:val="美化文档标题"/>
    <w:basedOn w:val="Normal"/>
    <w:uiPriority w:val="90"/>
    <w:pPr>
      <w:spacing w:before="0" w:after="160" w:line="324" w:lineRule="auto"/>
      <w:ind w:firstLine="0"/>
      <w:jc w:val="center"/>
      <w:outlineLvl w:val="9"/>
      <w:widowControl/>
    </w:pPr>
    <w:rPr>
      <w:rFonts w:ascii="Times New Roman" w:hAnsi="Times New Roman" w:eastAsia="宋体"/>
      <w:b/>
      <w:color w:val="000000"/>
      <w:sz w:val="36"/>
    </w:rPr>
  </w:style>
  <w:style w:type="paragraph" w:customStyle="1" w:styleId="美化标题1">
    <w:name w:val="美化标题 1"/>
    <w:basedOn w:val="Normal"/>
    <w:uiPriority w:val="90"/>
    <w:pPr>
      <w:spacing w:before="120" w:after="60" w:line="324" w:lineRule="auto"/>
      <w:ind w:firstLine="0"/>
      <w:jc w:val="left"/>
      <w:outlineLvl w:val="0"/>
      <w:keepNext/>
      <w:widowControl/>
    </w:pPr>
    <w:rPr>
      <w:rFonts w:ascii="Times New Roman" w:hAnsi="Times New Roman" w:eastAsia="黑体"/>
      <w:b w:val="0"/>
      <w:color w:val="000000"/>
      <w:sz w:val="28"/>
    </w:rPr>
  </w:style>
  <w:style w:type="paragraph" w:customStyle="1" w:styleId="美化标题2">
    <w:name w:val="美化标题 2"/>
    <w:basedOn w:val="Normal"/>
    <w:uiPriority w:val="90"/>
    <w:pPr>
      <w:spacing w:before="100" w:after="40" w:line="324" w:lineRule="auto"/>
      <w:ind w:firstLine="0"/>
      <w:jc w:val="left"/>
      <w:outlineLvl w:val="1"/>
      <w:keepNext/>
      <w:widowControl/>
    </w:pPr>
    <w:rPr>
      <w:rFonts w:ascii="Times New Roman" w:hAnsi="Times New Roman" w:eastAsia="宋体"/>
      <w:b/>
      <w:color w:val="000000"/>
      <w:sz w:val="26"/>
    </w:rPr>
  </w:style>
  <w:style w:type="paragraph" w:customStyle="1" w:styleId="美化标题3">
    <w:name w:val="美化标题 3"/>
    <w:basedOn w:val="Normal"/>
    <w:uiPriority w:val="90"/>
    <w:pPr>
      <w:spacing w:before="60" w:after="20" w:line="324" w:lineRule="auto"/>
      <w:ind w:firstLine="0"/>
      <w:jc w:val="left"/>
      <w:outlineLvl w:val="2"/>
      <w:keepNext/>
      <w:widowControl/>
    </w:pPr>
    <w:rPr>
      <w:rFonts w:ascii="Times New Roman" w:hAnsi="Times New Roman" w:eastAsia="宋体"/>
      <w:b/>
      <w:color w:val="000000"/>
      <w:sz w:val="24"/>
    </w:rPr>
  </w:style>
  <w:style w:type="paragraph" w:customStyle="1" w:styleId="美化尾注（首行）">
    <w:name w:val="美化尾注（首行）"/>
    <w:basedOn w:val="Normal"/>
    <w:uiPriority w:val="90"/>
    <w:pPr>
      <w:spacing w:before="480" w:after="0" w:line="324" w:lineRule="auto"/>
      <w:ind w:firstLine="0"/>
      <w:jc w:val="right"/>
      <w:outlineLvl w:val="9"/>
      <w:widowControl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美化尾注">
    <w:name w:val="美化尾注"/>
    <w:basedOn w:val="Normal"/>
    <w:uiPriority w:val="90"/>
    <w:pPr>
      <w:spacing w:before="0" w:after="0" w:line="324" w:lineRule="auto"/>
      <w:ind w:firstLine="0"/>
      <w:jc w:val="right"/>
      <w:outlineLvl w:val="9"/>
      <w:widowControl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美化目录标题">
    <w:name w:val="美化目录标题"/>
    <w:basedOn w:val="Normal"/>
    <w:uiPriority w:val="90"/>
    <w:pPr>
      <w:spacing w:before="240" w:after="240"/>
      <w:jc w:val="center"/>
      <w:widowControl/>
    </w:pPr>
    <w:rPr>
      <w:rFonts w:ascii="Times New Roman" w:hAnsi="Times New Roman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