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360" w:lineRule="auto"/>
      </w:pPr>
      <w:r>
        <w:rPr>
          <w:rFonts w:ascii="Times New Roman" w:hAnsi="Times New Roman" w:eastAsia="黑体"/>
          <w:b/>
          <w:sz w:val="32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2"/>
        </w:rPr>
        <w:t>第一章 总体形势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>从行业实践看，领先企业已经将进度、质量、安全、成本等核心要素纳入统一数据平台管理，实现了全过程可视与可追溯。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2"/>
        </w:rPr>
        <w:t>一、转型的三大驱动力</w:t>
      </w:r>
    </w:p>
    <w:p>
      <w:pPr>
        <w:jc w:val="left"/>
        <w:spacing w:before="0" w:after="0" w:line="360" w:lineRule="auto"/>
        <w:outlineLvl w:val="1"/>
        <w:keepNext/>
      </w:pPr>
      <w:r>
        <w:rPr>
          <w:rFonts w:ascii="Times New Roman" w:hAnsi="Times New Roman" w:eastAsia="黑体"/>
          <w:b/>
          <w:sz w:val="21"/>
        </w:rPr>
        <w:t>（一）政策驱动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各级主管部门陆续出台数字化转型指导意见，明确阶段性目标与评价标准，形成持续的政策推力。</w:t>
      </w:r>
    </w:p>
    <w:p>
      <w:pPr>
        <w:jc w:val="center"/>
        <w:spacing w:before="0" w:after="0" w:line="360" w:lineRule="auto"/>
        <w:outlineLvl w:val="2"/>
        <w:keepNext/>
      </w:pPr>
      <w:r>
        <w:rPr>
          <w:rFonts w:ascii="Times New Roman" w:hAnsi="Times New Roman" w:eastAsia="楷体"/>
          <w:b/>
          <w:sz w:val="21"/>
        </w:rPr>
        <w:t>1. 标准体系逐步完善</w:t>
      </w:r>
    </w:p>
    <w:p>
      <w:pPr>
        <w:jc w:val="center"/>
        <w:spacing w:before="0" w:after="0" w:line="360" w:lineRule="auto"/>
        <w:outlineLvl w:val="2"/>
        <w:keepNext/>
      </w:pPr>
      <w:r>
        <w:rPr>
          <w:rFonts w:ascii="Times New Roman" w:hAnsi="Times New Roman" w:eastAsia="楷体"/>
          <w:b/>
          <w:sz w:val="21"/>
        </w:rPr>
        <w:t>1.1 数据标准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>行业级数据标准与接口规范的发布，为跨系统协同奠定了基础。</w:t>
      </w:r>
    </w:p>
    <w:p>
      <w:pPr>
        <w:jc w:val="left"/>
        <w:spacing w:before="0" w:after="0" w:line="360" w:lineRule="auto"/>
        <w:outlineLvl w:val="1"/>
        <w:keepNext/>
      </w:pPr>
      <w:r>
        <w:rPr>
          <w:rFonts w:ascii="Times New Roman" w:hAnsi="Times New Roman" w:eastAsia="黑体"/>
          <w:b/>
          <w:sz w:val="21"/>
        </w:rPr>
        <w:t>（二）市场驱动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业主方对交付确定性要求提高，倒逼承包方以数字化手段压缩管理损耗。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>本段是误居中的正文，用于测试对齐归一。</w:t>
      </w:r>
    </w:p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2"/>
        </w:rPr>
        <w:t>二、实施路径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center"/>
        <w:spacing w:before="0" w:after="0" w:line="360" w:lineRule="auto"/>
        <w:outlineLvl w:val="0"/>
        <w:keepNext/>
      </w:pPr>
      <w:r>
        <w:rPr>
          <w:rFonts w:ascii="Times New Roman" w:hAnsi="Times New Roman" w:eastAsia="黑体"/>
          <w:b/>
          <w:sz w:val="32"/>
        </w:rPr>
        <w:t>三、结论</w:t>
      </w:r>
    </w:p>
    <w:p>
      <w:pPr>
        <w:jc w:val="left"/>
        <w:spacing w:before="0" w:after="0" w:line="360" w:lineRule="auto"/>
        <w:ind w:left="360" w:leftChars="150" w:hangingChars="150" w:hanging="360"/>
        <w:outlineLvl w:val="9"/>
      </w:pPr>
      <w:r>
        <w:rPr>
          <w:rFonts w:ascii="Times New Roman" w:hAnsi="Times New Roman" w:eastAsia="宋体"/>
          <w:b w:val="0"/>
          <w:sz w:val="21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某工程建设咨询研究中心</w:t>
      </w:r>
    </w:p>
    <w:p>
      <w:r>
        <w:rPr>
          <w:rFonts w:ascii="Times New Roman" w:hAnsi="Times New Roman" w:eastAsia="宋体"/>
          <w:b w:val="0"/>
          <w:sz w:val="24"/>
        </w:rPr>
        <w:t>2026年10月21日</w:t>
      </w:r>
    </w:p>
    <w:sectPr w:rsidR="00FC693F" w:rsidRPr="0006063C" w:rsidSect="00034616">
      <w:footerReference w:type="default" r:id="rId9"/>
      <w:pgSz w:w="16838" w:h="2381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