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160" w:line="324" w:lineRule="auto"/>
        <w:ind w:firstLine="0"/>
        <w:outlineLvl w:val="9"/>
      </w:pPr>
      <w:r>
        <w:rPr>
          <w:rFonts w:ascii="Times New Roman" w:hAnsi="Times New Roman" w:eastAsia="宋体"/>
          <w:b/>
          <w:sz w:val="36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before="120" w:after="60" w:line="324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第一章 总体形势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before="120" w:after="60" w:line="324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一、转型的三大驱动力</w:t>
      </w:r>
    </w:p>
    <w:p>
      <w:pPr>
        <w:jc w:val="left"/>
        <w:spacing w:before="100" w:after="40" w:line="324" w:lineRule="auto"/>
        <w:ind w:firstLine="0"/>
        <w:outlineLvl w:val="1"/>
        <w:keepNext/>
      </w:pPr>
      <w:r>
        <w:rPr>
          <w:rFonts w:ascii="Times New Roman" w:hAnsi="Times New Roman" w:eastAsia="宋体"/>
          <w:b/>
          <w:sz w:val="26"/>
        </w:rPr>
        <w:t>（一）政策驱动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before="60" w:after="20" w:line="324" w:lineRule="auto"/>
        <w:ind w:firstLine="0"/>
        <w:outlineLvl w:val="2"/>
        <w:keepNext/>
      </w:pPr>
      <w:r>
        <w:rPr>
          <w:rFonts w:ascii="Times New Roman" w:hAnsi="Times New Roman" w:eastAsia="宋体"/>
          <w:b/>
          <w:sz w:val="24"/>
        </w:rPr>
        <w:t>1. 标准体系逐步完善</w:t>
      </w:r>
    </w:p>
    <w:p>
      <w:pPr>
        <w:jc w:val="left"/>
        <w:spacing w:before="60" w:after="20" w:line="324" w:lineRule="auto"/>
        <w:ind w:firstLine="0"/>
        <w:outlineLvl w:val="2"/>
        <w:keepNext/>
      </w:pPr>
      <w:r>
        <w:rPr>
          <w:rFonts w:ascii="Times New Roman" w:hAnsi="Times New Roman" w:eastAsia="宋体"/>
          <w:b/>
          <w:sz w:val="24"/>
        </w:rPr>
        <w:t>1.1 数据标准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行业级数据标准与接口规范的发布，为跨系统协同奠定了基础。</w:t>
      </w:r>
    </w:p>
    <w:p>
      <w:pPr>
        <w:jc w:val="left"/>
        <w:spacing w:before="100" w:after="40" w:line="324" w:lineRule="auto"/>
        <w:ind w:firstLine="0"/>
        <w:outlineLvl w:val="1"/>
        <w:keepNext/>
      </w:pPr>
      <w:r>
        <w:rPr>
          <w:rFonts w:ascii="Times New Roman" w:hAnsi="Times New Roman" w:eastAsia="宋体"/>
          <w:b/>
          <w:sz w:val="26"/>
        </w:rPr>
        <w:t>（二）市场驱动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业主方对交付确定性要求提高，倒逼承包方以数字化手段压缩管理损耗。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本段是误居中的正文，用于测试对齐归一。</w:t>
      </w:r>
    </w:p>
    <w:p>
      <w:pPr>
        <w:jc w:val="left"/>
        <w:spacing w:before="120" w:after="60" w:line="324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二、实施路径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before="120" w:after="60" w:line="324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三、结论</w:t>
      </w:r>
    </w:p>
    <w:p>
      <w:pPr>
        <w:jc w:val="both"/>
        <w:spacing w:before="0" w:after="0" w:line="324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 w:after="0" w:line="324" w:lineRule="auto"/>
        <w:ind w:firstLine="0"/>
        <w:outlineLvl w:val="9"/>
      </w:pPr>
      <w:r>
        <w:rPr>
          <w:rFonts w:ascii="Times New Roman" w:hAnsi="Times New Roman" w:eastAsia="宋体"/>
          <w:b w:val="0"/>
          <w:sz w:val="24"/>
        </w:rPr>
        <w:t>某工程建设咨询研究中心</w:t>
      </w:r>
    </w:p>
    <w:p>
      <w:pPr>
        <w:jc w:val="right"/>
        <w:spacing w:before="480" w:after="0" w:line="324" w:lineRule="auto"/>
        <w:ind w:firstLine="0"/>
        <w:outlineLvl w:val="9"/>
      </w:pPr>
      <w:r>
        <w:rPr>
          <w:rFonts w:ascii="Times New Roman" w:hAnsi="Times New Roman" w:eastAsia="宋体"/>
          <w:b w:val="0"/>
          <w:sz w:val="24"/>
        </w:rPr>
        <w:t>2026年10月21日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