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EPC 总承包项目计价依据测试材料</w:t>
      </w:r>
    </w:p>
    <w:p>
      <w:r>
        <w:t>本文件为 P0-4 MarkItDown 入池格式化冒烟测试。EPC 工程总承包计价依据包括: 定额计价、清单计价、模拟清单、费率下浮等模式。国际工程 EPC 项目常用 SMM/CSI/PSS 等国际计量规则与 FIDIC 银皮书合同条件, 计价风险分担机制与国内定额体系存在显著差异。本段文字用于验证 docx 经 markitdown 转 md 后能否正确入池并判层, 有效字数应超过三百字门槛。本文件为 P0-4 MarkItDown 入池格式化冒烟测试。EPC 工程总承包计价依据包括: 定额计价、清单计价、模拟清单、费率下浮等模式。国际工程 EPC 项目常用 SMM/CSI/PSS 等国际计量规则与 FIDIC 银皮书合同条件, 计价风险分担机制与国内定额体系存在显著差异。本段文字用于验证 docx 经 markitdown 转 md 后能否正确入池并判层, 有效字数应超过三百字门槛。本文件为 P0-4 MarkItDown 入池格式化冒烟测试。EPC 工程总承包计价依据包括: 定额计价、清单计价、模拟清单、费率下浮等模式。国际工程 EPC 项目常用 SMM/CSI/PSS 等国际计量规则与 FIDIC 银皮书合同条件, 计价风险分担机制与国内定额体系存在显著差异。本段文字用于验证 docx 经 markitdown 转 md 后能否正确入池并判层, 有效字数应超过三百字门槛。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