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国际工程 EPC 计价规则第二冒烟件</w:t>
      </w:r>
    </w:p>
    <w:p>
      <w:r>
        <w:t>MarkItDown 主道验证: FIDIC 银皮书下 EPC 总承包合同的价格条款、量差调差与暂列金额机制。国际工程计价常用 SMM7/NRM 计量规则, 与国内 13 清单规范在综合单价构成、风险幅度范围上存在体系差异。本件用于验证 docx 格式化预处理走 markitdown 主道入池。MarkItDown 主道验证: FIDIC 银皮书下 EPC 总承包合同的价格条款、量差调差与暂列金额机制。国际工程计价常用 SMM7/NRM 计量规则, 与国内 13 清单规范在综合单价构成、风险幅度范围上存在体系差异。本件用于验证 docx 格式化预处理走 markitdown 主道入池。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