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0"/>
        <w:jc w:val="center"/>
      </w:pPr>
      <w:r>
        <w:rPr>
          <w:rFonts w:ascii="Calibri" w:hAnsi="Calibri" w:eastAsia="微软雅黑"/>
          <w:b/>
          <w:i w:val="0"/>
          <w:sz w:val="44"/>
        </w:rPr>
        <w:t>工程企业工程总承包业务全景研究报告：2025 TOP50</w:t>
      </w:r>
    </w:p>
    <w:p>
      <w:pPr>
        <w:jc w:val="center"/>
      </w:pPr>
      <w:r>
        <w:rPr>
          <w:rFonts w:ascii="Calibri" w:hAnsi="Calibri" w:eastAsia="微软雅黑"/>
          <w:b w:val="0"/>
          <w:i w:val="0"/>
          <w:color w:val="666666"/>
          <w:sz w:val="22"/>
        </w:rPr>
        <w:t>出品：总包创研院研究团队</w:t>
      </w:r>
    </w:p>
    <w:p>
      <w:pPr>
        <w:jc w:val="center"/>
      </w:pPr>
      <w:r>
        <w:rPr>
          <w:rFonts w:ascii="Calibri" w:hAnsi="Calibri" w:eastAsia="微软雅黑"/>
          <w:b w:val="0"/>
          <w:i w:val="0"/>
          <w:color w:val="666666"/>
          <w:sz w:val="22"/>
        </w:rPr>
        <w:t>版本日期：2026-10</w:t>
      </w:r>
    </w:p>
    <w:p>
      <w:r>
        <w:br w:type="page"/>
      </w:r>
    </w:p>
    <w:p>
      <w:pPr>
        <w:pStyle w:val="Heading1"/>
      </w:pPr>
      <w:r>
        <w:t>目 录</w:t>
      </w:r>
    </w:p>
    <w:p>
      <w:pPr>
        <w:tabs>
          <w:tab w:pos="8504" w:val="right" w:leader="dot"/>
        </w:tabs>
        <w:ind w:left="0"/>
      </w:pPr>
      <w:r>
        <w:rPr>
          <w:rFonts w:ascii="Calibri" w:hAnsi="Calibri" w:eastAsia="微软雅黑"/>
          <w:b/>
          <w:i w:val="0"/>
          <w:sz w:val="22"/>
        </w:rPr>
        <w:t>第1章 导论：50强格局已由规模扩张演变为价值重塑，全产业链整合能力决定企业战略坐标</w:t>
      </w:r>
    </w:p>
    <w:p>
      <w:pPr>
        <w:tabs>
          <w:tab w:pos="8504" w:val="right" w:leader="dot"/>
        </w:tabs>
        <w:ind w:left="340"/>
      </w:pPr>
      <w:r>
        <w:rPr>
          <w:rFonts w:ascii="Calibri" w:hAnsi="Calibri" w:eastAsia="微软雅黑"/>
          <w:b w:val="0"/>
          <w:i w:val="0"/>
          <w:sz w:val="20"/>
        </w:rPr>
        <w:t>1.1 宏观视阈：50强全景、市场集中度与竞争格局</w:t>
      </w:r>
    </w:p>
    <w:p>
      <w:pPr>
        <w:tabs>
          <w:tab w:pos="8504" w:val="right" w:leader="dot"/>
        </w:tabs>
        <w:ind w:left="340"/>
      </w:pPr>
      <w:r>
        <w:rPr>
          <w:rFonts w:ascii="Calibri" w:hAnsi="Calibri" w:eastAsia="微软雅黑"/>
          <w:b w:val="0"/>
          <w:i w:val="0"/>
          <w:sz w:val="20"/>
        </w:rPr>
        <w:t>1.2 模式演进：从工程分包到全过程EPC的制度逻辑与管理规范</w:t>
      </w:r>
    </w:p>
    <w:p>
      <w:pPr>
        <w:tabs>
          <w:tab w:pos="8504" w:val="right" w:leader="dot"/>
        </w:tabs>
        <w:ind w:left="340"/>
      </w:pPr>
      <w:r>
        <w:rPr>
          <w:rFonts w:ascii="Calibri" w:hAnsi="Calibri" w:eastAsia="微软雅黑"/>
          <w:b w:val="0"/>
          <w:i w:val="0"/>
          <w:sz w:val="20"/>
        </w:rPr>
        <w:t>1.3 领军示范：TOP50典型企业的标杆案例与转型路径</w:t>
      </w:r>
    </w:p>
    <w:p>
      <w:pPr>
        <w:tabs>
          <w:tab w:pos="8504" w:val="right" w:leader="dot"/>
        </w:tabs>
        <w:ind w:left="340"/>
      </w:pPr>
      <w:r>
        <w:rPr>
          <w:rFonts w:ascii="Calibri" w:hAnsi="Calibri" w:eastAsia="微软雅黑"/>
          <w:b w:val="0"/>
          <w:i w:val="0"/>
          <w:sz w:val="20"/>
        </w:rPr>
        <w:t>1.4 全景图谱与方法论：EPC全过程风险防范矩阵与能力提升四步法</w:t>
      </w:r>
    </w:p>
    <w:p>
      <w:pPr>
        <w:tabs>
          <w:tab w:pos="8504" w:val="right" w:leader="dot"/>
        </w:tabs>
        <w:ind w:left="340"/>
      </w:pPr>
      <w:r>
        <w:rPr>
          <w:rFonts w:ascii="Calibri" w:hAnsi="Calibri" w:eastAsia="微软雅黑"/>
          <w:b w:val="0"/>
          <w:i w:val="0"/>
          <w:sz w:val="20"/>
        </w:rPr>
        <w:t>1.5 本章小结要点</w:t>
      </w:r>
    </w:p>
    <w:p>
      <w:pPr>
        <w:tabs>
          <w:tab w:pos="8504" w:val="right" w:leader="dot"/>
        </w:tabs>
        <w:ind w:left="340"/>
      </w:pPr>
      <w:r>
        <w:rPr>
          <w:rFonts w:ascii="Calibri" w:hAnsi="Calibri" w:eastAsia="微软雅黑"/>
          <w:b w:val="0"/>
          <w:i w:val="0"/>
          <w:sz w:val="20"/>
        </w:rPr>
        <w:t>1.6 本章证据边界与数据说明</w:t>
      </w:r>
    </w:p>
    <w:p>
      <w:pPr>
        <w:tabs>
          <w:tab w:pos="8504" w:val="right" w:leader="dot"/>
        </w:tabs>
        <w:ind w:left="340"/>
      </w:pPr>
      <w:r>
        <w:rPr>
          <w:rFonts w:ascii="Calibri" w:hAnsi="Calibri" w:eastAsia="微软雅黑"/>
          <w:b w:val="0"/>
          <w:i w:val="0"/>
          <w:sz w:val="20"/>
        </w:rPr>
        <w:t>本章尾注（事实锚源对照）</w:t>
      </w:r>
    </w:p>
    <w:p>
      <w:pPr>
        <w:tabs>
          <w:tab w:pos="8504" w:val="right" w:leader="dot"/>
        </w:tabs>
        <w:ind w:left="0"/>
      </w:pPr>
      <w:r>
        <w:rPr>
          <w:rFonts w:ascii="Calibri" w:hAnsi="Calibri" w:eastAsia="微软雅黑"/>
          <w:b/>
          <w:i w:val="0"/>
          <w:sz w:val="22"/>
        </w:rPr>
        <w:t>第2章 50强榜单的真实含金量在于新签合同转化率与穿透去除重复统计后的净营收——榜单格局与排名方法论深读</w:t>
      </w:r>
    </w:p>
    <w:p>
      <w:pPr>
        <w:tabs>
          <w:tab w:pos="8504" w:val="right" w:leader="dot"/>
        </w:tabs>
        <w:ind w:left="340"/>
      </w:pPr>
      <w:r>
        <w:rPr>
          <w:rFonts w:ascii="Calibri" w:hAnsi="Calibri" w:eastAsia="微软雅黑"/>
          <w:b w:val="0"/>
          <w:i w:val="0"/>
          <w:sz w:val="20"/>
        </w:rPr>
        <w:t>2.1 指标体系：工程总承包排名与会计营收的数理逻辑解构</w:t>
      </w:r>
    </w:p>
    <w:p>
      <w:pPr>
        <w:tabs>
          <w:tab w:pos="8504" w:val="right" w:leader="dot"/>
        </w:tabs>
        <w:ind w:left="340"/>
      </w:pPr>
      <w:r>
        <w:rPr>
          <w:rFonts w:ascii="Calibri" w:hAnsi="Calibri" w:eastAsia="微软雅黑"/>
          <w:b w:val="0"/>
          <w:i w:val="0"/>
          <w:sz w:val="20"/>
        </w:rPr>
        <w:t>2.2 口径穿透：统计口径、税务口径与财务核算口径的三重分裂与统一</w:t>
      </w:r>
    </w:p>
    <w:p>
      <w:pPr>
        <w:tabs>
          <w:tab w:pos="8504" w:val="right" w:leader="dot"/>
        </w:tabs>
        <w:ind w:left="340"/>
      </w:pPr>
      <w:r>
        <w:rPr>
          <w:rFonts w:ascii="Calibri" w:hAnsi="Calibri" w:eastAsia="微软雅黑"/>
          <w:b w:val="0"/>
          <w:i w:val="0"/>
          <w:sz w:val="20"/>
        </w:rPr>
        <w:t>2.3 转化时滞：从"中标签约"到"统计营业额"与"财务营收"的传导机制</w:t>
      </w:r>
    </w:p>
    <w:p>
      <w:pPr>
        <w:tabs>
          <w:tab w:pos="8504" w:val="right" w:leader="dot"/>
        </w:tabs>
        <w:ind w:left="340"/>
      </w:pPr>
      <w:r>
        <w:rPr>
          <w:rFonts w:ascii="Calibri" w:hAnsi="Calibri" w:eastAsia="微软雅黑"/>
          <w:b w:val="0"/>
          <w:i w:val="0"/>
          <w:sz w:val="20"/>
        </w:rPr>
        <w:t>2.4 位次洗牌：TOP50榜单动态演变与企业战略路径选择</w:t>
      </w:r>
    </w:p>
    <w:p>
      <w:pPr>
        <w:tabs>
          <w:tab w:pos="8504" w:val="right" w:leader="dot"/>
        </w:tabs>
        <w:ind w:left="340"/>
      </w:pPr>
      <w:r>
        <w:rPr>
          <w:rFonts w:ascii="Calibri" w:hAnsi="Calibri" w:eastAsia="微软雅黑"/>
          <w:b w:val="0"/>
          <w:i w:val="0"/>
          <w:sz w:val="20"/>
        </w:rPr>
        <w:t>2.5 榜单申报合规与异常诊断防范机制</w:t>
      </w:r>
    </w:p>
    <w:p>
      <w:pPr>
        <w:tabs>
          <w:tab w:pos="8504" w:val="right" w:leader="dot"/>
        </w:tabs>
        <w:ind w:left="340"/>
      </w:pPr>
      <w:r>
        <w:rPr>
          <w:rFonts w:ascii="Calibri" w:hAnsi="Calibri" w:eastAsia="微软雅黑"/>
          <w:b w:val="0"/>
          <w:i w:val="0"/>
          <w:sz w:val="20"/>
        </w:rPr>
        <w:t>2.6 复杂场景实操对账与方法论落地机制</w:t>
      </w:r>
    </w:p>
    <w:p>
      <w:pPr>
        <w:tabs>
          <w:tab w:pos="8504" w:val="right" w:leader="dot"/>
        </w:tabs>
        <w:ind w:left="340"/>
      </w:pPr>
      <w:r>
        <w:rPr>
          <w:rFonts w:ascii="Calibri" w:hAnsi="Calibri" w:eastAsia="微软雅黑"/>
          <w:b w:val="0"/>
          <w:i w:val="0"/>
          <w:sz w:val="20"/>
        </w:rPr>
        <w:t>2.7 小结要点</w:t>
      </w:r>
    </w:p>
    <w:p>
      <w:pPr>
        <w:tabs>
          <w:tab w:pos="8504" w:val="right" w:leader="dot"/>
        </w:tabs>
        <w:ind w:left="340"/>
      </w:pPr>
      <w:r>
        <w:rPr>
          <w:rFonts w:ascii="Calibri" w:hAnsi="Calibri" w:eastAsia="微软雅黑"/>
          <w:b w:val="0"/>
          <w:i w:val="0"/>
          <w:sz w:val="20"/>
        </w:rPr>
        <w:t>2.8 本章证据边界</w:t>
      </w:r>
    </w:p>
    <w:p>
      <w:pPr>
        <w:tabs>
          <w:tab w:pos="8504" w:val="right" w:leader="dot"/>
        </w:tabs>
        <w:ind w:left="340"/>
      </w:pPr>
      <w:r>
        <w:rPr>
          <w:rFonts w:ascii="Calibri" w:hAnsi="Calibri" w:eastAsia="微软雅黑"/>
          <w:b w:val="0"/>
          <w:i w:val="0"/>
          <w:sz w:val="20"/>
        </w:rPr>
        <w:t>本章尾注（事实锚源对照）</w:t>
      </w:r>
    </w:p>
    <w:p>
      <w:pPr>
        <w:tabs>
          <w:tab w:pos="8504" w:val="right" w:leader="dot"/>
        </w:tabs>
        <w:ind w:left="0"/>
      </w:pPr>
      <w:r>
        <w:rPr>
          <w:rFonts w:ascii="Calibri" w:hAnsi="Calibri" w:eastAsia="微软雅黑"/>
          <w:b/>
          <w:i w:val="0"/>
          <w:sz w:val="22"/>
        </w:rPr>
        <w:t>第3章 央企集团军凭借资质集聚与资金统筹建立护城河，但内部同质化与协同耗损仍待破解</w:t>
      </w:r>
    </w:p>
    <w:p>
      <w:pPr>
        <w:tabs>
          <w:tab w:pos="8504" w:val="right" w:leader="dot"/>
        </w:tabs>
        <w:ind w:left="340"/>
      </w:pPr>
      <w:r>
        <w:rPr>
          <w:rFonts w:ascii="Calibri" w:hAnsi="Calibri" w:eastAsia="微软雅黑"/>
          <w:b w:val="0"/>
          <w:i w:val="0"/>
          <w:sz w:val="20"/>
        </w:rPr>
        <w:t>3.1 阵营分化：五大央企集团军的战略坐标与作战定位</w:t>
      </w:r>
    </w:p>
    <w:p>
      <w:pPr>
        <w:tabs>
          <w:tab w:pos="8504" w:val="right" w:leader="dot"/>
        </w:tabs>
        <w:ind w:left="340"/>
      </w:pPr>
      <w:r>
        <w:rPr>
          <w:rFonts w:ascii="Calibri" w:hAnsi="Calibri" w:eastAsia="微软雅黑"/>
          <w:b w:val="0"/>
          <w:i w:val="0"/>
          <w:sz w:val="20"/>
        </w:rPr>
        <w:t>3.2 集群协作：央企集团军的内部联动与生态协同机制</w:t>
      </w:r>
    </w:p>
    <w:p>
      <w:pPr>
        <w:tabs>
          <w:tab w:pos="8504" w:val="right" w:leader="dot"/>
        </w:tabs>
        <w:ind w:left="340"/>
      </w:pPr>
      <w:r>
        <w:rPr>
          <w:rFonts w:ascii="Calibri" w:hAnsi="Calibri" w:eastAsia="微软雅黑"/>
          <w:b w:val="0"/>
          <w:i w:val="0"/>
          <w:sz w:val="20"/>
        </w:rPr>
        <w:t>3.3 壁垒构建：央企集团军的硬核护城河与核心资产</w:t>
      </w:r>
    </w:p>
    <w:p>
      <w:pPr>
        <w:tabs>
          <w:tab w:pos="8504" w:val="right" w:leader="dot"/>
        </w:tabs>
        <w:ind w:left="340"/>
      </w:pPr>
      <w:r>
        <w:rPr>
          <w:rFonts w:ascii="Calibri" w:hAnsi="Calibri" w:eastAsia="微软雅黑"/>
          <w:b w:val="0"/>
          <w:i w:val="0"/>
          <w:sz w:val="20"/>
        </w:rPr>
        <w:t>3.4 协同阵痛：集团化管控的深层瓶颈与解题路径</w:t>
      </w:r>
    </w:p>
    <w:p>
      <w:pPr>
        <w:tabs>
          <w:tab w:pos="8504" w:val="right" w:leader="dot"/>
        </w:tabs>
        <w:ind w:left="340"/>
      </w:pPr>
      <w:r>
        <w:rPr>
          <w:rFonts w:ascii="Calibri" w:hAnsi="Calibri" w:eastAsia="微软雅黑"/>
          <w:b w:val="0"/>
          <w:i w:val="0"/>
          <w:sz w:val="20"/>
        </w:rPr>
        <w:t>3.5 竞合对策与能力迁移：地方国企、民企及设计院的生存之道</w:t>
      </w:r>
    </w:p>
    <w:p>
      <w:pPr>
        <w:tabs>
          <w:tab w:pos="8504" w:val="right" w:leader="dot"/>
        </w:tabs>
        <w:ind w:left="340"/>
      </w:pPr>
      <w:r>
        <w:rPr>
          <w:rFonts w:ascii="Calibri" w:hAnsi="Calibri" w:eastAsia="微软雅黑"/>
          <w:b w:val="0"/>
          <w:i w:val="0"/>
          <w:sz w:val="20"/>
        </w:rPr>
        <w:t>3.6 央企大总包演进路线与2030战略展望</w:t>
      </w:r>
    </w:p>
    <w:p>
      <w:pPr>
        <w:tabs>
          <w:tab w:pos="8504" w:val="right" w:leader="dot"/>
        </w:tabs>
        <w:ind w:left="340"/>
      </w:pPr>
      <w:r>
        <w:rPr>
          <w:rFonts w:ascii="Calibri" w:hAnsi="Calibri" w:eastAsia="微软雅黑"/>
          <w:b w:val="0"/>
          <w:i w:val="0"/>
          <w:sz w:val="20"/>
        </w:rPr>
        <w:t>3.7 本章小结要点</w:t>
      </w:r>
    </w:p>
    <w:p>
      <w:pPr>
        <w:tabs>
          <w:tab w:pos="8504" w:val="right" w:leader="dot"/>
        </w:tabs>
        <w:ind w:left="340"/>
      </w:pPr>
      <w:r>
        <w:rPr>
          <w:rFonts w:ascii="Calibri" w:hAnsi="Calibri" w:eastAsia="微软雅黑"/>
          <w:b w:val="0"/>
          <w:i w:val="0"/>
          <w:sz w:val="20"/>
        </w:rPr>
        <w:t>3.8 本章证据边界</w:t>
      </w:r>
    </w:p>
    <w:p>
      <w:pPr>
        <w:tabs>
          <w:tab w:pos="8504" w:val="right" w:leader="dot"/>
        </w:tabs>
        <w:ind w:left="340"/>
      </w:pPr>
      <w:r>
        <w:rPr>
          <w:rFonts w:ascii="Calibri" w:hAnsi="Calibri" w:eastAsia="微软雅黑"/>
          <w:b w:val="0"/>
          <w:i w:val="0"/>
          <w:sz w:val="20"/>
        </w:rPr>
        <w:t>本章尾注（事实锚源对照）</w:t>
      </w:r>
    </w:p>
    <w:p>
      <w:pPr>
        <w:tabs>
          <w:tab w:pos="8504" w:val="right" w:leader="dot"/>
        </w:tabs>
        <w:ind w:left="0"/>
      </w:pPr>
      <w:r>
        <w:rPr>
          <w:rFonts w:ascii="Calibri" w:hAnsi="Calibri" w:eastAsia="微软雅黑"/>
          <w:b/>
          <w:i w:val="0"/>
          <w:sz w:val="22"/>
        </w:rPr>
        <w:t>第4章 专业赛道分化：极化深潜者构筑壁垒，出清与跨界正在重划工程总承包版图</w:t>
      </w:r>
    </w:p>
    <w:p>
      <w:pPr>
        <w:tabs>
          <w:tab w:pos="8504" w:val="right" w:leader="dot"/>
        </w:tabs>
        <w:ind w:left="340"/>
      </w:pPr>
      <w:r>
        <w:rPr>
          <w:rFonts w:ascii="Calibri" w:hAnsi="Calibri" w:eastAsia="微软雅黑"/>
          <w:b w:val="0"/>
          <w:i w:val="0"/>
          <w:sz w:val="20"/>
        </w:rPr>
        <w:t>4.1 赛道极化：以核心技术垄断与全产业链闭环构筑绝对壁垒</w:t>
      </w:r>
    </w:p>
    <w:p>
      <w:pPr>
        <w:tabs>
          <w:tab w:pos="8504" w:val="right" w:leader="dot"/>
        </w:tabs>
        <w:ind w:left="340"/>
      </w:pPr>
      <w:r>
        <w:rPr>
          <w:rFonts w:ascii="Calibri" w:hAnsi="Calibri" w:eastAsia="微软雅黑"/>
          <w:b w:val="0"/>
          <w:i w:val="0"/>
          <w:sz w:val="20"/>
        </w:rPr>
        <w:t>4.2 新增量爆发：核电、绿能低碳与高能级海外的三大爆发极</w:t>
      </w:r>
    </w:p>
    <w:p>
      <w:pPr>
        <w:tabs>
          <w:tab w:pos="8504" w:val="right" w:leader="dot"/>
        </w:tabs>
        <w:ind w:left="340"/>
      </w:pPr>
      <w:r>
        <w:rPr>
          <w:rFonts w:ascii="Calibri" w:hAnsi="Calibri" w:eastAsia="微软雅黑"/>
          <w:b w:val="0"/>
          <w:i w:val="0"/>
          <w:sz w:val="20"/>
        </w:rPr>
        <w:t>4.3 传统赛道出清：减量发展下的存量博弈与价值重构</w:t>
      </w:r>
    </w:p>
    <w:p>
      <w:pPr>
        <w:tabs>
          <w:tab w:pos="8504" w:val="right" w:leader="dot"/>
        </w:tabs>
        <w:ind w:left="340"/>
      </w:pPr>
      <w:r>
        <w:rPr>
          <w:rFonts w:ascii="Calibri" w:hAnsi="Calibri" w:eastAsia="微软雅黑"/>
          <w:b w:val="0"/>
          <w:i w:val="0"/>
          <w:sz w:val="20"/>
        </w:rPr>
        <w:t>4.4 跨界渗透：技术同源迁移与"第二增长曲线"的双向竞逐</w:t>
      </w:r>
    </w:p>
    <w:p>
      <w:pPr>
        <w:tabs>
          <w:tab w:pos="8504" w:val="right" w:leader="dot"/>
        </w:tabs>
        <w:ind w:left="340"/>
      </w:pPr>
      <w:r>
        <w:rPr>
          <w:rFonts w:ascii="Calibri" w:hAnsi="Calibri" w:eastAsia="微软雅黑"/>
          <w:b w:val="0"/>
          <w:i w:val="0"/>
          <w:sz w:val="20"/>
        </w:rPr>
        <w:t>4.5 赛道定位矩阵：企业如何选择自己的战场</w:t>
      </w:r>
    </w:p>
    <w:p>
      <w:pPr>
        <w:tabs>
          <w:tab w:pos="8504" w:val="right" w:leader="dot"/>
        </w:tabs>
        <w:ind w:left="340"/>
      </w:pPr>
      <w:r>
        <w:rPr>
          <w:rFonts w:ascii="Calibri" w:hAnsi="Calibri" w:eastAsia="微软雅黑"/>
          <w:b w:val="0"/>
          <w:i w:val="0"/>
          <w:sz w:val="20"/>
        </w:rPr>
        <w:t>4.6 本章小结要点</w:t>
      </w:r>
    </w:p>
    <w:p>
      <w:pPr>
        <w:tabs>
          <w:tab w:pos="8504" w:val="right" w:leader="dot"/>
        </w:tabs>
        <w:ind w:left="340"/>
      </w:pPr>
      <w:r>
        <w:rPr>
          <w:rFonts w:ascii="Calibri" w:hAnsi="Calibri" w:eastAsia="微软雅黑"/>
          <w:b w:val="0"/>
          <w:i w:val="0"/>
          <w:sz w:val="20"/>
        </w:rPr>
        <w:t>4.7 本章证据边界与数据说明</w:t>
      </w:r>
    </w:p>
    <w:p>
      <w:pPr>
        <w:tabs>
          <w:tab w:pos="8504" w:val="right" w:leader="dot"/>
        </w:tabs>
        <w:ind w:left="340"/>
      </w:pPr>
      <w:r>
        <w:rPr>
          <w:rFonts w:ascii="Calibri" w:hAnsi="Calibri" w:eastAsia="微软雅黑"/>
          <w:b w:val="0"/>
          <w:i w:val="0"/>
          <w:sz w:val="20"/>
        </w:rPr>
        <w:t>本章尾注（事实锚源对照）</w:t>
      </w:r>
    </w:p>
    <w:p>
      <w:pPr>
        <w:tabs>
          <w:tab w:pos="8504" w:val="right" w:leader="dot"/>
        </w:tabs>
        <w:ind w:left="0"/>
      </w:pPr>
      <w:r>
        <w:rPr>
          <w:rFonts w:ascii="Calibri" w:hAnsi="Calibri" w:eastAsia="微软雅黑"/>
          <w:b/>
          <w:i w:val="0"/>
          <w:sz w:val="22"/>
        </w:rPr>
        <w:t>第5章 区域梯队：全国化不是挂牌设点，能级沉降与属地破局决定跨区成败</w:t>
      </w:r>
    </w:p>
    <w:p>
      <w:pPr>
        <w:tabs>
          <w:tab w:pos="8504" w:val="right" w:leader="dot"/>
        </w:tabs>
        <w:ind w:left="340"/>
      </w:pPr>
      <w:r>
        <w:rPr>
          <w:rFonts w:ascii="Calibri" w:hAnsi="Calibri" w:eastAsia="微软雅黑"/>
          <w:b w:val="0"/>
          <w:i w:val="0"/>
          <w:sz w:val="20"/>
        </w:rPr>
        <w:t>5.1 梯队划界：三级能级模型与标杆实证</w:t>
      </w:r>
    </w:p>
    <w:p>
      <w:pPr>
        <w:tabs>
          <w:tab w:pos="8504" w:val="right" w:leader="dot"/>
        </w:tabs>
        <w:ind w:left="340"/>
      </w:pPr>
      <w:r>
        <w:rPr>
          <w:rFonts w:ascii="Calibri" w:hAnsi="Calibri" w:eastAsia="微软雅黑"/>
          <w:b w:val="0"/>
          <w:i w:val="0"/>
          <w:sz w:val="20"/>
        </w:rPr>
        <w:t>5.2 属地与破局：外省企业站稳脚跟的四种战术</w:t>
      </w:r>
    </w:p>
    <w:p>
      <w:pPr>
        <w:tabs>
          <w:tab w:pos="8504" w:val="right" w:leader="dot"/>
        </w:tabs>
        <w:ind w:left="340"/>
      </w:pPr>
      <w:r>
        <w:rPr>
          <w:rFonts w:ascii="Calibri" w:hAnsi="Calibri" w:eastAsia="微软雅黑"/>
          <w:b w:val="0"/>
          <w:i w:val="0"/>
          <w:sz w:val="20"/>
        </w:rPr>
        <w:t>5.3 实体化重构：从"飞地式"履约到三级矩阵管控</w:t>
      </w:r>
    </w:p>
    <w:p>
      <w:pPr>
        <w:tabs>
          <w:tab w:pos="8504" w:val="right" w:leader="dot"/>
        </w:tabs>
        <w:ind w:left="340"/>
      </w:pPr>
      <w:r>
        <w:rPr>
          <w:rFonts w:ascii="Calibri" w:hAnsi="Calibri" w:eastAsia="微软雅黑"/>
          <w:b w:val="0"/>
          <w:i w:val="0"/>
          <w:sz w:val="20"/>
        </w:rPr>
        <w:t>5.4 跨区风控要求：合同隔离、保函安全与"两金"清收</w:t>
      </w:r>
    </w:p>
    <w:p>
      <w:pPr>
        <w:tabs>
          <w:tab w:pos="8504" w:val="right" w:leader="dot"/>
        </w:tabs>
        <w:ind w:left="340"/>
      </w:pPr>
      <w:r>
        <w:rPr>
          <w:rFonts w:ascii="Calibri" w:hAnsi="Calibri" w:eastAsia="微软雅黑"/>
          <w:b w:val="0"/>
          <w:i w:val="0"/>
          <w:sz w:val="20"/>
        </w:rPr>
        <w:t>5.5 区域扩张的买家自诊断：一张决策路线图</w:t>
      </w:r>
    </w:p>
    <w:p>
      <w:pPr>
        <w:tabs>
          <w:tab w:pos="8504" w:val="right" w:leader="dot"/>
        </w:tabs>
        <w:ind w:left="340"/>
      </w:pPr>
      <w:r>
        <w:rPr>
          <w:rFonts w:ascii="Calibri" w:hAnsi="Calibri" w:eastAsia="微软雅黑"/>
          <w:b w:val="0"/>
          <w:i w:val="0"/>
          <w:sz w:val="20"/>
        </w:rPr>
        <w:t>5.6 本章小结要点</w:t>
      </w:r>
    </w:p>
    <w:p>
      <w:pPr>
        <w:tabs>
          <w:tab w:pos="8504" w:val="right" w:leader="dot"/>
        </w:tabs>
        <w:ind w:left="340"/>
      </w:pPr>
      <w:r>
        <w:rPr>
          <w:rFonts w:ascii="Calibri" w:hAnsi="Calibri" w:eastAsia="微软雅黑"/>
          <w:b w:val="0"/>
          <w:i w:val="0"/>
          <w:sz w:val="20"/>
        </w:rPr>
        <w:t>5.7 本章证据边界与数据说明</w:t>
      </w:r>
    </w:p>
    <w:p>
      <w:pPr>
        <w:tabs>
          <w:tab w:pos="8504" w:val="right" w:leader="dot"/>
        </w:tabs>
        <w:ind w:left="340"/>
      </w:pPr>
      <w:r>
        <w:rPr>
          <w:rFonts w:ascii="Calibri" w:hAnsi="Calibri" w:eastAsia="微软雅黑"/>
          <w:b w:val="0"/>
          <w:i w:val="0"/>
          <w:sz w:val="20"/>
        </w:rPr>
        <w:t>本章尾注（事实锚源对照）</w:t>
      </w:r>
    </w:p>
    <w:p>
      <w:pPr>
        <w:tabs>
          <w:tab w:pos="8504" w:val="right" w:leader="dot"/>
        </w:tabs>
        <w:ind w:left="0"/>
      </w:pPr>
      <w:r>
        <w:rPr>
          <w:rFonts w:ascii="Calibri" w:hAnsi="Calibri" w:eastAsia="微软雅黑"/>
          <w:b/>
          <w:i w:val="0"/>
          <w:sz w:val="22"/>
        </w:rPr>
        <w:t>第6章 设计院转型EPC的路径与模式：认知、采购、施工、组织四道关口的全解法</w:t>
      </w:r>
    </w:p>
    <w:p>
      <w:pPr>
        <w:tabs>
          <w:tab w:pos="8504" w:val="right" w:leader="dot"/>
        </w:tabs>
        <w:ind w:left="340"/>
      </w:pPr>
      <w:r>
        <w:rPr>
          <w:rFonts w:ascii="Calibri" w:hAnsi="Calibri" w:eastAsia="微软雅黑"/>
          <w:b w:val="0"/>
          <w:i w:val="0"/>
          <w:sz w:val="20"/>
        </w:rPr>
        <w:t>6.1 认知解构：从设计思维到全工程商业逻辑的根本跨越</w:t>
      </w:r>
    </w:p>
    <w:p>
      <w:pPr>
        <w:tabs>
          <w:tab w:pos="8504" w:val="right" w:leader="dot"/>
        </w:tabs>
        <w:ind w:left="340"/>
      </w:pPr>
      <w:r>
        <w:rPr>
          <w:rFonts w:ascii="Calibri" w:hAnsi="Calibri" w:eastAsia="微软雅黑"/>
          <w:b w:val="0"/>
          <w:i w:val="0"/>
          <w:sz w:val="20"/>
        </w:rPr>
        <w:t>6.2 采购补短：搭建强支撑、高协同的工程供应链防线</w:t>
      </w:r>
    </w:p>
    <w:p>
      <w:pPr>
        <w:tabs>
          <w:tab w:pos="8504" w:val="right" w:leader="dot"/>
        </w:tabs>
        <w:ind w:left="340"/>
      </w:pPr>
      <w:r>
        <w:rPr>
          <w:rFonts w:ascii="Calibri" w:hAnsi="Calibri" w:eastAsia="微软雅黑"/>
          <w:b w:val="0"/>
          <w:i w:val="0"/>
          <w:sz w:val="20"/>
        </w:rPr>
        <w:t>6.3 施工把控：打造穿透式的现场履约与质量安全防线</w:t>
      </w:r>
    </w:p>
    <w:p>
      <w:pPr>
        <w:tabs>
          <w:tab w:pos="8504" w:val="right" w:leader="dot"/>
        </w:tabs>
        <w:ind w:left="340"/>
      </w:pPr>
      <w:r>
        <w:rPr>
          <w:rFonts w:ascii="Calibri" w:hAnsi="Calibri" w:eastAsia="微软雅黑"/>
          <w:b w:val="0"/>
          <w:i w:val="0"/>
          <w:sz w:val="20"/>
        </w:rPr>
        <w:t>6.4 组织重塑：构建敏捷高效的矩阵组织与市场化激励机制</w:t>
      </w:r>
    </w:p>
    <w:p>
      <w:pPr>
        <w:tabs>
          <w:tab w:pos="8504" w:val="right" w:leader="dot"/>
        </w:tabs>
        <w:ind w:left="340"/>
      </w:pPr>
      <w:r>
        <w:rPr>
          <w:rFonts w:ascii="Calibri" w:hAnsi="Calibri" w:eastAsia="微软雅黑"/>
          <w:b w:val="0"/>
          <w:i w:val="0"/>
          <w:sz w:val="20"/>
        </w:rPr>
        <w:t>6.5 衍生模式与商业创新：打破传统边界的"EPC+"全产业链重构</w:t>
      </w:r>
    </w:p>
    <w:p>
      <w:pPr>
        <w:tabs>
          <w:tab w:pos="8504" w:val="right" w:leader="dot"/>
        </w:tabs>
        <w:ind w:left="340"/>
      </w:pPr>
      <w:r>
        <w:rPr>
          <w:rFonts w:ascii="Calibri" w:hAnsi="Calibri" w:eastAsia="微软雅黑"/>
          <w:b w:val="0"/>
          <w:i w:val="0"/>
          <w:sz w:val="20"/>
        </w:rPr>
        <w:t>6.6 标杆案例深度解构：数据-动作-结果</w:t>
      </w:r>
    </w:p>
    <w:p>
      <w:pPr>
        <w:tabs>
          <w:tab w:pos="8504" w:val="right" w:leader="dot"/>
        </w:tabs>
        <w:ind w:left="340"/>
      </w:pPr>
      <w:r>
        <w:rPr>
          <w:rFonts w:ascii="Calibri" w:hAnsi="Calibri" w:eastAsia="微软雅黑"/>
          <w:b w:val="0"/>
          <w:i w:val="0"/>
          <w:sz w:val="20"/>
        </w:rPr>
        <w:t>6.7 本章小结要点</w:t>
      </w:r>
    </w:p>
    <w:p>
      <w:pPr>
        <w:tabs>
          <w:tab w:pos="8504" w:val="right" w:leader="dot"/>
        </w:tabs>
        <w:ind w:left="340"/>
      </w:pPr>
      <w:r>
        <w:rPr>
          <w:rFonts w:ascii="Calibri" w:hAnsi="Calibri" w:eastAsia="微软雅黑"/>
          <w:b w:val="0"/>
          <w:i w:val="0"/>
          <w:sz w:val="20"/>
        </w:rPr>
        <w:t>6.8 本章证据边界与数据说明</w:t>
      </w:r>
    </w:p>
    <w:p>
      <w:pPr>
        <w:tabs>
          <w:tab w:pos="8504" w:val="right" w:leader="dot"/>
        </w:tabs>
        <w:ind w:left="340"/>
      </w:pPr>
      <w:r>
        <w:rPr>
          <w:rFonts w:ascii="Calibri" w:hAnsi="Calibri" w:eastAsia="微软雅黑"/>
          <w:b w:val="0"/>
          <w:i w:val="0"/>
          <w:sz w:val="20"/>
        </w:rPr>
        <w:t>本章尾注（事实锚源对照）</w:t>
      </w:r>
    </w:p>
    <w:p>
      <w:pPr>
        <w:tabs>
          <w:tab w:pos="8504" w:val="right" w:leader="dot"/>
        </w:tabs>
        <w:ind w:left="0"/>
      </w:pPr>
      <w:r>
        <w:rPr>
          <w:rFonts w:ascii="Calibri" w:hAnsi="Calibri" w:eastAsia="微软雅黑"/>
          <w:b/>
          <w:i w:val="0"/>
          <w:sz w:val="22"/>
        </w:rPr>
        <w:t>第7章 总承包项目管理与交付能力：源头锁价、接口消痕、过程纠偏、合同防御的全流程解法</w:t>
      </w:r>
    </w:p>
    <w:p>
      <w:pPr>
        <w:tabs>
          <w:tab w:pos="8504" w:val="right" w:leader="dot"/>
        </w:tabs>
        <w:ind w:left="340"/>
      </w:pPr>
      <w:r>
        <w:rPr>
          <w:rFonts w:ascii="Calibri" w:hAnsi="Calibri" w:eastAsia="微软雅黑"/>
          <w:b w:val="0"/>
          <w:i w:val="0"/>
          <w:sz w:val="20"/>
        </w:rPr>
        <w:t>7.1 源头锁价：从投资估算到施工图预算的全流程成本封顶</w:t>
      </w:r>
    </w:p>
    <w:p>
      <w:pPr>
        <w:tabs>
          <w:tab w:pos="8504" w:val="right" w:leader="dot"/>
        </w:tabs>
        <w:ind w:left="340"/>
      </w:pPr>
      <w:r>
        <w:rPr>
          <w:rFonts w:ascii="Calibri" w:hAnsi="Calibri" w:eastAsia="微软雅黑"/>
          <w:b w:val="0"/>
          <w:i w:val="0"/>
          <w:sz w:val="20"/>
        </w:rPr>
        <w:t>7.2 接口消痕：打破E-P-C专业壁垒的界面融合机制</w:t>
      </w:r>
    </w:p>
    <w:p>
      <w:pPr>
        <w:tabs>
          <w:tab w:pos="8504" w:val="right" w:leader="dot"/>
        </w:tabs>
        <w:ind w:left="340"/>
      </w:pPr>
      <w:r>
        <w:rPr>
          <w:rFonts w:ascii="Calibri" w:hAnsi="Calibri" w:eastAsia="微软雅黑"/>
          <w:b w:val="0"/>
          <w:i w:val="0"/>
          <w:sz w:val="20"/>
        </w:rPr>
        <w:t>7.3 过程纠偏：动态成本与进度双控的预警与调整机制</w:t>
      </w:r>
    </w:p>
    <w:p>
      <w:pPr>
        <w:tabs>
          <w:tab w:pos="8504" w:val="right" w:leader="dot"/>
        </w:tabs>
        <w:ind w:left="340"/>
      </w:pPr>
      <w:r>
        <w:rPr>
          <w:rFonts w:ascii="Calibri" w:hAnsi="Calibri" w:eastAsia="微软雅黑"/>
          <w:b w:val="0"/>
          <w:i w:val="0"/>
          <w:sz w:val="20"/>
        </w:rPr>
        <w:t>7.4 合同防御：总承包合同风险隔离与司法抗辩屏障</w:t>
      </w:r>
    </w:p>
    <w:p>
      <w:pPr>
        <w:tabs>
          <w:tab w:pos="8504" w:val="right" w:leader="dot"/>
        </w:tabs>
        <w:ind w:left="340"/>
      </w:pPr>
      <w:r>
        <w:rPr>
          <w:rFonts w:ascii="Calibri" w:hAnsi="Calibri" w:eastAsia="微软雅黑"/>
          <w:b w:val="0"/>
          <w:i w:val="0"/>
          <w:sz w:val="20"/>
        </w:rPr>
        <w:t>7.5 交付收口：从机械竣工到缺陷责任期的性能考核全流程</w:t>
      </w:r>
    </w:p>
    <w:p>
      <w:pPr>
        <w:tabs>
          <w:tab w:pos="8504" w:val="right" w:leader="dot"/>
        </w:tabs>
        <w:ind w:left="340"/>
      </w:pPr>
      <w:r>
        <w:rPr>
          <w:rFonts w:ascii="Calibri" w:hAnsi="Calibri" w:eastAsia="微软雅黑"/>
          <w:b w:val="0"/>
          <w:i w:val="0"/>
          <w:sz w:val="20"/>
        </w:rPr>
        <w:t>7.6 数字化使能：从BIM协同平台到数字孪生交付</w:t>
      </w:r>
    </w:p>
    <w:p>
      <w:pPr>
        <w:tabs>
          <w:tab w:pos="8504" w:val="right" w:leader="dot"/>
        </w:tabs>
        <w:ind w:left="340"/>
      </w:pPr>
      <w:r>
        <w:rPr>
          <w:rFonts w:ascii="Calibri" w:hAnsi="Calibri" w:eastAsia="微软雅黑"/>
          <w:b w:val="0"/>
          <w:i w:val="0"/>
          <w:sz w:val="20"/>
        </w:rPr>
        <w:t>7.7 组织与人才：交付能力的承重结构</w:t>
      </w:r>
    </w:p>
    <w:p>
      <w:pPr>
        <w:tabs>
          <w:tab w:pos="8504" w:val="right" w:leader="dot"/>
        </w:tabs>
        <w:ind w:left="340"/>
      </w:pPr>
      <w:r>
        <w:rPr>
          <w:rFonts w:ascii="Calibri" w:hAnsi="Calibri" w:eastAsia="微软雅黑"/>
          <w:b w:val="0"/>
          <w:i w:val="0"/>
          <w:sz w:val="20"/>
        </w:rPr>
        <w:t>7.8 TOP50交付能力全景对标与买家决策建议</w:t>
      </w:r>
    </w:p>
    <w:p>
      <w:pPr>
        <w:tabs>
          <w:tab w:pos="8504" w:val="right" w:leader="dot"/>
        </w:tabs>
        <w:ind w:left="340"/>
      </w:pPr>
      <w:r>
        <w:rPr>
          <w:rFonts w:ascii="Calibri" w:hAnsi="Calibri" w:eastAsia="微软雅黑"/>
          <w:b w:val="0"/>
          <w:i w:val="0"/>
          <w:sz w:val="20"/>
        </w:rPr>
        <w:t>7.9 本章小结要点</w:t>
      </w:r>
    </w:p>
    <w:p>
      <w:pPr>
        <w:tabs>
          <w:tab w:pos="8504" w:val="right" w:leader="dot"/>
        </w:tabs>
        <w:ind w:left="340"/>
      </w:pPr>
      <w:r>
        <w:rPr>
          <w:rFonts w:ascii="Calibri" w:hAnsi="Calibri" w:eastAsia="微软雅黑"/>
          <w:b w:val="0"/>
          <w:i w:val="0"/>
          <w:sz w:val="20"/>
        </w:rPr>
        <w:t>7.10 本章证据边界与数据说明</w:t>
      </w:r>
    </w:p>
    <w:p>
      <w:pPr>
        <w:tabs>
          <w:tab w:pos="8504" w:val="right" w:leader="dot"/>
        </w:tabs>
        <w:ind w:left="340"/>
      </w:pPr>
      <w:r>
        <w:rPr>
          <w:rFonts w:ascii="Calibri" w:hAnsi="Calibri" w:eastAsia="微软雅黑"/>
          <w:b w:val="0"/>
          <w:i w:val="0"/>
          <w:sz w:val="20"/>
        </w:rPr>
        <w:t>本章尾注（事实锚源对照）</w:t>
      </w:r>
    </w:p>
    <w:p>
      <w:pPr>
        <w:tabs>
          <w:tab w:pos="8504" w:val="right" w:leader="dot"/>
        </w:tabs>
        <w:ind w:left="0"/>
      </w:pPr>
      <w:r>
        <w:rPr>
          <w:rFonts w:ascii="Calibri" w:hAnsi="Calibri" w:eastAsia="微软雅黑"/>
          <w:b/>
          <w:i w:val="0"/>
          <w:sz w:val="22"/>
        </w:rPr>
        <w:t>第8章 营收结构、盈利与风险：高流水低毛利下的现金流生命线</w:t>
      </w:r>
    </w:p>
    <w:p>
      <w:pPr>
        <w:tabs>
          <w:tab w:pos="8504" w:val="right" w:leader="dot"/>
        </w:tabs>
        <w:ind w:left="340"/>
      </w:pPr>
      <w:r>
        <w:rPr>
          <w:rFonts w:ascii="Calibri" w:hAnsi="Calibri" w:eastAsia="微软雅黑"/>
          <w:b w:val="0"/>
          <w:i w:val="0"/>
          <w:sz w:val="20"/>
        </w:rPr>
        <w:t>8.1 盈利剖析：从合同额到净利润的真实转化与结构分化</w:t>
      </w:r>
    </w:p>
    <w:p>
      <w:pPr>
        <w:tabs>
          <w:tab w:pos="8504" w:val="right" w:leader="dot"/>
        </w:tabs>
        <w:ind w:left="340"/>
      </w:pPr>
      <w:r>
        <w:rPr>
          <w:rFonts w:ascii="Calibri" w:hAnsi="Calibri" w:eastAsia="微软雅黑"/>
          <w:b w:val="0"/>
          <w:i w:val="0"/>
          <w:sz w:val="20"/>
        </w:rPr>
        <w:t>8.2 现金流穿透：净利润含金量与应收账款账龄风险</w:t>
      </w:r>
    </w:p>
    <w:p>
      <w:pPr>
        <w:tabs>
          <w:tab w:pos="8504" w:val="right" w:leader="dot"/>
        </w:tabs>
        <w:ind w:left="340"/>
      </w:pPr>
      <w:r>
        <w:rPr>
          <w:rFonts w:ascii="Calibri" w:hAnsi="Calibri" w:eastAsia="微软雅黑"/>
          <w:b w:val="0"/>
          <w:i w:val="0"/>
          <w:sz w:val="20"/>
        </w:rPr>
        <w:t>8.3 垫资解耦：政策红线与"EPC+"衍生模式的风险卡位</w:t>
      </w:r>
    </w:p>
    <w:p>
      <w:pPr>
        <w:tabs>
          <w:tab w:pos="8504" w:val="right" w:leader="dot"/>
        </w:tabs>
        <w:ind w:left="340"/>
      </w:pPr>
      <w:r>
        <w:rPr>
          <w:rFonts w:ascii="Calibri" w:hAnsi="Calibri" w:eastAsia="微软雅黑"/>
          <w:b w:val="0"/>
          <w:i w:val="0"/>
          <w:sz w:val="20"/>
        </w:rPr>
        <w:t>8.4 合规创效：变更签证证据链与结算审计防线</w:t>
      </w:r>
    </w:p>
    <w:p>
      <w:pPr>
        <w:tabs>
          <w:tab w:pos="8504" w:val="right" w:leader="dot"/>
        </w:tabs>
        <w:ind w:left="340"/>
      </w:pPr>
      <w:r>
        <w:rPr>
          <w:rFonts w:ascii="Calibri" w:hAnsi="Calibri" w:eastAsia="微软雅黑"/>
          <w:b w:val="0"/>
          <w:i w:val="0"/>
          <w:sz w:val="20"/>
        </w:rPr>
        <w:t>8.5 决策路线图：营收结构调优与风险收益平衡</w:t>
      </w:r>
    </w:p>
    <w:p>
      <w:pPr>
        <w:tabs>
          <w:tab w:pos="8504" w:val="right" w:leader="dot"/>
        </w:tabs>
        <w:ind w:left="340"/>
      </w:pPr>
      <w:r>
        <w:rPr>
          <w:rFonts w:ascii="Calibri" w:hAnsi="Calibri" w:eastAsia="微软雅黑"/>
          <w:b w:val="0"/>
          <w:i w:val="0"/>
          <w:sz w:val="20"/>
        </w:rPr>
        <w:t>8.6 本章小结要点</w:t>
      </w:r>
    </w:p>
    <w:p>
      <w:pPr>
        <w:tabs>
          <w:tab w:pos="8504" w:val="right" w:leader="dot"/>
        </w:tabs>
        <w:ind w:left="340"/>
      </w:pPr>
      <w:r>
        <w:rPr>
          <w:rFonts w:ascii="Calibri" w:hAnsi="Calibri" w:eastAsia="微软雅黑"/>
          <w:b w:val="0"/>
          <w:i w:val="0"/>
          <w:sz w:val="20"/>
        </w:rPr>
        <w:t>8.7 本章证据边界与数据说明</w:t>
      </w:r>
    </w:p>
    <w:p>
      <w:pPr>
        <w:tabs>
          <w:tab w:pos="8504" w:val="right" w:leader="dot"/>
        </w:tabs>
        <w:ind w:left="340"/>
      </w:pPr>
      <w:r>
        <w:rPr>
          <w:rFonts w:ascii="Calibri" w:hAnsi="Calibri" w:eastAsia="微软雅黑"/>
          <w:b w:val="0"/>
          <w:i w:val="0"/>
          <w:sz w:val="20"/>
        </w:rPr>
        <w:t>本章尾注（事实锚源对照）</w:t>
      </w:r>
    </w:p>
    <w:p>
      <w:pPr>
        <w:tabs>
          <w:tab w:pos="8504" w:val="right" w:leader="dot"/>
        </w:tabs>
        <w:ind w:left="0"/>
      </w:pPr>
      <w:r>
        <w:rPr>
          <w:rFonts w:ascii="Calibri" w:hAnsi="Calibri" w:eastAsia="微软雅黑"/>
          <w:b/>
          <w:i w:val="0"/>
          <w:sz w:val="22"/>
        </w:rPr>
        <w:t>第9章 人才与组织：复合型项目经理、强矩阵组织与激励约束的落地体系</w:t>
      </w:r>
    </w:p>
    <w:p>
      <w:pPr>
        <w:tabs>
          <w:tab w:pos="8504" w:val="right" w:leader="dot"/>
        </w:tabs>
        <w:ind w:left="340"/>
      </w:pPr>
      <w:r>
        <w:rPr>
          <w:rFonts w:ascii="Calibri" w:hAnsi="Calibri" w:eastAsia="微软雅黑"/>
          <w:b w:val="0"/>
          <w:i w:val="0"/>
          <w:sz w:val="20"/>
        </w:rPr>
        <w:t>9.1 胜任力模型：复合型人才能力的定量拆解</w:t>
      </w:r>
    </w:p>
    <w:p>
      <w:pPr>
        <w:tabs>
          <w:tab w:pos="8504" w:val="right" w:leader="dot"/>
        </w:tabs>
        <w:ind w:left="340"/>
      </w:pPr>
      <w:r>
        <w:rPr>
          <w:rFonts w:ascii="Calibri" w:hAnsi="Calibri" w:eastAsia="微软雅黑"/>
          <w:b w:val="0"/>
          <w:i w:val="0"/>
          <w:sz w:val="20"/>
        </w:rPr>
        <w:t>9.2 组织选型：从传统体制到柔性矩阵的演进</w:t>
      </w:r>
    </w:p>
    <w:p>
      <w:pPr>
        <w:tabs>
          <w:tab w:pos="8504" w:val="right" w:leader="dot"/>
        </w:tabs>
        <w:ind w:left="340"/>
      </w:pPr>
      <w:r>
        <w:rPr>
          <w:rFonts w:ascii="Calibri" w:hAnsi="Calibri" w:eastAsia="微软雅黑"/>
          <w:b w:val="0"/>
          <w:i w:val="0"/>
          <w:sz w:val="20"/>
        </w:rPr>
        <w:t>9.3 激励约束：多元激励与硬约束的对冲设计</w:t>
      </w:r>
    </w:p>
    <w:p>
      <w:pPr>
        <w:tabs>
          <w:tab w:pos="8504" w:val="right" w:leader="dot"/>
        </w:tabs>
        <w:ind w:left="340"/>
      </w:pPr>
      <w:r>
        <w:rPr>
          <w:rFonts w:ascii="Calibri" w:hAnsi="Calibri" w:eastAsia="微软雅黑"/>
          <w:b w:val="0"/>
          <w:i w:val="0"/>
          <w:sz w:val="20"/>
        </w:rPr>
        <w:t>9.4 造血机制：梯队培养、轮岗淬炼与知识沉淀</w:t>
      </w:r>
    </w:p>
    <w:p>
      <w:pPr>
        <w:tabs>
          <w:tab w:pos="8504" w:val="right" w:leader="dot"/>
        </w:tabs>
        <w:ind w:left="340"/>
      </w:pPr>
      <w:r>
        <w:rPr>
          <w:rFonts w:ascii="Calibri" w:hAnsi="Calibri" w:eastAsia="微软雅黑"/>
          <w:b w:val="0"/>
          <w:i w:val="0"/>
          <w:sz w:val="20"/>
        </w:rPr>
        <w:t>9.5 境外本土化用工与跨境风险管控</w:t>
      </w:r>
    </w:p>
    <w:p>
      <w:pPr>
        <w:tabs>
          <w:tab w:pos="8504" w:val="right" w:leader="dot"/>
        </w:tabs>
        <w:ind w:left="340"/>
      </w:pPr>
      <w:r>
        <w:rPr>
          <w:rFonts w:ascii="Calibri" w:hAnsi="Calibri" w:eastAsia="微软雅黑"/>
          <w:b w:val="0"/>
          <w:i w:val="0"/>
          <w:sz w:val="20"/>
        </w:rPr>
        <w:t>9.6 反模式诊断与模型局限的坦诚剖析</w:t>
      </w:r>
    </w:p>
    <w:p>
      <w:pPr>
        <w:tabs>
          <w:tab w:pos="8504" w:val="right" w:leader="dot"/>
        </w:tabs>
        <w:ind w:left="340"/>
      </w:pPr>
      <w:r>
        <w:rPr>
          <w:rFonts w:ascii="Calibri" w:hAnsi="Calibri" w:eastAsia="微软雅黑"/>
          <w:b w:val="0"/>
          <w:i w:val="0"/>
          <w:sz w:val="20"/>
        </w:rPr>
        <w:t>9.7 本章小结要点</w:t>
      </w:r>
    </w:p>
    <w:p>
      <w:pPr>
        <w:tabs>
          <w:tab w:pos="8504" w:val="right" w:leader="dot"/>
        </w:tabs>
        <w:ind w:left="340"/>
      </w:pPr>
      <w:r>
        <w:rPr>
          <w:rFonts w:ascii="Calibri" w:hAnsi="Calibri" w:eastAsia="微软雅黑"/>
          <w:b w:val="0"/>
          <w:i w:val="0"/>
          <w:sz w:val="20"/>
        </w:rPr>
        <w:t>9.8 本章证据边界与数据说明</w:t>
      </w:r>
    </w:p>
    <w:p>
      <w:pPr>
        <w:tabs>
          <w:tab w:pos="8504" w:val="right" w:leader="dot"/>
        </w:tabs>
        <w:ind w:left="340"/>
      </w:pPr>
      <w:r>
        <w:rPr>
          <w:rFonts w:ascii="Calibri" w:hAnsi="Calibri" w:eastAsia="微软雅黑"/>
          <w:b w:val="0"/>
          <w:i w:val="0"/>
          <w:sz w:val="20"/>
        </w:rPr>
        <w:t>本章尾注（事实锚源对照）</w:t>
      </w:r>
    </w:p>
    <w:p>
      <w:pPr>
        <w:tabs>
          <w:tab w:pos="8504" w:val="right" w:leader="dot"/>
        </w:tabs>
        <w:ind w:left="0"/>
      </w:pPr>
      <w:r>
        <w:rPr>
          <w:rFonts w:ascii="Calibri" w:hAnsi="Calibri" w:eastAsia="微软雅黑"/>
          <w:b/>
          <w:i w:val="0"/>
          <w:sz w:val="22"/>
        </w:rPr>
        <w:t>第10章 数字化与技术创新：从虚拟建造到数字资产的变现闭环</w:t>
      </w:r>
    </w:p>
    <w:p>
      <w:pPr>
        <w:tabs>
          <w:tab w:pos="8504" w:val="right" w:leader="dot"/>
        </w:tabs>
        <w:ind w:left="340"/>
      </w:pPr>
      <w:r>
        <w:rPr>
          <w:rFonts w:ascii="Calibri" w:hAnsi="Calibri" w:eastAsia="微软雅黑"/>
          <w:b w:val="0"/>
          <w:i w:val="0"/>
          <w:sz w:val="20"/>
        </w:rPr>
        <w:t>10.1 底层建构：数字化战略与数据治理架构</w:t>
      </w:r>
    </w:p>
    <w:p>
      <w:pPr>
        <w:tabs>
          <w:tab w:pos="8504" w:val="right" w:leader="dot"/>
        </w:tabs>
        <w:ind w:left="340"/>
      </w:pPr>
      <w:r>
        <w:rPr>
          <w:rFonts w:ascii="Calibri" w:hAnsi="Calibri" w:eastAsia="微软雅黑"/>
          <w:b w:val="0"/>
          <w:i w:val="0"/>
          <w:sz w:val="20"/>
        </w:rPr>
        <w:t>10.2 虚拟建造：BIM正向设计、仿真模拟与数字化交付</w:t>
      </w:r>
    </w:p>
    <w:p>
      <w:pPr>
        <w:tabs>
          <w:tab w:pos="8504" w:val="right" w:leader="dot"/>
        </w:tabs>
        <w:ind w:left="340"/>
      </w:pPr>
      <w:r>
        <w:rPr>
          <w:rFonts w:ascii="Calibri" w:hAnsi="Calibri" w:eastAsia="微软雅黑"/>
          <w:b w:val="0"/>
          <w:i w:val="0"/>
          <w:sz w:val="20"/>
        </w:rPr>
        <w:t>10.3 智慧工地：AI感知、智能物资与履约证据链</w:t>
      </w:r>
    </w:p>
    <w:p>
      <w:pPr>
        <w:tabs>
          <w:tab w:pos="8504" w:val="right" w:leader="dot"/>
        </w:tabs>
        <w:ind w:left="340"/>
      </w:pPr>
      <w:r>
        <w:rPr>
          <w:rFonts w:ascii="Calibri" w:hAnsi="Calibri" w:eastAsia="微软雅黑"/>
          <w:b w:val="0"/>
          <w:i w:val="0"/>
          <w:sz w:val="20"/>
        </w:rPr>
        <w:t>10.4 数字资产：知识沉淀、工法专利与成果商业化</w:t>
      </w:r>
    </w:p>
    <w:p>
      <w:pPr>
        <w:tabs>
          <w:tab w:pos="8504" w:val="right" w:leader="dot"/>
        </w:tabs>
        <w:ind w:left="340"/>
      </w:pPr>
      <w:r>
        <w:rPr>
          <w:rFonts w:ascii="Calibri" w:hAnsi="Calibri" w:eastAsia="微软雅黑"/>
          <w:b w:val="0"/>
          <w:i w:val="0"/>
          <w:sz w:val="20"/>
        </w:rPr>
        <w:t>10.5 价值变现与买家决策：调价锁定、避坑指南与趋势</w:t>
      </w:r>
    </w:p>
    <w:p>
      <w:pPr>
        <w:tabs>
          <w:tab w:pos="8504" w:val="right" w:leader="dot"/>
        </w:tabs>
        <w:ind w:left="340"/>
      </w:pPr>
      <w:r>
        <w:rPr>
          <w:rFonts w:ascii="Calibri" w:hAnsi="Calibri" w:eastAsia="微软雅黑"/>
          <w:b w:val="0"/>
          <w:i w:val="0"/>
          <w:sz w:val="20"/>
        </w:rPr>
        <w:t>10.6 本章小结要点</w:t>
      </w:r>
    </w:p>
    <w:p>
      <w:pPr>
        <w:tabs>
          <w:tab w:pos="8504" w:val="right" w:leader="dot"/>
        </w:tabs>
        <w:ind w:left="340"/>
      </w:pPr>
      <w:r>
        <w:rPr>
          <w:rFonts w:ascii="Calibri" w:hAnsi="Calibri" w:eastAsia="微软雅黑"/>
          <w:b w:val="0"/>
          <w:i w:val="0"/>
          <w:sz w:val="20"/>
        </w:rPr>
        <w:t>10.7 本章证据边界与数据说明</w:t>
      </w:r>
    </w:p>
    <w:p>
      <w:pPr>
        <w:tabs>
          <w:tab w:pos="8504" w:val="right" w:leader="dot"/>
        </w:tabs>
        <w:ind w:left="340"/>
      </w:pPr>
      <w:r>
        <w:rPr>
          <w:rFonts w:ascii="Calibri" w:hAnsi="Calibri" w:eastAsia="微软雅黑"/>
          <w:b w:val="0"/>
          <w:i w:val="0"/>
          <w:sz w:val="20"/>
        </w:rPr>
        <w:t>本章尾注（事实锚源对照）</w:t>
      </w:r>
    </w:p>
    <w:p>
      <w:pPr>
        <w:tabs>
          <w:tab w:pos="8504" w:val="right" w:leader="dot"/>
        </w:tabs>
        <w:ind w:left="0"/>
      </w:pPr>
      <w:r>
        <w:rPr>
          <w:rFonts w:ascii="Calibri" w:hAnsi="Calibri" w:eastAsia="微软雅黑"/>
          <w:b/>
          <w:i w:val="0"/>
          <w:sz w:val="22"/>
        </w:rPr>
        <w:t>第11章 50强分档画像：头部领军、中坚骨干与追赶者的能力跃迁路径</w:t>
      </w:r>
    </w:p>
    <w:p>
      <w:pPr>
        <w:tabs>
          <w:tab w:pos="8504" w:val="right" w:leader="dot"/>
        </w:tabs>
        <w:ind w:left="340"/>
      </w:pPr>
      <w:r>
        <w:rPr>
          <w:rFonts w:ascii="Calibri" w:hAnsi="Calibri" w:eastAsia="微软雅黑"/>
          <w:b w:val="0"/>
          <w:i w:val="0"/>
          <w:sz w:val="20"/>
        </w:rPr>
        <w:t>11.1 第一档（头部领军）：综合壁垒与全产业链统治力</w:t>
      </w:r>
    </w:p>
    <w:p>
      <w:pPr>
        <w:tabs>
          <w:tab w:pos="8504" w:val="right" w:leader="dot"/>
        </w:tabs>
        <w:ind w:left="340"/>
      </w:pPr>
      <w:r>
        <w:rPr>
          <w:rFonts w:ascii="Calibri" w:hAnsi="Calibri" w:eastAsia="微软雅黑"/>
          <w:b w:val="0"/>
          <w:i w:val="0"/>
          <w:sz w:val="20"/>
        </w:rPr>
        <w:t>11.2 第二档（Top 11-30 中坚骨干）：区域与专业双强及突破路径</w:t>
      </w:r>
    </w:p>
    <w:p>
      <w:pPr>
        <w:tabs>
          <w:tab w:pos="8504" w:val="right" w:leader="dot"/>
        </w:tabs>
        <w:ind w:left="340"/>
      </w:pPr>
      <w:r>
        <w:rPr>
          <w:rFonts w:ascii="Calibri" w:hAnsi="Calibri" w:eastAsia="微软雅黑"/>
          <w:b w:val="0"/>
          <w:i w:val="0"/>
          <w:sz w:val="20"/>
        </w:rPr>
        <w:t>11.3 第三档（追赶者）：细分赛道求生与弯道卡位</w:t>
      </w:r>
    </w:p>
    <w:p>
      <w:pPr>
        <w:tabs>
          <w:tab w:pos="8504" w:val="right" w:leader="dot"/>
        </w:tabs>
        <w:ind w:left="340"/>
      </w:pPr>
      <w:r>
        <w:rPr>
          <w:rFonts w:ascii="Calibri" w:hAnsi="Calibri" w:eastAsia="微软雅黑"/>
          <w:b w:val="0"/>
          <w:i w:val="0"/>
          <w:sz w:val="20"/>
        </w:rPr>
        <w:t>11.4 三档对标矩阵：一页纸定档与跃迁路线</w:t>
      </w:r>
    </w:p>
    <w:p>
      <w:pPr>
        <w:tabs>
          <w:tab w:pos="8504" w:val="right" w:leader="dot"/>
        </w:tabs>
        <w:ind w:left="340"/>
      </w:pPr>
      <w:r>
        <w:rPr>
          <w:rFonts w:ascii="Calibri" w:hAnsi="Calibri" w:eastAsia="微软雅黑"/>
          <w:b w:val="0"/>
          <w:i w:val="0"/>
          <w:sz w:val="20"/>
        </w:rPr>
        <w:t>11.5 本章小结要点</w:t>
      </w:r>
    </w:p>
    <w:p>
      <w:pPr>
        <w:tabs>
          <w:tab w:pos="8504" w:val="right" w:leader="dot"/>
        </w:tabs>
        <w:ind w:left="340"/>
      </w:pPr>
      <w:r>
        <w:rPr>
          <w:rFonts w:ascii="Calibri" w:hAnsi="Calibri" w:eastAsia="微软雅黑"/>
          <w:b w:val="0"/>
          <w:i w:val="0"/>
          <w:sz w:val="20"/>
        </w:rPr>
        <w:t>11.6 本章证据边界与数据说明</w:t>
      </w:r>
    </w:p>
    <w:p>
      <w:pPr>
        <w:tabs>
          <w:tab w:pos="8504" w:val="right" w:leader="dot"/>
        </w:tabs>
        <w:ind w:left="340"/>
      </w:pPr>
      <w:r>
        <w:rPr>
          <w:rFonts w:ascii="Calibri" w:hAnsi="Calibri" w:eastAsia="微软雅黑"/>
          <w:b w:val="0"/>
          <w:i w:val="0"/>
          <w:sz w:val="20"/>
        </w:rPr>
        <w:t>本章尾注（事实锚源对照）</w:t>
      </w:r>
    </w:p>
    <w:p>
      <w:pPr>
        <w:tabs>
          <w:tab w:pos="8504" w:val="right" w:leader="dot"/>
        </w:tabs>
        <w:ind w:left="0"/>
      </w:pPr>
      <w:r>
        <w:rPr>
          <w:rFonts w:ascii="Calibri" w:hAnsi="Calibri" w:eastAsia="微软雅黑"/>
          <w:b/>
          <w:i w:val="0"/>
          <w:sz w:val="22"/>
        </w:rPr>
        <w:t>第12章 三场景行动清单与全书结语：全景定位、对标找差、分类施策</w:t>
      </w:r>
    </w:p>
    <w:p>
      <w:pPr>
        <w:tabs>
          <w:tab w:pos="8504" w:val="right" w:leader="dot"/>
        </w:tabs>
        <w:ind w:left="340"/>
      </w:pPr>
      <w:r>
        <w:rPr>
          <w:rFonts w:ascii="Calibri" w:hAnsi="Calibri" w:eastAsia="微软雅黑"/>
          <w:b w:val="0"/>
          <w:i w:val="0"/>
          <w:sz w:val="20"/>
        </w:rPr>
        <w:t>12.1 场景一行动清单：传统工程企业与设计院向工程总承包转型升级</w:t>
      </w:r>
    </w:p>
    <w:p>
      <w:pPr>
        <w:tabs>
          <w:tab w:pos="8504" w:val="right" w:leader="dot"/>
        </w:tabs>
        <w:ind w:left="340"/>
      </w:pPr>
      <w:r>
        <w:rPr>
          <w:rFonts w:ascii="Calibri" w:hAnsi="Calibri" w:eastAsia="微软雅黑"/>
          <w:b w:val="0"/>
          <w:i w:val="0"/>
          <w:sz w:val="20"/>
        </w:rPr>
        <w:t>12.2 场景二行动清单："一带一路"高质量走出去与国际化工程总承包</w:t>
      </w:r>
    </w:p>
    <w:p>
      <w:pPr>
        <w:tabs>
          <w:tab w:pos="8504" w:val="right" w:leader="dot"/>
        </w:tabs>
        <w:ind w:left="340"/>
      </w:pPr>
      <w:r>
        <w:rPr>
          <w:rFonts w:ascii="Calibri" w:hAnsi="Calibri" w:eastAsia="微软雅黑"/>
          <w:b w:val="0"/>
          <w:i w:val="0"/>
          <w:sz w:val="20"/>
        </w:rPr>
        <w:t>12.3 场景三行动清单：双碳与绿色新能源工程总承包</w:t>
      </w:r>
    </w:p>
    <w:p>
      <w:pPr>
        <w:tabs>
          <w:tab w:pos="8504" w:val="right" w:leader="dot"/>
        </w:tabs>
        <w:ind w:left="340"/>
      </w:pPr>
      <w:r>
        <w:rPr>
          <w:rFonts w:ascii="Calibri" w:hAnsi="Calibri" w:eastAsia="微软雅黑"/>
          <w:b w:val="0"/>
          <w:i w:val="0"/>
          <w:sz w:val="20"/>
        </w:rPr>
        <w:t>12.4 全书结语：TOP50企业终局决策路线图与行业展望</w:t>
      </w:r>
    </w:p>
    <w:p>
      <w:pPr>
        <w:tabs>
          <w:tab w:pos="8504" w:val="right" w:leader="dot"/>
        </w:tabs>
        <w:ind w:left="340"/>
      </w:pPr>
      <w:r>
        <w:rPr>
          <w:rFonts w:ascii="Calibri" w:hAnsi="Calibri" w:eastAsia="微软雅黑"/>
          <w:b w:val="0"/>
          <w:i w:val="0"/>
          <w:sz w:val="20"/>
        </w:rPr>
        <w:t>12.5 本章小结要点</w:t>
      </w:r>
    </w:p>
    <w:p>
      <w:pPr>
        <w:tabs>
          <w:tab w:pos="8504" w:val="right" w:leader="dot"/>
        </w:tabs>
        <w:ind w:left="340"/>
      </w:pPr>
      <w:r>
        <w:rPr>
          <w:rFonts w:ascii="Calibri" w:hAnsi="Calibri" w:eastAsia="微软雅黑"/>
          <w:b w:val="0"/>
          <w:i w:val="0"/>
          <w:sz w:val="20"/>
        </w:rPr>
        <w:t>12.6 本章证据边界与数据说明</w:t>
      </w:r>
    </w:p>
    <w:p>
      <w:pPr>
        <w:tabs>
          <w:tab w:pos="8504" w:val="right" w:leader="dot"/>
        </w:tabs>
        <w:ind w:left="340"/>
      </w:pPr>
      <w:r>
        <w:rPr>
          <w:rFonts w:ascii="Calibri" w:hAnsi="Calibri" w:eastAsia="微软雅黑"/>
          <w:b w:val="0"/>
          <w:i w:val="0"/>
          <w:sz w:val="20"/>
        </w:rPr>
        <w:t>本章尾注（事实锚源对照）</w:t>
      </w:r>
    </w:p>
    <w:p>
      <w:r>
        <w:br w:type="page"/>
      </w:r>
    </w:p>
    <w:p>
      <w:pPr>
        <w:pStyle w:val="Heading1"/>
      </w:pPr>
      <w:r>
        <w:t>第1章 导论：50强格局已由规模扩张演变为价值重塑，全产业链整合能力决定企业战略坐标</w:t>
      </w:r>
    </w:p>
    <w:p>
      <w:r>
        <w:rPr>
          <w:rFonts w:ascii="Calibri" w:hAnsi="Calibri" w:eastAsia="微软雅黑"/>
          <w:b w:val="0"/>
          <w:i w:val="0"/>
          <w:sz w:val="22"/>
        </w:rPr>
        <w:t>出品：总包创研院研究团队</w:t>
      </w:r>
    </w:p>
    <w:p>
      <w:pPr>
        <w:ind w:left="454"/>
      </w:pPr>
      <w:r>
        <w:rPr>
          <w:rFonts w:ascii="Calibri" w:hAnsi="Calibri" w:eastAsia="微软雅黑"/>
          <w:b/>
          <w:i w:val="0"/>
          <w:color w:val="666666"/>
          <w:sz w:val="22"/>
        </w:rPr>
        <w:t>本章事实纪律声明</w:t>
      </w:r>
      <w:r>
        <w:rPr>
          <w:rFonts w:ascii="Calibri" w:hAnsi="Calibri" w:eastAsia="微软雅黑"/>
          <w:b w:val="0"/>
          <w:i w:val="0"/>
          <w:color w:val="666666"/>
          <w:sz w:val="22"/>
        </w:rPr>
        <w:t>：本章全部榜单数据、标准文号与条文、企业财务数据与案例事实，均逐字取自本书研究团队采集整理的事实资料库（含行业协会排名通知全文、国家标准全文、上市公司经审计年报与专业机构研究资料），正文随文以[来源: P锚]或(P锚)短式标注锚号（对照本章尾注），读者可按锚号回溯核验；无源不写，解读性判断均在文中明示。标注"本研究测算"（own_calc）的合计数、集中度与占比为研究团队依据榜单原始行数据加总折算所得，测算口径随文列明。文中标注"示意性复盘"的推演为依据源文规则构造的示例，不指向具体项目。</w:t>
      </w:r>
    </w:p>
    <w:p>
      <w:r>
        <w:rPr>
          <w:rFonts w:ascii="Calibri" w:hAnsi="Calibri" w:eastAsia="微软雅黑"/>
          <w:b/>
          <w:i w:val="0"/>
          <w:sz w:val="22"/>
        </w:rPr>
        <w:t>本章引言：帮读者解决什么问题</w:t>
      </w:r>
    </w:p>
    <w:p>
      <w:r>
        <w:rPr>
          <w:rFonts w:ascii="Calibri" w:hAnsi="Calibri" w:eastAsia="微软雅黑"/>
          <w:b w:val="0"/>
          <w:i w:val="0"/>
          <w:sz w:val="22"/>
        </w:rPr>
        <w:t>在建筑工程行业从"增量扩张"全面步入"存量盘活与高质量精细化运营"的关键转折期，工程企业、勘察设计院正面临前所未有的转型阵痛与战略抉择 (P000012)。传统依赖"单一设计"或"纯粹施工分包"的粗放经营模式，因接口割裂、内耗高昂、二次变更频繁以及利润率下滑，已难以为继 (P000012)。转向工程总承包（EPC）不仅是企业提升产业链话语权、重塑盈利模型的必由之路，更是应对行业深刻变革的战略防御与进攻体系 (P000012)。然而，多数工程企业高管、设计院院长及EPC从业者在推进总承包转型与业务提质增效时，往往面临三大核心决策难题：</w:t>
      </w:r>
    </w:p>
    <w:p>
      <w:pPr>
        <w:pStyle w:val="ListNumber"/>
      </w:pPr>
      <w:r>
        <w:rPr>
          <w:rFonts w:ascii="Calibri" w:hAnsi="Calibri" w:eastAsia="微软雅黑"/>
          <w:b/>
          <w:i w:val="0"/>
          <w:sz w:val="22"/>
        </w:rPr>
        <w:t>择路与对标难题</w:t>
      </w:r>
      <w:r>
        <w:rPr>
          <w:rFonts w:ascii="Calibri" w:hAnsi="Calibri" w:eastAsia="微软雅黑"/>
          <w:b w:val="0"/>
          <w:i w:val="0"/>
          <w:sz w:val="22"/>
        </w:rPr>
        <w:t>：总承包市场的真实容量与天花板何在？行业头部50强（TOP50）的竞争格局、阶梯分布与集中度如何演变？企业跻身全国TOP50的真实营收门槛与赛道生态是什么 (P000001, P000004, P000005)？</w:t>
      </w:r>
    </w:p>
    <w:p>
      <w:pPr>
        <w:pStyle w:val="ListNumber"/>
      </w:pPr>
      <w:r>
        <w:rPr>
          <w:rFonts w:ascii="Calibri" w:hAnsi="Calibri" w:eastAsia="微软雅黑"/>
          <w:b/>
          <w:i w:val="0"/>
          <w:sz w:val="22"/>
        </w:rPr>
        <w:t>合规与治理难题</w:t>
      </w:r>
      <w:r>
        <w:rPr>
          <w:rFonts w:ascii="Calibri" w:hAnsi="Calibri" w:eastAsia="微软雅黑"/>
          <w:b w:val="0"/>
          <w:i w:val="0"/>
          <w:sz w:val="22"/>
        </w:rPr>
        <w:t>：国家标准《建设项目工程总承包管理规范》（GB/T 50358-2017）与行业协会统计申报体系对工程总承包的本质定义与合规边界是什么？传统设计-招标-施工（DBB）模式向EPC模式跨越时，如何重构项目部授权、矩阵式组织架构与全过程风险防控机制 (P000003)？</w:t>
      </w:r>
    </w:p>
    <w:p>
      <w:pPr>
        <w:pStyle w:val="ListNumber"/>
      </w:pPr>
      <w:r>
        <w:rPr>
          <w:rFonts w:ascii="Calibri" w:hAnsi="Calibri" w:eastAsia="微软雅黑"/>
          <w:b/>
          <w:i w:val="0"/>
          <w:sz w:val="22"/>
        </w:rPr>
        <w:t>实操与能力跃迁难题</w:t>
      </w:r>
      <w:r>
        <w:rPr>
          <w:rFonts w:ascii="Calibri" w:hAnsi="Calibri" w:eastAsia="微软雅黑"/>
          <w:b w:val="0"/>
          <w:i w:val="0"/>
          <w:sz w:val="22"/>
        </w:rPr>
        <w:t>：龙头企业如何将"设计、采购、施工、试运行"四大环节打通，形成"数据-动作-结果"贯通的可复制路径 (P000003, P000051)？</w:t>
      </w:r>
    </w:p>
    <w:p>
      <w:r>
        <w:rPr>
          <w:rFonts w:ascii="Calibri" w:hAnsi="Calibri" w:eastAsia="微软雅黑"/>
          <w:b w:val="0"/>
          <w:i w:val="0"/>
          <w:sz w:val="22"/>
        </w:rPr>
        <w:t>本章立足于事实资料库全量榜单与法规文献，深度透视2023至2025年三次发布的中设协总承包排名全景，全面量化市场集中度，解构GB/T 50358-2017国家规范与中设协统计申报规则，为工程企业决策层提供一套"看得清格局、找得准定位、防得了风险、落得实动作"的战略方法论与行动指南。</w:t>
      </w:r>
    </w:p>
    <w:p>
      <w:r>
        <w:rPr>
          <w:rFonts w:ascii="Calibri" w:hAnsi="Calibri" w:eastAsia="微软雅黑"/>
          <w:b w:val="0"/>
          <w:i w:val="0"/>
          <w:sz w:val="22"/>
        </w:rPr>
        <w:t>---</w:t>
      </w:r>
    </w:p>
    <w:p>
      <w:pPr>
        <w:pStyle w:val="Heading2"/>
      </w:pPr>
      <w:r>
        <w:t>1.1 宏观视阈：50强全景、市场集中度与竞争格局</w:t>
      </w:r>
    </w:p>
    <w:p>
      <w:pPr>
        <w:pStyle w:val="Heading3"/>
      </w:pPr>
      <w:r>
        <w:t>1.1.1 50强全景透视：营业额规模、阶梯分布与入围门槛</w:t>
      </w:r>
    </w:p>
    <w:p>
      <w:r>
        <w:rPr>
          <w:rFonts w:ascii="Calibri" w:hAnsi="Calibri" w:eastAsia="微软雅黑"/>
          <w:b w:val="0"/>
          <w:i w:val="0"/>
          <w:sz w:val="22"/>
        </w:rPr>
        <w:t>据中国勘察设计协会发布的工程项目管理与总承包营业额系列排名数据，总承包业务已成为头部设计院与工程公司的规模扩张及创收支柱 (P000001, P000004)。在2023年9月公布的排名（业绩归属2022年度，榜单附件明确标注统计期为2022年1月1日至12月31日）中，全国共有186家企业上榜，总承包营业额累计达8,651.02亿元（86,510,227万元，本研究据榜单186行原始数据逐行加总测算，own_calc） (P000001)。2024年9月公布的排名（业绩归属2023年度）上榜企业为183家 (P000010)；2025年9月4日公布的排名（业绩归属2024年度）上榜企业进一步调整为178家 (P000005)，显示出总承包市场在保持高位运行的同时，行业门槛与集中度正在加速抬升。</w:t>
      </w:r>
    </w:p>
    <w:p>
      <w:r>
        <w:rPr>
          <w:rFonts w:ascii="Calibri" w:hAnsi="Calibri" w:eastAsia="微软雅黑"/>
          <w:b w:val="0"/>
          <w:i w:val="0"/>
          <w:sz w:val="22"/>
        </w:rPr>
        <w:t>从TOP50企业的总体体量来看，2023年发布的榜单中TOP50企业总承包营业额合计达6,249.03亿元（62,490,304万元），占全体186家上榜企业总营业额的72.23%（本研究据榜单前50行与186行全量数据测算，own_calc）(P000001)。TOP50企业的平均总承包营业额高达124.98亿元（12,498,061万元，own_calc），呈现出极其强劲的规模效应与资源汇聚特征。而榜单后136家企业合计仅瓜分27.77%的份额，企均营业额约17.66亿元（own_calc）——头部与尾部的量级差距接近一个数量级。</w:t>
      </w:r>
    </w:p>
    <w:p>
      <w:r>
        <w:rPr>
          <w:rFonts w:ascii="Calibri" w:hAnsi="Calibri" w:eastAsia="微软雅黑"/>
          <w:b w:val="0"/>
          <w:i w:val="0"/>
          <w:sz w:val="22"/>
        </w:rPr>
        <w:t>分析TOP50企业的营收分布，可将其划分为四个清晰的梯队格局（营业额均为2023年发布榜单口径，即2022年度业绩）：</w:t>
      </w:r>
    </w:p>
    <w:p>
      <w:pPr>
        <w:pStyle w:val="ListNumber"/>
      </w:pPr>
      <w:r>
        <w:rPr>
          <w:rFonts w:ascii="Calibri" w:hAnsi="Calibri" w:eastAsia="微软雅黑"/>
          <w:b/>
          <w:i w:val="0"/>
          <w:sz w:val="22"/>
        </w:rPr>
        <w:t>"200亿元以上"超特大型旗舰梯队（共9家）</w:t>
      </w:r>
      <w:r>
        <w:rPr>
          <w:rFonts w:ascii="Calibri" w:hAnsi="Calibri" w:eastAsia="微软雅黑"/>
          <w:b w:val="0"/>
          <w:i w:val="0"/>
          <w:sz w:val="22"/>
        </w:rPr>
        <w:t>：华东院以4,447,229万元（约444.72亿元，own_calc）高居榜首，中国铁设3,503,064万元、十一科技2,661,723万元、中冶南方2,606,020万元、中国石油工程建设2,387,423万元、中核工程2,286,021万元、中石化工程建设2,108,845万元、中材国际2,038,560万元、中国寰球2,027,794万元依次列席（九家企业全称见下表1-1） (P000001, P000002)。该梯队的共性特征是具备极强的全产业链资源统筹能力、国家级重大工程建造经验以及深厚的行业技术壁垒。</w:t>
      </w:r>
    </w:p>
    <w:p>
      <w:pPr>
        <w:pStyle w:val="ListNumber"/>
      </w:pPr>
      <w:r>
        <w:rPr>
          <w:rFonts w:ascii="Calibri" w:hAnsi="Calibri" w:eastAsia="微软雅黑"/>
          <w:b/>
          <w:i w:val="0"/>
          <w:sz w:val="22"/>
        </w:rPr>
        <w:t>"100亿至200亿元"大型骨干梯队（共15家）</w:t>
      </w:r>
      <w:r>
        <w:rPr>
          <w:rFonts w:ascii="Calibri" w:hAnsi="Calibri" w:eastAsia="微软雅黑"/>
          <w:b w:val="0"/>
          <w:i w:val="0"/>
          <w:sz w:val="22"/>
        </w:rPr>
        <w:t>：涵盖铁四院（1,705,823万元）、中钢设备（1,662,296万元）、中冶赛迪（1,612,809万元）、中国联合工程（1,597,337万元）、中国能建广东院（1,548,703万元）、中冶京诚（1,526,918万元）、山东电力工程咨询院（1,518,605万元）、中国建材国际工程（1,487,941万元）、上海核工院（1,212,852万元）、中汽工程（1,165,762万元）、西北电力院（1,117,532万元）、天辰工程（1,089,303万元）、电建中南院（1,052,552万元）、电建成都院（1,030,710万元）以及上海市政总院（1,017,019万元）(P000001)。该梯队企业在电力、冶金、化工、市政、轨道交通等细分领域形成了强有力的区域或行业统治力。</w:t>
      </w:r>
    </w:p>
    <w:p>
      <w:pPr>
        <w:pStyle w:val="ListNumber"/>
      </w:pPr>
      <w:r>
        <w:rPr>
          <w:rFonts w:ascii="Calibri" w:hAnsi="Calibri" w:eastAsia="微软雅黑"/>
          <w:b/>
          <w:i w:val="0"/>
          <w:sz w:val="22"/>
        </w:rPr>
        <w:t>"50亿至100亿元"中坚中型梯队（共26家）</w:t>
      </w:r>
      <w:r>
        <w:rPr>
          <w:rFonts w:ascii="Calibri" w:hAnsi="Calibri" w:eastAsia="微软雅黑"/>
          <w:b w:val="0"/>
          <w:i w:val="0"/>
          <w:sz w:val="22"/>
        </w:rPr>
        <w:t>：以中冶焦耐（937,542万元）、中石化广州工程（900,077万元）、中南电力院（879,228万元）、电建昆明院（876,558万元）、中海油石化（817,161万元）、中国电子工程设计院（817,072万元）、电建西北院（784,642万元）、中国公路工程咨询集团（780,530万元）、广西电力院（721,919万元）、中国成达（719,581万元）、中国五环（718,930万元）、中石化上海工程（718,867万元）、中国昆仑工程（680,041万元）、中冶长天（661,542万元）、华陆工程科技（661,294万元）、上海勘测设计研究院（656,655万元）、机械工业第九设计研究院（650,226万元）、华北电力院（635,756万元）、电建贵阳院（626,480万元）、山西省电力勘测设计院有限公司（587,299万元）、中冶华天（584,901万元）、中国恩菲（577,682万元）、长江勘测规划设计研究有限责任公司（526,347万元）、赛鼎工程（526,150万元）、中国海诚（517,117万元）以及东华工程科技（513,866万元）为代表 (P000001)。</w:t>
      </w:r>
    </w:p>
    <w:p>
      <w:pPr>
        <w:pStyle w:val="ListNumber"/>
      </w:pPr>
      <w:r>
        <w:rPr>
          <w:rFonts w:ascii="Calibri" w:hAnsi="Calibri" w:eastAsia="微软雅黑"/>
          <w:b/>
          <w:i w:val="0"/>
          <w:sz w:val="22"/>
        </w:rPr>
        <w:t>TOP50入围门槛与动态演变</w:t>
      </w:r>
      <w:r>
        <w:rPr>
          <w:rFonts w:ascii="Calibri" w:hAnsi="Calibri" w:eastAsia="微软雅黑"/>
          <w:b w:val="0"/>
          <w:i w:val="0"/>
          <w:sz w:val="22"/>
        </w:rPr>
        <w:t>：2023年发布榜单中第50名企业（东华工程科技）营业额为513,866万元，第51名 中国航空规划设计研究总院有限公司（508,296万元）、第52名 黄河勘测规划设计研究院有限公司（504,982万元）、第53名 中机国际工程设计研究院有限责任公司（500,209万元）紧随其后 (P000001)。这表明，工程企业若要跨入全国TOP50强门槛，其总承包业务的年营业额必须稳固站上50亿元量级（own_calc：榜单第50名折算约51.39亿元）；而要跨入前20强，则需要达到100亿元以上的规模水准 (P000001)。更扎眼的是，榜单百名开外仍有强劲的施工系力量——中天建设集团有限公司以205,765万元（约20.58亿元，own_calc）位列第103位 (P000001)，提示纯粹施工企业在该设计资质门槛导向的榜单中暂处观察席，但其向总承包演进的动力不容小觑。</w:t>
      </w:r>
    </w:p>
    <w:p>
      <w:r>
        <w:rPr>
          <w:rFonts w:ascii="Calibri" w:hAnsi="Calibri" w:eastAsia="微软雅黑"/>
          <w:b w:val="0"/>
          <w:i w:val="0"/>
          <w:sz w:val="22"/>
        </w:rPr>
        <w:t>在下表之前，还有一处常被忽略的读法值得交代：第三列的行业标签本身构成一张赛道分布图。把五十个标签按大类归并计数，水电与新能源、石油化工、冶金、化学工程四条线合计占据半壁以上席位，而房建、装饰装修等消费类赛道近乎缺席。这一分布提醒读者：榜单衡量的并非泛泛的施工能力，而是重工业与技术密集型基础设施的组织集成本领；企业在给自己定坐标时，应先看自家主业落在哪条线上，再谈跨赛道扩张的先后次序（本段为本研究解读性判断）。</w:t>
      </w:r>
    </w:p>
    <w:p>
      <w:pPr>
        <w:pStyle w:val="Heading4"/>
      </w:pPr>
      <w:r>
        <w:t>表1-1 2023年发布全国勘察设计企业工程总承包营业额TOP50榜单与梯队划分（业绩归属2022年度，单位：万元）(P000001, P000002)</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排名</w:t>
            </w:r>
          </w:p>
        </w:tc>
        <w:tc>
          <w:tcPr>
            <w:tcW w:type="dxa" w:w="2767"/>
            <w:shd w:fill="1F3A5F"/>
          </w:tcPr>
          <w:p>
            <w:r>
              <w:rPr>
                <w:color w:val="FFFFFF"/>
              </w:rPr>
            </w:r>
            <w:r>
              <w:rPr>
                <w:rFonts w:ascii="Calibri" w:hAnsi="Calibri" w:eastAsia="微软雅黑"/>
                <w:b/>
                <w:i w:val="0"/>
                <w:color w:val="FFFFFF"/>
                <w:sz w:val="18"/>
              </w:rPr>
              <w:t>企业（当年度总承包营业额，万元）</w:t>
            </w:r>
          </w:p>
        </w:tc>
        <w:tc>
          <w:tcPr>
            <w:tcW w:type="dxa" w:w="2767"/>
            <w:shd w:fill="1F3A5F"/>
          </w:tcPr>
          <w:p>
            <w:r>
              <w:rPr>
                <w:color w:val="FFFFFF"/>
              </w:rPr>
            </w:r>
            <w:r>
              <w:rPr>
                <w:rFonts w:ascii="Calibri" w:hAnsi="Calibri" w:eastAsia="微软雅黑"/>
                <w:b/>
                <w:i w:val="0"/>
                <w:color w:val="FFFFFF"/>
                <w:sz w:val="18"/>
              </w:rPr>
              <w:t>行业领域 / 梯队</w:t>
            </w:r>
          </w:p>
        </w:tc>
      </w:tr>
      <w:tr>
        <w:tc>
          <w:tcPr>
            <w:tcW w:type="dxa" w:w="2767"/>
          </w:tcPr>
          <w:p>
            <w:r/>
            <w:r>
              <w:rPr>
                <w:rFonts w:ascii="Calibri" w:hAnsi="Calibri" w:eastAsia="微软雅黑"/>
                <w:b w:val="0"/>
                <w:i w:val="0"/>
                <w:sz w:val="18"/>
              </w:rPr>
              <w:t>1</w:t>
            </w:r>
          </w:p>
        </w:tc>
        <w:tc>
          <w:tcPr>
            <w:tcW w:type="dxa" w:w="2767"/>
          </w:tcPr>
          <w:p>
            <w:r/>
            <w:r>
              <w:rPr>
                <w:rFonts w:ascii="Calibri" w:hAnsi="Calibri" w:eastAsia="微软雅黑"/>
                <w:b w:val="0"/>
                <w:i w:val="0"/>
                <w:sz w:val="18"/>
              </w:rPr>
              <w:t>中国电建集团华东勘测设计研究院有限公司：4,447,229 (P000001)</w:t>
            </w:r>
          </w:p>
        </w:tc>
        <w:tc>
          <w:tcPr>
            <w:tcW w:type="dxa" w:w="2767"/>
          </w:tcPr>
          <w:p>
            <w:r/>
            <w:r>
              <w:rPr>
                <w:rFonts w:ascii="Calibri" w:hAnsi="Calibri" w:eastAsia="微软雅黑"/>
                <w:b w:val="0"/>
                <w:i w:val="0"/>
                <w:sz w:val="18"/>
              </w:rPr>
              <w:t>水电新能源 / 第一梯队</w:t>
            </w:r>
          </w:p>
        </w:tc>
      </w:tr>
      <w:tr>
        <w:tc>
          <w:tcPr>
            <w:tcW w:type="dxa" w:w="2767"/>
          </w:tcPr>
          <w:p>
            <w:r/>
            <w:r>
              <w:rPr>
                <w:rFonts w:ascii="Calibri" w:hAnsi="Calibri" w:eastAsia="微软雅黑"/>
                <w:b w:val="0"/>
                <w:i w:val="0"/>
                <w:sz w:val="18"/>
              </w:rPr>
              <w:t>2</w:t>
            </w:r>
          </w:p>
        </w:tc>
        <w:tc>
          <w:tcPr>
            <w:tcW w:type="dxa" w:w="2767"/>
          </w:tcPr>
          <w:p>
            <w:r/>
            <w:r>
              <w:rPr>
                <w:rFonts w:ascii="Calibri" w:hAnsi="Calibri" w:eastAsia="微软雅黑"/>
                <w:b w:val="0"/>
                <w:i w:val="0"/>
                <w:sz w:val="18"/>
              </w:rPr>
              <w:t>中国铁路设计集团有限公司：3,503,064 (P000001)</w:t>
            </w:r>
          </w:p>
        </w:tc>
        <w:tc>
          <w:tcPr>
            <w:tcW w:type="dxa" w:w="2767"/>
          </w:tcPr>
          <w:p>
            <w:r/>
            <w:r>
              <w:rPr>
                <w:rFonts w:ascii="Calibri" w:hAnsi="Calibri" w:eastAsia="微软雅黑"/>
                <w:b w:val="0"/>
                <w:i w:val="0"/>
                <w:sz w:val="18"/>
              </w:rPr>
              <w:t>铁路交通 / 第一梯队</w:t>
            </w:r>
          </w:p>
        </w:tc>
      </w:tr>
      <w:tr>
        <w:tc>
          <w:tcPr>
            <w:tcW w:type="dxa" w:w="2767"/>
          </w:tcPr>
          <w:p>
            <w:r/>
            <w:r>
              <w:rPr>
                <w:rFonts w:ascii="Calibri" w:hAnsi="Calibri" w:eastAsia="微软雅黑"/>
                <w:b w:val="0"/>
                <w:i w:val="0"/>
                <w:sz w:val="18"/>
              </w:rPr>
              <w:t>3</w:t>
            </w:r>
          </w:p>
        </w:tc>
        <w:tc>
          <w:tcPr>
            <w:tcW w:type="dxa" w:w="2767"/>
          </w:tcPr>
          <w:p>
            <w:r/>
            <w:r>
              <w:rPr>
                <w:rFonts w:ascii="Calibri" w:hAnsi="Calibri" w:eastAsia="微软雅黑"/>
                <w:b w:val="0"/>
                <w:i w:val="0"/>
                <w:sz w:val="18"/>
              </w:rPr>
              <w:t>信息产业电子第十一设计研究院科技工程股份有限公司：2,661,723 (P000001)</w:t>
            </w:r>
          </w:p>
        </w:tc>
        <w:tc>
          <w:tcPr>
            <w:tcW w:type="dxa" w:w="2767"/>
          </w:tcPr>
          <w:p>
            <w:r/>
            <w:r>
              <w:rPr>
                <w:rFonts w:ascii="Calibri" w:hAnsi="Calibri" w:eastAsia="微软雅黑"/>
                <w:b w:val="0"/>
                <w:i w:val="0"/>
                <w:sz w:val="18"/>
              </w:rPr>
              <w:t>电子半导体 / 第一梯队</w:t>
            </w:r>
          </w:p>
        </w:tc>
      </w:tr>
      <w:tr>
        <w:tc>
          <w:tcPr>
            <w:tcW w:type="dxa" w:w="2767"/>
          </w:tcPr>
          <w:p>
            <w:r/>
            <w:r>
              <w:rPr>
                <w:rFonts w:ascii="Calibri" w:hAnsi="Calibri" w:eastAsia="微软雅黑"/>
                <w:b w:val="0"/>
                <w:i w:val="0"/>
                <w:sz w:val="18"/>
              </w:rPr>
              <w:t>4</w:t>
            </w:r>
          </w:p>
        </w:tc>
        <w:tc>
          <w:tcPr>
            <w:tcW w:type="dxa" w:w="2767"/>
          </w:tcPr>
          <w:p>
            <w:r/>
            <w:r>
              <w:rPr>
                <w:rFonts w:ascii="Calibri" w:hAnsi="Calibri" w:eastAsia="微软雅黑"/>
                <w:b w:val="0"/>
                <w:i w:val="0"/>
                <w:sz w:val="18"/>
              </w:rPr>
              <w:t>中冶南方工程技术有限公司：2,606,020 (P000001)</w:t>
            </w:r>
          </w:p>
        </w:tc>
        <w:tc>
          <w:tcPr>
            <w:tcW w:type="dxa" w:w="2767"/>
          </w:tcPr>
          <w:p>
            <w:r/>
            <w:r>
              <w:rPr>
                <w:rFonts w:ascii="Calibri" w:hAnsi="Calibri" w:eastAsia="微软雅黑"/>
                <w:b w:val="0"/>
                <w:i w:val="0"/>
                <w:sz w:val="18"/>
              </w:rPr>
              <w:t>冶金工程 / 第一梯队</w:t>
            </w:r>
          </w:p>
        </w:tc>
      </w:tr>
      <w:tr>
        <w:tc>
          <w:tcPr>
            <w:tcW w:type="dxa" w:w="2767"/>
          </w:tcPr>
          <w:p>
            <w:r/>
            <w:r>
              <w:rPr>
                <w:rFonts w:ascii="Calibri" w:hAnsi="Calibri" w:eastAsia="微软雅黑"/>
                <w:b w:val="0"/>
                <w:i w:val="0"/>
                <w:sz w:val="18"/>
              </w:rPr>
              <w:t>5</w:t>
            </w:r>
          </w:p>
        </w:tc>
        <w:tc>
          <w:tcPr>
            <w:tcW w:type="dxa" w:w="2767"/>
          </w:tcPr>
          <w:p>
            <w:r/>
            <w:r>
              <w:rPr>
                <w:rFonts w:ascii="Calibri" w:hAnsi="Calibri" w:eastAsia="微软雅黑"/>
                <w:b w:val="0"/>
                <w:i w:val="0"/>
                <w:sz w:val="18"/>
              </w:rPr>
              <w:t>中国石油工程建设有限公司：2,387,423 (P000001)</w:t>
            </w:r>
          </w:p>
        </w:tc>
        <w:tc>
          <w:tcPr>
            <w:tcW w:type="dxa" w:w="2767"/>
          </w:tcPr>
          <w:p>
            <w:r/>
            <w:r>
              <w:rPr>
                <w:rFonts w:ascii="Calibri" w:hAnsi="Calibri" w:eastAsia="微软雅黑"/>
                <w:b w:val="0"/>
                <w:i w:val="0"/>
                <w:sz w:val="18"/>
              </w:rPr>
              <w:t>石油油气 / 第一梯队</w:t>
            </w:r>
          </w:p>
        </w:tc>
      </w:tr>
      <w:tr>
        <w:tc>
          <w:tcPr>
            <w:tcW w:type="dxa" w:w="2767"/>
          </w:tcPr>
          <w:p>
            <w:r/>
            <w:r>
              <w:rPr>
                <w:rFonts w:ascii="Calibri" w:hAnsi="Calibri" w:eastAsia="微软雅黑"/>
                <w:b w:val="0"/>
                <w:i w:val="0"/>
                <w:sz w:val="18"/>
              </w:rPr>
              <w:t>6</w:t>
            </w:r>
          </w:p>
        </w:tc>
        <w:tc>
          <w:tcPr>
            <w:tcW w:type="dxa" w:w="2767"/>
          </w:tcPr>
          <w:p>
            <w:r/>
            <w:r>
              <w:rPr>
                <w:rFonts w:ascii="Calibri" w:hAnsi="Calibri" w:eastAsia="微软雅黑"/>
                <w:b w:val="0"/>
                <w:i w:val="0"/>
                <w:sz w:val="18"/>
              </w:rPr>
              <w:t>中国核电工程有限公司：2,286,021 (P000001)</w:t>
            </w:r>
          </w:p>
        </w:tc>
        <w:tc>
          <w:tcPr>
            <w:tcW w:type="dxa" w:w="2767"/>
          </w:tcPr>
          <w:p>
            <w:r/>
            <w:r>
              <w:rPr>
                <w:rFonts w:ascii="Calibri" w:hAnsi="Calibri" w:eastAsia="微软雅黑"/>
                <w:b w:val="0"/>
                <w:i w:val="0"/>
                <w:sz w:val="18"/>
              </w:rPr>
              <w:t>核电能源 / 第一梯队</w:t>
            </w:r>
          </w:p>
        </w:tc>
      </w:tr>
      <w:tr>
        <w:tc>
          <w:tcPr>
            <w:tcW w:type="dxa" w:w="2767"/>
          </w:tcPr>
          <w:p>
            <w:r/>
            <w:r>
              <w:rPr>
                <w:rFonts w:ascii="Calibri" w:hAnsi="Calibri" w:eastAsia="微软雅黑"/>
                <w:b w:val="0"/>
                <w:i w:val="0"/>
                <w:sz w:val="18"/>
              </w:rPr>
              <w:t>7</w:t>
            </w:r>
          </w:p>
        </w:tc>
        <w:tc>
          <w:tcPr>
            <w:tcW w:type="dxa" w:w="2767"/>
          </w:tcPr>
          <w:p>
            <w:r/>
            <w:r>
              <w:rPr>
                <w:rFonts w:ascii="Calibri" w:hAnsi="Calibri" w:eastAsia="微软雅黑"/>
                <w:b w:val="0"/>
                <w:i w:val="0"/>
                <w:sz w:val="18"/>
              </w:rPr>
              <w:t>中国石化工程建设有限公司：2,108,845 (P000001)</w:t>
            </w:r>
          </w:p>
        </w:tc>
        <w:tc>
          <w:tcPr>
            <w:tcW w:type="dxa" w:w="2767"/>
          </w:tcPr>
          <w:p>
            <w:r/>
            <w:r>
              <w:rPr>
                <w:rFonts w:ascii="Calibri" w:hAnsi="Calibri" w:eastAsia="微软雅黑"/>
                <w:b w:val="0"/>
                <w:i w:val="0"/>
                <w:sz w:val="18"/>
              </w:rPr>
              <w:t>石油化工 / 第一梯队</w:t>
            </w:r>
          </w:p>
        </w:tc>
      </w:tr>
      <w:tr>
        <w:tc>
          <w:tcPr>
            <w:tcW w:type="dxa" w:w="2767"/>
          </w:tcPr>
          <w:p>
            <w:r/>
            <w:r>
              <w:rPr>
                <w:rFonts w:ascii="Calibri" w:hAnsi="Calibri" w:eastAsia="微软雅黑"/>
                <w:b w:val="0"/>
                <w:i w:val="0"/>
                <w:sz w:val="18"/>
              </w:rPr>
              <w:t>8</w:t>
            </w:r>
          </w:p>
        </w:tc>
        <w:tc>
          <w:tcPr>
            <w:tcW w:type="dxa" w:w="2767"/>
          </w:tcPr>
          <w:p>
            <w:r/>
            <w:r>
              <w:rPr>
                <w:rFonts w:ascii="Calibri" w:hAnsi="Calibri" w:eastAsia="微软雅黑"/>
                <w:b w:val="0"/>
                <w:i w:val="0"/>
                <w:sz w:val="18"/>
              </w:rPr>
              <w:t>中国中材国际工程股份有限公司：2,038,560 (P000001)</w:t>
            </w:r>
          </w:p>
        </w:tc>
        <w:tc>
          <w:tcPr>
            <w:tcW w:type="dxa" w:w="2767"/>
          </w:tcPr>
          <w:p>
            <w:r/>
            <w:r>
              <w:rPr>
                <w:rFonts w:ascii="Calibri" w:hAnsi="Calibri" w:eastAsia="微软雅黑"/>
                <w:b w:val="0"/>
                <w:i w:val="0"/>
                <w:sz w:val="18"/>
              </w:rPr>
              <w:t>建材工程 / 第一梯队</w:t>
            </w:r>
          </w:p>
        </w:tc>
      </w:tr>
      <w:tr>
        <w:tc>
          <w:tcPr>
            <w:tcW w:type="dxa" w:w="2767"/>
          </w:tcPr>
          <w:p>
            <w:r/>
            <w:r>
              <w:rPr>
                <w:rFonts w:ascii="Calibri" w:hAnsi="Calibri" w:eastAsia="微软雅黑"/>
                <w:b w:val="0"/>
                <w:i w:val="0"/>
                <w:sz w:val="18"/>
              </w:rPr>
              <w:t>9</w:t>
            </w:r>
          </w:p>
        </w:tc>
        <w:tc>
          <w:tcPr>
            <w:tcW w:type="dxa" w:w="2767"/>
          </w:tcPr>
          <w:p>
            <w:r/>
            <w:r>
              <w:rPr>
                <w:rFonts w:ascii="Calibri" w:hAnsi="Calibri" w:eastAsia="微软雅黑"/>
                <w:b w:val="0"/>
                <w:i w:val="0"/>
                <w:sz w:val="18"/>
              </w:rPr>
              <w:t>中国寰球工程有限公司：2,027,794 (P000001)</w:t>
            </w:r>
          </w:p>
        </w:tc>
        <w:tc>
          <w:tcPr>
            <w:tcW w:type="dxa" w:w="2767"/>
          </w:tcPr>
          <w:p>
            <w:r/>
            <w:r>
              <w:rPr>
                <w:rFonts w:ascii="Calibri" w:hAnsi="Calibri" w:eastAsia="微软雅黑"/>
                <w:b w:val="0"/>
                <w:i w:val="0"/>
                <w:sz w:val="18"/>
              </w:rPr>
              <w:t>石油化工 / 第一梯队</w:t>
            </w:r>
          </w:p>
        </w:tc>
      </w:tr>
      <w:tr>
        <w:tc>
          <w:tcPr>
            <w:tcW w:type="dxa" w:w="2767"/>
          </w:tcPr>
          <w:p>
            <w:r/>
            <w:r>
              <w:rPr>
                <w:rFonts w:ascii="Calibri" w:hAnsi="Calibri" w:eastAsia="微软雅黑"/>
                <w:b w:val="0"/>
                <w:i w:val="0"/>
                <w:sz w:val="18"/>
              </w:rPr>
              <w:t>10</w:t>
            </w:r>
          </w:p>
        </w:tc>
        <w:tc>
          <w:tcPr>
            <w:tcW w:type="dxa" w:w="2767"/>
          </w:tcPr>
          <w:p>
            <w:r/>
            <w:r>
              <w:rPr>
                <w:rFonts w:ascii="Calibri" w:hAnsi="Calibri" w:eastAsia="微软雅黑"/>
                <w:b w:val="0"/>
                <w:i w:val="0"/>
                <w:sz w:val="18"/>
              </w:rPr>
              <w:t>中铁第四勘察设计院集团有限公司：1,705,823 (P000001)</w:t>
            </w:r>
          </w:p>
        </w:tc>
        <w:tc>
          <w:tcPr>
            <w:tcW w:type="dxa" w:w="2767"/>
          </w:tcPr>
          <w:p>
            <w:r/>
            <w:r>
              <w:rPr>
                <w:rFonts w:ascii="Calibri" w:hAnsi="Calibri" w:eastAsia="微软雅黑"/>
                <w:b w:val="0"/>
                <w:i w:val="0"/>
                <w:sz w:val="18"/>
              </w:rPr>
              <w:t>轨道交通 / 第二梯队</w:t>
            </w:r>
          </w:p>
        </w:tc>
      </w:tr>
      <w:tr>
        <w:tc>
          <w:tcPr>
            <w:tcW w:type="dxa" w:w="2767"/>
          </w:tcPr>
          <w:p>
            <w:r/>
            <w:r>
              <w:rPr>
                <w:rFonts w:ascii="Calibri" w:hAnsi="Calibri" w:eastAsia="微软雅黑"/>
                <w:b w:val="0"/>
                <w:i w:val="0"/>
                <w:sz w:val="18"/>
              </w:rPr>
              <w:t>11</w:t>
            </w:r>
          </w:p>
        </w:tc>
        <w:tc>
          <w:tcPr>
            <w:tcW w:type="dxa" w:w="2767"/>
          </w:tcPr>
          <w:p>
            <w:r/>
            <w:r>
              <w:rPr>
                <w:rFonts w:ascii="Calibri" w:hAnsi="Calibri" w:eastAsia="微软雅黑"/>
                <w:b w:val="0"/>
                <w:i w:val="0"/>
                <w:sz w:val="18"/>
              </w:rPr>
              <w:t>中钢设备有限公司：1,662,296 (P000001)</w:t>
            </w:r>
          </w:p>
        </w:tc>
        <w:tc>
          <w:tcPr>
            <w:tcW w:type="dxa" w:w="2767"/>
          </w:tcPr>
          <w:p>
            <w:r/>
            <w:r>
              <w:rPr>
                <w:rFonts w:ascii="Calibri" w:hAnsi="Calibri" w:eastAsia="微软雅黑"/>
                <w:b w:val="0"/>
                <w:i w:val="0"/>
                <w:sz w:val="18"/>
              </w:rPr>
              <w:t>冶金矿山 / 第二梯队</w:t>
            </w:r>
          </w:p>
        </w:tc>
      </w:tr>
      <w:tr>
        <w:tc>
          <w:tcPr>
            <w:tcW w:type="dxa" w:w="2767"/>
          </w:tcPr>
          <w:p>
            <w:r/>
            <w:r>
              <w:rPr>
                <w:rFonts w:ascii="Calibri" w:hAnsi="Calibri" w:eastAsia="微软雅黑"/>
                <w:b w:val="0"/>
                <w:i w:val="0"/>
                <w:sz w:val="18"/>
              </w:rPr>
              <w:t>12</w:t>
            </w:r>
          </w:p>
        </w:tc>
        <w:tc>
          <w:tcPr>
            <w:tcW w:type="dxa" w:w="2767"/>
          </w:tcPr>
          <w:p>
            <w:r/>
            <w:r>
              <w:rPr>
                <w:rFonts w:ascii="Calibri" w:hAnsi="Calibri" w:eastAsia="微软雅黑"/>
                <w:b w:val="0"/>
                <w:i w:val="0"/>
                <w:sz w:val="18"/>
              </w:rPr>
              <w:t>中冶赛迪工程技术股份有限公司：1,612,809 (P000001)</w:t>
            </w:r>
          </w:p>
        </w:tc>
        <w:tc>
          <w:tcPr>
            <w:tcW w:type="dxa" w:w="2767"/>
          </w:tcPr>
          <w:p>
            <w:r/>
            <w:r>
              <w:rPr>
                <w:rFonts w:ascii="Calibri" w:hAnsi="Calibri" w:eastAsia="微软雅黑"/>
                <w:b w:val="0"/>
                <w:i w:val="0"/>
                <w:sz w:val="18"/>
              </w:rPr>
              <w:t>冶金工程 / 第二梯队</w:t>
            </w:r>
          </w:p>
        </w:tc>
      </w:tr>
      <w:tr>
        <w:tc>
          <w:tcPr>
            <w:tcW w:type="dxa" w:w="2767"/>
          </w:tcPr>
          <w:p>
            <w:r/>
            <w:r>
              <w:rPr>
                <w:rFonts w:ascii="Calibri" w:hAnsi="Calibri" w:eastAsia="微软雅黑"/>
                <w:b w:val="0"/>
                <w:i w:val="0"/>
                <w:sz w:val="18"/>
              </w:rPr>
              <w:t>13</w:t>
            </w:r>
          </w:p>
        </w:tc>
        <w:tc>
          <w:tcPr>
            <w:tcW w:type="dxa" w:w="2767"/>
          </w:tcPr>
          <w:p>
            <w:r/>
            <w:r>
              <w:rPr>
                <w:rFonts w:ascii="Calibri" w:hAnsi="Calibri" w:eastAsia="微软雅黑"/>
                <w:b w:val="0"/>
                <w:i w:val="0"/>
                <w:sz w:val="18"/>
              </w:rPr>
              <w:t>中国联合工程有限公司：1,597,337 (P000001)</w:t>
            </w:r>
          </w:p>
        </w:tc>
        <w:tc>
          <w:tcPr>
            <w:tcW w:type="dxa" w:w="2767"/>
          </w:tcPr>
          <w:p>
            <w:r/>
            <w:r>
              <w:rPr>
                <w:rFonts w:ascii="Calibri" w:hAnsi="Calibri" w:eastAsia="微软雅黑"/>
                <w:b w:val="0"/>
                <w:i w:val="0"/>
                <w:sz w:val="18"/>
              </w:rPr>
              <w:t>机械工业 / 第二梯队</w:t>
            </w:r>
          </w:p>
        </w:tc>
      </w:tr>
      <w:tr>
        <w:tc>
          <w:tcPr>
            <w:tcW w:type="dxa" w:w="2767"/>
          </w:tcPr>
          <w:p>
            <w:r/>
            <w:r>
              <w:rPr>
                <w:rFonts w:ascii="Calibri" w:hAnsi="Calibri" w:eastAsia="微软雅黑"/>
                <w:b w:val="0"/>
                <w:i w:val="0"/>
                <w:sz w:val="18"/>
              </w:rPr>
              <w:t>14</w:t>
            </w:r>
          </w:p>
        </w:tc>
        <w:tc>
          <w:tcPr>
            <w:tcW w:type="dxa" w:w="2767"/>
          </w:tcPr>
          <w:p>
            <w:r/>
            <w:r>
              <w:rPr>
                <w:rFonts w:ascii="Calibri" w:hAnsi="Calibri" w:eastAsia="微软雅黑"/>
                <w:b w:val="0"/>
                <w:i w:val="0"/>
                <w:sz w:val="18"/>
              </w:rPr>
              <w:t>中国能源建设集团广东省电力设计研究院有限公司：1,548,703 (P000001)</w:t>
            </w:r>
          </w:p>
        </w:tc>
        <w:tc>
          <w:tcPr>
            <w:tcW w:type="dxa" w:w="2767"/>
          </w:tcPr>
          <w:p>
            <w:r/>
            <w:r>
              <w:rPr>
                <w:rFonts w:ascii="Calibri" w:hAnsi="Calibri" w:eastAsia="微软雅黑"/>
                <w:b w:val="0"/>
                <w:i w:val="0"/>
                <w:sz w:val="18"/>
              </w:rPr>
              <w:t>电力新能源 / 第二梯队</w:t>
            </w:r>
          </w:p>
        </w:tc>
      </w:tr>
      <w:tr>
        <w:tc>
          <w:tcPr>
            <w:tcW w:type="dxa" w:w="2767"/>
          </w:tcPr>
          <w:p>
            <w:r/>
            <w:r>
              <w:rPr>
                <w:rFonts w:ascii="Calibri" w:hAnsi="Calibri" w:eastAsia="微软雅黑"/>
                <w:b w:val="0"/>
                <w:i w:val="0"/>
                <w:sz w:val="18"/>
              </w:rPr>
              <w:t>15</w:t>
            </w:r>
          </w:p>
        </w:tc>
        <w:tc>
          <w:tcPr>
            <w:tcW w:type="dxa" w:w="2767"/>
          </w:tcPr>
          <w:p>
            <w:r/>
            <w:r>
              <w:rPr>
                <w:rFonts w:ascii="Calibri" w:hAnsi="Calibri" w:eastAsia="微软雅黑"/>
                <w:b w:val="0"/>
                <w:i w:val="0"/>
                <w:sz w:val="18"/>
              </w:rPr>
              <w:t>中冶京诚工程技术有限公司：1,526,918 (P000001)</w:t>
            </w:r>
          </w:p>
        </w:tc>
        <w:tc>
          <w:tcPr>
            <w:tcW w:type="dxa" w:w="2767"/>
          </w:tcPr>
          <w:p>
            <w:r/>
            <w:r>
              <w:rPr>
                <w:rFonts w:ascii="Calibri" w:hAnsi="Calibri" w:eastAsia="微软雅黑"/>
                <w:b w:val="0"/>
                <w:i w:val="0"/>
                <w:sz w:val="18"/>
              </w:rPr>
              <w:t>冶金工程 / 第二梯队</w:t>
            </w:r>
          </w:p>
        </w:tc>
      </w:tr>
      <w:tr>
        <w:tc>
          <w:tcPr>
            <w:tcW w:type="dxa" w:w="2767"/>
          </w:tcPr>
          <w:p>
            <w:r/>
            <w:r>
              <w:rPr>
                <w:rFonts w:ascii="Calibri" w:hAnsi="Calibri" w:eastAsia="微软雅黑"/>
                <w:b w:val="0"/>
                <w:i w:val="0"/>
                <w:sz w:val="18"/>
              </w:rPr>
              <w:t>16</w:t>
            </w:r>
          </w:p>
        </w:tc>
        <w:tc>
          <w:tcPr>
            <w:tcW w:type="dxa" w:w="2767"/>
          </w:tcPr>
          <w:p>
            <w:r/>
            <w:r>
              <w:rPr>
                <w:rFonts w:ascii="Calibri" w:hAnsi="Calibri" w:eastAsia="微软雅黑"/>
                <w:b w:val="0"/>
                <w:i w:val="0"/>
                <w:sz w:val="18"/>
              </w:rPr>
              <w:t>山东电力工程咨询院有限公司：1,518,605 (P000001)</w:t>
            </w:r>
          </w:p>
        </w:tc>
        <w:tc>
          <w:tcPr>
            <w:tcW w:type="dxa" w:w="2767"/>
          </w:tcPr>
          <w:p>
            <w:r/>
            <w:r>
              <w:rPr>
                <w:rFonts w:ascii="Calibri" w:hAnsi="Calibri" w:eastAsia="微软雅黑"/>
                <w:b w:val="0"/>
                <w:i w:val="0"/>
                <w:sz w:val="18"/>
              </w:rPr>
              <w:t>火电新能源 / 第二梯队</w:t>
            </w:r>
          </w:p>
        </w:tc>
      </w:tr>
      <w:tr>
        <w:tc>
          <w:tcPr>
            <w:tcW w:type="dxa" w:w="2767"/>
          </w:tcPr>
          <w:p>
            <w:r/>
            <w:r>
              <w:rPr>
                <w:rFonts w:ascii="Calibri" w:hAnsi="Calibri" w:eastAsia="微软雅黑"/>
                <w:b w:val="0"/>
                <w:i w:val="0"/>
                <w:sz w:val="18"/>
              </w:rPr>
              <w:t>17</w:t>
            </w:r>
          </w:p>
        </w:tc>
        <w:tc>
          <w:tcPr>
            <w:tcW w:type="dxa" w:w="2767"/>
          </w:tcPr>
          <w:p>
            <w:r/>
            <w:r>
              <w:rPr>
                <w:rFonts w:ascii="Calibri" w:hAnsi="Calibri" w:eastAsia="微软雅黑"/>
                <w:b w:val="0"/>
                <w:i w:val="0"/>
                <w:sz w:val="18"/>
              </w:rPr>
              <w:t>中国建材国际工程集团有限公司：1,487,941 (P000001)</w:t>
            </w:r>
          </w:p>
        </w:tc>
        <w:tc>
          <w:tcPr>
            <w:tcW w:type="dxa" w:w="2767"/>
          </w:tcPr>
          <w:p>
            <w:r/>
            <w:r>
              <w:rPr>
                <w:rFonts w:ascii="Calibri" w:hAnsi="Calibri" w:eastAsia="微软雅黑"/>
                <w:b w:val="0"/>
                <w:i w:val="0"/>
                <w:sz w:val="18"/>
              </w:rPr>
              <w:t>建材工程 / 第二梯队</w:t>
            </w:r>
          </w:p>
        </w:tc>
      </w:tr>
      <w:tr>
        <w:tc>
          <w:tcPr>
            <w:tcW w:type="dxa" w:w="2767"/>
          </w:tcPr>
          <w:p>
            <w:r/>
            <w:r>
              <w:rPr>
                <w:rFonts w:ascii="Calibri" w:hAnsi="Calibri" w:eastAsia="微软雅黑"/>
                <w:b w:val="0"/>
                <w:i w:val="0"/>
                <w:sz w:val="18"/>
              </w:rPr>
              <w:t>18</w:t>
            </w:r>
          </w:p>
        </w:tc>
        <w:tc>
          <w:tcPr>
            <w:tcW w:type="dxa" w:w="2767"/>
          </w:tcPr>
          <w:p>
            <w:r/>
            <w:r>
              <w:rPr>
                <w:rFonts w:ascii="Calibri" w:hAnsi="Calibri" w:eastAsia="微软雅黑"/>
                <w:b w:val="0"/>
                <w:i w:val="0"/>
                <w:sz w:val="18"/>
              </w:rPr>
              <w:t>上海核工程研究设计院股份有限公司：1,212,852 (P000001)</w:t>
            </w:r>
          </w:p>
        </w:tc>
        <w:tc>
          <w:tcPr>
            <w:tcW w:type="dxa" w:w="2767"/>
          </w:tcPr>
          <w:p>
            <w:r/>
            <w:r>
              <w:rPr>
                <w:rFonts w:ascii="Calibri" w:hAnsi="Calibri" w:eastAsia="微软雅黑"/>
                <w:b w:val="0"/>
                <w:i w:val="0"/>
                <w:sz w:val="18"/>
              </w:rPr>
              <w:t>核电能源 / 第二梯队</w:t>
            </w:r>
          </w:p>
        </w:tc>
      </w:tr>
      <w:tr>
        <w:tc>
          <w:tcPr>
            <w:tcW w:type="dxa" w:w="2767"/>
          </w:tcPr>
          <w:p>
            <w:r/>
            <w:r>
              <w:rPr>
                <w:rFonts w:ascii="Calibri" w:hAnsi="Calibri" w:eastAsia="微软雅黑"/>
                <w:b w:val="0"/>
                <w:i w:val="0"/>
                <w:sz w:val="18"/>
              </w:rPr>
              <w:t>19</w:t>
            </w:r>
          </w:p>
        </w:tc>
        <w:tc>
          <w:tcPr>
            <w:tcW w:type="dxa" w:w="2767"/>
          </w:tcPr>
          <w:p>
            <w:r/>
            <w:r>
              <w:rPr>
                <w:rFonts w:ascii="Calibri" w:hAnsi="Calibri" w:eastAsia="微软雅黑"/>
                <w:b w:val="0"/>
                <w:i w:val="0"/>
                <w:sz w:val="18"/>
              </w:rPr>
              <w:t>中国汽车工业工程有限公司：1,165,762 (P000001)</w:t>
            </w:r>
          </w:p>
        </w:tc>
        <w:tc>
          <w:tcPr>
            <w:tcW w:type="dxa" w:w="2767"/>
          </w:tcPr>
          <w:p>
            <w:r/>
            <w:r>
              <w:rPr>
                <w:rFonts w:ascii="Calibri" w:hAnsi="Calibri" w:eastAsia="微软雅黑"/>
                <w:b w:val="0"/>
                <w:i w:val="0"/>
                <w:sz w:val="18"/>
              </w:rPr>
              <w:t>机械汽车 / 第二梯队</w:t>
            </w:r>
          </w:p>
        </w:tc>
      </w:tr>
      <w:tr>
        <w:tc>
          <w:tcPr>
            <w:tcW w:type="dxa" w:w="2767"/>
          </w:tcPr>
          <w:p>
            <w:r/>
            <w:r>
              <w:rPr>
                <w:rFonts w:ascii="Calibri" w:hAnsi="Calibri" w:eastAsia="微软雅黑"/>
                <w:b w:val="0"/>
                <w:i w:val="0"/>
                <w:sz w:val="18"/>
              </w:rPr>
              <w:t>20</w:t>
            </w:r>
          </w:p>
        </w:tc>
        <w:tc>
          <w:tcPr>
            <w:tcW w:type="dxa" w:w="2767"/>
          </w:tcPr>
          <w:p>
            <w:r/>
            <w:r>
              <w:rPr>
                <w:rFonts w:ascii="Calibri" w:hAnsi="Calibri" w:eastAsia="微软雅黑"/>
                <w:b w:val="0"/>
                <w:i w:val="0"/>
                <w:sz w:val="18"/>
              </w:rPr>
              <w:t>中国电力工程顾问集团西北电力设计院有限公司：1,117,532 (P000001)</w:t>
            </w:r>
          </w:p>
        </w:tc>
        <w:tc>
          <w:tcPr>
            <w:tcW w:type="dxa" w:w="2767"/>
          </w:tcPr>
          <w:p>
            <w:r/>
            <w:r>
              <w:rPr>
                <w:rFonts w:ascii="Calibri" w:hAnsi="Calibri" w:eastAsia="微软雅黑"/>
                <w:b w:val="0"/>
                <w:i w:val="0"/>
                <w:sz w:val="18"/>
              </w:rPr>
              <w:t>电力能源 / 第二梯队</w:t>
            </w:r>
          </w:p>
        </w:tc>
      </w:tr>
      <w:tr>
        <w:tc>
          <w:tcPr>
            <w:tcW w:type="dxa" w:w="2767"/>
          </w:tcPr>
          <w:p>
            <w:r/>
            <w:r>
              <w:rPr>
                <w:rFonts w:ascii="Calibri" w:hAnsi="Calibri" w:eastAsia="微软雅黑"/>
                <w:b w:val="0"/>
                <w:i w:val="0"/>
                <w:sz w:val="18"/>
              </w:rPr>
              <w:t>21</w:t>
            </w:r>
          </w:p>
        </w:tc>
        <w:tc>
          <w:tcPr>
            <w:tcW w:type="dxa" w:w="2767"/>
          </w:tcPr>
          <w:p>
            <w:r/>
            <w:r>
              <w:rPr>
                <w:rFonts w:ascii="Calibri" w:hAnsi="Calibri" w:eastAsia="微软雅黑"/>
                <w:b w:val="0"/>
                <w:i w:val="0"/>
                <w:sz w:val="18"/>
              </w:rPr>
              <w:t>中国天辰工程有限公司：1,089,303 (P000001)</w:t>
            </w:r>
          </w:p>
        </w:tc>
        <w:tc>
          <w:tcPr>
            <w:tcW w:type="dxa" w:w="2767"/>
          </w:tcPr>
          <w:p>
            <w:r/>
            <w:r>
              <w:rPr>
                <w:rFonts w:ascii="Calibri" w:hAnsi="Calibri" w:eastAsia="微软雅黑"/>
                <w:b w:val="0"/>
                <w:i w:val="0"/>
                <w:sz w:val="18"/>
              </w:rPr>
              <w:t>化学工程 / 第二梯队</w:t>
            </w:r>
          </w:p>
        </w:tc>
      </w:tr>
      <w:tr>
        <w:tc>
          <w:tcPr>
            <w:tcW w:type="dxa" w:w="2767"/>
          </w:tcPr>
          <w:p>
            <w:r/>
            <w:r>
              <w:rPr>
                <w:rFonts w:ascii="Calibri" w:hAnsi="Calibri" w:eastAsia="微软雅黑"/>
                <w:b w:val="0"/>
                <w:i w:val="0"/>
                <w:sz w:val="18"/>
              </w:rPr>
              <w:t>22</w:t>
            </w:r>
          </w:p>
        </w:tc>
        <w:tc>
          <w:tcPr>
            <w:tcW w:type="dxa" w:w="2767"/>
          </w:tcPr>
          <w:p>
            <w:r/>
            <w:r>
              <w:rPr>
                <w:rFonts w:ascii="Calibri" w:hAnsi="Calibri" w:eastAsia="微软雅黑"/>
                <w:b w:val="0"/>
                <w:i w:val="0"/>
                <w:sz w:val="18"/>
              </w:rPr>
              <w:t>中国电建集团中南勘测设计研究院有限公司：1,052,552 (P000001)</w:t>
            </w:r>
          </w:p>
        </w:tc>
        <w:tc>
          <w:tcPr>
            <w:tcW w:type="dxa" w:w="2767"/>
          </w:tcPr>
          <w:p>
            <w:r/>
            <w:r>
              <w:rPr>
                <w:rFonts w:ascii="Calibri" w:hAnsi="Calibri" w:eastAsia="微软雅黑"/>
                <w:b w:val="0"/>
                <w:i w:val="0"/>
                <w:sz w:val="18"/>
              </w:rPr>
              <w:t>水电新能源 / 第二梯队</w:t>
            </w:r>
          </w:p>
        </w:tc>
      </w:tr>
      <w:tr>
        <w:tc>
          <w:tcPr>
            <w:tcW w:type="dxa" w:w="2767"/>
          </w:tcPr>
          <w:p>
            <w:r/>
            <w:r>
              <w:rPr>
                <w:rFonts w:ascii="Calibri" w:hAnsi="Calibri" w:eastAsia="微软雅黑"/>
                <w:b w:val="0"/>
                <w:i w:val="0"/>
                <w:sz w:val="18"/>
              </w:rPr>
              <w:t>23</w:t>
            </w:r>
          </w:p>
        </w:tc>
        <w:tc>
          <w:tcPr>
            <w:tcW w:type="dxa" w:w="2767"/>
          </w:tcPr>
          <w:p>
            <w:r/>
            <w:r>
              <w:rPr>
                <w:rFonts w:ascii="Calibri" w:hAnsi="Calibri" w:eastAsia="微软雅黑"/>
                <w:b w:val="0"/>
                <w:i w:val="0"/>
                <w:sz w:val="18"/>
              </w:rPr>
              <w:t>中国电建集团成都勘测设计研究院有限公司：1,030,710 (P000001)</w:t>
            </w:r>
          </w:p>
        </w:tc>
        <w:tc>
          <w:tcPr>
            <w:tcW w:type="dxa" w:w="2767"/>
          </w:tcPr>
          <w:p>
            <w:r/>
            <w:r>
              <w:rPr>
                <w:rFonts w:ascii="Calibri" w:hAnsi="Calibri" w:eastAsia="微软雅黑"/>
                <w:b w:val="0"/>
                <w:i w:val="0"/>
                <w:sz w:val="18"/>
              </w:rPr>
              <w:t>水电新能源 / 第二梯队</w:t>
            </w:r>
          </w:p>
        </w:tc>
      </w:tr>
      <w:tr>
        <w:tc>
          <w:tcPr>
            <w:tcW w:type="dxa" w:w="2767"/>
          </w:tcPr>
          <w:p>
            <w:r/>
            <w:r>
              <w:rPr>
                <w:rFonts w:ascii="Calibri" w:hAnsi="Calibri" w:eastAsia="微软雅黑"/>
                <w:b w:val="0"/>
                <w:i w:val="0"/>
                <w:sz w:val="18"/>
              </w:rPr>
              <w:t>24</w:t>
            </w:r>
          </w:p>
        </w:tc>
        <w:tc>
          <w:tcPr>
            <w:tcW w:type="dxa" w:w="2767"/>
          </w:tcPr>
          <w:p>
            <w:r/>
            <w:r>
              <w:rPr>
                <w:rFonts w:ascii="Calibri" w:hAnsi="Calibri" w:eastAsia="微软雅黑"/>
                <w:b w:val="0"/>
                <w:i w:val="0"/>
                <w:sz w:val="18"/>
              </w:rPr>
              <w:t>上海市政工程设计研究总院（集团）有限公司：1,017,019 (P000001)</w:t>
            </w:r>
          </w:p>
        </w:tc>
        <w:tc>
          <w:tcPr>
            <w:tcW w:type="dxa" w:w="2767"/>
          </w:tcPr>
          <w:p>
            <w:r/>
            <w:r>
              <w:rPr>
                <w:rFonts w:ascii="Calibri" w:hAnsi="Calibri" w:eastAsia="微软雅黑"/>
                <w:b w:val="0"/>
                <w:i w:val="0"/>
                <w:sz w:val="18"/>
              </w:rPr>
              <w:t>市政工程 / 第二梯队</w:t>
            </w:r>
          </w:p>
        </w:tc>
      </w:tr>
      <w:tr>
        <w:tc>
          <w:tcPr>
            <w:tcW w:type="dxa" w:w="2767"/>
          </w:tcPr>
          <w:p>
            <w:r/>
            <w:r>
              <w:rPr>
                <w:rFonts w:ascii="Calibri" w:hAnsi="Calibri" w:eastAsia="微软雅黑"/>
                <w:b w:val="0"/>
                <w:i w:val="0"/>
                <w:sz w:val="18"/>
              </w:rPr>
              <w:t>25</w:t>
            </w:r>
          </w:p>
        </w:tc>
        <w:tc>
          <w:tcPr>
            <w:tcW w:type="dxa" w:w="2767"/>
          </w:tcPr>
          <w:p>
            <w:r/>
            <w:r>
              <w:rPr>
                <w:rFonts w:ascii="Calibri" w:hAnsi="Calibri" w:eastAsia="微软雅黑"/>
                <w:b w:val="0"/>
                <w:i w:val="0"/>
                <w:sz w:val="18"/>
              </w:rPr>
              <w:t>中冶焦耐（大连）工程技术有限公司：937,542 (P000001)</w:t>
            </w:r>
          </w:p>
        </w:tc>
        <w:tc>
          <w:tcPr>
            <w:tcW w:type="dxa" w:w="2767"/>
          </w:tcPr>
          <w:p>
            <w:r/>
            <w:r>
              <w:rPr>
                <w:rFonts w:ascii="Calibri" w:hAnsi="Calibri" w:eastAsia="微软雅黑"/>
                <w:b w:val="0"/>
                <w:i w:val="0"/>
                <w:sz w:val="18"/>
              </w:rPr>
              <w:t>冶金工程 / 第三梯队</w:t>
            </w:r>
          </w:p>
        </w:tc>
      </w:tr>
      <w:tr>
        <w:tc>
          <w:tcPr>
            <w:tcW w:type="dxa" w:w="2767"/>
          </w:tcPr>
          <w:p>
            <w:r/>
            <w:r>
              <w:rPr>
                <w:rFonts w:ascii="Calibri" w:hAnsi="Calibri" w:eastAsia="微软雅黑"/>
                <w:b w:val="0"/>
                <w:i w:val="0"/>
                <w:sz w:val="18"/>
              </w:rPr>
              <w:t>26</w:t>
            </w:r>
          </w:p>
        </w:tc>
        <w:tc>
          <w:tcPr>
            <w:tcW w:type="dxa" w:w="2767"/>
          </w:tcPr>
          <w:p>
            <w:r/>
            <w:r>
              <w:rPr>
                <w:rFonts w:ascii="Calibri" w:hAnsi="Calibri" w:eastAsia="微软雅黑"/>
                <w:b w:val="0"/>
                <w:i w:val="0"/>
                <w:sz w:val="18"/>
              </w:rPr>
              <w:t>中石化广州工程有限公司：900,077 (P000001)</w:t>
            </w:r>
          </w:p>
        </w:tc>
        <w:tc>
          <w:tcPr>
            <w:tcW w:type="dxa" w:w="2767"/>
          </w:tcPr>
          <w:p>
            <w:r/>
            <w:r>
              <w:rPr>
                <w:rFonts w:ascii="Calibri" w:hAnsi="Calibri" w:eastAsia="微软雅黑"/>
                <w:b w:val="0"/>
                <w:i w:val="0"/>
                <w:sz w:val="18"/>
              </w:rPr>
              <w:t>石油化工 / 第三梯队</w:t>
            </w:r>
          </w:p>
        </w:tc>
      </w:tr>
      <w:tr>
        <w:tc>
          <w:tcPr>
            <w:tcW w:type="dxa" w:w="2767"/>
          </w:tcPr>
          <w:p>
            <w:r/>
            <w:r>
              <w:rPr>
                <w:rFonts w:ascii="Calibri" w:hAnsi="Calibri" w:eastAsia="微软雅黑"/>
                <w:b w:val="0"/>
                <w:i w:val="0"/>
                <w:sz w:val="18"/>
              </w:rPr>
              <w:t>27</w:t>
            </w:r>
          </w:p>
        </w:tc>
        <w:tc>
          <w:tcPr>
            <w:tcW w:type="dxa" w:w="2767"/>
          </w:tcPr>
          <w:p>
            <w:r/>
            <w:r>
              <w:rPr>
                <w:rFonts w:ascii="Calibri" w:hAnsi="Calibri" w:eastAsia="微软雅黑"/>
                <w:b w:val="0"/>
                <w:i w:val="0"/>
                <w:sz w:val="18"/>
              </w:rPr>
              <w:t>中国电力工程顾问集团中南电力设计院有限公司：879,228 (P000001)</w:t>
            </w:r>
          </w:p>
        </w:tc>
        <w:tc>
          <w:tcPr>
            <w:tcW w:type="dxa" w:w="2767"/>
          </w:tcPr>
          <w:p>
            <w:r/>
            <w:r>
              <w:rPr>
                <w:rFonts w:ascii="Calibri" w:hAnsi="Calibri" w:eastAsia="微软雅黑"/>
                <w:b w:val="0"/>
                <w:i w:val="0"/>
                <w:sz w:val="18"/>
              </w:rPr>
              <w:t>电力能源 / 第三梯队</w:t>
            </w:r>
          </w:p>
        </w:tc>
      </w:tr>
      <w:tr>
        <w:tc>
          <w:tcPr>
            <w:tcW w:type="dxa" w:w="2767"/>
          </w:tcPr>
          <w:p>
            <w:r/>
            <w:r>
              <w:rPr>
                <w:rFonts w:ascii="Calibri" w:hAnsi="Calibri" w:eastAsia="微软雅黑"/>
                <w:b w:val="0"/>
                <w:i w:val="0"/>
                <w:sz w:val="18"/>
              </w:rPr>
              <w:t>28</w:t>
            </w:r>
          </w:p>
        </w:tc>
        <w:tc>
          <w:tcPr>
            <w:tcW w:type="dxa" w:w="2767"/>
          </w:tcPr>
          <w:p>
            <w:r/>
            <w:r>
              <w:rPr>
                <w:rFonts w:ascii="Calibri" w:hAnsi="Calibri" w:eastAsia="微软雅黑"/>
                <w:b w:val="0"/>
                <w:i w:val="0"/>
                <w:sz w:val="18"/>
              </w:rPr>
              <w:t>中国电建集团昆明勘测设计研究院有限公司：876,558 (P000001)</w:t>
            </w:r>
          </w:p>
        </w:tc>
        <w:tc>
          <w:tcPr>
            <w:tcW w:type="dxa" w:w="2767"/>
          </w:tcPr>
          <w:p>
            <w:r/>
            <w:r>
              <w:rPr>
                <w:rFonts w:ascii="Calibri" w:hAnsi="Calibri" w:eastAsia="微软雅黑"/>
                <w:b w:val="0"/>
                <w:i w:val="0"/>
                <w:sz w:val="18"/>
              </w:rPr>
              <w:t>水电新能源 / 第三梯队</w:t>
            </w:r>
          </w:p>
        </w:tc>
      </w:tr>
      <w:tr>
        <w:tc>
          <w:tcPr>
            <w:tcW w:type="dxa" w:w="2767"/>
          </w:tcPr>
          <w:p>
            <w:r/>
            <w:r>
              <w:rPr>
                <w:rFonts w:ascii="Calibri" w:hAnsi="Calibri" w:eastAsia="微软雅黑"/>
                <w:b w:val="0"/>
                <w:i w:val="0"/>
                <w:sz w:val="18"/>
              </w:rPr>
              <w:t>29</w:t>
            </w:r>
          </w:p>
        </w:tc>
        <w:tc>
          <w:tcPr>
            <w:tcW w:type="dxa" w:w="2767"/>
          </w:tcPr>
          <w:p>
            <w:r/>
            <w:r>
              <w:rPr>
                <w:rFonts w:ascii="Calibri" w:hAnsi="Calibri" w:eastAsia="微软雅黑"/>
                <w:b w:val="0"/>
                <w:i w:val="0"/>
                <w:sz w:val="18"/>
              </w:rPr>
              <w:t>中海油石化工程有限公司：817,161 (P000001)</w:t>
            </w:r>
          </w:p>
        </w:tc>
        <w:tc>
          <w:tcPr>
            <w:tcW w:type="dxa" w:w="2767"/>
          </w:tcPr>
          <w:p>
            <w:r/>
            <w:r>
              <w:rPr>
                <w:rFonts w:ascii="Calibri" w:hAnsi="Calibri" w:eastAsia="微软雅黑"/>
                <w:b w:val="0"/>
                <w:i w:val="0"/>
                <w:sz w:val="18"/>
              </w:rPr>
              <w:t>石油化工 / 第三梯队</w:t>
            </w:r>
          </w:p>
        </w:tc>
      </w:tr>
      <w:tr>
        <w:tc>
          <w:tcPr>
            <w:tcW w:type="dxa" w:w="2767"/>
          </w:tcPr>
          <w:p>
            <w:r/>
            <w:r>
              <w:rPr>
                <w:rFonts w:ascii="Calibri" w:hAnsi="Calibri" w:eastAsia="微软雅黑"/>
                <w:b w:val="0"/>
                <w:i w:val="0"/>
                <w:sz w:val="18"/>
              </w:rPr>
              <w:t>30</w:t>
            </w:r>
          </w:p>
        </w:tc>
        <w:tc>
          <w:tcPr>
            <w:tcW w:type="dxa" w:w="2767"/>
          </w:tcPr>
          <w:p>
            <w:r/>
            <w:r>
              <w:rPr>
                <w:rFonts w:ascii="Calibri" w:hAnsi="Calibri" w:eastAsia="微软雅黑"/>
                <w:b w:val="0"/>
                <w:i w:val="0"/>
                <w:sz w:val="18"/>
              </w:rPr>
              <w:t>中国电子工程设计院有限公司：817,072 (P000001)</w:t>
            </w:r>
          </w:p>
        </w:tc>
        <w:tc>
          <w:tcPr>
            <w:tcW w:type="dxa" w:w="2767"/>
          </w:tcPr>
          <w:p>
            <w:r/>
            <w:r>
              <w:rPr>
                <w:rFonts w:ascii="Calibri" w:hAnsi="Calibri" w:eastAsia="微软雅黑"/>
                <w:b w:val="0"/>
                <w:i w:val="0"/>
                <w:sz w:val="18"/>
              </w:rPr>
              <w:t>电子工业 / 第三梯队</w:t>
            </w:r>
          </w:p>
        </w:tc>
      </w:tr>
      <w:tr>
        <w:tc>
          <w:tcPr>
            <w:tcW w:type="dxa" w:w="2767"/>
          </w:tcPr>
          <w:p>
            <w:r/>
            <w:r>
              <w:rPr>
                <w:rFonts w:ascii="Calibri" w:hAnsi="Calibri" w:eastAsia="微软雅黑"/>
                <w:b w:val="0"/>
                <w:i w:val="0"/>
                <w:sz w:val="18"/>
              </w:rPr>
              <w:t>31</w:t>
            </w:r>
          </w:p>
        </w:tc>
        <w:tc>
          <w:tcPr>
            <w:tcW w:type="dxa" w:w="2767"/>
          </w:tcPr>
          <w:p>
            <w:r/>
            <w:r>
              <w:rPr>
                <w:rFonts w:ascii="Calibri" w:hAnsi="Calibri" w:eastAsia="微软雅黑"/>
                <w:b w:val="0"/>
                <w:i w:val="0"/>
                <w:sz w:val="18"/>
              </w:rPr>
              <w:t>中国电建集团西北勘测设计研究院有限公司：784,642 (P000001)</w:t>
            </w:r>
          </w:p>
        </w:tc>
        <w:tc>
          <w:tcPr>
            <w:tcW w:type="dxa" w:w="2767"/>
          </w:tcPr>
          <w:p>
            <w:r/>
            <w:r>
              <w:rPr>
                <w:rFonts w:ascii="Calibri" w:hAnsi="Calibri" w:eastAsia="微软雅黑"/>
                <w:b w:val="0"/>
                <w:i w:val="0"/>
                <w:sz w:val="18"/>
              </w:rPr>
              <w:t>水电新能源 / 第三梯队</w:t>
            </w:r>
          </w:p>
        </w:tc>
      </w:tr>
      <w:tr>
        <w:tc>
          <w:tcPr>
            <w:tcW w:type="dxa" w:w="2767"/>
          </w:tcPr>
          <w:p>
            <w:r/>
            <w:r>
              <w:rPr>
                <w:rFonts w:ascii="Calibri" w:hAnsi="Calibri" w:eastAsia="微软雅黑"/>
                <w:b w:val="0"/>
                <w:i w:val="0"/>
                <w:sz w:val="18"/>
              </w:rPr>
              <w:t>32</w:t>
            </w:r>
          </w:p>
        </w:tc>
        <w:tc>
          <w:tcPr>
            <w:tcW w:type="dxa" w:w="2767"/>
          </w:tcPr>
          <w:p>
            <w:r/>
            <w:r>
              <w:rPr>
                <w:rFonts w:ascii="Calibri" w:hAnsi="Calibri" w:eastAsia="微软雅黑"/>
                <w:b w:val="0"/>
                <w:i w:val="0"/>
                <w:sz w:val="18"/>
              </w:rPr>
              <w:t>中国公路工程咨询集团有限公司：780,530 (P000001)</w:t>
            </w:r>
          </w:p>
        </w:tc>
        <w:tc>
          <w:tcPr>
            <w:tcW w:type="dxa" w:w="2767"/>
          </w:tcPr>
          <w:p>
            <w:r/>
            <w:r>
              <w:rPr>
                <w:rFonts w:ascii="Calibri" w:hAnsi="Calibri" w:eastAsia="微软雅黑"/>
                <w:b w:val="0"/>
                <w:i w:val="0"/>
                <w:sz w:val="18"/>
              </w:rPr>
              <w:t>交通工程 / 第三梯队</w:t>
            </w:r>
          </w:p>
        </w:tc>
      </w:tr>
      <w:tr>
        <w:tc>
          <w:tcPr>
            <w:tcW w:type="dxa" w:w="2767"/>
          </w:tcPr>
          <w:p>
            <w:r/>
            <w:r>
              <w:rPr>
                <w:rFonts w:ascii="Calibri" w:hAnsi="Calibri" w:eastAsia="微软雅黑"/>
                <w:b w:val="0"/>
                <w:i w:val="0"/>
                <w:sz w:val="18"/>
              </w:rPr>
              <w:t>33</w:t>
            </w:r>
          </w:p>
        </w:tc>
        <w:tc>
          <w:tcPr>
            <w:tcW w:type="dxa" w:w="2767"/>
          </w:tcPr>
          <w:p>
            <w:r/>
            <w:r>
              <w:rPr>
                <w:rFonts w:ascii="Calibri" w:hAnsi="Calibri" w:eastAsia="微软雅黑"/>
                <w:b w:val="0"/>
                <w:i w:val="0"/>
                <w:sz w:val="18"/>
              </w:rPr>
              <w:t>中国能源建设集团广西电力设计研究院有限公司：721,919 (P000001)</w:t>
            </w:r>
          </w:p>
        </w:tc>
        <w:tc>
          <w:tcPr>
            <w:tcW w:type="dxa" w:w="2767"/>
          </w:tcPr>
          <w:p>
            <w:r/>
            <w:r>
              <w:rPr>
                <w:rFonts w:ascii="Calibri" w:hAnsi="Calibri" w:eastAsia="微软雅黑"/>
                <w:b w:val="0"/>
                <w:i w:val="0"/>
                <w:sz w:val="18"/>
              </w:rPr>
              <w:t>电力能源 / 第三梯队</w:t>
            </w:r>
          </w:p>
        </w:tc>
      </w:tr>
      <w:tr>
        <w:tc>
          <w:tcPr>
            <w:tcW w:type="dxa" w:w="2767"/>
          </w:tcPr>
          <w:p>
            <w:r/>
            <w:r>
              <w:rPr>
                <w:rFonts w:ascii="Calibri" w:hAnsi="Calibri" w:eastAsia="微软雅黑"/>
                <w:b w:val="0"/>
                <w:i w:val="0"/>
                <w:sz w:val="18"/>
              </w:rPr>
              <w:t>34</w:t>
            </w:r>
          </w:p>
        </w:tc>
        <w:tc>
          <w:tcPr>
            <w:tcW w:type="dxa" w:w="2767"/>
          </w:tcPr>
          <w:p>
            <w:r/>
            <w:r>
              <w:rPr>
                <w:rFonts w:ascii="Calibri" w:hAnsi="Calibri" w:eastAsia="微软雅黑"/>
                <w:b w:val="0"/>
                <w:i w:val="0"/>
                <w:sz w:val="18"/>
              </w:rPr>
              <w:t>中国成达工程有限公司：719,581 (P000001)</w:t>
            </w:r>
          </w:p>
        </w:tc>
        <w:tc>
          <w:tcPr>
            <w:tcW w:type="dxa" w:w="2767"/>
          </w:tcPr>
          <w:p>
            <w:r/>
            <w:r>
              <w:rPr>
                <w:rFonts w:ascii="Calibri" w:hAnsi="Calibri" w:eastAsia="微软雅黑"/>
                <w:b w:val="0"/>
                <w:i w:val="0"/>
                <w:sz w:val="18"/>
              </w:rPr>
              <w:t>化学工程 / 第三梯队</w:t>
            </w:r>
          </w:p>
        </w:tc>
      </w:tr>
      <w:tr>
        <w:tc>
          <w:tcPr>
            <w:tcW w:type="dxa" w:w="2767"/>
          </w:tcPr>
          <w:p>
            <w:r/>
            <w:r>
              <w:rPr>
                <w:rFonts w:ascii="Calibri" w:hAnsi="Calibri" w:eastAsia="微软雅黑"/>
                <w:b w:val="0"/>
                <w:i w:val="0"/>
                <w:sz w:val="18"/>
              </w:rPr>
              <w:t>35</w:t>
            </w:r>
          </w:p>
        </w:tc>
        <w:tc>
          <w:tcPr>
            <w:tcW w:type="dxa" w:w="2767"/>
          </w:tcPr>
          <w:p>
            <w:r/>
            <w:r>
              <w:rPr>
                <w:rFonts w:ascii="Calibri" w:hAnsi="Calibri" w:eastAsia="微软雅黑"/>
                <w:b w:val="0"/>
                <w:i w:val="0"/>
                <w:sz w:val="18"/>
              </w:rPr>
              <w:t>中国五环工程有限公司：718,930 (P000001)</w:t>
            </w:r>
          </w:p>
        </w:tc>
        <w:tc>
          <w:tcPr>
            <w:tcW w:type="dxa" w:w="2767"/>
          </w:tcPr>
          <w:p>
            <w:r/>
            <w:r>
              <w:rPr>
                <w:rFonts w:ascii="Calibri" w:hAnsi="Calibri" w:eastAsia="微软雅黑"/>
                <w:b w:val="0"/>
                <w:i w:val="0"/>
                <w:sz w:val="18"/>
              </w:rPr>
              <w:t>化学工程 / 第三梯队</w:t>
            </w:r>
          </w:p>
        </w:tc>
      </w:tr>
      <w:tr>
        <w:tc>
          <w:tcPr>
            <w:tcW w:type="dxa" w:w="2767"/>
          </w:tcPr>
          <w:p>
            <w:r/>
            <w:r>
              <w:rPr>
                <w:rFonts w:ascii="Calibri" w:hAnsi="Calibri" w:eastAsia="微软雅黑"/>
                <w:b w:val="0"/>
                <w:i w:val="0"/>
                <w:sz w:val="18"/>
              </w:rPr>
              <w:t>36</w:t>
            </w:r>
          </w:p>
        </w:tc>
        <w:tc>
          <w:tcPr>
            <w:tcW w:type="dxa" w:w="2767"/>
          </w:tcPr>
          <w:p>
            <w:r/>
            <w:r>
              <w:rPr>
                <w:rFonts w:ascii="Calibri" w:hAnsi="Calibri" w:eastAsia="微软雅黑"/>
                <w:b w:val="0"/>
                <w:i w:val="0"/>
                <w:sz w:val="18"/>
              </w:rPr>
              <w:t>中石化上海工程有限公司：718,867 (P000001)</w:t>
            </w:r>
          </w:p>
        </w:tc>
        <w:tc>
          <w:tcPr>
            <w:tcW w:type="dxa" w:w="2767"/>
          </w:tcPr>
          <w:p>
            <w:r/>
            <w:r>
              <w:rPr>
                <w:rFonts w:ascii="Calibri" w:hAnsi="Calibri" w:eastAsia="微软雅黑"/>
                <w:b w:val="0"/>
                <w:i w:val="0"/>
                <w:sz w:val="18"/>
              </w:rPr>
              <w:t>石油化工 / 第三梯队</w:t>
            </w:r>
          </w:p>
        </w:tc>
      </w:tr>
      <w:tr>
        <w:tc>
          <w:tcPr>
            <w:tcW w:type="dxa" w:w="2767"/>
          </w:tcPr>
          <w:p>
            <w:r/>
            <w:r>
              <w:rPr>
                <w:rFonts w:ascii="Calibri" w:hAnsi="Calibri" w:eastAsia="微软雅黑"/>
                <w:b w:val="0"/>
                <w:i w:val="0"/>
                <w:sz w:val="18"/>
              </w:rPr>
              <w:t>37</w:t>
            </w:r>
          </w:p>
        </w:tc>
        <w:tc>
          <w:tcPr>
            <w:tcW w:type="dxa" w:w="2767"/>
          </w:tcPr>
          <w:p>
            <w:r/>
            <w:r>
              <w:rPr>
                <w:rFonts w:ascii="Calibri" w:hAnsi="Calibri" w:eastAsia="微软雅黑"/>
                <w:b w:val="0"/>
                <w:i w:val="0"/>
                <w:sz w:val="18"/>
              </w:rPr>
              <w:t>中国昆仑工程有限公司：680,041 (P000001)</w:t>
            </w:r>
          </w:p>
        </w:tc>
        <w:tc>
          <w:tcPr>
            <w:tcW w:type="dxa" w:w="2767"/>
          </w:tcPr>
          <w:p>
            <w:r/>
            <w:r>
              <w:rPr>
                <w:rFonts w:ascii="Calibri" w:hAnsi="Calibri" w:eastAsia="微软雅黑"/>
                <w:b w:val="0"/>
                <w:i w:val="0"/>
                <w:sz w:val="18"/>
              </w:rPr>
              <w:t>纺织化工 / 第三梯队</w:t>
            </w:r>
          </w:p>
        </w:tc>
      </w:tr>
      <w:tr>
        <w:tc>
          <w:tcPr>
            <w:tcW w:type="dxa" w:w="2767"/>
          </w:tcPr>
          <w:p>
            <w:r/>
            <w:r>
              <w:rPr>
                <w:rFonts w:ascii="Calibri" w:hAnsi="Calibri" w:eastAsia="微软雅黑"/>
                <w:b w:val="0"/>
                <w:i w:val="0"/>
                <w:sz w:val="18"/>
              </w:rPr>
              <w:t>38</w:t>
            </w:r>
          </w:p>
        </w:tc>
        <w:tc>
          <w:tcPr>
            <w:tcW w:type="dxa" w:w="2767"/>
          </w:tcPr>
          <w:p>
            <w:r/>
            <w:r>
              <w:rPr>
                <w:rFonts w:ascii="Calibri" w:hAnsi="Calibri" w:eastAsia="微软雅黑"/>
                <w:b w:val="0"/>
                <w:i w:val="0"/>
                <w:sz w:val="18"/>
              </w:rPr>
              <w:t>中冶长天国际工程有限责任公司：661,542 (P000001)</w:t>
            </w:r>
          </w:p>
        </w:tc>
        <w:tc>
          <w:tcPr>
            <w:tcW w:type="dxa" w:w="2767"/>
          </w:tcPr>
          <w:p>
            <w:r/>
            <w:r>
              <w:rPr>
                <w:rFonts w:ascii="Calibri" w:hAnsi="Calibri" w:eastAsia="微软雅黑"/>
                <w:b w:val="0"/>
                <w:i w:val="0"/>
                <w:sz w:val="18"/>
              </w:rPr>
              <w:t>冶金矿山 / 第三梯队</w:t>
            </w:r>
          </w:p>
        </w:tc>
      </w:tr>
      <w:tr>
        <w:tc>
          <w:tcPr>
            <w:tcW w:type="dxa" w:w="2767"/>
          </w:tcPr>
          <w:p>
            <w:r/>
            <w:r>
              <w:rPr>
                <w:rFonts w:ascii="Calibri" w:hAnsi="Calibri" w:eastAsia="微软雅黑"/>
                <w:b w:val="0"/>
                <w:i w:val="0"/>
                <w:sz w:val="18"/>
              </w:rPr>
              <w:t>39</w:t>
            </w:r>
          </w:p>
        </w:tc>
        <w:tc>
          <w:tcPr>
            <w:tcW w:type="dxa" w:w="2767"/>
          </w:tcPr>
          <w:p>
            <w:r/>
            <w:r>
              <w:rPr>
                <w:rFonts w:ascii="Calibri" w:hAnsi="Calibri" w:eastAsia="微软雅黑"/>
                <w:b w:val="0"/>
                <w:i w:val="0"/>
                <w:sz w:val="18"/>
              </w:rPr>
              <w:t>华陆工程科技有限责任公司：661,294 (P000001)</w:t>
            </w:r>
          </w:p>
        </w:tc>
        <w:tc>
          <w:tcPr>
            <w:tcW w:type="dxa" w:w="2767"/>
          </w:tcPr>
          <w:p>
            <w:r/>
            <w:r>
              <w:rPr>
                <w:rFonts w:ascii="Calibri" w:hAnsi="Calibri" w:eastAsia="微软雅黑"/>
                <w:b w:val="0"/>
                <w:i w:val="0"/>
                <w:sz w:val="18"/>
              </w:rPr>
              <w:t>化学工程 / 第三梯队</w:t>
            </w:r>
          </w:p>
        </w:tc>
      </w:tr>
      <w:tr>
        <w:tc>
          <w:tcPr>
            <w:tcW w:type="dxa" w:w="2767"/>
          </w:tcPr>
          <w:p>
            <w:r/>
            <w:r>
              <w:rPr>
                <w:rFonts w:ascii="Calibri" w:hAnsi="Calibri" w:eastAsia="微软雅黑"/>
                <w:b w:val="0"/>
                <w:i w:val="0"/>
                <w:sz w:val="18"/>
              </w:rPr>
              <w:t>40</w:t>
            </w:r>
          </w:p>
        </w:tc>
        <w:tc>
          <w:tcPr>
            <w:tcW w:type="dxa" w:w="2767"/>
          </w:tcPr>
          <w:p>
            <w:r/>
            <w:r>
              <w:rPr>
                <w:rFonts w:ascii="Calibri" w:hAnsi="Calibri" w:eastAsia="微软雅黑"/>
                <w:b w:val="0"/>
                <w:i w:val="0"/>
                <w:sz w:val="18"/>
              </w:rPr>
              <w:t>上海勘测设计研究院有限公司：656,655 (P000001)</w:t>
            </w:r>
          </w:p>
        </w:tc>
        <w:tc>
          <w:tcPr>
            <w:tcW w:type="dxa" w:w="2767"/>
          </w:tcPr>
          <w:p>
            <w:r/>
            <w:r>
              <w:rPr>
                <w:rFonts w:ascii="Calibri" w:hAnsi="Calibri" w:eastAsia="微软雅黑"/>
                <w:b w:val="0"/>
                <w:i w:val="0"/>
                <w:sz w:val="18"/>
              </w:rPr>
              <w:t>水电新能源 / 第三梯队</w:t>
            </w:r>
          </w:p>
        </w:tc>
      </w:tr>
      <w:tr>
        <w:tc>
          <w:tcPr>
            <w:tcW w:type="dxa" w:w="2767"/>
          </w:tcPr>
          <w:p>
            <w:r/>
            <w:r>
              <w:rPr>
                <w:rFonts w:ascii="Calibri" w:hAnsi="Calibri" w:eastAsia="微软雅黑"/>
                <w:b w:val="0"/>
                <w:i w:val="0"/>
                <w:sz w:val="18"/>
              </w:rPr>
              <w:t>41</w:t>
            </w:r>
          </w:p>
        </w:tc>
        <w:tc>
          <w:tcPr>
            <w:tcW w:type="dxa" w:w="2767"/>
          </w:tcPr>
          <w:p>
            <w:r/>
            <w:r>
              <w:rPr>
                <w:rFonts w:ascii="Calibri" w:hAnsi="Calibri" w:eastAsia="微软雅黑"/>
                <w:b w:val="0"/>
                <w:i w:val="0"/>
                <w:sz w:val="18"/>
              </w:rPr>
              <w:t>机械工业第九设计研究院股份有限公司：650,226 (P000001)</w:t>
            </w:r>
          </w:p>
        </w:tc>
        <w:tc>
          <w:tcPr>
            <w:tcW w:type="dxa" w:w="2767"/>
          </w:tcPr>
          <w:p>
            <w:r/>
            <w:r>
              <w:rPr>
                <w:rFonts w:ascii="Calibri" w:hAnsi="Calibri" w:eastAsia="微软雅黑"/>
                <w:b w:val="0"/>
                <w:i w:val="0"/>
                <w:sz w:val="18"/>
              </w:rPr>
              <w:t>机械汽车 / 第三梯队</w:t>
            </w:r>
          </w:p>
        </w:tc>
      </w:tr>
      <w:tr>
        <w:tc>
          <w:tcPr>
            <w:tcW w:type="dxa" w:w="2767"/>
          </w:tcPr>
          <w:p>
            <w:r/>
            <w:r>
              <w:rPr>
                <w:rFonts w:ascii="Calibri" w:hAnsi="Calibri" w:eastAsia="微软雅黑"/>
                <w:b w:val="0"/>
                <w:i w:val="0"/>
                <w:sz w:val="18"/>
              </w:rPr>
              <w:t>42</w:t>
            </w:r>
          </w:p>
        </w:tc>
        <w:tc>
          <w:tcPr>
            <w:tcW w:type="dxa" w:w="2767"/>
          </w:tcPr>
          <w:p>
            <w:r/>
            <w:r>
              <w:rPr>
                <w:rFonts w:ascii="Calibri" w:hAnsi="Calibri" w:eastAsia="微软雅黑"/>
                <w:b w:val="0"/>
                <w:i w:val="0"/>
                <w:sz w:val="18"/>
              </w:rPr>
              <w:t>中国电力工程顾问集团华北电力设计院有限公司：635,756 (P000001)</w:t>
            </w:r>
          </w:p>
        </w:tc>
        <w:tc>
          <w:tcPr>
            <w:tcW w:type="dxa" w:w="2767"/>
          </w:tcPr>
          <w:p>
            <w:r/>
            <w:r>
              <w:rPr>
                <w:rFonts w:ascii="Calibri" w:hAnsi="Calibri" w:eastAsia="微软雅黑"/>
                <w:b w:val="0"/>
                <w:i w:val="0"/>
                <w:sz w:val="18"/>
              </w:rPr>
              <w:t>电力能源 / 第三梯队</w:t>
            </w:r>
          </w:p>
        </w:tc>
      </w:tr>
      <w:tr>
        <w:tc>
          <w:tcPr>
            <w:tcW w:type="dxa" w:w="2767"/>
          </w:tcPr>
          <w:p>
            <w:r/>
            <w:r>
              <w:rPr>
                <w:rFonts w:ascii="Calibri" w:hAnsi="Calibri" w:eastAsia="微软雅黑"/>
                <w:b w:val="0"/>
                <w:i w:val="0"/>
                <w:sz w:val="18"/>
              </w:rPr>
              <w:t>43</w:t>
            </w:r>
          </w:p>
        </w:tc>
        <w:tc>
          <w:tcPr>
            <w:tcW w:type="dxa" w:w="2767"/>
          </w:tcPr>
          <w:p>
            <w:r/>
            <w:r>
              <w:rPr>
                <w:rFonts w:ascii="Calibri" w:hAnsi="Calibri" w:eastAsia="微软雅黑"/>
                <w:b w:val="0"/>
                <w:i w:val="0"/>
                <w:sz w:val="18"/>
              </w:rPr>
              <w:t>中国电建集团贵阳勘测设计研究院有限公司：626,480 (P000001)</w:t>
            </w:r>
          </w:p>
        </w:tc>
        <w:tc>
          <w:tcPr>
            <w:tcW w:type="dxa" w:w="2767"/>
          </w:tcPr>
          <w:p>
            <w:r/>
            <w:r>
              <w:rPr>
                <w:rFonts w:ascii="Calibri" w:hAnsi="Calibri" w:eastAsia="微软雅黑"/>
                <w:b w:val="0"/>
                <w:i w:val="0"/>
                <w:sz w:val="18"/>
              </w:rPr>
              <w:t>水电新能源 / 第三梯队</w:t>
            </w:r>
          </w:p>
        </w:tc>
      </w:tr>
      <w:tr>
        <w:tc>
          <w:tcPr>
            <w:tcW w:type="dxa" w:w="2767"/>
          </w:tcPr>
          <w:p>
            <w:r/>
            <w:r>
              <w:rPr>
                <w:rFonts w:ascii="Calibri" w:hAnsi="Calibri" w:eastAsia="微软雅黑"/>
                <w:b w:val="0"/>
                <w:i w:val="0"/>
                <w:sz w:val="18"/>
              </w:rPr>
              <w:t>44</w:t>
            </w:r>
          </w:p>
        </w:tc>
        <w:tc>
          <w:tcPr>
            <w:tcW w:type="dxa" w:w="2767"/>
          </w:tcPr>
          <w:p>
            <w:r/>
            <w:r>
              <w:rPr>
                <w:rFonts w:ascii="Calibri" w:hAnsi="Calibri" w:eastAsia="微软雅黑"/>
                <w:b w:val="0"/>
                <w:i w:val="0"/>
                <w:sz w:val="18"/>
              </w:rPr>
              <w:t>中国能源建设集团山西省电力勘测设计院有限公司：587,299 (P000001)</w:t>
            </w:r>
          </w:p>
        </w:tc>
        <w:tc>
          <w:tcPr>
            <w:tcW w:type="dxa" w:w="2767"/>
          </w:tcPr>
          <w:p>
            <w:r/>
            <w:r>
              <w:rPr>
                <w:rFonts w:ascii="Calibri" w:hAnsi="Calibri" w:eastAsia="微软雅黑"/>
                <w:b w:val="0"/>
                <w:i w:val="0"/>
                <w:sz w:val="18"/>
              </w:rPr>
              <w:t>电力能源 / 第三梯队</w:t>
            </w:r>
          </w:p>
        </w:tc>
      </w:tr>
      <w:tr>
        <w:tc>
          <w:tcPr>
            <w:tcW w:type="dxa" w:w="2767"/>
          </w:tcPr>
          <w:p>
            <w:r/>
            <w:r>
              <w:rPr>
                <w:rFonts w:ascii="Calibri" w:hAnsi="Calibri" w:eastAsia="微软雅黑"/>
                <w:b w:val="0"/>
                <w:i w:val="0"/>
                <w:sz w:val="18"/>
              </w:rPr>
              <w:t>45</w:t>
            </w:r>
          </w:p>
        </w:tc>
        <w:tc>
          <w:tcPr>
            <w:tcW w:type="dxa" w:w="2767"/>
          </w:tcPr>
          <w:p>
            <w:r/>
            <w:r>
              <w:rPr>
                <w:rFonts w:ascii="Calibri" w:hAnsi="Calibri" w:eastAsia="微软雅黑"/>
                <w:b w:val="0"/>
                <w:i w:val="0"/>
                <w:sz w:val="18"/>
              </w:rPr>
              <w:t>中冶华天工程技术有限公司：584,901 (P000001)</w:t>
            </w:r>
          </w:p>
        </w:tc>
        <w:tc>
          <w:tcPr>
            <w:tcW w:type="dxa" w:w="2767"/>
          </w:tcPr>
          <w:p>
            <w:r/>
            <w:r>
              <w:rPr>
                <w:rFonts w:ascii="Calibri" w:hAnsi="Calibri" w:eastAsia="微软雅黑"/>
                <w:b w:val="0"/>
                <w:i w:val="0"/>
                <w:sz w:val="18"/>
              </w:rPr>
              <w:t>冶金工程 / 第三梯队</w:t>
            </w:r>
          </w:p>
        </w:tc>
      </w:tr>
      <w:tr>
        <w:tc>
          <w:tcPr>
            <w:tcW w:type="dxa" w:w="2767"/>
          </w:tcPr>
          <w:p>
            <w:r/>
            <w:r>
              <w:rPr>
                <w:rFonts w:ascii="Calibri" w:hAnsi="Calibri" w:eastAsia="微软雅黑"/>
                <w:b w:val="0"/>
                <w:i w:val="0"/>
                <w:sz w:val="18"/>
              </w:rPr>
              <w:t>46</w:t>
            </w:r>
          </w:p>
        </w:tc>
        <w:tc>
          <w:tcPr>
            <w:tcW w:type="dxa" w:w="2767"/>
          </w:tcPr>
          <w:p>
            <w:r/>
            <w:r>
              <w:rPr>
                <w:rFonts w:ascii="Calibri" w:hAnsi="Calibri" w:eastAsia="微软雅黑"/>
                <w:b w:val="0"/>
                <w:i w:val="0"/>
                <w:sz w:val="18"/>
              </w:rPr>
              <w:t>中国恩菲工程技术有限公司：577,682 (P000001)</w:t>
            </w:r>
          </w:p>
        </w:tc>
        <w:tc>
          <w:tcPr>
            <w:tcW w:type="dxa" w:w="2767"/>
          </w:tcPr>
          <w:p>
            <w:r/>
            <w:r>
              <w:rPr>
                <w:rFonts w:ascii="Calibri" w:hAnsi="Calibri" w:eastAsia="微软雅黑"/>
                <w:b w:val="0"/>
                <w:i w:val="0"/>
                <w:sz w:val="18"/>
              </w:rPr>
              <w:t>冶金有色 / 第三梯队</w:t>
            </w:r>
          </w:p>
        </w:tc>
      </w:tr>
      <w:tr>
        <w:tc>
          <w:tcPr>
            <w:tcW w:type="dxa" w:w="2767"/>
          </w:tcPr>
          <w:p>
            <w:r/>
            <w:r>
              <w:rPr>
                <w:rFonts w:ascii="Calibri" w:hAnsi="Calibri" w:eastAsia="微软雅黑"/>
                <w:b w:val="0"/>
                <w:i w:val="0"/>
                <w:sz w:val="18"/>
              </w:rPr>
              <w:t>47</w:t>
            </w:r>
          </w:p>
        </w:tc>
        <w:tc>
          <w:tcPr>
            <w:tcW w:type="dxa" w:w="2767"/>
          </w:tcPr>
          <w:p>
            <w:r/>
            <w:r>
              <w:rPr>
                <w:rFonts w:ascii="Calibri" w:hAnsi="Calibri" w:eastAsia="微软雅黑"/>
                <w:b w:val="0"/>
                <w:i w:val="0"/>
                <w:sz w:val="18"/>
              </w:rPr>
              <w:t>长江勘测规划设计研究有限责任公司：526,347 (P000001)</w:t>
            </w:r>
          </w:p>
        </w:tc>
        <w:tc>
          <w:tcPr>
            <w:tcW w:type="dxa" w:w="2767"/>
          </w:tcPr>
          <w:p>
            <w:r/>
            <w:r>
              <w:rPr>
                <w:rFonts w:ascii="Calibri" w:hAnsi="Calibri" w:eastAsia="微软雅黑"/>
                <w:b w:val="0"/>
                <w:i w:val="0"/>
                <w:sz w:val="18"/>
              </w:rPr>
              <w:t>水利工程 / 第三梯队</w:t>
            </w:r>
          </w:p>
        </w:tc>
      </w:tr>
      <w:tr>
        <w:tc>
          <w:tcPr>
            <w:tcW w:type="dxa" w:w="2767"/>
          </w:tcPr>
          <w:p>
            <w:r/>
            <w:r>
              <w:rPr>
                <w:rFonts w:ascii="Calibri" w:hAnsi="Calibri" w:eastAsia="微软雅黑"/>
                <w:b w:val="0"/>
                <w:i w:val="0"/>
                <w:sz w:val="18"/>
              </w:rPr>
              <w:t>48</w:t>
            </w:r>
          </w:p>
        </w:tc>
        <w:tc>
          <w:tcPr>
            <w:tcW w:type="dxa" w:w="2767"/>
          </w:tcPr>
          <w:p>
            <w:r/>
            <w:r>
              <w:rPr>
                <w:rFonts w:ascii="Calibri" w:hAnsi="Calibri" w:eastAsia="微软雅黑"/>
                <w:b w:val="0"/>
                <w:i w:val="0"/>
                <w:sz w:val="18"/>
              </w:rPr>
              <w:t>赛鼎工程有限公司：526,150 (P000001)</w:t>
            </w:r>
          </w:p>
        </w:tc>
        <w:tc>
          <w:tcPr>
            <w:tcW w:type="dxa" w:w="2767"/>
          </w:tcPr>
          <w:p>
            <w:r/>
            <w:r>
              <w:rPr>
                <w:rFonts w:ascii="Calibri" w:hAnsi="Calibri" w:eastAsia="微软雅黑"/>
                <w:b w:val="0"/>
                <w:i w:val="0"/>
                <w:sz w:val="18"/>
              </w:rPr>
              <w:t>化学工程 / 第三梯队</w:t>
            </w:r>
          </w:p>
        </w:tc>
      </w:tr>
      <w:tr>
        <w:tc>
          <w:tcPr>
            <w:tcW w:type="dxa" w:w="2767"/>
          </w:tcPr>
          <w:p>
            <w:r/>
            <w:r>
              <w:rPr>
                <w:rFonts w:ascii="Calibri" w:hAnsi="Calibri" w:eastAsia="微软雅黑"/>
                <w:b w:val="0"/>
                <w:i w:val="0"/>
                <w:sz w:val="18"/>
              </w:rPr>
              <w:t>49</w:t>
            </w:r>
          </w:p>
        </w:tc>
        <w:tc>
          <w:tcPr>
            <w:tcW w:type="dxa" w:w="2767"/>
          </w:tcPr>
          <w:p>
            <w:r/>
            <w:r>
              <w:rPr>
                <w:rFonts w:ascii="Calibri" w:hAnsi="Calibri" w:eastAsia="微软雅黑"/>
                <w:b w:val="0"/>
                <w:i w:val="0"/>
                <w:sz w:val="18"/>
              </w:rPr>
              <w:t>中国海诚工程科技股份有限公司：517,117 (P000001)</w:t>
            </w:r>
          </w:p>
        </w:tc>
        <w:tc>
          <w:tcPr>
            <w:tcW w:type="dxa" w:w="2767"/>
          </w:tcPr>
          <w:p>
            <w:r/>
            <w:r>
              <w:rPr>
                <w:rFonts w:ascii="Calibri" w:hAnsi="Calibri" w:eastAsia="微软雅黑"/>
                <w:b w:val="0"/>
                <w:i w:val="0"/>
                <w:sz w:val="18"/>
              </w:rPr>
              <w:t>轻工工程 / 第三梯队</w:t>
            </w:r>
          </w:p>
        </w:tc>
      </w:tr>
      <w:tr>
        <w:tc>
          <w:tcPr>
            <w:tcW w:type="dxa" w:w="2767"/>
          </w:tcPr>
          <w:p>
            <w:r/>
            <w:r>
              <w:rPr>
                <w:rFonts w:ascii="Calibri" w:hAnsi="Calibri" w:eastAsia="微软雅黑"/>
                <w:b w:val="0"/>
                <w:i w:val="0"/>
                <w:sz w:val="18"/>
              </w:rPr>
              <w:t>50</w:t>
            </w:r>
          </w:p>
        </w:tc>
        <w:tc>
          <w:tcPr>
            <w:tcW w:type="dxa" w:w="2767"/>
          </w:tcPr>
          <w:p>
            <w:r/>
            <w:r>
              <w:rPr>
                <w:rFonts w:ascii="Calibri" w:hAnsi="Calibri" w:eastAsia="微软雅黑"/>
                <w:b w:val="0"/>
                <w:i w:val="0"/>
                <w:sz w:val="18"/>
              </w:rPr>
              <w:t>东华工程科技股份有限公司：513,866 (P000001)</w:t>
            </w:r>
          </w:p>
        </w:tc>
        <w:tc>
          <w:tcPr>
            <w:tcW w:type="dxa" w:w="2767"/>
          </w:tcPr>
          <w:p>
            <w:r/>
            <w:r>
              <w:rPr>
                <w:rFonts w:ascii="Calibri" w:hAnsi="Calibri" w:eastAsia="微软雅黑"/>
                <w:b w:val="0"/>
                <w:i w:val="0"/>
                <w:sz w:val="18"/>
              </w:rPr>
              <w:t>化学工程 / 第三梯队</w:t>
            </w:r>
          </w:p>
        </w:tc>
      </w:tr>
    </w:tbl>
    <w:p>
      <w:r>
        <w:rPr>
          <w:rFonts w:ascii="Calibri" w:hAnsi="Calibri" w:eastAsia="微软雅黑"/>
          <w:b w:val="0"/>
          <w:i w:val="0"/>
          <w:sz w:val="22"/>
        </w:rPr>
        <w:t>榜单外沿同样值得决策者关注：第51至60名企业（航空规划总院、黄河规划院、中机国际、西南电力院、河南电力院、惠生工程、上海电力设计院、山东省冶金设计院股份有限公司、鞍钢集团工程技术有限公司、北京首钢国际）营业额自508,296万元一路下探至416,689万元 (P000001)，构成冲击TOP50的第一后备军团。榜单中段（第61至100名）自华东电力设计院（410,610万元）延伸至天俱时工程科技集团有限公司（218,182万元），密集分布着各省级电力、水利、建筑设计院与行业院所 (P000001)；而榜单尾部形态更为陡峭——第170名之后的企业年营业额已降至300万元量级以下，第186名 河北省水利水电勘测设计研究院集团有限公司仅录得300万元 (P000001)。头部440亿级与尾部百万级并存于同一份榜单，直观诠释了"工程总承包是强者的游戏"这一行业法则（本句为本研究解读）。对于年总承包营业额在30亿至50亿元区间的企业而言，"门槛走廊"正是未来三至五年排位战的贴身战场。</w:t>
      </w:r>
    </w:p>
    <w:p>
      <w:r>
        <w:rPr>
          <w:rFonts w:ascii="Calibri" w:hAnsi="Calibri" w:eastAsia="微软雅黑"/>
          <w:b w:val="0"/>
          <w:i w:val="0"/>
          <w:sz w:val="22"/>
        </w:rPr>
        <w:t>把这条走廊放进决策视角，有三个观察角度值得固定成年度功课。其一看梯队流动性：入围线附近的排位每一年都会重新洗牌，观察哪些名字连续上行、哪些原地徘徊、哪些悄然跌出视野，比单看某一年度的名次更能识别真实动能；其二看赛道卡位：走廊内的追赶者几乎都押注在电力、水利、市政等优势细分，跨界冲刺者罕见，说明规模门槛背后还有专业壁垒在起筛选作用；其三看集团背景：能够在走廊里持续蓄力的企业，多数挂着电建、能建、中冶等集团军团的血脉，单兵作战的地方院若想突围，与其硬撼体量，不如在军团火力未覆盖的缝隙市场里做深做透。对董事会而言，这条走廊还有一层并购坐标价值——当入围线附近的标的因股东意志或资金链压力寻求易主时，其积累的资质、业绩与团队往往是买方补齐总承包短板的最快路径（本段为本研究解读性判断，框架供决策层年度复盘使用）。</w:t>
      </w:r>
    </w:p>
    <w:p>
      <w:pPr>
        <w:pStyle w:val="Heading3"/>
      </w:pPr>
      <w:r>
        <w:t>1.1.2 市场集中度剖析：CR3、CR5、CR10与CR50的极化效应</w:t>
      </w:r>
    </w:p>
    <w:p>
      <w:r>
        <w:rPr>
          <w:rFonts w:ascii="Calibri" w:hAnsi="Calibri" w:eastAsia="微软雅黑"/>
          <w:b w:val="0"/>
          <w:i w:val="0"/>
          <w:sz w:val="22"/>
        </w:rPr>
        <w:t>针对工程企业高管普遍关心的"市场集中度"与"行业极化程度"问题，本研究对2023年发布榜单186家企业的全量行数据进行了集中度测算（CR，Concentration Ratio；以下比值均为本研究依据榜单原始数据加总折算，own_calc）(P000001)：</w:t>
      </w:r>
    </w:p>
    <w:p>
      <w:pPr>
        <w:pStyle w:val="ListNumber"/>
      </w:pPr>
      <w:r>
        <w:rPr>
          <w:rFonts w:ascii="Calibri" w:hAnsi="Calibri" w:eastAsia="微软雅黑"/>
          <w:b/>
          <w:i w:val="0"/>
          <w:sz w:val="22"/>
        </w:rPr>
        <w:t>CR3（前3强集中度）</w:t>
      </w:r>
      <w:r>
        <w:rPr>
          <w:rFonts w:ascii="Calibri" w:hAnsi="Calibri" w:eastAsia="微软雅黑"/>
          <w:b w:val="0"/>
          <w:i w:val="0"/>
          <w:sz w:val="22"/>
        </w:rPr>
        <w:t>：前3强（华东院4,447,229万元、中国铁设3,503,064万元、十一科技2,661,723万元）累计完成营业额10,612,016万元，占186家上榜总营业额（8,651.02亿元）的12.27%（own_calc）。仅凭前3家超大型头部企业，就吃下了全国设计院总承包市场超过一成的份额。</w:t>
      </w:r>
    </w:p>
    <w:p>
      <w:pPr>
        <w:pStyle w:val="ListNumber"/>
      </w:pPr>
      <w:r>
        <w:rPr>
          <w:rFonts w:ascii="Calibri" w:hAnsi="Calibri" w:eastAsia="微软雅黑"/>
          <w:b/>
          <w:i w:val="0"/>
          <w:sz w:val="22"/>
        </w:rPr>
        <w:t>CR5（前5强集中度）</w:t>
      </w:r>
      <w:r>
        <w:rPr>
          <w:rFonts w:ascii="Calibri" w:hAnsi="Calibri" w:eastAsia="微软雅黑"/>
          <w:b w:val="0"/>
          <w:i w:val="0"/>
          <w:sz w:val="22"/>
        </w:rPr>
        <w:t>：前5强（加上中冶南方、中国石油工程建设）累计完成营业额15,605,459万元，集中度达18.04%（own_calc）。</w:t>
      </w:r>
    </w:p>
    <w:p>
      <w:pPr>
        <w:pStyle w:val="ListNumber"/>
      </w:pPr>
      <w:r>
        <w:rPr>
          <w:rFonts w:ascii="Calibri" w:hAnsi="Calibri" w:eastAsia="微软雅黑"/>
          <w:b/>
          <w:i w:val="0"/>
          <w:sz w:val="22"/>
        </w:rPr>
        <w:t>CR10（前10强集中度）</w:t>
      </w:r>
      <w:r>
        <w:rPr>
          <w:rFonts w:ascii="Calibri" w:hAnsi="Calibri" w:eastAsia="微软雅黑"/>
          <w:b w:val="0"/>
          <w:i w:val="0"/>
          <w:sz w:val="22"/>
        </w:rPr>
        <w:t>：前10强累计完成营业额25,772,502万元，集中度达29.79%（own_calc）。这意味着，数量占比仅约5%的头部企业掌控了全国近三分之一的总承包市场业务规模（own_calc）。</w:t>
      </w:r>
    </w:p>
    <w:p>
      <w:pPr>
        <w:pStyle w:val="ListNumber"/>
      </w:pPr>
      <w:r>
        <w:rPr>
          <w:rFonts w:ascii="Calibri" w:hAnsi="Calibri" w:eastAsia="微软雅黑"/>
          <w:b/>
          <w:i w:val="0"/>
          <w:sz w:val="22"/>
        </w:rPr>
        <w:t>CR50（前50强集中度）</w:t>
      </w:r>
      <w:r>
        <w:rPr>
          <w:rFonts w:ascii="Calibri" w:hAnsi="Calibri" w:eastAsia="微软雅黑"/>
          <w:b w:val="0"/>
          <w:i w:val="0"/>
          <w:sz w:val="22"/>
        </w:rPr>
        <w:t>：前50强累计完成营业额62,490,304万元，占整体市场的比重达72.23%（own_calc）。TOP50以26.9%的企业数量占比（50/186，own_calc）拿走七成以上的市场份额，后136家企业（占73.1%的企业数量，own_calc）仅瓜分27.77%的份额，尾部企均营业额约17.66亿元（own_calc）。</w:t>
      </w:r>
    </w:p>
    <w:p>
      <w:r>
        <w:rPr>
          <w:rFonts w:ascii="Calibri" w:hAnsi="Calibri" w:eastAsia="微软雅黑"/>
          <w:b w:val="0"/>
          <w:i w:val="0"/>
          <w:sz w:val="22"/>
        </w:rPr>
        <w:t>值得补充的是赫芬达尔式的整体读法：CR指标只截取头部若干名的合计份额，对门槛线附近的竞争烈度并不敏感。若把全部上榜企业的份额逐一平方加总，可以得到对整份榜单离散度的整体感知——数值越高，说明市场越向少数巨头聚拢，腰尾部玩家的腾挪空间越窄；数值走平，则意味着腰部力量仍在顽强撑住格局。决策层不必执着于精确计算，掌握"CR看头部、离散度看腰部"这一对读法，即可从同一份榜单中读出两个层次的竞争信息（本段为本研究解读性判断，方法论说明）。</w:t>
      </w:r>
    </w:p>
    <w:p>
      <w:r>
        <w:rPr>
          <w:rFonts w:ascii="Calibri" w:hAnsi="Calibri" w:eastAsia="微软雅黑"/>
          <w:b w:val="0"/>
          <w:i w:val="0"/>
          <w:sz w:val="22"/>
        </w:rPr>
        <w:t>集中度数字背后是一张清晰的资源地图：对发包人而言，50强榜单实质上是一份"风险白名单"——越靠前的企业，越具备同时驾驭多个特大型项目的资源纵深；对二线企业而言，CR50高达72%的现实意味着"规模不经济者"正在被挤出头部竞争，差异化赛道选择比全赛道扩张更关乎生死（本段为本研究解读性判断）。</w:t>
      </w:r>
    </w:p>
    <w:p>
      <w:r>
        <w:rPr>
          <w:rFonts w:ascii="Calibri" w:hAnsi="Calibri" w:eastAsia="微软雅黑"/>
          <w:b w:val="0"/>
          <w:i w:val="0"/>
          <w:sz w:val="22"/>
        </w:rPr>
        <w:t>集中度结构对不同读者的含义并不相同，值得分开点破。发包人与招标代理机构可以把CR指标当作授标风险分层器：向头部企业集中发出邀标，候选池更小、履约纵深更厚，但议价空间与乙方注意力也更容易被其在手订单挤占；向第二、第三梯队扩散询价，则换来更积极的响应姿态与更紧的价格竞争。二线设计院的管理层应把CR读作赛道选择的压力表——当某一细分的头部集中度逐年抬升，说明该领域的门票正在变贵，晚进场者要付出的资源代价远高于五年前；反之，集中度尚低、且与自身技术基因匹配的细分，才是值得押注的成长带。金融机构与产业资本在评估总承包类标的时，亦可借这组指标快速校验企业自述的行业地位是否经得起榜单口径的交叉检验（本段为本研究解读性判断）。</w:t>
      </w:r>
    </w:p>
    <w:p>
      <w:r>
        <w:rPr>
          <w:rFonts w:ascii="Calibri" w:hAnsi="Calibri" w:eastAsia="微软雅黑"/>
          <w:b w:val="0"/>
          <w:i w:val="0"/>
          <w:sz w:val="22"/>
        </w:rPr>
        <w:t>从细分赛道与集团归属来看，总承包赛道的竞争呈现出高度的"行业专营与集团化割据"特征 (P000001)：</w:t>
      </w:r>
    </w:p>
    <w:p>
      <w:pPr>
        <w:pStyle w:val="ListBullet"/>
      </w:pPr>
      <w:r>
        <w:rPr>
          <w:rFonts w:ascii="Calibri" w:hAnsi="Calibri" w:eastAsia="微软雅黑"/>
          <w:b/>
          <w:i w:val="0"/>
          <w:sz w:val="22"/>
        </w:rPr>
        <w:t>能源电力与水利新能源赛道</w:t>
      </w:r>
      <w:r>
        <w:rPr>
          <w:rFonts w:ascii="Calibri" w:hAnsi="Calibri" w:eastAsia="微软雅黑"/>
          <w:b w:val="0"/>
          <w:i w:val="0"/>
          <w:sz w:val="22"/>
        </w:rPr>
        <w:t>：中国电建集团（旗下华东院、中南院、成都院、昆明院、西北院、贵阳院等多家龙头）与中国能建集团（旗下广东院、西北电力院、中南电力院、广西电力院、华北电力院、山西电力院等）为绝对主力 (P000001)。电建华东院凭借在海上风电、光伏EPC及水生态环境治理领域的全过程智慧服务优势，连续多年稳居全国榜首 (P000001, P000005)。2023年发布榜单中，主业涉及新能源且总承包营业额突破200亿元的企业仅有华东院与十一科技两家 (P000001)。</w:t>
      </w:r>
    </w:p>
    <w:p>
      <w:pPr>
        <w:pStyle w:val="ListBullet"/>
      </w:pPr>
      <w:r>
        <w:rPr>
          <w:rFonts w:ascii="Calibri" w:hAnsi="Calibri" w:eastAsia="微软雅黑"/>
          <w:b/>
          <w:i w:val="0"/>
          <w:sz w:val="22"/>
        </w:rPr>
        <w:t>石油化工与煤化工赛道</w:t>
      </w:r>
      <w:r>
        <w:rPr>
          <w:rFonts w:ascii="Calibri" w:hAnsi="Calibri" w:eastAsia="微软雅黑"/>
          <w:b w:val="0"/>
          <w:i w:val="0"/>
          <w:sz w:val="22"/>
        </w:rPr>
        <w:t>：形成了中国石化系（中石化工程建设、中石化广州、中石化上海、中石化南京工程）、中国石油系（中国石油工程建设、中国寰球、中国昆仑工程）中国化学工程集团（旗下天辰工程、成达工程、五环工程、华陆工程、赛鼎工程、东华科技六家全部入选TOP50）三足鼎立的格局 (P000001)。中国化学2025年年度报告显示，公司2025年实现营业总收入1,901.25亿元，在化学工程与石油化工EPC领域保持主导地位，其中煤化工领域占据国内绝大部分市场份额 (P000013)。</w:t>
      </w:r>
    </w:p>
    <w:p>
      <w:pPr>
        <w:pStyle w:val="ListBullet"/>
      </w:pPr>
      <w:r>
        <w:rPr>
          <w:rFonts w:ascii="Calibri" w:hAnsi="Calibri" w:eastAsia="微软雅黑"/>
          <w:b/>
          <w:i w:val="0"/>
          <w:sz w:val="22"/>
        </w:rPr>
        <w:t>冶金、矿山与建材赛道</w:t>
      </w:r>
      <w:r>
        <w:rPr>
          <w:rFonts w:ascii="Calibri" w:hAnsi="Calibri" w:eastAsia="微软雅黑"/>
          <w:b w:val="0"/>
          <w:i w:val="0"/>
          <w:sz w:val="22"/>
        </w:rPr>
        <w:t>：由中国中冶系（中冶南方、中冶赛迪、中冶京诚、中冶焦耐、中冶长天、中冶华天、中国恩菲）和中国中材系（中材国际、中国建材国际工程）深度垄断 (P000001)。中材国际在水泥技术装备与总承包领域的全球地位详见1.3.5。</w:t>
      </w:r>
    </w:p>
    <w:p>
      <w:pPr>
        <w:pStyle w:val="ListBullet"/>
      </w:pPr>
      <w:r>
        <w:rPr>
          <w:rFonts w:ascii="Calibri" w:hAnsi="Calibri" w:eastAsia="微软雅黑"/>
          <w:b/>
          <w:i w:val="0"/>
          <w:sz w:val="22"/>
        </w:rPr>
        <w:t>交通、铁路与市政赛道</w:t>
      </w:r>
      <w:r>
        <w:rPr>
          <w:rFonts w:ascii="Calibri" w:hAnsi="Calibri" w:eastAsia="微软雅黑"/>
          <w:b w:val="0"/>
          <w:i w:val="0"/>
          <w:sz w:val="22"/>
        </w:rPr>
        <w:t>：由中国铁路设计集团、铁四院（中国铁建系）、上海市政工程设计研究总院（集团）有限公司、中国公路工程咨询集团有限公司（中国交建系）分庭抗礼 (P000001)。</w:t>
      </w:r>
    </w:p>
    <w:p>
      <w:pPr>
        <w:pStyle w:val="Heading3"/>
      </w:pPr>
      <w:r>
        <w:t>1.1.3 境外工程总承包与国际化格局</w:t>
      </w:r>
    </w:p>
    <w:p>
      <w:r>
        <w:rPr>
          <w:rFonts w:ascii="Calibri" w:hAnsi="Calibri" w:eastAsia="微软雅黑"/>
          <w:b w:val="0"/>
          <w:i w:val="0"/>
          <w:sz w:val="22"/>
        </w:rPr>
        <w:t>在"一带一路"高质量共建背景下，境外总承包业务已成为评价企业国际竞争力的核心指标 (P000005, P000010)。中国勘察设计协会在总排名之外设立境外工程项目管理、境外工程总承包两个独立子榜单，中资工程企业在海外市场呈现出"高头部集中与专业化攻坚"特征：</w:t>
      </w:r>
    </w:p>
    <w:p>
      <w:pPr>
        <w:pStyle w:val="ListNumber"/>
      </w:pPr>
      <w:r>
        <w:rPr>
          <w:rFonts w:ascii="Calibri" w:hAnsi="Calibri" w:eastAsia="微软雅黑"/>
          <w:b/>
          <w:i w:val="0"/>
          <w:sz w:val="22"/>
        </w:rPr>
        <w:t>境外工程总承包榜首变迁</w:t>
      </w:r>
      <w:r>
        <w:rPr>
          <w:rFonts w:ascii="Calibri" w:hAnsi="Calibri" w:eastAsia="微软雅黑"/>
          <w:b w:val="0"/>
          <w:i w:val="0"/>
          <w:sz w:val="22"/>
        </w:rPr>
        <w:t>：2023年发布榜单（2022年度业绩）中，中国石油工程建设有限公司以1,315,651万元境外总承包营业额位居榜首 (P000004)；2024年发布榜单（2023年度业绩）中，其以1,373,262万元蝉联榜首，共79家企业上榜 (P000010)；2025年发布榜单（2024年度业绩）中，中国中材国际工程股份有限公司以1,402,850万元跃居全国第一 (P000005)。境外总承包十强的完整名单与榜首六年轮动分析详见第2章表2-4。</w:t>
      </w:r>
    </w:p>
    <w:p>
      <w:pPr>
        <w:pStyle w:val="ListNumber"/>
      </w:pPr>
      <w:r>
        <w:rPr>
          <w:rFonts w:ascii="Calibri" w:hAnsi="Calibri" w:eastAsia="微软雅黑"/>
          <w:b/>
          <w:i w:val="0"/>
          <w:sz w:val="22"/>
        </w:rPr>
        <w:t>境外工程项目管理领跑者</w:t>
      </w:r>
      <w:r>
        <w:rPr>
          <w:rFonts w:ascii="Calibri" w:hAnsi="Calibri" w:eastAsia="微软雅黑"/>
          <w:b w:val="0"/>
          <w:i w:val="0"/>
          <w:sz w:val="22"/>
        </w:rPr>
        <w:t>：境外工程项目管理榜单榜首连续由三大交通设计力量把持：2023年发布榜单中中国铁路设计集团有限公司以37,515万元居首，中冶南方12,453万元次之 (P000001)；2024年发布榜单铁设以25,029万元继续领跑（39家上榜）；2025年发布榜单铁设以26,583万元实现三连冠（43家上榜）(P000010, P000005)，展现出中国高铁与铁路标准"走出去"的强大项目管理输出能力。</w:t>
      </w:r>
    </w:p>
    <w:p>
      <w:pPr>
        <w:pStyle w:val="Heading4"/>
      </w:pPr>
      <w:r>
        <w:t>表1-2 2023年发布榜单境外工程项目管理营业额前十强（业绩归属2022年度，单位：万元）(P000001)</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排名</w:t>
            </w:r>
          </w:p>
        </w:tc>
        <w:tc>
          <w:tcPr>
            <w:tcW w:type="dxa" w:w="2767"/>
            <w:shd w:fill="1F3A5F"/>
          </w:tcPr>
          <w:p>
            <w:r>
              <w:rPr>
                <w:color w:val="FFFFFF"/>
              </w:rPr>
            </w:r>
            <w:r>
              <w:rPr>
                <w:rFonts w:ascii="Calibri" w:hAnsi="Calibri" w:eastAsia="微软雅黑"/>
                <w:b/>
                <w:i w:val="0"/>
                <w:color w:val="FFFFFF"/>
                <w:sz w:val="18"/>
              </w:rPr>
              <w:t>企业（境外工程项目管理营业额，万元）</w:t>
            </w:r>
          </w:p>
        </w:tc>
        <w:tc>
          <w:tcPr>
            <w:tcW w:type="dxa" w:w="2767"/>
            <w:shd w:fill="1F3A5F"/>
          </w:tcPr>
          <w:p>
            <w:r>
              <w:rPr>
                <w:color w:val="FFFFFF"/>
              </w:rPr>
            </w:r>
            <w:r>
              <w:rPr>
                <w:rFonts w:ascii="Calibri" w:hAnsi="Calibri" w:eastAsia="微软雅黑"/>
                <w:b/>
                <w:i w:val="0"/>
                <w:color w:val="FFFFFF"/>
                <w:sz w:val="18"/>
              </w:rPr>
              <w:t>所属集团 / 主赛道</w:t>
            </w:r>
          </w:p>
        </w:tc>
      </w:tr>
      <w:tr>
        <w:tc>
          <w:tcPr>
            <w:tcW w:type="dxa" w:w="2767"/>
          </w:tcPr>
          <w:p>
            <w:r/>
            <w:r>
              <w:rPr>
                <w:rFonts w:ascii="Calibri" w:hAnsi="Calibri" w:eastAsia="微软雅黑"/>
                <w:b w:val="0"/>
                <w:i w:val="0"/>
                <w:sz w:val="18"/>
              </w:rPr>
              <w:t>1</w:t>
            </w:r>
          </w:p>
        </w:tc>
        <w:tc>
          <w:tcPr>
            <w:tcW w:type="dxa" w:w="2767"/>
          </w:tcPr>
          <w:p>
            <w:r/>
            <w:r>
              <w:rPr>
                <w:rFonts w:ascii="Calibri" w:hAnsi="Calibri" w:eastAsia="微软雅黑"/>
                <w:b w:val="0"/>
                <w:i w:val="0"/>
                <w:sz w:val="18"/>
              </w:rPr>
              <w:t>中国铁路设计集团有限公司：37,515 (P000001)</w:t>
            </w:r>
          </w:p>
        </w:tc>
        <w:tc>
          <w:tcPr>
            <w:tcW w:type="dxa" w:w="2767"/>
          </w:tcPr>
          <w:p>
            <w:r/>
            <w:r>
              <w:rPr>
                <w:rFonts w:ascii="Calibri" w:hAnsi="Calibri" w:eastAsia="微软雅黑"/>
                <w:b w:val="0"/>
                <w:i w:val="0"/>
                <w:sz w:val="18"/>
              </w:rPr>
              <w:t>境外项目管理咨询输出</w:t>
            </w:r>
          </w:p>
        </w:tc>
      </w:tr>
      <w:tr>
        <w:tc>
          <w:tcPr>
            <w:tcW w:type="dxa" w:w="2767"/>
          </w:tcPr>
          <w:p>
            <w:r/>
            <w:r>
              <w:rPr>
                <w:rFonts w:ascii="Calibri" w:hAnsi="Calibri" w:eastAsia="微软雅黑"/>
                <w:b w:val="0"/>
                <w:i w:val="0"/>
                <w:sz w:val="18"/>
              </w:rPr>
              <w:t>2</w:t>
            </w:r>
          </w:p>
        </w:tc>
        <w:tc>
          <w:tcPr>
            <w:tcW w:type="dxa" w:w="2767"/>
          </w:tcPr>
          <w:p>
            <w:r/>
            <w:r>
              <w:rPr>
                <w:rFonts w:ascii="Calibri" w:hAnsi="Calibri" w:eastAsia="微软雅黑"/>
                <w:b w:val="0"/>
                <w:i w:val="0"/>
                <w:sz w:val="18"/>
              </w:rPr>
              <w:t>中冶南方工程技术有限公司：12,453 (P000001)</w:t>
            </w:r>
          </w:p>
        </w:tc>
        <w:tc>
          <w:tcPr>
            <w:tcW w:type="dxa" w:w="2767"/>
          </w:tcPr>
          <w:p>
            <w:r/>
            <w:r>
              <w:rPr>
                <w:rFonts w:ascii="Calibri" w:hAnsi="Calibri" w:eastAsia="微软雅黑"/>
                <w:b w:val="0"/>
                <w:i w:val="0"/>
                <w:sz w:val="18"/>
              </w:rPr>
              <w:t>境外项目管理咨询输出</w:t>
            </w:r>
          </w:p>
        </w:tc>
      </w:tr>
      <w:tr>
        <w:tc>
          <w:tcPr>
            <w:tcW w:type="dxa" w:w="2767"/>
          </w:tcPr>
          <w:p>
            <w:r/>
            <w:r>
              <w:rPr>
                <w:rFonts w:ascii="Calibri" w:hAnsi="Calibri" w:eastAsia="微软雅黑"/>
                <w:b w:val="0"/>
                <w:i w:val="0"/>
                <w:sz w:val="18"/>
              </w:rPr>
              <w:t>3</w:t>
            </w:r>
          </w:p>
        </w:tc>
        <w:tc>
          <w:tcPr>
            <w:tcW w:type="dxa" w:w="2767"/>
          </w:tcPr>
          <w:p>
            <w:r/>
            <w:r>
              <w:rPr>
                <w:rFonts w:ascii="Calibri" w:hAnsi="Calibri" w:eastAsia="微软雅黑"/>
                <w:b w:val="0"/>
                <w:i w:val="0"/>
                <w:sz w:val="18"/>
              </w:rPr>
              <w:t>中国恩菲工程技术有限公司：8,940 (P000001)</w:t>
            </w:r>
          </w:p>
        </w:tc>
        <w:tc>
          <w:tcPr>
            <w:tcW w:type="dxa" w:w="2767"/>
          </w:tcPr>
          <w:p>
            <w:r/>
            <w:r>
              <w:rPr>
                <w:rFonts w:ascii="Calibri" w:hAnsi="Calibri" w:eastAsia="微软雅黑"/>
                <w:b w:val="0"/>
                <w:i w:val="0"/>
                <w:sz w:val="18"/>
              </w:rPr>
              <w:t>境外项目管理咨询输出</w:t>
            </w:r>
          </w:p>
        </w:tc>
      </w:tr>
      <w:tr>
        <w:tc>
          <w:tcPr>
            <w:tcW w:type="dxa" w:w="2767"/>
          </w:tcPr>
          <w:p>
            <w:r/>
            <w:r>
              <w:rPr>
                <w:rFonts w:ascii="Calibri" w:hAnsi="Calibri" w:eastAsia="微软雅黑"/>
                <w:b w:val="0"/>
                <w:i w:val="0"/>
                <w:sz w:val="18"/>
              </w:rPr>
              <w:t>4</w:t>
            </w:r>
          </w:p>
        </w:tc>
        <w:tc>
          <w:tcPr>
            <w:tcW w:type="dxa" w:w="2767"/>
          </w:tcPr>
          <w:p>
            <w:r/>
            <w:r>
              <w:rPr>
                <w:rFonts w:ascii="Calibri" w:hAnsi="Calibri" w:eastAsia="微软雅黑"/>
                <w:b w:val="0"/>
                <w:i w:val="0"/>
                <w:sz w:val="18"/>
              </w:rPr>
              <w:t>中冶华天工程技术有限公司：7,646 (P000001)</w:t>
            </w:r>
          </w:p>
        </w:tc>
        <w:tc>
          <w:tcPr>
            <w:tcW w:type="dxa" w:w="2767"/>
          </w:tcPr>
          <w:p>
            <w:r/>
            <w:r>
              <w:rPr>
                <w:rFonts w:ascii="Calibri" w:hAnsi="Calibri" w:eastAsia="微软雅黑"/>
                <w:b w:val="0"/>
                <w:i w:val="0"/>
                <w:sz w:val="18"/>
              </w:rPr>
              <w:t>境外项目管理咨询输出</w:t>
            </w:r>
          </w:p>
        </w:tc>
      </w:tr>
      <w:tr>
        <w:tc>
          <w:tcPr>
            <w:tcW w:type="dxa" w:w="2767"/>
          </w:tcPr>
          <w:p>
            <w:r/>
            <w:r>
              <w:rPr>
                <w:rFonts w:ascii="Calibri" w:hAnsi="Calibri" w:eastAsia="微软雅黑"/>
                <w:b w:val="0"/>
                <w:i w:val="0"/>
                <w:sz w:val="18"/>
              </w:rPr>
              <w:t>5</w:t>
            </w:r>
          </w:p>
        </w:tc>
        <w:tc>
          <w:tcPr>
            <w:tcW w:type="dxa" w:w="2767"/>
          </w:tcPr>
          <w:p>
            <w:r/>
            <w:r>
              <w:rPr>
                <w:rFonts w:ascii="Calibri" w:hAnsi="Calibri" w:eastAsia="微软雅黑"/>
                <w:b w:val="0"/>
                <w:i w:val="0"/>
                <w:sz w:val="18"/>
              </w:rPr>
              <w:t>中国电建集团华东勘测设计研究院有限公司：5,937 (P000001)</w:t>
            </w:r>
          </w:p>
        </w:tc>
        <w:tc>
          <w:tcPr>
            <w:tcW w:type="dxa" w:w="2767"/>
          </w:tcPr>
          <w:p>
            <w:r/>
            <w:r>
              <w:rPr>
                <w:rFonts w:ascii="Calibri" w:hAnsi="Calibri" w:eastAsia="微软雅黑"/>
                <w:b w:val="0"/>
                <w:i w:val="0"/>
                <w:sz w:val="18"/>
              </w:rPr>
              <w:t>境外项目管理咨询输出</w:t>
            </w:r>
          </w:p>
        </w:tc>
      </w:tr>
      <w:tr>
        <w:tc>
          <w:tcPr>
            <w:tcW w:type="dxa" w:w="2767"/>
          </w:tcPr>
          <w:p>
            <w:r/>
            <w:r>
              <w:rPr>
                <w:rFonts w:ascii="Calibri" w:hAnsi="Calibri" w:eastAsia="微软雅黑"/>
                <w:b w:val="0"/>
                <w:i w:val="0"/>
                <w:sz w:val="18"/>
              </w:rPr>
              <w:t>6</w:t>
            </w:r>
          </w:p>
        </w:tc>
        <w:tc>
          <w:tcPr>
            <w:tcW w:type="dxa" w:w="2767"/>
          </w:tcPr>
          <w:p>
            <w:r/>
            <w:r>
              <w:rPr>
                <w:rFonts w:ascii="Calibri" w:hAnsi="Calibri" w:eastAsia="微软雅黑"/>
                <w:b w:val="0"/>
                <w:i w:val="0"/>
                <w:sz w:val="18"/>
              </w:rPr>
              <w:t>中国建材国际工程集团有限公司：5,721 (P000001)</w:t>
            </w:r>
          </w:p>
        </w:tc>
        <w:tc>
          <w:tcPr>
            <w:tcW w:type="dxa" w:w="2767"/>
          </w:tcPr>
          <w:p>
            <w:r/>
            <w:r>
              <w:rPr>
                <w:rFonts w:ascii="Calibri" w:hAnsi="Calibri" w:eastAsia="微软雅黑"/>
                <w:b w:val="0"/>
                <w:i w:val="0"/>
                <w:sz w:val="18"/>
              </w:rPr>
              <w:t>境外项目管理咨询输出</w:t>
            </w:r>
          </w:p>
        </w:tc>
      </w:tr>
      <w:tr>
        <w:tc>
          <w:tcPr>
            <w:tcW w:type="dxa" w:w="2767"/>
          </w:tcPr>
          <w:p>
            <w:r/>
            <w:r>
              <w:rPr>
                <w:rFonts w:ascii="Calibri" w:hAnsi="Calibri" w:eastAsia="微软雅黑"/>
                <w:b w:val="0"/>
                <w:i w:val="0"/>
                <w:sz w:val="18"/>
              </w:rPr>
              <w:t>7</w:t>
            </w:r>
          </w:p>
        </w:tc>
        <w:tc>
          <w:tcPr>
            <w:tcW w:type="dxa" w:w="2767"/>
          </w:tcPr>
          <w:p>
            <w:r/>
            <w:r>
              <w:rPr>
                <w:rFonts w:ascii="Calibri" w:hAnsi="Calibri" w:eastAsia="微软雅黑"/>
                <w:b w:val="0"/>
                <w:i w:val="0"/>
                <w:sz w:val="18"/>
              </w:rPr>
              <w:t>中国寰球工程有限公司：5,651 (P000001)</w:t>
            </w:r>
          </w:p>
        </w:tc>
        <w:tc>
          <w:tcPr>
            <w:tcW w:type="dxa" w:w="2767"/>
          </w:tcPr>
          <w:p>
            <w:r/>
            <w:r>
              <w:rPr>
                <w:rFonts w:ascii="Calibri" w:hAnsi="Calibri" w:eastAsia="微软雅黑"/>
                <w:b w:val="0"/>
                <w:i w:val="0"/>
                <w:sz w:val="18"/>
              </w:rPr>
              <w:t>境外项目管理咨询输出</w:t>
            </w:r>
          </w:p>
        </w:tc>
      </w:tr>
      <w:tr>
        <w:tc>
          <w:tcPr>
            <w:tcW w:type="dxa" w:w="2767"/>
          </w:tcPr>
          <w:p>
            <w:r/>
            <w:r>
              <w:rPr>
                <w:rFonts w:ascii="Calibri" w:hAnsi="Calibri" w:eastAsia="微软雅黑"/>
                <w:b w:val="0"/>
                <w:i w:val="0"/>
                <w:sz w:val="18"/>
              </w:rPr>
              <w:t>8</w:t>
            </w:r>
          </w:p>
        </w:tc>
        <w:tc>
          <w:tcPr>
            <w:tcW w:type="dxa" w:w="2767"/>
          </w:tcPr>
          <w:p>
            <w:r/>
            <w:r>
              <w:rPr>
                <w:rFonts w:ascii="Calibri" w:hAnsi="Calibri" w:eastAsia="微软雅黑"/>
                <w:b w:val="0"/>
                <w:i w:val="0"/>
                <w:sz w:val="18"/>
              </w:rPr>
              <w:t>中国中元国际工程有限公司：5,379 (P000001)</w:t>
            </w:r>
          </w:p>
        </w:tc>
        <w:tc>
          <w:tcPr>
            <w:tcW w:type="dxa" w:w="2767"/>
          </w:tcPr>
          <w:p>
            <w:r/>
            <w:r>
              <w:rPr>
                <w:rFonts w:ascii="Calibri" w:hAnsi="Calibri" w:eastAsia="微软雅黑"/>
                <w:b w:val="0"/>
                <w:i w:val="0"/>
                <w:sz w:val="18"/>
              </w:rPr>
              <w:t>境外项目管理咨询输出</w:t>
            </w:r>
          </w:p>
        </w:tc>
      </w:tr>
      <w:tr>
        <w:tc>
          <w:tcPr>
            <w:tcW w:type="dxa" w:w="2767"/>
          </w:tcPr>
          <w:p>
            <w:r/>
            <w:r>
              <w:rPr>
                <w:rFonts w:ascii="Calibri" w:hAnsi="Calibri" w:eastAsia="微软雅黑"/>
                <w:b w:val="0"/>
                <w:i w:val="0"/>
                <w:sz w:val="18"/>
              </w:rPr>
              <w:t>9</w:t>
            </w:r>
          </w:p>
        </w:tc>
        <w:tc>
          <w:tcPr>
            <w:tcW w:type="dxa" w:w="2767"/>
          </w:tcPr>
          <w:p>
            <w:r/>
            <w:r>
              <w:rPr>
                <w:rFonts w:ascii="Calibri" w:hAnsi="Calibri" w:eastAsia="微软雅黑"/>
                <w:b w:val="0"/>
                <w:i w:val="0"/>
                <w:sz w:val="18"/>
              </w:rPr>
              <w:t>中国石化工程建设有限公司：5,134 (P000001)</w:t>
            </w:r>
          </w:p>
        </w:tc>
        <w:tc>
          <w:tcPr>
            <w:tcW w:type="dxa" w:w="2767"/>
          </w:tcPr>
          <w:p>
            <w:r/>
            <w:r>
              <w:rPr>
                <w:rFonts w:ascii="Calibri" w:hAnsi="Calibri" w:eastAsia="微软雅黑"/>
                <w:b w:val="0"/>
                <w:i w:val="0"/>
                <w:sz w:val="18"/>
              </w:rPr>
              <w:t>境外项目管理咨询输出</w:t>
            </w:r>
          </w:p>
        </w:tc>
      </w:tr>
      <w:tr>
        <w:tc>
          <w:tcPr>
            <w:tcW w:type="dxa" w:w="2767"/>
          </w:tcPr>
          <w:p>
            <w:r/>
            <w:r>
              <w:rPr>
                <w:rFonts w:ascii="Calibri" w:hAnsi="Calibri" w:eastAsia="微软雅黑"/>
                <w:b w:val="0"/>
                <w:i w:val="0"/>
                <w:sz w:val="18"/>
              </w:rPr>
              <w:t>10</w:t>
            </w:r>
          </w:p>
        </w:tc>
        <w:tc>
          <w:tcPr>
            <w:tcW w:type="dxa" w:w="2767"/>
          </w:tcPr>
          <w:p>
            <w:r/>
            <w:r>
              <w:rPr>
                <w:rFonts w:ascii="Calibri" w:hAnsi="Calibri" w:eastAsia="微软雅黑"/>
                <w:b w:val="0"/>
                <w:i w:val="0"/>
                <w:sz w:val="18"/>
              </w:rPr>
              <w:t>中冶京诚工程技术有限公司：4,184 (P000001)</w:t>
            </w:r>
          </w:p>
        </w:tc>
        <w:tc>
          <w:tcPr>
            <w:tcW w:type="dxa" w:w="2767"/>
          </w:tcPr>
          <w:p>
            <w:r/>
            <w:r>
              <w:rPr>
                <w:rFonts w:ascii="Calibri" w:hAnsi="Calibri" w:eastAsia="微软雅黑"/>
                <w:b w:val="0"/>
                <w:i w:val="0"/>
                <w:sz w:val="18"/>
              </w:rPr>
              <w:t>境外项目管理咨询输出</w:t>
            </w:r>
          </w:p>
        </w:tc>
      </w:tr>
    </w:tbl>
    <w:p>
      <w:r>
        <w:rPr>
          <w:rFonts w:ascii="Calibri" w:hAnsi="Calibri" w:eastAsia="微软雅黑"/>
          <w:b w:val="0"/>
          <w:i w:val="0"/>
          <w:sz w:val="22"/>
        </w:rPr>
        <w:t>| :--- | :--- | :--- |</w:t>
      </w:r>
    </w:p>
    <w:p>
      <w:r>
        <w:rPr>
          <w:rFonts w:ascii="Calibri" w:hAnsi="Calibri" w:eastAsia="微软雅黑"/>
          <w:b w:val="0"/>
          <w:i w:val="0"/>
          <w:sz w:val="22"/>
        </w:rPr>
        <w:t>| 1 | 中国石油工程建设有限公司：1,315,651 (P000001) | 中国石油 / 油气田地面工程 |</w:t>
      </w:r>
    </w:p>
    <w:p>
      <w:r>
        <w:rPr>
          <w:rFonts w:ascii="Calibri" w:hAnsi="Calibri" w:eastAsia="微软雅黑"/>
          <w:b w:val="0"/>
          <w:i w:val="0"/>
          <w:sz w:val="22"/>
        </w:rPr>
        <w:t>| 2 | 中国中材国际工程股份有限公司：926,891 (P000001) | 中国建材 / 水泥技术装备 |</w:t>
      </w:r>
    </w:p>
    <w:p>
      <w:r>
        <w:rPr>
          <w:rFonts w:ascii="Calibri" w:hAnsi="Calibri" w:eastAsia="微软雅黑"/>
          <w:b w:val="0"/>
          <w:i w:val="0"/>
          <w:sz w:val="22"/>
        </w:rPr>
        <w:t>| 3 | 中钢设备有限公司：565,538 (P000001) | 中国宝武 / 冶金装备 |</w:t>
      </w:r>
    </w:p>
    <w:p>
      <w:r>
        <w:rPr>
          <w:rFonts w:ascii="Calibri" w:hAnsi="Calibri" w:eastAsia="微软雅黑"/>
          <w:b w:val="0"/>
          <w:i w:val="0"/>
          <w:sz w:val="22"/>
        </w:rPr>
        <w:t>| 4 | 中国电建集团华东勘测设计研究院有限公司：477,235 (P000001) | 中国电建 / 水电新能源 |</w:t>
      </w:r>
    </w:p>
    <w:p>
      <w:r>
        <w:rPr>
          <w:rFonts w:ascii="Calibri" w:hAnsi="Calibri" w:eastAsia="微软雅黑"/>
          <w:b w:val="0"/>
          <w:i w:val="0"/>
          <w:sz w:val="22"/>
        </w:rPr>
        <w:t>| 5 | 中冶南方工程技术有限公司：310,041 (P000001) | 中国中冶 / 冶金工程 |</w:t>
      </w:r>
    </w:p>
    <w:p>
      <w:r>
        <w:rPr>
          <w:rFonts w:ascii="Calibri" w:hAnsi="Calibri" w:eastAsia="微软雅黑"/>
          <w:b w:val="0"/>
          <w:i w:val="0"/>
          <w:sz w:val="22"/>
        </w:rPr>
        <w:t>| 6 | 中国建材国际工程集团有限公司：307,447 (P000001) | 中国建材 / 建材工程 |</w:t>
      </w:r>
    </w:p>
    <w:p>
      <w:r>
        <w:rPr>
          <w:rFonts w:ascii="Calibri" w:hAnsi="Calibri" w:eastAsia="微软雅黑"/>
          <w:b w:val="0"/>
          <w:i w:val="0"/>
          <w:sz w:val="22"/>
        </w:rPr>
        <w:t>| 7 | 中国恩菲工程技术有限公司：235,428 (P000001) | 中国中冶 / 有色冶金 |</w:t>
      </w:r>
    </w:p>
    <w:p>
      <w:r>
        <w:rPr>
          <w:rFonts w:ascii="Calibri" w:hAnsi="Calibri" w:eastAsia="微软雅黑"/>
          <w:b w:val="0"/>
          <w:i w:val="0"/>
          <w:sz w:val="22"/>
        </w:rPr>
        <w:t>| 8 | 中国能源建设集团山西省电力勘测设计院有限公司：221,133 (P000001) | 中国能建 / 电力工程 |</w:t>
      </w:r>
    </w:p>
    <w:p>
      <w:r>
        <w:rPr>
          <w:rFonts w:ascii="Calibri" w:hAnsi="Calibri" w:eastAsia="微软雅黑"/>
          <w:b w:val="0"/>
          <w:i w:val="0"/>
          <w:sz w:val="22"/>
        </w:rPr>
        <w:t>| 9 | 中国天辰工程有限公司：187,831 (P000001) | 中国化学 / 化学工程 |</w:t>
      </w:r>
    </w:p>
    <w:p>
      <w:r>
        <w:rPr>
          <w:rFonts w:ascii="Calibri" w:hAnsi="Calibri" w:eastAsia="微软雅黑"/>
          <w:b w:val="0"/>
          <w:i w:val="0"/>
          <w:sz w:val="22"/>
        </w:rPr>
        <w:t>| 10 | 成都建筑材料工业设计研究院有限公司：169,440 (P000001) | 中国建材 / 建材工程 |</w:t>
      </w:r>
    </w:p>
    <w:p>
      <w:r>
        <w:rPr>
          <w:rFonts w:ascii="Calibri" w:hAnsi="Calibri" w:eastAsia="微软雅黑"/>
          <w:b w:val="0"/>
          <w:i w:val="0"/>
          <w:sz w:val="22"/>
        </w:rPr>
        <w:t>境外项目管理十强的结构透露出两条主线（本段为本研究解读）：其一，铁路、冶金、建材等"技术+咨询"输出型力量包揽前列——铁设以37,515万元独占鳌头 (P000001)，印证中国高铁标准"走出去"的咨询先行逻辑；其二，中冶系四家（南方、恩菲、华天、京诚）同时跻身十强 (P000001)，集团化咨询输出与集团化总承包输出互为表里。境外总承包赛道（油气、水泥装备出口为主）的十强名单与榜首变迁详见第2章。</w:t>
      </w:r>
    </w:p>
    <w:p>
      <w:pPr>
        <w:pStyle w:val="ListNumber"/>
      </w:pPr>
      <w:r>
        <w:rPr>
          <w:rFonts w:ascii="Calibri" w:hAnsi="Calibri" w:eastAsia="微软雅黑"/>
          <w:b/>
          <w:i w:val="0"/>
          <w:sz w:val="22"/>
        </w:rPr>
        <w:t>海外EPC竞争壁垒与优势企业</w:t>
      </w:r>
      <w:r>
        <w:rPr>
          <w:rFonts w:ascii="Calibri" w:hAnsi="Calibri" w:eastAsia="微软雅黑"/>
          <w:b w:val="0"/>
          <w:i w:val="0"/>
          <w:sz w:val="22"/>
        </w:rPr>
        <w:t>：除中国石油工程建设、中材国际外，中冶南方、中国恩菲、中冶华天、电建华东院、中国建材国际工程、中国寰球、中石化工程建设、中石化南京工程等企业亦常年稳居境外总承包前列 (P000001)。从上榜企业的共性经验看，海外EPC成功的关键在于三件事：一是对接FIDIC合同条款与国际工程标准；二是建立全球采购与供应链催交网络；三是建立健全跨国汇率防范、政治风险与法律合规治理体系 (P000012, P000023)。</w:t>
      </w:r>
    </w:p>
    <w:p>
      <w:r>
        <w:rPr>
          <w:rFonts w:ascii="Calibri" w:hAnsi="Calibri" w:eastAsia="微软雅黑"/>
          <w:b w:val="0"/>
          <w:i w:val="0"/>
          <w:sz w:val="22"/>
        </w:rPr>
        <w:t>对决策者而言，境外双榜的含金量正在上升：境外总承包榜首三年三换主（CPECC两连冠后中材国际登顶），说明海外市场的赛道窗口仍在轮动，属地化经营与装备出口能力构成新的竞争轴心（本段为本研究解读性判断）。</w:t>
      </w:r>
    </w:p>
    <w:p>
      <w:r>
        <w:rPr>
          <w:rFonts w:ascii="Calibri" w:hAnsi="Calibri" w:eastAsia="微软雅黑"/>
          <w:b w:val="0"/>
          <w:i w:val="0"/>
          <w:sz w:val="22"/>
        </w:rPr>
        <w:t>双榜交叉阅读还有一层实操用法：把企业在本榜与境外榜的位次并置，可以快速识别三类战略形态。其一为内外均衡型，境内总承包与境外业务同步靠前，说明其管理体系能兼容两套市场规则；其二为外强内稳型，境外位次显著高于境内位次，多为深耕装备出口或属地经营的专科选手，其收入结构与汇率波动、国际物流成本的敏感度需要单独评估；其三为内强外弱型，体量主要沉淀于国内市场，出海仍停留在叙事层面而非报表事实。对标者在借用任何一家标杆的经验之前，先判断其属于哪一类形态，可以避免把别人的境外打法错配到自己的国内盘面（本段为本研究解读性判断）。</w:t>
      </w:r>
    </w:p>
    <w:p>
      <w:r>
        <w:rPr>
          <w:rFonts w:ascii="Calibri" w:hAnsi="Calibri" w:eastAsia="微软雅黑"/>
          <w:b w:val="0"/>
          <w:i w:val="0"/>
          <w:sz w:val="22"/>
        </w:rPr>
        <w:t>---</w:t>
      </w:r>
    </w:p>
    <w:p>
      <w:pPr>
        <w:pStyle w:val="Heading2"/>
      </w:pPr>
      <w:r>
        <w:t>1.2 模式演进：从工程分包到全过程EPC的制度逻辑与管理规范</w:t>
      </w:r>
    </w:p>
    <w:p>
      <w:pPr>
        <w:pStyle w:val="Heading3"/>
      </w:pPr>
      <w:r>
        <w:t>1.2.1 国家标准GB/T 50358-2017的解构与治理重构</w:t>
      </w:r>
    </w:p>
    <w:p>
      <w:r>
        <w:rPr>
          <w:rFonts w:ascii="Calibri" w:hAnsi="Calibri" w:eastAsia="微软雅黑"/>
          <w:b w:val="0"/>
          <w:i w:val="0"/>
          <w:sz w:val="22"/>
        </w:rPr>
        <w:t>为了解决传统工程建设模式中"设计与施工脱节、接口责任不清、投资超支严重"等痛点，住房和城乡建设部以公告第1535号批准发布了国家标准《建设项目工程总承包管理规范》（GB/T 50358-2017），自2018年1月1日起正式实施，原2005版规范同时废止 (P000003)。该规范由中国勘察设计协会（主编单位）联合下列单位编制，中国寰球工程、中石化工程建设、中冶京诚、中国天辰、中冶赛迪、天津大学、同济大学、华北电力设计院工程有限公司、中国联合工程、中国恩菲、铁四院等单位参编，是中国工程总承包领域的纲领性规范 (P000003)。</w:t>
      </w:r>
    </w:p>
    <w:p>
      <w:r>
        <w:rPr>
          <w:rFonts w:ascii="Calibri" w:hAnsi="Calibri" w:eastAsia="微软雅黑"/>
          <w:b/>
          <w:i w:val="0"/>
          <w:sz w:val="22"/>
        </w:rPr>
        <w:t>1. 规范对工程总承包的权威定义（第2.0.1条）</w:t>
      </w:r>
      <w:r>
        <w:rPr>
          <w:rFonts w:ascii="Calibri" w:hAnsi="Calibri" w:eastAsia="微软雅黑"/>
          <w:b w:val="0"/>
          <w:i w:val="0"/>
          <w:sz w:val="22"/>
        </w:rPr>
        <w:t>：工程总承包（engineering procurement construction / design-build contracting）是指"依据合同约定对建设项目的设计、采购、施工和试运行实行全过程或若干阶段的承包"(P000003)。其本质是发包人将工程项目的整体集成责任赋予总承包企业，实现技术、经济与管理的高度整合（本句为本研究解读）。</w:t>
      </w:r>
    </w:p>
    <w:p>
      <w:r>
        <w:rPr>
          <w:rFonts w:ascii="Calibri" w:hAnsi="Calibri" w:eastAsia="微软雅黑"/>
          <w:b/>
          <w:i w:val="0"/>
          <w:sz w:val="22"/>
        </w:rPr>
        <w:t>2. 核心治理机制解构</w:t>
      </w:r>
      <w:r>
        <w:rPr>
          <w:rFonts w:ascii="Calibri" w:hAnsi="Calibri" w:eastAsia="微软雅黑"/>
          <w:b w:val="0"/>
          <w:i w:val="0"/>
          <w:sz w:val="22"/>
        </w:rPr>
        <w:t>：</w:t>
      </w:r>
    </w:p>
    <w:p>
      <w:pPr>
        <w:pStyle w:val="ListBullet"/>
      </w:pPr>
      <w:r>
        <w:rPr>
          <w:rFonts w:ascii="Calibri" w:hAnsi="Calibri" w:eastAsia="微软雅黑"/>
          <w:b/>
          <w:i w:val="0"/>
          <w:sz w:val="22"/>
        </w:rPr>
        <w:t>矩阵式管理体系（第3.1.4条）</w:t>
      </w:r>
      <w:r>
        <w:rPr>
          <w:rFonts w:ascii="Calibri" w:hAnsi="Calibri" w:eastAsia="微软雅黑"/>
          <w:b w:val="0"/>
          <w:i w:val="0"/>
          <w:sz w:val="22"/>
        </w:rPr>
        <w:t>：规范明确规定"总承包企业承担建设项目工程总承包，宜采用矩阵式管理。项目部应由项目经理领导，并接受总承包企业职能部门指导、监督、检查和考核"(P000003)。矩阵式架构解决了企业后台专业资源支持与前台项目现场高效执行之间的张力。</w:t>
      </w:r>
    </w:p>
    <w:p>
      <w:r>
        <w:rPr>
          <w:rFonts w:ascii="Calibri" w:hAnsi="Calibri" w:eastAsia="微软雅黑"/>
          <w:b w:val="0"/>
          <w:i w:val="0"/>
          <w:sz w:val="22"/>
        </w:rPr>
        <w:t>阅读该规范时还应留意其条款措辞的分级：凡写"应""必须""严禁"者为硬性底线，写"宜"者为推荐做法，写"可"者为允许选项。矩阵式管理、目标责任书等条款多用"宜"字表述，法律强制力弱于字面印象，但行业惯例与招标评审早已把它们当作事实标尺——投标方案若背离这些推荐做法，评审专家的印象分与业主的风险评估都会随之收紧。把"宜"字条款当作市场通行证而非可选项，是企业运用这本规范时更贴近实务的姿态（本段为本研究解读性判断）。</w:t>
      </w:r>
    </w:p>
    <w:p>
      <w:pPr>
        <w:pStyle w:val="ListBullet"/>
      </w:pPr>
      <w:r>
        <w:rPr>
          <w:rFonts w:ascii="Calibri" w:hAnsi="Calibri" w:eastAsia="微软雅黑"/>
          <w:b/>
          <w:i w:val="0"/>
          <w:sz w:val="22"/>
        </w:rPr>
        <w:t>项目经理任命与目标责任书（第3.1.2条、第3.2.1条）</w:t>
      </w:r>
      <w:r>
        <w:rPr>
          <w:rFonts w:ascii="Calibri" w:hAnsi="Calibri" w:eastAsia="微软雅黑"/>
          <w:b w:val="0"/>
          <w:i w:val="0"/>
          <w:sz w:val="22"/>
        </w:rPr>
        <w:t>：企业宜采用项目管理目标责任书的形式，明确项目目标和项目经理的职责、权限和利益，由项目经理对项目自启动至收尾实行全过程管理 (P000003)；总承包企业应在总承包合同生效后任命项目经理，由法定代表人签发任命文件并组建项目部 (P000003)。</w:t>
      </w:r>
    </w:p>
    <w:p>
      <w:pPr>
        <w:pStyle w:val="ListBullet"/>
      </w:pPr>
      <w:r>
        <w:rPr>
          <w:rFonts w:ascii="Calibri" w:hAnsi="Calibri" w:eastAsia="微软雅黑"/>
          <w:b/>
          <w:i w:val="0"/>
          <w:sz w:val="22"/>
        </w:rPr>
        <w:t>动态控制与赢得值法（第2.0.8条、第2.0.10条）</w:t>
      </w:r>
      <w:r>
        <w:rPr>
          <w:rFonts w:ascii="Calibri" w:hAnsi="Calibri" w:eastAsia="微软雅黑"/>
          <w:b w:val="0"/>
          <w:i w:val="0"/>
          <w:sz w:val="22"/>
        </w:rPr>
        <w:t>：规范以术语形式引入"赢得值（earned value，已完工作的预算费用）"与"项目控制（project control，通过定期测量和监控项目进展情况，分析偏离并采取纠偏措施）"，将进度与费用纳入同一标尺动态对比 (P000003)。</w:t>
      </w:r>
    </w:p>
    <w:p>
      <w:r>
        <w:rPr>
          <w:rFonts w:ascii="Calibri" w:hAnsi="Calibri" w:eastAsia="微软雅黑"/>
          <w:b w:val="0"/>
          <w:i w:val="0"/>
          <w:sz w:val="22"/>
        </w:rPr>
        <w:t>挣值读法的要诀在三条基准线的相互位置，而非任何单一数值：已完成工作的预算费用走在前，说明进度超前；实际花费爬得更快，则警示工效或单价失控；两条线交叉之日常常就是纠偏窗口开启之时。管理层无须亲自计算，但应要求项目控制经理每月报送这三条线的相对走势图，把"感觉还行"换成"看得见的偏差"（本段为本研究方法论建议）。</w:t>
      </w:r>
    </w:p>
    <w:p>
      <w:pPr>
        <w:pStyle w:val="Heading4"/>
      </w:pPr>
      <w:r>
        <w:t>表1-3 传统DBB模式与GB/T 50358-2017规范下EPC模式的治理对比 (P000003, P000012)</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维度</w:t>
            </w:r>
          </w:p>
        </w:tc>
        <w:tc>
          <w:tcPr>
            <w:tcW w:type="dxa" w:w="2075"/>
            <w:shd w:fill="1F3A5F"/>
          </w:tcPr>
          <w:p>
            <w:r>
              <w:rPr>
                <w:color w:val="FFFFFF"/>
              </w:rPr>
            </w:r>
            <w:r>
              <w:rPr>
                <w:rFonts w:ascii="Calibri" w:hAnsi="Calibri" w:eastAsia="微软雅黑"/>
                <w:b/>
                <w:i w:val="0"/>
                <w:color w:val="FFFFFF"/>
                <w:sz w:val="18"/>
              </w:rPr>
              <w:t>传统设计/施工分包模式（DBB）</w:t>
            </w:r>
          </w:p>
        </w:tc>
        <w:tc>
          <w:tcPr>
            <w:tcW w:type="dxa" w:w="2075"/>
            <w:shd w:fill="1F3A5F"/>
          </w:tcPr>
          <w:p>
            <w:r>
              <w:rPr>
                <w:color w:val="FFFFFF"/>
              </w:rPr>
            </w:r>
            <w:r>
              <w:rPr>
                <w:rFonts w:ascii="Calibri" w:hAnsi="Calibri" w:eastAsia="微软雅黑"/>
                <w:b/>
                <w:i w:val="0"/>
                <w:color w:val="FFFFFF"/>
                <w:sz w:val="18"/>
              </w:rPr>
              <w:t>规范化全过程EPC总承包模式</w:t>
            </w:r>
          </w:p>
        </w:tc>
        <w:tc>
          <w:tcPr>
            <w:tcW w:type="dxa" w:w="2075"/>
            <w:shd w:fill="1F3A5F"/>
          </w:tcPr>
          <w:p>
            <w:r>
              <w:rPr>
                <w:color w:val="FFFFFF"/>
              </w:rPr>
            </w:r>
            <w:r>
              <w:rPr>
                <w:rFonts w:ascii="Calibri" w:hAnsi="Calibri" w:eastAsia="微软雅黑"/>
                <w:b/>
                <w:i w:val="0"/>
                <w:color w:val="FFFFFF"/>
                <w:sz w:val="18"/>
              </w:rPr>
              <w:t>决策层战略价值</w:t>
            </w:r>
          </w:p>
        </w:tc>
      </w:tr>
      <w:tr>
        <w:tc>
          <w:tcPr>
            <w:tcW w:type="dxa" w:w="2075"/>
          </w:tcPr>
          <w:p>
            <w:r/>
            <w:r>
              <w:rPr>
                <w:rFonts w:ascii="Calibri" w:hAnsi="Calibri" w:eastAsia="微软雅黑"/>
                <w:b w:val="0"/>
                <w:i w:val="0"/>
                <w:sz w:val="18"/>
              </w:rPr>
              <w:t>责任主体</w:t>
            </w:r>
          </w:p>
        </w:tc>
        <w:tc>
          <w:tcPr>
            <w:tcW w:type="dxa" w:w="2075"/>
          </w:tcPr>
          <w:p>
            <w:r/>
            <w:r>
              <w:rPr>
                <w:rFonts w:ascii="Calibri" w:hAnsi="Calibri" w:eastAsia="微软雅黑"/>
                <w:b w:val="0"/>
                <w:i w:val="0"/>
                <w:sz w:val="18"/>
              </w:rPr>
              <w:t>责任分散，发包人分别对接设计院、施工单位、设备商</w:t>
            </w:r>
          </w:p>
        </w:tc>
        <w:tc>
          <w:tcPr>
            <w:tcW w:type="dxa" w:w="2075"/>
          </w:tcPr>
          <w:p>
            <w:r/>
            <w:r>
              <w:rPr>
                <w:rFonts w:ascii="Calibri" w:hAnsi="Calibri" w:eastAsia="微软雅黑"/>
                <w:b w:val="0"/>
                <w:i w:val="0"/>
                <w:sz w:val="18"/>
              </w:rPr>
              <w:t>单一责任源，总包对设计、采购、施工、试运行全过程负总责</w:t>
            </w:r>
          </w:p>
        </w:tc>
        <w:tc>
          <w:tcPr>
            <w:tcW w:type="dxa" w:w="2075"/>
          </w:tcPr>
          <w:p>
            <w:r/>
            <w:r>
              <w:rPr>
                <w:rFonts w:ascii="Calibri" w:hAnsi="Calibri" w:eastAsia="微软雅黑"/>
                <w:b w:val="0"/>
                <w:i w:val="0"/>
                <w:sz w:val="18"/>
              </w:rPr>
              <w:t>消除接口推诿，降低发包人管理协调成本</w:t>
            </w:r>
          </w:p>
        </w:tc>
      </w:tr>
      <w:tr>
        <w:tc>
          <w:tcPr>
            <w:tcW w:type="dxa" w:w="2075"/>
          </w:tcPr>
          <w:p>
            <w:r/>
            <w:r>
              <w:rPr>
                <w:rFonts w:ascii="Calibri" w:hAnsi="Calibri" w:eastAsia="微软雅黑"/>
                <w:b w:val="0"/>
                <w:i w:val="0"/>
                <w:sz w:val="18"/>
              </w:rPr>
              <w:t>设计与施工关系</w:t>
            </w:r>
          </w:p>
        </w:tc>
        <w:tc>
          <w:tcPr>
            <w:tcW w:type="dxa" w:w="2075"/>
          </w:tcPr>
          <w:p>
            <w:r/>
            <w:r>
              <w:rPr>
                <w:rFonts w:ascii="Calibri" w:hAnsi="Calibri" w:eastAsia="微软雅黑"/>
                <w:b w:val="0"/>
                <w:i w:val="0"/>
                <w:sz w:val="18"/>
              </w:rPr>
              <w:t>设计与施工割裂，图纸可施工性差，现场签证变更频繁</w:t>
            </w:r>
          </w:p>
        </w:tc>
        <w:tc>
          <w:tcPr>
            <w:tcW w:type="dxa" w:w="2075"/>
          </w:tcPr>
          <w:p>
            <w:r/>
            <w:r>
              <w:rPr>
                <w:rFonts w:ascii="Calibri" w:hAnsi="Calibri" w:eastAsia="微软雅黑"/>
                <w:b w:val="0"/>
                <w:i w:val="0"/>
                <w:sz w:val="18"/>
              </w:rPr>
              <w:t>设计引领采购与施工，深化设计与建造成本实时联动</w:t>
            </w:r>
          </w:p>
        </w:tc>
        <w:tc>
          <w:tcPr>
            <w:tcW w:type="dxa" w:w="2075"/>
          </w:tcPr>
          <w:p>
            <w:r/>
            <w:r>
              <w:rPr>
                <w:rFonts w:ascii="Calibri" w:hAnsi="Calibri" w:eastAsia="微软雅黑"/>
                <w:b w:val="0"/>
                <w:i w:val="0"/>
                <w:sz w:val="18"/>
              </w:rPr>
              <w:t>减少无效返工，压缩关键路径工期</w:t>
            </w:r>
          </w:p>
        </w:tc>
      </w:tr>
      <w:tr>
        <w:tc>
          <w:tcPr>
            <w:tcW w:type="dxa" w:w="2075"/>
          </w:tcPr>
          <w:p>
            <w:r/>
            <w:r>
              <w:rPr>
                <w:rFonts w:ascii="Calibri" w:hAnsi="Calibri" w:eastAsia="微软雅黑"/>
                <w:b w:val="0"/>
                <w:i w:val="0"/>
                <w:sz w:val="18"/>
              </w:rPr>
              <w:t>组织管理形态</w:t>
            </w:r>
          </w:p>
        </w:tc>
        <w:tc>
          <w:tcPr>
            <w:tcW w:type="dxa" w:w="2075"/>
          </w:tcPr>
          <w:p>
            <w:r/>
            <w:r>
              <w:rPr>
                <w:rFonts w:ascii="Calibri" w:hAnsi="Calibri" w:eastAsia="微软雅黑"/>
                <w:b w:val="0"/>
                <w:i w:val="0"/>
                <w:sz w:val="18"/>
              </w:rPr>
              <w:t>临时项目组，缺乏后台支撑，靠经验驱动</w:t>
            </w:r>
          </w:p>
        </w:tc>
        <w:tc>
          <w:tcPr>
            <w:tcW w:type="dxa" w:w="2075"/>
          </w:tcPr>
          <w:p>
            <w:r/>
            <w:r>
              <w:rPr>
                <w:rFonts w:ascii="Calibri" w:hAnsi="Calibri" w:eastAsia="微软雅黑"/>
                <w:b w:val="0"/>
                <w:i w:val="0"/>
                <w:sz w:val="18"/>
              </w:rPr>
              <w:t>企业级矩阵式架构，后台职能与前台项目部闭环</w:t>
            </w:r>
          </w:p>
        </w:tc>
        <w:tc>
          <w:tcPr>
            <w:tcW w:type="dxa" w:w="2075"/>
          </w:tcPr>
          <w:p>
            <w:r/>
            <w:r>
              <w:rPr>
                <w:rFonts w:ascii="Calibri" w:hAnsi="Calibri" w:eastAsia="微软雅黑"/>
                <w:b w:val="0"/>
                <w:i w:val="0"/>
                <w:sz w:val="18"/>
              </w:rPr>
              <w:t>实现资源动态调配与标准化管控</w:t>
            </w:r>
          </w:p>
        </w:tc>
      </w:tr>
      <w:tr>
        <w:tc>
          <w:tcPr>
            <w:tcW w:type="dxa" w:w="2075"/>
          </w:tcPr>
          <w:p>
            <w:r/>
            <w:r>
              <w:rPr>
                <w:rFonts w:ascii="Calibri" w:hAnsi="Calibri" w:eastAsia="微软雅黑"/>
                <w:b w:val="0"/>
                <w:i w:val="0"/>
                <w:sz w:val="18"/>
              </w:rPr>
              <w:t>费用与风险控制</w:t>
            </w:r>
          </w:p>
        </w:tc>
        <w:tc>
          <w:tcPr>
            <w:tcW w:type="dxa" w:w="2075"/>
          </w:tcPr>
          <w:p>
            <w:r/>
            <w:r>
              <w:rPr>
                <w:rFonts w:ascii="Calibri" w:hAnsi="Calibri" w:eastAsia="微软雅黑"/>
                <w:b w:val="0"/>
                <w:i w:val="0"/>
                <w:sz w:val="18"/>
              </w:rPr>
              <w:t>静态概算，易产生"三超"（超估算、超概算、超预算）</w:t>
            </w:r>
          </w:p>
        </w:tc>
        <w:tc>
          <w:tcPr>
            <w:tcW w:type="dxa" w:w="2075"/>
          </w:tcPr>
          <w:p>
            <w:r/>
            <w:r>
              <w:rPr>
                <w:rFonts w:ascii="Calibri" w:hAnsi="Calibri" w:eastAsia="微软雅黑"/>
                <w:b w:val="0"/>
                <w:i w:val="0"/>
                <w:sz w:val="18"/>
              </w:rPr>
              <w:t>赢得值法动态监控，总包承担包干风险</w:t>
            </w:r>
          </w:p>
        </w:tc>
        <w:tc>
          <w:tcPr>
            <w:tcW w:type="dxa" w:w="2075"/>
          </w:tcPr>
          <w:p>
            <w:r/>
            <w:r>
              <w:rPr>
                <w:rFonts w:ascii="Calibri" w:hAnsi="Calibri" w:eastAsia="微软雅黑"/>
                <w:b w:val="0"/>
                <w:i w:val="0"/>
                <w:sz w:val="18"/>
              </w:rPr>
              <w:t>提升资金使用确定性与投资收益率</w:t>
            </w:r>
          </w:p>
        </w:tc>
      </w:tr>
    </w:tbl>
    <w:p>
      <w:pPr>
        <w:pStyle w:val="Heading3"/>
      </w:pPr>
      <w:r>
        <w:t>1.2.2 工程总承包全流程四大核心节点：设计、采购、施工与试运行协同</w:t>
      </w:r>
    </w:p>
    <w:p>
      <w:r>
        <w:rPr>
          <w:rFonts w:ascii="Calibri" w:hAnsi="Calibri" w:eastAsia="微软雅黑"/>
          <w:b w:val="0"/>
          <w:i w:val="0"/>
          <w:sz w:val="22"/>
        </w:rPr>
        <w:t>依据GB/T 50358-2017规范，规范化的EPC总承包必须实现"设计（Engineering）、采购（Procurement）、施工（Construction）、试运行（Commissioning）"四大阶段的无缝协同。四大节段的协同逻辑可以概括为一条双向咬合链：设计优化引导采购规格书，设备参数反哺深化设计；设计可施工性审查前置到图纸批复之前，长周期设备催交按施工网络计划节点精准进场；试运行先决条件在施工高峰期前置确认，性能考核验收结论反过来指导缺陷修补 (P000003)。</w:t>
      </w:r>
    </w:p>
    <w:p>
      <w:pPr>
        <w:pStyle w:val="ListNumber"/>
      </w:pPr>
      <w:r>
        <w:rPr>
          <w:rFonts w:ascii="Calibri" w:hAnsi="Calibri" w:eastAsia="微软雅黑"/>
          <w:b/>
          <w:i w:val="0"/>
          <w:sz w:val="22"/>
        </w:rPr>
        <w:t>设计管理节点（规范第5章）——EPC的"灵魂与引擎"</w:t>
      </w:r>
      <w:r>
        <w:rPr>
          <w:rFonts w:ascii="Calibri" w:hAnsi="Calibri" w:eastAsia="微软雅黑"/>
          <w:b w:val="0"/>
          <w:i w:val="0"/>
          <w:sz w:val="22"/>
        </w:rPr>
        <w:t>：总承包模式下的设计绝非单纯的"画图"，而是全项目价值创造与成本控制的源头 (P000003)。总承包项目部须开展可施工性审查与采购导向设计，将施工工艺、大件吊装需求及设备选型规格提前嵌入初步设计与施工图阶段，从源头锁定项目成本的绝大部分（本句后半为行业通行判断，本研究采信并明示）。</w:t>
      </w:r>
    </w:p>
    <w:p>
      <w:pPr>
        <w:pStyle w:val="ListNumber"/>
      </w:pPr>
      <w:r>
        <w:rPr>
          <w:rFonts w:ascii="Calibri" w:hAnsi="Calibri" w:eastAsia="微软雅黑"/>
          <w:b/>
          <w:i w:val="0"/>
          <w:sz w:val="22"/>
        </w:rPr>
        <w:t>采购管理节点（规范第6章）——EPC的"效益与杠杆"</w:t>
      </w:r>
      <w:r>
        <w:rPr>
          <w:rFonts w:ascii="Calibri" w:hAnsi="Calibri" w:eastAsia="微软雅黑"/>
          <w:b w:val="0"/>
          <w:i w:val="0"/>
          <w:sz w:val="22"/>
        </w:rPr>
        <w:t>：采购管理涵盖采买、催交、检验和运输 (P000003)。采购经理须建立长周期设备清单，使设备采购技术规格书与设计图纸保持同步迭代；通过驻厂监造与全球催交，确保设备按现场施工网络计划节点精准进场，避免"停工待料"或场地二次堆存浪费。</w:t>
      </w:r>
    </w:p>
    <w:p>
      <w:r>
        <w:rPr>
          <w:rFonts w:ascii="Calibri" w:hAnsi="Calibri" w:eastAsia="微软雅黑"/>
          <w:b w:val="0"/>
          <w:i w:val="0"/>
          <w:sz w:val="22"/>
        </w:rPr>
        <w:t>催交这一行当的门槛比名称听上去高得多：合格的驻厂代表要读得懂焊接工艺评定与水压试验报告，辩得住供应商以"排产调整"包装的拖延话术，还要摸得清铁路货运与港口舱位的档期行情。头部企业把这支队伍当作战略资产长期养着，二三线企业则常因舍不得这份固定人力成本，在关键设备上付出十倍于工资的窝工代价（本段为本研究解读性判断）。</w:t>
      </w:r>
    </w:p>
    <w:p>
      <w:pPr>
        <w:pStyle w:val="ListNumber"/>
      </w:pPr>
      <w:r>
        <w:rPr>
          <w:rFonts w:ascii="Calibri" w:hAnsi="Calibri" w:eastAsia="微软雅黑"/>
          <w:b/>
          <w:i w:val="0"/>
          <w:sz w:val="22"/>
        </w:rPr>
        <w:t>施工管理节点（规范第7章）——EPC的"落地与安全"</w:t>
      </w:r>
      <w:r>
        <w:rPr>
          <w:rFonts w:ascii="Calibri" w:hAnsi="Calibri" w:eastAsia="微软雅黑"/>
          <w:b w:val="0"/>
          <w:i w:val="0"/>
          <w:sz w:val="22"/>
        </w:rPr>
        <w:t>：施工管理是将设计文件转化为工程实物的过程 (P000003)。总承包项目部通过模块化施工、三维虚拟建造与智慧工地管理，实现质量、安全与进度的精细化控制，筑牢安全、职业健康与环境防线。</w:t>
      </w:r>
    </w:p>
    <w:p>
      <w:pPr>
        <w:pStyle w:val="ListNumber"/>
      </w:pPr>
      <w:r>
        <w:rPr>
          <w:rFonts w:ascii="Calibri" w:hAnsi="Calibri" w:eastAsia="微软雅黑"/>
          <w:b/>
          <w:i w:val="0"/>
          <w:sz w:val="22"/>
        </w:rPr>
        <w:t>试运行管理节点（规范第8章）——EPC的"交付与考核"</w:t>
      </w:r>
      <w:r>
        <w:rPr>
          <w:rFonts w:ascii="Calibri" w:hAnsi="Calibri" w:eastAsia="微软雅黑"/>
          <w:b w:val="0"/>
          <w:i w:val="0"/>
          <w:sz w:val="22"/>
        </w:rPr>
        <w:t>：试运行是检验EPC总承包成功与否的终极考核，包括单机试运、联动试运及合同目标性能考核 (P000003)。规范同时对合同收尾、缺陷责任期（第2.0.32条：从合同约定的交工日期算起，发包人有权通知承包人修复工程存在缺陷的期限）与保修期（第2.0.33条）做出了严格的法律与履约界定 (P000003)。</w:t>
      </w:r>
    </w:p>
    <w:p>
      <w:r>
        <w:rPr>
          <w:rFonts w:ascii="Calibri" w:hAnsi="Calibri" w:eastAsia="微软雅黑"/>
          <w:b w:val="0"/>
          <w:i w:val="0"/>
          <w:sz w:val="22"/>
        </w:rPr>
        <w:t>四个节点之间的咬合精度，最终体现在两份文件上：一份是采购进度与设计出图的联动计划，另一份是施工网络计划与设备到场的匹配表。实践中多数工期事故都能追溯到这两份文件的失配——图纸晚出一周，规格书便晚发一周，长周期设备的排产档期随之后移，现场等料与工序倒挂接连发生。把这两份联动文件提到项目部周例会的首项议程，是成本最低的协同机制（本段为本研究方法论建议）。</w:t>
      </w:r>
    </w:p>
    <w:p>
      <w:pPr>
        <w:pStyle w:val="Heading3"/>
      </w:pPr>
      <w:r>
        <w:t>1.2.3 行业统计排名申报标准与经营合规逻辑</w:t>
      </w:r>
    </w:p>
    <w:p>
      <w:r>
        <w:rPr>
          <w:rFonts w:ascii="Calibri" w:hAnsi="Calibri" w:eastAsia="微软雅黑"/>
          <w:b w:val="0"/>
          <w:i w:val="0"/>
          <w:sz w:val="22"/>
        </w:rPr>
        <w:t>工程企业在参与中国勘察设计协会（中设协）组织的"工程项目管理和工程总承包营业额排名"申报时，必须严格遵循协会发布的管理办法与年度通知（中设协字〔2024〕16号、中设协字〔2025〕9号文），这构成了企业经营合规与业绩认可的官方底线 (P000010, P000009)：</w:t>
      </w:r>
    </w:p>
    <w:p>
      <w:pPr>
        <w:pStyle w:val="ListNumber"/>
      </w:pPr>
      <w:r>
        <w:rPr>
          <w:rFonts w:ascii="Calibri" w:hAnsi="Calibri" w:eastAsia="微软雅黑"/>
          <w:b/>
          <w:i w:val="0"/>
          <w:sz w:val="22"/>
        </w:rPr>
        <w:t>企业申报法定门槛</w:t>
      </w:r>
      <w:r>
        <w:rPr>
          <w:rFonts w:ascii="Calibri" w:hAnsi="Calibri" w:eastAsia="微软雅黑"/>
          <w:b w:val="0"/>
          <w:i w:val="0"/>
          <w:sz w:val="22"/>
        </w:rPr>
        <w:t>：申报企业必须具备独立法人资格，且持有国家建设行政主管部门颁发的乙级以上（含乙级）工程设计资格证书 (P000009)。纯施工企业若无工程设计资质，无法独立申报该榜单。</w:t>
      </w:r>
    </w:p>
    <w:p>
      <w:pPr>
        <w:pStyle w:val="ListNumber"/>
      </w:pPr>
      <w:r>
        <w:rPr>
          <w:rFonts w:ascii="Calibri" w:hAnsi="Calibri" w:eastAsia="微软雅黑"/>
          <w:b/>
          <w:i w:val="0"/>
          <w:sz w:val="22"/>
        </w:rPr>
        <w:t>申报表格体系（表一至表五）的严密逻辑</w:t>
      </w:r>
      <w:r>
        <w:rPr>
          <w:rFonts w:ascii="Calibri" w:hAnsi="Calibri" w:eastAsia="微软雅黑"/>
          <w:b w:val="0"/>
          <w:i w:val="0"/>
          <w:sz w:val="22"/>
        </w:rPr>
        <w:t>：企业须在协会指定的网上申报平台填报五大标准报表，经企业主管领导批准、签字并加盖公章后报送 (P000009)：</w:t>
      </w:r>
    </w:p>
    <w:p>
      <w:r>
        <w:rPr>
          <w:rFonts w:ascii="Calibri" w:hAnsi="Calibri" w:eastAsia="微软雅黑"/>
          <w:b w:val="0"/>
          <w:i w:val="0"/>
          <w:sz w:val="22"/>
        </w:rPr>
        <w:t xml:space="preserve">- </w:t>
      </w:r>
      <w:r>
        <w:rPr>
          <w:rFonts w:ascii="Calibri" w:hAnsi="Calibri" w:eastAsia="微软雅黑"/>
          <w:b/>
          <w:i w:val="0"/>
          <w:sz w:val="22"/>
        </w:rPr>
        <w:t>表一（企业基本情况调查表）</w:t>
      </w:r>
      <w:r>
        <w:rPr>
          <w:rFonts w:ascii="Calibri" w:hAnsi="Calibri" w:eastAsia="微软雅黑"/>
          <w:b w:val="0"/>
          <w:i w:val="0"/>
          <w:sz w:val="22"/>
        </w:rPr>
        <w:t>：核验企业资质、经营规模与财务底图。</w:t>
      </w:r>
    </w:p>
    <w:p>
      <w:r>
        <w:rPr>
          <w:rFonts w:ascii="Calibri" w:hAnsi="Calibri" w:eastAsia="微软雅黑"/>
          <w:b w:val="0"/>
          <w:i w:val="0"/>
          <w:sz w:val="22"/>
        </w:rPr>
        <w:t xml:space="preserve">- </w:t>
      </w:r>
      <w:r>
        <w:rPr>
          <w:rFonts w:ascii="Calibri" w:hAnsi="Calibri" w:eastAsia="微软雅黑"/>
          <w:b/>
          <w:i w:val="0"/>
          <w:sz w:val="22"/>
        </w:rPr>
        <w:t>表二与表三（项目管理/总承包情况报表）</w:t>
      </w:r>
      <w:r>
        <w:rPr>
          <w:rFonts w:ascii="Calibri" w:hAnsi="Calibri" w:eastAsia="微软雅黑"/>
          <w:b w:val="0"/>
          <w:i w:val="0"/>
          <w:sz w:val="22"/>
        </w:rPr>
        <w:t>：分别汇总企业在排名年度内实际完成的工程项目管理营业额与总承包营业额。</w:t>
      </w:r>
    </w:p>
    <w:p>
      <w:r>
        <w:rPr>
          <w:rFonts w:ascii="Calibri" w:hAnsi="Calibri" w:eastAsia="微软雅黑"/>
          <w:b w:val="0"/>
          <w:i w:val="0"/>
          <w:sz w:val="22"/>
        </w:rPr>
        <w:t xml:space="preserve">- </w:t>
      </w:r>
      <w:r>
        <w:rPr>
          <w:rFonts w:ascii="Calibri" w:hAnsi="Calibri" w:eastAsia="微软雅黑"/>
          <w:b/>
          <w:i w:val="0"/>
          <w:sz w:val="22"/>
        </w:rPr>
        <w:t>表四与表五（项目实施明细表）</w:t>
      </w:r>
      <w:r>
        <w:rPr>
          <w:rFonts w:ascii="Calibri" w:hAnsi="Calibri" w:eastAsia="微软雅黑"/>
          <w:b w:val="0"/>
          <w:i w:val="0"/>
          <w:sz w:val="22"/>
        </w:rPr>
        <w:t>：要求逐笔列出排名年度内实施的每一个项目的合同名称、业主单位、合同金额、年度确认营业额及完工进度。</w:t>
      </w:r>
    </w:p>
    <w:p>
      <w:r>
        <w:rPr>
          <w:rFonts w:ascii="Calibri" w:hAnsi="Calibri" w:eastAsia="微软雅黑"/>
          <w:b w:val="0"/>
          <w:i w:val="0"/>
          <w:sz w:val="22"/>
        </w:rPr>
        <w:t>- 申报数据统计时间为排名年度的1月1日至12月31日 (P000009)。</w:t>
      </w:r>
    </w:p>
    <w:p>
      <w:pPr>
        <w:pStyle w:val="ListNumber"/>
      </w:pPr>
      <w:r>
        <w:rPr>
          <w:rFonts w:ascii="Calibri" w:hAnsi="Calibri" w:eastAsia="微软雅黑"/>
          <w:b/>
          <w:i w:val="0"/>
          <w:sz w:val="22"/>
        </w:rPr>
        <w:t>审核与复核双层把关</w:t>
      </w:r>
      <w:r>
        <w:rPr>
          <w:rFonts w:ascii="Calibri" w:hAnsi="Calibri" w:eastAsia="微软雅黑"/>
          <w:b w:val="0"/>
          <w:i w:val="0"/>
          <w:sz w:val="22"/>
        </w:rPr>
        <w:t>：各地方、各部门勘察设计同业协会对企业申报材料进行初审并于每年6月15日前提交初审结果；总承包分会以初审合格的申报表电子文档为基础建立排名数据库，组织复核后排定名次，经中国勘察设计协会批准后正式向社会发布 (P000009)。</w:t>
      </w:r>
    </w:p>
    <w:p>
      <w:pPr>
        <w:pStyle w:val="ListNumber"/>
      </w:pPr>
      <w:r>
        <w:rPr>
          <w:rFonts w:ascii="Calibri" w:hAnsi="Calibri" w:eastAsia="微软雅黑"/>
          <w:b/>
          <w:i w:val="0"/>
          <w:sz w:val="22"/>
        </w:rPr>
        <w:t>营业额认定与合规财务底线</w:t>
      </w:r>
      <w:r>
        <w:rPr>
          <w:rFonts w:ascii="Calibri" w:hAnsi="Calibri" w:eastAsia="微软雅黑"/>
          <w:b w:val="0"/>
          <w:i w:val="0"/>
          <w:sz w:val="22"/>
        </w:rPr>
        <w:t>：协会不对申报企业收取任何费用，申报企业应对申报材料的真实性、准确性负责，申报材料不应涉及按国家规定需要保密的项目信息 (P000009)。联合体中标项目仅能按企业实际承担并确认的份额填报，严禁重复申报全额合同；管理办法同时设立境外双子榜单，要求企业准确划分境内与境外收入 (P000009, P000012)。</w:t>
      </w:r>
    </w:p>
    <w:p>
      <w:r>
        <w:rPr>
          <w:rFonts w:ascii="Calibri" w:hAnsi="Calibri" w:eastAsia="微软雅黑"/>
          <w:b w:val="0"/>
          <w:i w:val="0"/>
          <w:sz w:val="22"/>
        </w:rPr>
        <w:t>对经营班子的提示是：这份榜单既是荣誉榜，更是合规体检表——表三与表五的联动结构意味着每一笔申报营业额都要能回溯到具体合同与进度凭证，财务口径与统计口径的任何长期背离都会在复核环节显形（本段为本研究解读性判断）。</w:t>
      </w:r>
    </w:p>
    <w:p>
      <w:r>
        <w:rPr>
          <w:rFonts w:ascii="Calibri" w:hAnsi="Calibri" w:eastAsia="微软雅黑"/>
          <w:b w:val="0"/>
          <w:i w:val="0"/>
          <w:sz w:val="22"/>
        </w:rPr>
        <w:t>更进一步看，申报纪律本身就是一面治理镜子。一家企业的申报底稿是否齐整、凭证链能否逐年复用、统计口径与财务口径的差异说明是否成文，折射的是其项目台账体系、部门协同水平与内控文化的成熟度。收购方在做总承包类标的尽调时，调阅近三年的申报档案往往比翻阅宣传册更能看清真实经营质地；反之，若一家企业连申报口径都理不顺，其在合同、结算与索赔环节的证据管理大概率同样松散，并购后的整合成本会被系统性低估（本段为本研究解读性判断）。</w:t>
      </w:r>
    </w:p>
    <w:p>
      <w:r>
        <w:rPr>
          <w:rFonts w:ascii="Calibri" w:hAnsi="Calibri" w:eastAsia="微软雅黑"/>
          <w:b w:val="0"/>
          <w:i w:val="0"/>
          <w:sz w:val="22"/>
        </w:rPr>
        <w:t>---</w:t>
      </w:r>
    </w:p>
    <w:p>
      <w:pPr>
        <w:pStyle w:val="Heading2"/>
      </w:pPr>
      <w:r>
        <w:t>1.3 领军示范：TOP50典型企业的标杆案例与转型路径</w:t>
      </w:r>
    </w:p>
    <w:p>
      <w:r>
        <w:rPr>
          <w:rFonts w:ascii="Calibri" w:hAnsi="Calibri" w:eastAsia="微软雅黑"/>
          <w:b w:val="0"/>
          <w:i w:val="0"/>
          <w:sz w:val="22"/>
        </w:rPr>
        <w:t>在总承包市场集中度持续向头部聚拢（TOP50以26.9%的数量占比拿走72.23%的营业额，own_calc）的背景下，探究TOP50强企业的转型密码，对于广大工程企业高管、设计院院长及EPC从业者具有极其明确的对标与借鉴价值 (P000001)。本节选取行业内具有高度代表性的六类标杆企业，按照"数据（Data）- 动作（Action）- 结果（Result）"的标准对标框架，深度剖析其在战略选择、组织重构、技术加持及风险管控方面的实操路径。</w:t>
      </w:r>
    </w:p>
    <w:p>
      <w:r>
        <w:rPr>
          <w:rFonts w:ascii="Calibri" w:hAnsi="Calibri" w:eastAsia="微软雅黑"/>
          <w:b w:val="0"/>
          <w:i w:val="0"/>
          <w:sz w:val="22"/>
        </w:rPr>
        <w:t>需要说明的是，六类标杆的选取刻意覆盖了不同的转型起点：有从绘图桌走向工地的设计院旗舰，有靠单一赛道熬成细分冠军的专科王者，有以技术包横扫化工版图的集团军，有扛着国家使命啃硬骨头的系统总包，有把生意做到全球的属地化经营者，也有从施工队向投建一体攀爬的地方劲旅。起点不同，路径不可简单照搬；但拆解其动作组合与资源投放次序，读者可以拼出一张与自身禀赋对位的路线参照（本段为本研究解读）。</w:t>
      </w:r>
    </w:p>
    <w:p>
      <w:pPr>
        <w:pStyle w:val="Heading3"/>
      </w:pPr>
      <w:r>
        <w:t>1.3.1 设计院转型EPC旗舰：中国电建华东院"数字化+全过程智慧服务"模式</w:t>
      </w:r>
    </w:p>
    <w:p>
      <w:r>
        <w:rPr>
          <w:rFonts w:ascii="Calibri" w:hAnsi="Calibri" w:eastAsia="微软雅黑"/>
          <w:b/>
          <w:i w:val="0"/>
          <w:sz w:val="22"/>
        </w:rPr>
        <w:t>1. 数据（Data）</w:t>
      </w:r>
      <w:r>
        <w:rPr>
          <w:rFonts w:ascii="Calibri" w:hAnsi="Calibri" w:eastAsia="微软雅黑"/>
          <w:b w:val="0"/>
          <w:i w:val="0"/>
          <w:sz w:val="22"/>
        </w:rPr>
        <w:t>。中国电建集团华东勘测设计研究院有限公司成立于1954年，总部设在杭州，业务覆盖50多个国家和地区，现隶属于世界500强企业中国电建集团 (P000001)。在全国勘察设计企业工程总承包营业额排名中：2023年发布榜单以4,447,229万元营业额高居全国第一；2024年发布榜单以4,424,524万元持续领跑；2025年发布榜单再以4,549,202万元刷新纪录，实现"三连冠" (P000001, P000010, P000005)。华东院一家企业的总承包营业额即占全国186家上榜企业总营收的5.14%（own_calc），是全国唯一一家总承包年营业额连续三年站稳400亿元级的设计院转型企业（own_calc：三年均超4,400,000万元）。</w:t>
      </w:r>
    </w:p>
    <w:p>
      <w:r>
        <w:rPr>
          <w:rFonts w:ascii="Calibri" w:hAnsi="Calibri" w:eastAsia="微软雅黑"/>
          <w:b/>
          <w:i w:val="0"/>
          <w:sz w:val="22"/>
        </w:rPr>
        <w:t>2. 动作（Action）</w:t>
      </w:r>
      <w:r>
        <w:rPr>
          <w:rFonts w:ascii="Calibri" w:hAnsi="Calibri" w:eastAsia="微软雅黑"/>
          <w:b w:val="0"/>
          <w:i w:val="0"/>
          <w:sz w:val="22"/>
        </w:rPr>
        <w:t>。华东院实现从传统"画图设计院"向"450亿级综合型EPC巨头"战略跃迁的核心动作包含三大维度：</w:t>
      </w:r>
    </w:p>
    <w:p>
      <w:pPr>
        <w:pStyle w:val="ListBullet"/>
      </w:pPr>
      <w:r>
        <w:rPr>
          <w:rFonts w:ascii="Calibri" w:hAnsi="Calibri" w:eastAsia="微软雅黑"/>
          <w:b/>
          <w:i w:val="0"/>
          <w:sz w:val="22"/>
        </w:rPr>
        <w:t>提前布局工程数字化</w:t>
      </w:r>
      <w:r>
        <w:rPr>
          <w:rFonts w:ascii="Calibri" w:hAnsi="Calibri" w:eastAsia="微软雅黑"/>
          <w:b w:val="0"/>
          <w:i w:val="0"/>
          <w:sz w:val="22"/>
        </w:rPr>
        <w:t>：自2004年起，华东院在行业内率先开展三维数字化设计研究与应用，研制开发了国内第一个专业齐全、功能完备、应用成熟、覆盖基础设施建设全过程的《工程数字化解决方案》，涵盖工程三维数字化设计、工程设计施工一体化管理、工程全生命周期管理三大平台，实现了全专业、全过程的工程三维数字化设计与应用；2013年被国家工信部授予"国家级两化融合示范企业"称号 (P000001, P000002)。</w:t>
      </w:r>
    </w:p>
    <w:p>
      <w:pPr>
        <w:pStyle w:val="ListBullet"/>
      </w:pPr>
      <w:r>
        <w:rPr>
          <w:rFonts w:ascii="Calibri" w:hAnsi="Calibri" w:eastAsia="微软雅黑"/>
          <w:b/>
          <w:i w:val="0"/>
          <w:sz w:val="22"/>
        </w:rPr>
        <w:t>设计与施工一体化协同机制</w:t>
      </w:r>
      <w:r>
        <w:rPr>
          <w:rFonts w:ascii="Calibri" w:hAnsi="Calibri" w:eastAsia="微软雅黑"/>
          <w:b w:val="0"/>
          <w:i w:val="0"/>
          <w:sz w:val="22"/>
        </w:rPr>
        <w:t>：华东院依托设计技术底座，将三维模型直接应用于施工现场的虚拟建造，在项目策划阶段对施工吊装、管线碰撞、场地动态布置进行全过程模拟，将可施工性审查前置；在采购环节基于三维模型生成精准的设备材料清单，实现采购规格书与设计图纸无缝衔接 (P000001, P000003)。</w:t>
      </w:r>
    </w:p>
    <w:p>
      <w:pPr>
        <w:pStyle w:val="ListBullet"/>
      </w:pPr>
      <w:r>
        <w:rPr>
          <w:rFonts w:ascii="Calibri" w:hAnsi="Calibri" w:eastAsia="微软雅黑"/>
          <w:b/>
          <w:i w:val="0"/>
          <w:sz w:val="22"/>
        </w:rPr>
        <w:t>跨界拓展"新能源+水生态"高增长赛道</w:t>
      </w:r>
      <w:r>
        <w:rPr>
          <w:rFonts w:ascii="Calibri" w:hAnsi="Calibri" w:eastAsia="微软雅黑"/>
          <w:b w:val="0"/>
          <w:i w:val="0"/>
          <w:sz w:val="22"/>
        </w:rPr>
        <w:t>：依托传统水电与土木工程优势，将EPC总承包业务快速延伸至海上风电、光伏发电、城乡建设及水生态环境治理等领域，业务范围覆盖水电与新能源、城乡建设、生态与环境等板块 (P000001)。</w:t>
      </w:r>
    </w:p>
    <w:p>
      <w:r>
        <w:rPr>
          <w:rFonts w:ascii="Calibri" w:hAnsi="Calibri" w:eastAsia="微软雅黑"/>
          <w:b/>
          <w:i w:val="0"/>
          <w:sz w:val="22"/>
        </w:rPr>
        <w:t>3. 结果（Result）</w:t>
      </w:r>
      <w:r>
        <w:rPr>
          <w:rFonts w:ascii="Calibri" w:hAnsi="Calibri" w:eastAsia="微软雅黑"/>
          <w:b w:val="0"/>
          <w:i w:val="0"/>
          <w:sz w:val="22"/>
        </w:rPr>
        <w:t>。华东院成功打造了"具有工程全过程智慧化服务能力的一流国际工程公司" (P000001)。其总承包业务不仅实现了规模上的绝对统治力（连续三年全国第一），更在境外市场同步位居前列——2023年发布榜单境外总承包位列全国第4、境外工程项目管理位列第5（5,937万元）(P000001)。从传统设计院到450亿级EPC巨头的跨越，华东院为全国设计院转型EPC提供了极其清晰的范本。</w:t>
      </w:r>
    </w:p>
    <w:p>
      <w:r>
        <w:rPr>
          <w:rFonts w:ascii="Calibri" w:hAnsi="Calibri" w:eastAsia="微软雅黑"/>
          <w:b w:val="0"/>
          <w:i w:val="0"/>
          <w:sz w:val="22"/>
        </w:rPr>
        <w:t>把华东院样本拆开看，其转型并非一蹴而就，而是三个能力层的依次叠加：底层是设计主业沉淀的水工与岩土技术话语权，中间层是把话语权转化为系统集成能力的组织机制，表层才是数字化工具与品牌声量。多数设计院学不像的根源，在于只看见表层就去采购软件，却跳过了中间层——即设计、采购、施工三支队伍如何在同一个项目部里说同一种工程语言。数字化投入若不能倒逼中间层的流程再造，预算终将沉淀为投标演示文件（本段为本研究解读）。</w:t>
      </w:r>
    </w:p>
    <w:p>
      <w:pPr>
        <w:pStyle w:val="Heading3"/>
      </w:pPr>
      <w:r>
        <w:t>1.3.2 垂直赛道寡头：十一科技高科技洁净工程与新能源EPC双轮驱动</w:t>
      </w:r>
    </w:p>
    <w:p>
      <w:r>
        <w:rPr>
          <w:rFonts w:ascii="Calibri" w:hAnsi="Calibri" w:eastAsia="微软雅黑"/>
          <w:b/>
          <w:i w:val="0"/>
          <w:sz w:val="22"/>
        </w:rPr>
        <w:t>1. 数据（Data）</w:t>
      </w:r>
      <w:r>
        <w:rPr>
          <w:rFonts w:ascii="Calibri" w:hAnsi="Calibri" w:eastAsia="微软雅黑"/>
          <w:b w:val="0"/>
          <w:i w:val="0"/>
          <w:sz w:val="22"/>
        </w:rPr>
        <w:t>。信息产业电子第十一设计研究院科技工程股份有限公司在2023年发布榜单中以2,661,723万元营业额高居全国第3位 (P000001)。在全国所有主业涉及新能源与电子建设的企业中，仅有华东院与十一科技两家的总承包营业额突破了200亿元大关 (P000001)。</w:t>
      </w:r>
    </w:p>
    <w:p>
      <w:r>
        <w:rPr>
          <w:rFonts w:ascii="Calibri" w:hAnsi="Calibri" w:eastAsia="微软雅黑"/>
          <w:b/>
          <w:i w:val="0"/>
          <w:sz w:val="22"/>
        </w:rPr>
        <w:t>2. 动作（Action）</w:t>
      </w:r>
      <w:r>
        <w:rPr>
          <w:rFonts w:ascii="Calibri" w:hAnsi="Calibri" w:eastAsia="微软雅黑"/>
          <w:b w:val="0"/>
          <w:i w:val="0"/>
          <w:sz w:val="22"/>
        </w:rPr>
        <w:t>。十一科技在垂直细分市场建立寡头地位的核心动作包括：</w:t>
      </w:r>
    </w:p>
    <w:p>
      <w:pPr>
        <w:pStyle w:val="ListBullet"/>
      </w:pPr>
      <w:r>
        <w:rPr>
          <w:rFonts w:ascii="Calibri" w:hAnsi="Calibri" w:eastAsia="微软雅黑"/>
          <w:b/>
          <w:i w:val="0"/>
          <w:sz w:val="22"/>
        </w:rPr>
        <w:t>深耕高科技电子洁净厂房主业</w:t>
      </w:r>
      <w:r>
        <w:rPr>
          <w:rFonts w:ascii="Calibri" w:hAnsi="Calibri" w:eastAsia="微软雅黑"/>
          <w:b w:val="0"/>
          <w:i w:val="0"/>
          <w:sz w:val="22"/>
        </w:rPr>
        <w:t>：紧扣国家半导体、集成电路、面板显示及生物医药产业国产化浪潮，将高洁净度、微震控制、高工艺二次配管等核心设计技术打造为绝活，在EPC模式下将设计优势转化为对特殊工艺设备采购与高精度施工过程的控制力（本条为基于其榜单定位与赛道特征的行业归纳，本研究明示）。</w:t>
      </w:r>
    </w:p>
    <w:p>
      <w:pPr>
        <w:pStyle w:val="ListBullet"/>
      </w:pPr>
      <w:r>
        <w:rPr>
          <w:rFonts w:ascii="Calibri" w:hAnsi="Calibri" w:eastAsia="微软雅黑"/>
          <w:b/>
          <w:i w:val="0"/>
          <w:sz w:val="22"/>
        </w:rPr>
        <w:t>全面发力光伏EPC第二增长曲线</w:t>
      </w:r>
      <w:r>
        <w:rPr>
          <w:rFonts w:ascii="Calibri" w:hAnsi="Calibri" w:eastAsia="微软雅黑"/>
          <w:b w:val="0"/>
          <w:i w:val="0"/>
          <w:sz w:val="22"/>
        </w:rPr>
        <w:t>：依托电力与电子工程复合资质，将光伏电站EPC作为第二增长曲线，通过大批次集中采购光伏组件与逆变器建立供应链议价权（同上，行业归纳）。</w:t>
      </w:r>
    </w:p>
    <w:p>
      <w:pPr>
        <w:pStyle w:val="ListBullet"/>
      </w:pPr>
      <w:r>
        <w:rPr>
          <w:rFonts w:ascii="Calibri" w:hAnsi="Calibri" w:eastAsia="微软雅黑"/>
          <w:b/>
          <w:i w:val="0"/>
          <w:sz w:val="22"/>
        </w:rPr>
        <w:t>扁平化管理与快速响应机制</w:t>
      </w:r>
      <w:r>
        <w:rPr>
          <w:rFonts w:ascii="Calibri" w:hAnsi="Calibri" w:eastAsia="微软雅黑"/>
          <w:b w:val="0"/>
          <w:i w:val="0"/>
          <w:sz w:val="22"/>
        </w:rPr>
        <w:t>：针对电子半导体项目"建设周期极短、投产时点刚性"的特点，重构项目部组织架构，确保工艺变更快速传导至采购与施工环节，满足发包人"即完工即投产"的苛刻要求（同上，行业归纳）。</w:t>
      </w:r>
    </w:p>
    <w:p>
      <w:r>
        <w:rPr>
          <w:rFonts w:ascii="Calibri" w:hAnsi="Calibri" w:eastAsia="微软雅黑"/>
          <w:b/>
          <w:i w:val="0"/>
          <w:sz w:val="22"/>
        </w:rPr>
        <w:t>3. 结果（Result）</w:t>
      </w:r>
      <w:r>
        <w:rPr>
          <w:rFonts w:ascii="Calibri" w:hAnsi="Calibri" w:eastAsia="微软雅黑"/>
          <w:b w:val="0"/>
          <w:i w:val="0"/>
          <w:sz w:val="22"/>
        </w:rPr>
        <w:t>。十一科技在电子半导体洁净工程与光伏新能源两大赛道中确立龙头地位，266亿元级的总承包营收背后是远高于传统土木建筑EPC的利润率与更快的应收账款周转（本句为本研究基于赛道特征的解读性判断），展现了垂直高科技工程领域的强大竞争韧性。</w:t>
      </w:r>
    </w:p>
    <w:p>
      <w:r>
        <w:rPr>
          <w:rFonts w:ascii="Calibri" w:hAnsi="Calibri" w:eastAsia="微软雅黑"/>
          <w:b w:val="0"/>
          <w:i w:val="0"/>
          <w:sz w:val="22"/>
        </w:rPr>
        <w:t>双轮之间的现金流互补常被外行低估：洁净厂房项目单体大、账期长、验收条款苛刻，资金占用呈脉冲式起伏；光伏电站项目则单体小、批次密、回款与并网节点绑定，现金流呈高频细流。两条曲线叠加，平滑了传统土木总承包商最头疼的收款波动，也为企业在设备集采谈判中保留了更大的垫资弹性（本段为本研究解读性判断）。</w:t>
      </w:r>
    </w:p>
    <w:p>
      <w:pPr>
        <w:pStyle w:val="Heading3"/>
      </w:pPr>
      <w:r>
        <w:t>1.3.3 工业化工组团标杆：中国化学工程"六院军团"技术与工程一体化矩阵</w:t>
      </w:r>
    </w:p>
    <w:p>
      <w:r>
        <w:rPr>
          <w:rFonts w:ascii="Calibri" w:hAnsi="Calibri" w:eastAsia="微软雅黑"/>
          <w:b/>
          <w:i w:val="0"/>
          <w:sz w:val="22"/>
        </w:rPr>
        <w:t>1. 数据（Data）</w:t>
      </w:r>
      <w:r>
        <w:rPr>
          <w:rFonts w:ascii="Calibri" w:hAnsi="Calibri" w:eastAsia="微软雅黑"/>
          <w:b w:val="0"/>
          <w:i w:val="0"/>
          <w:sz w:val="22"/>
        </w:rPr>
        <w:t>。中国化学工程股份有限公司（股票代码601117）是全国化学工程与石油化工EPC领域的领军者 (P000013)。其旗下六家工程公司在2023年发布榜单的TOP50中全部在列，形成极为罕见的"集团化集群攻坚"格局 (P000001)：中国天辰工程有限公司1,089,303万元（第21位）、中国成达工程有限公司719,581万元（第34位）、中国五环工程有限公司718,930万元（第35位）、华陆工程科技有限责任公司661,294万元（第39位）、赛鼎工程有限公司526,150万元（第48位）、东华工程科技股份有限公司513,866万元（第50位）。仅这六家子公司的总承包营业额合计即达4,229,124万元（约422.91亿元，own_calc），若计入集团旗下其他工程力量，集团化工EPC规模高居全国榜首。中国化学2025年年度报告显示，公司全年实现营业总收入1,901.25亿元，同比增加35.12亿元 (P000013)。</w:t>
      </w:r>
    </w:p>
    <w:p>
      <w:r>
        <w:rPr>
          <w:rFonts w:ascii="Calibri" w:hAnsi="Calibri" w:eastAsia="微软雅黑"/>
          <w:b/>
          <w:i w:val="0"/>
          <w:sz w:val="22"/>
        </w:rPr>
        <w:t>2. 动作（Action）</w:t>
      </w:r>
      <w:r>
        <w:rPr>
          <w:rFonts w:ascii="Calibri" w:hAnsi="Calibri" w:eastAsia="微软雅黑"/>
          <w:b w:val="0"/>
          <w:i w:val="0"/>
          <w:sz w:val="22"/>
        </w:rPr>
        <w:t>。中国化学及其下属工程公司构建竞争壁垒的核心动作在于：</w:t>
      </w:r>
    </w:p>
    <w:p>
      <w:pPr>
        <w:pStyle w:val="ListBullet"/>
      </w:pPr>
      <w:r>
        <w:rPr>
          <w:rFonts w:ascii="Calibri" w:hAnsi="Calibri" w:eastAsia="微软雅黑"/>
          <w:b/>
          <w:i w:val="0"/>
          <w:sz w:val="22"/>
        </w:rPr>
        <w:t>"技术研发+工程总承包"双轮驱动</w:t>
      </w:r>
      <w:r>
        <w:rPr>
          <w:rFonts w:ascii="Calibri" w:hAnsi="Calibri" w:eastAsia="微软雅黑"/>
          <w:b w:val="0"/>
          <w:i w:val="0"/>
          <w:sz w:val="22"/>
        </w:rPr>
        <w:t>：中国化学在化工、石油化工领域拥有行业内先进成熟的技术和丰富的工程经验，其中在煤化工领域掌握最核心和先进的技术，占据国内绝大部分的市场份额，在国际上处于领先地位 (P000013)。天辰公司建成国内最大废弃物制甲醇项目，五环公司、成达公司等企业的10项技术入选国家发展改革委、自然资源部先进技术名单或推广目录 (P000013)。企业通过"自研或引进再创新技术、建造工业化示范装置、以技术包锁定特大型化工EPC总承包"的商业模式，从源头上排除了纯施工企业的竞争（本句后半为本研究归纳）。</w:t>
      </w:r>
    </w:p>
    <w:p>
      <w:pPr>
        <w:pStyle w:val="ListBullet"/>
      </w:pPr>
      <w:r>
        <w:rPr>
          <w:rFonts w:ascii="Calibri" w:hAnsi="Calibri" w:eastAsia="微软雅黑"/>
          <w:b/>
          <w:i w:val="0"/>
          <w:sz w:val="22"/>
        </w:rPr>
        <w:t>工程全过程精细化风险控制</w:t>
      </w:r>
      <w:r>
        <w:rPr>
          <w:rFonts w:ascii="Calibri" w:hAnsi="Calibri" w:eastAsia="微软雅黑"/>
          <w:b w:val="0"/>
          <w:i w:val="0"/>
          <w:sz w:val="22"/>
        </w:rPr>
        <w:t>：化工EPC项目具有高毒高压、工艺流程复杂、安全环保标准极高的特点 (P000012)。中国化学全面贯彻GB/T 50358-2017规范，建立覆盖设计可制造性审查、长周期设备全球采购催交监造、施工防爆防渗漏控制、无负荷与带负荷试运行的全过程风险防控体系 (P000003, P000012)。</w:t>
      </w:r>
    </w:p>
    <w:p>
      <w:pPr>
        <w:pStyle w:val="ListBullet"/>
      </w:pPr>
      <w:r>
        <w:rPr>
          <w:rFonts w:ascii="Calibri" w:hAnsi="Calibri" w:eastAsia="微软雅黑"/>
          <w:b/>
          <w:i w:val="0"/>
          <w:sz w:val="22"/>
        </w:rPr>
        <w:t>集团级供应链协同与动态概算控制</w:t>
      </w:r>
      <w:r>
        <w:rPr>
          <w:rFonts w:ascii="Calibri" w:hAnsi="Calibri" w:eastAsia="微软雅黑"/>
          <w:b w:val="0"/>
          <w:i w:val="0"/>
          <w:sz w:val="22"/>
        </w:rPr>
        <w:t>：依托集团化采购平台对通用物资实施大宗采购；在项目执行中应用赢得值法进行费用与进度偏差实时监测，严控工程变更 (P000003)。</w:t>
      </w:r>
    </w:p>
    <w:p>
      <w:r>
        <w:rPr>
          <w:rFonts w:ascii="Calibri" w:hAnsi="Calibri" w:eastAsia="微软雅黑"/>
          <w:b w:val="0"/>
          <w:i w:val="0"/>
          <w:sz w:val="22"/>
        </w:rPr>
        <w:t>示范装置在商业棋局中的角色值得高看一眼：它既是技术可行性的公开展台，也是银行与业主的定心丸，更是把实验室参数锻造成工程放大系数的必经熔炉。绕过示范环节直接承接特大型装置的总包商，等于把放大风险原封不动背在自己肩上；化工史上多数灾难性超支，都能追溯到这一步的省略（本段为本研究解读性判断）。</w:t>
      </w:r>
    </w:p>
    <w:p>
      <w:r>
        <w:rPr>
          <w:rFonts w:ascii="Calibri" w:hAnsi="Calibri" w:eastAsia="微软雅黑"/>
          <w:b/>
          <w:i w:val="0"/>
          <w:sz w:val="22"/>
        </w:rPr>
        <w:t>3. 结果（Result）</w:t>
      </w:r>
      <w:r>
        <w:rPr>
          <w:rFonts w:ascii="Calibri" w:hAnsi="Calibri" w:eastAsia="微软雅黑"/>
          <w:b w:val="0"/>
          <w:i w:val="0"/>
          <w:sz w:val="22"/>
        </w:rPr>
        <w:t>。中国化学形成了国内化工EPC领域无可匹敌的技术与工程垄断优势（本句为本研究解读）。</w:t>
      </w:r>
    </w:p>
    <w:p>
      <w:r>
        <w:rPr>
          <w:rFonts w:ascii="Calibri" w:hAnsi="Calibri" w:eastAsia="微软雅黑"/>
          <w:b w:val="0"/>
          <w:i w:val="0"/>
          <w:sz w:val="22"/>
        </w:rPr>
        <w:t>从生意模式的底层看，技术包的价值在于把竞争从"建造执行"前移到了"工艺选择"。业主在立项阶段若已锁定某项专利工艺，总包商实际上被预先指定，价格谈判的空间与竞争烈度都被重构；对总包商而言，每一套工艺包既是一张入场券，也是一台持续收取许可与服务费用的机器。这种"先卖技术、再接工程、后供催化剂与备件"的三段式收入结构，让技术型总包商的盈利曲线远比纯建安企业平滑，周期下行时的抗跌性也更强（本段为本研究解读）。"六院军团"全部稳居全国TOP50，保证了集团在煤化工、石油化工、精细化工及新材料领域的绝对市场份额；2025年年报显示公司新签合同额与营业收入持续保持增长，展现出技术型总承包商极高的盈利壁垒与抗周期能力 (P000013)。</w:t>
      </w:r>
    </w:p>
    <w:p>
      <w:pPr>
        <w:pStyle w:val="Heading3"/>
      </w:pPr>
      <w:r>
        <w:t>1.3.4 大国重器与复杂系统总包：中核工程"华龙一号"首堆EPC精细化管控</w:t>
      </w:r>
    </w:p>
    <w:p>
      <w:r>
        <w:rPr>
          <w:rFonts w:ascii="Calibri" w:hAnsi="Calibri" w:eastAsia="微软雅黑"/>
          <w:b/>
          <w:i w:val="0"/>
          <w:sz w:val="22"/>
        </w:rPr>
        <w:t>1. 数据（Data）</w:t>
      </w:r>
      <w:r>
        <w:rPr>
          <w:rFonts w:ascii="Calibri" w:hAnsi="Calibri" w:eastAsia="微软雅黑"/>
          <w:b w:val="0"/>
          <w:i w:val="0"/>
          <w:sz w:val="22"/>
        </w:rPr>
        <w:t>。中国核电工程有限公司在2023年发布榜单中以2,286,021万元营业额位居全国第6位 (P000001)。核电工程是工程建设领域复杂程度最高、技术最密集、安全红线最严苛的系统工程：单台三代核电机组投资通常超过200亿元，建设周期长达5-7年 (P000051)。</w:t>
      </w:r>
    </w:p>
    <w:p>
      <w:r>
        <w:rPr>
          <w:rFonts w:ascii="Calibri" w:hAnsi="Calibri" w:eastAsia="微软雅黑"/>
          <w:b/>
          <w:i w:val="0"/>
          <w:sz w:val="22"/>
        </w:rPr>
        <w:t>2. 动作（Action）</w:t>
      </w:r>
      <w:r>
        <w:rPr>
          <w:rFonts w:ascii="Calibri" w:hAnsi="Calibri" w:eastAsia="微软雅黑"/>
          <w:b w:val="0"/>
          <w:i w:val="0"/>
          <w:sz w:val="22"/>
        </w:rPr>
        <w:t>。中核工程从传统"设计院"成功跨越为"核电全生命周期价值创造者"与"大总包"，其核心动作包含：</w:t>
      </w:r>
    </w:p>
    <w:p>
      <w:pPr>
        <w:pStyle w:val="ListBullet"/>
      </w:pPr>
      <w:r>
        <w:rPr>
          <w:rFonts w:ascii="Calibri" w:hAnsi="Calibri" w:eastAsia="微软雅黑"/>
          <w:b/>
          <w:i w:val="0"/>
          <w:sz w:val="22"/>
        </w:rPr>
        <w:t>组织架构跃迁：从"画图院"到"战略协调枢纽"</w:t>
      </w:r>
      <w:r>
        <w:rPr>
          <w:rFonts w:ascii="Calibri" w:hAnsi="Calibri" w:eastAsia="微软雅黑"/>
          <w:b w:val="0"/>
          <w:i w:val="0"/>
          <w:sz w:val="22"/>
        </w:rPr>
        <w:t>：在EPC模式下，中核工程不再仅仅提供设计图纸，而是作为战略协调枢纽，对数千个系统、数万台设备、数十家分包商进行全方位的指挥与统领 (P000051)。公司全面落实GB/T 50358-2017的矩阵式管理体系（第3.1.4条），建立"总部职能部门支撑+项目部现场执行"的双层架构 (P000003, P000051)。</w:t>
      </w:r>
    </w:p>
    <w:p>
      <w:pPr>
        <w:pStyle w:val="ListBullet"/>
      </w:pPr>
      <w:r>
        <w:rPr>
          <w:rFonts w:ascii="Calibri" w:hAnsi="Calibri" w:eastAsia="微软雅黑"/>
          <w:b/>
          <w:i w:val="0"/>
          <w:sz w:val="22"/>
        </w:rPr>
        <w:t>构建"一软、一网、一硬、一平台"智能工程生态</w:t>
      </w:r>
      <w:r>
        <w:rPr>
          <w:rFonts w:ascii="Calibri" w:hAnsi="Calibri" w:eastAsia="微软雅黑"/>
          <w:b w:val="0"/>
          <w:i w:val="0"/>
          <w:sz w:val="22"/>
        </w:rPr>
        <w:t>：依托Engineering Base（EB）软件构建五层数据分层架构，将设备属性（材质、重量、载荷、质保等级）深度嵌入设计对象，实现从二维图纸到三维实物的无损映射，支持自动化概算与精准采购 (P000051)。</w:t>
      </w:r>
    </w:p>
    <w:p>
      <w:pPr>
        <w:pStyle w:val="ListBullet"/>
      </w:pPr>
      <w:r>
        <w:rPr>
          <w:rFonts w:ascii="Calibri" w:hAnsi="Calibri" w:eastAsia="微软雅黑"/>
          <w:b/>
          <w:i w:val="0"/>
          <w:sz w:val="22"/>
        </w:rPr>
        <w:t>建立严苛的质量控制体系与测量管理防线</w:t>
      </w:r>
      <w:r>
        <w:rPr>
          <w:rFonts w:ascii="Calibri" w:hAnsi="Calibri" w:eastAsia="微软雅黑"/>
          <w:b w:val="0"/>
          <w:i w:val="0"/>
          <w:sz w:val="22"/>
        </w:rPr>
        <w:t>：推行"两级检查、一级监理、一级监督"制度与"四方联合测量"原则（移交方、接收方、监理、总包），以"谁提议、谁主测"的逻辑破解复杂交叉作业中的接口数据偏差难题 (P000051)。</w:t>
      </w:r>
    </w:p>
    <w:p>
      <w:pPr>
        <w:pStyle w:val="ListBullet"/>
      </w:pPr>
      <w:r>
        <w:rPr>
          <w:rFonts w:ascii="Calibri" w:hAnsi="Calibri" w:eastAsia="微软雅黑"/>
          <w:b/>
          <w:i w:val="0"/>
          <w:sz w:val="22"/>
        </w:rPr>
        <w:t>关键里程碑极限路径压缩</w:t>
      </w:r>
      <w:r>
        <w:rPr>
          <w:rFonts w:ascii="Calibri" w:hAnsi="Calibri" w:eastAsia="微软雅黑"/>
          <w:b w:val="0"/>
          <w:i w:val="0"/>
          <w:sz w:val="22"/>
        </w:rPr>
        <w:t>：核电站穹顶吊装是从土建阶段转向安装阶段的标志性分水岭。以某项目提前35天实现穹顶吊装为例，其背后是总承包单位对主线工作的极限压缩与对先决条件的精准预判 (P000051)。</w:t>
      </w:r>
    </w:p>
    <w:p>
      <w:r>
        <w:rPr>
          <w:rFonts w:ascii="Calibri" w:hAnsi="Calibri" w:eastAsia="微软雅黑"/>
          <w:b/>
          <w:i w:val="0"/>
          <w:sz w:val="22"/>
        </w:rPr>
        <w:t>3. 结果（Result）</w:t>
      </w:r>
      <w:r>
        <w:rPr>
          <w:rFonts w:ascii="Calibri" w:hAnsi="Calibri" w:eastAsia="微软雅黑"/>
          <w:b w:val="0"/>
          <w:i w:val="0"/>
          <w:sz w:val="22"/>
        </w:rPr>
        <w:t>。中核工程成功实现了"华龙一号"全球首堆等一批国家重大工程的高质量投产（示意性复盘：以源文披露的某核电项目为例，总包团队提前35天实现穹顶吊装关键节点，为后续调试与装料赢得战略冗余，其潜在的利息节约与提前发电收益可达数亿元人民币）(P000051)。随着"六大控制七个零"高质量精细化管控体系的建立，核电工程管理已从经验驱动升维至体系驱动 (P000051)，树立了我国自主三代核电EPC总承包管理的巅峰标杆。</w:t>
      </w:r>
    </w:p>
    <w:p>
      <w:r>
        <w:rPr>
          <w:rFonts w:ascii="Calibri" w:hAnsi="Calibri" w:eastAsia="微软雅黑"/>
          <w:b w:val="0"/>
          <w:i w:val="0"/>
          <w:sz w:val="22"/>
        </w:rPr>
        <w:t>需要为普通工程企业划清可移植的边界：核电级管控的精髓不在其专有技术门槛，而在三样普适的管理资产——把接口责任写进矩阵表的严谨、把先决条件清单化挂牌的习惯、把测量与签认权责前置约定的事先性。这三样资产迁移到市政、水利、房建项目几乎不发生排异反应；反之，若不加甄别地照搬其文档层级与审批链条，中小项目会被行政负担拖垮。学习的正确姿势是取其骨架、裁其厚度（本段为本研究解读）。</w:t>
      </w:r>
    </w:p>
    <w:p>
      <w:pPr>
        <w:pStyle w:val="Heading3"/>
      </w:pPr>
      <w:r>
        <w:t>1.3.5 国际化海外攻坚典范：中材国际（600970）全球水泥与建材EPC属地化运营</w:t>
      </w:r>
    </w:p>
    <w:p>
      <w:r>
        <w:rPr>
          <w:rFonts w:ascii="Calibri" w:hAnsi="Calibri" w:eastAsia="微软雅黑"/>
          <w:b/>
          <w:i w:val="0"/>
          <w:sz w:val="22"/>
        </w:rPr>
        <w:t>1. 数据（Data）</w:t>
      </w:r>
      <w:r>
        <w:rPr>
          <w:rFonts w:ascii="Calibri" w:hAnsi="Calibri" w:eastAsia="微软雅黑"/>
          <w:b w:val="0"/>
          <w:i w:val="0"/>
          <w:sz w:val="22"/>
        </w:rPr>
        <w:t>。中国中材国际工程股份有限公司（股票代码600970）在2023年发布榜单中以2,038,560万元位居全国第8位 (P000001)。在境外工程总承包专项榜单中：2023年发布榜单以926,891万元列全国第2 (P000001)；2025年发布榜单以1,402,850万元登顶全国第1 (P000005)。据公司2024年年度报告，截至报告期末累计在海外91个国家和地区承接了351条生产线，水泥技术装备与工程主业全球市场占有率连续17年保持世界第一 (P000026)。2024年公司工程服务实现营业收入271.25亿元（同比增长1.73%），其中境外收入160.39亿元（同比增长12.16%），境外收入占工程服务收入比重约59%（own_calc）(P000026)。</w:t>
      </w:r>
    </w:p>
    <w:p>
      <w:r>
        <w:rPr>
          <w:rFonts w:ascii="Calibri" w:hAnsi="Calibri" w:eastAsia="微软雅黑"/>
          <w:b/>
          <w:i w:val="0"/>
          <w:sz w:val="22"/>
        </w:rPr>
        <w:t>2. 动作（Action）</w:t>
      </w:r>
      <w:r>
        <w:rPr>
          <w:rFonts w:ascii="Calibri" w:hAnsi="Calibri" w:eastAsia="微软雅黑"/>
          <w:b w:val="0"/>
          <w:i w:val="0"/>
          <w:sz w:val="22"/>
        </w:rPr>
        <w:t>。中材国际打通海外EPC全流程的核心动作包括：</w:t>
      </w:r>
    </w:p>
    <w:p>
      <w:pPr>
        <w:pStyle w:val="ListBullet"/>
      </w:pPr>
      <w:r>
        <w:rPr>
          <w:rFonts w:ascii="Calibri" w:hAnsi="Calibri" w:eastAsia="微软雅黑"/>
          <w:b/>
          <w:i w:val="0"/>
          <w:sz w:val="22"/>
        </w:rPr>
        <w:t>深化全球属地经营与供应链建设</w:t>
      </w:r>
      <w:r>
        <w:rPr>
          <w:rFonts w:ascii="Calibri" w:hAnsi="Calibri" w:eastAsia="微软雅黑"/>
          <w:b w:val="0"/>
          <w:i w:val="0"/>
          <w:sz w:val="22"/>
        </w:rPr>
        <w:t>：公司持续推进绿色低碳智能升级与全球属地经营落地，在境外项目管理、供应链组织上深化本土布局 (P000026)；同时以SINOMA全球品牌效应承接全球新建及存量水泥生产线的绿色低碳、数字智能技改升级需求 (P000023)。</w:t>
      </w:r>
    </w:p>
    <w:p>
      <w:pPr>
        <w:pStyle w:val="ListBullet"/>
      </w:pPr>
      <w:r>
        <w:rPr>
          <w:rFonts w:ascii="Calibri" w:hAnsi="Calibri" w:eastAsia="微软雅黑"/>
          <w:b/>
          <w:i w:val="0"/>
          <w:sz w:val="22"/>
        </w:rPr>
        <w:t>熟练运用国际工程风险治理机制</w:t>
      </w:r>
      <w:r>
        <w:rPr>
          <w:rFonts w:ascii="Calibri" w:hAnsi="Calibri" w:eastAsia="微软雅黑"/>
          <w:b w:val="0"/>
          <w:i w:val="0"/>
          <w:sz w:val="22"/>
        </w:rPr>
        <w:t>：公司年报明确提示并系统管理宏观经济风险、行业风险、境外经营风险与汇率风险 (P000023, P000026)，在国际工程标准对接与商务条款设计上形成成熟体系（本句后半为本研究归纳）。</w:t>
      </w:r>
    </w:p>
    <w:p>
      <w:pPr>
        <w:pStyle w:val="ListBullet"/>
      </w:pPr>
      <w:r>
        <w:rPr>
          <w:rFonts w:ascii="Calibri" w:hAnsi="Calibri" w:eastAsia="微软雅黑"/>
          <w:b/>
          <w:i w:val="0"/>
          <w:sz w:val="22"/>
        </w:rPr>
        <w:t>从单一EPC向全产业链服务延伸</w:t>
      </w:r>
      <w:r>
        <w:rPr>
          <w:rFonts w:ascii="Calibri" w:hAnsi="Calibri" w:eastAsia="微软雅黑"/>
          <w:b w:val="0"/>
          <w:i w:val="0"/>
          <w:sz w:val="22"/>
        </w:rPr>
        <w:t>：截至2024年末，公司在执行矿山运维服务项目318个（其中境外项目9个），水泥供矿国内市场占有率达21%；在执行水泥运维服务生产线68条，年提供产能超1亿吨 (P000026)，将"一次性EPC合同"转化为"全生命周期可持续循环收入"（本句后半为本研究归纳）。</w:t>
      </w:r>
    </w:p>
    <w:p>
      <w:r>
        <w:rPr>
          <w:rFonts w:ascii="Calibri" w:hAnsi="Calibri" w:eastAsia="微软雅黑"/>
          <w:b/>
          <w:i w:val="0"/>
          <w:sz w:val="22"/>
        </w:rPr>
        <w:t>3. 结果（Result）</w:t>
      </w:r>
      <w:r>
        <w:rPr>
          <w:rFonts w:ascii="Calibri" w:hAnsi="Calibri" w:eastAsia="微软雅黑"/>
          <w:b w:val="0"/>
          <w:i w:val="0"/>
          <w:sz w:val="22"/>
        </w:rPr>
        <w:t>。中材国际的水泥技术装备与工程主业连续17年全球市场占有率第一，2024年位列ENR"全球最大250家国际承包商"第43位 (P000026)；境外总承包营业额从2023年发布榜单的926,891万元（第2位）攀升至2025年发布榜单的1,402,850万元（第1位）(P000001, P000005)，成为中国工程企业在海外高端工业EPC领域最具品牌号召力与国际影响力的国家名片。</w:t>
      </w:r>
    </w:p>
    <w:p>
      <w:r>
        <w:rPr>
          <w:rFonts w:ascii="Calibri" w:hAnsi="Calibri" w:eastAsia="微软雅黑"/>
          <w:b w:val="0"/>
          <w:i w:val="0"/>
          <w:sz w:val="22"/>
        </w:rPr>
        <w:t>属地化经营的复利结构值得单独拆解：第一条复利来自人工与供应链的本地化，欧美对手外派团队的高成本被本地雇佣逐步摊薄；第二条来自交付记录，每一座建成的生产线都是下一轮投标的信用凭证，获客成本随年份递减；第三条来自服务网络，备件、技改与运维布点一旦铺开，后来者要重复投入同样沉甸甸的固定成本。三条复利彼此咬合，构成时间越长越难撼动的先发壁垒（本段为本研究解读）。</w:t>
      </w:r>
    </w:p>
    <w:p>
      <w:pPr>
        <w:pStyle w:val="Heading3"/>
      </w:pPr>
      <w:r>
        <w:t>1.3.6 施工企业向总承包延伸：四川路桥（600039）与地方建工的投建一体探索</w:t>
      </w:r>
    </w:p>
    <w:p>
      <w:r>
        <w:rPr>
          <w:rFonts w:ascii="Calibri" w:hAnsi="Calibri" w:eastAsia="微软雅黑"/>
          <w:b/>
          <w:i w:val="0"/>
          <w:sz w:val="22"/>
        </w:rPr>
        <w:t>1. 数据（Data）</w:t>
      </w:r>
      <w:r>
        <w:rPr>
          <w:rFonts w:ascii="Calibri" w:hAnsi="Calibri" w:eastAsia="微软雅黑"/>
          <w:b w:val="0"/>
          <w:i w:val="0"/>
          <w:sz w:val="22"/>
        </w:rPr>
        <w:t>。四川路桥建设集团股份有限公司（股票代码600039）是地方基础设施施工企业转向总承包与投资建造一体化的典型代表。据公司经审计年报：2023年实现营业收入115,041,513,934.34元（约1,150.42亿元，own_calc折算），2024年实现营业收入107,238,179,272.82元（同比下降6.78%），折合约1,072.38亿元（own_calc）(P000024)。分行业看，2023年工程施工板块收入103,889,494,309.33元（折合约1,038.89亿元，own_calc）、毛利率17.97%；设计咨询板块收入450,189,585.41元、毛利率20.17%；清洁能源板块收入同比增长130.31%；公路投资运营板块毛利率高达66.28% (P000034)。</w:t>
      </w:r>
    </w:p>
    <w:p>
      <w:r>
        <w:rPr>
          <w:rFonts w:ascii="Calibri" w:hAnsi="Calibri" w:eastAsia="微软雅黑"/>
          <w:b/>
          <w:i w:val="0"/>
          <w:sz w:val="22"/>
        </w:rPr>
        <w:t>2. 动作（Action）</w:t>
      </w:r>
      <w:r>
        <w:rPr>
          <w:rFonts w:ascii="Calibri" w:hAnsi="Calibri" w:eastAsia="微软雅黑"/>
          <w:b w:val="0"/>
          <w:i w:val="0"/>
          <w:sz w:val="22"/>
        </w:rPr>
        <w:t>。施工系企业突破"纯劳务与低价竞标"困境、跨越至总承包的核心动作包括：</w:t>
      </w:r>
    </w:p>
    <w:p>
      <w:pPr>
        <w:pStyle w:val="ListBullet"/>
      </w:pPr>
      <w:r>
        <w:rPr>
          <w:rFonts w:ascii="Calibri" w:hAnsi="Calibri" w:eastAsia="微软雅黑"/>
          <w:b/>
          <w:i w:val="0"/>
          <w:sz w:val="22"/>
        </w:rPr>
        <w:t>以投资带动总承包锁定特大型项目</w:t>
      </w:r>
      <w:r>
        <w:rPr>
          <w:rFonts w:ascii="Calibri" w:hAnsi="Calibri" w:eastAsia="微软雅黑"/>
          <w:b w:val="0"/>
          <w:i w:val="0"/>
          <w:sz w:val="22"/>
        </w:rPr>
        <w:t>：公司年报披露其基础设施等投资类项目合同额达1,293.83亿元，预计在设计与施工环节可承接的建安合同额为1,100.84亿元 (P000015)，通过参与项目前期投资协助发包人筹措资金，锁定特大型基础设施项目的总承包权（本句后半为本研究归纳）。</w:t>
      </w:r>
    </w:p>
    <w:p>
      <w:pPr>
        <w:pStyle w:val="ListBullet"/>
      </w:pPr>
      <w:r>
        <w:rPr>
          <w:rFonts w:ascii="Calibri" w:hAnsi="Calibri" w:eastAsia="微软雅黑"/>
          <w:b/>
          <w:i w:val="0"/>
          <w:sz w:val="22"/>
        </w:rPr>
        <w:t>清洁能源与多元赛道培育</w:t>
      </w:r>
      <w:r>
        <w:rPr>
          <w:rFonts w:ascii="Calibri" w:hAnsi="Calibri" w:eastAsia="微软雅黑"/>
          <w:b w:val="0"/>
          <w:i w:val="0"/>
          <w:sz w:val="22"/>
        </w:rPr>
        <w:t>：采取自我培育和兼并收购并举的方式拓展光伏等清洁能源业务 (P000034)，摊平单一基建周期波动。</w:t>
      </w:r>
    </w:p>
    <w:p>
      <w:pPr>
        <w:pStyle w:val="ListBullet"/>
      </w:pPr>
      <w:r>
        <w:rPr>
          <w:rFonts w:ascii="Calibri" w:hAnsi="Calibri" w:eastAsia="微软雅黑"/>
          <w:b/>
          <w:i w:val="0"/>
          <w:sz w:val="22"/>
        </w:rPr>
        <w:t>补齐设计前端能力</w:t>
      </w:r>
      <w:r>
        <w:rPr>
          <w:rFonts w:ascii="Calibri" w:hAnsi="Calibri" w:eastAsia="微软雅黑"/>
          <w:b w:val="0"/>
          <w:i w:val="0"/>
          <w:sz w:val="22"/>
        </w:rPr>
        <w:t>：施工企业向EPC跨越须补齐"设计"首端，路径包括并购甲级设计院或与大型设计院组建联合体 (P000012)（本条为方法论指引，具体并购动作以企业公告为准）。</w:t>
      </w:r>
    </w:p>
    <w:p>
      <w:r>
        <w:rPr>
          <w:rFonts w:ascii="Calibri" w:hAnsi="Calibri" w:eastAsia="微软雅黑"/>
          <w:b/>
          <w:i w:val="0"/>
          <w:sz w:val="22"/>
        </w:rPr>
        <w:t>3. 结果（Result）</w:t>
      </w:r>
      <w:r>
        <w:rPr>
          <w:rFonts w:ascii="Calibri" w:hAnsi="Calibri" w:eastAsia="微软雅黑"/>
          <w:b w:val="0"/>
          <w:i w:val="0"/>
          <w:sz w:val="22"/>
        </w:rPr>
        <w:t>。四川路桥以千亿元级营收、17.97%的工程施工毛利率和66.28%的公路投资运营毛利率 (P000034)，展示了"投资+建造+运营"组合对施工企业盈利结构的改造力（本句为本研究解读）：施工主业提供规模基本盘，投资运营与清洁能源板块提供利润弹性，投建一体模式使企业从"干苦力活的施工队"向"基础设施综合建造商"升级（示意性复盘表述：若单纯依赖传统施工分包，其盈利结构难以支撑上述毛利率组合，本研究据年报分行业数据推演）。</w:t>
      </w:r>
    </w:p>
    <w:p>
      <w:r>
        <w:rPr>
          <w:rFonts w:ascii="Calibri" w:hAnsi="Calibri" w:eastAsia="微软雅黑"/>
          <w:b w:val="0"/>
          <w:i w:val="0"/>
          <w:sz w:val="22"/>
        </w:rPr>
        <w:t>从资产负债表的视角审视这类转型，还有一层审慎提示：投资带动总承包的实质，是用业主方的角色加杠杆换取施工端的订单，其成败系于现金流的错配管理——建设期的资金沉淀、运营期的回收节奏、融资成本与项目内部收益率之间的缝隙，任何一处失守都会把利润表上的漂亮毛利率吞噬殆尽。观察这类企业时，经营现金流净额与有息负债率的走势，比营收增速更值得长期盯住（本段为本研究解读性判断）。</w:t>
      </w:r>
    </w:p>
    <w:p>
      <w:pPr>
        <w:pStyle w:val="Heading4"/>
      </w:pPr>
      <w:r>
        <w:t>表1-4 TOP50六类标杆企业EPC转型"数据-动作-结果"对标汇总表</w:t>
      </w:r>
    </w:p>
    <w:tbl>
      <w:tblPr>
        <w:tblStyle w:val="TableGrid"/>
        <w:tblW w:type="auto" w:w="0"/>
        <w:tblLook w:firstColumn="1" w:firstRow="1" w:lastColumn="0" w:lastRow="0" w:noHBand="0" w:noVBand="1" w:val="04A0"/>
      </w:tblPr>
      <w:tblGrid>
        <w:gridCol w:w="1660"/>
        <w:gridCol w:w="1660"/>
        <w:gridCol w:w="1660"/>
        <w:gridCol w:w="1660"/>
        <w:gridCol w:w="1660"/>
      </w:tblGrid>
      <w:tr>
        <w:tc>
          <w:tcPr>
            <w:tcW w:type="dxa" w:w="1660"/>
            <w:shd w:fill="1F3A5F"/>
          </w:tcPr>
          <w:p>
            <w:r>
              <w:rPr>
                <w:color w:val="FFFFFF"/>
              </w:rPr>
            </w:r>
            <w:r>
              <w:rPr>
                <w:rFonts w:ascii="Calibri" w:hAnsi="Calibri" w:eastAsia="微软雅黑"/>
                <w:b/>
                <w:i w:val="0"/>
                <w:color w:val="FFFFFF"/>
                <w:sz w:val="18"/>
              </w:rPr>
              <w:t>标杆企业</w:t>
            </w:r>
          </w:p>
        </w:tc>
        <w:tc>
          <w:tcPr>
            <w:tcW w:type="dxa" w:w="1660"/>
            <w:shd w:fill="1F3A5F"/>
          </w:tcPr>
          <w:p>
            <w:r>
              <w:rPr>
                <w:color w:val="FFFFFF"/>
              </w:rPr>
            </w:r>
            <w:r>
              <w:rPr>
                <w:rFonts w:ascii="Calibri" w:hAnsi="Calibri" w:eastAsia="微软雅黑"/>
                <w:b/>
                <w:i w:val="0"/>
                <w:color w:val="FFFFFF"/>
                <w:sz w:val="18"/>
              </w:rPr>
              <w:t>企业类型</w:t>
            </w:r>
          </w:p>
        </w:tc>
        <w:tc>
          <w:tcPr>
            <w:tcW w:type="dxa" w:w="1660"/>
            <w:shd w:fill="1F3A5F"/>
          </w:tcPr>
          <w:p>
            <w:r>
              <w:rPr>
                <w:color w:val="FFFFFF"/>
              </w:rPr>
            </w:r>
            <w:r>
              <w:rPr>
                <w:rFonts w:ascii="Calibri" w:hAnsi="Calibri" w:eastAsia="微软雅黑"/>
                <w:b/>
                <w:i w:val="0"/>
                <w:color w:val="FFFFFF"/>
                <w:sz w:val="18"/>
              </w:rPr>
              <w:t>核心业绩数据</w:t>
            </w:r>
          </w:p>
        </w:tc>
        <w:tc>
          <w:tcPr>
            <w:tcW w:type="dxa" w:w="1660"/>
            <w:shd w:fill="1F3A5F"/>
          </w:tcPr>
          <w:p>
            <w:r>
              <w:rPr>
                <w:color w:val="FFFFFF"/>
              </w:rPr>
            </w:r>
            <w:r>
              <w:rPr>
                <w:rFonts w:ascii="Calibri" w:hAnsi="Calibri" w:eastAsia="微软雅黑"/>
                <w:b/>
                <w:i w:val="0"/>
                <w:color w:val="FFFFFF"/>
                <w:sz w:val="18"/>
              </w:rPr>
              <w:t>核心战略动作</w:t>
            </w:r>
          </w:p>
        </w:tc>
        <w:tc>
          <w:tcPr>
            <w:tcW w:type="dxa" w:w="1660"/>
            <w:shd w:fill="1F3A5F"/>
          </w:tcPr>
          <w:p>
            <w:r>
              <w:rPr>
                <w:color w:val="FFFFFF"/>
              </w:rPr>
            </w:r>
            <w:r>
              <w:rPr>
                <w:rFonts w:ascii="Calibri" w:hAnsi="Calibri" w:eastAsia="微软雅黑"/>
                <w:b/>
                <w:i w:val="0"/>
                <w:color w:val="FFFFFF"/>
                <w:sz w:val="18"/>
              </w:rPr>
              <w:t>关键成果与效益</w:t>
            </w:r>
          </w:p>
        </w:tc>
      </w:tr>
      <w:tr>
        <w:tc>
          <w:tcPr>
            <w:tcW w:type="dxa" w:w="1660"/>
          </w:tcPr>
          <w:p>
            <w:r/>
            <w:r>
              <w:rPr>
                <w:rFonts w:ascii="Calibri" w:hAnsi="Calibri" w:eastAsia="微软雅黑"/>
                <w:b w:val="0"/>
                <w:i w:val="0"/>
                <w:sz w:val="18"/>
              </w:rPr>
              <w:t>电建华东院</w:t>
            </w:r>
          </w:p>
        </w:tc>
        <w:tc>
          <w:tcPr>
            <w:tcW w:type="dxa" w:w="1660"/>
          </w:tcPr>
          <w:p>
            <w:r/>
            <w:r>
              <w:rPr>
                <w:rFonts w:ascii="Calibri" w:hAnsi="Calibri" w:eastAsia="微软雅黑"/>
                <w:b w:val="0"/>
                <w:i w:val="0"/>
                <w:sz w:val="18"/>
              </w:rPr>
              <w:t>设计院转型旗舰</w:t>
            </w:r>
          </w:p>
        </w:tc>
        <w:tc>
          <w:tcPr>
            <w:tcW w:type="dxa" w:w="1660"/>
          </w:tcPr>
          <w:p>
            <w:r/>
            <w:r>
              <w:rPr>
                <w:rFonts w:ascii="Calibri" w:hAnsi="Calibri" w:eastAsia="微软雅黑"/>
                <w:b w:val="0"/>
                <w:i w:val="0"/>
                <w:sz w:val="18"/>
              </w:rPr>
              <w:t>2023-2025年发布榜单三连冠：4,447,229 / 4,424,524 / 4,549,202万元 [来源: P000001, P000010, P000005]</w:t>
            </w:r>
          </w:p>
        </w:tc>
        <w:tc>
          <w:tcPr>
            <w:tcW w:type="dxa" w:w="1660"/>
          </w:tcPr>
          <w:p>
            <w:r/>
            <w:r>
              <w:rPr>
                <w:rFonts w:ascii="Calibri" w:hAnsi="Calibri" w:eastAsia="微软雅黑"/>
                <w:b w:val="0"/>
                <w:i w:val="0"/>
                <w:sz w:val="18"/>
              </w:rPr>
              <w:t>2004年起布局三维数字化；三大平台全过程智慧服务；跨界新能源与水生态 [来源: P000001]</w:t>
            </w:r>
          </w:p>
        </w:tc>
        <w:tc>
          <w:tcPr>
            <w:tcW w:type="dxa" w:w="1660"/>
          </w:tcPr>
          <w:p>
            <w:r/>
            <w:r>
              <w:rPr>
                <w:rFonts w:ascii="Calibri" w:hAnsi="Calibri" w:eastAsia="微软雅黑"/>
                <w:b w:val="0"/>
                <w:i w:val="0"/>
                <w:sz w:val="18"/>
              </w:rPr>
              <w:t>全国唯一400亿级设计院EPC；境外总包第4 [来源: P000001]</w:t>
            </w:r>
          </w:p>
        </w:tc>
      </w:tr>
      <w:tr>
        <w:tc>
          <w:tcPr>
            <w:tcW w:type="dxa" w:w="1660"/>
          </w:tcPr>
          <w:p>
            <w:r/>
            <w:r>
              <w:rPr>
                <w:rFonts w:ascii="Calibri" w:hAnsi="Calibri" w:eastAsia="微软雅黑"/>
                <w:b w:val="0"/>
                <w:i w:val="0"/>
                <w:sz w:val="18"/>
              </w:rPr>
              <w:t>十一科技</w:t>
            </w:r>
          </w:p>
        </w:tc>
        <w:tc>
          <w:tcPr>
            <w:tcW w:type="dxa" w:w="1660"/>
          </w:tcPr>
          <w:p>
            <w:r/>
            <w:r>
              <w:rPr>
                <w:rFonts w:ascii="Calibri" w:hAnsi="Calibri" w:eastAsia="微软雅黑"/>
                <w:b w:val="0"/>
                <w:i w:val="0"/>
                <w:sz w:val="18"/>
              </w:rPr>
              <w:t>垂直赛道寡头</w:t>
            </w:r>
          </w:p>
        </w:tc>
        <w:tc>
          <w:tcPr>
            <w:tcW w:type="dxa" w:w="1660"/>
          </w:tcPr>
          <w:p>
            <w:r/>
            <w:r>
              <w:rPr>
                <w:rFonts w:ascii="Calibri" w:hAnsi="Calibri" w:eastAsia="微软雅黑"/>
                <w:b w:val="0"/>
                <w:i w:val="0"/>
                <w:sz w:val="18"/>
              </w:rPr>
              <w:t>2,661,723万元，全国第3；新能源系仅两家破200亿之一 [来源: P000001]</w:t>
            </w:r>
          </w:p>
        </w:tc>
        <w:tc>
          <w:tcPr>
            <w:tcW w:type="dxa" w:w="1660"/>
          </w:tcPr>
          <w:p>
            <w:r/>
            <w:r>
              <w:rPr>
                <w:rFonts w:ascii="Calibri" w:hAnsi="Calibri" w:eastAsia="微软雅黑"/>
                <w:b w:val="0"/>
                <w:i w:val="0"/>
                <w:sz w:val="18"/>
              </w:rPr>
              <w:t>深耕芯片洁净厂房与光伏EPC双轮驱动（行业归纳）</w:t>
            </w:r>
          </w:p>
        </w:tc>
        <w:tc>
          <w:tcPr>
            <w:tcW w:type="dxa" w:w="1660"/>
          </w:tcPr>
          <w:p>
            <w:r/>
            <w:r>
              <w:rPr>
                <w:rFonts w:ascii="Calibri" w:hAnsi="Calibri" w:eastAsia="微软雅黑"/>
                <w:b w:val="0"/>
                <w:i w:val="0"/>
                <w:sz w:val="18"/>
              </w:rPr>
              <w:t>电子洁净与光伏EPC寡头地位；周转与盈利显著优于传统土木EPC（解读）</w:t>
            </w:r>
          </w:p>
        </w:tc>
      </w:tr>
      <w:tr>
        <w:tc>
          <w:tcPr>
            <w:tcW w:type="dxa" w:w="1660"/>
          </w:tcPr>
          <w:p>
            <w:r/>
            <w:r>
              <w:rPr>
                <w:rFonts w:ascii="Calibri" w:hAnsi="Calibri" w:eastAsia="微软雅黑"/>
                <w:b w:val="0"/>
                <w:i w:val="0"/>
                <w:sz w:val="18"/>
              </w:rPr>
              <w:t>中国化学"六院军团"</w:t>
            </w:r>
          </w:p>
        </w:tc>
        <w:tc>
          <w:tcPr>
            <w:tcW w:type="dxa" w:w="1660"/>
          </w:tcPr>
          <w:p>
            <w:r/>
            <w:r>
              <w:rPr>
                <w:rFonts w:ascii="Calibri" w:hAnsi="Calibri" w:eastAsia="微软雅黑"/>
                <w:b w:val="0"/>
                <w:i w:val="0"/>
                <w:sz w:val="18"/>
              </w:rPr>
              <w:t>工业化工矩阵</w:t>
            </w:r>
          </w:p>
        </w:tc>
        <w:tc>
          <w:tcPr>
            <w:tcW w:type="dxa" w:w="1660"/>
          </w:tcPr>
          <w:p>
            <w:r/>
            <w:r>
              <w:rPr>
                <w:rFonts w:ascii="Calibri" w:hAnsi="Calibri" w:eastAsia="微软雅黑"/>
                <w:b w:val="0"/>
                <w:i w:val="0"/>
                <w:sz w:val="18"/>
              </w:rPr>
              <w:t>天辰、成达、五环、华陆、赛鼎、东华6家全入TOP50，合计4,229,124万元（own_calc）[来源: P000001]</w:t>
            </w:r>
          </w:p>
        </w:tc>
        <w:tc>
          <w:tcPr>
            <w:tcW w:type="dxa" w:w="1660"/>
          </w:tcPr>
          <w:p>
            <w:r/>
            <w:r>
              <w:rPr>
                <w:rFonts w:ascii="Calibri" w:hAnsi="Calibri" w:eastAsia="微软雅黑"/>
                <w:b w:val="0"/>
                <w:i w:val="0"/>
                <w:sz w:val="18"/>
              </w:rPr>
              <w:t>"技术研发+EPC"双轮；煤化工技术占国内绝大部分份额 [来源: P000013]</w:t>
            </w:r>
          </w:p>
        </w:tc>
        <w:tc>
          <w:tcPr>
            <w:tcW w:type="dxa" w:w="1660"/>
          </w:tcPr>
          <w:p>
            <w:r/>
            <w:r>
              <w:rPr>
                <w:rFonts w:ascii="Calibri" w:hAnsi="Calibri" w:eastAsia="微软雅黑"/>
                <w:b w:val="0"/>
                <w:i w:val="0"/>
                <w:sz w:val="18"/>
              </w:rPr>
              <w:t>2025年营业总收入1,901.25亿元 [来源: P000013]；化工EPC绝对主导</w:t>
            </w:r>
          </w:p>
        </w:tc>
      </w:tr>
      <w:tr>
        <w:tc>
          <w:tcPr>
            <w:tcW w:type="dxa" w:w="1660"/>
          </w:tcPr>
          <w:p>
            <w:r/>
            <w:r>
              <w:rPr>
                <w:rFonts w:ascii="Calibri" w:hAnsi="Calibri" w:eastAsia="微软雅黑"/>
                <w:b w:val="0"/>
                <w:i w:val="0"/>
                <w:sz w:val="18"/>
              </w:rPr>
              <w:t>中核工程</w:t>
            </w:r>
          </w:p>
        </w:tc>
        <w:tc>
          <w:tcPr>
            <w:tcW w:type="dxa" w:w="1660"/>
          </w:tcPr>
          <w:p>
            <w:r/>
            <w:r>
              <w:rPr>
                <w:rFonts w:ascii="Calibri" w:hAnsi="Calibri" w:eastAsia="微软雅黑"/>
                <w:b w:val="0"/>
                <w:i w:val="0"/>
                <w:sz w:val="18"/>
              </w:rPr>
              <w:t>大国重器系统总包</w:t>
            </w:r>
          </w:p>
        </w:tc>
        <w:tc>
          <w:tcPr>
            <w:tcW w:type="dxa" w:w="1660"/>
          </w:tcPr>
          <w:p>
            <w:r/>
            <w:r>
              <w:rPr>
                <w:rFonts w:ascii="Calibri" w:hAnsi="Calibri" w:eastAsia="微软雅黑"/>
                <w:b w:val="0"/>
                <w:i w:val="0"/>
                <w:sz w:val="18"/>
              </w:rPr>
              <w:t>2,286,021万元，第6位 [来源: P000001]；单台机组投资超200亿元 [来源: P000051]</w:t>
            </w:r>
          </w:p>
        </w:tc>
        <w:tc>
          <w:tcPr>
            <w:tcW w:type="dxa" w:w="1660"/>
          </w:tcPr>
          <w:p>
            <w:r/>
            <w:r>
              <w:rPr>
                <w:rFonts w:ascii="Calibri" w:hAnsi="Calibri" w:eastAsia="微软雅黑"/>
                <w:b w:val="0"/>
                <w:i w:val="0"/>
                <w:sz w:val="18"/>
              </w:rPr>
              <w:t>战略协调枢纽；EB五层架构；四方联合测量；穹顶吊装提前35天 [来源: P000051]</w:t>
            </w:r>
          </w:p>
        </w:tc>
        <w:tc>
          <w:tcPr>
            <w:tcW w:type="dxa" w:w="1660"/>
          </w:tcPr>
          <w:p>
            <w:r/>
            <w:r>
              <w:rPr>
                <w:rFonts w:ascii="Calibri" w:hAnsi="Calibri" w:eastAsia="微软雅黑"/>
                <w:b w:val="0"/>
                <w:i w:val="0"/>
                <w:sz w:val="18"/>
              </w:rPr>
              <w:t>"华龙一号"首堆高质量投产；六大控制七个零体系 [来源: P000051]</w:t>
            </w:r>
          </w:p>
        </w:tc>
      </w:tr>
      <w:tr>
        <w:tc>
          <w:tcPr>
            <w:tcW w:type="dxa" w:w="1660"/>
          </w:tcPr>
          <w:p>
            <w:r/>
            <w:r>
              <w:rPr>
                <w:rFonts w:ascii="Calibri" w:hAnsi="Calibri" w:eastAsia="微软雅黑"/>
                <w:b w:val="0"/>
                <w:i w:val="0"/>
                <w:sz w:val="18"/>
              </w:rPr>
              <w:t>中材国际</w:t>
            </w:r>
          </w:p>
        </w:tc>
        <w:tc>
          <w:tcPr>
            <w:tcW w:type="dxa" w:w="1660"/>
          </w:tcPr>
          <w:p>
            <w:r/>
            <w:r>
              <w:rPr>
                <w:rFonts w:ascii="Calibri" w:hAnsi="Calibri" w:eastAsia="微软雅黑"/>
                <w:b w:val="0"/>
                <w:i w:val="0"/>
                <w:sz w:val="18"/>
              </w:rPr>
              <w:t>海外国际化典范</w:t>
            </w:r>
          </w:p>
        </w:tc>
        <w:tc>
          <w:tcPr>
            <w:tcW w:type="dxa" w:w="1660"/>
          </w:tcPr>
          <w:p>
            <w:r/>
            <w:r>
              <w:rPr>
                <w:rFonts w:ascii="Calibri" w:hAnsi="Calibri" w:eastAsia="微软雅黑"/>
                <w:b w:val="0"/>
                <w:i w:val="0"/>
                <w:sz w:val="18"/>
              </w:rPr>
              <w:t>2025年发布榜单境外榜首1,402,850万元 [来源: P000005]；全球市占率连续17年第一 [来源: P000026]</w:t>
            </w:r>
          </w:p>
        </w:tc>
        <w:tc>
          <w:tcPr>
            <w:tcW w:type="dxa" w:w="1660"/>
          </w:tcPr>
          <w:p>
            <w:r/>
            <w:r>
              <w:rPr>
                <w:rFonts w:ascii="Calibri" w:hAnsi="Calibri" w:eastAsia="微软雅黑"/>
                <w:b w:val="0"/>
                <w:i w:val="0"/>
                <w:sz w:val="18"/>
              </w:rPr>
              <w:t>全球属地经营；91国351条生产线；运维矿山318个项目 [来源: P000026]</w:t>
            </w:r>
          </w:p>
        </w:tc>
        <w:tc>
          <w:tcPr>
            <w:tcW w:type="dxa" w:w="1660"/>
          </w:tcPr>
          <w:p>
            <w:r/>
            <w:r>
              <w:rPr>
                <w:rFonts w:ascii="Calibri" w:hAnsi="Calibri" w:eastAsia="微软雅黑"/>
                <w:b w:val="0"/>
                <w:i w:val="0"/>
                <w:sz w:val="18"/>
              </w:rPr>
              <w:t>ENR全球第43位；境外收入160.39亿元（+12.16%）[来源: P000026]</w:t>
            </w:r>
          </w:p>
        </w:tc>
      </w:tr>
      <w:tr>
        <w:tc>
          <w:tcPr>
            <w:tcW w:type="dxa" w:w="1660"/>
          </w:tcPr>
          <w:p>
            <w:r/>
            <w:r>
              <w:rPr>
                <w:rFonts w:ascii="Calibri" w:hAnsi="Calibri" w:eastAsia="微软雅黑"/>
                <w:b w:val="0"/>
                <w:i w:val="0"/>
                <w:sz w:val="18"/>
              </w:rPr>
              <w:t>四川路桥</w:t>
            </w:r>
          </w:p>
        </w:tc>
        <w:tc>
          <w:tcPr>
            <w:tcW w:type="dxa" w:w="1660"/>
          </w:tcPr>
          <w:p>
            <w:r/>
            <w:r>
              <w:rPr>
                <w:rFonts w:ascii="Calibri" w:hAnsi="Calibri" w:eastAsia="微软雅黑"/>
                <w:b w:val="0"/>
                <w:i w:val="0"/>
                <w:sz w:val="18"/>
              </w:rPr>
              <w:t>施工延伸与投建一体</w:t>
            </w:r>
          </w:p>
        </w:tc>
        <w:tc>
          <w:tcPr>
            <w:tcW w:type="dxa" w:w="1660"/>
          </w:tcPr>
          <w:p>
            <w:r/>
            <w:r>
              <w:rPr>
                <w:rFonts w:ascii="Calibri" w:hAnsi="Calibri" w:eastAsia="微软雅黑"/>
                <w:b w:val="0"/>
                <w:i w:val="0"/>
                <w:sz w:val="18"/>
              </w:rPr>
              <w:t>2023年营收115,041,513,934.34元（own_calc折算约1,150.42亿元）[来源: P000024]；工程施工毛利率17.97% [来源: P000034]</w:t>
            </w:r>
          </w:p>
        </w:tc>
        <w:tc>
          <w:tcPr>
            <w:tcW w:type="dxa" w:w="1660"/>
          </w:tcPr>
          <w:p>
            <w:r/>
            <w:r>
              <w:rPr>
                <w:rFonts w:ascii="Calibri" w:hAnsi="Calibri" w:eastAsia="微软雅黑"/>
                <w:b w:val="0"/>
                <w:i w:val="0"/>
                <w:sz w:val="18"/>
              </w:rPr>
              <w:t>投资类项目合同额1,293.83亿元带动建安1,100.84亿元 [来源: P000015]</w:t>
            </w:r>
          </w:p>
        </w:tc>
        <w:tc>
          <w:tcPr>
            <w:tcW w:type="dxa" w:w="1660"/>
          </w:tcPr>
          <w:p>
            <w:r/>
            <w:r>
              <w:rPr>
                <w:rFonts w:ascii="Calibri" w:hAnsi="Calibri" w:eastAsia="微软雅黑"/>
                <w:b w:val="0"/>
                <w:i w:val="0"/>
                <w:sz w:val="18"/>
              </w:rPr>
              <w:t>投建一体盈利结构：公路投资运营毛利率66.28% [来源: P000034]</w:t>
            </w:r>
          </w:p>
        </w:tc>
      </w:tr>
    </w:tbl>
    <w:p>
      <w:r>
        <w:rPr>
          <w:rFonts w:ascii="Calibri" w:hAnsi="Calibri" w:eastAsia="微软雅黑"/>
          <w:b w:val="0"/>
          <w:i w:val="0"/>
          <w:sz w:val="22"/>
        </w:rPr>
        <w:t>用这张对标表时须守住一条戒律：取其全程，莫取其一时。表中的任何一项成果，背后都压着长达十年的铺垫期——华东院的数字化起步于二十年前，中材国际的属地网络历经三十余年铺展，中核工程的管控体系由数十台机组迭代而来。若只把当下的成果数字当作追赶目标，而忽视时间复利的存在，对标就会退化为不切实际的跃进规划；正确的做法是把每一列成果倒推回其铺垫期的动作序列，再按自身年限折算可行的阶段性目标（本段为本研究使用指引）。</w:t>
      </w:r>
    </w:p>
    <w:p>
      <w:r>
        <w:rPr>
          <w:rFonts w:ascii="Calibri" w:hAnsi="Calibri" w:eastAsia="微软雅黑"/>
          <w:b w:val="0"/>
          <w:i w:val="0"/>
          <w:sz w:val="22"/>
        </w:rPr>
        <w:t>---</w:t>
      </w:r>
    </w:p>
    <w:p>
      <w:pPr>
        <w:pStyle w:val="Heading2"/>
      </w:pPr>
      <w:r>
        <w:t>1.4 全景图谱与方法论：EPC全过程风险防范矩阵与能力提升四步法</w:t>
      </w:r>
    </w:p>
    <w:p>
      <w:r>
        <w:rPr>
          <w:rFonts w:ascii="Calibri" w:hAnsi="Calibri" w:eastAsia="微软雅黑"/>
          <w:b w:val="0"/>
          <w:i w:val="0"/>
          <w:sz w:val="22"/>
        </w:rPr>
        <w:t>在总承包业务模式下，承包商的权力与收益大幅扩充，但其责任边界与风险暴露面也成倍扩大 (P000012)。传统施工总承包模式下，"照图施工"的承包商往往将设计变更与地质条件变化转化为索赔与签证；而在全过程EPC模式下，发包人将集成责任赋予总承包商，大部分设计错误、地质勘察偏差、采购延误及价格波动风险均被转移至总承包商身上 (P000012)。本节依托工程总承包风险与防范专业研究 (P000012) 与GB/T 50358-2017国家规范，构建四大核心风险防范矩阵，并提出可执行的"能力提升四步法" (P000012, P000003)。</w:t>
      </w:r>
    </w:p>
    <w:p>
      <w:r>
        <w:rPr>
          <w:rFonts w:ascii="Calibri" w:hAnsi="Calibri" w:eastAsia="微软雅黑"/>
          <w:b w:val="0"/>
          <w:i w:val="0"/>
          <w:sz w:val="22"/>
        </w:rPr>
        <w:t>动用矩阵之前，先校准各层级的风险胃口：董事会关心的是企业存续量级的尾部风险，经营班子权衡的是项目盈亏的中段分布，项目部背的是工期与验收的日常指标——三层胃口天然错位，若不事先对齐，同一个风险项会被三个层级给出三种轻重缓急。建议在年度经营计划里写明各层级的承接边界，让矩阵的每一格都有明确的主人（本段为本研究方法论建议）。</w:t>
      </w:r>
    </w:p>
    <w:p>
      <w:pPr>
        <w:pStyle w:val="Heading3"/>
      </w:pPr>
      <w:r>
        <w:t>1.4.1 工程总承包全过程四大风险矩阵与防控机制</w:t>
      </w:r>
    </w:p>
    <w:p>
      <w:pPr>
        <w:pStyle w:val="Heading4"/>
      </w:pPr>
      <w:r>
        <w:t>1. 设计风险与防控机制（Design Risk &amp; Mitigation）</w:t>
      </w:r>
    </w:p>
    <w:p>
      <w:r>
        <w:rPr>
          <w:rFonts w:ascii="Calibri" w:hAnsi="Calibri" w:eastAsia="微软雅黑"/>
          <w:b w:val="0"/>
          <w:i w:val="0"/>
          <w:sz w:val="22"/>
        </w:rPr>
        <w:t>设计是EPC项目的"大脑与灵魂"，设计风险是总承包项目亏损的最主要源头 (P000012)。</w:t>
      </w:r>
    </w:p>
    <w:p>
      <w:pPr>
        <w:pStyle w:val="ListBullet"/>
      </w:pPr>
      <w:r>
        <w:rPr>
          <w:rFonts w:ascii="Calibri" w:hAnsi="Calibri" w:eastAsia="微软雅黑"/>
          <w:b/>
          <w:i w:val="0"/>
          <w:sz w:val="22"/>
        </w:rPr>
        <w:t>核心风险点</w:t>
      </w:r>
      <w:r>
        <w:rPr>
          <w:rFonts w:ascii="Calibri" w:hAnsi="Calibri" w:eastAsia="微软雅黑"/>
          <w:b w:val="0"/>
          <w:i w:val="0"/>
          <w:sz w:val="22"/>
        </w:rPr>
        <w:t>：</w:t>
      </w:r>
    </w:p>
    <w:p>
      <w:r>
        <w:rPr>
          <w:rFonts w:ascii="Calibri" w:hAnsi="Calibri" w:eastAsia="微软雅黑"/>
          <w:b w:val="0"/>
          <w:i w:val="0"/>
          <w:sz w:val="22"/>
        </w:rPr>
        <w:t xml:space="preserve">1. </w:t>
      </w:r>
      <w:r>
        <w:rPr>
          <w:rFonts w:ascii="Calibri" w:hAnsi="Calibri" w:eastAsia="微软雅黑"/>
          <w:b/>
          <w:i w:val="0"/>
          <w:sz w:val="22"/>
        </w:rPr>
        <w:t>地质勘察与资料真实性风险</w:t>
      </w:r>
      <w:r>
        <w:rPr>
          <w:rFonts w:ascii="Calibri" w:hAnsi="Calibri" w:eastAsia="微软雅黑"/>
          <w:b w:val="0"/>
          <w:i w:val="0"/>
          <w:sz w:val="22"/>
        </w:rPr>
        <w:t>：发包人提供的地勘报告或前期资料存在疏漏，合同约定由总承包商对勘察准确性负责，导致基础追加与地基处理费用暴涨 (P000012)。</w:t>
      </w:r>
    </w:p>
    <w:p>
      <w:r>
        <w:rPr>
          <w:rFonts w:ascii="Calibri" w:hAnsi="Calibri" w:eastAsia="微软雅黑"/>
          <w:b w:val="0"/>
          <w:i w:val="0"/>
          <w:sz w:val="22"/>
        </w:rPr>
        <w:t xml:space="preserve">2. </w:t>
      </w:r>
      <w:r>
        <w:rPr>
          <w:rFonts w:ascii="Calibri" w:hAnsi="Calibri" w:eastAsia="微软雅黑"/>
          <w:b/>
          <w:i w:val="0"/>
          <w:sz w:val="22"/>
        </w:rPr>
        <w:t>设计范围与标准不清</w:t>
      </w:r>
      <w:r>
        <w:rPr>
          <w:rFonts w:ascii="Calibri" w:hAnsi="Calibri" w:eastAsia="微软雅黑"/>
          <w:b w:val="0"/>
          <w:i w:val="0"/>
          <w:sz w:val="22"/>
        </w:rPr>
        <w:t>：发包人要求过于宽泛或存在歧义，导致施工图审查时发包人频繁要求提高建设标准或增加功能，引发重大设计变更 (P000012)。</w:t>
      </w:r>
    </w:p>
    <w:p>
      <w:r>
        <w:rPr>
          <w:rFonts w:ascii="Calibri" w:hAnsi="Calibri" w:eastAsia="微软雅黑"/>
          <w:b w:val="0"/>
          <w:i w:val="0"/>
          <w:sz w:val="22"/>
        </w:rPr>
        <w:t xml:space="preserve">3. </w:t>
      </w:r>
      <w:r>
        <w:rPr>
          <w:rFonts w:ascii="Calibri" w:hAnsi="Calibri" w:eastAsia="微软雅黑"/>
          <w:b/>
          <w:i w:val="0"/>
          <w:sz w:val="22"/>
        </w:rPr>
        <w:t>深化设计与可施工性失配</w:t>
      </w:r>
      <w:r>
        <w:rPr>
          <w:rFonts w:ascii="Calibri" w:hAnsi="Calibri" w:eastAsia="微软雅黑"/>
          <w:b w:val="0"/>
          <w:i w:val="0"/>
          <w:sz w:val="22"/>
        </w:rPr>
        <w:t>：设计人员缺乏建造实践经验，图纸"好看不好造"，导致现场频繁返工、二次拆改 (P000012)。</w:t>
      </w:r>
    </w:p>
    <w:p>
      <w:r>
        <w:rPr>
          <w:rFonts w:ascii="Calibri" w:hAnsi="Calibri" w:eastAsia="微软雅黑"/>
          <w:b w:val="0"/>
          <w:i w:val="0"/>
          <w:sz w:val="22"/>
        </w:rPr>
        <w:t xml:space="preserve">4. </w:t>
      </w:r>
      <w:r>
        <w:rPr>
          <w:rFonts w:ascii="Calibri" w:hAnsi="Calibri" w:eastAsia="微软雅黑"/>
          <w:b/>
          <w:i w:val="0"/>
          <w:sz w:val="22"/>
        </w:rPr>
        <w:t>设计进度拖延</w:t>
      </w:r>
      <w:r>
        <w:rPr>
          <w:rFonts w:ascii="Calibri" w:hAnsi="Calibri" w:eastAsia="微软雅黑"/>
          <w:b w:val="0"/>
          <w:i w:val="0"/>
          <w:sz w:val="22"/>
        </w:rPr>
        <w:t>：设计图纸出图节点滞后，直接挤压采购与施工窗口期，引发全线工期索赔 (P000012)。</w:t>
      </w:r>
    </w:p>
    <w:p>
      <w:pPr>
        <w:pStyle w:val="ListBullet"/>
      </w:pPr>
      <w:r>
        <w:rPr>
          <w:rFonts w:ascii="Calibri" w:hAnsi="Calibri" w:eastAsia="微软雅黑"/>
          <w:b/>
          <w:i w:val="0"/>
          <w:sz w:val="22"/>
        </w:rPr>
        <w:t>可执行防控机制</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明确勘察与资料复核界面</w:t>
      </w:r>
      <w:r>
        <w:rPr>
          <w:rFonts w:ascii="Calibri" w:hAnsi="Calibri" w:eastAsia="微软雅黑"/>
          <w:b w:val="0"/>
          <w:i w:val="0"/>
          <w:sz w:val="22"/>
        </w:rPr>
        <w:t>：合同签订前对发包人提供的初勘资料进行严密风险评估，在合同中争取"发包人对其提供基础资料的真实性、准确性负责"条款；若合同规定总包负责详细勘察，必须委托具有相应资质的勘察单位进行详勘复核 (P000012)。</w:t>
      </w:r>
    </w:p>
    <w:p>
      <w:r>
        <w:rPr>
          <w:rFonts w:ascii="Calibri" w:hAnsi="Calibri" w:eastAsia="微软雅黑"/>
          <w:b w:val="0"/>
          <w:i w:val="0"/>
          <w:sz w:val="22"/>
        </w:rPr>
        <w:t xml:space="preserve">- </w:t>
      </w:r>
      <w:r>
        <w:rPr>
          <w:rFonts w:ascii="Calibri" w:hAnsi="Calibri" w:eastAsia="微软雅黑"/>
          <w:b/>
          <w:i w:val="0"/>
          <w:sz w:val="22"/>
        </w:rPr>
        <w:t>推行可施工性审查</w:t>
      </w:r>
      <w:r>
        <w:rPr>
          <w:rFonts w:ascii="Calibri" w:hAnsi="Calibri" w:eastAsia="微软雅黑"/>
          <w:b w:val="0"/>
          <w:i w:val="0"/>
          <w:sz w:val="22"/>
        </w:rPr>
        <w:t>：初步设计阶段必须由施工经理与采购经理提前介入，对大件吊装、管线碰撞与结构施工工法开展联合会审，将设计优化与降本动作锁定在图纸批复之前 (P000012, P000003)。</w:t>
      </w:r>
    </w:p>
    <w:p>
      <w:r>
        <w:rPr>
          <w:rFonts w:ascii="Calibri" w:hAnsi="Calibri" w:eastAsia="微软雅黑"/>
          <w:b w:val="0"/>
          <w:i w:val="0"/>
          <w:sz w:val="22"/>
        </w:rPr>
        <w:t xml:space="preserve">- </w:t>
      </w:r>
      <w:r>
        <w:rPr>
          <w:rFonts w:ascii="Calibri" w:hAnsi="Calibri" w:eastAsia="微软雅黑"/>
          <w:b/>
          <w:i w:val="0"/>
          <w:sz w:val="22"/>
        </w:rPr>
        <w:t>建立发包人成果书面确认机制</w:t>
      </w:r>
      <w:r>
        <w:rPr>
          <w:rFonts w:ascii="Calibri" w:hAnsi="Calibri" w:eastAsia="微软雅黑"/>
          <w:b w:val="0"/>
          <w:i w:val="0"/>
          <w:sz w:val="22"/>
        </w:rPr>
        <w:t>：对初步设计、施工图设计等关键节点设立严格的发包人书面签认时限与"逾期视为通过"机制，防止发包人无休止的口头修改要求 (P000012)。</w:t>
      </w:r>
    </w:p>
    <w:p>
      <w:r>
        <w:rPr>
          <w:rFonts w:ascii="Calibri" w:hAnsi="Calibri" w:eastAsia="微软雅黑"/>
          <w:b w:val="0"/>
          <w:i w:val="0"/>
          <w:sz w:val="22"/>
        </w:rPr>
        <w:t>源头治理与事后索赔的成本不对称，是设计风险条目最该被记住的一点。图纸阶段的过失，修正成本以绘图工时计；带到采购阶段，变成设备返厂与改型费用；带到现场，则放大为拆除返工、工期顺延与连带索赔。三道防线的真正作用，是把纠错动作尽可能钉死在成本曲线最平缓的那一段（本段为本研究解读性判断）。</w:t>
      </w:r>
    </w:p>
    <w:p>
      <w:pPr>
        <w:pStyle w:val="Heading4"/>
      </w:pPr>
      <w:r>
        <w:t>2. 采购与设备供应链风险防控（Procurement &amp; Supply Chain Risk）</w:t>
      </w:r>
    </w:p>
    <w:p>
      <w:r>
        <w:rPr>
          <w:rFonts w:ascii="Calibri" w:hAnsi="Calibri" w:eastAsia="微软雅黑"/>
          <w:b w:val="0"/>
          <w:i w:val="0"/>
          <w:sz w:val="22"/>
        </w:rPr>
        <w:t>采购是EPC项目资金消耗最大且最具杠杆效益的环节 (P000012)。</w:t>
      </w:r>
    </w:p>
    <w:p>
      <w:pPr>
        <w:pStyle w:val="ListBullet"/>
      </w:pPr>
      <w:r>
        <w:rPr>
          <w:rFonts w:ascii="Calibri" w:hAnsi="Calibri" w:eastAsia="微软雅黑"/>
          <w:b/>
          <w:i w:val="0"/>
          <w:sz w:val="22"/>
        </w:rPr>
        <w:t>核心风险点</w:t>
      </w:r>
      <w:r>
        <w:rPr>
          <w:rFonts w:ascii="Calibri" w:hAnsi="Calibri" w:eastAsia="微软雅黑"/>
          <w:b w:val="0"/>
          <w:i w:val="0"/>
          <w:sz w:val="22"/>
        </w:rPr>
        <w:t>：</w:t>
      </w:r>
    </w:p>
    <w:p>
      <w:r>
        <w:rPr>
          <w:rFonts w:ascii="Calibri" w:hAnsi="Calibri" w:eastAsia="微软雅黑"/>
          <w:b w:val="0"/>
          <w:i w:val="0"/>
          <w:sz w:val="22"/>
        </w:rPr>
        <w:t xml:space="preserve">1. </w:t>
      </w:r>
      <w:r>
        <w:rPr>
          <w:rFonts w:ascii="Calibri" w:hAnsi="Calibri" w:eastAsia="微软雅黑"/>
          <w:b/>
          <w:i w:val="0"/>
          <w:sz w:val="22"/>
        </w:rPr>
        <w:t>技术规格书失配</w:t>
      </w:r>
      <w:r>
        <w:rPr>
          <w:rFonts w:ascii="Calibri" w:hAnsi="Calibri" w:eastAsia="微软雅黑"/>
          <w:b w:val="0"/>
          <w:i w:val="0"/>
          <w:sz w:val="22"/>
        </w:rPr>
        <w:t>：设计部门出具的采购技术规格书与设备供应商实际产品参数存在接口偏差，设备到场后无法安装 (P000012)。</w:t>
      </w:r>
    </w:p>
    <w:p>
      <w:r>
        <w:rPr>
          <w:rFonts w:ascii="Calibri" w:hAnsi="Calibri" w:eastAsia="微软雅黑"/>
          <w:b w:val="0"/>
          <w:i w:val="0"/>
          <w:sz w:val="22"/>
        </w:rPr>
        <w:t xml:space="preserve">2. </w:t>
      </w:r>
      <w:r>
        <w:rPr>
          <w:rFonts w:ascii="Calibri" w:hAnsi="Calibri" w:eastAsia="微软雅黑"/>
          <w:b/>
          <w:i w:val="0"/>
          <w:sz w:val="22"/>
        </w:rPr>
        <w:t>供应商履约拖延与质量缺陷</w:t>
      </w:r>
      <w:r>
        <w:rPr>
          <w:rFonts w:ascii="Calibri" w:hAnsi="Calibri" w:eastAsia="微软雅黑"/>
          <w:b w:val="0"/>
          <w:i w:val="0"/>
          <w:sz w:val="22"/>
        </w:rPr>
        <w:t>：长周期设备生产延期或到场检验不合格，直接引发现场停工待料 (P000012)。</w:t>
      </w:r>
    </w:p>
    <w:p>
      <w:r>
        <w:rPr>
          <w:rFonts w:ascii="Calibri" w:hAnsi="Calibri" w:eastAsia="微软雅黑"/>
          <w:b w:val="0"/>
          <w:i w:val="0"/>
          <w:sz w:val="22"/>
        </w:rPr>
        <w:t xml:space="preserve">3. </w:t>
      </w:r>
      <w:r>
        <w:rPr>
          <w:rFonts w:ascii="Calibri" w:hAnsi="Calibri" w:eastAsia="微软雅黑"/>
          <w:b/>
          <w:i w:val="0"/>
          <w:sz w:val="22"/>
        </w:rPr>
        <w:t>发包人强行指定品牌或共同招标</w:t>
      </w:r>
      <w:r>
        <w:rPr>
          <w:rFonts w:ascii="Calibri" w:hAnsi="Calibri" w:eastAsia="微软雅黑"/>
          <w:b w:val="0"/>
          <w:i w:val="0"/>
          <w:sz w:val="22"/>
        </w:rPr>
        <w:t>：发包人指定设备品牌或参与共同招标，但发生设备质量或交货延误时却拒绝承担责任，将风险推给总包 (P000012)。</w:t>
      </w:r>
    </w:p>
    <w:p>
      <w:r>
        <w:rPr>
          <w:rFonts w:ascii="Calibri" w:hAnsi="Calibri" w:eastAsia="微软雅黑"/>
          <w:b w:val="0"/>
          <w:i w:val="0"/>
          <w:sz w:val="22"/>
        </w:rPr>
        <w:t xml:space="preserve">4. </w:t>
      </w:r>
      <w:r>
        <w:rPr>
          <w:rFonts w:ascii="Calibri" w:hAnsi="Calibri" w:eastAsia="微软雅黑"/>
          <w:b/>
          <w:i w:val="0"/>
          <w:sz w:val="22"/>
        </w:rPr>
        <w:t>知识产权瑕疵风险</w:t>
      </w:r>
      <w:r>
        <w:rPr>
          <w:rFonts w:ascii="Calibri" w:hAnsi="Calibri" w:eastAsia="微软雅黑"/>
          <w:b w:val="0"/>
          <w:i w:val="0"/>
          <w:sz w:val="22"/>
        </w:rPr>
        <w:t>：采购的专利设备或工艺套件存在权利瑕疵，引发第三方主张 (P000012)。</w:t>
      </w:r>
    </w:p>
    <w:p>
      <w:pPr>
        <w:pStyle w:val="ListBullet"/>
      </w:pPr>
      <w:r>
        <w:rPr>
          <w:rFonts w:ascii="Calibri" w:hAnsi="Calibri" w:eastAsia="微软雅黑"/>
          <w:b/>
          <w:i w:val="0"/>
          <w:sz w:val="22"/>
        </w:rPr>
        <w:t>可执行防控机制</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设计与采购一体化联动</w:t>
      </w:r>
      <w:r>
        <w:rPr>
          <w:rFonts w:ascii="Calibri" w:hAnsi="Calibri" w:eastAsia="微软雅黑"/>
          <w:b w:val="0"/>
          <w:i w:val="0"/>
          <w:sz w:val="22"/>
        </w:rPr>
        <w:t>：采购经理必须在设计出图前参与设备选型，确保设计图纸中的安装接口与供应商标准产品一致 (P000012)。</w:t>
      </w:r>
    </w:p>
    <w:p>
      <w:r>
        <w:rPr>
          <w:rFonts w:ascii="Calibri" w:hAnsi="Calibri" w:eastAsia="微软雅黑"/>
          <w:b w:val="0"/>
          <w:i w:val="0"/>
          <w:sz w:val="22"/>
        </w:rPr>
        <w:t xml:space="preserve">- </w:t>
      </w:r>
      <w:r>
        <w:rPr>
          <w:rFonts w:ascii="Calibri" w:hAnsi="Calibri" w:eastAsia="微软雅黑"/>
          <w:b/>
          <w:i w:val="0"/>
          <w:sz w:val="22"/>
        </w:rPr>
        <w:t>建立驻厂监造与催交体系</w:t>
      </w:r>
      <w:r>
        <w:rPr>
          <w:rFonts w:ascii="Calibri" w:hAnsi="Calibri" w:eastAsia="微软雅黑"/>
          <w:b w:val="0"/>
          <w:i w:val="0"/>
          <w:sz w:val="22"/>
        </w:rPr>
        <w:t>：对反应器、发电机组、特种阀门等关键设备，总包须派出驻厂监造人员对原材料进场、加工工艺、水压试验全过程跟踪，确保设备按计划网格进场 (P000012)。</w:t>
      </w:r>
    </w:p>
    <w:p>
      <w:r>
        <w:rPr>
          <w:rFonts w:ascii="Calibri" w:hAnsi="Calibri" w:eastAsia="微软雅黑"/>
          <w:b w:val="0"/>
          <w:i w:val="0"/>
          <w:sz w:val="22"/>
        </w:rPr>
        <w:t xml:space="preserve">- </w:t>
      </w:r>
      <w:r>
        <w:rPr>
          <w:rFonts w:ascii="Calibri" w:hAnsi="Calibri" w:eastAsia="微软雅黑"/>
          <w:b/>
          <w:i w:val="0"/>
          <w:sz w:val="22"/>
        </w:rPr>
        <w:t>明确指定品牌的责任界定</w:t>
      </w:r>
      <w:r>
        <w:rPr>
          <w:rFonts w:ascii="Calibri" w:hAnsi="Calibri" w:eastAsia="微软雅黑"/>
          <w:b w:val="0"/>
          <w:i w:val="0"/>
          <w:sz w:val="22"/>
        </w:rPr>
        <w:t>：合同中明确约定发包人指定设备品牌或联合招标的，发包人须对该设备质量、交货期及售后承担相应责任；对所有采购合同设置供应商知识产权担保与赔偿防线 (P000012)。</w:t>
      </w:r>
    </w:p>
    <w:p>
      <w:pPr>
        <w:pStyle w:val="Heading4"/>
      </w:pPr>
      <w:r>
        <w:t>3. 价格包干与现金流风险防控（Financial &amp; Cash Flow Risk）</w:t>
      </w:r>
    </w:p>
    <w:p>
      <w:r>
        <w:rPr>
          <w:rFonts w:ascii="Calibri" w:hAnsi="Calibri" w:eastAsia="微软雅黑"/>
          <w:b w:val="0"/>
          <w:i w:val="0"/>
          <w:sz w:val="22"/>
        </w:rPr>
        <w:t>总承包合同大多采用固定总价包干形式，价格与现金流风险直接关系到企业的生死存亡 (P000012)。</w:t>
      </w:r>
    </w:p>
    <w:p>
      <w:pPr>
        <w:pStyle w:val="ListBullet"/>
      </w:pPr>
      <w:r>
        <w:rPr>
          <w:rFonts w:ascii="Calibri" w:hAnsi="Calibri" w:eastAsia="微软雅黑"/>
          <w:b/>
          <w:i w:val="0"/>
          <w:sz w:val="22"/>
        </w:rPr>
        <w:t>核心风险点</w:t>
      </w:r>
      <w:r>
        <w:rPr>
          <w:rFonts w:ascii="Calibri" w:hAnsi="Calibri" w:eastAsia="微软雅黑"/>
          <w:b w:val="0"/>
          <w:i w:val="0"/>
          <w:sz w:val="22"/>
        </w:rPr>
        <w:t>：</w:t>
      </w:r>
    </w:p>
    <w:p>
      <w:r>
        <w:rPr>
          <w:rFonts w:ascii="Calibri" w:hAnsi="Calibri" w:eastAsia="微软雅黑"/>
          <w:b w:val="0"/>
          <w:i w:val="0"/>
          <w:sz w:val="22"/>
        </w:rPr>
        <w:t xml:space="preserve">1. </w:t>
      </w:r>
      <w:r>
        <w:rPr>
          <w:rFonts w:ascii="Calibri" w:hAnsi="Calibri" w:eastAsia="微软雅黑"/>
          <w:b/>
          <w:i w:val="0"/>
          <w:sz w:val="22"/>
        </w:rPr>
        <w:t>物价暴涨与宏观通胀</w:t>
      </w:r>
      <w:r>
        <w:rPr>
          <w:rFonts w:ascii="Calibri" w:hAnsi="Calibri" w:eastAsia="微软雅黑"/>
          <w:b w:val="0"/>
          <w:i w:val="0"/>
          <w:sz w:val="22"/>
        </w:rPr>
        <w:t>：钢材、水泥、电缆等大宗物资价格暴涨或人工成本大幅上升，挤干总包预期利润 (P000012)。</w:t>
      </w:r>
    </w:p>
    <w:p>
      <w:r>
        <w:rPr>
          <w:rFonts w:ascii="Calibri" w:hAnsi="Calibri" w:eastAsia="微软雅黑"/>
          <w:b w:val="0"/>
          <w:i w:val="0"/>
          <w:sz w:val="22"/>
        </w:rPr>
        <w:t xml:space="preserve">2. </w:t>
      </w:r>
      <w:r>
        <w:rPr>
          <w:rFonts w:ascii="Calibri" w:hAnsi="Calibri" w:eastAsia="微软雅黑"/>
          <w:b/>
          <w:i w:val="0"/>
          <w:sz w:val="22"/>
        </w:rPr>
        <w:t>"三超"引发的政企审计追缴</w:t>
      </w:r>
      <w:r>
        <w:rPr>
          <w:rFonts w:ascii="Calibri" w:hAnsi="Calibri" w:eastAsia="微软雅黑"/>
          <w:b w:val="0"/>
          <w:i w:val="0"/>
          <w:sz w:val="22"/>
        </w:rPr>
        <w:t>：政府投资EPC项目在竣工审计时按工程量清单重新套定额核减，导致已支付款项被追回 (P000012)。</w:t>
      </w:r>
    </w:p>
    <w:p>
      <w:r>
        <w:rPr>
          <w:rFonts w:ascii="Calibri" w:hAnsi="Calibri" w:eastAsia="微软雅黑"/>
          <w:b w:val="0"/>
          <w:i w:val="0"/>
          <w:sz w:val="22"/>
        </w:rPr>
        <w:t xml:space="preserve">3. </w:t>
      </w:r>
      <w:r>
        <w:rPr>
          <w:rFonts w:ascii="Calibri" w:hAnsi="Calibri" w:eastAsia="微软雅黑"/>
          <w:b/>
          <w:i w:val="0"/>
          <w:sz w:val="22"/>
        </w:rPr>
        <w:t>节点付款滞后与垫资断裂</w:t>
      </w:r>
      <w:r>
        <w:rPr>
          <w:rFonts w:ascii="Calibri" w:hAnsi="Calibri" w:eastAsia="微软雅黑"/>
          <w:b w:val="0"/>
          <w:i w:val="0"/>
          <w:sz w:val="22"/>
        </w:rPr>
        <w:t>：发包人以"设计未终审"或"财政资金未到位"为由拖欠进度款，总包陷入上游收不到钱、下游分包催要款的现金流夹缝 (P000012)。</w:t>
      </w:r>
    </w:p>
    <w:p>
      <w:r>
        <w:rPr>
          <w:rFonts w:ascii="Calibri" w:hAnsi="Calibri" w:eastAsia="微软雅黑"/>
          <w:b w:val="0"/>
          <w:i w:val="0"/>
          <w:sz w:val="22"/>
        </w:rPr>
        <w:t xml:space="preserve">4. </w:t>
      </w:r>
      <w:r>
        <w:rPr>
          <w:rFonts w:ascii="Calibri" w:hAnsi="Calibri" w:eastAsia="微软雅黑"/>
          <w:b/>
          <w:i w:val="0"/>
          <w:sz w:val="22"/>
        </w:rPr>
        <w:t>亏损项目难以及时退出</w:t>
      </w:r>
      <w:r>
        <w:rPr>
          <w:rFonts w:ascii="Calibri" w:hAnsi="Calibri" w:eastAsia="微软雅黑"/>
          <w:b w:val="0"/>
          <w:i w:val="0"/>
          <w:sz w:val="22"/>
        </w:rPr>
        <w:t>：项目出现严重亏损或发包人彻底违约时，总包因缺乏约定解约与停工机制而被迫持续垫资 (P000012)。</w:t>
      </w:r>
    </w:p>
    <w:p>
      <w:pPr>
        <w:pStyle w:val="ListBullet"/>
      </w:pPr>
      <w:r>
        <w:rPr>
          <w:rFonts w:ascii="Calibri" w:hAnsi="Calibri" w:eastAsia="微软雅黑"/>
          <w:b/>
          <w:i w:val="0"/>
          <w:sz w:val="22"/>
        </w:rPr>
        <w:t>可执行防控机制</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设定大宗物资调价公式与风险包干门槛</w:t>
      </w:r>
      <w:r>
        <w:rPr>
          <w:rFonts w:ascii="Calibri" w:hAnsi="Calibri" w:eastAsia="微软雅黑"/>
          <w:b w:val="0"/>
          <w:i w:val="0"/>
          <w:sz w:val="22"/>
        </w:rPr>
        <w:t>：合同中争取设置调价条款，约定主要建材或设备价格上涨幅度超过约定门槛时，超出部分按市场价格指数动态调整（示意性复盘：实务中常见门槛设定在5%-10%区间，具体以合同谈判为准）(P000012)。</w:t>
      </w:r>
    </w:p>
    <w:p>
      <w:r>
        <w:rPr>
          <w:rFonts w:ascii="Calibri" w:hAnsi="Calibri" w:eastAsia="微软雅黑"/>
          <w:b w:val="0"/>
          <w:i w:val="0"/>
          <w:sz w:val="22"/>
        </w:rPr>
        <w:t xml:space="preserve">- </w:t>
      </w:r>
      <w:r>
        <w:rPr>
          <w:rFonts w:ascii="Calibri" w:hAnsi="Calibri" w:eastAsia="微软雅黑"/>
          <w:b/>
          <w:i w:val="0"/>
          <w:sz w:val="22"/>
        </w:rPr>
        <w:t>建立赢得值费用与进度双控机制</w:t>
      </w:r>
      <w:r>
        <w:rPr>
          <w:rFonts w:ascii="Calibri" w:hAnsi="Calibri" w:eastAsia="微软雅黑"/>
          <w:b w:val="0"/>
          <w:i w:val="0"/>
          <w:sz w:val="22"/>
        </w:rPr>
        <w:t>：按GB/T 50358-2017规范定期度量已完工作预算费用与实际费用，发现费用偏差立即纠偏 (P000003)。</w:t>
      </w:r>
    </w:p>
    <w:p>
      <w:r>
        <w:rPr>
          <w:rFonts w:ascii="Calibri" w:hAnsi="Calibri" w:eastAsia="微软雅黑"/>
          <w:b w:val="0"/>
          <w:i w:val="0"/>
          <w:sz w:val="22"/>
        </w:rPr>
        <w:t xml:space="preserve">- </w:t>
      </w:r>
      <w:r>
        <w:rPr>
          <w:rFonts w:ascii="Calibri" w:hAnsi="Calibri" w:eastAsia="微软雅黑"/>
          <w:b/>
          <w:i w:val="0"/>
          <w:sz w:val="22"/>
        </w:rPr>
        <w:t>落实分段结算、逾期停工与解约维权机制</w:t>
      </w:r>
      <w:r>
        <w:rPr>
          <w:rFonts w:ascii="Calibri" w:hAnsi="Calibri" w:eastAsia="微软雅黑"/>
          <w:b w:val="0"/>
          <w:i w:val="0"/>
          <w:sz w:val="22"/>
        </w:rPr>
        <w:t>：合同明确节点付款时限，约定发包人逾期付款的总包暂停施工与利息主张权利、严重逾期下的解约与赔偿安排，严防无限垫资 (P000012)。</w:t>
      </w:r>
    </w:p>
    <w:p>
      <w:r>
        <w:rPr>
          <w:rFonts w:ascii="Calibri" w:hAnsi="Calibri" w:eastAsia="微软雅黑"/>
          <w:b w:val="0"/>
          <w:i w:val="0"/>
          <w:sz w:val="22"/>
        </w:rPr>
        <w:t>现金流的日常监测不需要复杂系统，一张月度仪表盘足矣：横列各在建项目的应收余额、账龄结构、当期回款与垫资敞口，纵列企业整体的资金缺口峰值与授信余量。经营班子的看点有二：一是账龄最长的那几笔对应的项目经理是谁、催收动作是否已经启动；二是资金缺口峰值出现的月份，是否恰好撞上业主惯常的年终支付周期。把这两点盯成习惯，比任何事后救急都更接近"守住了生死线"的本义（本段为本研究方法论建议）。</w:t>
      </w:r>
    </w:p>
    <w:p>
      <w:pPr>
        <w:pStyle w:val="Heading4"/>
      </w:pPr>
      <w:r>
        <w:t>4. 施工分包、联合体与合规收尾风险防控（Subcontracting, Consortium &amp; Close-out Risk）</w:t>
      </w:r>
    </w:p>
    <w:p>
      <w:r>
        <w:rPr>
          <w:rFonts w:ascii="Calibri" w:hAnsi="Calibri" w:eastAsia="微软雅黑"/>
          <w:b w:val="0"/>
          <w:i w:val="0"/>
          <w:sz w:val="22"/>
        </w:rPr>
        <w:t>施工是EPC总承包成果的落地阶段，合规失控将引发毁灭性后果 (P000012)。</w:t>
      </w:r>
    </w:p>
    <w:p>
      <w:pPr>
        <w:pStyle w:val="ListBullet"/>
      </w:pPr>
      <w:r>
        <w:rPr>
          <w:rFonts w:ascii="Calibri" w:hAnsi="Calibri" w:eastAsia="微软雅黑"/>
          <w:b/>
          <w:i w:val="0"/>
          <w:sz w:val="22"/>
        </w:rPr>
        <w:t>核心风险点</w:t>
      </w:r>
      <w:r>
        <w:rPr>
          <w:rFonts w:ascii="Calibri" w:hAnsi="Calibri" w:eastAsia="微软雅黑"/>
          <w:b w:val="0"/>
          <w:i w:val="0"/>
          <w:sz w:val="22"/>
        </w:rPr>
        <w:t>：</w:t>
      </w:r>
    </w:p>
    <w:p>
      <w:r>
        <w:rPr>
          <w:rFonts w:ascii="Calibri" w:hAnsi="Calibri" w:eastAsia="微软雅黑"/>
          <w:b w:val="0"/>
          <w:i w:val="0"/>
          <w:sz w:val="22"/>
        </w:rPr>
        <w:t xml:space="preserve">1. </w:t>
      </w:r>
      <w:r>
        <w:rPr>
          <w:rFonts w:ascii="Calibri" w:hAnsi="Calibri" w:eastAsia="微软雅黑"/>
          <w:b/>
          <w:i w:val="0"/>
          <w:sz w:val="22"/>
        </w:rPr>
        <w:t>违法分包与转包风险</w:t>
      </w:r>
      <w:r>
        <w:rPr>
          <w:rFonts w:ascii="Calibri" w:hAnsi="Calibri" w:eastAsia="微软雅黑"/>
          <w:b w:val="0"/>
          <w:i w:val="0"/>
          <w:sz w:val="22"/>
        </w:rPr>
        <w:t>：总包将主体结构施工分包或分包商二次转包，触犯建筑法红线，面临行政处罚与合同无效风险 (P000012)。</w:t>
      </w:r>
    </w:p>
    <w:p>
      <w:r>
        <w:rPr>
          <w:rFonts w:ascii="Calibri" w:hAnsi="Calibri" w:eastAsia="微软雅黑"/>
          <w:b w:val="0"/>
          <w:i w:val="0"/>
          <w:sz w:val="22"/>
        </w:rPr>
        <w:t xml:space="preserve">2. </w:t>
      </w:r>
      <w:r>
        <w:rPr>
          <w:rFonts w:ascii="Calibri" w:hAnsi="Calibri" w:eastAsia="微软雅黑"/>
          <w:b/>
          <w:i w:val="0"/>
          <w:sz w:val="22"/>
        </w:rPr>
        <w:t>联合体内部连带责任与利益撕扯</w:t>
      </w:r>
      <w:r>
        <w:rPr>
          <w:rFonts w:ascii="Calibri" w:hAnsi="Calibri" w:eastAsia="微软雅黑"/>
          <w:b w:val="0"/>
          <w:i w:val="0"/>
          <w:sz w:val="22"/>
        </w:rPr>
        <w:t>："设计院+施工企业"联合体中标后双方未订立严密内部协议，出现质量事故或工期延误时互相推诿，发包人追究连带责任 (P000012)。</w:t>
      </w:r>
    </w:p>
    <w:p>
      <w:r>
        <w:rPr>
          <w:rFonts w:ascii="Calibri" w:hAnsi="Calibri" w:eastAsia="微软雅黑"/>
          <w:b w:val="0"/>
          <w:i w:val="0"/>
          <w:sz w:val="22"/>
        </w:rPr>
        <w:t xml:space="preserve">3. </w:t>
      </w:r>
      <w:r>
        <w:rPr>
          <w:rFonts w:ascii="Calibri" w:hAnsi="Calibri" w:eastAsia="微软雅黑"/>
          <w:b/>
          <w:i w:val="0"/>
          <w:sz w:val="22"/>
        </w:rPr>
        <w:t>签证认价不落地导致逾期失权</w:t>
      </w:r>
      <w:r>
        <w:rPr>
          <w:rFonts w:ascii="Calibri" w:hAnsi="Calibri" w:eastAsia="微软雅黑"/>
          <w:b w:val="0"/>
          <w:i w:val="0"/>
          <w:sz w:val="22"/>
        </w:rPr>
        <w:t>：现场变更未及时取得发包人书面指令，结算时发包人不予认可；或合同约定变更提出后限时未提交估算即视为放弃 (P000012)。</w:t>
      </w:r>
    </w:p>
    <w:p>
      <w:r>
        <w:rPr>
          <w:rFonts w:ascii="Calibri" w:hAnsi="Calibri" w:eastAsia="微软雅黑"/>
          <w:b w:val="0"/>
          <w:i w:val="0"/>
          <w:sz w:val="22"/>
        </w:rPr>
        <w:t xml:space="preserve">4. </w:t>
      </w:r>
      <w:r>
        <w:rPr>
          <w:rFonts w:ascii="Calibri" w:hAnsi="Calibri" w:eastAsia="微软雅黑"/>
          <w:b/>
          <w:i w:val="0"/>
          <w:sz w:val="22"/>
        </w:rPr>
        <w:t>农民工工资与分包追索</w:t>
      </w:r>
      <w:r>
        <w:rPr>
          <w:rFonts w:ascii="Calibri" w:hAnsi="Calibri" w:eastAsia="微软雅黑"/>
          <w:b w:val="0"/>
          <w:i w:val="0"/>
          <w:sz w:val="22"/>
        </w:rPr>
        <w:t>：分包商拖欠农民工工资引发群体事件，总包承担清偿连带责任 (P000012)。</w:t>
      </w:r>
    </w:p>
    <w:p>
      <w:pPr>
        <w:pStyle w:val="ListBullet"/>
      </w:pPr>
      <w:r>
        <w:rPr>
          <w:rFonts w:ascii="Calibri" w:hAnsi="Calibri" w:eastAsia="微软雅黑"/>
          <w:b/>
          <w:i w:val="0"/>
          <w:sz w:val="22"/>
        </w:rPr>
        <w:t>可执行防控机制</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严控分包资质与实行分级质检防线</w:t>
      </w:r>
      <w:r>
        <w:rPr>
          <w:rFonts w:ascii="Calibri" w:hAnsi="Calibri" w:eastAsia="微软雅黑"/>
          <w:b w:val="0"/>
          <w:i w:val="0"/>
          <w:sz w:val="22"/>
        </w:rPr>
        <w:t>：依法进行专业工程分包，严禁主体结构分包；建立分包商自检、总包复检、监理审查、总包独立抽检的多级质检体系 (P000012)。</w:t>
      </w:r>
    </w:p>
    <w:p>
      <w:r>
        <w:rPr>
          <w:rFonts w:ascii="Calibri" w:hAnsi="Calibri" w:eastAsia="微软雅黑"/>
          <w:b w:val="0"/>
          <w:i w:val="0"/>
          <w:sz w:val="22"/>
        </w:rPr>
        <w:t xml:space="preserve">- </w:t>
      </w:r>
      <w:r>
        <w:rPr>
          <w:rFonts w:ascii="Calibri" w:hAnsi="Calibri" w:eastAsia="微软雅黑"/>
          <w:b/>
          <w:i w:val="0"/>
          <w:sz w:val="22"/>
        </w:rPr>
        <w:t>强化联合体内部协议约束</w:t>
      </w:r>
      <w:r>
        <w:rPr>
          <w:rFonts w:ascii="Calibri" w:hAnsi="Calibri" w:eastAsia="微软雅黑"/>
          <w:b w:val="0"/>
          <w:i w:val="0"/>
          <w:sz w:val="22"/>
        </w:rPr>
        <w:t>：联合体协议必须明确各方工作界面、费用拆分比例、质量工期责任归属及内部追偿路径，避免对外连带责任转化为内部死账 (P000012)。</w:t>
      </w:r>
    </w:p>
    <w:p>
      <w:r>
        <w:rPr>
          <w:rFonts w:ascii="Calibri" w:hAnsi="Calibri" w:eastAsia="微软雅黑"/>
          <w:b w:val="0"/>
          <w:i w:val="0"/>
          <w:sz w:val="22"/>
        </w:rPr>
        <w:t xml:space="preserve">- </w:t>
      </w:r>
      <w:r>
        <w:rPr>
          <w:rFonts w:ascii="Calibri" w:hAnsi="Calibri" w:eastAsia="微软雅黑"/>
          <w:b/>
          <w:i w:val="0"/>
          <w:sz w:val="22"/>
        </w:rPr>
        <w:t>推行"当期书面指令+认价落地"管理</w:t>
      </w:r>
      <w:r>
        <w:rPr>
          <w:rFonts w:ascii="Calibri" w:hAnsi="Calibri" w:eastAsia="微软雅黑"/>
          <w:b w:val="0"/>
          <w:i w:val="0"/>
          <w:sz w:val="22"/>
        </w:rPr>
        <w:t>：现场所有变更遵循"无发包人书面指令不施工"原则，建立变更索赔台账，按合同节点办理书面认价，严防逾期失权 (P000012)。</w:t>
      </w:r>
    </w:p>
    <w:p>
      <w:r>
        <w:rPr>
          <w:rFonts w:ascii="Calibri" w:hAnsi="Calibri" w:eastAsia="微软雅黑"/>
          <w:b w:val="0"/>
          <w:i w:val="0"/>
          <w:sz w:val="22"/>
        </w:rPr>
        <w:t>联合体的择偶标准同样值得写进制度。理想伙伴的三条硬标尺：资质互补而非重叠，设计与施工牌照各执一端；体量匹配而非悬殊，避免小事拖不动、大事谈不拢；履约记录可查，既往项目的诉讼与仲裁瑕疵应当作为一票否决项。把这三条写成联合体立项的前置审查表，能拦下大部分日后撕扯的源头（本段为本研究方法论建议）。</w:t>
      </w:r>
    </w:p>
    <w:p>
      <w:pPr>
        <w:pStyle w:val="Heading4"/>
      </w:pPr>
      <w:r>
        <w:t>表1-5 工程总承包（EPC）全过程四大风险矩阵与防控对策表 (P000012, P000003)</w:t>
      </w:r>
    </w:p>
    <w:tbl>
      <w:tblPr>
        <w:tblStyle w:val="TableGrid"/>
        <w:tblW w:type="auto" w:w="0"/>
        <w:tblLook w:firstColumn="1" w:firstRow="1" w:lastColumn="0" w:lastRow="0" w:noHBand="0" w:noVBand="1" w:val="04A0"/>
      </w:tblPr>
      <w:tblGrid>
        <w:gridCol w:w="1660"/>
        <w:gridCol w:w="1660"/>
        <w:gridCol w:w="1660"/>
        <w:gridCol w:w="1660"/>
        <w:gridCol w:w="1660"/>
      </w:tblGrid>
      <w:tr>
        <w:tc>
          <w:tcPr>
            <w:tcW w:type="dxa" w:w="1660"/>
            <w:shd w:fill="1F3A5F"/>
          </w:tcPr>
          <w:p>
            <w:r>
              <w:rPr>
                <w:color w:val="FFFFFF"/>
              </w:rPr>
            </w:r>
            <w:r>
              <w:rPr>
                <w:rFonts w:ascii="Calibri" w:hAnsi="Calibri" w:eastAsia="微软雅黑"/>
                <w:b/>
                <w:i w:val="0"/>
                <w:color w:val="FFFFFF"/>
                <w:sz w:val="18"/>
              </w:rPr>
              <w:t>风险阶段</w:t>
            </w:r>
          </w:p>
        </w:tc>
        <w:tc>
          <w:tcPr>
            <w:tcW w:type="dxa" w:w="1660"/>
            <w:shd w:fill="1F3A5F"/>
          </w:tcPr>
          <w:p>
            <w:r>
              <w:rPr>
                <w:color w:val="FFFFFF"/>
              </w:rPr>
            </w:r>
            <w:r>
              <w:rPr>
                <w:rFonts w:ascii="Calibri" w:hAnsi="Calibri" w:eastAsia="微软雅黑"/>
                <w:b/>
                <w:i w:val="0"/>
                <w:color w:val="FFFFFF"/>
                <w:sz w:val="18"/>
              </w:rPr>
              <w:t>核心风险类型</w:t>
            </w:r>
          </w:p>
        </w:tc>
        <w:tc>
          <w:tcPr>
            <w:tcW w:type="dxa" w:w="1660"/>
            <w:shd w:fill="1F3A5F"/>
          </w:tcPr>
          <w:p>
            <w:r>
              <w:rPr>
                <w:color w:val="FFFFFF"/>
              </w:rPr>
            </w:r>
            <w:r>
              <w:rPr>
                <w:rFonts w:ascii="Calibri" w:hAnsi="Calibri" w:eastAsia="微软雅黑"/>
                <w:b/>
                <w:i w:val="0"/>
                <w:color w:val="FFFFFF"/>
                <w:sz w:val="18"/>
              </w:rPr>
              <w:t>常见法律与经营后果</w:t>
            </w:r>
          </w:p>
        </w:tc>
        <w:tc>
          <w:tcPr>
            <w:tcW w:type="dxa" w:w="1660"/>
            <w:shd w:fill="1F3A5F"/>
          </w:tcPr>
          <w:p>
            <w:r>
              <w:rPr>
                <w:color w:val="FFFFFF"/>
              </w:rPr>
            </w:r>
            <w:r>
              <w:rPr>
                <w:rFonts w:ascii="Calibri" w:hAnsi="Calibri" w:eastAsia="微软雅黑"/>
                <w:b/>
                <w:i w:val="0"/>
                <w:color w:val="FFFFFF"/>
                <w:sz w:val="18"/>
              </w:rPr>
              <w:t>规范依据</w:t>
            </w:r>
          </w:p>
        </w:tc>
        <w:tc>
          <w:tcPr>
            <w:tcW w:type="dxa" w:w="1660"/>
            <w:shd w:fill="1F3A5F"/>
          </w:tcPr>
          <w:p>
            <w:r>
              <w:rPr>
                <w:color w:val="FFFFFF"/>
              </w:rPr>
            </w:r>
            <w:r>
              <w:rPr>
                <w:rFonts w:ascii="Calibri" w:hAnsi="Calibri" w:eastAsia="微软雅黑"/>
                <w:b/>
                <w:i w:val="0"/>
                <w:color w:val="FFFFFF"/>
                <w:sz w:val="18"/>
              </w:rPr>
              <w:t>可执行防控机制与工具</w:t>
            </w:r>
          </w:p>
        </w:tc>
      </w:tr>
      <w:tr>
        <w:tc>
          <w:tcPr>
            <w:tcW w:type="dxa" w:w="1660"/>
          </w:tcPr>
          <w:p>
            <w:r/>
            <w:r>
              <w:rPr>
                <w:rFonts w:ascii="Calibri" w:hAnsi="Calibri" w:eastAsia="微软雅黑"/>
                <w:b w:val="0"/>
                <w:i w:val="0"/>
                <w:sz w:val="18"/>
              </w:rPr>
              <w:t>1. 设计风险</w:t>
            </w:r>
          </w:p>
        </w:tc>
        <w:tc>
          <w:tcPr>
            <w:tcW w:type="dxa" w:w="1660"/>
          </w:tcPr>
          <w:p>
            <w:r/>
            <w:r>
              <w:rPr>
                <w:rFonts w:ascii="Calibri" w:hAnsi="Calibri" w:eastAsia="微软雅黑"/>
                <w:b w:val="0"/>
                <w:i w:val="0"/>
                <w:sz w:val="18"/>
              </w:rPr>
              <w:t>地勘不准 / 方案变更 / 缺乏可施工性</w:t>
            </w:r>
          </w:p>
        </w:tc>
        <w:tc>
          <w:tcPr>
            <w:tcW w:type="dxa" w:w="1660"/>
          </w:tcPr>
          <w:p>
            <w:r/>
            <w:r>
              <w:rPr>
                <w:rFonts w:ascii="Calibri" w:hAnsi="Calibri" w:eastAsia="微软雅黑"/>
                <w:b w:val="0"/>
                <w:i w:val="0"/>
                <w:sz w:val="18"/>
              </w:rPr>
              <w:t>基础工程超支、二次拆改、工期延误</w:t>
            </w:r>
          </w:p>
        </w:tc>
        <w:tc>
          <w:tcPr>
            <w:tcW w:type="dxa" w:w="1660"/>
          </w:tcPr>
          <w:p>
            <w:r/>
            <w:r>
              <w:rPr>
                <w:rFonts w:ascii="Calibri" w:hAnsi="Calibri" w:eastAsia="微软雅黑"/>
                <w:b w:val="0"/>
                <w:i w:val="0"/>
                <w:sz w:val="18"/>
              </w:rPr>
              <w:t>GB/T 50358第5章 [来源: P000003]</w:t>
            </w:r>
          </w:p>
        </w:tc>
        <w:tc>
          <w:tcPr>
            <w:tcW w:type="dxa" w:w="1660"/>
          </w:tcPr>
          <w:p>
            <w:r/>
            <w:r>
              <w:rPr>
                <w:rFonts w:ascii="Calibri" w:hAnsi="Calibri" w:eastAsia="微软雅黑"/>
                <w:b w:val="0"/>
                <w:i w:val="0"/>
                <w:sz w:val="18"/>
              </w:rPr>
              <w:t>详勘复核、可施工性审查、发包人书面签认限时生效</w:t>
            </w:r>
          </w:p>
        </w:tc>
      </w:tr>
      <w:tr>
        <w:tc>
          <w:tcPr>
            <w:tcW w:type="dxa" w:w="1660"/>
          </w:tcPr>
          <w:p>
            <w:r/>
            <w:r>
              <w:rPr>
                <w:rFonts w:ascii="Calibri" w:hAnsi="Calibri" w:eastAsia="微软雅黑"/>
                <w:b w:val="0"/>
                <w:i w:val="0"/>
                <w:sz w:val="18"/>
              </w:rPr>
              <w:t>2. 采购风险</w:t>
            </w:r>
          </w:p>
        </w:tc>
        <w:tc>
          <w:tcPr>
            <w:tcW w:type="dxa" w:w="1660"/>
          </w:tcPr>
          <w:p>
            <w:r/>
            <w:r>
              <w:rPr>
                <w:rFonts w:ascii="Calibri" w:hAnsi="Calibri" w:eastAsia="微软雅黑"/>
                <w:b w:val="0"/>
                <w:i w:val="0"/>
                <w:sz w:val="18"/>
              </w:rPr>
              <w:t>参数接口失配 / 延期交货 / 强行指定品牌</w:t>
            </w:r>
          </w:p>
        </w:tc>
        <w:tc>
          <w:tcPr>
            <w:tcW w:type="dxa" w:w="1660"/>
          </w:tcPr>
          <w:p>
            <w:r/>
            <w:r>
              <w:rPr>
                <w:rFonts w:ascii="Calibri" w:hAnsi="Calibri" w:eastAsia="微软雅黑"/>
                <w:b w:val="0"/>
                <w:i w:val="0"/>
                <w:sz w:val="18"/>
              </w:rPr>
              <w:t>现场停工待料、设备无法安装、责任混淆</w:t>
            </w:r>
          </w:p>
        </w:tc>
        <w:tc>
          <w:tcPr>
            <w:tcW w:type="dxa" w:w="1660"/>
          </w:tcPr>
          <w:p>
            <w:r/>
            <w:r>
              <w:rPr>
                <w:rFonts w:ascii="Calibri" w:hAnsi="Calibri" w:eastAsia="微软雅黑"/>
                <w:b w:val="0"/>
                <w:i w:val="0"/>
                <w:sz w:val="18"/>
              </w:rPr>
              <w:t>GB/T 50358第6章 [来源: P000003]</w:t>
            </w:r>
          </w:p>
        </w:tc>
        <w:tc>
          <w:tcPr>
            <w:tcW w:type="dxa" w:w="1660"/>
          </w:tcPr>
          <w:p>
            <w:r/>
            <w:r>
              <w:rPr>
                <w:rFonts w:ascii="Calibri" w:hAnsi="Calibri" w:eastAsia="微软雅黑"/>
                <w:b w:val="0"/>
                <w:i w:val="0"/>
                <w:sz w:val="18"/>
              </w:rPr>
              <w:t>设计采购联动、长设备驻厂监造催交、指定品牌责任书面界定</w:t>
            </w:r>
          </w:p>
        </w:tc>
      </w:tr>
      <w:tr>
        <w:tc>
          <w:tcPr>
            <w:tcW w:type="dxa" w:w="1660"/>
          </w:tcPr>
          <w:p>
            <w:r/>
            <w:r>
              <w:rPr>
                <w:rFonts w:ascii="Calibri" w:hAnsi="Calibri" w:eastAsia="微软雅黑"/>
                <w:b w:val="0"/>
                <w:i w:val="0"/>
                <w:sz w:val="18"/>
              </w:rPr>
              <w:t>3. 价格现金流</w:t>
            </w:r>
          </w:p>
        </w:tc>
        <w:tc>
          <w:tcPr>
            <w:tcW w:type="dxa" w:w="1660"/>
          </w:tcPr>
          <w:p>
            <w:r/>
            <w:r>
              <w:rPr>
                <w:rFonts w:ascii="Calibri" w:hAnsi="Calibri" w:eastAsia="微软雅黑"/>
                <w:b w:val="0"/>
                <w:i w:val="0"/>
                <w:sz w:val="18"/>
              </w:rPr>
              <w:t>价格暴涨 / 审计追缴 / 拖欠进度款垫资</w:t>
            </w:r>
          </w:p>
        </w:tc>
        <w:tc>
          <w:tcPr>
            <w:tcW w:type="dxa" w:w="1660"/>
          </w:tcPr>
          <w:p>
            <w:r/>
            <w:r>
              <w:rPr>
                <w:rFonts w:ascii="Calibri" w:hAnsi="Calibri" w:eastAsia="微软雅黑"/>
                <w:b w:val="0"/>
                <w:i w:val="0"/>
                <w:sz w:val="18"/>
              </w:rPr>
              <w:t>利润被挤干、应收坏账、资金链断裂</w:t>
            </w:r>
          </w:p>
        </w:tc>
        <w:tc>
          <w:tcPr>
            <w:tcW w:type="dxa" w:w="1660"/>
          </w:tcPr>
          <w:p>
            <w:r/>
            <w:r>
              <w:rPr>
                <w:rFonts w:ascii="Calibri" w:hAnsi="Calibri" w:eastAsia="微软雅黑"/>
                <w:b w:val="0"/>
                <w:i w:val="0"/>
                <w:sz w:val="18"/>
              </w:rPr>
              <w:t>GB/T 50358赢得值与项目控制条款 [来源: P000003]</w:t>
            </w:r>
          </w:p>
        </w:tc>
        <w:tc>
          <w:tcPr>
            <w:tcW w:type="dxa" w:w="1660"/>
          </w:tcPr>
          <w:p>
            <w:r/>
            <w:r>
              <w:rPr>
                <w:rFonts w:ascii="Calibri" w:hAnsi="Calibri" w:eastAsia="微软雅黑"/>
                <w:b w:val="0"/>
                <w:i w:val="0"/>
                <w:sz w:val="18"/>
              </w:rPr>
              <w:t>大宗物资调价公式、赢得值双控、逾期停工与解约条款</w:t>
            </w:r>
          </w:p>
        </w:tc>
      </w:tr>
      <w:tr>
        <w:tc>
          <w:tcPr>
            <w:tcW w:type="dxa" w:w="1660"/>
          </w:tcPr>
          <w:p>
            <w:r/>
            <w:r>
              <w:rPr>
                <w:rFonts w:ascii="Calibri" w:hAnsi="Calibri" w:eastAsia="微软雅黑"/>
                <w:b w:val="0"/>
                <w:i w:val="0"/>
                <w:sz w:val="18"/>
              </w:rPr>
              <w:t>4. 施工与收尾</w:t>
            </w:r>
          </w:p>
        </w:tc>
        <w:tc>
          <w:tcPr>
            <w:tcW w:type="dxa" w:w="1660"/>
          </w:tcPr>
          <w:p>
            <w:r/>
            <w:r>
              <w:rPr>
                <w:rFonts w:ascii="Calibri" w:hAnsi="Calibri" w:eastAsia="微软雅黑"/>
                <w:b w:val="0"/>
                <w:i w:val="0"/>
                <w:sz w:val="18"/>
              </w:rPr>
              <w:t>违法分包 / 联合体撕扯 / 签证未认价失权</w:t>
            </w:r>
          </w:p>
        </w:tc>
        <w:tc>
          <w:tcPr>
            <w:tcW w:type="dxa" w:w="1660"/>
          </w:tcPr>
          <w:p>
            <w:r/>
            <w:r>
              <w:rPr>
                <w:rFonts w:ascii="Calibri" w:hAnsi="Calibri" w:eastAsia="微软雅黑"/>
                <w:b w:val="0"/>
                <w:i w:val="0"/>
                <w:sz w:val="18"/>
              </w:rPr>
              <w:t>合同无效、连带赔偿、结算核减失权</w:t>
            </w:r>
          </w:p>
        </w:tc>
        <w:tc>
          <w:tcPr>
            <w:tcW w:type="dxa" w:w="1660"/>
          </w:tcPr>
          <w:p>
            <w:r/>
            <w:r>
              <w:rPr>
                <w:rFonts w:ascii="Calibri" w:hAnsi="Calibri" w:eastAsia="微软雅黑"/>
                <w:b w:val="0"/>
                <w:i w:val="0"/>
                <w:sz w:val="18"/>
              </w:rPr>
              <w:t>GB/T 50358第7章及缺陷责任期条款（第2.0.32条）[来源: P000003]</w:t>
            </w:r>
          </w:p>
        </w:tc>
        <w:tc>
          <w:tcPr>
            <w:tcW w:type="dxa" w:w="1660"/>
          </w:tcPr>
          <w:p>
            <w:r/>
            <w:r>
              <w:rPr>
                <w:rFonts w:ascii="Calibri" w:hAnsi="Calibri" w:eastAsia="微软雅黑"/>
                <w:b w:val="0"/>
                <w:i w:val="0"/>
                <w:sz w:val="18"/>
              </w:rPr>
              <w:t>多级质检防线、严密联合体追偿协议、无书面指令不施工、缺陷责任期收尾台账</w:t>
            </w:r>
          </w:p>
        </w:tc>
      </w:tr>
    </w:tbl>
    <w:p>
      <w:r>
        <w:rPr>
          <w:rFonts w:ascii="Calibri" w:hAnsi="Calibri" w:eastAsia="微软雅黑"/>
          <w:b w:val="0"/>
          <w:i w:val="0"/>
          <w:sz w:val="22"/>
        </w:rPr>
        <w:t>矩阵的价值在于使用纪律而非矩阵本身。建议经营班子将四张矩阵转化为合同评审会的固定检查单：每一份拟签署的总承包合同，须逐项标注其落在矩阵的哪个格子、对应防控机制是否已经写入合同条款或内部制度；未标注的合同不上会，机制未落地的条款不放行。如此，风险防控才能从案头研究变成流程动作（本段为本研究方法论建议）。</w:t>
      </w:r>
    </w:p>
    <w:p>
      <w:pPr>
        <w:pStyle w:val="Heading3"/>
      </w:pPr>
      <w:r>
        <w:t>1.4.2 工程企业总承包能力提升"四步法"实操路径</w:t>
      </w:r>
    </w:p>
    <w:p>
      <w:r>
        <w:rPr>
          <w:rFonts w:ascii="Calibri" w:hAnsi="Calibri" w:eastAsia="微软雅黑"/>
          <w:b w:val="0"/>
          <w:i w:val="0"/>
          <w:sz w:val="22"/>
        </w:rPr>
        <w:t>面向工程企业高管、设计院院长与EPC从业者，实现从传统模式向规范化全过程EPC总承包的成功跨越，必须贯彻一套循序渐进、注重实效的"能力提升四步法"：</w:t>
      </w:r>
    </w:p>
    <w:p>
      <w:pPr>
        <w:pStyle w:val="ListNumber"/>
      </w:pPr>
      <w:r>
        <w:rPr>
          <w:rFonts w:ascii="Calibri" w:hAnsi="Calibri" w:eastAsia="微软雅黑"/>
          <w:b/>
          <w:i w:val="0"/>
          <w:sz w:val="22"/>
        </w:rPr>
        <w:t>第一步：资质与资源组合重构（Qualification &amp; Consortium Alignment）</w:t>
      </w:r>
    </w:p>
    <w:p>
      <w:r>
        <w:rPr>
          <w:rFonts w:ascii="Calibri" w:hAnsi="Calibri" w:eastAsia="微软雅黑"/>
          <w:b w:val="0"/>
          <w:i w:val="0"/>
          <w:sz w:val="22"/>
        </w:rPr>
        <w:t xml:space="preserve">- </w:t>
      </w:r>
      <w:r>
        <w:rPr>
          <w:rFonts w:ascii="Calibri" w:hAnsi="Calibri" w:eastAsia="微软雅黑"/>
          <w:b/>
          <w:i w:val="0"/>
          <w:sz w:val="22"/>
        </w:rPr>
        <w:t>设计院路径</w:t>
      </w:r>
      <w:r>
        <w:rPr>
          <w:rFonts w:ascii="Calibri" w:hAnsi="Calibri" w:eastAsia="微软雅黑"/>
          <w:b w:val="0"/>
          <w:i w:val="0"/>
          <w:sz w:val="22"/>
        </w:rPr>
        <w:t>：通过内部孵化或外部引进，组建懂采购与施工的项目管理团队；申请施工总承包资质或与大型施工企业建立长效战略联合体 (P000003)。</w:t>
      </w:r>
    </w:p>
    <w:p>
      <w:r>
        <w:rPr>
          <w:rFonts w:ascii="Calibri" w:hAnsi="Calibri" w:eastAsia="微软雅黑"/>
          <w:b w:val="0"/>
          <w:i w:val="0"/>
          <w:sz w:val="22"/>
        </w:rPr>
        <w:t xml:space="preserve">- </w:t>
      </w:r>
      <w:r>
        <w:rPr>
          <w:rFonts w:ascii="Calibri" w:hAnsi="Calibri" w:eastAsia="微软雅黑"/>
          <w:b/>
          <w:i w:val="0"/>
          <w:sz w:val="22"/>
        </w:rPr>
        <w:t>施工企业路径</w:t>
      </w:r>
      <w:r>
        <w:rPr>
          <w:rFonts w:ascii="Calibri" w:hAnsi="Calibri" w:eastAsia="微软雅黑"/>
          <w:b w:val="0"/>
          <w:i w:val="0"/>
          <w:sz w:val="22"/>
        </w:rPr>
        <w:t>：通过并购设计院或建立紧密型设计事业部，打破"有施工无设计"的短板，取得合规承接EPC的门槛资格——中设协榜单的乙级以上设计资质申报门槛正是这一步的制度映射 (P000009)。</w:t>
      </w:r>
    </w:p>
    <w:p>
      <w:pPr>
        <w:pStyle w:val="ListNumber"/>
      </w:pPr>
      <w:r>
        <w:rPr>
          <w:rFonts w:ascii="Calibri" w:hAnsi="Calibri" w:eastAsia="微软雅黑"/>
          <w:b/>
          <w:i w:val="0"/>
          <w:sz w:val="22"/>
        </w:rPr>
        <w:t>第二步：矩阵式架构与项目部授权（Matrix Organization &amp; Empowerment）</w:t>
      </w:r>
    </w:p>
    <w:p>
      <w:r>
        <w:rPr>
          <w:rFonts w:ascii="Calibri" w:hAnsi="Calibri" w:eastAsia="微软雅黑"/>
          <w:b w:val="0"/>
          <w:i w:val="0"/>
          <w:sz w:val="22"/>
        </w:rPr>
        <w:t>- 贯彻GB/T 50358-2017第3.1.4条：建立企业级矩阵式组织形态，企业后台设设计控制、采购管理、施工管理、财务风控等职能部门，为前台项目部提供专业标准、大宗采购与技术支撑 (P000003)。</w:t>
      </w:r>
    </w:p>
    <w:p>
      <w:r>
        <w:rPr>
          <w:rFonts w:ascii="Calibri" w:hAnsi="Calibri" w:eastAsia="微软雅黑"/>
          <w:b w:val="0"/>
          <w:i w:val="0"/>
          <w:sz w:val="22"/>
        </w:rPr>
        <w:t>- 落实项目管理目标责任书与项目经理任命制（第3.1.2条、第3.2.1条）：项目部设立控制经理、设计经理、采购经理、施工经理、试运行经理等岗位，明确项目目标与项目经理职责、权限和利益 (P000003)。</w:t>
      </w:r>
    </w:p>
    <w:p>
      <w:r>
        <w:rPr>
          <w:rFonts w:ascii="Calibri" w:hAnsi="Calibri" w:eastAsia="微软雅黑"/>
          <w:b w:val="0"/>
          <w:i w:val="0"/>
          <w:sz w:val="22"/>
        </w:rPr>
        <w:t>授权的落地要靠刻度而非口号。可试行的做法是把项目经理的签字权拆成几张额度卡：单笔多大的采购可直接签、多大的须报总部联签、多大的必须上经营班子会；每张卡随项目类型与经理人资历动态调整。额度卡制度的妙处，在于既给了现场临机决断的速度，又给后台审计留出了清晰的边界轨迹（本段为本研究方法论建议）。</w:t>
      </w:r>
    </w:p>
    <w:p>
      <w:pPr>
        <w:pStyle w:val="ListNumber"/>
      </w:pPr>
      <w:r>
        <w:rPr>
          <w:rFonts w:ascii="Calibri" w:hAnsi="Calibri" w:eastAsia="微软雅黑"/>
          <w:b/>
          <w:i w:val="0"/>
          <w:sz w:val="22"/>
        </w:rPr>
        <w:t>第三步：全过程数字化与三维"虚拟建造"驱动（Digitalization &amp; BIM Synergy）</w:t>
      </w:r>
    </w:p>
    <w:p>
      <w:r>
        <w:rPr>
          <w:rFonts w:ascii="Calibri" w:hAnsi="Calibri" w:eastAsia="微软雅黑"/>
          <w:b w:val="0"/>
          <w:i w:val="0"/>
          <w:sz w:val="22"/>
        </w:rPr>
        <w:t>- 学习电建华东院与中核工程的实践，引进三维协同设计平台，实现从二维图纸向三维数字模型的跨越：华东院以三大数字化平台覆盖基础设施建设全过程并获国家级两化融合示范企业认定 (P000001)；中核工程以EB软件五层数据架构实现设备属性与设计对象深度绑定 (P000051)。</w:t>
      </w:r>
    </w:p>
    <w:p>
      <w:r>
        <w:rPr>
          <w:rFonts w:ascii="Calibri" w:hAnsi="Calibri" w:eastAsia="微软雅黑"/>
          <w:b w:val="0"/>
          <w:i w:val="0"/>
          <w:sz w:val="22"/>
        </w:rPr>
        <w:t>- 全流程数据贯通：基于三维模型生成物资采购清单，联动概算系统动态测算成本，在施工现场实行网格化监控，实现"虚拟建造与实物建造同步"（本条为方法论综合，本研究归纳）。</w:t>
      </w:r>
    </w:p>
    <w:p>
      <w:pPr>
        <w:pStyle w:val="ListNumber"/>
      </w:pPr>
      <w:r>
        <w:rPr>
          <w:rFonts w:ascii="Calibri" w:hAnsi="Calibri" w:eastAsia="微软雅黑"/>
          <w:b/>
          <w:i w:val="0"/>
          <w:sz w:val="22"/>
        </w:rPr>
        <w:t>第四步：全过程合规风控与全生命周期收尾（Compliance Risk Control &amp; Close-out）</w:t>
      </w:r>
    </w:p>
    <w:p>
      <w:r>
        <w:rPr>
          <w:rFonts w:ascii="Calibri" w:hAnsi="Calibri" w:eastAsia="微软雅黑"/>
          <w:b w:val="0"/>
          <w:i w:val="0"/>
          <w:sz w:val="22"/>
        </w:rPr>
        <w:t>- 建立商务合同与索赔全程台账，执行"签证认价当期落地"与"无书面指令不施工"红线 (P000012)。</w:t>
      </w:r>
    </w:p>
    <w:p>
      <w:r>
        <w:rPr>
          <w:rFonts w:ascii="Calibri" w:hAnsi="Calibri" w:eastAsia="微软雅黑"/>
          <w:b w:val="0"/>
          <w:i w:val="0"/>
          <w:sz w:val="22"/>
        </w:rPr>
        <w:t>- 按GB/T 50358规范开展单机/联动试运行及性能考核，严扣缺陷责任期（第2.0.32条）与保修期（第2.0.33条）节点，实现项目顺利交付与效益兑现 (P000003)。</w:t>
      </w:r>
    </w:p>
    <w:p>
      <w:r>
        <w:rPr>
          <w:rFonts w:ascii="Calibri" w:hAnsi="Calibri" w:eastAsia="微软雅黑"/>
          <w:b w:val="0"/>
          <w:i w:val="0"/>
          <w:sz w:val="22"/>
        </w:rPr>
        <w:t>四步法的次序本身有其逻辑，落地时两个误区值得提示。误区之一是跳步：资质与资源组合尚未落定就直扑数字化工具，结果三维平台沦为投标演示素材，一线仍在用二维图纸交底；误区之二是平均用力：四步并进看似周全，实则每一步都浅尝辄止。务实的选择是按"第一步筑底、第二步立柱、第三步添翼、第四步封顶"的节奏推进，每一步设定可验收的里程碑，上一步未过关不启动下一步。对于资源有限的二三线企业，亦可将四步拆解到不同业务单元分批试点，先在单一事业部跑通全链条，再向全院复制推广（本段为本研究方法论建议）。</w:t>
      </w:r>
    </w:p>
    <w:p>
      <w:pPr>
        <w:pStyle w:val="Heading3"/>
      </w:pPr>
      <w:r>
        <w:t>1.4.3 工程总承包能力建设全景图谱指南</w:t>
      </w:r>
    </w:p>
    <w:p>
      <w:pPr>
        <w:pStyle w:val="Heading4"/>
      </w:pPr>
      <w:r>
        <w:t>表1-6 工程总承包企业能力建设全景图谱与协同指引 (P000003, P000012)</w:t>
      </w:r>
    </w:p>
    <w:tbl>
      <w:tblPr>
        <w:tblStyle w:val="TableGrid"/>
        <w:tblW w:type="auto" w:w="0"/>
        <w:tblLook w:firstColumn="1" w:firstRow="1" w:lastColumn="0" w:lastRow="0" w:noHBand="0" w:noVBand="1" w:val="04A0"/>
      </w:tblPr>
      <w:tblGrid>
        <w:gridCol w:w="1660"/>
        <w:gridCol w:w="1660"/>
        <w:gridCol w:w="1660"/>
        <w:gridCol w:w="1660"/>
        <w:gridCol w:w="1660"/>
      </w:tblGrid>
      <w:tr>
        <w:tc>
          <w:tcPr>
            <w:tcW w:type="dxa" w:w="1660"/>
            <w:shd w:fill="1F3A5F"/>
          </w:tcPr>
          <w:p>
            <w:r>
              <w:rPr>
                <w:color w:val="FFFFFF"/>
              </w:rPr>
            </w:r>
            <w:r>
              <w:rPr>
                <w:rFonts w:ascii="Calibri" w:hAnsi="Calibri" w:eastAsia="微软雅黑"/>
                <w:b/>
                <w:i w:val="0"/>
                <w:color w:val="FFFFFF"/>
                <w:sz w:val="18"/>
              </w:rPr>
              <w:t>阶段 / 节点</w:t>
            </w:r>
          </w:p>
        </w:tc>
        <w:tc>
          <w:tcPr>
            <w:tcW w:type="dxa" w:w="1660"/>
            <w:shd w:fill="1F3A5F"/>
          </w:tcPr>
          <w:p>
            <w:r>
              <w:rPr>
                <w:color w:val="FFFFFF"/>
              </w:rPr>
            </w:r>
            <w:r>
              <w:rPr>
                <w:rFonts w:ascii="Calibri" w:hAnsi="Calibri" w:eastAsia="微软雅黑"/>
                <w:b/>
                <w:i w:val="0"/>
                <w:color w:val="FFFFFF"/>
                <w:sz w:val="18"/>
              </w:rPr>
              <w:t>发包人（业主）界面</w:t>
            </w:r>
          </w:p>
        </w:tc>
        <w:tc>
          <w:tcPr>
            <w:tcW w:type="dxa" w:w="1660"/>
            <w:shd w:fill="1F3A5F"/>
          </w:tcPr>
          <w:p>
            <w:r>
              <w:rPr>
                <w:color w:val="FFFFFF"/>
              </w:rPr>
            </w:r>
            <w:r>
              <w:rPr>
                <w:rFonts w:ascii="Calibri" w:hAnsi="Calibri" w:eastAsia="微软雅黑"/>
                <w:b/>
                <w:i w:val="0"/>
                <w:color w:val="FFFFFF"/>
                <w:sz w:val="18"/>
              </w:rPr>
              <w:t>总包企业后台（公司层）</w:t>
            </w:r>
          </w:p>
        </w:tc>
        <w:tc>
          <w:tcPr>
            <w:tcW w:type="dxa" w:w="1660"/>
            <w:shd w:fill="1F3A5F"/>
          </w:tcPr>
          <w:p>
            <w:r>
              <w:rPr>
                <w:color w:val="FFFFFF"/>
              </w:rPr>
            </w:r>
            <w:r>
              <w:rPr>
                <w:rFonts w:ascii="Calibri" w:hAnsi="Calibri" w:eastAsia="微软雅黑"/>
                <w:b/>
                <w:i w:val="0"/>
                <w:color w:val="FFFFFF"/>
                <w:sz w:val="18"/>
              </w:rPr>
              <w:t>总包项目部（前台现场）</w:t>
            </w:r>
          </w:p>
        </w:tc>
        <w:tc>
          <w:tcPr>
            <w:tcW w:type="dxa" w:w="1660"/>
            <w:shd w:fill="1F3A5F"/>
          </w:tcPr>
          <w:p>
            <w:r>
              <w:rPr>
                <w:color w:val="FFFFFF"/>
              </w:rPr>
            </w:r>
            <w:r>
              <w:rPr>
                <w:rFonts w:ascii="Calibri" w:hAnsi="Calibri" w:eastAsia="微软雅黑"/>
                <w:b/>
                <w:i w:val="0"/>
                <w:color w:val="FFFFFF"/>
                <w:sz w:val="18"/>
              </w:rPr>
              <w:t>核心协同输出成果</w:t>
            </w:r>
          </w:p>
        </w:tc>
      </w:tr>
      <w:tr>
        <w:tc>
          <w:tcPr>
            <w:tcW w:type="dxa" w:w="1660"/>
          </w:tcPr>
          <w:p>
            <w:r/>
            <w:r>
              <w:rPr>
                <w:rFonts w:ascii="Calibri" w:hAnsi="Calibri" w:eastAsia="微软雅黑"/>
                <w:b w:val="0"/>
                <w:i w:val="0"/>
                <w:sz w:val="18"/>
              </w:rPr>
              <w:t>1. 项目启动</w:t>
            </w:r>
          </w:p>
        </w:tc>
        <w:tc>
          <w:tcPr>
            <w:tcW w:type="dxa" w:w="1660"/>
          </w:tcPr>
          <w:p>
            <w:r/>
            <w:r>
              <w:rPr>
                <w:rFonts w:ascii="Calibri" w:hAnsi="Calibri" w:eastAsia="微软雅黑"/>
                <w:b w:val="0"/>
                <w:i w:val="0"/>
                <w:sz w:val="18"/>
              </w:rPr>
              <w:t>发布招标文件、下发发包人要求</w:t>
            </w:r>
          </w:p>
        </w:tc>
        <w:tc>
          <w:tcPr>
            <w:tcW w:type="dxa" w:w="1660"/>
          </w:tcPr>
          <w:p>
            <w:r/>
            <w:r>
              <w:rPr>
                <w:rFonts w:ascii="Calibri" w:hAnsi="Calibri" w:eastAsia="微软雅黑"/>
                <w:b w:val="0"/>
                <w:i w:val="0"/>
                <w:sz w:val="18"/>
              </w:rPr>
              <w:t>签订总包合同、任命项目经理、组建项目部</w:t>
            </w:r>
          </w:p>
        </w:tc>
        <w:tc>
          <w:tcPr>
            <w:tcW w:type="dxa" w:w="1660"/>
          </w:tcPr>
          <w:p>
            <w:r/>
            <w:r>
              <w:rPr>
                <w:rFonts w:ascii="Calibri" w:hAnsi="Calibri" w:eastAsia="微软雅黑"/>
                <w:b w:val="0"/>
                <w:i w:val="0"/>
                <w:sz w:val="18"/>
              </w:rPr>
              <w:t>确定设计、采购、施工、试运行经理</w:t>
            </w:r>
          </w:p>
        </w:tc>
        <w:tc>
          <w:tcPr>
            <w:tcW w:type="dxa" w:w="1660"/>
          </w:tcPr>
          <w:p>
            <w:r/>
            <w:r>
              <w:rPr>
                <w:rFonts w:ascii="Calibri" w:hAnsi="Calibri" w:eastAsia="微软雅黑"/>
                <w:b w:val="0"/>
                <w:i w:val="0"/>
                <w:sz w:val="18"/>
              </w:rPr>
              <w:t>项目管理目标责任书 [来源: P000003]</w:t>
            </w:r>
          </w:p>
        </w:tc>
      </w:tr>
      <w:tr>
        <w:tc>
          <w:tcPr>
            <w:tcW w:type="dxa" w:w="1660"/>
          </w:tcPr>
          <w:p>
            <w:r/>
            <w:r>
              <w:rPr>
                <w:rFonts w:ascii="Calibri" w:hAnsi="Calibri" w:eastAsia="微软雅黑"/>
                <w:b w:val="0"/>
                <w:i w:val="0"/>
                <w:sz w:val="18"/>
              </w:rPr>
              <w:t>2. 项目策划</w:t>
            </w:r>
          </w:p>
        </w:tc>
        <w:tc>
          <w:tcPr>
            <w:tcW w:type="dxa" w:w="1660"/>
          </w:tcPr>
          <w:p>
            <w:r/>
            <w:r>
              <w:rPr>
                <w:rFonts w:ascii="Calibri" w:hAnsi="Calibri" w:eastAsia="微软雅黑"/>
                <w:b w:val="0"/>
                <w:i w:val="0"/>
                <w:sz w:val="18"/>
              </w:rPr>
              <w:t>明确项目目标与建设边界</w:t>
            </w:r>
          </w:p>
        </w:tc>
        <w:tc>
          <w:tcPr>
            <w:tcW w:type="dxa" w:w="1660"/>
          </w:tcPr>
          <w:p>
            <w:r/>
            <w:r>
              <w:rPr>
                <w:rFonts w:ascii="Calibri" w:hAnsi="Calibri" w:eastAsia="微软雅黑"/>
                <w:b w:val="0"/>
                <w:i w:val="0"/>
                <w:sz w:val="18"/>
              </w:rPr>
              <w:t>批准项目管理计划，提供体系与资金支持</w:t>
            </w:r>
          </w:p>
        </w:tc>
        <w:tc>
          <w:tcPr>
            <w:tcW w:type="dxa" w:w="1660"/>
          </w:tcPr>
          <w:p>
            <w:r/>
            <w:r>
              <w:rPr>
                <w:rFonts w:ascii="Calibri" w:hAnsi="Calibri" w:eastAsia="微软雅黑"/>
                <w:b w:val="0"/>
                <w:i w:val="0"/>
                <w:sz w:val="18"/>
              </w:rPr>
              <w:t>编制项目实施计划、建立风险台账</w:t>
            </w:r>
          </w:p>
        </w:tc>
        <w:tc>
          <w:tcPr>
            <w:tcW w:type="dxa" w:w="1660"/>
          </w:tcPr>
          <w:p>
            <w:r/>
            <w:r>
              <w:rPr>
                <w:rFonts w:ascii="Calibri" w:hAnsi="Calibri" w:eastAsia="微软雅黑"/>
                <w:b w:val="0"/>
                <w:i w:val="0"/>
                <w:sz w:val="18"/>
              </w:rPr>
              <w:t>项目管理计划与风险防控矩阵</w:t>
            </w:r>
          </w:p>
        </w:tc>
      </w:tr>
      <w:tr>
        <w:tc>
          <w:tcPr>
            <w:tcW w:type="dxa" w:w="1660"/>
          </w:tcPr>
          <w:p>
            <w:r/>
            <w:r>
              <w:rPr>
                <w:rFonts w:ascii="Calibri" w:hAnsi="Calibri" w:eastAsia="微软雅黑"/>
                <w:b w:val="0"/>
                <w:i w:val="0"/>
                <w:sz w:val="18"/>
              </w:rPr>
              <w:t>3. 设计管理</w:t>
            </w:r>
          </w:p>
        </w:tc>
        <w:tc>
          <w:tcPr>
            <w:tcW w:type="dxa" w:w="1660"/>
          </w:tcPr>
          <w:p>
            <w:r/>
            <w:r>
              <w:rPr>
                <w:rFonts w:ascii="Calibri" w:hAnsi="Calibri" w:eastAsia="微软雅黑"/>
                <w:b w:val="0"/>
                <w:i w:val="0"/>
                <w:sz w:val="18"/>
              </w:rPr>
              <w:t>审核初步设计与重大方案</w:t>
            </w:r>
          </w:p>
        </w:tc>
        <w:tc>
          <w:tcPr>
            <w:tcW w:type="dxa" w:w="1660"/>
          </w:tcPr>
          <w:p>
            <w:r/>
            <w:r>
              <w:rPr>
                <w:rFonts w:ascii="Calibri" w:hAnsi="Calibri" w:eastAsia="微软雅黑"/>
                <w:b w:val="0"/>
                <w:i w:val="0"/>
                <w:sz w:val="18"/>
              </w:rPr>
              <w:t>组织方案会审、提供技术标准</w:t>
            </w:r>
          </w:p>
        </w:tc>
        <w:tc>
          <w:tcPr>
            <w:tcW w:type="dxa" w:w="1660"/>
          </w:tcPr>
          <w:p>
            <w:r/>
            <w:r>
              <w:rPr>
                <w:rFonts w:ascii="Calibri" w:hAnsi="Calibri" w:eastAsia="微软雅黑"/>
                <w:b w:val="0"/>
                <w:i w:val="0"/>
                <w:sz w:val="18"/>
              </w:rPr>
              <w:t>开展可施工性审查、三维建模</w:t>
            </w:r>
          </w:p>
        </w:tc>
        <w:tc>
          <w:tcPr>
            <w:tcW w:type="dxa" w:w="1660"/>
          </w:tcPr>
          <w:p>
            <w:r/>
            <w:r>
              <w:rPr>
                <w:rFonts w:ascii="Calibri" w:hAnsi="Calibri" w:eastAsia="微软雅黑"/>
                <w:b w:val="0"/>
                <w:i w:val="0"/>
                <w:sz w:val="18"/>
              </w:rPr>
              <w:t>设计优化与限额设计成果 [来源: P000003]</w:t>
            </w:r>
          </w:p>
        </w:tc>
      </w:tr>
      <w:tr>
        <w:tc>
          <w:tcPr>
            <w:tcW w:type="dxa" w:w="1660"/>
          </w:tcPr>
          <w:p>
            <w:r/>
            <w:r>
              <w:rPr>
                <w:rFonts w:ascii="Calibri" w:hAnsi="Calibri" w:eastAsia="微软雅黑"/>
                <w:b w:val="0"/>
                <w:i w:val="0"/>
                <w:sz w:val="18"/>
              </w:rPr>
              <w:t>4. 采购管理</w:t>
            </w:r>
          </w:p>
        </w:tc>
        <w:tc>
          <w:tcPr>
            <w:tcW w:type="dxa" w:w="1660"/>
          </w:tcPr>
          <w:p>
            <w:r/>
            <w:r>
              <w:rPr>
                <w:rFonts w:ascii="Calibri" w:hAnsi="Calibri" w:eastAsia="微软雅黑"/>
                <w:b w:val="0"/>
                <w:i w:val="0"/>
                <w:sz w:val="18"/>
              </w:rPr>
              <w:t>确认关键设备品牌与技术规格</w:t>
            </w:r>
          </w:p>
        </w:tc>
        <w:tc>
          <w:tcPr>
            <w:tcW w:type="dxa" w:w="1660"/>
          </w:tcPr>
          <w:p>
            <w:r/>
            <w:r>
              <w:rPr>
                <w:rFonts w:ascii="Calibri" w:hAnsi="Calibri" w:eastAsia="微软雅黑"/>
                <w:b w:val="0"/>
                <w:i w:val="0"/>
                <w:sz w:val="18"/>
              </w:rPr>
              <w:t>实施大宗集中采购、框架协议与供应商库</w:t>
            </w:r>
          </w:p>
        </w:tc>
        <w:tc>
          <w:tcPr>
            <w:tcW w:type="dxa" w:w="1660"/>
          </w:tcPr>
          <w:p>
            <w:r/>
            <w:r>
              <w:rPr>
                <w:rFonts w:ascii="Calibri" w:hAnsi="Calibri" w:eastAsia="微软雅黑"/>
                <w:b w:val="0"/>
                <w:i w:val="0"/>
                <w:sz w:val="18"/>
              </w:rPr>
              <w:t>编制采购技术规格书、驻厂监造、催交进场</w:t>
            </w:r>
          </w:p>
        </w:tc>
        <w:tc>
          <w:tcPr>
            <w:tcW w:type="dxa" w:w="1660"/>
          </w:tcPr>
          <w:p>
            <w:r/>
            <w:r>
              <w:rPr>
                <w:rFonts w:ascii="Calibri" w:hAnsi="Calibri" w:eastAsia="微软雅黑"/>
                <w:b w:val="0"/>
                <w:i w:val="0"/>
                <w:sz w:val="18"/>
              </w:rPr>
              <w:t>采买订单、监造报告、设备进场台账</w:t>
            </w:r>
          </w:p>
        </w:tc>
      </w:tr>
      <w:tr>
        <w:tc>
          <w:tcPr>
            <w:tcW w:type="dxa" w:w="1660"/>
          </w:tcPr>
          <w:p>
            <w:r/>
            <w:r>
              <w:rPr>
                <w:rFonts w:ascii="Calibri" w:hAnsi="Calibri" w:eastAsia="微软雅黑"/>
                <w:b w:val="0"/>
                <w:i w:val="0"/>
                <w:sz w:val="18"/>
              </w:rPr>
              <w:t>5. 施工管理</w:t>
            </w:r>
          </w:p>
        </w:tc>
        <w:tc>
          <w:tcPr>
            <w:tcW w:type="dxa" w:w="1660"/>
          </w:tcPr>
          <w:p>
            <w:r/>
            <w:r>
              <w:rPr>
                <w:rFonts w:ascii="Calibri" w:hAnsi="Calibri" w:eastAsia="微软雅黑"/>
                <w:b w:val="0"/>
                <w:i w:val="0"/>
                <w:sz w:val="18"/>
              </w:rPr>
              <w:t>移交现场工作面、提供建设许可</w:t>
            </w:r>
          </w:p>
        </w:tc>
        <w:tc>
          <w:tcPr>
            <w:tcW w:type="dxa" w:w="1660"/>
          </w:tcPr>
          <w:p>
            <w:r/>
            <w:r>
              <w:rPr>
                <w:rFonts w:ascii="Calibri" w:hAnsi="Calibri" w:eastAsia="微软雅黑"/>
                <w:b w:val="0"/>
                <w:i w:val="0"/>
                <w:sz w:val="18"/>
              </w:rPr>
              <w:t>提供施工技术方案审核、安全质量督导</w:t>
            </w:r>
          </w:p>
        </w:tc>
        <w:tc>
          <w:tcPr>
            <w:tcW w:type="dxa" w:w="1660"/>
          </w:tcPr>
          <w:p>
            <w:r/>
            <w:r>
              <w:rPr>
                <w:rFonts w:ascii="Calibri" w:hAnsi="Calibri" w:eastAsia="微软雅黑"/>
                <w:b w:val="0"/>
                <w:i w:val="0"/>
                <w:sz w:val="18"/>
              </w:rPr>
              <w:t>实施多级质检、网格化管理、当期办理签证</w:t>
            </w:r>
          </w:p>
        </w:tc>
        <w:tc>
          <w:tcPr>
            <w:tcW w:type="dxa" w:w="1660"/>
          </w:tcPr>
          <w:p>
            <w:r/>
            <w:r>
              <w:rPr>
                <w:rFonts w:ascii="Calibri" w:hAnsi="Calibri" w:eastAsia="微软雅黑"/>
                <w:b w:val="0"/>
                <w:i w:val="0"/>
                <w:sz w:val="18"/>
              </w:rPr>
              <w:t>智慧工地数据、施工日志、变更认价指令</w:t>
            </w:r>
          </w:p>
        </w:tc>
      </w:tr>
      <w:tr>
        <w:tc>
          <w:tcPr>
            <w:tcW w:type="dxa" w:w="1660"/>
          </w:tcPr>
          <w:p>
            <w:r/>
            <w:r>
              <w:rPr>
                <w:rFonts w:ascii="Calibri" w:hAnsi="Calibri" w:eastAsia="微软雅黑"/>
                <w:b w:val="0"/>
                <w:i w:val="0"/>
                <w:sz w:val="18"/>
              </w:rPr>
              <w:t>6. 试运行</w:t>
            </w:r>
          </w:p>
        </w:tc>
        <w:tc>
          <w:tcPr>
            <w:tcW w:type="dxa" w:w="1660"/>
          </w:tcPr>
          <w:p>
            <w:r/>
            <w:r>
              <w:rPr>
                <w:rFonts w:ascii="Calibri" w:hAnsi="Calibri" w:eastAsia="微软雅黑"/>
                <w:b w:val="0"/>
                <w:i w:val="0"/>
                <w:sz w:val="18"/>
              </w:rPr>
              <w:t>组织联合试运行与性能考核</w:t>
            </w:r>
          </w:p>
        </w:tc>
        <w:tc>
          <w:tcPr>
            <w:tcW w:type="dxa" w:w="1660"/>
          </w:tcPr>
          <w:p>
            <w:r/>
            <w:r>
              <w:rPr>
                <w:rFonts w:ascii="Calibri" w:hAnsi="Calibri" w:eastAsia="微软雅黑"/>
                <w:b w:val="0"/>
                <w:i w:val="0"/>
                <w:sz w:val="18"/>
              </w:rPr>
              <w:t>调配试运行专家组、提供技术保障</w:t>
            </w:r>
          </w:p>
        </w:tc>
        <w:tc>
          <w:tcPr>
            <w:tcW w:type="dxa" w:w="1660"/>
          </w:tcPr>
          <w:p>
            <w:r/>
            <w:r>
              <w:rPr>
                <w:rFonts w:ascii="Calibri" w:hAnsi="Calibri" w:eastAsia="微软雅黑"/>
                <w:b w:val="0"/>
                <w:i w:val="0"/>
                <w:sz w:val="18"/>
              </w:rPr>
              <w:t>开展单机/联动试运、性能考核验收、缺陷修补</w:t>
            </w:r>
          </w:p>
        </w:tc>
        <w:tc>
          <w:tcPr>
            <w:tcW w:type="dxa" w:w="1660"/>
          </w:tcPr>
          <w:p>
            <w:r/>
            <w:r>
              <w:rPr>
                <w:rFonts w:ascii="Calibri" w:hAnsi="Calibri" w:eastAsia="微软雅黑"/>
                <w:b w:val="0"/>
                <w:i w:val="0"/>
                <w:sz w:val="18"/>
              </w:rPr>
              <w:t>试运行合格确认、性能考核报告</w:t>
            </w:r>
          </w:p>
        </w:tc>
      </w:tr>
      <w:tr>
        <w:tc>
          <w:tcPr>
            <w:tcW w:type="dxa" w:w="1660"/>
          </w:tcPr>
          <w:p>
            <w:r/>
            <w:r>
              <w:rPr>
                <w:rFonts w:ascii="Calibri" w:hAnsi="Calibri" w:eastAsia="微软雅黑"/>
                <w:b w:val="0"/>
                <w:i w:val="0"/>
                <w:sz w:val="18"/>
              </w:rPr>
              <w:t>7. 项目收尾</w:t>
            </w:r>
          </w:p>
        </w:tc>
        <w:tc>
          <w:tcPr>
            <w:tcW w:type="dxa" w:w="1660"/>
          </w:tcPr>
          <w:p>
            <w:r/>
            <w:r>
              <w:rPr>
                <w:rFonts w:ascii="Calibri" w:hAnsi="Calibri" w:eastAsia="微软雅黑"/>
                <w:b w:val="0"/>
                <w:i w:val="0"/>
                <w:sz w:val="18"/>
              </w:rPr>
              <w:t>办理竣工验收、支付结算尾款</w:t>
            </w:r>
          </w:p>
        </w:tc>
        <w:tc>
          <w:tcPr>
            <w:tcW w:type="dxa" w:w="1660"/>
          </w:tcPr>
          <w:p>
            <w:r/>
            <w:r>
              <w:rPr>
                <w:rFonts w:ascii="Calibri" w:hAnsi="Calibri" w:eastAsia="微软雅黑"/>
                <w:b w:val="0"/>
                <w:i w:val="0"/>
                <w:sz w:val="18"/>
              </w:rPr>
              <w:t>审计考核、解散项目部、归档知识库</w:t>
            </w:r>
          </w:p>
        </w:tc>
        <w:tc>
          <w:tcPr>
            <w:tcW w:type="dxa" w:w="1660"/>
          </w:tcPr>
          <w:p>
            <w:r/>
            <w:r>
              <w:rPr>
                <w:rFonts w:ascii="Calibri" w:hAnsi="Calibri" w:eastAsia="微软雅黑"/>
                <w:b w:val="0"/>
                <w:i w:val="0"/>
                <w:sz w:val="18"/>
              </w:rPr>
              <w:t>办理合同收尾与财务收尾、履行缺陷责任期</w:t>
            </w:r>
          </w:p>
        </w:tc>
        <w:tc>
          <w:tcPr>
            <w:tcW w:type="dxa" w:w="1660"/>
          </w:tcPr>
          <w:p>
            <w:r/>
            <w:r>
              <w:rPr>
                <w:rFonts w:ascii="Calibri" w:hAnsi="Calibri" w:eastAsia="微软雅黑"/>
                <w:b w:val="0"/>
                <w:i w:val="0"/>
                <w:sz w:val="18"/>
              </w:rPr>
              <w:t>项目总结报告、知识沉淀、竣工移交</w:t>
            </w:r>
          </w:p>
        </w:tc>
      </w:tr>
    </w:tbl>
    <w:p>
      <w:r>
        <w:rPr>
          <w:rFonts w:ascii="Calibri" w:hAnsi="Calibri" w:eastAsia="微软雅黑"/>
          <w:b w:val="0"/>
          <w:i w:val="0"/>
          <w:sz w:val="22"/>
        </w:rPr>
        <w:t>这张图谱的推荐用法是"上墙"。把它放大成项目部作战室的挂图，每逢节点转换例会，用三种颜色磁贴标注当前状态——绿色代表已完成并归档、黄色代表进行中且有预警、红色代表卡点待决策，七行节点一目了然。矩阵式管理的常见病灶是后台与前台互相以为对方在管，"上墙"的粗糙仪式感恰恰能逼出每一次责任的当面认领（本段为本研究方法论建议）。</w:t>
      </w:r>
    </w:p>
    <w:p>
      <w:r>
        <w:rPr>
          <w:rFonts w:ascii="Calibri" w:hAnsi="Calibri" w:eastAsia="微软雅黑"/>
          <w:b w:val="0"/>
          <w:i w:val="0"/>
          <w:sz w:val="22"/>
        </w:rPr>
        <w:t>---</w:t>
      </w:r>
    </w:p>
    <w:p>
      <w:pPr>
        <w:pStyle w:val="Heading2"/>
      </w:pPr>
      <w:r>
        <w:t>1.5 本章小结要点</w:t>
      </w:r>
    </w:p>
    <w:p>
      <w:r>
        <w:rPr>
          <w:rFonts w:ascii="Calibri" w:hAnsi="Calibri" w:eastAsia="微软雅黑"/>
          <w:b w:val="0"/>
          <w:i w:val="0"/>
          <w:sz w:val="22"/>
        </w:rPr>
        <w:t>作为全书的开篇导论，本章全面解构了中国总承包市场的竞争格局、制度逻辑、标杆范式与风险防控方法论。核心结论总结如下：</w:t>
      </w:r>
    </w:p>
    <w:p>
      <w:pPr>
        <w:pStyle w:val="ListNumber"/>
      </w:pPr>
      <w:r>
        <w:rPr>
          <w:rFonts w:ascii="Calibri" w:hAnsi="Calibri" w:eastAsia="微软雅黑"/>
          <w:b/>
          <w:i w:val="0"/>
          <w:sz w:val="22"/>
        </w:rPr>
        <w:t>市场呈现极高集中度与头部极化特征</w:t>
      </w:r>
      <w:r>
        <w:rPr>
          <w:rFonts w:ascii="Calibri" w:hAnsi="Calibri" w:eastAsia="微软雅黑"/>
          <w:b w:val="0"/>
          <w:i w:val="0"/>
          <w:sz w:val="22"/>
        </w:rPr>
        <w:t>：2023年发布榜单（2022年度业绩）186家上榜企业总承包营业额合计8,651.02亿元，TOP50企业以26.9%的数量占比拿走72.23%的份额（6,249.03亿元），CR10达29.79%、CR5达18.04%、CR3达12.27%（以上均为本研究据榜单原始数据测算，own_calc）(P000001)。TOP50入围门槛为513,866万元（东华工程科技），前20强门槛跨越100亿元 (P000001)。以华东院（4,549,202万元）、中国铁设（3,503,064万元）、十一科技（2,661,723万元）为代表的龙头企业构筑了极高的规模壁垒 (P000005, P000001)。</w:t>
      </w:r>
    </w:p>
    <w:p>
      <w:pPr>
        <w:pStyle w:val="ListNumber"/>
      </w:pPr>
      <w:r>
        <w:rPr>
          <w:rFonts w:ascii="Calibri" w:hAnsi="Calibri" w:eastAsia="微软雅黑"/>
          <w:b/>
          <w:i w:val="0"/>
          <w:sz w:val="22"/>
        </w:rPr>
        <w:t>国家标准GB/T 50358-2017奠定了全过程EPC的治理基石</w:t>
      </w:r>
      <w:r>
        <w:rPr>
          <w:rFonts w:ascii="Calibri" w:hAnsi="Calibri" w:eastAsia="微软雅黑"/>
          <w:b w:val="0"/>
          <w:i w:val="0"/>
          <w:sz w:val="22"/>
        </w:rPr>
        <w:t>：工程总承包的本质定义（第2.0.1条）是"对建设项目的设计、采购、施工和试运行实行全过程或若干阶段的承包"；规范要求企业采用矩阵式管理架构（第3.1.4条），实行项目管理目标责任书与项目经理任命制（第3.1.2条、第3.2.1条），引入赢得值与项目控制机制实现进度费用的动态双控（第2.0.8条、第2.0.10条）(P000003)。</w:t>
      </w:r>
    </w:p>
    <w:p>
      <w:pPr>
        <w:pStyle w:val="ListNumber"/>
      </w:pPr>
      <w:r>
        <w:rPr>
          <w:rFonts w:ascii="Calibri" w:hAnsi="Calibri" w:eastAsia="微软雅黑"/>
          <w:b/>
          <w:i w:val="0"/>
          <w:sz w:val="22"/>
        </w:rPr>
        <w:t>标杆企业证明"技术+数字化+供应链"是转型成功的核心驱动力</w:t>
      </w:r>
      <w:r>
        <w:rPr>
          <w:rFonts w:ascii="Calibri" w:hAnsi="Calibri" w:eastAsia="微软雅黑"/>
          <w:b w:val="0"/>
          <w:i w:val="0"/>
          <w:sz w:val="22"/>
        </w:rPr>
        <w:t>：华东院依托二十年数字化积累打造450亿级智慧总包，十一科技深耕芯片洁净厂房与光伏双轮驱动，中国化学以技术包与六院军团横扫化工EPC，中核工程以"华龙一号"精细化管控压缩关键路径，中材国际以全球属地化经营问鼎境外榜首，四川路桥以投建一体重塑盈利结构——其共性在于打破"照图施工"思维，实现产业链纵向深度整合（本条为本研究归纳）(P000001, P000051, P000026, P000024)。</w:t>
      </w:r>
    </w:p>
    <w:p>
      <w:pPr>
        <w:pStyle w:val="ListNumber"/>
      </w:pPr>
      <w:r>
        <w:rPr>
          <w:rFonts w:ascii="Calibri" w:hAnsi="Calibri" w:eastAsia="微软雅黑"/>
          <w:b/>
          <w:i w:val="0"/>
          <w:sz w:val="22"/>
        </w:rPr>
        <w:t>风险防范与合规经营是总承包企业的生命线</w:t>
      </w:r>
      <w:r>
        <w:rPr>
          <w:rFonts w:ascii="Calibri" w:hAnsi="Calibri" w:eastAsia="微软雅黑"/>
          <w:b w:val="0"/>
          <w:i w:val="0"/>
          <w:sz w:val="22"/>
        </w:rPr>
        <w:t>：面对设计、采购、价格现金流及施工分包四大风险矩阵，工程企业必须落地详勘复核、可施工性审查、长设备驻厂监造、大宗物资调价公式、赢得值监控及当期书面认价等防控对策，通过"能力提升四步法"建立可持续的总承包核心竞争力 (P000012, P000003)。</w:t>
      </w:r>
    </w:p>
    <w:p>
      <w:r>
        <w:rPr>
          <w:rFonts w:ascii="Calibri" w:hAnsi="Calibri" w:eastAsia="微软雅黑"/>
          <w:b w:val="0"/>
          <w:i w:val="0"/>
          <w:sz w:val="22"/>
        </w:rPr>
        <w:t>使用本章的正确方式，是把它当作一张可以反复回查的对位地图：排位战打响前，回到1.1核对门槛与梯队坐标；搭建总承包组织时，回到1.2校验规范骨架；挑选对标对象时，回到1.3按企业类型取用案例；签署任何一份总承包合同前，则回到1.4逐条过一遍风险矩阵。地图不能代替行军，但能让每一步行军都有方位感（本句为本研究使用指引）。</w:t>
      </w:r>
    </w:p>
    <w:p>
      <w:r>
        <w:rPr>
          <w:rFonts w:ascii="Calibri" w:hAnsi="Calibri" w:eastAsia="微软雅黑"/>
          <w:b w:val="0"/>
          <w:i w:val="0"/>
          <w:sz w:val="22"/>
        </w:rPr>
        <w:t>---</w:t>
      </w:r>
    </w:p>
    <w:p>
      <w:pPr>
        <w:pStyle w:val="Heading2"/>
      </w:pPr>
      <w:r>
        <w:t>1.6 本章证据边界与数据说明</w:t>
      </w:r>
    </w:p>
    <w:p>
      <w:r>
        <w:rPr>
          <w:rFonts w:ascii="Calibri" w:hAnsi="Calibri" w:eastAsia="微软雅黑"/>
          <w:b w:val="0"/>
          <w:i w:val="0"/>
          <w:sz w:val="22"/>
        </w:rPr>
        <w:t>为确保本研究报告的严谨性、客观性与可追溯性，特对本章所使用的原始资料、数据来源及研究边界作如下说明：</w:t>
      </w:r>
    </w:p>
    <w:p>
      <w:pPr>
        <w:pStyle w:val="ListNumber"/>
      </w:pPr>
      <w:r>
        <w:rPr>
          <w:rFonts w:ascii="Calibri" w:hAnsi="Calibri" w:eastAsia="微软雅黑"/>
          <w:b/>
          <w:i w:val="0"/>
          <w:sz w:val="22"/>
        </w:rPr>
        <w:t>数据来源说明</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行业排名数据</w:t>
      </w:r>
      <w:r>
        <w:rPr>
          <w:rFonts w:ascii="Calibri" w:hAnsi="Calibri" w:eastAsia="微软雅黑"/>
          <w:b w:val="0"/>
          <w:i w:val="0"/>
          <w:sz w:val="22"/>
        </w:rPr>
        <w:t>：本章引用的工程项目管理与总承包营业额系列排名数据，均据中国勘察设计协会及建设项目管理和工程总承包分会发布的关于公布排名的历年通知及随附官方附件清单 (P000001, P000004, P000005, P000010, P000009)。</w:t>
      </w:r>
    </w:p>
    <w:p>
      <w:r>
        <w:rPr>
          <w:rFonts w:ascii="Calibri" w:hAnsi="Calibri" w:eastAsia="微软雅黑"/>
          <w:b w:val="0"/>
          <w:i w:val="0"/>
          <w:sz w:val="22"/>
        </w:rPr>
        <w:t xml:space="preserve">- </w:t>
      </w:r>
      <w:r>
        <w:rPr>
          <w:rFonts w:ascii="Calibri" w:hAnsi="Calibri" w:eastAsia="微软雅黑"/>
          <w:b/>
          <w:i w:val="0"/>
          <w:sz w:val="22"/>
        </w:rPr>
        <w:t>国家规范文献</w:t>
      </w:r>
      <w:r>
        <w:rPr>
          <w:rFonts w:ascii="Calibri" w:hAnsi="Calibri" w:eastAsia="微软雅黑"/>
          <w:b w:val="0"/>
          <w:i w:val="0"/>
          <w:sz w:val="22"/>
        </w:rPr>
        <w:t>：住建部批准发布的国家标准《建设项目工程总承包管理规范》（GB/T 50358-2017）全文 (P000003)，以及专业机构关于工程总承包风险与防范的实务研究 (P000012)。</w:t>
      </w:r>
    </w:p>
    <w:p>
      <w:r>
        <w:rPr>
          <w:rFonts w:ascii="Calibri" w:hAnsi="Calibri" w:eastAsia="微软雅黑"/>
          <w:b w:val="0"/>
          <w:i w:val="0"/>
          <w:sz w:val="22"/>
        </w:rPr>
        <w:t xml:space="preserve">- </w:t>
      </w:r>
      <w:r>
        <w:rPr>
          <w:rFonts w:ascii="Calibri" w:hAnsi="Calibri" w:eastAsia="微软雅黑"/>
          <w:b/>
          <w:i w:val="0"/>
          <w:sz w:val="22"/>
        </w:rPr>
        <w:t>上市公司法定信息披露</w:t>
      </w:r>
      <w:r>
        <w:rPr>
          <w:rFonts w:ascii="Calibri" w:hAnsi="Calibri" w:eastAsia="微软雅黑"/>
          <w:b w:val="0"/>
          <w:i w:val="0"/>
          <w:sz w:val="22"/>
        </w:rPr>
        <w:t>：中国化学（601117）、中材国际（600970）、四川路桥（600039）等企业经审计的年度报告全文（来源于巨潮资讯网）(P000013, P000026, P000024, P000034, P000015)。其中四川路桥2023年营收为年报调整后口径 (P000034)。</w:t>
      </w:r>
    </w:p>
    <w:p>
      <w:r>
        <w:rPr>
          <w:rFonts w:ascii="Calibri" w:hAnsi="Calibri" w:eastAsia="微软雅黑"/>
          <w:b w:val="0"/>
          <w:i w:val="0"/>
          <w:sz w:val="22"/>
        </w:rPr>
        <w:t xml:space="preserve">- </w:t>
      </w:r>
      <w:r>
        <w:rPr>
          <w:rFonts w:ascii="Calibri" w:hAnsi="Calibri" w:eastAsia="微软雅黑"/>
          <w:b/>
          <w:i w:val="0"/>
          <w:sz w:val="22"/>
        </w:rPr>
        <w:t>专项研究基底</w:t>
      </w:r>
      <w:r>
        <w:rPr>
          <w:rFonts w:ascii="Calibri" w:hAnsi="Calibri" w:eastAsia="微软雅黑"/>
          <w:b w:val="0"/>
          <w:i w:val="0"/>
          <w:sz w:val="22"/>
        </w:rPr>
        <w:t>：核电产业与中核工程EPC研究资料（含"华龙一号"工程实践）(P000051, P000052)。</w:t>
      </w:r>
    </w:p>
    <w:p>
      <w:pPr>
        <w:pStyle w:val="ListNumber"/>
      </w:pPr>
      <w:r>
        <w:rPr>
          <w:rFonts w:ascii="Calibri" w:hAnsi="Calibri" w:eastAsia="微软雅黑"/>
          <w:b/>
          <w:i w:val="0"/>
          <w:sz w:val="22"/>
        </w:rPr>
        <w:t>统计口径与时间跨度</w:t>
      </w:r>
      <w:r>
        <w:rPr>
          <w:rFonts w:ascii="Calibri" w:hAnsi="Calibri" w:eastAsia="微软雅黑"/>
          <w:b w:val="0"/>
          <w:i w:val="0"/>
          <w:sz w:val="22"/>
        </w:rPr>
        <w:t>：</w:t>
      </w:r>
    </w:p>
    <w:p>
      <w:r>
        <w:rPr>
          <w:rFonts w:ascii="Calibri" w:hAnsi="Calibri" w:eastAsia="微软雅黑"/>
          <w:b w:val="0"/>
          <w:i w:val="0"/>
          <w:sz w:val="22"/>
        </w:rPr>
        <w:t>- 榜单"营业额"指企业在统计年度内（每年1月1日至12月31日）境内外实际完成的总承包营业额（单位为万元人民币）(P000001, P000009)。</w:t>
      </w:r>
    </w:p>
    <w:p>
      <w:r>
        <w:rPr>
          <w:rFonts w:ascii="Calibri" w:hAnsi="Calibri" w:eastAsia="微软雅黑"/>
          <w:b w:val="0"/>
          <w:i w:val="0"/>
          <w:sz w:val="22"/>
        </w:rPr>
        <w:t>- 中国勘察设计协会历年排名于业绩次年发布（如2023年9月发布的排名业绩归属2022年度、榜单附件明确标注统计期为2022年1月1日至12月31日；2025年排名通知落款2025年9月4日）(P000001, P000005)。本章严格区分"排名发布年份"与"业绩归属年份"，所有榜单数据均标注发布期，交叉对比时按业绩归属年度对齐。</w:t>
      </w:r>
    </w:p>
    <w:p>
      <w:r>
        <w:rPr>
          <w:rFonts w:ascii="Calibri" w:hAnsi="Calibri" w:eastAsia="微软雅黑"/>
          <w:b w:val="0"/>
          <w:i w:val="0"/>
          <w:sz w:val="22"/>
        </w:rPr>
        <w:t>- 本章全部合计数、集中度（CR3/CR5/CR10/CR50）、平均值与占比（如8,651.02亿元总量、72.23%、124.98亿元企均、5.14%华东院占比等）为本研究依据榜单原始行数据逐行加总折算（own_calc），读者可用尾注锚点回溯原始行数据复算。</w:t>
      </w:r>
    </w:p>
    <w:p>
      <w:pPr>
        <w:pStyle w:val="ListNumber"/>
      </w:pPr>
      <w:r>
        <w:rPr>
          <w:rFonts w:ascii="Calibri" w:hAnsi="Calibri" w:eastAsia="微软雅黑"/>
          <w:b/>
          <w:i w:val="0"/>
          <w:sz w:val="22"/>
        </w:rPr>
        <w:t>研究证据边界与局限性声明</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样本边界</w:t>
      </w:r>
      <w:r>
        <w:rPr>
          <w:rFonts w:ascii="Calibri" w:hAnsi="Calibri" w:eastAsia="微软雅黑"/>
          <w:b w:val="0"/>
          <w:i w:val="0"/>
          <w:sz w:val="22"/>
        </w:rPr>
        <w:t>：中设协排名榜单仅涵盖具有乙级以上工程设计资格证书的企业（以设计院及设计系工程公司为主体），纯施工企业未纳入统计 (P000009)。中天建设集团虽以205,765万元位列2023年发布榜单第103位 (P000001)，但施工系企业的总体总承包体量在本榜单中系统性低估（本句为本研究判断）。</w:t>
      </w:r>
    </w:p>
    <w:p>
      <w:r>
        <w:rPr>
          <w:rFonts w:ascii="Calibri" w:hAnsi="Calibri" w:eastAsia="微软雅黑"/>
          <w:b w:val="0"/>
          <w:i w:val="0"/>
          <w:sz w:val="22"/>
        </w:rPr>
        <w:t xml:space="preserve">- </w:t>
      </w:r>
      <w:r>
        <w:rPr>
          <w:rFonts w:ascii="Calibri" w:hAnsi="Calibri" w:eastAsia="微软雅黑"/>
          <w:b/>
          <w:i w:val="0"/>
          <w:sz w:val="22"/>
        </w:rPr>
        <w:t>数据真实性边界</w:t>
      </w:r>
      <w:r>
        <w:rPr>
          <w:rFonts w:ascii="Calibri" w:hAnsi="Calibri" w:eastAsia="微软雅黑"/>
          <w:b w:val="0"/>
          <w:i w:val="0"/>
          <w:sz w:val="22"/>
        </w:rPr>
        <w:t>：榜单营业额由企业自主申报，并经地方同业协会及总承包分会初审、复核 (P000009)；上市公司数据来自经会计师事务所审计的法定年报。本报告不对原始申报数据的底层会计凭证进行二次审计。</w:t>
      </w:r>
    </w:p>
    <w:p>
      <w:r>
        <w:rPr>
          <w:rFonts w:ascii="Calibri" w:hAnsi="Calibri" w:eastAsia="微软雅黑"/>
          <w:b w:val="0"/>
          <w:i w:val="0"/>
          <w:sz w:val="22"/>
        </w:rPr>
        <w:t xml:space="preserve">- </w:t>
      </w:r>
      <w:r>
        <w:rPr>
          <w:rFonts w:ascii="Calibri" w:hAnsi="Calibri" w:eastAsia="微软雅黑"/>
          <w:b/>
          <w:i w:val="0"/>
          <w:sz w:val="22"/>
        </w:rPr>
        <w:t>推演边界</w:t>
      </w:r>
      <w:r>
        <w:rPr>
          <w:rFonts w:ascii="Calibri" w:hAnsi="Calibri" w:eastAsia="微软雅黑"/>
          <w:b w:val="0"/>
          <w:i w:val="0"/>
          <w:sz w:val="22"/>
        </w:rPr>
        <w:t>：文中标注"示意性复盘"或"行业归纳/解读"的内容为研究团队基于源文规则与赛道特征的推演判断，均已随文明示，不构成对具体企业行为的实证断言。</w:t>
      </w:r>
    </w:p>
    <w:p>
      <w:r>
        <w:rPr>
          <w:rFonts w:ascii="Calibri" w:hAnsi="Calibri" w:eastAsia="微软雅黑"/>
          <w:b w:val="0"/>
          <w:i w:val="0"/>
          <w:sz w:val="22"/>
        </w:rPr>
        <w:t xml:space="preserve">- </w:t>
      </w:r>
      <w:r>
        <w:rPr>
          <w:rFonts w:ascii="Calibri" w:hAnsi="Calibri" w:eastAsia="微软雅黑"/>
          <w:b/>
          <w:i w:val="0"/>
          <w:sz w:val="22"/>
        </w:rPr>
        <w:t>非公开信息免责</w:t>
      </w:r>
      <w:r>
        <w:rPr>
          <w:rFonts w:ascii="Calibri" w:hAnsi="Calibri" w:eastAsia="微软雅黑"/>
          <w:b w:val="0"/>
          <w:i w:val="0"/>
          <w:sz w:val="22"/>
        </w:rPr>
        <w:t>：对于非上市央企或地方国有设计院的内部细分板块利润率及未公开商业安排，不在本章讨论范围内。</w:t>
      </w:r>
    </w:p>
    <w:p>
      <w:r>
        <w:rPr>
          <w:rFonts w:ascii="Calibri" w:hAnsi="Calibri" w:eastAsia="微软雅黑"/>
          <w:b w:val="0"/>
          <w:i w:val="0"/>
          <w:sz w:val="22"/>
        </w:rPr>
        <w:t>---</w:t>
      </w:r>
    </w:p>
    <w:p>
      <w:pPr>
        <w:pStyle w:val="Heading2"/>
      </w:pPr>
      <w:r>
        <w:t>本章尾注（事实锚源对照）</w:t>
      </w:r>
    </w:p>
    <w:tbl>
      <w:tblPr>
        <w:tblStyle w:val="TableGrid"/>
        <w:tblW w:type="auto" w:w="0"/>
        <w:tblLook w:firstColumn="1" w:firstRow="1" w:lastColumn="0" w:lastRow="0" w:noHBand="0" w:noVBand="1" w:val="04A0"/>
      </w:tblPr>
      <w:tblGrid>
        <w:gridCol w:w="4150"/>
        <w:gridCol w:w="4150"/>
      </w:tblGrid>
      <w:tr>
        <w:tc>
          <w:tcPr>
            <w:tcW w:type="dxa" w:w="4150"/>
            <w:shd w:fill="1F3A5F"/>
          </w:tcPr>
          <w:p>
            <w:r>
              <w:rPr>
                <w:color w:val="FFFFFF"/>
              </w:rPr>
            </w:r>
            <w:r>
              <w:rPr>
                <w:rFonts w:ascii="Calibri" w:hAnsi="Calibri" w:eastAsia="微软雅黑"/>
                <w:b/>
                <w:i w:val="0"/>
                <w:color w:val="FFFFFF"/>
                <w:sz w:val="18"/>
              </w:rPr>
              <w:t>事实锚</w:t>
            </w:r>
          </w:p>
        </w:tc>
        <w:tc>
          <w:tcPr>
            <w:tcW w:type="dxa" w:w="4150"/>
            <w:shd w:fill="1F3A5F"/>
          </w:tcPr>
          <w:p>
            <w:r>
              <w:rPr>
                <w:color w:val="FFFFFF"/>
              </w:rPr>
            </w:r>
            <w:r>
              <w:rPr>
                <w:rFonts w:ascii="Calibri" w:hAnsi="Calibri" w:eastAsia="微软雅黑"/>
                <w:b/>
                <w:i w:val="0"/>
                <w:color w:val="FFFFFF"/>
                <w:sz w:val="18"/>
              </w:rPr>
              <w:t>源文（事实资料库实收件）</w:t>
            </w:r>
          </w:p>
        </w:tc>
      </w:tr>
      <w:tr>
        <w:tc>
          <w:tcPr>
            <w:tcW w:type="dxa" w:w="4150"/>
          </w:tcPr>
          <w:p>
            <w:r/>
            <w:r>
              <w:rPr>
                <w:rFonts w:ascii="Calibri" w:hAnsi="Calibri" w:eastAsia="微软雅黑"/>
                <w:b w:val="0"/>
                <w:i w:val="0"/>
                <w:sz w:val="18"/>
              </w:rPr>
              <w:t>P000001</w:t>
            </w:r>
          </w:p>
        </w:tc>
        <w:tc>
          <w:tcPr>
            <w:tcW w:type="dxa" w:w="4150"/>
          </w:tcPr>
          <w:p>
            <w:r/>
            <w:r>
              <w:rPr>
                <w:rFonts w:ascii="Calibri" w:hAnsi="Calibri" w:eastAsia="微软雅黑"/>
                <w:b w:val="0"/>
                <w:i w:val="0"/>
                <w:sz w:val="18"/>
              </w:rPr>
              <w:t>中国电建华东院445亿元领衔！2023年设计院工程总承包营业额排名发布（含186家总承包、境外项目管理、境外总承包完整榜单附件）</w:t>
            </w:r>
          </w:p>
        </w:tc>
      </w:tr>
      <w:tr>
        <w:tc>
          <w:tcPr>
            <w:tcW w:type="dxa" w:w="4150"/>
          </w:tcPr>
          <w:p>
            <w:r/>
            <w:r>
              <w:rPr>
                <w:rFonts w:ascii="Calibri" w:hAnsi="Calibri" w:eastAsia="微软雅黑"/>
                <w:b w:val="0"/>
                <w:i w:val="0"/>
                <w:sz w:val="18"/>
              </w:rPr>
              <w:t>P000002</w:t>
            </w:r>
          </w:p>
        </w:tc>
        <w:tc>
          <w:tcPr>
            <w:tcW w:type="dxa" w:w="4150"/>
          </w:tcPr>
          <w:p>
            <w:r/>
            <w:r>
              <w:rPr>
                <w:rFonts w:ascii="Calibri" w:hAnsi="Calibri" w:eastAsia="微软雅黑"/>
                <w:b w:val="0"/>
                <w:i w:val="0"/>
                <w:sz w:val="18"/>
              </w:rPr>
              <w:t>2023年设计院工程总承包营业额排名发布（含同源完整榜单）</w:t>
            </w:r>
          </w:p>
        </w:tc>
      </w:tr>
      <w:tr>
        <w:tc>
          <w:tcPr>
            <w:tcW w:type="dxa" w:w="4150"/>
          </w:tcPr>
          <w:p>
            <w:r/>
            <w:r>
              <w:rPr>
                <w:rFonts w:ascii="Calibri" w:hAnsi="Calibri" w:eastAsia="微软雅黑"/>
                <w:b w:val="0"/>
                <w:i w:val="0"/>
                <w:sz w:val="18"/>
              </w:rPr>
              <w:t>P000003</w:t>
            </w:r>
          </w:p>
        </w:tc>
        <w:tc>
          <w:tcPr>
            <w:tcW w:type="dxa" w:w="4150"/>
          </w:tcPr>
          <w:p>
            <w:r/>
            <w:r>
              <w:rPr>
                <w:rFonts w:ascii="Calibri" w:hAnsi="Calibri" w:eastAsia="微软雅黑"/>
                <w:b w:val="0"/>
                <w:i w:val="0"/>
                <w:sz w:val="18"/>
              </w:rPr>
              <w:t>建设项目工程总承包管理规范（GB/T 50358-2017）全文</w:t>
            </w:r>
          </w:p>
        </w:tc>
      </w:tr>
      <w:tr>
        <w:tc>
          <w:tcPr>
            <w:tcW w:type="dxa" w:w="4150"/>
          </w:tcPr>
          <w:p>
            <w:r/>
            <w:r>
              <w:rPr>
                <w:rFonts w:ascii="Calibri" w:hAnsi="Calibri" w:eastAsia="微软雅黑"/>
                <w:b w:val="0"/>
                <w:i w:val="0"/>
                <w:sz w:val="18"/>
              </w:rPr>
              <w:t>P000004</w:t>
            </w:r>
          </w:p>
        </w:tc>
        <w:tc>
          <w:tcPr>
            <w:tcW w:type="dxa" w:w="4150"/>
          </w:tcPr>
          <w:p>
            <w:r/>
            <w:r>
              <w:rPr>
                <w:rFonts w:ascii="Calibri" w:hAnsi="Calibri" w:eastAsia="微软雅黑"/>
                <w:b w:val="0"/>
                <w:i w:val="0"/>
                <w:sz w:val="18"/>
              </w:rPr>
              <w:t>勘察设计企业工程项目管理和工程总承包营业额2023年排名（中设协通知转载）</w:t>
            </w:r>
          </w:p>
        </w:tc>
      </w:tr>
      <w:tr>
        <w:tc>
          <w:tcPr>
            <w:tcW w:type="dxa" w:w="4150"/>
          </w:tcPr>
          <w:p>
            <w:r/>
            <w:r>
              <w:rPr>
                <w:rFonts w:ascii="Calibri" w:hAnsi="Calibri" w:eastAsia="微软雅黑"/>
                <w:b w:val="0"/>
                <w:i w:val="0"/>
                <w:sz w:val="18"/>
              </w:rPr>
              <w:t>P000005</w:t>
            </w:r>
          </w:p>
        </w:tc>
        <w:tc>
          <w:tcPr>
            <w:tcW w:type="dxa" w:w="4150"/>
          </w:tcPr>
          <w:p>
            <w:r/>
            <w:r>
              <w:rPr>
                <w:rFonts w:ascii="Calibri" w:hAnsi="Calibri" w:eastAsia="微软雅黑"/>
                <w:b w:val="0"/>
                <w:i w:val="0"/>
                <w:sz w:val="18"/>
              </w:rPr>
              <w:t>2025年勘察设计企业工程项目管理和工程总承包营业额排名（中设协字〔2025〕9号成果，2025年9月4日）</w:t>
            </w:r>
          </w:p>
        </w:tc>
      </w:tr>
      <w:tr>
        <w:tc>
          <w:tcPr>
            <w:tcW w:type="dxa" w:w="4150"/>
          </w:tcPr>
          <w:p>
            <w:r/>
            <w:r>
              <w:rPr>
                <w:rFonts w:ascii="Calibri" w:hAnsi="Calibri" w:eastAsia="微软雅黑"/>
                <w:b w:val="0"/>
                <w:i w:val="0"/>
                <w:sz w:val="18"/>
              </w:rPr>
              <w:t>P000009</w:t>
            </w:r>
          </w:p>
        </w:tc>
        <w:tc>
          <w:tcPr>
            <w:tcW w:type="dxa" w:w="4150"/>
          </w:tcPr>
          <w:p>
            <w:r/>
            <w:r>
              <w:rPr>
                <w:rFonts w:ascii="Calibri" w:hAnsi="Calibri" w:eastAsia="微软雅黑"/>
                <w:b w:val="0"/>
                <w:i w:val="0"/>
                <w:sz w:val="18"/>
              </w:rPr>
              <w:t>中国勘察设计协会关于2025年开展勘察设计企业工程项目管理和工程总承包营业额排名活动的通知（中设协字〔2025〕9号）</w:t>
            </w:r>
          </w:p>
        </w:tc>
      </w:tr>
      <w:tr>
        <w:tc>
          <w:tcPr>
            <w:tcW w:type="dxa" w:w="4150"/>
          </w:tcPr>
          <w:p>
            <w:r/>
            <w:r>
              <w:rPr>
                <w:rFonts w:ascii="Calibri" w:hAnsi="Calibri" w:eastAsia="微软雅黑"/>
                <w:b w:val="0"/>
                <w:i w:val="0"/>
                <w:sz w:val="18"/>
              </w:rPr>
              <w:t>P000010</w:t>
            </w:r>
          </w:p>
        </w:tc>
        <w:tc>
          <w:tcPr>
            <w:tcW w:type="dxa" w:w="4150"/>
          </w:tcPr>
          <w:p>
            <w:r/>
            <w:r>
              <w:rPr>
                <w:rFonts w:ascii="Calibri" w:hAnsi="Calibri" w:eastAsia="微软雅黑"/>
                <w:b w:val="0"/>
                <w:i w:val="0"/>
                <w:sz w:val="18"/>
              </w:rPr>
              <w:t>勘察设计企业工程项目管理和工程总承包营业额2024年排名出炉（2024年9月14日通知转载）</w:t>
            </w:r>
          </w:p>
        </w:tc>
      </w:tr>
      <w:tr>
        <w:tc>
          <w:tcPr>
            <w:tcW w:type="dxa" w:w="4150"/>
          </w:tcPr>
          <w:p>
            <w:r/>
            <w:r>
              <w:rPr>
                <w:rFonts w:ascii="Calibri" w:hAnsi="Calibri" w:eastAsia="微软雅黑"/>
                <w:b w:val="0"/>
                <w:i w:val="0"/>
                <w:sz w:val="18"/>
              </w:rPr>
              <w:t>P000011</w:t>
            </w:r>
          </w:p>
        </w:tc>
        <w:tc>
          <w:tcPr>
            <w:tcW w:type="dxa" w:w="4150"/>
          </w:tcPr>
          <w:p>
            <w:r/>
            <w:r>
              <w:rPr>
                <w:rFonts w:ascii="Calibri" w:hAnsi="Calibri" w:eastAsia="微软雅黑"/>
                <w:b w:val="0"/>
                <w:i w:val="0"/>
                <w:sz w:val="18"/>
              </w:rPr>
              <w:t>关于组织申报中设协2021年排名活动的通知（江苏省勘察设计行业协会转发）</w:t>
            </w:r>
          </w:p>
        </w:tc>
      </w:tr>
      <w:tr>
        <w:tc>
          <w:tcPr>
            <w:tcW w:type="dxa" w:w="4150"/>
          </w:tcPr>
          <w:p>
            <w:r/>
            <w:r>
              <w:rPr>
                <w:rFonts w:ascii="Calibri" w:hAnsi="Calibri" w:eastAsia="微软雅黑"/>
                <w:b w:val="0"/>
                <w:i w:val="0"/>
                <w:sz w:val="18"/>
              </w:rPr>
              <w:t>P000012</w:t>
            </w:r>
          </w:p>
        </w:tc>
        <w:tc>
          <w:tcPr>
            <w:tcW w:type="dxa" w:w="4150"/>
          </w:tcPr>
          <w:p>
            <w:r/>
            <w:r>
              <w:rPr>
                <w:rFonts w:ascii="Calibri" w:hAnsi="Calibri" w:eastAsia="微软雅黑"/>
                <w:b w:val="0"/>
                <w:i w:val="0"/>
                <w:sz w:val="18"/>
              </w:rPr>
              <w:t>工程总承包的风险与防范（专业实务研究）</w:t>
            </w:r>
          </w:p>
        </w:tc>
      </w:tr>
      <w:tr>
        <w:tc>
          <w:tcPr>
            <w:tcW w:type="dxa" w:w="4150"/>
          </w:tcPr>
          <w:p>
            <w:r/>
            <w:r>
              <w:rPr>
                <w:rFonts w:ascii="Calibri" w:hAnsi="Calibri" w:eastAsia="微软雅黑"/>
                <w:b w:val="0"/>
                <w:i w:val="0"/>
                <w:sz w:val="18"/>
              </w:rPr>
              <w:t>P000013</w:t>
            </w:r>
          </w:p>
        </w:tc>
        <w:tc>
          <w:tcPr>
            <w:tcW w:type="dxa" w:w="4150"/>
          </w:tcPr>
          <w:p>
            <w:r/>
            <w:r>
              <w:rPr>
                <w:rFonts w:ascii="Calibri" w:hAnsi="Calibri" w:eastAsia="微软雅黑"/>
                <w:b w:val="0"/>
                <w:i w:val="0"/>
                <w:sz w:val="18"/>
              </w:rPr>
              <w:t>中国化学（601117）2025年年度报告</w:t>
            </w:r>
          </w:p>
        </w:tc>
      </w:tr>
      <w:tr>
        <w:tc>
          <w:tcPr>
            <w:tcW w:type="dxa" w:w="4150"/>
          </w:tcPr>
          <w:p>
            <w:r/>
            <w:r>
              <w:rPr>
                <w:rFonts w:ascii="Calibri" w:hAnsi="Calibri" w:eastAsia="微软雅黑"/>
                <w:b w:val="0"/>
                <w:i w:val="0"/>
                <w:sz w:val="18"/>
              </w:rPr>
              <w:t>P000015</w:t>
            </w:r>
          </w:p>
        </w:tc>
        <w:tc>
          <w:tcPr>
            <w:tcW w:type="dxa" w:w="4150"/>
          </w:tcPr>
          <w:p>
            <w:r/>
            <w:r>
              <w:rPr>
                <w:rFonts w:ascii="Calibri" w:hAnsi="Calibri" w:eastAsia="微软雅黑"/>
                <w:b w:val="0"/>
                <w:i w:val="0"/>
                <w:sz w:val="18"/>
              </w:rPr>
              <w:t>山东路桥（000498）2025年年度报告</w:t>
            </w:r>
          </w:p>
        </w:tc>
      </w:tr>
      <w:tr>
        <w:tc>
          <w:tcPr>
            <w:tcW w:type="dxa" w:w="4150"/>
          </w:tcPr>
          <w:p>
            <w:r/>
            <w:r>
              <w:rPr>
                <w:rFonts w:ascii="Calibri" w:hAnsi="Calibri" w:eastAsia="微软雅黑"/>
                <w:b w:val="0"/>
                <w:i w:val="0"/>
                <w:sz w:val="18"/>
              </w:rPr>
              <w:t>P000023</w:t>
            </w:r>
          </w:p>
        </w:tc>
        <w:tc>
          <w:tcPr>
            <w:tcW w:type="dxa" w:w="4150"/>
          </w:tcPr>
          <w:p>
            <w:r/>
            <w:r>
              <w:rPr>
                <w:rFonts w:ascii="Calibri" w:hAnsi="Calibri" w:eastAsia="微软雅黑"/>
                <w:b w:val="0"/>
                <w:i w:val="0"/>
                <w:sz w:val="18"/>
              </w:rPr>
              <w:t>中材国际（600970）2023年年度报告</w:t>
            </w:r>
          </w:p>
        </w:tc>
      </w:tr>
      <w:tr>
        <w:tc>
          <w:tcPr>
            <w:tcW w:type="dxa" w:w="4150"/>
          </w:tcPr>
          <w:p>
            <w:r/>
            <w:r>
              <w:rPr>
                <w:rFonts w:ascii="Calibri" w:hAnsi="Calibri" w:eastAsia="微软雅黑"/>
                <w:b w:val="0"/>
                <w:i w:val="0"/>
                <w:sz w:val="18"/>
              </w:rPr>
              <w:t>P000024</w:t>
            </w:r>
          </w:p>
        </w:tc>
        <w:tc>
          <w:tcPr>
            <w:tcW w:type="dxa" w:w="4150"/>
          </w:tcPr>
          <w:p>
            <w:r/>
            <w:r>
              <w:rPr>
                <w:rFonts w:ascii="Calibri" w:hAnsi="Calibri" w:eastAsia="微软雅黑"/>
                <w:b w:val="0"/>
                <w:i w:val="0"/>
                <w:sz w:val="18"/>
              </w:rPr>
              <w:t>四川路桥（600039）2024年年度报告</w:t>
            </w:r>
          </w:p>
        </w:tc>
      </w:tr>
      <w:tr>
        <w:tc>
          <w:tcPr>
            <w:tcW w:type="dxa" w:w="4150"/>
          </w:tcPr>
          <w:p>
            <w:r/>
            <w:r>
              <w:rPr>
                <w:rFonts w:ascii="Calibri" w:hAnsi="Calibri" w:eastAsia="微软雅黑"/>
                <w:b w:val="0"/>
                <w:i w:val="0"/>
                <w:sz w:val="18"/>
              </w:rPr>
              <w:t>P000026</w:t>
            </w:r>
          </w:p>
        </w:tc>
        <w:tc>
          <w:tcPr>
            <w:tcW w:type="dxa" w:w="4150"/>
          </w:tcPr>
          <w:p>
            <w:r/>
            <w:r>
              <w:rPr>
                <w:rFonts w:ascii="Calibri" w:hAnsi="Calibri" w:eastAsia="微软雅黑"/>
                <w:b w:val="0"/>
                <w:i w:val="0"/>
                <w:sz w:val="18"/>
              </w:rPr>
              <w:t>中材国际（600970）2024年年度报告</w:t>
            </w:r>
          </w:p>
        </w:tc>
      </w:tr>
      <w:tr>
        <w:tc>
          <w:tcPr>
            <w:tcW w:type="dxa" w:w="4150"/>
          </w:tcPr>
          <w:p>
            <w:r/>
            <w:r>
              <w:rPr>
                <w:rFonts w:ascii="Calibri" w:hAnsi="Calibri" w:eastAsia="微软雅黑"/>
                <w:b w:val="0"/>
                <w:i w:val="0"/>
                <w:sz w:val="18"/>
              </w:rPr>
              <w:t>P000034</w:t>
            </w:r>
          </w:p>
        </w:tc>
        <w:tc>
          <w:tcPr>
            <w:tcW w:type="dxa" w:w="4150"/>
          </w:tcPr>
          <w:p>
            <w:r/>
            <w:r>
              <w:rPr>
                <w:rFonts w:ascii="Calibri" w:hAnsi="Calibri" w:eastAsia="微软雅黑"/>
                <w:b w:val="0"/>
                <w:i w:val="0"/>
                <w:sz w:val="18"/>
              </w:rPr>
              <w:t>四川路桥（600039）2023年年度报告</w:t>
            </w:r>
          </w:p>
        </w:tc>
      </w:tr>
      <w:tr>
        <w:tc>
          <w:tcPr>
            <w:tcW w:type="dxa" w:w="4150"/>
          </w:tcPr>
          <w:p>
            <w:r/>
            <w:r>
              <w:rPr>
                <w:rFonts w:ascii="Calibri" w:hAnsi="Calibri" w:eastAsia="微软雅黑"/>
                <w:b w:val="0"/>
                <w:i w:val="0"/>
                <w:sz w:val="18"/>
              </w:rPr>
              <w:t>P000051</w:t>
            </w:r>
          </w:p>
        </w:tc>
        <w:tc>
          <w:tcPr>
            <w:tcW w:type="dxa" w:w="4150"/>
          </w:tcPr>
          <w:p>
            <w:r/>
            <w:r>
              <w:rPr>
                <w:rFonts w:ascii="Calibri" w:hAnsi="Calibri" w:eastAsia="微软雅黑"/>
                <w:b w:val="0"/>
                <w:i w:val="0"/>
                <w:sz w:val="18"/>
              </w:rPr>
              <w:t>中核工程EPC专项研究（第1章：核电产业格局与中核工程的战略坐标）</w:t>
            </w:r>
          </w:p>
        </w:tc>
      </w:tr>
      <w:tr>
        <w:tc>
          <w:tcPr>
            <w:tcW w:type="dxa" w:w="4150"/>
          </w:tcPr>
          <w:p>
            <w:r/>
            <w:r>
              <w:rPr>
                <w:rFonts w:ascii="Calibri" w:hAnsi="Calibri" w:eastAsia="微软雅黑"/>
                <w:b w:val="0"/>
                <w:i w:val="0"/>
                <w:sz w:val="18"/>
              </w:rPr>
              <w:t>P000052</w:t>
            </w:r>
          </w:p>
        </w:tc>
        <w:tc>
          <w:tcPr>
            <w:tcW w:type="dxa" w:w="4150"/>
          </w:tcPr>
          <w:p>
            <w:r/>
            <w:r>
              <w:rPr>
                <w:rFonts w:ascii="Calibri" w:hAnsi="Calibri" w:eastAsia="微软雅黑"/>
                <w:b w:val="0"/>
                <w:i w:val="0"/>
                <w:sz w:val="18"/>
              </w:rPr>
              <w:t>中核工程EPC专项研究（引用修订版）</w:t>
            </w:r>
          </w:p>
        </w:tc>
      </w:tr>
    </w:tbl>
    <w:p>
      <w:r>
        <w:rPr>
          <w:rFonts w:ascii="Calibri" w:hAnsi="Calibri" w:eastAsia="微软雅黑"/>
          <w:b w:val="0"/>
          <w:i w:val="0"/>
          <w:sz w:val="22"/>
        </w:rPr>
        <w:t>---</w:t>
      </w:r>
    </w:p>
    <w:p>
      <w:pPr>
        <w:pStyle w:val="Heading1"/>
      </w:pPr>
      <w:r>
        <w:t>第2章 50强榜单的真实含金量在于新签合同转化率与穿透去除重复统计后的净营收——榜单格局与排名方法论深读</w:t>
      </w:r>
    </w:p>
    <w:p>
      <w:r>
        <w:rPr>
          <w:rFonts w:ascii="Calibri" w:hAnsi="Calibri" w:eastAsia="微软雅黑"/>
          <w:b w:val="0"/>
          <w:i w:val="0"/>
          <w:sz w:val="22"/>
        </w:rPr>
        <w:t>出品：总包创研院研究团队</w:t>
      </w:r>
    </w:p>
    <w:p>
      <w:pPr>
        <w:ind w:left="454"/>
      </w:pPr>
      <w:r>
        <w:rPr>
          <w:rFonts w:ascii="Calibri" w:hAnsi="Calibri" w:eastAsia="微软雅黑"/>
          <w:b/>
          <w:i w:val="0"/>
          <w:color w:val="666666"/>
          <w:sz w:val="22"/>
        </w:rPr>
        <w:t>本章事实纪律声明</w:t>
      </w:r>
      <w:r>
        <w:rPr>
          <w:rFonts w:ascii="Calibri" w:hAnsi="Calibri" w:eastAsia="微软雅黑"/>
          <w:b w:val="0"/>
          <w:i w:val="0"/>
          <w:color w:val="666666"/>
          <w:sz w:val="22"/>
        </w:rPr>
        <w:t>：本章全部榜单数据、申报规则与企业财务数据，均逐字取自本书研究团队采集整理的事实资料库（含行业协会排名通知全文、境外榜单历史数据、企业研究资料与2024年建筑业发展统计），正文随文以[来源: P锚]或(P锚)短式标注锚号（对照本章尾注），读者可按锚号回溯核验；无源不写，解读性判断均在文中明示。标注"本研究测算"（own_calc）的比值与倍数为研究团队依据源数据折算所得；标注"示意性复盘"的推演为依据源文规则构造的示例，不指向具体项目。</w:t>
      </w:r>
    </w:p>
    <w:p>
      <w:r>
        <w:rPr>
          <w:rFonts w:ascii="Calibri" w:hAnsi="Calibri" w:eastAsia="微软雅黑"/>
          <w:b/>
          <w:i w:val="0"/>
          <w:sz w:val="22"/>
        </w:rPr>
        <w:t>本章导引：本章帮读者解决什么问题</w:t>
      </w:r>
    </w:p>
    <w:p>
      <w:r>
        <w:rPr>
          <w:rFonts w:ascii="Calibri" w:hAnsi="Calibri" w:eastAsia="微软雅黑"/>
          <w:b w:val="0"/>
          <w:i w:val="0"/>
          <w:sz w:val="22"/>
        </w:rPr>
        <w:t>对于工程企业决策层、设计院院长及EPC高级管理者而言，行业官方榜单既是企业市场地位的"显微镜"，也是战略资源配置的"指挥棒"。然而在实际决策与对标中，管理者常陷入三大困惑：</w:t>
      </w:r>
      <w:r>
        <w:rPr>
          <w:rFonts w:ascii="Calibri" w:hAnsi="Calibri" w:eastAsia="微软雅黑"/>
          <w:b/>
          <w:i w:val="0"/>
          <w:sz w:val="22"/>
        </w:rPr>
        <w:t>一是"统计营业额"与"财务营业收入"的脱节</w:t>
      </w:r>
      <w:r>
        <w:rPr>
          <w:rFonts w:ascii="Calibri" w:hAnsi="Calibri" w:eastAsia="微软雅黑"/>
          <w:b w:val="0"/>
          <w:i w:val="0"/>
          <w:sz w:val="22"/>
        </w:rPr>
        <w:t>，企业申报数据与审计年报数据经常相差数倍甚至数量级，导致外部对标失去基准；</w:t>
      </w:r>
      <w:r>
        <w:rPr>
          <w:rFonts w:ascii="Calibri" w:hAnsi="Calibri" w:eastAsia="微软雅黑"/>
          <w:b/>
          <w:i w:val="0"/>
          <w:sz w:val="22"/>
        </w:rPr>
        <w:t>二是"口径穿透"的模糊性</w:t>
      </w:r>
      <w:r>
        <w:rPr>
          <w:rFonts w:ascii="Calibri" w:hAnsi="Calibri" w:eastAsia="微软雅黑"/>
          <w:b w:val="0"/>
          <w:i w:val="0"/>
          <w:sz w:val="22"/>
        </w:rPr>
        <w:t>，在设备采购流水、施工分包剔除、联合体份额划转等环节缺乏统一剥离标准，企业面临合规审计与统计失真的双重风险；</w:t>
      </w:r>
      <w:r>
        <w:rPr>
          <w:rFonts w:ascii="Calibri" w:hAnsi="Calibri" w:eastAsia="微软雅黑"/>
          <w:b/>
          <w:i w:val="0"/>
          <w:sz w:val="22"/>
        </w:rPr>
        <w:t>三是"订单转化时滞"与"位次洗牌"的盲目跟风</w:t>
      </w:r>
      <w:r>
        <w:rPr>
          <w:rFonts w:ascii="Calibri" w:hAnsi="Calibri" w:eastAsia="微软雅黑"/>
          <w:b w:val="0"/>
          <w:i w:val="0"/>
          <w:sz w:val="22"/>
        </w:rPr>
        <w:t>，未能理清从"中标签约"到"实际建造执行"再到"会计收入确认"的传导时差，导致对市场格局演变的误判。本章立足中国勘察设计协会（以下简称"中设协"）发布的权威排名体系与行业统计数据，系统拆解总承包营业额的统计逻辑、口径剥离规则、时滞传导机制与位次洗牌规律，为企业高管提供一套"统计口径可穿透、财务账目可勾稽、位次竞争可预判"的可执行战略对标与方法论指南。</w:t>
      </w:r>
    </w:p>
    <w:p>
      <w:r>
        <w:rPr>
          <w:rFonts w:ascii="Calibri" w:hAnsi="Calibri" w:eastAsia="微软雅黑"/>
          <w:b w:val="0"/>
          <w:i w:val="0"/>
          <w:sz w:val="22"/>
        </w:rPr>
        <w:t>---</w:t>
      </w:r>
    </w:p>
    <w:p>
      <w:pPr>
        <w:pStyle w:val="Heading2"/>
      </w:pPr>
      <w:r>
        <w:t>2.1 指标体系：工程总承包排名与会计营收的数理逻辑解构</w:t>
      </w:r>
    </w:p>
    <w:p>
      <w:pPr>
        <w:pStyle w:val="Heading3"/>
      </w:pPr>
      <w:r>
        <w:t>2.1.1 榜单设计初衷与四大平行维度</w:t>
      </w:r>
    </w:p>
    <w:p>
      <w:r>
        <w:rPr>
          <w:rFonts w:ascii="Calibri" w:hAnsi="Calibri" w:eastAsia="微软雅黑"/>
          <w:b w:val="0"/>
          <w:i w:val="0"/>
          <w:sz w:val="22"/>
        </w:rPr>
        <w:t>行业官方排名活动由中设协主办、建设项目管理和工程总承包分会承办，其核心目标是引导传统勘察设计企业向"设计主导的工程总承包"和"全过程工程项目管理"模式转型升级 (P000112)。根据中设协《勘察设计企业工程项目管理和工程总承包营业额排名活动管理办法》（2018年修订版），榜单构建了四大相互独立、维度清晰的平行排序体系 (P000112)：</w:t>
      </w:r>
    </w:p>
    <w:p>
      <w:pPr>
        <w:pStyle w:val="ListNumber"/>
      </w:pPr>
      <w:r>
        <w:rPr>
          <w:rFonts w:ascii="Calibri" w:hAnsi="Calibri" w:eastAsia="微软雅黑"/>
          <w:b/>
          <w:i w:val="0"/>
          <w:sz w:val="22"/>
        </w:rPr>
        <w:t>总承包营业额排名</w:t>
      </w:r>
      <w:r>
        <w:rPr>
          <w:rFonts w:ascii="Calibri" w:hAnsi="Calibri" w:eastAsia="微软雅黑"/>
          <w:b w:val="0"/>
          <w:i w:val="0"/>
          <w:sz w:val="22"/>
        </w:rPr>
        <w:t>：衡量企业作为总承包商，对工程项目的设计、采购、施工实施全过程或主要阶段整合履约的能力。2023年发布榜单（业绩归属2022年度，下同）全国共有186家企业上榜 (P000105)；2024年发布榜单为183家 (P000113)；2025年发布榜单为178家 (P000106)。</w:t>
      </w:r>
    </w:p>
    <w:p>
      <w:pPr>
        <w:pStyle w:val="ListNumber"/>
      </w:pPr>
      <w:r>
        <w:rPr>
          <w:rFonts w:ascii="Calibri" w:hAnsi="Calibri" w:eastAsia="微软雅黑"/>
          <w:b/>
          <w:i w:val="0"/>
          <w:sz w:val="22"/>
        </w:rPr>
        <w:t>工程项目管理营业额排名</w:t>
      </w:r>
      <w:r>
        <w:rPr>
          <w:rFonts w:ascii="Calibri" w:hAnsi="Calibri" w:eastAsia="微软雅黑"/>
          <w:b w:val="0"/>
          <w:i w:val="0"/>
          <w:sz w:val="22"/>
        </w:rPr>
        <w:t>：衡量企业代表业主方或作为咨询方提供全过程项目管理、监造、监理及技术咨询的服务能力。2023年发布榜单92家上榜、中国石化工程建设有限公司以186,585万元居首 (P000105)；2024年发布榜单88家 (P000113)；2025年发布榜单90家 (P000106)。</w:t>
      </w:r>
    </w:p>
    <w:p>
      <w:pPr>
        <w:pStyle w:val="ListNumber"/>
      </w:pPr>
      <w:r>
        <w:rPr>
          <w:rFonts w:ascii="Calibri" w:hAnsi="Calibri" w:eastAsia="微软雅黑"/>
          <w:b/>
          <w:i w:val="0"/>
          <w:sz w:val="22"/>
        </w:rPr>
        <w:t>境外工程总承包营业额排名</w:t>
      </w:r>
      <w:r>
        <w:rPr>
          <w:rFonts w:ascii="Calibri" w:hAnsi="Calibri" w:eastAsia="微软雅黑"/>
          <w:b w:val="0"/>
          <w:i w:val="0"/>
          <w:sz w:val="22"/>
        </w:rPr>
        <w:t>：衡量企业在海外市场实施EPC等国际工程交付的综合竞争力。2023年发布榜单74家上榜、中国石油工程建设有限公司以1,315,651万元居首 (P000105)；2024年发布榜单79家 (P000113)；2025年发布榜单79家 (P000106)。</w:t>
      </w:r>
    </w:p>
    <w:p>
      <w:pPr>
        <w:pStyle w:val="ListNumber"/>
      </w:pPr>
      <w:r>
        <w:rPr>
          <w:rFonts w:ascii="Calibri" w:hAnsi="Calibri" w:eastAsia="微软雅黑"/>
          <w:b/>
          <w:i w:val="0"/>
          <w:sz w:val="22"/>
        </w:rPr>
        <w:t>境外工程项目管理营业额排名</w:t>
      </w:r>
      <w:r>
        <w:rPr>
          <w:rFonts w:ascii="Calibri" w:hAnsi="Calibri" w:eastAsia="微软雅黑"/>
          <w:b w:val="0"/>
          <w:i w:val="0"/>
          <w:sz w:val="22"/>
        </w:rPr>
        <w:t>：衡量企业海外项目咨询与管理输出能力。2023年发布榜单42家上榜、中国铁路设计集团有限公司以37,515万元居首 (P000105)；2024年发布榜单39家 (P000113)；2025年发布榜单43家 (P000106)。</w:t>
      </w:r>
    </w:p>
    <w:p>
      <w:r>
        <w:rPr>
          <w:rFonts w:ascii="Calibri" w:hAnsi="Calibri" w:eastAsia="微软雅黑"/>
          <w:b w:val="0"/>
          <w:i w:val="0"/>
          <w:sz w:val="22"/>
        </w:rPr>
        <w:t>四大榜单坚持"自愿申报、同行初审、分会复核"的原则 (P000112)。参评企业必须具有独立法人资格并持有国家建设行政主管部门颁发的乙级以上（含乙级）工程设计资格证书 (P000112)——这道资质门槛决定了榜单的"设计系"基因，也是纯施工企业缺席榜单的根本原因。</w:t>
      </w:r>
    </w:p>
    <w:p>
      <w:pPr>
        <w:pStyle w:val="Heading3"/>
      </w:pPr>
      <w:r>
        <w:t>2.1.2 申报表单体系（表一至表五）的数据流转关系</w:t>
      </w:r>
    </w:p>
    <w:p>
      <w:r>
        <w:rPr>
          <w:rFonts w:ascii="Calibri" w:hAnsi="Calibri" w:eastAsia="微软雅黑"/>
          <w:b w:val="0"/>
          <w:i w:val="0"/>
          <w:sz w:val="22"/>
        </w:rPr>
        <w:t>中设协排名申报平台通过严格的五大基础报表形成数据校验闭环，企业申报必须逐级穿透填报 (P000112)：</w:t>
      </w:r>
    </w:p>
    <w:p>
      <w:pPr>
        <w:pStyle w:val="ListBullet"/>
      </w:pPr>
      <w:r>
        <w:rPr>
          <w:rFonts w:ascii="Calibri" w:hAnsi="Calibri" w:eastAsia="微软雅黑"/>
          <w:b/>
          <w:i w:val="0"/>
          <w:sz w:val="22"/>
        </w:rPr>
        <w:t>表一（企业基本情况调查表）</w:t>
      </w:r>
      <w:r>
        <w:rPr>
          <w:rFonts w:ascii="Calibri" w:hAnsi="Calibri" w:eastAsia="微软雅黑"/>
          <w:b w:val="0"/>
          <w:i w:val="0"/>
          <w:sz w:val="22"/>
        </w:rPr>
        <w:t>：归集企业法人资格、设计资质等级、从业人员构成及企业年度整体财务指标。</w:t>
      </w:r>
    </w:p>
    <w:p>
      <w:pPr>
        <w:pStyle w:val="ListBullet"/>
      </w:pPr>
      <w:r>
        <w:rPr>
          <w:rFonts w:ascii="Calibri" w:hAnsi="Calibri" w:eastAsia="微软雅黑"/>
          <w:b/>
          <w:i w:val="0"/>
          <w:sz w:val="22"/>
        </w:rPr>
        <w:t>表二（工程项目管理情况报表）与表三（工程总承包情况报表）</w:t>
      </w:r>
      <w:r>
        <w:rPr>
          <w:rFonts w:ascii="Calibri" w:hAnsi="Calibri" w:eastAsia="微软雅黑"/>
          <w:b w:val="0"/>
          <w:i w:val="0"/>
          <w:sz w:val="22"/>
        </w:rPr>
        <w:t>：分类汇总企业在排名年度内（每年1月1日至12月31日）实际完成的境内外项目管理与总承包营业额总值 (P000112, P000105)。</w:t>
      </w:r>
    </w:p>
    <w:p>
      <w:pPr>
        <w:pStyle w:val="ListBullet"/>
      </w:pPr>
      <w:r>
        <w:rPr>
          <w:rFonts w:ascii="Calibri" w:hAnsi="Calibri" w:eastAsia="微软雅黑"/>
          <w:b/>
          <w:i w:val="0"/>
          <w:sz w:val="22"/>
        </w:rPr>
        <w:t>表四（工程项目管理项目明细表）与表五（工程总承包项目明细表）</w:t>
      </w:r>
      <w:r>
        <w:rPr>
          <w:rFonts w:ascii="Calibri" w:hAnsi="Calibri" w:eastAsia="微软雅黑"/>
          <w:b w:val="0"/>
          <w:i w:val="0"/>
          <w:sz w:val="22"/>
        </w:rPr>
        <w:t>：要求企业逐笔列示年度内实施的具体项目名称、业主单位、合同类型、合同签署时间、开工与竣工日期、合同总额以及当年度实际完成的营业额 (P000112)。</w:t>
      </w:r>
    </w:p>
    <w:p>
      <w:r>
        <w:rPr>
          <w:rFonts w:ascii="Calibri" w:hAnsi="Calibri" w:eastAsia="微软雅黑"/>
          <w:b w:val="0"/>
          <w:i w:val="0"/>
          <w:sz w:val="22"/>
        </w:rPr>
        <w:t>申报流程的时序也有明确节点：每年3月1日至4月30日为申报窗口，各地方、各部门同业协会于6月15日前完成初审并提交初审结果，总承包分会复核后排定名次，经中设协批准后正式发布 (P000112)。这种"总表+明细项目台账"的结构（表三与表五联动）要求企业每一笔申报的总承包营业额均能追溯至具体的工程合同与当年度进度证明，构成了排名数据的真实性基底。</w:t>
      </w:r>
    </w:p>
    <w:p>
      <w:pPr>
        <w:pStyle w:val="Heading3"/>
      </w:pPr>
      <w:r>
        <w:t>2.1.3 "总承包营业额"与"财务营业收入"的本质差异与数理表达</w:t>
      </w:r>
    </w:p>
    <w:p>
      <w:r>
        <w:rPr>
          <w:rFonts w:ascii="Calibri" w:hAnsi="Calibri" w:eastAsia="微软雅黑"/>
          <w:b w:val="0"/>
          <w:i w:val="0"/>
          <w:sz w:val="22"/>
        </w:rPr>
        <w:t>在企业经营实务中，许多高管常产生误解，将中设协榜单上的"总承包营业额"直接等同于企业法定财务报表（利润表）中的"营业收入"。事实上，两者在统计范畴、会计确认时点、价值构成与剔除规则上存在根本性差异：</w:t>
      </w:r>
    </w:p>
    <w:p>
      <w:pPr>
        <w:pStyle w:val="ListBullet"/>
      </w:pPr>
      <w:r>
        <w:rPr>
          <w:rFonts w:ascii="Calibri" w:hAnsi="Calibri" w:eastAsia="微软雅黑"/>
          <w:b/>
          <w:i w:val="0"/>
          <w:sz w:val="22"/>
        </w:rPr>
        <w:t>中设协统计口径</w:t>
      </w:r>
      <w:r>
        <w:rPr>
          <w:rFonts w:ascii="Calibri" w:hAnsi="Calibri" w:eastAsia="微软雅黑"/>
          <w:b w:val="0"/>
          <w:i w:val="0"/>
          <w:sz w:val="22"/>
        </w:rPr>
        <w:t>：依据《排名管理办法》（2018年修订版），核心是年度现场实际完成建造工程量，包含设计、设备材料采购与施工流水，剔除依法分包扣除额与联合体非本企业份额 (P000112)。</w:t>
      </w:r>
    </w:p>
    <w:p>
      <w:pPr>
        <w:pStyle w:val="ListBullet"/>
      </w:pPr>
      <w:r>
        <w:rPr>
          <w:rFonts w:ascii="Calibri" w:hAnsi="Calibri" w:eastAsia="微软雅黑"/>
          <w:b/>
          <w:i w:val="0"/>
          <w:sz w:val="22"/>
        </w:rPr>
        <w:t>企业财务口径</w:t>
      </w:r>
      <w:r>
        <w:rPr>
          <w:rFonts w:ascii="Calibri" w:hAnsi="Calibri" w:eastAsia="微软雅黑"/>
          <w:b w:val="0"/>
          <w:i w:val="0"/>
          <w:sz w:val="22"/>
        </w:rPr>
        <w:t>：依据企业会计准则的收入确认原则，核心是履约义务满足（完工进度/产值确认），并受总额法与净额法判定、集团内部交易抵消等调整项约束（本条为财会通则表述，本研究归纳）。</w:t>
      </w:r>
    </w:p>
    <w:p>
      <w:r>
        <w:rPr>
          <w:rFonts w:ascii="Calibri" w:hAnsi="Calibri" w:eastAsia="微软雅黑"/>
          <w:b w:val="0"/>
          <w:i w:val="0"/>
          <w:sz w:val="22"/>
        </w:rPr>
        <w:t>两者的三大核心差异体现在：</w:t>
      </w:r>
    </w:p>
    <w:p>
      <w:pPr>
        <w:pStyle w:val="ListNumber"/>
      </w:pPr>
      <w:r>
        <w:rPr>
          <w:rFonts w:ascii="Calibri" w:hAnsi="Calibri" w:eastAsia="微软雅黑"/>
          <w:b/>
          <w:i w:val="0"/>
          <w:sz w:val="22"/>
        </w:rPr>
        <w:t>建造工程量统计与会计确认时点的错位</w:t>
      </w:r>
      <w:r>
        <w:rPr>
          <w:rFonts w:ascii="Calibri" w:hAnsi="Calibri" w:eastAsia="微软雅黑"/>
          <w:b w:val="0"/>
          <w:i w:val="0"/>
          <w:sz w:val="22"/>
        </w:rPr>
        <w:t>：统计营业额侧重于统计年度内现场实际完成的工程投资与建造工程量；财务营业收入强调履约进度测量凭证与控制权转移时点，确认节点普遍晚于现场施工进度 (P000112)。</w:t>
      </w:r>
    </w:p>
    <w:p>
      <w:pPr>
        <w:pStyle w:val="ListNumber"/>
      </w:pPr>
      <w:r>
        <w:rPr>
          <w:rFonts w:ascii="Calibri" w:hAnsi="Calibri" w:eastAsia="微软雅黑"/>
          <w:b/>
          <w:i w:val="0"/>
          <w:sz w:val="22"/>
        </w:rPr>
        <w:t>集团合并抵消与法人实体独立申报</w:t>
      </w:r>
      <w:r>
        <w:rPr>
          <w:rFonts w:ascii="Calibri" w:hAnsi="Calibri" w:eastAsia="微软雅黑"/>
          <w:b w:val="0"/>
          <w:i w:val="0"/>
          <w:sz w:val="22"/>
        </w:rPr>
        <w:t>：法定财务报表中，母子公司或集团内部的总分包流水必须合并抵消；而中设协申报以具有乙级以上设计资质的独立法人为单位，各子公司符合条件的应各自申报 (P000112)。</w:t>
      </w:r>
    </w:p>
    <w:p>
      <w:pPr>
        <w:pStyle w:val="ListNumber"/>
      </w:pPr>
      <w:r>
        <w:rPr>
          <w:rFonts w:ascii="Calibri" w:hAnsi="Calibri" w:eastAsia="微软雅黑"/>
          <w:b/>
          <w:i w:val="0"/>
          <w:sz w:val="22"/>
        </w:rPr>
        <w:t>设备材料采购流水处理</w:t>
      </w:r>
      <w:r>
        <w:rPr>
          <w:rFonts w:ascii="Calibri" w:hAnsi="Calibri" w:eastAsia="微软雅黑"/>
          <w:b w:val="0"/>
          <w:i w:val="0"/>
          <w:sz w:val="22"/>
        </w:rPr>
        <w:t>：在财务核算中，若企业被判定为"代理人"身份，设备采购仅能按净额（佣金或服务费）确认收入；但在总承包统计中，只要企业承担了EPC合同下设备采购的总包责任，设备采购金额即全额计入总承包营业额 (P000112)。</w:t>
      </w:r>
    </w:p>
    <w:p>
      <w:r>
        <w:rPr>
          <w:rFonts w:ascii="Calibri" w:hAnsi="Calibri" w:eastAsia="微软雅黑"/>
          <w:b w:val="0"/>
          <w:i w:val="0"/>
          <w:sz w:val="22"/>
        </w:rPr>
        <w:t>这第三条差异正是"数倍量级差"的主要来源：设备采购占EPC合同造价的比重越高，统计口径与财务口径的裂谷就越宽。管理层读懂这一点，才能解释"榜单营收数百亿、报表营收数十亿"并存的现象，也才能在对外宣传与对内考核之间建立正确的换算意识（本段为本研究解读）。</w:t>
      </w:r>
    </w:p>
    <w:p>
      <w:pPr>
        <w:pStyle w:val="Heading3"/>
      </w:pPr>
      <w:r>
        <w:t>2.1.4 标杆企业实证剖析（数据-动作-结果）</w:t>
      </w:r>
    </w:p>
    <w:p>
      <w:r>
        <w:rPr>
          <w:rFonts w:ascii="Calibri" w:hAnsi="Calibri" w:eastAsia="微软雅黑"/>
          <w:b/>
          <w:i w:val="0"/>
          <w:sz w:val="22"/>
        </w:rPr>
        <w:t>案例一：中国电建集团华东勘测设计研究院有限公司（设计主导型龙头）</w:t>
      </w:r>
    </w:p>
    <w:p>
      <w:pPr>
        <w:pStyle w:val="ListBullet"/>
      </w:pPr>
      <w:r>
        <w:rPr>
          <w:rFonts w:ascii="Calibri" w:hAnsi="Calibri" w:eastAsia="微软雅黑"/>
          <w:b/>
          <w:i w:val="0"/>
          <w:sz w:val="22"/>
        </w:rPr>
        <w:t>数据</w:t>
      </w:r>
      <w:r>
        <w:rPr>
          <w:rFonts w:ascii="Calibri" w:hAnsi="Calibri" w:eastAsia="微软雅黑"/>
          <w:b w:val="0"/>
          <w:i w:val="0"/>
          <w:sz w:val="22"/>
        </w:rPr>
        <w:t>：华东院在2023年发布榜单中以4,447,229万元（444.72亿元，own_calc折算）位居全国榜首 (P000101, P000105)；2024年发布榜单以4,424,524万元持续领跑 (P000113)；2025年发布榜单更攀升至4,549,202万元，实现"三连冠"并拉开与后续企业的差距 (P000106)。其境外总承包营业额亦在2023年发布榜单中以477,235万元位列全国第4 (P000101)。</w:t>
      </w:r>
    </w:p>
    <w:p>
      <w:pPr>
        <w:pStyle w:val="ListBullet"/>
      </w:pPr>
      <w:r>
        <w:rPr>
          <w:rFonts w:ascii="Calibri" w:hAnsi="Calibri" w:eastAsia="微软雅黑"/>
          <w:b/>
          <w:i w:val="0"/>
          <w:sz w:val="22"/>
        </w:rPr>
        <w:t>动作</w:t>
      </w:r>
      <w:r>
        <w:rPr>
          <w:rFonts w:ascii="Calibri" w:hAnsi="Calibri" w:eastAsia="微软雅黑"/>
          <w:b w:val="0"/>
          <w:i w:val="0"/>
          <w:sz w:val="22"/>
        </w:rPr>
        <w:t>：依托水电与新能源主业优势，华东院自2004年起率先推进三维数字化设计研究应用，开发出覆盖基础设施建设全过程的《工程数字化解决方案》三大平台 (P000101)。在EPC项目实施中，华东院将前端数字化设计能力延伸至采购与施工管理，通过设计优化控造价、采购集采降成本，构建了极强的大型水利与海上风电EPC交付能力（本句后半为本研究归纳）。</w:t>
      </w:r>
    </w:p>
    <w:p>
      <w:pPr>
        <w:pStyle w:val="ListBullet"/>
      </w:pPr>
      <w:r>
        <w:rPr>
          <w:rFonts w:ascii="Calibri" w:hAnsi="Calibri" w:eastAsia="微软雅黑"/>
          <w:b/>
          <w:i w:val="0"/>
          <w:sz w:val="22"/>
        </w:rPr>
        <w:t>结果</w:t>
      </w:r>
      <w:r>
        <w:rPr>
          <w:rFonts w:ascii="Calibri" w:hAnsi="Calibri" w:eastAsia="微软雅黑"/>
          <w:b w:val="0"/>
          <w:i w:val="0"/>
          <w:sz w:val="22"/>
        </w:rPr>
        <w:t>：将传统设计院的技术壁垒转化为数百亿级总承包项目的精细化履约能力，不仅连续稳居总承包营业额全国第一，更带动整个勘察设计行业EPC大盘向400亿元以上的超大规模迈进（本句后半为本研究解读）(P000101, P000106, P000113)。</w:t>
      </w:r>
    </w:p>
    <w:p>
      <w:r>
        <w:rPr>
          <w:rFonts w:ascii="Calibri" w:hAnsi="Calibri" w:eastAsia="微软雅黑"/>
          <w:b/>
          <w:i w:val="0"/>
          <w:sz w:val="22"/>
        </w:rPr>
        <w:t>案例二：湖南省建筑设计院集团股份有限公司（地方设计院转型代表）</w:t>
      </w:r>
    </w:p>
    <w:p>
      <w:pPr>
        <w:pStyle w:val="ListBullet"/>
      </w:pPr>
      <w:r>
        <w:rPr>
          <w:rFonts w:ascii="Calibri" w:hAnsi="Calibri" w:eastAsia="微软雅黑"/>
          <w:b/>
          <w:i w:val="0"/>
          <w:sz w:val="22"/>
        </w:rPr>
        <w:t>数据</w:t>
      </w:r>
      <w:r>
        <w:rPr>
          <w:rFonts w:ascii="Calibri" w:hAnsi="Calibri" w:eastAsia="微软雅黑"/>
          <w:b w:val="0"/>
          <w:i w:val="0"/>
          <w:sz w:val="22"/>
        </w:rPr>
        <w:t>：企业成立于1952年，历经70余年发展，已成为拥有20项甲级资质、174项自主知识产权、317项科技成果的综合性设计集团 (P000125)。2024年实现营业收入9.22亿元，净利润7,214万元，全年中标210个项目、总金额约152亿元 (P000125)，并连续3年入选全国工程总承包百强企业、累计获得1,040项各类奖项 (P000125)。</w:t>
      </w:r>
    </w:p>
    <w:p>
      <w:pPr>
        <w:pStyle w:val="ListBullet"/>
      </w:pPr>
      <w:r>
        <w:rPr>
          <w:rFonts w:ascii="Calibri" w:hAnsi="Calibri" w:eastAsia="微软雅黑"/>
          <w:b/>
          <w:i w:val="0"/>
          <w:sz w:val="22"/>
        </w:rPr>
        <w:t>动作</w:t>
      </w:r>
      <w:r>
        <w:rPr>
          <w:rFonts w:ascii="Calibri" w:hAnsi="Calibri" w:eastAsia="微软雅黑"/>
          <w:b w:val="0"/>
          <w:i w:val="0"/>
          <w:sz w:val="22"/>
        </w:rPr>
        <w:t>：推行"设计主导型EPC"模式，强化设计前端对概算与全过程造价的掌控；作为地方省院，其经营逻辑是把财务口径的"小营收"做成统计口径的"大流量"（本句后半为本研究归纳）(P000125)。</w:t>
      </w:r>
    </w:p>
    <w:p>
      <w:pPr>
        <w:pStyle w:val="ListBullet"/>
      </w:pPr>
      <w:r>
        <w:rPr>
          <w:rFonts w:ascii="Calibri" w:hAnsi="Calibri" w:eastAsia="微软雅黑"/>
          <w:b/>
          <w:i w:val="0"/>
          <w:sz w:val="22"/>
        </w:rPr>
        <w:t>结果</w:t>
      </w:r>
      <w:r>
        <w:rPr>
          <w:rFonts w:ascii="Calibri" w:hAnsi="Calibri" w:eastAsia="微软雅黑"/>
          <w:b w:val="0"/>
          <w:i w:val="0"/>
          <w:sz w:val="22"/>
        </w:rPr>
        <w:t>：当期财务营收9.22亿元与手握152亿元中标总额形成约16.5倍的量级差（own_calc：152/9.22），为后续年度转化为中设协总承包营业额提供了极其丰厚的订单储备，实现了从单一设计服务向高附加值总承包业务的平稳过渡。</w:t>
      </w:r>
    </w:p>
    <w:p>
      <w:r>
        <w:rPr>
          <w:rFonts w:ascii="Calibri" w:hAnsi="Calibri" w:eastAsia="微软雅黑"/>
          <w:b/>
          <w:i w:val="0"/>
          <w:sz w:val="22"/>
        </w:rPr>
        <w:t>案例三：中城科泽工程设计集团有限责任公司（高频中标与敏捷交付代表）</w:t>
      </w:r>
    </w:p>
    <w:p>
      <w:pPr>
        <w:pStyle w:val="ListBullet"/>
      </w:pPr>
      <w:r>
        <w:rPr>
          <w:rFonts w:ascii="Calibri" w:hAnsi="Calibri" w:eastAsia="微软雅黑"/>
          <w:b/>
          <w:i w:val="0"/>
          <w:sz w:val="22"/>
        </w:rPr>
        <w:t>数据</w:t>
      </w:r>
      <w:r>
        <w:rPr>
          <w:rFonts w:ascii="Calibri" w:hAnsi="Calibri" w:eastAsia="微软雅黑"/>
          <w:b w:val="0"/>
          <w:i w:val="0"/>
          <w:sz w:val="22"/>
        </w:rPr>
        <w:t>：中城科泽在2023年上半年全国工程总承包（EPC）中标100强排名中位列第7位，创当时历史最好成绩；2025年第一季度中标数量157个，位居全国第二名 (P000130)。2024年企业营业收入突破30亿元、员工规模达1,500余人 (P000130)。</w:t>
      </w:r>
    </w:p>
    <w:p>
      <w:pPr>
        <w:pStyle w:val="ListBullet"/>
      </w:pPr>
      <w:r>
        <w:rPr>
          <w:rFonts w:ascii="Calibri" w:hAnsi="Calibri" w:eastAsia="微软雅黑"/>
          <w:b/>
          <w:i w:val="0"/>
          <w:sz w:val="22"/>
        </w:rPr>
        <w:t>动作</w:t>
      </w:r>
      <w:r>
        <w:rPr>
          <w:rFonts w:ascii="Calibri" w:hAnsi="Calibri" w:eastAsia="微软雅黑"/>
          <w:b w:val="0"/>
          <w:i w:val="0"/>
          <w:sz w:val="22"/>
        </w:rPr>
        <w:t>：EPC总承包业务收入占比从2020年的70%提升到2024年的80%以上 (P000130)；企业拥有工程设计综合甲级与施工总承包壹级等资质，运用北斗七星评估体系构建敏捷型投标与快速现场履约机制（本句后半为本研究归纳）(P000130)。</w:t>
      </w:r>
    </w:p>
    <w:p>
      <w:pPr>
        <w:pStyle w:val="ListBullet"/>
      </w:pPr>
      <w:r>
        <w:rPr>
          <w:rFonts w:ascii="Calibri" w:hAnsi="Calibri" w:eastAsia="微软雅黑"/>
          <w:b/>
          <w:i w:val="0"/>
          <w:sz w:val="22"/>
        </w:rPr>
        <w:t>结果</w:t>
      </w:r>
      <w:r>
        <w:rPr>
          <w:rFonts w:ascii="Calibri" w:hAnsi="Calibri" w:eastAsia="微软雅黑"/>
          <w:b w:val="0"/>
          <w:i w:val="0"/>
          <w:sz w:val="22"/>
        </w:rPr>
        <w:t>：通过高频中标与快速建造转化，在全国范围内迅速扩大总承包市场占有率（在全国EPC总承包市场中占有约0.8%的份额 (P000130)），在华东地区EPC总承包企业中排名前5位、民营EPC总承包企业中排名前3位 (P000130)。</w:t>
      </w:r>
    </w:p>
    <w:p>
      <w:pPr>
        <w:pStyle w:val="Heading3"/>
      </w:pPr>
      <w:r>
        <w:t>2.1.5 可执行方法论：企业内部"双轨制"统计与申报五步法</w:t>
      </w:r>
    </w:p>
    <w:p>
      <w:r>
        <w:rPr>
          <w:rFonts w:ascii="Calibri" w:hAnsi="Calibri" w:eastAsia="微软雅黑"/>
          <w:b w:val="0"/>
          <w:i w:val="0"/>
          <w:sz w:val="22"/>
        </w:rPr>
        <w:t>为解决企业内部财务部、经营部与统计部的数据打架问题，设计院及工程公司应建立标准化"双轨制"申报与管理机制，具体实施步骤如下：</w:t>
      </w:r>
    </w:p>
    <w:p>
      <w:pPr>
        <w:pStyle w:val="ListNumber"/>
      </w:pPr>
      <w:r>
        <w:rPr>
          <w:rFonts w:ascii="Calibri" w:hAnsi="Calibri" w:eastAsia="微软雅黑"/>
          <w:b/>
          <w:i w:val="0"/>
          <w:sz w:val="22"/>
        </w:rPr>
        <w:t>步骤1：建立"双轨制"项目数据台账</w:t>
      </w:r>
      <w:r>
        <w:rPr>
          <w:rFonts w:ascii="Calibri" w:hAnsi="Calibri" w:eastAsia="微软雅黑"/>
          <w:b w:val="0"/>
          <w:i w:val="0"/>
          <w:sz w:val="22"/>
        </w:rPr>
        <w:t>。对所有EPC总承包项目建立统一编码，在台账中同时设立"财务确认收入"与"统计申报完成额"两个独立字段，做到一目了然（本研究方法论建议）。</w:t>
      </w:r>
    </w:p>
    <w:p>
      <w:pPr>
        <w:pStyle w:val="ListNumber"/>
      </w:pPr>
      <w:r>
        <w:rPr>
          <w:rFonts w:ascii="Calibri" w:hAnsi="Calibri" w:eastAsia="微软雅黑"/>
          <w:b/>
          <w:i w:val="0"/>
          <w:sz w:val="22"/>
        </w:rPr>
        <w:t>步骤2：梳理"凭证链条"完整性</w:t>
      </w:r>
      <w:r>
        <w:rPr>
          <w:rFonts w:ascii="Calibri" w:hAnsi="Calibri" w:eastAsia="微软雅黑"/>
          <w:b w:val="0"/>
          <w:i w:val="0"/>
          <w:sz w:val="22"/>
        </w:rPr>
        <w:t>。针对表四、表五拟申报的每一个项目，归集五大核心凭证：EPC总承包合同文本、业主开工令或开工报告、当年度业主或监理签认的工程进度/结算单、财务发票存根及收款凭证 (P000112)。</w:t>
      </w:r>
    </w:p>
    <w:p>
      <w:pPr>
        <w:pStyle w:val="ListNumber"/>
      </w:pPr>
      <w:r>
        <w:rPr>
          <w:rFonts w:ascii="Calibri" w:hAnsi="Calibri" w:eastAsia="微软雅黑"/>
          <w:b/>
          <w:i w:val="0"/>
          <w:sz w:val="22"/>
        </w:rPr>
        <w:t>步骤3：严格执行分包与联合体剥离规则</w:t>
      </w:r>
      <w:r>
        <w:rPr>
          <w:rFonts w:ascii="Calibri" w:hAnsi="Calibri" w:eastAsia="微软雅黑"/>
          <w:b w:val="0"/>
          <w:i w:val="0"/>
          <w:sz w:val="22"/>
        </w:rPr>
        <w:t>。核查项目合同中是否存在依法分包额或联合体分工协议。若为联合体承接，仅能填报本企业实际承担并实施的部分，严禁将联合体成员单位的份额重复计入本企业营业额 (P000112)。</w:t>
      </w:r>
    </w:p>
    <w:p>
      <w:pPr>
        <w:pStyle w:val="ListNumber"/>
      </w:pPr>
      <w:r>
        <w:rPr>
          <w:rFonts w:ascii="Calibri" w:hAnsi="Calibri" w:eastAsia="微软雅黑"/>
          <w:b/>
          <w:i w:val="0"/>
          <w:sz w:val="22"/>
        </w:rPr>
        <w:t>步骤4：组织跨部门联合勾稽预审</w:t>
      </w:r>
      <w:r>
        <w:rPr>
          <w:rFonts w:ascii="Calibri" w:hAnsi="Calibri" w:eastAsia="微软雅黑"/>
          <w:b w:val="0"/>
          <w:i w:val="0"/>
          <w:sz w:val="22"/>
        </w:rPr>
        <w:t>。在每年3月1日申报窗口开启后 (P000112)，由企业经营层牵头，组织经营部、财务部、项目管理部开展三方会审：经营部核对合同资质与归属，项目部核对现场实际产值，财务部核对资金流与发票，确保申报数据既符合中设协统计办法，又不引发税务与财务合规风险（本研究方法论建议）。</w:t>
      </w:r>
    </w:p>
    <w:p>
      <w:pPr>
        <w:pStyle w:val="ListNumber"/>
      </w:pPr>
      <w:r>
        <w:rPr>
          <w:rFonts w:ascii="Calibri" w:hAnsi="Calibri" w:eastAsia="微软雅黑"/>
          <w:b/>
          <w:i w:val="0"/>
          <w:sz w:val="22"/>
        </w:rPr>
        <w:t>步骤5：生成可追溯申报底稿与归档</w:t>
      </w:r>
      <w:r>
        <w:rPr>
          <w:rFonts w:ascii="Calibri" w:hAnsi="Calibri" w:eastAsia="微软雅黑"/>
          <w:b w:val="0"/>
          <w:i w:val="0"/>
          <w:sz w:val="22"/>
        </w:rPr>
        <w:t>。形成包含项目合同、产值证明、扣除项明细的申报底稿合订本，经企业主管领导签字加盖公章后上报 (P000112)，并作为历年行业对标与内部审计的档案备查。</w:t>
      </w:r>
    </w:p>
    <w:p>
      <w:r>
        <w:rPr>
          <w:rFonts w:ascii="Calibri" w:hAnsi="Calibri" w:eastAsia="微软雅黑"/>
          <w:b w:val="0"/>
          <w:i w:val="0"/>
          <w:sz w:val="22"/>
        </w:rPr>
        <w:t>这套流程并非新规：回溯2021年排名活动的组织通知即可看到，地方同业协会当年即承担"4月30日前收齐企业申报材料、5月31日前提交初审名单"的双节点职责 (P000114)——申报纪律的连续性本身就是榜单公信力的组成部分。企业若把申报当成"每年一次的突击填表"，既丢掉了以申报促管理的机会，也在复核趋严的年份里暴露合规敞口（本句为本研究解读）。</w:t>
      </w:r>
    </w:p>
    <w:p>
      <w:pPr>
        <w:pStyle w:val="Heading3"/>
      </w:pPr>
      <w:r>
        <w:t>2.1.6 能力体系对标：从申报数字到管理底座的映射</w:t>
      </w:r>
    </w:p>
    <w:p>
      <w:r>
        <w:rPr>
          <w:rFonts w:ascii="Calibri" w:hAnsi="Calibri" w:eastAsia="微软雅黑"/>
          <w:b w:val="0"/>
          <w:i w:val="0"/>
          <w:sz w:val="22"/>
        </w:rPr>
        <w:t>榜单数字只是结果，支撑数字的能力体系才是可对标的内容。三家代表性企业的能力底座各具范式：</w:t>
      </w:r>
    </w:p>
    <w:p>
      <w:pPr>
        <w:pStyle w:val="ListBullet"/>
      </w:pPr>
      <w:r>
        <w:rPr>
          <w:rFonts w:ascii="Calibri" w:hAnsi="Calibri" w:eastAsia="微软雅黑"/>
          <w:b/>
          <w:i w:val="0"/>
          <w:sz w:val="22"/>
        </w:rPr>
        <w:t>湖南省建筑设计院：四大核心能力体系</w:t>
      </w:r>
      <w:r>
        <w:rPr>
          <w:rFonts w:ascii="Calibri" w:hAnsi="Calibri" w:eastAsia="微软雅黑"/>
          <w:b w:val="0"/>
          <w:i w:val="0"/>
          <w:sz w:val="22"/>
        </w:rPr>
        <w:t>。企业在EPC业务发展中形成了设计主导的技术集成能力、全过程项目管理能力、供应链整合能力、风险管控能力等四大核心能力体系，并建立了专业化的组织架构和标准化的管理流程 (P000125)。对地方省院而言，这四项能力恰好对应统计口径下"设计+采购+施工"全额归集的合规要件——缺任何一项，都会在口径穿透时露怯（本句后半为本研究解读）。</w:t>
      </w:r>
    </w:p>
    <w:p>
      <w:pPr>
        <w:pStyle w:val="ListBullet"/>
      </w:pPr>
      <w:r>
        <w:rPr>
          <w:rFonts w:ascii="Calibri" w:hAnsi="Calibri" w:eastAsia="微软雅黑"/>
          <w:b/>
          <w:i w:val="0"/>
          <w:sz w:val="22"/>
        </w:rPr>
        <w:t>中石化广州工程：研发平台与生态协同</w:t>
      </w:r>
      <w:r>
        <w:rPr>
          <w:rFonts w:ascii="Calibri" w:hAnsi="Calibri" w:eastAsia="微软雅黑"/>
          <w:b w:val="0"/>
          <w:i w:val="0"/>
          <w:sz w:val="22"/>
        </w:rPr>
        <w:t>。公司以国家级企业技术中心、博士后科研工作站与专业实验室构成研发底座，将战略供应商、技术合作方、金融机构、客户与政府等外部伙伴纳入生态协作体系 (P000115)。重化工业EPC的设备集成金额巨大，生态化供应链既是履约保障，也是统计口径全额归集的责任基础（本研究归纳）。</w:t>
      </w:r>
    </w:p>
    <w:p>
      <w:pPr>
        <w:pStyle w:val="ListBullet"/>
      </w:pPr>
      <w:r>
        <w:rPr>
          <w:rFonts w:ascii="Calibri" w:hAnsi="Calibri" w:eastAsia="微软雅黑"/>
          <w:b/>
          <w:i w:val="0"/>
          <w:sz w:val="22"/>
        </w:rPr>
        <w:t>中建六局：产值凭证穿透制度</w:t>
      </w:r>
      <w:r>
        <w:rPr>
          <w:rFonts w:ascii="Calibri" w:hAnsi="Calibri" w:eastAsia="微软雅黑"/>
          <w:b w:val="0"/>
          <w:i w:val="0"/>
          <w:sz w:val="22"/>
        </w:rPr>
        <w:t>。施工央企局级单位面对的最大口径风险是"分包流水重复统计"与"虚高产值"，其以产值凭证穿透制度守住统计与财务的勾稽底线 (P000120)。</w:t>
      </w:r>
    </w:p>
    <w:p>
      <w:r>
        <w:rPr>
          <w:rFonts w:ascii="Calibri" w:hAnsi="Calibri" w:eastAsia="微软雅黑"/>
          <w:b w:val="0"/>
          <w:i w:val="0"/>
          <w:sz w:val="22"/>
        </w:rPr>
        <w:t>三家企业的共性启示：统计口径的合规能力不是财务一个部门的事，而是技术、采购、项目管理与财务四方共用一套凭证语言的能力（本研究结论）。</w:t>
      </w:r>
    </w:p>
    <w:p>
      <w:r>
        <w:rPr>
          <w:rFonts w:ascii="Calibri" w:hAnsi="Calibri" w:eastAsia="微软雅黑"/>
          <w:b w:val="0"/>
          <w:i w:val="0"/>
          <w:sz w:val="22"/>
        </w:rPr>
        <w:t>---</w:t>
      </w:r>
    </w:p>
    <w:p>
      <w:pPr>
        <w:pStyle w:val="Heading2"/>
      </w:pPr>
      <w:r>
        <w:t>2.2 口径穿透：统计口径、税务口径与财务核算口径的三重分裂与统一</w:t>
      </w:r>
    </w:p>
    <w:p>
      <w:pPr>
        <w:pStyle w:val="Heading3"/>
      </w:pPr>
      <w:r>
        <w:t>2.2.1 口径分裂的三重表现</w:t>
      </w:r>
    </w:p>
    <w:p>
      <w:r>
        <w:rPr>
          <w:rFonts w:ascii="Calibri" w:hAnsi="Calibri" w:eastAsia="微软雅黑"/>
          <w:b w:val="0"/>
          <w:i w:val="0"/>
          <w:sz w:val="22"/>
        </w:rPr>
        <w:t>在总承包业务的管理实践中，企业面对着三种截然不同的口径体系：</w:t>
      </w:r>
      <w:r>
        <w:rPr>
          <w:rFonts w:ascii="Calibri" w:hAnsi="Calibri" w:eastAsia="微软雅黑"/>
          <w:b/>
          <w:i w:val="0"/>
          <w:sz w:val="22"/>
        </w:rPr>
        <w:t>统计口径（中设协）</w:t>
      </w:r>
      <w:r>
        <w:rPr>
          <w:rFonts w:ascii="Calibri" w:hAnsi="Calibri" w:eastAsia="微软雅黑"/>
          <w:b w:val="0"/>
          <w:i w:val="0"/>
          <w:sz w:val="22"/>
        </w:rPr>
        <w:t>关注现场建造实绩与行业排位——设备流水全含、分包依法扣除、不考虑会计完工百分比滞后；</w:t>
      </w:r>
      <w:r>
        <w:rPr>
          <w:rFonts w:ascii="Calibri" w:hAnsi="Calibri" w:eastAsia="微软雅黑"/>
          <w:b/>
          <w:i w:val="0"/>
          <w:sz w:val="22"/>
        </w:rPr>
        <w:t>财务口径（收入准则）</w:t>
      </w:r>
      <w:r>
        <w:rPr>
          <w:rFonts w:ascii="Calibri" w:hAnsi="Calibri" w:eastAsia="微软雅黑"/>
          <w:b w:val="0"/>
          <w:i w:val="0"/>
          <w:sz w:val="22"/>
        </w:rPr>
        <w:t>关注履约义务满足、控制权转移与利润真实性——总额法与净额法判断、进项销项勾稽；</w:t>
      </w:r>
      <w:r>
        <w:rPr>
          <w:rFonts w:ascii="Calibri" w:hAnsi="Calibri" w:eastAsia="微软雅黑"/>
          <w:b/>
          <w:i w:val="0"/>
          <w:sz w:val="22"/>
        </w:rPr>
        <w:t>税务口径</w:t>
      </w:r>
      <w:r>
        <w:rPr>
          <w:rFonts w:ascii="Calibri" w:hAnsi="Calibri" w:eastAsia="微软雅黑"/>
          <w:b w:val="0"/>
          <w:i w:val="0"/>
          <w:sz w:val="22"/>
        </w:rPr>
        <w:t>关注发票开具时点、纳税义务发生时间与进项抵扣（本段口径框架为本研究归纳，规则细节均锚定源文）(P000112)。</w:t>
      </w:r>
    </w:p>
    <w:p>
      <w:r>
        <w:rPr>
          <w:rFonts w:ascii="Calibri" w:hAnsi="Calibri" w:eastAsia="微软雅黑"/>
          <w:b/>
          <w:i w:val="0"/>
          <w:sz w:val="22"/>
        </w:rPr>
        <w:t>1. 统计口径与财务口径的本质偏差</w:t>
      </w:r>
    </w:p>
    <w:p>
      <w:r>
        <w:rPr>
          <w:rFonts w:ascii="Calibri" w:hAnsi="Calibri" w:eastAsia="微软雅黑"/>
          <w:b w:val="0"/>
          <w:i w:val="0"/>
          <w:sz w:val="22"/>
        </w:rPr>
        <w:t>中设协总承包营业额统计的核心在于评价企业的工程资源整合与建造组织规模 (P000112)。因此在统计口径下：</w:t>
      </w:r>
    </w:p>
    <w:p>
      <w:pPr>
        <w:pStyle w:val="ListBullet"/>
      </w:pPr>
      <w:r>
        <w:rPr>
          <w:rFonts w:ascii="Calibri" w:hAnsi="Calibri" w:eastAsia="微软雅黑"/>
          <w:b/>
          <w:i w:val="0"/>
          <w:sz w:val="22"/>
        </w:rPr>
        <w:t>设备采购流水</w:t>
      </w:r>
      <w:r>
        <w:rPr>
          <w:rFonts w:ascii="Calibri" w:hAnsi="Calibri" w:eastAsia="微软雅黑"/>
          <w:b w:val="0"/>
          <w:i w:val="0"/>
          <w:sz w:val="22"/>
        </w:rPr>
        <w:t>：归集要旨已在2.1.3第三条差异中拆解——凡企业对设备环节的质量、工期与集成承担总包责任，其对应金额即全额进入申报口径，此处不再重复规则原文 (P000112)。</w:t>
      </w:r>
    </w:p>
    <w:p>
      <w:pPr>
        <w:pStyle w:val="ListBullet"/>
      </w:pPr>
      <w:r>
        <w:rPr>
          <w:rFonts w:ascii="Calibri" w:hAnsi="Calibri" w:eastAsia="微软雅黑"/>
          <w:b/>
          <w:i w:val="0"/>
          <w:sz w:val="22"/>
        </w:rPr>
        <w:t>施工流水</w:t>
      </w:r>
      <w:r>
        <w:rPr>
          <w:rFonts w:ascii="Calibri" w:hAnsi="Calibri" w:eastAsia="微软雅黑"/>
          <w:b w:val="0"/>
          <w:i w:val="0"/>
          <w:sz w:val="22"/>
        </w:rPr>
        <w:t>：专业工程依法分包给有资质的施工企业后，若该部分产值已裹挟在总包与业主签署的合同总价之内、并由总包一方统一办理结算，则企业按整体工程产值口径填报 (P000112)。</w:t>
      </w:r>
    </w:p>
    <w:p>
      <w:pPr>
        <w:pStyle w:val="ListBullet"/>
      </w:pPr>
      <w:r>
        <w:rPr>
          <w:rFonts w:ascii="Calibri" w:hAnsi="Calibri" w:eastAsia="微软雅黑"/>
          <w:b/>
          <w:i w:val="0"/>
          <w:sz w:val="22"/>
        </w:rPr>
        <w:t>财务准则冲击</w:t>
      </w:r>
      <w:r>
        <w:rPr>
          <w:rFonts w:ascii="Calibri" w:hAnsi="Calibri" w:eastAsia="微软雅黑"/>
          <w:b w:val="0"/>
          <w:i w:val="0"/>
          <w:sz w:val="22"/>
        </w:rPr>
        <w:t>：会计账面上若企业的身份被认定为代理方（如业主指定设备采购且企业不承担主要存货风险与定价权），只能采用净额法核算，仅就采购手续费或管理费确认收入——财务营业收入大幅缩水，而统计营业额依然保持总额模式，两条曲线之间的数值裂谷由此拉开的（本条为财会规则推演，本研究明示）(P000112)。</w:t>
      </w:r>
    </w:p>
    <w:p>
      <w:r>
        <w:rPr>
          <w:rFonts w:ascii="Calibri" w:hAnsi="Calibri" w:eastAsia="微软雅黑"/>
          <w:b/>
          <w:i w:val="0"/>
          <w:sz w:val="22"/>
        </w:rPr>
        <w:t>2. 联合体（JV）与分包穿透核算</w:t>
      </w:r>
    </w:p>
    <w:p>
      <w:r>
        <w:rPr>
          <w:rFonts w:ascii="Calibri" w:hAnsi="Calibri" w:eastAsia="微软雅黑"/>
          <w:b w:val="0"/>
          <w:i w:val="0"/>
          <w:sz w:val="22"/>
        </w:rPr>
        <w:t>在大型基础设施、能源及复杂化工项目中，设计院常与施工企业组成联合体投标。中设协申报体系针对联合体与分包有严苛的穿透防重规则 (P000112)：</w:t>
      </w:r>
    </w:p>
    <w:p>
      <w:pPr>
        <w:pStyle w:val="ListBullet"/>
      </w:pPr>
      <w:r>
        <w:rPr>
          <w:rFonts w:ascii="Calibri" w:hAnsi="Calibri" w:eastAsia="微软雅黑"/>
          <w:b/>
          <w:i w:val="0"/>
          <w:sz w:val="22"/>
        </w:rPr>
        <w:t>联合体划转原则</w:t>
      </w:r>
      <w:r>
        <w:rPr>
          <w:rFonts w:ascii="Calibri" w:hAnsi="Calibri" w:eastAsia="微软雅黑"/>
          <w:b w:val="0"/>
          <w:i w:val="0"/>
          <w:sz w:val="22"/>
        </w:rPr>
        <w:t>：联合体各方必须严格按照联合体协议中划分的业务范围与合同金额各自申报 (P000112)。示意性复盘：设计院负责设计与采购（占比40%）、施工企业负责施工（占比60%），则设计院仅能将40%对应营业额计入本企业总承包营业额，严禁牵头人将100%合同额全额申报（比例数字为示例，实际以联合体协议约定为准）。</w:t>
      </w:r>
    </w:p>
    <w:p>
      <w:pPr>
        <w:pStyle w:val="ListBullet"/>
      </w:pPr>
      <w:r>
        <w:rPr>
          <w:rFonts w:ascii="Calibri" w:hAnsi="Calibri" w:eastAsia="微软雅黑"/>
          <w:b/>
          <w:i w:val="0"/>
          <w:sz w:val="22"/>
        </w:rPr>
        <w:t>分包扣除规则</w:t>
      </w:r>
      <w:r>
        <w:rPr>
          <w:rFonts w:ascii="Calibri" w:hAnsi="Calibri" w:eastAsia="微软雅黑"/>
          <w:b w:val="0"/>
          <w:i w:val="0"/>
          <w:sz w:val="22"/>
        </w:rPr>
        <w:t>：申报企业必须具有工程设计资质且在EPC项目中承担设计与管理核心责任；若企业仅挂名总承包而将设计、采购、施工全部转包，该项目营业额在复核环节将被直接核减甚至取消申报资格 (P000112)。</w:t>
      </w:r>
    </w:p>
    <w:p>
      <w:pPr>
        <w:pStyle w:val="Heading3"/>
      </w:pPr>
      <w:r>
        <w:t>2.2.2 行业统计大盘与中设协总承包榜单的数据对比</w:t>
      </w:r>
    </w:p>
    <w:p>
      <w:r>
        <w:rPr>
          <w:rFonts w:ascii="Calibri" w:hAnsi="Calibri" w:eastAsia="微软雅黑"/>
          <w:b w:val="0"/>
          <w:i w:val="0"/>
          <w:sz w:val="22"/>
        </w:rPr>
        <w:t>将行业统计数据与中设协勘察设计总承包榜单交叉对比，可以透视出设计主导型总承包在整体建筑业中的真实渗透率与体量位置。据中国建筑业协会《2024年建筑业发展统计分析》：全国建筑业签订合同总额727,219.17亿元（同比下降0.22%），其中新签合同额337,500.52亿元（同比下降5.29%）；完成竣工产值135,238.80亿元（同比降低1.65%）；房屋建筑施工面积136.83亿平方米（同比减少10.62%）(P000135)。</w:t>
      </w:r>
    </w:p>
    <w:p>
      <w:pPr>
        <w:pStyle w:val="Heading4"/>
      </w:pPr>
      <w:r>
        <w:t>表2-1 建筑业统计大盘与中设协总承包榜单对照表</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数据维度</w:t>
            </w:r>
          </w:p>
        </w:tc>
        <w:tc>
          <w:tcPr>
            <w:tcW w:type="dxa" w:w="2075"/>
            <w:shd w:fill="1F3A5F"/>
          </w:tcPr>
          <w:p>
            <w:r>
              <w:rPr>
                <w:color w:val="FFFFFF"/>
              </w:rPr>
            </w:r>
            <w:r>
              <w:rPr>
                <w:rFonts w:ascii="Calibri" w:hAnsi="Calibri" w:eastAsia="微软雅黑"/>
                <w:b/>
                <w:i w:val="0"/>
                <w:color w:val="FFFFFF"/>
                <w:sz w:val="18"/>
              </w:rPr>
              <w:t>统计主体/来源</w:t>
            </w:r>
          </w:p>
        </w:tc>
        <w:tc>
          <w:tcPr>
            <w:tcW w:type="dxa" w:w="2075"/>
            <w:shd w:fill="1F3A5F"/>
          </w:tcPr>
          <w:p>
            <w:r>
              <w:rPr>
                <w:color w:val="FFFFFF"/>
              </w:rPr>
            </w:r>
            <w:r>
              <w:rPr>
                <w:rFonts w:ascii="Calibri" w:hAnsi="Calibri" w:eastAsia="微软雅黑"/>
                <w:b/>
                <w:i w:val="0"/>
                <w:color w:val="FFFFFF"/>
                <w:sz w:val="18"/>
              </w:rPr>
              <w:t>数值</w:t>
            </w:r>
          </w:p>
        </w:tc>
        <w:tc>
          <w:tcPr>
            <w:tcW w:type="dxa" w:w="2075"/>
            <w:shd w:fill="1F3A5F"/>
          </w:tcPr>
          <w:p>
            <w:r>
              <w:rPr>
                <w:color w:val="FFFFFF"/>
              </w:rPr>
            </w:r>
            <w:r>
              <w:rPr>
                <w:rFonts w:ascii="Calibri" w:hAnsi="Calibri" w:eastAsia="微软雅黑"/>
                <w:b/>
                <w:i w:val="0"/>
                <w:color w:val="FFFFFF"/>
                <w:sz w:val="18"/>
              </w:rPr>
              <w:t>统计内涵与口径说明</w:t>
            </w:r>
          </w:p>
        </w:tc>
      </w:tr>
      <w:tr>
        <w:tc>
          <w:tcPr>
            <w:tcW w:type="dxa" w:w="2075"/>
          </w:tcPr>
          <w:p>
            <w:r/>
            <w:r>
              <w:rPr>
                <w:rFonts w:ascii="Calibri" w:hAnsi="Calibri" w:eastAsia="微软雅黑"/>
                <w:b w:val="0"/>
                <w:i w:val="0"/>
                <w:sz w:val="18"/>
              </w:rPr>
              <w:t>建筑业签订合同总额</w:t>
            </w:r>
          </w:p>
        </w:tc>
        <w:tc>
          <w:tcPr>
            <w:tcW w:type="dxa" w:w="2075"/>
          </w:tcPr>
          <w:p>
            <w:r/>
            <w:r>
              <w:rPr>
                <w:rFonts w:ascii="Calibri" w:hAnsi="Calibri" w:eastAsia="微软雅黑"/>
                <w:b w:val="0"/>
                <w:i w:val="0"/>
                <w:sz w:val="18"/>
              </w:rPr>
              <w:t>中国建筑业协会 [来源: P000135]</w:t>
            </w:r>
          </w:p>
        </w:tc>
        <w:tc>
          <w:tcPr>
            <w:tcW w:type="dxa" w:w="2075"/>
          </w:tcPr>
          <w:p>
            <w:r/>
            <w:r>
              <w:rPr>
                <w:rFonts w:ascii="Calibri" w:hAnsi="Calibri" w:eastAsia="微软雅黑"/>
                <w:b w:val="0"/>
                <w:i w:val="0"/>
                <w:sz w:val="18"/>
              </w:rPr>
              <w:t>727,219.17亿元（-0.22%）</w:t>
            </w:r>
          </w:p>
        </w:tc>
        <w:tc>
          <w:tcPr>
            <w:tcW w:type="dxa" w:w="2075"/>
          </w:tcPr>
          <w:p>
            <w:r/>
            <w:r>
              <w:rPr>
                <w:rFonts w:ascii="Calibri" w:hAnsi="Calibri" w:eastAsia="微软雅黑"/>
                <w:b w:val="0"/>
                <w:i w:val="0"/>
                <w:sz w:val="18"/>
              </w:rPr>
              <w:t>全行业存量+增量合同总盘子</w:t>
            </w:r>
          </w:p>
        </w:tc>
      </w:tr>
      <w:tr>
        <w:tc>
          <w:tcPr>
            <w:tcW w:type="dxa" w:w="2075"/>
          </w:tcPr>
          <w:p>
            <w:r/>
            <w:r>
              <w:rPr>
                <w:rFonts w:ascii="Calibri" w:hAnsi="Calibri" w:eastAsia="微软雅黑"/>
                <w:b w:val="0"/>
                <w:i w:val="0"/>
                <w:sz w:val="18"/>
              </w:rPr>
              <w:t>建筑业新签合同额</w:t>
            </w:r>
          </w:p>
        </w:tc>
        <w:tc>
          <w:tcPr>
            <w:tcW w:type="dxa" w:w="2075"/>
          </w:tcPr>
          <w:p>
            <w:r/>
            <w:r>
              <w:rPr>
                <w:rFonts w:ascii="Calibri" w:hAnsi="Calibri" w:eastAsia="微软雅黑"/>
                <w:b w:val="0"/>
                <w:i w:val="0"/>
                <w:sz w:val="18"/>
              </w:rPr>
              <w:t>中国建筑业协会 [来源: P000135]</w:t>
            </w:r>
          </w:p>
        </w:tc>
        <w:tc>
          <w:tcPr>
            <w:tcW w:type="dxa" w:w="2075"/>
          </w:tcPr>
          <w:p>
            <w:r/>
            <w:r>
              <w:rPr>
                <w:rFonts w:ascii="Calibri" w:hAnsi="Calibri" w:eastAsia="微软雅黑"/>
                <w:b w:val="0"/>
                <w:i w:val="0"/>
                <w:sz w:val="18"/>
              </w:rPr>
              <w:t>337,500.52亿元（-5.29%）</w:t>
            </w:r>
          </w:p>
        </w:tc>
        <w:tc>
          <w:tcPr>
            <w:tcW w:type="dxa" w:w="2075"/>
          </w:tcPr>
          <w:p>
            <w:r/>
            <w:r>
              <w:rPr>
                <w:rFonts w:ascii="Calibri" w:hAnsi="Calibri" w:eastAsia="微软雅黑"/>
                <w:b w:val="0"/>
                <w:i w:val="0"/>
                <w:sz w:val="18"/>
              </w:rPr>
              <w:t>当期合同签约总量，全品类施工及EPC</w:t>
            </w:r>
          </w:p>
        </w:tc>
      </w:tr>
      <w:tr>
        <w:tc>
          <w:tcPr>
            <w:tcW w:type="dxa" w:w="2075"/>
          </w:tcPr>
          <w:p>
            <w:r/>
            <w:r>
              <w:rPr>
                <w:rFonts w:ascii="Calibri" w:hAnsi="Calibri" w:eastAsia="微软雅黑"/>
                <w:b w:val="0"/>
                <w:i w:val="0"/>
                <w:sz w:val="18"/>
              </w:rPr>
              <w:t>建筑业竣工产值</w:t>
            </w:r>
          </w:p>
        </w:tc>
        <w:tc>
          <w:tcPr>
            <w:tcW w:type="dxa" w:w="2075"/>
          </w:tcPr>
          <w:p>
            <w:r/>
            <w:r>
              <w:rPr>
                <w:rFonts w:ascii="Calibri" w:hAnsi="Calibri" w:eastAsia="微软雅黑"/>
                <w:b w:val="0"/>
                <w:i w:val="0"/>
                <w:sz w:val="18"/>
              </w:rPr>
              <w:t>中国建筑业协会 [来源: P000135]</w:t>
            </w:r>
          </w:p>
        </w:tc>
        <w:tc>
          <w:tcPr>
            <w:tcW w:type="dxa" w:w="2075"/>
          </w:tcPr>
          <w:p>
            <w:r/>
            <w:r>
              <w:rPr>
                <w:rFonts w:ascii="Calibri" w:hAnsi="Calibri" w:eastAsia="微软雅黑"/>
                <w:b w:val="0"/>
                <w:i w:val="0"/>
                <w:sz w:val="18"/>
              </w:rPr>
              <w:t>135,238.80亿元（-1.65%）</w:t>
            </w:r>
          </w:p>
        </w:tc>
        <w:tc>
          <w:tcPr>
            <w:tcW w:type="dxa" w:w="2075"/>
          </w:tcPr>
          <w:p>
            <w:r/>
            <w:r>
              <w:rPr>
                <w:rFonts w:ascii="Calibri" w:hAnsi="Calibri" w:eastAsia="微软雅黑"/>
                <w:b w:val="0"/>
                <w:i w:val="0"/>
                <w:sz w:val="18"/>
              </w:rPr>
              <w:t>当期竣工交付产值</w:t>
            </w:r>
          </w:p>
        </w:tc>
      </w:tr>
      <w:tr>
        <w:tc>
          <w:tcPr>
            <w:tcW w:type="dxa" w:w="2075"/>
          </w:tcPr>
          <w:p>
            <w:r/>
            <w:r>
              <w:rPr>
                <w:rFonts w:ascii="Calibri" w:hAnsi="Calibri" w:eastAsia="微软雅黑"/>
                <w:b w:val="0"/>
                <w:i w:val="0"/>
                <w:sz w:val="18"/>
              </w:rPr>
              <w:t>勘察设计总承包榜首（华东院）</w:t>
            </w:r>
          </w:p>
        </w:tc>
        <w:tc>
          <w:tcPr>
            <w:tcW w:type="dxa" w:w="2075"/>
          </w:tcPr>
          <w:p>
            <w:r/>
            <w:r>
              <w:rPr>
                <w:rFonts w:ascii="Calibri" w:hAnsi="Calibri" w:eastAsia="微软雅黑"/>
                <w:b w:val="0"/>
                <w:i w:val="0"/>
                <w:sz w:val="18"/>
              </w:rPr>
              <w:t>中设协2025年发布榜单 [来源: P000106]</w:t>
            </w:r>
          </w:p>
        </w:tc>
        <w:tc>
          <w:tcPr>
            <w:tcW w:type="dxa" w:w="2075"/>
          </w:tcPr>
          <w:p>
            <w:r/>
            <w:r>
              <w:rPr>
                <w:rFonts w:ascii="Calibri" w:hAnsi="Calibri" w:eastAsia="微软雅黑"/>
                <w:b w:val="0"/>
                <w:i w:val="0"/>
                <w:sz w:val="18"/>
              </w:rPr>
              <w:t>4,549,202万元</w:t>
            </w:r>
          </w:p>
        </w:tc>
        <w:tc>
          <w:tcPr>
            <w:tcW w:type="dxa" w:w="2075"/>
          </w:tcPr>
          <w:p>
            <w:r/>
            <w:r>
              <w:rPr>
                <w:rFonts w:ascii="Calibri" w:hAnsi="Calibri" w:eastAsia="微软雅黑"/>
                <w:b w:val="0"/>
                <w:i w:val="0"/>
                <w:sz w:val="18"/>
              </w:rPr>
              <w:t>持乙级以上设计资质企业的总承包营业额，2024年度业绩</w:t>
            </w:r>
          </w:p>
        </w:tc>
      </w:tr>
      <w:tr>
        <w:tc>
          <w:tcPr>
            <w:tcW w:type="dxa" w:w="2075"/>
          </w:tcPr>
          <w:p>
            <w:r/>
            <w:r>
              <w:rPr>
                <w:rFonts w:ascii="Calibri" w:hAnsi="Calibri" w:eastAsia="微软雅黑"/>
                <w:b w:val="0"/>
                <w:i w:val="0"/>
                <w:sz w:val="18"/>
              </w:rPr>
              <w:t>项目管理榜首（中石化工程建设）</w:t>
            </w:r>
          </w:p>
        </w:tc>
        <w:tc>
          <w:tcPr>
            <w:tcW w:type="dxa" w:w="2075"/>
          </w:tcPr>
          <w:p>
            <w:r/>
            <w:r>
              <w:rPr>
                <w:rFonts w:ascii="Calibri" w:hAnsi="Calibri" w:eastAsia="微软雅黑"/>
                <w:b w:val="0"/>
                <w:i w:val="0"/>
                <w:sz w:val="18"/>
              </w:rPr>
              <w:t>中设协2025年发布榜单 [来源: P000106]</w:t>
            </w:r>
          </w:p>
        </w:tc>
        <w:tc>
          <w:tcPr>
            <w:tcW w:type="dxa" w:w="2075"/>
          </w:tcPr>
          <w:p>
            <w:r/>
            <w:r>
              <w:rPr>
                <w:rFonts w:ascii="Calibri" w:hAnsi="Calibri" w:eastAsia="微软雅黑"/>
                <w:b w:val="0"/>
                <w:i w:val="0"/>
                <w:sz w:val="18"/>
              </w:rPr>
              <w:t>150,171万元</w:t>
            </w:r>
          </w:p>
        </w:tc>
        <w:tc>
          <w:tcPr>
            <w:tcW w:type="dxa" w:w="2075"/>
          </w:tcPr>
          <w:p>
            <w:r/>
            <w:r>
              <w:rPr>
                <w:rFonts w:ascii="Calibri" w:hAnsi="Calibri" w:eastAsia="微软雅黑"/>
                <w:b w:val="0"/>
                <w:i w:val="0"/>
                <w:sz w:val="18"/>
              </w:rPr>
              <w:t>全过程项目管理服务营业额</w:t>
            </w:r>
          </w:p>
        </w:tc>
      </w:tr>
      <w:tr>
        <w:tc>
          <w:tcPr>
            <w:tcW w:type="dxa" w:w="2075"/>
          </w:tcPr>
          <w:p>
            <w:r/>
            <w:r>
              <w:rPr>
                <w:rFonts w:ascii="Calibri" w:hAnsi="Calibri" w:eastAsia="微软雅黑"/>
                <w:b w:val="0"/>
                <w:i w:val="0"/>
                <w:sz w:val="18"/>
              </w:rPr>
              <w:t>境外总承包榜首（中材国际）</w:t>
            </w:r>
          </w:p>
        </w:tc>
        <w:tc>
          <w:tcPr>
            <w:tcW w:type="dxa" w:w="2075"/>
          </w:tcPr>
          <w:p>
            <w:r/>
            <w:r>
              <w:rPr>
                <w:rFonts w:ascii="Calibri" w:hAnsi="Calibri" w:eastAsia="微软雅黑"/>
                <w:b w:val="0"/>
                <w:i w:val="0"/>
                <w:sz w:val="18"/>
              </w:rPr>
              <w:t>中设协2025年发布榜单 [来源: P000106]</w:t>
            </w:r>
          </w:p>
        </w:tc>
        <w:tc>
          <w:tcPr>
            <w:tcW w:type="dxa" w:w="2075"/>
          </w:tcPr>
          <w:p>
            <w:r/>
            <w:r>
              <w:rPr>
                <w:rFonts w:ascii="Calibri" w:hAnsi="Calibri" w:eastAsia="微软雅黑"/>
                <w:b w:val="0"/>
                <w:i w:val="0"/>
                <w:sz w:val="18"/>
              </w:rPr>
              <w:t>1,402,850万元</w:t>
            </w:r>
          </w:p>
        </w:tc>
        <w:tc>
          <w:tcPr>
            <w:tcW w:type="dxa" w:w="2075"/>
          </w:tcPr>
          <w:p>
            <w:r/>
            <w:r>
              <w:rPr>
                <w:rFonts w:ascii="Calibri" w:hAnsi="Calibri" w:eastAsia="微软雅黑"/>
                <w:b w:val="0"/>
                <w:i w:val="0"/>
                <w:sz w:val="18"/>
              </w:rPr>
              <w:t>境外EPC营业额独立子榜单</w:t>
            </w:r>
          </w:p>
        </w:tc>
      </w:tr>
    </w:tbl>
    <w:p>
      <w:r>
        <w:rPr>
          <w:rFonts w:ascii="Calibri" w:hAnsi="Calibri" w:eastAsia="微软雅黑"/>
          <w:b w:val="0"/>
          <w:i w:val="0"/>
          <w:sz w:val="22"/>
        </w:rPr>
        <w:t>需要向读者如实说明证据边界：本章事实资料库收录的《2024年国民经济和社会发展统计公报》文本为节选件，未含建筑业总产值与建筑业增加值的完整段落数值，故本表宏观对照以中建协发展统计分析为准，不作无源引用。上述对照仍然支撑一个清晰判断：在全国建筑业新签合同337,500.52亿元的大盘中 (P000135)，中设协榜单186家（2023年发布口径）企业数千亿元量级的总承包营业额 (P000105)，代表的是工程建设领域设计与技术驱动属性最强、单位合同价值含量最高的精锐部队（本句为本研究解读）——设计院做总承包并非盲目拼施工体量，而是通过设计控造价、技术集成提升项目整体盈利品质。</w:t>
      </w:r>
    </w:p>
    <w:p>
      <w:pPr>
        <w:pStyle w:val="Heading3"/>
      </w:pPr>
      <w:r>
        <w:t>2.2.3 标杆企业口径穿透实证剖析（数据-动作-结果）</w:t>
      </w:r>
    </w:p>
    <w:p>
      <w:r>
        <w:rPr>
          <w:rFonts w:ascii="Calibri" w:hAnsi="Calibri" w:eastAsia="微软雅黑"/>
          <w:b/>
          <w:i w:val="0"/>
          <w:sz w:val="22"/>
        </w:rPr>
        <w:t>案例一：中石化广州工程有限公司（石化化工EPC口径穿透标杆）</w:t>
      </w:r>
    </w:p>
    <w:p>
      <w:pPr>
        <w:pStyle w:val="ListBullet"/>
      </w:pPr>
      <w:r>
        <w:rPr>
          <w:rFonts w:ascii="Calibri" w:hAnsi="Calibri" w:eastAsia="微软雅黑"/>
          <w:b/>
          <w:i w:val="0"/>
          <w:sz w:val="22"/>
        </w:rPr>
        <w:t>数据</w:t>
      </w:r>
      <w:r>
        <w:rPr>
          <w:rFonts w:ascii="Calibri" w:hAnsi="Calibri" w:eastAsia="微软雅黑"/>
          <w:b w:val="0"/>
          <w:i w:val="0"/>
          <w:sz w:val="22"/>
        </w:rPr>
        <w:t>：在2023年发布榜单中，中石化广州工程有限公司以900,077万元高居全国第26位 (P000101, P000105)；同时在境外工程总承包榜单以31,843万元位列第37位 (P000101)。</w:t>
      </w:r>
    </w:p>
    <w:p>
      <w:pPr>
        <w:pStyle w:val="ListBullet"/>
      </w:pPr>
      <w:r>
        <w:rPr>
          <w:rFonts w:ascii="Calibri" w:hAnsi="Calibri" w:eastAsia="微软雅黑"/>
          <w:b/>
          <w:i w:val="0"/>
          <w:sz w:val="22"/>
        </w:rPr>
        <w:t>动作</w:t>
      </w:r>
      <w:r>
        <w:rPr>
          <w:rFonts w:ascii="Calibri" w:hAnsi="Calibri" w:eastAsia="微软雅黑"/>
          <w:b w:val="0"/>
          <w:i w:val="0"/>
          <w:sz w:val="22"/>
        </w:rPr>
        <w:t>：作为国家级高新技术企业，公司持续加大研发投入，健全覆盖基础研究到工程转化的技术研发体系（其国家级平台群的构成已见前文能力体系对标一节，此处不再罗列），聚焦炼化高端化、绿色化、智能化方向 (P000115)；对采购合同与分包合同实施穿透式审验，严格区分"采购总承包"与"代理采购"，对由公司承担质量担保与集成责任的设备流水全额归集，对纯代理服务精确核减（本句后半为本研究基于口径规则的归纳）。</w:t>
      </w:r>
    </w:p>
    <w:p>
      <w:pPr>
        <w:pStyle w:val="ListBullet"/>
      </w:pPr>
      <w:r>
        <w:rPr>
          <w:rFonts w:ascii="Calibri" w:hAnsi="Calibri" w:eastAsia="微软雅黑"/>
          <w:b/>
          <w:i w:val="0"/>
          <w:sz w:val="22"/>
        </w:rPr>
        <w:t>结果</w:t>
      </w:r>
      <w:r>
        <w:rPr>
          <w:rFonts w:ascii="Calibri" w:hAnsi="Calibri" w:eastAsia="微软雅黑"/>
          <w:b w:val="0"/>
          <w:i w:val="0"/>
          <w:sz w:val="22"/>
        </w:rPr>
        <w:t>：在确保申报数据符合中设协穿透防重规则的前提下，真实反映了企业在大型石化EPC领域的项目整合能力，稳居全国工程总承包榜单前列 (P000101, P000115)。</w:t>
      </w:r>
    </w:p>
    <w:p>
      <w:r>
        <w:rPr>
          <w:rFonts w:ascii="Calibri" w:hAnsi="Calibri" w:eastAsia="微软雅黑"/>
          <w:b/>
          <w:i w:val="0"/>
          <w:sz w:val="22"/>
        </w:rPr>
        <w:t>案例二：中国建筑第六工程局有限公司（大型施工企业财务与统计勾稽标杆）</w:t>
      </w:r>
    </w:p>
    <w:p>
      <w:pPr>
        <w:pStyle w:val="ListBullet"/>
      </w:pPr>
      <w:r>
        <w:rPr>
          <w:rFonts w:ascii="Calibri" w:hAnsi="Calibri" w:eastAsia="微软雅黑"/>
          <w:b/>
          <w:i w:val="0"/>
          <w:sz w:val="22"/>
        </w:rPr>
        <w:t>数据</w:t>
      </w:r>
      <w:r>
        <w:rPr>
          <w:rFonts w:ascii="Calibri" w:hAnsi="Calibri" w:eastAsia="微软雅黑"/>
          <w:b w:val="0"/>
          <w:i w:val="0"/>
          <w:sz w:val="22"/>
        </w:rPr>
        <w:t>：2023年中建六局实现营业收入591.71亿元，同比增长7.57%；归属于母公司所有者的净利润为3.92亿元，同比增长69.7%；2024年营业总收入和利润总额规模分别增长19.82%和17.31% (P000120)。</w:t>
      </w:r>
    </w:p>
    <w:p>
      <w:pPr>
        <w:pStyle w:val="ListBullet"/>
      </w:pPr>
      <w:r>
        <w:rPr>
          <w:rFonts w:ascii="Calibri" w:hAnsi="Calibri" w:eastAsia="微软雅黑"/>
          <w:b/>
          <w:i w:val="0"/>
          <w:sz w:val="22"/>
        </w:rPr>
        <w:t>动作</w:t>
      </w:r>
      <w:r>
        <w:rPr>
          <w:rFonts w:ascii="Calibri" w:hAnsi="Calibri" w:eastAsia="微软雅黑"/>
          <w:b w:val="0"/>
          <w:i w:val="0"/>
          <w:sz w:val="22"/>
        </w:rPr>
        <w:t>：针对施工型EPC项目总承包统计中容易出现的"分包流水重复统计"与"虚高产值"风险，中建六局推行分阶段财务与统计评估体系，在内部制定严格的产值凭证穿透制度——凡未取得业主及监理签认的现场工程计量单、未建立真实分包扣除台账的项目，一律不得计入总承包统计完成额（本条为该企业研究资料披露的实务机制）(P000120)。</w:t>
      </w:r>
    </w:p>
    <w:p>
      <w:pPr>
        <w:pStyle w:val="ListBullet"/>
      </w:pPr>
      <w:r>
        <w:rPr>
          <w:rFonts w:ascii="Calibri" w:hAnsi="Calibri" w:eastAsia="微软雅黑"/>
          <w:b/>
          <w:i w:val="0"/>
          <w:sz w:val="22"/>
        </w:rPr>
        <w:t>结果</w:t>
      </w:r>
      <w:r>
        <w:rPr>
          <w:rFonts w:ascii="Calibri" w:hAnsi="Calibri" w:eastAsia="微软雅黑"/>
          <w:b w:val="0"/>
          <w:i w:val="0"/>
          <w:sz w:val="22"/>
        </w:rPr>
        <w:t>：利润增长速度远超营收增长速度 (P000120)，实现了总承包营业额与法定财务报表中现金流、净利润的高质量勾稽与匹配（本句后半为本研究解读）。</w:t>
      </w:r>
    </w:p>
    <w:p>
      <w:pPr>
        <w:pStyle w:val="Heading3"/>
      </w:pPr>
      <w:r>
        <w:t>2.2.4 可执行方法论：EPC项目"三单合一"口径穿透审计与归集步骤</w:t>
      </w:r>
    </w:p>
    <w:p>
      <w:r>
        <w:rPr>
          <w:rFonts w:ascii="Calibri" w:hAnsi="Calibri" w:eastAsia="微软雅黑"/>
          <w:b w:val="0"/>
          <w:i w:val="0"/>
          <w:sz w:val="22"/>
        </w:rPr>
        <w:t>为了帮助企业在申报行业榜单及接受外部审计时做到"零合规风险"，企业应建立"三单合一"口径穿透审计机制（合同单-结算单-凭证单逐级勾稽，本研究方法论建议，规则细节锚定源文）：</w:t>
      </w:r>
    </w:p>
    <w:p>
      <w:pPr>
        <w:pStyle w:val="ListNumber"/>
      </w:pPr>
      <w:r>
        <w:rPr>
          <w:rFonts w:ascii="Calibri" w:hAnsi="Calibri" w:eastAsia="微软雅黑"/>
          <w:b/>
          <w:i w:val="0"/>
          <w:sz w:val="22"/>
        </w:rPr>
        <w:t>步骤1：实施"合同单"合规性审查</w:t>
      </w:r>
      <w:r>
        <w:rPr>
          <w:rFonts w:ascii="Calibri" w:hAnsi="Calibri" w:eastAsia="微软雅黑"/>
          <w:b w:val="0"/>
          <w:i w:val="0"/>
          <w:sz w:val="22"/>
        </w:rPr>
        <w:t>。检查项目合同文本，确认本企业是否作为总承包商签署合同、是否具备乙级以上设计资质；若是联合体合同，必须出具《联合体协议书》，明确本方在设计、采购、施工中的具体金额或比例分配 (P000112)。</w:t>
      </w:r>
    </w:p>
    <w:p>
      <w:pPr>
        <w:pStyle w:val="ListNumber"/>
      </w:pPr>
      <w:r>
        <w:rPr>
          <w:rFonts w:ascii="Calibri" w:hAnsi="Calibri" w:eastAsia="微软雅黑"/>
          <w:b/>
          <w:i w:val="0"/>
          <w:sz w:val="22"/>
        </w:rPr>
        <w:t>步骤2：核查"结算单"当年度完成工程量</w:t>
      </w:r>
      <w:r>
        <w:rPr>
          <w:rFonts w:ascii="Calibri" w:hAnsi="Calibri" w:eastAsia="微软雅黑"/>
          <w:b w:val="0"/>
          <w:i w:val="0"/>
          <w:sz w:val="22"/>
        </w:rPr>
        <w:t>。调取表五中申报项目的当年度产值结算单，结算单必须有业主代表及监理工程师签字盖章；设备采购部分需附设备到场验收单或交付证明，严禁将未到场开工的预付款直接计入当年度完成营业额 (P000112)。</w:t>
      </w:r>
    </w:p>
    <w:p>
      <w:pPr>
        <w:pStyle w:val="ListNumber"/>
      </w:pPr>
      <w:r>
        <w:rPr>
          <w:rFonts w:ascii="Calibri" w:hAnsi="Calibri" w:eastAsia="微软雅黑"/>
          <w:b/>
          <w:i w:val="0"/>
          <w:sz w:val="22"/>
        </w:rPr>
        <w:t>步骤3：比对"凭证单"资金与发票流水</w:t>
      </w:r>
      <w:r>
        <w:rPr>
          <w:rFonts w:ascii="Calibri" w:hAnsi="Calibri" w:eastAsia="微软雅黑"/>
          <w:b w:val="0"/>
          <w:i w:val="0"/>
          <w:sz w:val="22"/>
        </w:rPr>
        <w:t>。将结算单金额与财务部门当年累计开票金额及收款进账单交叉勾稽，对偏差部分由项目经理出具书面情况说明（如业主开票流程滞后），确保证据链闭环（本研究方法论建议）。</w:t>
      </w:r>
    </w:p>
    <w:p>
      <w:pPr>
        <w:pStyle w:val="ListNumber"/>
      </w:pPr>
      <w:r>
        <w:rPr>
          <w:rFonts w:ascii="Calibri" w:hAnsi="Calibri" w:eastAsia="微软雅黑"/>
          <w:b/>
          <w:i w:val="0"/>
          <w:sz w:val="22"/>
        </w:rPr>
        <w:t>步骤4：执行"依法分包与转包"剥离扣除</w:t>
      </w:r>
      <w:r>
        <w:rPr>
          <w:rFonts w:ascii="Calibri" w:hAnsi="Calibri" w:eastAsia="微软雅黑"/>
          <w:b w:val="0"/>
          <w:i w:val="0"/>
          <w:sz w:val="22"/>
        </w:rPr>
        <w:t>。对依法专业分包核对分包商资质；发现设计或主体施工违规转包的，必须将对应金额从申报营业额中剔除 (P000112)。</w:t>
      </w:r>
    </w:p>
    <w:p>
      <w:pPr>
        <w:pStyle w:val="ListNumber"/>
      </w:pPr>
      <w:r>
        <w:rPr>
          <w:rFonts w:ascii="Calibri" w:hAnsi="Calibri" w:eastAsia="微软雅黑"/>
          <w:b/>
          <w:i w:val="0"/>
          <w:sz w:val="22"/>
        </w:rPr>
        <w:t>步骤5：编制《口径穿透审计报告》并归档</w:t>
      </w:r>
      <w:r>
        <w:rPr>
          <w:rFonts w:ascii="Calibri" w:hAnsi="Calibri" w:eastAsia="微软雅黑"/>
          <w:b w:val="0"/>
          <w:i w:val="0"/>
          <w:sz w:val="22"/>
        </w:rPr>
        <w:t>。由企业内部审计或合规部门出具审计意见，对表三、表五的最终申报数额进行合规签字担保，确保行业协会抽查复核时能快速提供完备举证材料 (P000112)。</w:t>
      </w:r>
    </w:p>
    <w:p>
      <w:r>
        <w:rPr>
          <w:rFonts w:ascii="Calibri" w:hAnsi="Calibri" w:eastAsia="微软雅黑"/>
          <w:b w:val="0"/>
          <w:i w:val="0"/>
          <w:sz w:val="22"/>
        </w:rPr>
        <w:t>---</w:t>
      </w:r>
    </w:p>
    <w:p>
      <w:pPr>
        <w:pStyle w:val="Heading2"/>
      </w:pPr>
      <w:r>
        <w:t>2.3 转化时滞：从"中标签约"到"统计营业额"与"财务营收"的传导机制</w:t>
      </w:r>
    </w:p>
    <w:p>
      <w:pPr>
        <w:pStyle w:val="Heading3"/>
      </w:pPr>
      <w:r>
        <w:t>2.3.1 订单转化三阶段时滞模型</w:t>
      </w:r>
    </w:p>
    <w:p>
      <w:r>
        <w:rPr>
          <w:rFonts w:ascii="Calibri" w:hAnsi="Calibri" w:eastAsia="微软雅黑"/>
          <w:b w:val="0"/>
          <w:i w:val="0"/>
          <w:sz w:val="22"/>
        </w:rPr>
        <w:t>工程总承包项目具有建设周期长、投资金额大、涉及环节多等特点，这决定了从"市场中标签约"到"转换为中设协统计营业额"，再到"确认财务营业收入"存在着显著的时间滞后。通常，一个标准的EPC总承包项目遵循三阶段转化周期（本模型为本研究归纳的方法论框架，阶段时长为行业经验区间示意，随项目类型差异较大）：</w:t>
      </w:r>
    </w:p>
    <w:p>
      <w:pPr>
        <w:pStyle w:val="ListNumber"/>
      </w:pPr>
      <w:r>
        <w:rPr>
          <w:rFonts w:ascii="Calibri" w:hAnsi="Calibri" w:eastAsia="微软雅黑"/>
          <w:b/>
          <w:i w:val="0"/>
          <w:sz w:val="22"/>
        </w:rPr>
        <w:t>阶段一：签约至开工转化滞后期（约3-6个月，示意性复盘 own_calc）</w:t>
      </w:r>
      <w:r>
        <w:rPr>
          <w:rFonts w:ascii="Calibri" w:hAnsi="Calibri" w:eastAsia="微软雅黑"/>
          <w:b w:val="0"/>
          <w:i w:val="0"/>
          <w:sz w:val="22"/>
        </w:rPr>
        <w:t>。企业中标并签署EPC合同后，并不能立即产生营业额。项目需经历施工图设计、设备长周期订货、现场"三通一平"、办理施工许可证等前置环节。在此阶段，新签合同额仅作为企业的"订单储备"。</w:t>
      </w:r>
    </w:p>
    <w:p>
      <w:pPr>
        <w:pStyle w:val="ListNumber"/>
      </w:pPr>
      <w:r>
        <w:rPr>
          <w:rFonts w:ascii="Calibri" w:hAnsi="Calibri" w:eastAsia="微软雅黑"/>
          <w:b/>
          <w:i w:val="0"/>
          <w:sz w:val="22"/>
        </w:rPr>
        <w:t>阶段二：建造高峰与统计营业额转化期（大型项目约12-36个月，示意性复盘 own_calc）</w:t>
      </w:r>
      <w:r>
        <w:rPr>
          <w:rFonts w:ascii="Calibri" w:hAnsi="Calibri" w:eastAsia="微软雅黑"/>
          <w:b w:val="0"/>
          <w:i w:val="0"/>
          <w:sz w:val="22"/>
        </w:rPr>
        <w:t>。随着项目进入土建施工、设备安装与调试阶段，现场工程投资快速释放。企业按月或按季度由监理及业主签认工程完成量——这一阶段是转化为中设协"总承包营业额"的核心窗口期 (P000112)。华东院年上百个在建EPC项目同时处于该阶段，支撑起超450亿元的年统计营业额（本句为本研究解读）(P000106)。</w:t>
      </w:r>
    </w:p>
    <w:p>
      <w:pPr>
        <w:pStyle w:val="ListNumber"/>
      </w:pPr>
      <w:r>
        <w:rPr>
          <w:rFonts w:ascii="Calibri" w:hAnsi="Calibri" w:eastAsia="微软雅黑"/>
          <w:b/>
          <w:i w:val="0"/>
          <w:sz w:val="22"/>
        </w:rPr>
        <w:t>阶段三：计量签认至财务收入确认滞后期（约1-3个月，示意性复盘 own_calc）</w:t>
      </w:r>
      <w:r>
        <w:rPr>
          <w:rFonts w:ascii="Calibri" w:hAnsi="Calibri" w:eastAsia="微软雅黑"/>
          <w:b w:val="0"/>
          <w:i w:val="0"/>
          <w:sz w:val="22"/>
        </w:rPr>
        <w:t>。现场完成的工程量需经过业主严苛的计量结算审核，并取得符合收入准则要求的履约进度凭证后，财务部门方可确认当期法定营业收入。因此会计确认的时点通常落在现场进度与统计申报之后。</w:t>
      </w:r>
    </w:p>
    <w:p>
      <w:r>
        <w:rPr>
          <w:rFonts w:ascii="Calibri" w:hAnsi="Calibri" w:eastAsia="微软雅黑"/>
          <w:b w:val="0"/>
          <w:i w:val="0"/>
          <w:sz w:val="22"/>
        </w:rPr>
        <w:t>三阶段模型的管理价值不在精确预测天数，而在把"订单-产值-营收"链条上的责任切给明确的部门与明确的节点（本研究方法论建议）。落地时建议配三张简单表格：第一张是新签合同台账（签约日、合同额、预计开工日），第二张是月度产值签认台账（当月签认产值、累计签认产值、未签认原因），第三张是收入确认对照台账（统计完成额、财务确认额、差异说明）。三张表每月由经营部门对齐一次，转化时滞就从"感觉"变成了"可管理的水位"。凡是月度签认连续两期低于现场形象进度的项目，就应触发专项督办——签认滞后不仅是统计问题，更是回款与收入确认的双重前置风险（此为本研究拟定的操作建议）。</w:t>
      </w:r>
    </w:p>
    <w:p>
      <w:pPr>
        <w:pStyle w:val="Heading3"/>
      </w:pPr>
      <w:r>
        <w:t>2.3.2 标杆企业转化时滞实证剖析（数据-动作-结果）</w:t>
      </w:r>
    </w:p>
    <w:p>
      <w:r>
        <w:rPr>
          <w:rFonts w:ascii="Calibri" w:hAnsi="Calibri" w:eastAsia="微软雅黑"/>
          <w:b/>
          <w:i w:val="0"/>
          <w:sz w:val="22"/>
        </w:rPr>
        <w:t>案例一：湖南院（订单储备转化为营收的时滞穿透，全称见2.1.4案例二）</w:t>
      </w:r>
    </w:p>
    <w:p>
      <w:pPr>
        <w:pStyle w:val="ListBullet"/>
      </w:pPr>
      <w:r>
        <w:rPr>
          <w:rFonts w:ascii="Calibri" w:hAnsi="Calibri" w:eastAsia="微软雅黑"/>
          <w:b/>
          <w:i w:val="0"/>
          <w:sz w:val="22"/>
        </w:rPr>
        <w:t>数据</w:t>
      </w:r>
      <w:r>
        <w:rPr>
          <w:rFonts w:ascii="Calibri" w:hAnsi="Calibri" w:eastAsia="微软雅黑"/>
          <w:b w:val="0"/>
          <w:i w:val="0"/>
          <w:sz w:val="22"/>
        </w:rPr>
        <w:t>：其中标项目个数、中标总金额与当年度法定营业收入之间的悬殊对照，已完整列示于2.1.4案例二，本节不再重复抄录同一组数字，仅聚焦其时间维度的含义 (P000125)。</w:t>
      </w:r>
    </w:p>
    <w:p>
      <w:pPr>
        <w:pStyle w:val="ListBullet"/>
      </w:pPr>
      <w:r>
        <w:rPr>
          <w:rFonts w:ascii="Calibri" w:hAnsi="Calibri" w:eastAsia="微软雅黑"/>
          <w:b/>
          <w:i w:val="0"/>
          <w:sz w:val="22"/>
        </w:rPr>
        <w:t>动作</w:t>
      </w:r>
      <w:r>
        <w:rPr>
          <w:rFonts w:ascii="Calibri" w:hAnsi="Calibri" w:eastAsia="微软雅黑"/>
          <w:b w:val="0"/>
          <w:i w:val="0"/>
          <w:sz w:val="22"/>
        </w:rPr>
        <w:t>：面对储备订单与当期确认收入之间漫长的兑现周期，湖南院建立"新签订单-开工率-月度产值-财务结算"链条式管理，针对大型EPC总承包项目设立专班推进设计报审与采购招标，压缩从画押到进场的前置等待（本条为本研究基于其经营数据的机制归纳）(P000125)。</w:t>
      </w:r>
    </w:p>
    <w:p>
      <w:pPr>
        <w:pStyle w:val="ListBullet"/>
      </w:pPr>
      <w:r>
        <w:rPr>
          <w:rFonts w:ascii="Calibri" w:hAnsi="Calibri" w:eastAsia="微软雅黑"/>
          <w:b/>
          <w:i w:val="0"/>
          <w:sz w:val="22"/>
        </w:rPr>
        <w:t>结果</w:t>
      </w:r>
      <w:r>
        <w:rPr>
          <w:rFonts w:ascii="Calibri" w:hAnsi="Calibri" w:eastAsia="微软雅黑"/>
          <w:b w:val="0"/>
          <w:i w:val="0"/>
          <w:sz w:val="22"/>
        </w:rPr>
        <w:t>：将体量可观的在手订单有节奏地滚动为后续年度的中设协申报数与会计账面收入，为企业未来数年的增长确定性上了双保险（本研究解读）。</w:t>
      </w:r>
    </w:p>
    <w:p>
      <w:r>
        <w:rPr>
          <w:rFonts w:ascii="Calibri" w:hAnsi="Calibri" w:eastAsia="微软雅黑"/>
          <w:b/>
          <w:i w:val="0"/>
          <w:sz w:val="22"/>
        </w:rPr>
        <w:t>案例二：中城科泽（高频中小项目极速转化标杆，全称见2.1.4案例三）</w:t>
      </w:r>
    </w:p>
    <w:p>
      <w:pPr>
        <w:pStyle w:val="ListBullet"/>
      </w:pPr>
      <w:r>
        <w:rPr>
          <w:rFonts w:ascii="Calibri" w:hAnsi="Calibri" w:eastAsia="微软雅黑"/>
          <w:b/>
          <w:i w:val="0"/>
          <w:sz w:val="22"/>
        </w:rPr>
        <w:t>数据</w:t>
      </w:r>
      <w:r>
        <w:rPr>
          <w:rFonts w:ascii="Calibri" w:hAnsi="Calibri" w:eastAsia="微软雅黑"/>
          <w:b w:val="0"/>
          <w:i w:val="0"/>
          <w:sz w:val="22"/>
        </w:rPr>
        <w:t>：该企业历次中标排名、营收体量与EPC收入占比的原始数字已详列于2.1.4案例三 (P000130)，本节换一个切口——只看其转化速度对经营节奏的改变。</w:t>
      </w:r>
    </w:p>
    <w:p>
      <w:pPr>
        <w:pStyle w:val="ListBullet"/>
      </w:pPr>
      <w:r>
        <w:rPr>
          <w:rFonts w:ascii="Calibri" w:hAnsi="Calibri" w:eastAsia="微软雅黑"/>
          <w:b/>
          <w:i w:val="0"/>
          <w:sz w:val="22"/>
        </w:rPr>
        <w:t>动作</w:t>
      </w:r>
      <w:r>
        <w:rPr>
          <w:rFonts w:ascii="Calibri" w:hAnsi="Calibri" w:eastAsia="微软雅黑"/>
          <w:b w:val="0"/>
          <w:i w:val="0"/>
          <w:sz w:val="22"/>
        </w:rPr>
        <w:t>：聚焦建设周期较短的中小型EPC及改造工程，采取"模块化设计+标准化采购+敏捷施工交付"策略，把从画押到进场、从进场到产值签认两段等待压到行业罕见水平（本条为本研究基于其赛道特征的机制归纳）(P000130)。</w:t>
      </w:r>
    </w:p>
    <w:p>
      <w:pPr>
        <w:pStyle w:val="ListBullet"/>
      </w:pPr>
      <w:r>
        <w:rPr>
          <w:rFonts w:ascii="Calibri" w:hAnsi="Calibri" w:eastAsia="微软雅黑"/>
          <w:b/>
          <w:i w:val="0"/>
          <w:sz w:val="22"/>
        </w:rPr>
        <w:t>结果</w:t>
      </w:r>
      <w:r>
        <w:rPr>
          <w:rFonts w:ascii="Calibri" w:hAnsi="Calibri" w:eastAsia="微软雅黑"/>
          <w:b w:val="0"/>
          <w:i w:val="0"/>
          <w:sz w:val="22"/>
        </w:rPr>
        <w:t>：转化时滞被压扁之后，单季积累的订单势能可以在同一会计年度内兑现为榜单位次与现金回流，经营计划因此从"以年为单位"细化为"以季为单位"（本研究解读）(P000130)。</w:t>
      </w:r>
    </w:p>
    <w:p>
      <w:pPr>
        <w:pStyle w:val="Heading3"/>
      </w:pPr>
      <w:r>
        <w:t>2.3.3 可执行方法论：企业"订单-产值-营收"转化效率提升四步法</w:t>
      </w:r>
    </w:p>
    <w:p>
      <w:r>
        <w:rPr>
          <w:rFonts w:ascii="Calibri" w:hAnsi="Calibri" w:eastAsia="微软雅黑"/>
          <w:b w:val="0"/>
          <w:i w:val="0"/>
          <w:sz w:val="22"/>
        </w:rPr>
        <w:t>为了缩短订单转化时滞、提高资金与产值周转效率，企业应采取以下标准化管理步骤（本研究方法论建议）：</w:t>
      </w:r>
    </w:p>
    <w:p>
      <w:pPr>
        <w:pStyle w:val="ListNumber"/>
      </w:pPr>
      <w:r>
        <w:rPr>
          <w:rFonts w:ascii="Calibri" w:hAnsi="Calibri" w:eastAsia="微软雅黑"/>
          <w:b/>
          <w:i w:val="0"/>
          <w:sz w:val="22"/>
        </w:rPr>
        <w:t>步骤1：构建项目转化周期"时间轴预警看板"</w:t>
      </w:r>
      <w:r>
        <w:rPr>
          <w:rFonts w:ascii="Calibri" w:hAnsi="Calibri" w:eastAsia="微软雅黑"/>
          <w:b w:val="0"/>
          <w:i w:val="0"/>
          <w:sz w:val="22"/>
        </w:rPr>
        <w:t>。对所有新签EPC合同实施分级管控，设定签约（T0）、开工（T1）、产值高峰（T2）、竣工（T3）标准节点；项目签约后超期未开工的，自动触发预警，由经营部与技术部介入协调前置手续。</w:t>
      </w:r>
    </w:p>
    <w:p>
      <w:pPr>
        <w:pStyle w:val="ListNumber"/>
      </w:pPr>
      <w:r>
        <w:rPr>
          <w:rFonts w:ascii="Calibri" w:hAnsi="Calibri" w:eastAsia="微软雅黑"/>
          <w:b/>
          <w:i w:val="0"/>
          <w:sz w:val="22"/>
        </w:rPr>
        <w:t>步骤2：推动"设计与采购深度交织"</w:t>
      </w:r>
      <w:r>
        <w:rPr>
          <w:rFonts w:ascii="Calibri" w:hAnsi="Calibri" w:eastAsia="微软雅黑"/>
          <w:b w:val="0"/>
          <w:i w:val="0"/>
          <w:sz w:val="22"/>
        </w:rPr>
        <w:t>。在设计阶段即引入采购与施工团队，推行长周期设备早期锁定与清单预发布；在施工图未完全出齐前先期完成设备招标与场地平整，将传统串行流程改为并行流程（行业通行做法，本研究归纳）。</w:t>
      </w:r>
    </w:p>
    <w:p>
      <w:pPr>
        <w:pStyle w:val="ListNumber"/>
      </w:pPr>
      <w:r>
        <w:rPr>
          <w:rFonts w:ascii="Calibri" w:hAnsi="Calibri" w:eastAsia="微软雅黑"/>
          <w:b/>
          <w:i w:val="0"/>
          <w:sz w:val="22"/>
        </w:rPr>
        <w:t>步骤3：建立"月度产值现场即时签认制度"</w:t>
      </w:r>
      <w:r>
        <w:rPr>
          <w:rFonts w:ascii="Calibri" w:hAnsi="Calibri" w:eastAsia="微软雅黑"/>
          <w:b w:val="0"/>
          <w:i w:val="0"/>
          <w:sz w:val="22"/>
        </w:rPr>
        <w:t>。项目部配备专职造价与产值管理员，按月完成与监理及业主的工程量签认，杜绝"干完活不签单、年终集中补签"，确保表五申报数据有据可查、按期归集 (P000112)。</w:t>
      </w:r>
    </w:p>
    <w:p>
      <w:pPr>
        <w:pStyle w:val="ListNumber"/>
      </w:pPr>
      <w:r>
        <w:rPr>
          <w:rFonts w:ascii="Calibri" w:hAnsi="Calibri" w:eastAsia="微软雅黑"/>
          <w:b/>
          <w:i w:val="0"/>
          <w:sz w:val="22"/>
        </w:rPr>
        <w:t>步骤4：实施"财税与结算联动拉通机制"</w:t>
      </w:r>
      <w:r>
        <w:rPr>
          <w:rFonts w:ascii="Calibri" w:hAnsi="Calibri" w:eastAsia="微软雅黑"/>
          <w:b w:val="0"/>
          <w:i w:val="0"/>
          <w:sz w:val="22"/>
        </w:rPr>
        <w:t>。财务部门根据现场签认进度单，同步跟进税务开票与履约进度收入确认，压缩"现场工程量"向"法定财务营收"的转化时滞，提升资金周转速度与财务报表质量。</w:t>
      </w:r>
    </w:p>
    <w:p>
      <w:r>
        <w:rPr>
          <w:rFonts w:ascii="Calibri" w:hAnsi="Calibri" w:eastAsia="微软雅黑"/>
          <w:b w:val="0"/>
          <w:i w:val="0"/>
          <w:sz w:val="22"/>
        </w:rPr>
        <w:t>四步之上还须补一层治理安排：预警看板必须有人在看，否则再灵敏的仪表也只是墙上的装饰。可行的做法是为看板指定单一责任人——通常是企业经营部门的负责人——并规定其每月向经营班子报送红黄两色项目的清单与处置进展；连续两月呈红色而无人认领的项目，自动升格为一把手督办事项。指标、责任人、升级机制三件齐备，时滞管理才算真正进入企业的日常运转（以上为本研究设计的操作要领）。</w:t>
      </w:r>
    </w:p>
    <w:p>
      <w:r>
        <w:rPr>
          <w:rFonts w:ascii="Calibri" w:hAnsi="Calibri" w:eastAsia="微软雅黑"/>
          <w:b w:val="0"/>
          <w:i w:val="0"/>
          <w:sz w:val="22"/>
        </w:rPr>
        <w:t>---</w:t>
      </w:r>
    </w:p>
    <w:p>
      <w:pPr>
        <w:pStyle w:val="Heading2"/>
      </w:pPr>
      <w:r>
        <w:t>2.4 位次洗牌：TOP50榜单动态演变与企业战略路径选择</w:t>
      </w:r>
    </w:p>
    <w:p>
      <w:pPr>
        <w:pStyle w:val="Heading3"/>
      </w:pPr>
      <w:r>
        <w:t>2.4.1 三年榜单数据纵向对比与总体洗牌格局解构</w:t>
      </w:r>
    </w:p>
    <w:p>
      <w:r>
        <w:rPr>
          <w:rFonts w:ascii="Calibri" w:hAnsi="Calibri" w:eastAsia="微软雅黑"/>
          <w:b w:val="0"/>
          <w:i w:val="0"/>
          <w:sz w:val="22"/>
        </w:rPr>
        <w:t>中国勘察设计协会公布的2023年、2024年与2025年全国勘察设计企业工程项目管理和工程总承包营业额排名数据，直观展现了我国总承包市场的竞争演变与格局洗牌 (P000105, P000106, P000113)。</w:t>
      </w:r>
    </w:p>
    <w:p>
      <w:pPr>
        <w:pStyle w:val="Heading4"/>
      </w:pPr>
      <w:r>
        <w:t>表2-2 2023至2025年发布榜单核心指标动态对比 (P000105, P000113, P000106, P000101, P000110)</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指标维度</w:t>
            </w:r>
          </w:p>
        </w:tc>
        <w:tc>
          <w:tcPr>
            <w:tcW w:type="dxa" w:w="2075"/>
            <w:shd w:fill="1F3A5F"/>
          </w:tcPr>
          <w:p>
            <w:r>
              <w:rPr>
                <w:color w:val="FFFFFF"/>
              </w:rPr>
            </w:r>
            <w:r>
              <w:rPr>
                <w:rFonts w:ascii="Calibri" w:hAnsi="Calibri" w:eastAsia="微软雅黑"/>
                <w:b/>
                <w:i w:val="0"/>
                <w:color w:val="FFFFFF"/>
                <w:sz w:val="18"/>
              </w:rPr>
              <w:t>2023年发布（2022年度业绩）</w:t>
            </w:r>
          </w:p>
        </w:tc>
        <w:tc>
          <w:tcPr>
            <w:tcW w:type="dxa" w:w="2075"/>
            <w:shd w:fill="1F3A5F"/>
          </w:tcPr>
          <w:p>
            <w:r>
              <w:rPr>
                <w:color w:val="FFFFFF"/>
              </w:rPr>
            </w:r>
            <w:r>
              <w:rPr>
                <w:rFonts w:ascii="Calibri" w:hAnsi="Calibri" w:eastAsia="微软雅黑"/>
                <w:b/>
                <w:i w:val="0"/>
                <w:color w:val="FFFFFF"/>
                <w:sz w:val="18"/>
              </w:rPr>
              <w:t>2024年发布（2023年度业绩）</w:t>
            </w:r>
          </w:p>
        </w:tc>
        <w:tc>
          <w:tcPr>
            <w:tcW w:type="dxa" w:w="2075"/>
            <w:shd w:fill="1F3A5F"/>
          </w:tcPr>
          <w:p>
            <w:r>
              <w:rPr>
                <w:color w:val="FFFFFF"/>
              </w:rPr>
            </w:r>
            <w:r>
              <w:rPr>
                <w:rFonts w:ascii="Calibri" w:hAnsi="Calibri" w:eastAsia="微软雅黑"/>
                <w:b/>
                <w:i w:val="0"/>
                <w:color w:val="FFFFFF"/>
                <w:sz w:val="18"/>
              </w:rPr>
              <w:t>2025年发布（2024年度业绩）</w:t>
            </w:r>
          </w:p>
        </w:tc>
      </w:tr>
      <w:tr>
        <w:tc>
          <w:tcPr>
            <w:tcW w:type="dxa" w:w="2075"/>
          </w:tcPr>
          <w:p>
            <w:r/>
            <w:r>
              <w:rPr>
                <w:rFonts w:ascii="Calibri" w:hAnsi="Calibri" w:eastAsia="微软雅黑"/>
                <w:b w:val="0"/>
                <w:i w:val="0"/>
                <w:sz w:val="18"/>
              </w:rPr>
              <w:t>工程总承包上榜企业数</w:t>
            </w:r>
          </w:p>
        </w:tc>
        <w:tc>
          <w:tcPr>
            <w:tcW w:type="dxa" w:w="2075"/>
          </w:tcPr>
          <w:p>
            <w:r/>
            <w:r>
              <w:rPr>
                <w:rFonts w:ascii="Calibri" w:hAnsi="Calibri" w:eastAsia="微软雅黑"/>
                <w:b w:val="0"/>
                <w:i w:val="0"/>
                <w:sz w:val="18"/>
              </w:rPr>
              <w:t>186家 [来源: P000105]</w:t>
            </w:r>
          </w:p>
        </w:tc>
        <w:tc>
          <w:tcPr>
            <w:tcW w:type="dxa" w:w="2075"/>
          </w:tcPr>
          <w:p>
            <w:r/>
            <w:r>
              <w:rPr>
                <w:rFonts w:ascii="Calibri" w:hAnsi="Calibri" w:eastAsia="微软雅黑"/>
                <w:b w:val="0"/>
                <w:i w:val="0"/>
                <w:sz w:val="18"/>
              </w:rPr>
              <w:t>183家 [来源: P000113]</w:t>
            </w:r>
          </w:p>
        </w:tc>
        <w:tc>
          <w:tcPr>
            <w:tcW w:type="dxa" w:w="2075"/>
          </w:tcPr>
          <w:p>
            <w:r/>
            <w:r>
              <w:rPr>
                <w:rFonts w:ascii="Calibri" w:hAnsi="Calibri" w:eastAsia="微软雅黑"/>
                <w:b w:val="0"/>
                <w:i w:val="0"/>
                <w:sz w:val="18"/>
              </w:rPr>
              <w:t>178家 [来源: P000106]</w:t>
            </w:r>
          </w:p>
        </w:tc>
      </w:tr>
      <w:tr>
        <w:tc>
          <w:tcPr>
            <w:tcW w:type="dxa" w:w="2075"/>
          </w:tcPr>
          <w:p>
            <w:r/>
            <w:r>
              <w:rPr>
                <w:rFonts w:ascii="Calibri" w:hAnsi="Calibri" w:eastAsia="微软雅黑"/>
                <w:b w:val="0"/>
                <w:i w:val="0"/>
                <w:sz w:val="18"/>
              </w:rPr>
              <w:t>总承包榜首企业及营业额</w:t>
            </w:r>
          </w:p>
        </w:tc>
        <w:tc>
          <w:tcPr>
            <w:tcW w:type="dxa" w:w="2075"/>
          </w:tcPr>
          <w:p>
            <w:r/>
            <w:r>
              <w:rPr>
                <w:rFonts w:ascii="Calibri" w:hAnsi="Calibri" w:eastAsia="微软雅黑"/>
                <w:b w:val="0"/>
                <w:i w:val="0"/>
                <w:sz w:val="18"/>
              </w:rPr>
              <w:t>中国电建华东院 4,447,229万元 [来源: P000105]</w:t>
            </w:r>
          </w:p>
        </w:tc>
        <w:tc>
          <w:tcPr>
            <w:tcW w:type="dxa" w:w="2075"/>
          </w:tcPr>
          <w:p>
            <w:r/>
            <w:r>
              <w:rPr>
                <w:rFonts w:ascii="Calibri" w:hAnsi="Calibri" w:eastAsia="微软雅黑"/>
                <w:b w:val="0"/>
                <w:i w:val="0"/>
                <w:sz w:val="18"/>
              </w:rPr>
              <w:t>中国电建华东院 4,424,524万元 [来源: P000113]</w:t>
            </w:r>
          </w:p>
        </w:tc>
        <w:tc>
          <w:tcPr>
            <w:tcW w:type="dxa" w:w="2075"/>
          </w:tcPr>
          <w:p>
            <w:r/>
            <w:r>
              <w:rPr>
                <w:rFonts w:ascii="Calibri" w:hAnsi="Calibri" w:eastAsia="微软雅黑"/>
                <w:b w:val="0"/>
                <w:i w:val="0"/>
                <w:sz w:val="18"/>
              </w:rPr>
              <w:t>中国电建华东院 4,549,202万元 [来源: P000106]</w:t>
            </w:r>
          </w:p>
        </w:tc>
      </w:tr>
      <w:tr>
        <w:tc>
          <w:tcPr>
            <w:tcW w:type="dxa" w:w="2075"/>
          </w:tcPr>
          <w:p>
            <w:r/>
            <w:r>
              <w:rPr>
                <w:rFonts w:ascii="Calibri" w:hAnsi="Calibri" w:eastAsia="微软雅黑"/>
                <w:b w:val="0"/>
                <w:i w:val="0"/>
                <w:sz w:val="18"/>
              </w:rPr>
              <w:t>工程项目管理榜首</w:t>
            </w:r>
          </w:p>
        </w:tc>
        <w:tc>
          <w:tcPr>
            <w:tcW w:type="dxa" w:w="2075"/>
          </w:tcPr>
          <w:p>
            <w:r/>
            <w:r>
              <w:rPr>
                <w:rFonts w:ascii="Calibri" w:hAnsi="Calibri" w:eastAsia="微软雅黑"/>
                <w:b w:val="0"/>
                <w:i w:val="0"/>
                <w:sz w:val="18"/>
              </w:rPr>
              <w:t>中石化工程建设 186,585万元（92家）[来源: P000105]</w:t>
            </w:r>
          </w:p>
        </w:tc>
        <w:tc>
          <w:tcPr>
            <w:tcW w:type="dxa" w:w="2075"/>
          </w:tcPr>
          <w:p>
            <w:r/>
            <w:r>
              <w:rPr>
                <w:rFonts w:ascii="Calibri" w:hAnsi="Calibri" w:eastAsia="微软雅黑"/>
                <w:b w:val="0"/>
                <w:i w:val="0"/>
                <w:sz w:val="18"/>
              </w:rPr>
              <w:t>中石化工程建设 150,154万元（88家）[来源: P000113]</w:t>
            </w:r>
          </w:p>
        </w:tc>
        <w:tc>
          <w:tcPr>
            <w:tcW w:type="dxa" w:w="2075"/>
          </w:tcPr>
          <w:p>
            <w:r/>
            <w:r>
              <w:rPr>
                <w:rFonts w:ascii="Calibri" w:hAnsi="Calibri" w:eastAsia="微软雅黑"/>
                <w:b w:val="0"/>
                <w:i w:val="0"/>
                <w:sz w:val="18"/>
              </w:rPr>
              <w:t>中石化工程建设 150,171万元（90家）[来源: P000106]</w:t>
            </w:r>
          </w:p>
        </w:tc>
      </w:tr>
      <w:tr>
        <w:tc>
          <w:tcPr>
            <w:tcW w:type="dxa" w:w="2075"/>
          </w:tcPr>
          <w:p>
            <w:r/>
            <w:r>
              <w:rPr>
                <w:rFonts w:ascii="Calibri" w:hAnsi="Calibri" w:eastAsia="微软雅黑"/>
                <w:b w:val="0"/>
                <w:i w:val="0"/>
                <w:sz w:val="18"/>
              </w:rPr>
              <w:t>境外总承包榜首</w:t>
            </w:r>
          </w:p>
        </w:tc>
        <w:tc>
          <w:tcPr>
            <w:tcW w:type="dxa" w:w="2075"/>
          </w:tcPr>
          <w:p>
            <w:r/>
            <w:r>
              <w:rPr>
                <w:rFonts w:ascii="Calibri" w:hAnsi="Calibri" w:eastAsia="微软雅黑"/>
                <w:b w:val="0"/>
                <w:i w:val="0"/>
                <w:sz w:val="18"/>
              </w:rPr>
              <w:t>中国石油工程建设 1,315,651万元（74家）[来源: P000105]</w:t>
            </w:r>
          </w:p>
        </w:tc>
        <w:tc>
          <w:tcPr>
            <w:tcW w:type="dxa" w:w="2075"/>
          </w:tcPr>
          <w:p>
            <w:r/>
            <w:r>
              <w:rPr>
                <w:rFonts w:ascii="Calibri" w:hAnsi="Calibri" w:eastAsia="微软雅黑"/>
                <w:b w:val="0"/>
                <w:i w:val="0"/>
                <w:sz w:val="18"/>
              </w:rPr>
              <w:t>中国石油工程建设 1,373,262万元（79家）[来源: P000113]</w:t>
            </w:r>
          </w:p>
        </w:tc>
        <w:tc>
          <w:tcPr>
            <w:tcW w:type="dxa" w:w="2075"/>
          </w:tcPr>
          <w:p>
            <w:r/>
            <w:r>
              <w:rPr>
                <w:rFonts w:ascii="Calibri" w:hAnsi="Calibri" w:eastAsia="微软雅黑"/>
                <w:b w:val="0"/>
                <w:i w:val="0"/>
                <w:sz w:val="18"/>
              </w:rPr>
              <w:t>中国中材国际 1,402,850万元（79家）[来源: P000106]</w:t>
            </w:r>
          </w:p>
        </w:tc>
      </w:tr>
      <w:tr>
        <w:tc>
          <w:tcPr>
            <w:tcW w:type="dxa" w:w="2075"/>
          </w:tcPr>
          <w:p>
            <w:r/>
            <w:r>
              <w:rPr>
                <w:rFonts w:ascii="Calibri" w:hAnsi="Calibri" w:eastAsia="微软雅黑"/>
                <w:b w:val="0"/>
                <w:i w:val="0"/>
                <w:sz w:val="18"/>
              </w:rPr>
              <w:t>境外项目管理榜首</w:t>
            </w:r>
          </w:p>
        </w:tc>
        <w:tc>
          <w:tcPr>
            <w:tcW w:type="dxa" w:w="2075"/>
          </w:tcPr>
          <w:p>
            <w:r/>
            <w:r>
              <w:rPr>
                <w:rFonts w:ascii="Calibri" w:hAnsi="Calibri" w:eastAsia="微软雅黑"/>
                <w:b w:val="0"/>
                <w:i w:val="0"/>
                <w:sz w:val="18"/>
              </w:rPr>
              <w:t>中国铁路设计集团 37,515万元（42家）[来源: P000105]</w:t>
            </w:r>
          </w:p>
        </w:tc>
        <w:tc>
          <w:tcPr>
            <w:tcW w:type="dxa" w:w="2075"/>
          </w:tcPr>
          <w:p>
            <w:r/>
            <w:r>
              <w:rPr>
                <w:rFonts w:ascii="Calibri" w:hAnsi="Calibri" w:eastAsia="微软雅黑"/>
                <w:b w:val="0"/>
                <w:i w:val="0"/>
                <w:sz w:val="18"/>
              </w:rPr>
              <w:t>中国铁路设计集团 25,029万元（39家）[来源: P000113]</w:t>
            </w:r>
          </w:p>
        </w:tc>
        <w:tc>
          <w:tcPr>
            <w:tcW w:type="dxa" w:w="2075"/>
          </w:tcPr>
          <w:p>
            <w:r/>
            <w:r>
              <w:rPr>
                <w:rFonts w:ascii="Calibri" w:hAnsi="Calibri" w:eastAsia="微软雅黑"/>
                <w:b w:val="0"/>
                <w:i w:val="0"/>
                <w:sz w:val="18"/>
              </w:rPr>
              <w:t>中国铁路设计集团 26,583万元（43家）[来源: P000106]</w:t>
            </w:r>
          </w:p>
        </w:tc>
      </w:tr>
    </w:tbl>
    <w:p>
      <w:r>
        <w:rPr>
          <w:rFonts w:ascii="Calibri" w:hAnsi="Calibri" w:eastAsia="微软雅黑"/>
          <w:b/>
          <w:i w:val="0"/>
          <w:sz w:val="22"/>
        </w:rPr>
        <w:t>1. 上榜总量持续收缩，市场向头部加速集中</w:t>
      </w:r>
      <w:r>
        <w:rPr>
          <w:rFonts w:ascii="Calibri" w:hAnsi="Calibri" w:eastAsia="微软雅黑"/>
          <w:b w:val="0"/>
          <w:i w:val="0"/>
          <w:sz w:val="22"/>
        </w:rPr>
        <w:t>。工程总承包上榜企业从2023年发布的186家减少至2024年的183家、2025年的178家；境外工程项目管理上榜企业同期在39家至43家间波动 (P000105, P000113, P000106)。这一趋势表明，在宏观固定资产投资结构调整背景下，缺乏核心技术壁垒与大型供应链整合能力的中小设计院正逐步退出行业头部竞争，总承包市场的集中度显著提高（本句后半为本研究解读）。</w:t>
      </w:r>
    </w:p>
    <w:p>
      <w:r>
        <w:rPr>
          <w:rFonts w:ascii="Calibri" w:hAnsi="Calibri" w:eastAsia="微软雅黑"/>
          <w:b w:val="0"/>
          <w:i w:val="0"/>
          <w:sz w:val="22"/>
        </w:rPr>
        <w:t>上榜席位的收缩期往往也是并购窗口的开启期：落榜边缘的企业现金流吃紧、股东耐心耗尽，正是行业整合者出手的时机。收购方此时买入的不只是资质与队伍，还有被收购方历年沉淀的申报记录与项目台账——这些材料能直接缩短买方自己冲击榜单的路径。反过来，处在悬崖边的卖方若能赶在易主前把申报底稿整理清爽，也能在谈判桌上多要一个筹码（本段为本研究解读性判断）。</w:t>
      </w:r>
    </w:p>
    <w:p>
      <w:r>
        <w:rPr>
          <w:rFonts w:ascii="Calibri" w:hAnsi="Calibri" w:eastAsia="微软雅黑"/>
          <w:b/>
          <w:i w:val="0"/>
          <w:sz w:val="22"/>
        </w:rPr>
        <w:t>2. 450亿级领跑者独占鳌头，百亿级梯队呈现极强行业壁垒</w:t>
      </w:r>
      <w:r>
        <w:rPr>
          <w:rFonts w:ascii="Calibri" w:hAnsi="Calibri" w:eastAsia="微软雅黑"/>
          <w:b w:val="0"/>
          <w:i w:val="0"/>
          <w:sz w:val="22"/>
        </w:rPr>
        <w:t>。华东院连续三年稳居榜首，营业额从4,447,229万元小幅调整至4,424,524万元，再逆势攀升至4,549,202万元，拉开与第二名极其显著的差距 (P000105, P000113, P000106)。2023年发布榜单中，主业涉及新能源且突破200亿元的仅华东院与十一科技两家；突破100亿元的企业涵盖中国铁路设计集团（3,503,064万元）、中冶南方（2,606,020万元）、中国石油工程建设（2,387,423万元）、中国核电工程（2,286,021万元）、中石化工程建设（2,108,845万元）、中材国际（2,038,560万元）、中国寰球（2,027,794万元）、铁四院（1,705,823万元）等 (P000101)。百亿级企业高度集中于水利新能源、电力、石化、冶金、铁路等重工业与大型基础设施赛道。</w:t>
      </w:r>
    </w:p>
    <w:p>
      <w:r>
        <w:rPr>
          <w:rFonts w:ascii="Calibri" w:hAnsi="Calibri" w:eastAsia="微软雅黑"/>
          <w:b/>
          <w:i w:val="0"/>
          <w:sz w:val="22"/>
        </w:rPr>
        <w:t>3. 项目管理与境外榜单呈现差异化垄断格局</w:t>
      </w:r>
      <w:r>
        <w:rPr>
          <w:rFonts w:ascii="Calibri" w:hAnsi="Calibri" w:eastAsia="微软雅黑"/>
          <w:b w:val="0"/>
          <w:i w:val="0"/>
          <w:sz w:val="22"/>
        </w:rPr>
        <w:t>。项目管理赛道，中石化工程建设连续三年位居榜首（186,585万元、150,154万元、150,171万元）(P000105, P000113, P000106)；境外总承包赛道，中国石油工程建设在2023年与2024年发布榜单连续登顶（1,315,651万元、1,373,262万元），2025年发布榜单中材国际以1,402,850万元跃居第一 (P000105, P000113, P000106)；境外项目管理榜首则连续三年由中国铁路设计集团锁定（37,515万元、25,029万元、26,583万元）(P000105, P000113, P000106)。</w:t>
      </w:r>
    </w:p>
    <w:p>
      <w:r>
        <w:rPr>
          <w:rFonts w:ascii="Calibri" w:hAnsi="Calibri" w:eastAsia="微软雅黑"/>
          <w:b/>
          <w:i w:val="0"/>
          <w:sz w:val="22"/>
        </w:rPr>
        <w:t>4. 拉长历史景深看境外榜的轮动</w:t>
      </w:r>
      <w:r>
        <w:rPr>
          <w:rFonts w:ascii="Calibri" w:hAnsi="Calibri" w:eastAsia="微软雅黑"/>
          <w:b w:val="0"/>
          <w:i w:val="0"/>
          <w:sz w:val="22"/>
        </w:rPr>
        <w:t>。将时钟拨回2019年榜单：彼时境外总承包榜首正是中材国际（1,422,882万元），中国石油工程建设1,289,897万元居次、中国天辰558,447万元第三 (P000110)。六年之间，境外榜首在"中材国际-中国石油工程建设-中材国际"之间完成一个轮回 (P000110, P000105, P000106)，说明海外水泥工程装备赛道与油气地面工程赛道的景气轮动直接改写榜单头部——境外榜的竞争本质是赛道贝塔与企业阿尔法的叠加（本句为本研究解读）。</w:t>
      </w:r>
    </w:p>
    <w:p>
      <w:r>
        <w:rPr>
          <w:rFonts w:ascii="Calibri" w:hAnsi="Calibri" w:eastAsia="微软雅黑"/>
          <w:b/>
          <w:i w:val="0"/>
          <w:sz w:val="22"/>
        </w:rPr>
        <w:t>5. 中部梯队的"贴身肉搏带"是洗牌最剧烈的地带</w:t>
      </w:r>
      <w:r>
        <w:rPr>
          <w:rFonts w:ascii="Calibri" w:hAnsi="Calibri" w:eastAsia="微软雅黑"/>
          <w:b w:val="0"/>
          <w:i w:val="0"/>
          <w:sz w:val="22"/>
        </w:rPr>
        <w:t>。2023年发布榜单中，第21名（天辰工程1,089,303万元）至第50名（东华科技513,866万元）之间的30家企业，全部挤在57.54亿元的总跨度内（own_calc：1,089,303-513,866=575,437万元），相邻名次的平均营业额差仅约1.92亿元（own_calc：575,437/30）(P000101)。这意味着中部梯队里任何一个大体量项目的年度确认节奏变化，都可能造成三五位的名次起落；反之，对正在冲击TOP50的后备企业而言，一年之内连跳数位并非天方夜谭——门槛带的密集性既是挤压，也是机会（本段为本研究解读）。第51名之后的追赶集团（航空规划总院508,296万元、黄河规划院504,982万元、中机国际500,209万元）与第50名之间仅一步之遥 (P000101)，每年榜单更替最可能发生的正是这一段。</w:t>
      </w:r>
    </w:p>
    <w:p>
      <w:r>
        <w:rPr>
          <w:rFonts w:ascii="Calibri" w:hAnsi="Calibri" w:eastAsia="微软雅黑"/>
          <w:b w:val="0"/>
          <w:i w:val="0"/>
          <w:sz w:val="22"/>
        </w:rPr>
        <w:t>用期权的眼光看这条密集带会更透彻：身处其中的企业等于持有一份免费的位次期权——只要某一年度恰好有一个大项目进入产值确认高峰，行权价便被瞬间击穿，位次跳升；反之，若旗舰项目恰好跨年结转，位次便会无故滑落几个身位。对投资者与竞争对手而言，这意味着单一年度的中部名次几乎不含信息量，连续三年的均值与波动区间才是值得记录的真变量（本段为本研究解读性判断）。</w:t>
      </w:r>
    </w:p>
    <w:p>
      <w:pPr>
        <w:pStyle w:val="Heading3"/>
      </w:pPr>
      <w:r>
        <w:t>2.4.2 TOP50"三大阵营"分化与竞争壁垒剖析</w:t>
      </w:r>
    </w:p>
    <w:p>
      <w:r>
        <w:rPr>
          <w:rFonts w:ascii="Calibri" w:hAnsi="Calibri" w:eastAsia="微软雅黑"/>
          <w:b w:val="0"/>
          <w:i w:val="0"/>
          <w:sz w:val="22"/>
        </w:rPr>
        <w:t>纵观榜单TOP50企业组成，我国总承包市场已清晰演化出"三大阵营"（阵营划分为本研究归纳框架，成员数据均锚定源文）：</w:t>
      </w:r>
    </w:p>
    <w:p>
      <w:r>
        <w:rPr>
          <w:rFonts w:ascii="Calibri" w:hAnsi="Calibri" w:eastAsia="微软雅黑"/>
          <w:b/>
          <w:i w:val="0"/>
          <w:sz w:val="22"/>
        </w:rPr>
        <w:t>阵营一：工业、能源与重化工央企顶级设计院（第一梯队主力）</w:t>
      </w:r>
    </w:p>
    <w:p>
      <w:pPr>
        <w:pStyle w:val="ListBullet"/>
      </w:pPr>
      <w:r>
        <w:rPr>
          <w:rFonts w:ascii="Calibri" w:hAnsi="Calibri" w:eastAsia="微软雅黑"/>
          <w:b/>
          <w:i w:val="0"/>
          <w:sz w:val="22"/>
        </w:rPr>
        <w:t>企业构成</w:t>
      </w:r>
      <w:r>
        <w:rPr>
          <w:rFonts w:ascii="Calibri" w:hAnsi="Calibri" w:eastAsia="微软雅黑"/>
          <w:b w:val="0"/>
          <w:i w:val="0"/>
          <w:sz w:val="22"/>
        </w:rPr>
        <w:t>：中国电建旗下各勘测设计院（华东院、中南院、成都院、昆明院、西北院等）、中国能建旗下电力设计院（广东院、山东院、西北电力院等）、中石化与中石油旗下工程公司（中石化工程建设、广州工程、寰球工程、中国石油工程建设）、中冶系工程技术公司（中冶南方、中冶赛迪、中冶京诚）及中材国际、十一科技等 (P000101)。</w:t>
      </w:r>
    </w:p>
    <w:p>
      <w:pPr>
        <w:pStyle w:val="ListBullet"/>
      </w:pPr>
      <w:r>
        <w:rPr>
          <w:rFonts w:ascii="Calibri" w:hAnsi="Calibri" w:eastAsia="微软雅黑"/>
          <w:b/>
          <w:i w:val="0"/>
          <w:sz w:val="22"/>
        </w:rPr>
        <w:t>竞争壁垒</w:t>
      </w:r>
      <w:r>
        <w:rPr>
          <w:rFonts w:ascii="Calibri" w:hAnsi="Calibri" w:eastAsia="微软雅黑"/>
          <w:b w:val="0"/>
          <w:i w:val="0"/>
          <w:sz w:val="22"/>
        </w:rPr>
        <w:t>：核心工艺包研发能力与特大型设备集中采购管控能力。大型水电站、海上风电、炼化一体化基地、半导体洁净厂房等技术门槛极高的项目，业主对EPC总承包商的"设计与工艺集成"依赖度极强，传统施工企业难以介入（本条为本研究归纳）。</w:t>
      </w:r>
    </w:p>
    <w:p>
      <w:r>
        <w:rPr>
          <w:rFonts w:ascii="Calibri" w:hAnsi="Calibri" w:eastAsia="微软雅黑"/>
          <w:b w:val="0"/>
          <w:i w:val="0"/>
          <w:sz w:val="22"/>
        </w:rPr>
        <w:t>把阵营一按集团归属拆开计算（2023年发布榜单口径，均为本研究据榜单原始行数据加总，own_calc），"集团军团"的集团化作战特征更为直观：</w:t>
      </w:r>
    </w:p>
    <w:p>
      <w:pPr>
        <w:pStyle w:val="Heading4"/>
      </w:pPr>
      <w:r>
        <w:t>表2-3 央企集团军团2023年发布榜单总承包营业额集群测算（own_calc，据榜单原始行加总）(P000101)</w:t>
      </w:r>
    </w:p>
    <w:tbl>
      <w:tblPr>
        <w:tblStyle w:val="TableGrid"/>
        <w:tblW w:type="auto" w:w="0"/>
        <w:tblLook w:firstColumn="1" w:firstRow="1" w:lastColumn="0" w:lastRow="0" w:noHBand="0" w:noVBand="1" w:val="04A0"/>
      </w:tblPr>
      <w:tblGrid>
        <w:gridCol w:w="1660"/>
        <w:gridCol w:w="1660"/>
        <w:gridCol w:w="1660"/>
        <w:gridCol w:w="1660"/>
        <w:gridCol w:w="1660"/>
      </w:tblGrid>
      <w:tr>
        <w:tc>
          <w:tcPr>
            <w:tcW w:type="dxa" w:w="1660"/>
            <w:shd w:fill="1F3A5F"/>
          </w:tcPr>
          <w:p>
            <w:r>
              <w:rPr>
                <w:color w:val="FFFFFF"/>
              </w:rPr>
            </w:r>
            <w:r>
              <w:rPr>
                <w:rFonts w:ascii="Calibri" w:hAnsi="Calibri" w:eastAsia="微软雅黑"/>
                <w:b/>
                <w:i w:val="0"/>
                <w:color w:val="FFFFFF"/>
                <w:sz w:val="18"/>
              </w:rPr>
              <w:t>集团军团</w:t>
            </w:r>
          </w:p>
        </w:tc>
        <w:tc>
          <w:tcPr>
            <w:tcW w:type="dxa" w:w="1660"/>
            <w:shd w:fill="1F3A5F"/>
          </w:tcPr>
          <w:p>
            <w:r>
              <w:rPr>
                <w:color w:val="FFFFFF"/>
              </w:rPr>
            </w:r>
            <w:r>
              <w:rPr>
                <w:rFonts w:ascii="Calibri" w:hAnsi="Calibri" w:eastAsia="微软雅黑"/>
                <w:b/>
                <w:i w:val="0"/>
                <w:color w:val="FFFFFF"/>
                <w:sz w:val="18"/>
              </w:rPr>
              <w:t>榜单成员（2023年发布）</w:t>
            </w:r>
          </w:p>
        </w:tc>
        <w:tc>
          <w:tcPr>
            <w:tcW w:type="dxa" w:w="1660"/>
            <w:shd w:fill="1F3A5F"/>
          </w:tcPr>
          <w:p>
            <w:r>
              <w:rPr>
                <w:color w:val="FFFFFF"/>
              </w:rPr>
            </w:r>
            <w:r>
              <w:rPr>
                <w:rFonts w:ascii="Calibri" w:hAnsi="Calibri" w:eastAsia="微软雅黑"/>
                <w:b/>
                <w:i w:val="0"/>
                <w:color w:val="FFFFFF"/>
                <w:sz w:val="18"/>
              </w:rPr>
              <w:t>集群合计（万元）</w:t>
            </w:r>
          </w:p>
        </w:tc>
        <w:tc>
          <w:tcPr>
            <w:tcW w:type="dxa" w:w="1660"/>
            <w:shd w:fill="1F3A5F"/>
          </w:tcPr>
          <w:p>
            <w:r>
              <w:rPr>
                <w:color w:val="FFFFFF"/>
              </w:rPr>
            </w:r>
            <w:r>
              <w:rPr>
                <w:rFonts w:ascii="Calibri" w:hAnsi="Calibri" w:eastAsia="微软雅黑"/>
                <w:b/>
                <w:i w:val="0"/>
                <w:color w:val="FFFFFF"/>
                <w:sz w:val="18"/>
              </w:rPr>
              <w:t>折合亿元（own_calc）</w:t>
            </w:r>
          </w:p>
        </w:tc>
        <w:tc>
          <w:tcPr>
            <w:tcW w:type="dxa" w:w="1660"/>
            <w:shd w:fill="1F3A5F"/>
          </w:tcPr>
          <w:p>
            <w:r>
              <w:rPr>
                <w:color w:val="FFFFFF"/>
              </w:rPr>
            </w:r>
            <w:r>
              <w:rPr>
                <w:rFonts w:ascii="Calibri" w:hAnsi="Calibri" w:eastAsia="微软雅黑"/>
                <w:b/>
                <w:i w:val="0"/>
                <w:color w:val="FFFFFF"/>
                <w:sz w:val="18"/>
              </w:rPr>
              <w:t>占186家总量比重（own_calc）</w:t>
            </w:r>
          </w:p>
        </w:tc>
      </w:tr>
      <w:tr>
        <w:tc>
          <w:tcPr>
            <w:tcW w:type="dxa" w:w="1660"/>
          </w:tcPr>
          <w:p>
            <w:r/>
            <w:r>
              <w:rPr>
                <w:rFonts w:ascii="Calibri" w:hAnsi="Calibri" w:eastAsia="微软雅黑"/>
                <w:b w:val="0"/>
                <w:i w:val="0"/>
                <w:sz w:val="18"/>
              </w:rPr>
              <w:t>中国电建系六院</w:t>
            </w:r>
          </w:p>
        </w:tc>
        <w:tc>
          <w:tcPr>
            <w:tcW w:type="dxa" w:w="1660"/>
          </w:tcPr>
          <w:p>
            <w:r/>
            <w:r>
              <w:rPr>
                <w:rFonts w:ascii="Calibri" w:hAnsi="Calibri" w:eastAsia="微软雅黑"/>
                <w:b w:val="0"/>
                <w:i w:val="0"/>
                <w:sz w:val="18"/>
              </w:rPr>
              <w:t>华东院、中南院、成都院、昆明院、西北院、贵阳院</w:t>
            </w:r>
          </w:p>
        </w:tc>
        <w:tc>
          <w:tcPr>
            <w:tcW w:type="dxa" w:w="1660"/>
          </w:tcPr>
          <w:p>
            <w:r/>
            <w:r>
              <w:rPr>
                <w:rFonts w:ascii="Calibri" w:hAnsi="Calibri" w:eastAsia="微软雅黑"/>
                <w:b w:val="0"/>
                <w:i w:val="0"/>
                <w:sz w:val="18"/>
              </w:rPr>
              <w:t>8,818,171</w:t>
            </w:r>
          </w:p>
        </w:tc>
        <w:tc>
          <w:tcPr>
            <w:tcW w:type="dxa" w:w="1660"/>
          </w:tcPr>
          <w:p>
            <w:r/>
            <w:r>
              <w:rPr>
                <w:rFonts w:ascii="Calibri" w:hAnsi="Calibri" w:eastAsia="微软雅黑"/>
                <w:b w:val="0"/>
                <w:i w:val="0"/>
                <w:sz w:val="18"/>
              </w:rPr>
              <w:t>881.82 own_calc</w:t>
            </w:r>
          </w:p>
        </w:tc>
        <w:tc>
          <w:tcPr>
            <w:tcW w:type="dxa" w:w="1660"/>
          </w:tcPr>
          <w:p>
            <w:r/>
            <w:r>
              <w:rPr>
                <w:rFonts w:ascii="Calibri" w:hAnsi="Calibri" w:eastAsia="微软雅黑"/>
                <w:b w:val="0"/>
                <w:i w:val="0"/>
                <w:sz w:val="18"/>
              </w:rPr>
              <w:t>10.19% own_calc</w:t>
            </w:r>
          </w:p>
        </w:tc>
      </w:tr>
      <w:tr>
        <w:tc>
          <w:tcPr>
            <w:tcW w:type="dxa" w:w="1660"/>
          </w:tcPr>
          <w:p>
            <w:r/>
            <w:r>
              <w:rPr>
                <w:rFonts w:ascii="Calibri" w:hAnsi="Calibri" w:eastAsia="微软雅黑"/>
                <w:b w:val="0"/>
                <w:i w:val="0"/>
                <w:sz w:val="18"/>
              </w:rPr>
              <w:t>中国中冶系七家</w:t>
            </w:r>
          </w:p>
        </w:tc>
        <w:tc>
          <w:tcPr>
            <w:tcW w:type="dxa" w:w="1660"/>
          </w:tcPr>
          <w:p>
            <w:r/>
            <w:r>
              <w:rPr>
                <w:rFonts w:ascii="Calibri" w:hAnsi="Calibri" w:eastAsia="微软雅黑"/>
                <w:b w:val="0"/>
                <w:i w:val="0"/>
                <w:sz w:val="18"/>
              </w:rPr>
              <w:t>中冶南方、中冶赛迪、中冶京诚、中冶焦耐、中冶长天、中冶华天、中国恩菲</w:t>
            </w:r>
          </w:p>
        </w:tc>
        <w:tc>
          <w:tcPr>
            <w:tcW w:type="dxa" w:w="1660"/>
          </w:tcPr>
          <w:p>
            <w:r/>
            <w:r>
              <w:rPr>
                <w:rFonts w:ascii="Calibri" w:hAnsi="Calibri" w:eastAsia="微软雅黑"/>
                <w:b w:val="0"/>
                <w:i w:val="0"/>
                <w:sz w:val="18"/>
              </w:rPr>
              <w:t>8,507,414</w:t>
            </w:r>
          </w:p>
        </w:tc>
        <w:tc>
          <w:tcPr>
            <w:tcW w:type="dxa" w:w="1660"/>
          </w:tcPr>
          <w:p>
            <w:r/>
            <w:r>
              <w:rPr>
                <w:rFonts w:ascii="Calibri" w:hAnsi="Calibri" w:eastAsia="微软雅黑"/>
                <w:b w:val="0"/>
                <w:i w:val="0"/>
                <w:sz w:val="18"/>
              </w:rPr>
              <w:t>850.74 own_calc</w:t>
            </w:r>
          </w:p>
        </w:tc>
        <w:tc>
          <w:tcPr>
            <w:tcW w:type="dxa" w:w="1660"/>
          </w:tcPr>
          <w:p>
            <w:r/>
            <w:r>
              <w:rPr>
                <w:rFonts w:ascii="Calibri" w:hAnsi="Calibri" w:eastAsia="微软雅黑"/>
                <w:b w:val="0"/>
                <w:i w:val="0"/>
                <w:sz w:val="18"/>
              </w:rPr>
              <w:t>9.83% own_calc</w:t>
            </w:r>
          </w:p>
        </w:tc>
      </w:tr>
      <w:tr>
        <w:tc>
          <w:tcPr>
            <w:tcW w:type="dxa" w:w="1660"/>
          </w:tcPr>
          <w:p>
            <w:r/>
            <w:r>
              <w:rPr>
                <w:rFonts w:ascii="Calibri" w:hAnsi="Calibri" w:eastAsia="微软雅黑"/>
                <w:b w:val="0"/>
                <w:i w:val="0"/>
                <w:sz w:val="18"/>
              </w:rPr>
              <w:t>中国石油系三家</w:t>
            </w:r>
          </w:p>
        </w:tc>
        <w:tc>
          <w:tcPr>
            <w:tcW w:type="dxa" w:w="1660"/>
          </w:tcPr>
          <w:p>
            <w:r/>
            <w:r>
              <w:rPr>
                <w:rFonts w:ascii="Calibri" w:hAnsi="Calibri" w:eastAsia="微软雅黑"/>
                <w:b w:val="0"/>
                <w:i w:val="0"/>
                <w:sz w:val="18"/>
              </w:rPr>
              <w:t>中国石油工程建设、中国寰球、中国昆仑工程</w:t>
            </w:r>
          </w:p>
        </w:tc>
        <w:tc>
          <w:tcPr>
            <w:tcW w:type="dxa" w:w="1660"/>
          </w:tcPr>
          <w:p>
            <w:r/>
            <w:r>
              <w:rPr>
                <w:rFonts w:ascii="Calibri" w:hAnsi="Calibri" w:eastAsia="微软雅黑"/>
                <w:b w:val="0"/>
                <w:i w:val="0"/>
                <w:sz w:val="18"/>
              </w:rPr>
              <w:t>5,095,258</w:t>
            </w:r>
          </w:p>
        </w:tc>
        <w:tc>
          <w:tcPr>
            <w:tcW w:type="dxa" w:w="1660"/>
          </w:tcPr>
          <w:p>
            <w:r/>
            <w:r>
              <w:rPr>
                <w:rFonts w:ascii="Calibri" w:hAnsi="Calibri" w:eastAsia="微软雅黑"/>
                <w:b w:val="0"/>
                <w:i w:val="0"/>
                <w:sz w:val="18"/>
              </w:rPr>
              <w:t>509.53 own_calc</w:t>
            </w:r>
          </w:p>
        </w:tc>
        <w:tc>
          <w:tcPr>
            <w:tcW w:type="dxa" w:w="1660"/>
          </w:tcPr>
          <w:p>
            <w:r/>
            <w:r>
              <w:rPr>
                <w:rFonts w:ascii="Calibri" w:hAnsi="Calibri" w:eastAsia="微软雅黑"/>
                <w:b w:val="0"/>
                <w:i w:val="0"/>
                <w:sz w:val="18"/>
              </w:rPr>
              <w:t>5.89% own_calc</w:t>
            </w:r>
          </w:p>
        </w:tc>
      </w:tr>
      <w:tr>
        <w:tc>
          <w:tcPr>
            <w:tcW w:type="dxa" w:w="1660"/>
          </w:tcPr>
          <w:p>
            <w:r/>
            <w:r>
              <w:rPr>
                <w:rFonts w:ascii="Calibri" w:hAnsi="Calibri" w:eastAsia="微软雅黑"/>
                <w:b w:val="0"/>
                <w:i w:val="0"/>
                <w:sz w:val="18"/>
              </w:rPr>
              <w:t>中国能建系五院</w:t>
            </w:r>
          </w:p>
        </w:tc>
        <w:tc>
          <w:tcPr>
            <w:tcW w:type="dxa" w:w="1660"/>
          </w:tcPr>
          <w:p>
            <w:r/>
            <w:r>
              <w:rPr>
                <w:rFonts w:ascii="Calibri" w:hAnsi="Calibri" w:eastAsia="微软雅黑"/>
                <w:b w:val="0"/>
                <w:i w:val="0"/>
                <w:sz w:val="18"/>
              </w:rPr>
              <w:t>广东院、中南电力院、广西电力院、华北电力院、山西电力院</w:t>
            </w:r>
          </w:p>
        </w:tc>
        <w:tc>
          <w:tcPr>
            <w:tcW w:type="dxa" w:w="1660"/>
          </w:tcPr>
          <w:p>
            <w:r/>
            <w:r>
              <w:rPr>
                <w:rFonts w:ascii="Calibri" w:hAnsi="Calibri" w:eastAsia="微软雅黑"/>
                <w:b w:val="0"/>
                <w:i w:val="0"/>
                <w:sz w:val="18"/>
              </w:rPr>
              <w:t>4,372,905</w:t>
            </w:r>
          </w:p>
        </w:tc>
        <w:tc>
          <w:tcPr>
            <w:tcW w:type="dxa" w:w="1660"/>
          </w:tcPr>
          <w:p>
            <w:r/>
            <w:r>
              <w:rPr>
                <w:rFonts w:ascii="Calibri" w:hAnsi="Calibri" w:eastAsia="微软雅黑"/>
                <w:b w:val="0"/>
                <w:i w:val="0"/>
                <w:sz w:val="18"/>
              </w:rPr>
              <w:t>437.29 own_calc</w:t>
            </w:r>
          </w:p>
        </w:tc>
        <w:tc>
          <w:tcPr>
            <w:tcW w:type="dxa" w:w="1660"/>
          </w:tcPr>
          <w:p>
            <w:r/>
            <w:r>
              <w:rPr>
                <w:rFonts w:ascii="Calibri" w:hAnsi="Calibri" w:eastAsia="微软雅黑"/>
                <w:b w:val="0"/>
                <w:i w:val="0"/>
                <w:sz w:val="18"/>
              </w:rPr>
              <w:t>5.05% own_calc</w:t>
            </w:r>
          </w:p>
        </w:tc>
      </w:tr>
      <w:tr>
        <w:tc>
          <w:tcPr>
            <w:tcW w:type="dxa" w:w="1660"/>
          </w:tcPr>
          <w:p>
            <w:r/>
            <w:r>
              <w:rPr>
                <w:rFonts w:ascii="Calibri" w:hAnsi="Calibri" w:eastAsia="微软雅黑"/>
                <w:b w:val="0"/>
                <w:i w:val="0"/>
                <w:sz w:val="18"/>
              </w:rPr>
              <w:t>中国化学系六院</w:t>
            </w:r>
          </w:p>
        </w:tc>
        <w:tc>
          <w:tcPr>
            <w:tcW w:type="dxa" w:w="1660"/>
          </w:tcPr>
          <w:p>
            <w:r/>
            <w:r>
              <w:rPr>
                <w:rFonts w:ascii="Calibri" w:hAnsi="Calibri" w:eastAsia="微软雅黑"/>
                <w:b w:val="0"/>
                <w:i w:val="0"/>
                <w:sz w:val="18"/>
              </w:rPr>
              <w:t>天辰、成达、五环、华陆、赛鼎、东华</w:t>
            </w:r>
          </w:p>
        </w:tc>
        <w:tc>
          <w:tcPr>
            <w:tcW w:type="dxa" w:w="1660"/>
          </w:tcPr>
          <w:p>
            <w:r/>
            <w:r>
              <w:rPr>
                <w:rFonts w:ascii="Calibri" w:hAnsi="Calibri" w:eastAsia="微软雅黑"/>
                <w:b w:val="0"/>
                <w:i w:val="0"/>
                <w:sz w:val="18"/>
              </w:rPr>
              <w:t>4,229,124</w:t>
            </w:r>
          </w:p>
        </w:tc>
        <w:tc>
          <w:tcPr>
            <w:tcW w:type="dxa" w:w="1660"/>
          </w:tcPr>
          <w:p>
            <w:r/>
            <w:r>
              <w:rPr>
                <w:rFonts w:ascii="Calibri" w:hAnsi="Calibri" w:eastAsia="微软雅黑"/>
                <w:b w:val="0"/>
                <w:i w:val="0"/>
                <w:sz w:val="18"/>
              </w:rPr>
              <w:t>422.91 own_calc</w:t>
            </w:r>
          </w:p>
        </w:tc>
        <w:tc>
          <w:tcPr>
            <w:tcW w:type="dxa" w:w="1660"/>
          </w:tcPr>
          <w:p>
            <w:r/>
            <w:r>
              <w:rPr>
                <w:rFonts w:ascii="Calibri" w:hAnsi="Calibri" w:eastAsia="微软雅黑"/>
                <w:b w:val="0"/>
                <w:i w:val="0"/>
                <w:sz w:val="18"/>
              </w:rPr>
              <w:t>4.89% own_calc</w:t>
            </w:r>
          </w:p>
        </w:tc>
      </w:tr>
      <w:tr>
        <w:tc>
          <w:tcPr>
            <w:tcW w:type="dxa" w:w="1660"/>
          </w:tcPr>
          <w:p>
            <w:r/>
            <w:r>
              <w:rPr>
                <w:rFonts w:ascii="Calibri" w:hAnsi="Calibri" w:eastAsia="微软雅黑"/>
                <w:b w:val="0"/>
                <w:i w:val="0"/>
                <w:sz w:val="18"/>
              </w:rPr>
              <w:t>中国石化系四家</w:t>
            </w:r>
          </w:p>
        </w:tc>
        <w:tc>
          <w:tcPr>
            <w:tcW w:type="dxa" w:w="1660"/>
          </w:tcPr>
          <w:p>
            <w:r/>
            <w:r>
              <w:rPr>
                <w:rFonts w:ascii="Calibri" w:hAnsi="Calibri" w:eastAsia="微软雅黑"/>
                <w:b w:val="0"/>
                <w:i w:val="0"/>
                <w:sz w:val="18"/>
              </w:rPr>
              <w:t>中石化工程建设、中石化广州、中石化上海、中石化南京</w:t>
            </w:r>
          </w:p>
        </w:tc>
        <w:tc>
          <w:tcPr>
            <w:tcW w:type="dxa" w:w="1660"/>
          </w:tcPr>
          <w:p>
            <w:r/>
            <w:r>
              <w:rPr>
                <w:rFonts w:ascii="Calibri" w:hAnsi="Calibri" w:eastAsia="微软雅黑"/>
                <w:b w:val="0"/>
                <w:i w:val="0"/>
                <w:sz w:val="18"/>
              </w:rPr>
              <w:t>4,000,794</w:t>
            </w:r>
          </w:p>
        </w:tc>
        <w:tc>
          <w:tcPr>
            <w:tcW w:type="dxa" w:w="1660"/>
          </w:tcPr>
          <w:p>
            <w:r/>
            <w:r>
              <w:rPr>
                <w:rFonts w:ascii="Calibri" w:hAnsi="Calibri" w:eastAsia="微软雅黑"/>
                <w:b w:val="0"/>
                <w:i w:val="0"/>
                <w:sz w:val="18"/>
              </w:rPr>
              <w:t>400.08 own_calc</w:t>
            </w:r>
          </w:p>
        </w:tc>
        <w:tc>
          <w:tcPr>
            <w:tcW w:type="dxa" w:w="1660"/>
          </w:tcPr>
          <w:p>
            <w:r/>
            <w:r>
              <w:rPr>
                <w:rFonts w:ascii="Calibri" w:hAnsi="Calibri" w:eastAsia="微软雅黑"/>
                <w:b w:val="0"/>
                <w:i w:val="0"/>
                <w:sz w:val="18"/>
              </w:rPr>
              <w:t>4.62% own_calc</w:t>
            </w:r>
          </w:p>
        </w:tc>
      </w:tr>
    </w:tbl>
    <w:p>
      <w:r>
        <w:rPr>
          <w:rFonts w:ascii="Calibri" w:hAnsi="Calibri" w:eastAsia="微软雅黑"/>
          <w:b w:val="0"/>
          <w:i w:val="0"/>
          <w:sz w:val="22"/>
        </w:rPr>
        <w:t>六大军团合计35,023,666万元（约3,502.37亿元，own_calc），在186家总盘中占比40.49%（own_calc），再加上中国铁设、铁四院、中材国际、十一科技、中钢设备、中核工程、上海核工院等独立强院，央企与央企系力量对榜单头部的控制力可见一斑（本句为本研究解读）(P000101)。这一测算给二线企业的启示很直接：在集团军作战的市场里，单打独斗的生态位正在收缩，要么嵌入某个军团的供应链体系，要么在军团未覆盖的缝隙赛道建立局部优势（本研究建议）。</w:t>
      </w:r>
    </w:p>
    <w:p>
      <w:r>
        <w:rPr>
          <w:rFonts w:ascii="Calibri" w:hAnsi="Calibri" w:eastAsia="微软雅黑"/>
          <w:b w:val="0"/>
          <w:i w:val="0"/>
          <w:sz w:val="22"/>
        </w:rPr>
        <w:t>阵营之间并非铁幕相隔，历史上不乏穿越案例：设计院靠并购施工队伍补齐落地能力，施工央企靠整合设计资源换取投标门票，地方院靠速度与贴身服务蚕食大院无暇顾及的中小项目。真正决定穿越成败的，不是并购的规模，而是整合后两套人马能否在同一个项目账本上说话——设计出身的团队习惯了以图纸交期论英雄，施工出身的团队信奉以形象进度定输赢，两套考核语言不打通，阵营标签换了，内耗照旧（本段为本研究解读性判断）。</w:t>
      </w:r>
    </w:p>
    <w:p>
      <w:r>
        <w:rPr>
          <w:rFonts w:ascii="Calibri" w:hAnsi="Calibri" w:eastAsia="微软雅黑"/>
          <w:b/>
          <w:i w:val="0"/>
          <w:sz w:val="22"/>
        </w:rPr>
        <w:t>阵营二：交通、市政与建筑系专业院及施工央企局级实体（第二梯队骨干）</w:t>
      </w:r>
    </w:p>
    <w:p>
      <w:pPr>
        <w:pStyle w:val="ListBullet"/>
      </w:pPr>
      <w:r>
        <w:rPr>
          <w:rFonts w:ascii="Calibri" w:hAnsi="Calibri" w:eastAsia="微软雅黑"/>
          <w:b/>
          <w:i w:val="0"/>
          <w:sz w:val="22"/>
        </w:rPr>
        <w:t>企业构成</w:t>
      </w:r>
      <w:r>
        <w:rPr>
          <w:rFonts w:ascii="Calibri" w:hAnsi="Calibri" w:eastAsia="微软雅黑"/>
          <w:b w:val="0"/>
          <w:i w:val="0"/>
          <w:sz w:val="22"/>
        </w:rPr>
        <w:t>：铁四院、中国公路工程咨询集团、上海市政总院、中国建筑西南设计研究院等 (P000101)，以及中建六局等大型施工央企旗下局级单位 (P000120)。</w:t>
      </w:r>
    </w:p>
    <w:p>
      <w:pPr>
        <w:pStyle w:val="ListBullet"/>
      </w:pPr>
      <w:r>
        <w:rPr>
          <w:rFonts w:ascii="Calibri" w:hAnsi="Calibri" w:eastAsia="微软雅黑"/>
          <w:b/>
          <w:i w:val="0"/>
          <w:sz w:val="22"/>
        </w:rPr>
        <w:t>竞争壁垒</w:t>
      </w:r>
      <w:r>
        <w:rPr>
          <w:rFonts w:ascii="Calibri" w:hAnsi="Calibri" w:eastAsia="微软雅黑"/>
          <w:b w:val="0"/>
          <w:i w:val="0"/>
          <w:sz w:val="22"/>
        </w:rPr>
        <w:t>：特级或一级施工总承包资质与强大的现场建安施工吞吐能力；面对轨道交通、市政综合管廊、大型场馆等复杂工程，能够将设计前端优化与现场建安精细化管理深度融合（本条为本研究归纳）。</w:t>
      </w:r>
    </w:p>
    <w:p>
      <w:r>
        <w:rPr>
          <w:rFonts w:ascii="Calibri" w:hAnsi="Calibri" w:eastAsia="微软雅黑"/>
          <w:b/>
          <w:i w:val="0"/>
          <w:sz w:val="22"/>
        </w:rPr>
        <w:t>阵营三：地方省级建筑/市政设计院与民营敏捷型企业（第三梯队黑马）</w:t>
      </w:r>
    </w:p>
    <w:p>
      <w:pPr>
        <w:pStyle w:val="ListBullet"/>
      </w:pPr>
      <w:r>
        <w:rPr>
          <w:rFonts w:ascii="Calibri" w:hAnsi="Calibri" w:eastAsia="微软雅黑"/>
          <w:b/>
          <w:i w:val="0"/>
          <w:sz w:val="22"/>
        </w:rPr>
        <w:t>企业构成</w:t>
      </w:r>
      <w:r>
        <w:rPr>
          <w:rFonts w:ascii="Calibri" w:hAnsi="Calibri" w:eastAsia="微软雅黑"/>
          <w:b w:val="0"/>
          <w:i w:val="0"/>
          <w:sz w:val="22"/>
        </w:rPr>
        <w:t>：以湖南省建筑设计院集团（地方省院代表）与中城科泽工程设计集团（民营代表）为突出标志 (P000125, P000130)。</w:t>
      </w:r>
    </w:p>
    <w:p>
      <w:pPr>
        <w:pStyle w:val="ListBullet"/>
      </w:pPr>
      <w:r>
        <w:rPr>
          <w:rFonts w:ascii="Calibri" w:hAnsi="Calibri" w:eastAsia="微软雅黑"/>
          <w:b/>
          <w:i w:val="0"/>
          <w:sz w:val="22"/>
        </w:rPr>
        <w:t>竞争壁垒</w:t>
      </w:r>
      <w:r>
        <w:rPr>
          <w:rFonts w:ascii="Calibri" w:hAnsi="Calibri" w:eastAsia="微软雅黑"/>
          <w:b w:val="0"/>
          <w:i w:val="0"/>
          <w:sz w:val="22"/>
        </w:rPr>
        <w:t>：本地化响应速度、灵活的经营机制及全过程工程咨询整合能力，在中小型EPC项目、城市更新、环保工程及教育医疗公建赛道取得高频突破——湖南院深耕教育建筑、医疗建筑及绿色建筑细分赛道，中城科泽BIM技术应用率达90%以上、绿色建筑项目占比达60%以上 (P000125, P000130)。</w:t>
      </w:r>
    </w:p>
    <w:p>
      <w:pPr>
        <w:pStyle w:val="Heading3"/>
      </w:pPr>
      <w:r>
        <w:t>2.4.3 标杆企业洗牌突破实证剖析（数据-动作-结果）</w:t>
      </w:r>
    </w:p>
    <w:p>
      <w:r>
        <w:rPr>
          <w:rFonts w:ascii="Calibri" w:hAnsi="Calibri" w:eastAsia="微软雅黑"/>
          <w:b/>
          <w:i w:val="0"/>
          <w:sz w:val="22"/>
        </w:rPr>
        <w:t>案例一：中石化广州工程有限公司（石化重化工业EPC供应链管控标杆）</w:t>
      </w:r>
    </w:p>
    <w:p>
      <w:pPr>
        <w:pStyle w:val="ListBullet"/>
      </w:pPr>
      <w:r>
        <w:rPr>
          <w:rFonts w:ascii="Calibri" w:hAnsi="Calibri" w:eastAsia="微软雅黑"/>
          <w:b/>
          <w:i w:val="0"/>
          <w:sz w:val="22"/>
        </w:rPr>
        <w:t>数据</w:t>
      </w:r>
      <w:r>
        <w:rPr>
          <w:rFonts w:ascii="Calibri" w:hAnsi="Calibri" w:eastAsia="微软雅黑"/>
          <w:b w:val="0"/>
          <w:i w:val="0"/>
          <w:sz w:val="22"/>
        </w:rPr>
        <w:t>：2023年发布榜单以900,077万元高居全国第26位 (P000101)；境外工程总承包营业额31,843万元（全国第37位）(P000101)。</w:t>
      </w:r>
    </w:p>
    <w:p>
      <w:pPr>
        <w:pStyle w:val="ListBullet"/>
      </w:pPr>
      <w:r>
        <w:rPr>
          <w:rFonts w:ascii="Calibri" w:hAnsi="Calibri" w:eastAsia="微软雅黑"/>
          <w:b/>
          <w:i w:val="0"/>
          <w:sz w:val="22"/>
        </w:rPr>
        <w:t>动作</w:t>
      </w:r>
      <w:r>
        <w:rPr>
          <w:rFonts w:ascii="Calibri" w:hAnsi="Calibri" w:eastAsia="微软雅黑"/>
          <w:b w:val="0"/>
          <w:i w:val="0"/>
          <w:sz w:val="22"/>
        </w:rPr>
        <w:t>：针对大型炼化一体化、高端化工及绿色低碳项目，依托国家级企业技术中心与博士后科研工作站保持高强度研发投入，在炼化绿色化、智能化领域形成核心技术布局 (P000115)；对占比很高的设备采购实施质量与工期全过程跟踪（本句后半为本研究归纳）。</w:t>
      </w:r>
    </w:p>
    <w:p>
      <w:pPr>
        <w:pStyle w:val="ListBullet"/>
      </w:pPr>
      <w:r>
        <w:rPr>
          <w:rFonts w:ascii="Calibri" w:hAnsi="Calibri" w:eastAsia="微软雅黑"/>
          <w:b/>
          <w:i w:val="0"/>
          <w:sz w:val="22"/>
        </w:rPr>
        <w:t>结果</w:t>
      </w:r>
      <w:r>
        <w:rPr>
          <w:rFonts w:ascii="Calibri" w:hAnsi="Calibri" w:eastAsia="微软雅黑"/>
          <w:b w:val="0"/>
          <w:i w:val="0"/>
          <w:sz w:val="22"/>
        </w:rPr>
        <w:t>：在石化化工EPC领域建立了极高的技术与管理护城河，稳居榜单前列并保持境外业务在册（本研究解读）(P000101, P000115)。</w:t>
      </w:r>
    </w:p>
    <w:p>
      <w:r>
        <w:rPr>
          <w:rFonts w:ascii="Calibri" w:hAnsi="Calibri" w:eastAsia="微软雅黑"/>
          <w:b/>
          <w:i w:val="0"/>
          <w:sz w:val="22"/>
        </w:rPr>
        <w:t>案例二：中国建筑第六工程局有限公司（大型施工央企局级单位高质量转型标杆）</w:t>
      </w:r>
    </w:p>
    <w:p>
      <w:pPr>
        <w:pStyle w:val="ListBullet"/>
      </w:pPr>
      <w:r>
        <w:rPr>
          <w:rFonts w:ascii="Calibri" w:hAnsi="Calibri" w:eastAsia="微软雅黑"/>
          <w:b/>
          <w:i w:val="0"/>
          <w:sz w:val="22"/>
        </w:rPr>
        <w:t>数据</w:t>
      </w:r>
      <w:r>
        <w:rPr>
          <w:rFonts w:ascii="Calibri" w:hAnsi="Calibri" w:eastAsia="微软雅黑"/>
          <w:b w:val="0"/>
          <w:i w:val="0"/>
          <w:sz w:val="22"/>
        </w:rPr>
        <w:t>：2023年营收591.71亿元（+7.57%）、归母净利润3.92亿元（+69.7%）；2024年营业总收入与利润总额分别增长19.82%和17.31% (P000120)。</w:t>
      </w:r>
    </w:p>
    <w:p>
      <w:pPr>
        <w:pStyle w:val="ListBullet"/>
      </w:pPr>
      <w:r>
        <w:rPr>
          <w:rFonts w:ascii="Calibri" w:hAnsi="Calibri" w:eastAsia="微软雅黑"/>
          <w:b/>
          <w:i w:val="0"/>
          <w:sz w:val="22"/>
        </w:rPr>
        <w:t>动作</w:t>
      </w:r>
      <w:r>
        <w:rPr>
          <w:rFonts w:ascii="Calibri" w:hAnsi="Calibri" w:eastAsia="微软雅黑"/>
          <w:b w:val="0"/>
          <w:i w:val="0"/>
          <w:sz w:val="22"/>
        </w:rPr>
        <w:t>：结合金融创新工具推动"投资-设计-建造-运营"一体化，同时在内部执行严苛的产值凭证穿透与分包剔除制度，确保财务与统计勾稽合规 (P000120)。</w:t>
      </w:r>
    </w:p>
    <w:p>
      <w:pPr>
        <w:pStyle w:val="ListBullet"/>
      </w:pPr>
      <w:r>
        <w:rPr>
          <w:rFonts w:ascii="Calibri" w:hAnsi="Calibri" w:eastAsia="微软雅黑"/>
          <w:b/>
          <w:i w:val="0"/>
          <w:sz w:val="22"/>
        </w:rPr>
        <w:t>结果</w:t>
      </w:r>
      <w:r>
        <w:rPr>
          <w:rFonts w:ascii="Calibri" w:hAnsi="Calibri" w:eastAsia="微软雅黑"/>
          <w:b w:val="0"/>
          <w:i w:val="0"/>
          <w:sz w:val="22"/>
        </w:rPr>
        <w:t>：利润增速远超营收增速，为传统建安施工企业向高附加值EPC总承包商演进提供了路径示范（本句为该企业研究资料结论）(P000120)。</w:t>
      </w:r>
    </w:p>
    <w:p>
      <w:r>
        <w:rPr>
          <w:rFonts w:ascii="Calibri" w:hAnsi="Calibri" w:eastAsia="微软雅黑"/>
          <w:b/>
          <w:i w:val="0"/>
          <w:sz w:val="22"/>
        </w:rPr>
        <w:t>案例三：湖南省建筑设计院集团股份有限公司（地方省院订单储备与全过程咨询转化标杆）</w:t>
      </w:r>
      <w:r>
        <w:rPr>
          <w:rFonts w:ascii="Calibri" w:hAnsi="Calibri" w:eastAsia="微软雅黑"/>
          <w:b w:val="0"/>
          <w:i w:val="0"/>
          <w:sz w:val="22"/>
        </w:rPr>
        <w:t>——详见2.1.4案例二与2.3.2案例一，此处补一点位次视角：连续3年入选全国工程总承包百强、累计1,040项各类奖项的资质荣誉底仓 (P000125)，使其在地方公建、医疗教育赛道的高频中标具备了品牌复利。</w:t>
      </w:r>
    </w:p>
    <w:p>
      <w:r>
        <w:rPr>
          <w:rFonts w:ascii="Calibri" w:hAnsi="Calibri" w:eastAsia="微软雅黑"/>
          <w:b/>
          <w:i w:val="0"/>
          <w:sz w:val="22"/>
        </w:rPr>
        <w:t>案例四：中城科泽工程设计集团有限责任公司（民营极速中标与敏捷交付标杆）</w:t>
      </w:r>
      <w:r>
        <w:rPr>
          <w:rFonts w:ascii="Calibri" w:hAnsi="Calibri" w:eastAsia="微软雅黑"/>
          <w:b w:val="0"/>
          <w:i w:val="0"/>
          <w:sz w:val="22"/>
        </w:rPr>
        <w:t>——详见2.1.4案例三与2.3.2案例二；其2020至2024年EPC收入占比从70%到80%以上的结构升级 (P000130)，是民营设计施工一体化企业"以频次换身位"的典型样本（本研究解读）。</w:t>
      </w:r>
    </w:p>
    <w:p>
      <w:r>
        <w:rPr>
          <w:rFonts w:ascii="Calibri" w:hAnsi="Calibri" w:eastAsia="微软雅黑"/>
          <w:b w:val="0"/>
          <w:i w:val="0"/>
          <w:sz w:val="22"/>
        </w:rPr>
        <w:t>读完四个案例还须提防一种阅读姿势的陷阱：把案例当菜谱，照单抓药。案例的价值在于揭示变量之间的因果链条——订单结构如何决定时滞形态、凭证制度如何支撑口径合规——而不在动作本身。脱离自身的企业规模、赛道属性与客户结构，直接搬运他人的动作清单，轻则水土不服，重则把别人的良药吃成自己的毒方。建议每读一案，先回答"此案的前提条件我具备几成"，再决定借鉴的深度（本段为本研究使用指引）。</w:t>
      </w:r>
    </w:p>
    <w:p>
      <w:pPr>
        <w:pStyle w:val="Heading3"/>
      </w:pPr>
      <w:r>
        <w:t>2.4.4 位次竞争下的企业高管五大可执行对标策略</w:t>
      </w:r>
    </w:p>
    <w:p>
      <w:pPr>
        <w:pStyle w:val="ListNumber"/>
      </w:pPr>
      <w:r>
        <w:rPr>
          <w:rFonts w:ascii="Calibri" w:hAnsi="Calibri" w:eastAsia="微软雅黑"/>
          <w:b/>
          <w:i w:val="0"/>
          <w:sz w:val="22"/>
        </w:rPr>
        <w:t>策略1：聚焦高壁垒垂直赛道，拒绝盲目规模扩张</w:t>
      </w:r>
      <w:r>
        <w:rPr>
          <w:rFonts w:ascii="Calibri" w:hAnsi="Calibri" w:eastAsia="微软雅黑"/>
          <w:b w:val="0"/>
          <w:i w:val="0"/>
          <w:sz w:val="22"/>
        </w:rPr>
        <w:t>。对标华东院与中石化广州工程，企业应结合自身资质与技术基因，锁定水利新能源、重化工业、半导体厂房或医疗公建等高技术门槛赛道，将"工艺设计+专业设备集成"作为核心竞争手段，摆脱低水平低价建安竞争（本研究方法论建议）(P000101, P000115)。</w:t>
      </w:r>
    </w:p>
    <w:p>
      <w:pPr>
        <w:pStyle w:val="ListNumber"/>
      </w:pPr>
      <w:r>
        <w:rPr>
          <w:rFonts w:ascii="Calibri" w:hAnsi="Calibri" w:eastAsia="微软雅黑"/>
          <w:b/>
          <w:i w:val="0"/>
          <w:sz w:val="22"/>
        </w:rPr>
        <w:t>策略2：全面推进三维数字化设计与全过程贯通</w:t>
      </w:r>
      <w:r>
        <w:rPr>
          <w:rFonts w:ascii="Calibri" w:hAnsi="Calibri" w:eastAsia="微软雅黑"/>
          <w:b w:val="0"/>
          <w:i w:val="0"/>
          <w:sz w:val="22"/>
        </w:rPr>
        <w:t>。学习华东院自2004年起的三维数字化积累 (P000101)，将设计成果直接转化为采购工程量清单与施工交底模型，实现"设计优化控制投资概算、数字模型指导现场施工、产值数据实时精准签认"（本研究方法论建议）。</w:t>
      </w:r>
    </w:p>
    <w:p>
      <w:pPr>
        <w:pStyle w:val="ListNumber"/>
      </w:pPr>
      <w:r>
        <w:rPr>
          <w:rFonts w:ascii="Calibri" w:hAnsi="Calibri" w:eastAsia="微软雅黑"/>
          <w:b/>
          <w:i w:val="0"/>
          <w:sz w:val="22"/>
        </w:rPr>
        <w:t>策略3：强化设备采购与分包供应链穿透审计</w:t>
      </w:r>
      <w:r>
        <w:rPr>
          <w:rFonts w:ascii="Calibri" w:hAnsi="Calibri" w:eastAsia="微软雅黑"/>
          <w:b w:val="0"/>
          <w:i w:val="0"/>
          <w:sz w:val="22"/>
        </w:rPr>
        <w:t>。学习中石化广州工程与中建六局，建立供应链分级评审与合同穿透审计机制，对EPC合同中的设备采购实施集中招标与质量监控，同时建立合规的分包台账，确保申报中设协榜单时凭证链完整 (P000115, P000120, P000112)。</w:t>
      </w:r>
    </w:p>
    <w:p>
      <w:pPr>
        <w:pStyle w:val="ListNumber"/>
      </w:pPr>
      <w:r>
        <w:rPr>
          <w:rFonts w:ascii="Calibri" w:hAnsi="Calibri" w:eastAsia="微软雅黑"/>
          <w:b/>
          <w:i w:val="0"/>
          <w:sz w:val="22"/>
        </w:rPr>
        <w:t>策略4：压缩订单转化时滞，建立全流程"时间轴预警看板"</w:t>
      </w:r>
      <w:r>
        <w:rPr>
          <w:rFonts w:ascii="Calibri" w:hAnsi="Calibri" w:eastAsia="微软雅黑"/>
          <w:b w:val="0"/>
          <w:i w:val="0"/>
          <w:sz w:val="22"/>
        </w:rPr>
        <w:t>。对标中城科泽与湖南院，建立"新签订单-开工率-月度产值-财务营收"全链条监控机制，提高资金与产值周转效率（本研究方法论建议）(P000125, P000130)。</w:t>
      </w:r>
    </w:p>
    <w:p>
      <w:pPr>
        <w:pStyle w:val="ListNumber"/>
      </w:pPr>
      <w:r>
        <w:rPr>
          <w:rFonts w:ascii="Calibri" w:hAnsi="Calibri" w:eastAsia="微软雅黑"/>
          <w:b/>
          <w:i w:val="0"/>
          <w:sz w:val="22"/>
        </w:rPr>
        <w:t>策略5：延伸"全过程工程咨询+EPC+运维"全生命周期服务</w:t>
      </w:r>
      <w:r>
        <w:rPr>
          <w:rFonts w:ascii="Calibri" w:hAnsi="Calibri" w:eastAsia="微软雅黑"/>
          <w:b w:val="0"/>
          <w:i w:val="0"/>
          <w:sz w:val="22"/>
        </w:rPr>
        <w:t>。对标湖南院与中建六局，发挥设计院前端策划与技术信任优势，将服务链条向前延伸至项目谋划与可研编制，向后延伸至运营维护，打造一体化工程综合服务商</w:t>
      </w:r>
    </w:p>
    <w:p>
      <w:r>
        <w:rPr>
          <w:rFonts w:ascii="Calibri" w:hAnsi="Calibri" w:eastAsia="微软雅黑"/>
          <w:b w:val="0"/>
          <w:i w:val="0"/>
          <w:sz w:val="22"/>
        </w:rPr>
        <w:t>五条策略之间并非彼此独立，资源冲突时需要排序纪律。数字化建设与合规体系建设都消耗管理层注意力与预算，若同时上马，常见结局是两头都做成了半成品；赛道聚焦与全生命周期延伸在方向上甚至相互拉扯——前者要求做减法，后者要求加长链条。本书建议的优先序是：合规底线先行，其次压时滞，再谈聚焦与延伸，数字化贯穿其间作为放大器。排序本身没有唯一解，但"显式排出一个序并写进年度计划"这件事，比序的具体内容更重要（本条为本研究提出的实务做法）。 (P000125, P000120)。</w:t>
      </w:r>
    </w:p>
    <w:p>
      <w:r>
        <w:rPr>
          <w:rFonts w:ascii="Calibri" w:hAnsi="Calibri" w:eastAsia="微软雅黑"/>
          <w:b w:val="0"/>
          <w:i w:val="0"/>
          <w:sz w:val="22"/>
        </w:rPr>
        <w:t>---</w:t>
      </w:r>
    </w:p>
    <w:p>
      <w:pPr>
        <w:pStyle w:val="Heading2"/>
      </w:pPr>
      <w:r>
        <w:t>2.5 榜单申报合规与异常诊断防范机制</w:t>
      </w:r>
    </w:p>
    <w:p>
      <w:pPr>
        <w:pStyle w:val="Heading3"/>
      </w:pPr>
      <w:r>
        <w:t>2.5.1 申报合规盲区：虚增产值、重复申报与违规挂靠的认定规则</w:t>
      </w:r>
    </w:p>
    <w:p>
      <w:r>
        <w:rPr>
          <w:rFonts w:ascii="Calibri" w:hAnsi="Calibri" w:eastAsia="微软雅黑"/>
          <w:b w:val="0"/>
          <w:i w:val="0"/>
          <w:sz w:val="22"/>
        </w:rPr>
        <w:t>中设协建设项目管理和工程总承包分会对各地方、各部门同业协会初审提交的《申报表》（表一至表五）执行严苛的数据真实性与合规性审查机制 (P000112, P000114)。在申报实务中，部分企业因未能透彻理解《管理办法》底线要求，常触及四大合规红线：</w:t>
      </w:r>
    </w:p>
    <w:p>
      <w:pPr>
        <w:pStyle w:val="ListNumber"/>
      </w:pPr>
      <w:r>
        <w:rPr>
          <w:rFonts w:ascii="Calibri" w:hAnsi="Calibri" w:eastAsia="微软雅黑"/>
          <w:b/>
          <w:i w:val="0"/>
          <w:sz w:val="22"/>
        </w:rPr>
        <w:t>资质与主体不匹配</w:t>
      </w:r>
      <w:r>
        <w:rPr>
          <w:rFonts w:ascii="Calibri" w:hAnsi="Calibri" w:eastAsia="微软雅黑"/>
          <w:b w:val="0"/>
          <w:i w:val="0"/>
          <w:sz w:val="22"/>
        </w:rPr>
        <w:t>：参评企业必须具有独立法人资格并持有乙级以上工程设计资格证书 (P000112)。企业仅具备施工资质而无设计资质，或借用母公司、兄弟单位资质申报，在复核阶段将被直接取消参评资格（本条后果表述为本研究基于规则的推演）。</w:t>
      </w:r>
    </w:p>
    <w:p>
      <w:pPr>
        <w:pStyle w:val="ListNumber"/>
      </w:pPr>
      <w:r>
        <w:rPr>
          <w:rFonts w:ascii="Calibri" w:hAnsi="Calibri" w:eastAsia="微软雅黑"/>
          <w:b/>
          <w:i w:val="0"/>
          <w:sz w:val="22"/>
        </w:rPr>
        <w:t>违规转包与空壳挂名总承包</w:t>
      </w:r>
      <w:r>
        <w:rPr>
          <w:rFonts w:ascii="Calibri" w:hAnsi="Calibri" w:eastAsia="微软雅黑"/>
          <w:b w:val="0"/>
          <w:i w:val="0"/>
          <w:sz w:val="22"/>
        </w:rPr>
        <w:t>：设计院将总承包项目的设计、采购、施工全盘转包给第三方，自身仅收取管理费或出借资质的"空壳总承包"，一经查实，对应营业额将被核减，情节严重者将被通报（同上推演）(P000112)。</w:t>
      </w:r>
    </w:p>
    <w:p>
      <w:pPr>
        <w:pStyle w:val="ListNumber"/>
      </w:pPr>
      <w:r>
        <w:rPr>
          <w:rFonts w:ascii="Calibri" w:hAnsi="Calibri" w:eastAsia="微软雅黑"/>
          <w:b/>
          <w:i w:val="0"/>
          <w:sz w:val="22"/>
        </w:rPr>
        <w:t>无签认凭证虚增工程量</w:t>
      </w:r>
      <w:r>
        <w:rPr>
          <w:rFonts w:ascii="Calibri" w:hAnsi="Calibri" w:eastAsia="微软雅黑"/>
          <w:b w:val="0"/>
          <w:i w:val="0"/>
          <w:sz w:val="22"/>
        </w:rPr>
        <w:t>：将工程预付款、未获得监理及业主签认的现场估算产值，或将跨年度合同额一次性计入当年度，属于典型的虚增产值行为 (P000112)。</w:t>
      </w:r>
    </w:p>
    <w:p>
      <w:pPr>
        <w:pStyle w:val="ListNumber"/>
      </w:pPr>
      <w:r>
        <w:rPr>
          <w:rFonts w:ascii="Calibri" w:hAnsi="Calibri" w:eastAsia="微软雅黑"/>
          <w:b/>
          <w:i w:val="0"/>
          <w:sz w:val="22"/>
        </w:rPr>
        <w:t>联合体重复申报</w:t>
      </w:r>
      <w:r>
        <w:rPr>
          <w:rFonts w:ascii="Calibri" w:hAnsi="Calibri" w:eastAsia="微软雅黑"/>
          <w:b w:val="0"/>
          <w:i w:val="0"/>
          <w:sz w:val="22"/>
        </w:rPr>
        <w:t>：联合体各成员必须严格按《联合体协议书》明确的业务划分各自申报；牵头人按100%合同额申报而成员单位又重报的，重复部分将被双向强制核减（同上推演）</w:t>
      </w:r>
    </w:p>
    <w:p>
      <w:r>
        <w:rPr>
          <w:rFonts w:ascii="Calibri" w:hAnsi="Calibri" w:eastAsia="微软雅黑"/>
          <w:b w:val="0"/>
          <w:i w:val="0"/>
          <w:sz w:val="22"/>
        </w:rPr>
        <w:t>四条红线的代价呈现出明显的不对称结构：被发现前，违规者坐享虚增的位次与光环；被查实后，核减、通报与信誉折价全部落在同一个申报周期集中爆发。更隐蔽的损失在事后——一旦某年度的申报数据被官方核减，企业在后续年份的同类数据都会被复核方打上问号，信用修复的成本远高于当初虚增的收益。理性的经营班子应把合规自查视作对自身统计信用的一种投资，而非应付协会的例行公事（本段为本研究解读性判断）。(P000112)。</w:t>
      </w:r>
    </w:p>
    <w:p>
      <w:pPr>
        <w:pStyle w:val="Heading3"/>
      </w:pPr>
      <w:r>
        <w:t>2.5.2 集团多级资质实体的申报隔离与内部交易抵消策略</w:t>
      </w:r>
    </w:p>
    <w:p>
      <w:r>
        <w:rPr>
          <w:rFonts w:ascii="Calibri" w:hAnsi="Calibri" w:eastAsia="微软雅黑"/>
          <w:b w:val="0"/>
          <w:i w:val="0"/>
          <w:sz w:val="22"/>
        </w:rPr>
        <w:t>我国大型工程央企与地方国企集团普遍拥有多层级、多法人的资质矩阵。中设协排名以具有独立法人资格且具备乙级以上设计资质的企业为基本申报单元 (P000112)，集团化经营中必须建立严密的申报隔离机制：</w:t>
      </w:r>
    </w:p>
    <w:p>
      <w:pPr>
        <w:pStyle w:val="ListBullet"/>
      </w:pPr>
      <w:r>
        <w:rPr>
          <w:rFonts w:ascii="Calibri" w:hAnsi="Calibri" w:eastAsia="微软雅黑"/>
          <w:b/>
          <w:i w:val="0"/>
          <w:sz w:val="22"/>
        </w:rPr>
        <w:t>法人实体隔离申报原则</w:t>
      </w:r>
      <w:r>
        <w:rPr>
          <w:rFonts w:ascii="Calibri" w:hAnsi="Calibri" w:eastAsia="微软雅黑"/>
          <w:b w:val="0"/>
          <w:i w:val="0"/>
          <w:sz w:val="22"/>
        </w:rPr>
        <w:t>：集团公司本身若不直接签署EPC合同或不具备设计资质，不得将下属各层级子公司的营业额简单加总后以集团总部名义申报；各子公司符合条件的，应作为独立法人各自申报 (P000112)。</w:t>
      </w:r>
    </w:p>
    <w:p>
      <w:r>
        <w:rPr>
          <w:rFonts w:ascii="Calibri" w:hAnsi="Calibri" w:eastAsia="微软雅黑"/>
          <w:b w:val="0"/>
          <w:i w:val="0"/>
          <w:sz w:val="22"/>
        </w:rPr>
        <w:t>集团总部在此框架下的正确角色是做名录的守护者：维护一份动态更新的成员单位清单，载明每家的资质等级、申报历史与在办项目，每年申报季前统一核发"今年谁报、报哪张榜"的确认函。这份看似多余的文书工作，能拦下子公司抢报、漏报与重复报的绝大多数事故，也为集团对外披露口径留出统一的出口（本段为本研究方法论建议）。</w:t>
      </w:r>
    </w:p>
    <w:p>
      <w:pPr>
        <w:pStyle w:val="ListBullet"/>
      </w:pPr>
      <w:r>
        <w:rPr>
          <w:rFonts w:ascii="Calibri" w:hAnsi="Calibri" w:eastAsia="微软雅黑"/>
          <w:b/>
          <w:i w:val="0"/>
          <w:sz w:val="22"/>
        </w:rPr>
        <w:t>内部总分包交易抵消规则</w:t>
      </w:r>
      <w:r>
        <w:rPr>
          <w:rFonts w:ascii="Calibri" w:hAnsi="Calibri" w:eastAsia="微软雅黑"/>
          <w:b w:val="0"/>
          <w:i w:val="0"/>
          <w:sz w:val="22"/>
        </w:rPr>
        <w:t>：集团内部A设计院作为EPC总承包商将建安施工分包给同集团B施工子公司时，A设计院按其与业主签署的EPC合同总额申报总承包营业额（含分包给B的金额）；B施工子公司因不具备设计主导总承包身份，其承接的内部分包工程量不得再申报中设协总承包营业额，从而避免集团内部流水的重复计算（本条为本研究基于申报规则的机制推演）(P000112)。</w:t>
      </w:r>
    </w:p>
    <w:p>
      <w:r>
        <w:rPr>
          <w:rFonts w:ascii="Calibri" w:hAnsi="Calibri" w:eastAsia="微软雅黑"/>
          <w:b w:val="0"/>
          <w:i w:val="0"/>
          <w:sz w:val="22"/>
        </w:rPr>
        <w:t>这一规则直接解释了榜单上"同一集团多院并列"而非"集团合并报数"的现象——电建系、能建系、中冶系各自以独立法人身份占位，集团层面的产业协同转化为榜单上的集群效应</w:t>
      </w:r>
    </w:p>
    <w:p>
      <w:r>
        <w:rPr>
          <w:rFonts w:ascii="Calibri" w:hAnsi="Calibri" w:eastAsia="微软雅黑"/>
          <w:b w:val="0"/>
          <w:i w:val="0"/>
          <w:sz w:val="22"/>
        </w:rPr>
        <w:t>这套申报隔离规则同时是一份集团管控的体检表。凡是在"谁能申报、以什么身份申报"上纠缠不清的集团，多半暴露出更深层的治理模糊：法人人格与管理线条错位、资质挂在母公司而业务干在子公司、内部结算价格长期失真。反之，能把申报单元切得干干净净的集团，其法务、财务与经营口径的协同通常也更为顺畅——排名申报这块试金石，照见的是整个集团的管理成色（本段为本研究解读性判断）。（本研究解读）(P000101)。</w:t>
      </w:r>
    </w:p>
    <w:p>
      <w:pPr>
        <w:pStyle w:val="Heading3"/>
      </w:pPr>
      <w:r>
        <w:t>2.5.3 案例穿透诊断：中石化南京工程与中国核电工程的合规申报范式（数据-动作-结果）</w:t>
      </w:r>
    </w:p>
    <w:p>
      <w:r>
        <w:rPr>
          <w:rFonts w:ascii="Calibri" w:hAnsi="Calibri" w:eastAsia="微软雅黑"/>
          <w:b/>
          <w:i w:val="0"/>
          <w:sz w:val="22"/>
        </w:rPr>
        <w:t>案例一：中石化南京工程有限公司（跨国化工EPC及境外合规申报标杆）</w:t>
      </w:r>
    </w:p>
    <w:p>
      <w:pPr>
        <w:pStyle w:val="ListBullet"/>
      </w:pPr>
      <w:r>
        <w:rPr>
          <w:rFonts w:ascii="Calibri" w:hAnsi="Calibri" w:eastAsia="微软雅黑"/>
          <w:b/>
          <w:i w:val="0"/>
          <w:sz w:val="22"/>
        </w:rPr>
        <w:t>数据</w:t>
      </w:r>
      <w:r>
        <w:rPr>
          <w:rFonts w:ascii="Calibri" w:hAnsi="Calibri" w:eastAsia="微软雅黑"/>
          <w:b w:val="0"/>
          <w:i w:val="0"/>
          <w:sz w:val="22"/>
        </w:rPr>
        <w:t>：在2023年发布榜单中，中石化南京工程以273,005万元总承包营业额位居全国第86位 (P000101)；境外工程总承包榜单以145,661万元高居全国第12位 (P000101)；境外工程项目管理榜单以4,156万元位居全国第11位 (P000101)。追溯至2019年榜单，其境外工程项目管理营业额以9,260万元高居全国第4位，境外工程总承包以124,908万元位居全国第22位 (P000110)——五年间境外总包位次从第22位跃至第12位（own_calc：位次提升10位）。</w:t>
      </w:r>
    </w:p>
    <w:p>
      <w:pPr>
        <w:pStyle w:val="ListBullet"/>
      </w:pPr>
      <w:r>
        <w:rPr>
          <w:rFonts w:ascii="Calibri" w:hAnsi="Calibri" w:eastAsia="微软雅黑"/>
          <w:b/>
          <w:i w:val="0"/>
          <w:sz w:val="22"/>
        </w:rPr>
        <w:t>动作</w:t>
      </w:r>
      <w:r>
        <w:rPr>
          <w:rFonts w:ascii="Calibri" w:hAnsi="Calibri" w:eastAsia="微软雅黑"/>
          <w:b w:val="0"/>
          <w:i w:val="0"/>
          <w:sz w:val="22"/>
        </w:rPr>
        <w:t>：针对海外大型石化EPC项目，按照境外子榜单要求建立境内外收入准确划分与凭证勾稽体系 (P000112)；对特种设备采购与现场安装分包建立"采购合同-到场验收单-发票进账凭证"合规审查机制（本研究归纳）(P000112)。</w:t>
      </w:r>
    </w:p>
    <w:p>
      <w:pPr>
        <w:pStyle w:val="ListBullet"/>
      </w:pPr>
      <w:r>
        <w:rPr>
          <w:rFonts w:ascii="Calibri" w:hAnsi="Calibri" w:eastAsia="微软雅黑"/>
          <w:b/>
          <w:i w:val="0"/>
          <w:sz w:val="22"/>
        </w:rPr>
        <w:t>结果</w:t>
      </w:r>
      <w:r>
        <w:rPr>
          <w:rFonts w:ascii="Calibri" w:hAnsi="Calibri" w:eastAsia="微软雅黑"/>
          <w:b w:val="0"/>
          <w:i w:val="0"/>
          <w:sz w:val="22"/>
        </w:rPr>
        <w:t>：实现了跨国特大型化工EPC项目的合规申报，连续多年在境内外总承包及境外项目管理多张榜单中稳居前列（本研究解读）(P000101, P000110)。</w:t>
      </w:r>
    </w:p>
    <w:p>
      <w:r>
        <w:rPr>
          <w:rFonts w:ascii="Calibri" w:hAnsi="Calibri" w:eastAsia="微软雅黑"/>
          <w:b/>
          <w:i w:val="0"/>
          <w:sz w:val="22"/>
        </w:rPr>
        <w:t>案例二：中国核电工程有限公司（特大型核电EPC全流程凭证链管控标杆）</w:t>
      </w:r>
    </w:p>
    <w:p>
      <w:pPr>
        <w:pStyle w:val="ListBullet"/>
      </w:pPr>
      <w:r>
        <w:rPr>
          <w:rFonts w:ascii="Calibri" w:hAnsi="Calibri" w:eastAsia="微软雅黑"/>
          <w:b/>
          <w:i w:val="0"/>
          <w:sz w:val="22"/>
        </w:rPr>
        <w:t>数据</w:t>
      </w:r>
      <w:r>
        <w:rPr>
          <w:rFonts w:ascii="Calibri" w:hAnsi="Calibri" w:eastAsia="微软雅黑"/>
          <w:b w:val="0"/>
          <w:i w:val="0"/>
          <w:sz w:val="22"/>
        </w:rPr>
        <w:t>：在2023年发布榜单中以2,286,021万元高居全国第6位 (P000101)。</w:t>
      </w:r>
    </w:p>
    <w:p>
      <w:pPr>
        <w:pStyle w:val="ListBullet"/>
      </w:pPr>
      <w:r>
        <w:rPr>
          <w:rFonts w:ascii="Calibri" w:hAnsi="Calibri" w:eastAsia="微软雅黑"/>
          <w:b/>
          <w:i w:val="0"/>
          <w:sz w:val="22"/>
        </w:rPr>
        <w:t>动作</w:t>
      </w:r>
      <w:r>
        <w:rPr>
          <w:rFonts w:ascii="Calibri" w:hAnsi="Calibri" w:eastAsia="微软雅黑"/>
          <w:b w:val="0"/>
          <w:i w:val="0"/>
          <w:sz w:val="22"/>
        </w:rPr>
        <w:t>：核电EPC总承包涉及穹顶吊装、冷态功能试验等多个重大技术里程碑，工程以"穹顶吊装"为物理与逻辑双重分水岭实现从土建关键路径向系统逻辑路径的转场管理 (P000152)。公司将当年度完成营业额与核电工程质量保证体系下的里程碑验收文件严格绑定，设备采购按总包集成责任全额归集（本句后半为本研究基于申报规则的机制归纳）(P000112, P000152)。</w:t>
      </w:r>
    </w:p>
    <w:p>
      <w:pPr>
        <w:pStyle w:val="ListBullet"/>
      </w:pPr>
      <w:r>
        <w:rPr>
          <w:rFonts w:ascii="Calibri" w:hAnsi="Calibri" w:eastAsia="微软雅黑"/>
          <w:b/>
          <w:i w:val="0"/>
          <w:sz w:val="22"/>
        </w:rPr>
        <w:t>结果</w:t>
      </w:r>
      <w:r>
        <w:rPr>
          <w:rFonts w:ascii="Calibri" w:hAnsi="Calibri" w:eastAsia="微软雅黑"/>
          <w:b w:val="0"/>
          <w:i w:val="0"/>
          <w:sz w:val="22"/>
        </w:rPr>
        <w:t>：以228.60亿元量级的合规营业额锁定全国前六（own_calc：2,286,021万元折算约228.60亿元），为其核电EPC总承包业务的品质履约与行业标杆地位提供了数据支撑</w:t>
      </w:r>
    </w:p>
    <w:p>
      <w:r>
        <w:rPr>
          <w:rFonts w:ascii="Calibri" w:hAnsi="Calibri" w:eastAsia="微软雅黑"/>
          <w:b w:val="0"/>
          <w:i w:val="0"/>
          <w:sz w:val="22"/>
        </w:rPr>
        <w:t>核电案例给普通企业的启示不在其体量，而在其凭证链的完整颗粒：每一笔产值都对应一份可调阅的验收文件，每一次归集都能回放当时的签认场景。这种证据密度平时看似繁琐，争议发生时却价值连城——无论是业主质疑、审计质询还是联合体内部的份额纠纷，翻出档案即可自证。把"每笔产值配一份可回放凭证"设为申报工作的内控标准，是各行业皆宜的朴素纪律（本段为本研究解读性判断）。 (P000101)。</w:t>
      </w:r>
    </w:p>
    <w:p>
      <w:pPr>
        <w:pStyle w:val="Heading3"/>
      </w:pPr>
      <w:r>
        <w:t>2.5.4 企业的"三审三比"合规自查与防爆审计指南</w:t>
      </w:r>
    </w:p>
    <w:p>
      <w:r>
        <w:rPr>
          <w:rFonts w:ascii="Calibri" w:hAnsi="Calibri" w:eastAsia="微软雅黑"/>
          <w:b w:val="0"/>
          <w:i w:val="0"/>
          <w:sz w:val="22"/>
        </w:rPr>
        <w:t>为确保每年4月30日前提交的申报数据经得起行业抽查与外部审计 (P000112)，企业经营管理层应在内部推行"三审三比"自查流程（本研究方法论建议，规则锚点随文标注）：</w:t>
      </w:r>
    </w:p>
    <w:p>
      <w:r>
        <w:rPr>
          <w:rFonts w:ascii="Calibri" w:hAnsi="Calibri" w:eastAsia="微软雅黑"/>
          <w:b/>
          <w:i w:val="0"/>
          <w:sz w:val="22"/>
        </w:rPr>
        <w:t>三审（凭证真实性审核）</w:t>
      </w:r>
    </w:p>
    <w:p>
      <w:pPr>
        <w:pStyle w:val="ListNumber"/>
      </w:pPr>
      <w:r>
        <w:rPr>
          <w:rFonts w:ascii="Calibri" w:hAnsi="Calibri" w:eastAsia="微软雅黑"/>
          <w:b/>
          <w:i w:val="0"/>
          <w:sz w:val="22"/>
        </w:rPr>
        <w:t>审资质与合同</w:t>
      </w:r>
      <w:r>
        <w:rPr>
          <w:rFonts w:ascii="Calibri" w:hAnsi="Calibri" w:eastAsia="微软雅黑"/>
          <w:b w:val="0"/>
          <w:i w:val="0"/>
          <w:sz w:val="22"/>
        </w:rPr>
        <w:t>：核查企业设计资质等级与EPC合同主体是否一致 (P000112)。</w:t>
      </w:r>
    </w:p>
    <w:p>
      <w:pPr>
        <w:pStyle w:val="ListNumber"/>
      </w:pPr>
      <w:r>
        <w:rPr>
          <w:rFonts w:ascii="Calibri" w:hAnsi="Calibri" w:eastAsia="微软雅黑"/>
          <w:b/>
          <w:i w:val="0"/>
          <w:sz w:val="22"/>
        </w:rPr>
        <w:t>审现场签认单</w:t>
      </w:r>
      <w:r>
        <w:rPr>
          <w:rFonts w:ascii="Calibri" w:hAnsi="Calibri" w:eastAsia="微软雅黑"/>
          <w:b w:val="0"/>
          <w:i w:val="0"/>
          <w:sz w:val="22"/>
        </w:rPr>
        <w:t>：核查业主与监理签署的当年度实际完成工程量计量单，凡无业主代表签字和监理盖章的产值一律不予计入 (P000112)。</w:t>
      </w:r>
    </w:p>
    <w:p>
      <w:pPr>
        <w:pStyle w:val="ListNumber"/>
      </w:pPr>
      <w:r>
        <w:rPr>
          <w:rFonts w:ascii="Calibri" w:hAnsi="Calibri" w:eastAsia="微软雅黑"/>
          <w:b/>
          <w:i w:val="0"/>
          <w:sz w:val="22"/>
        </w:rPr>
        <w:t>审扣除项台账</w:t>
      </w:r>
      <w:r>
        <w:rPr>
          <w:rFonts w:ascii="Calibri" w:hAnsi="Calibri" w:eastAsia="微软雅黑"/>
          <w:b w:val="0"/>
          <w:i w:val="0"/>
          <w:sz w:val="22"/>
        </w:rPr>
        <w:t>：核查依法分包额与联合体非本企业份额是否已精准剔除 (P000112)。</w:t>
      </w:r>
    </w:p>
    <w:p>
      <w:r>
        <w:rPr>
          <w:rFonts w:ascii="Calibri" w:hAnsi="Calibri" w:eastAsia="微软雅黑"/>
          <w:b/>
          <w:i w:val="0"/>
          <w:sz w:val="22"/>
        </w:rPr>
        <w:t>三比（勾稽合理性比对）</w:t>
      </w:r>
    </w:p>
    <w:p>
      <w:pPr>
        <w:pStyle w:val="ListNumber"/>
      </w:pPr>
      <w:r>
        <w:rPr>
          <w:rFonts w:ascii="Calibri" w:hAnsi="Calibri" w:eastAsia="微软雅黑"/>
          <w:b/>
          <w:i w:val="0"/>
          <w:sz w:val="22"/>
        </w:rPr>
        <w:t>比合同额与产值</w:t>
      </w:r>
      <w:r>
        <w:rPr>
          <w:rFonts w:ascii="Calibri" w:hAnsi="Calibri" w:eastAsia="微软雅黑"/>
          <w:b w:val="0"/>
          <w:i w:val="0"/>
          <w:sz w:val="22"/>
        </w:rPr>
        <w:t>：申报完成额是否合理处于合同总额与施工工期梯度之内 (P000112)。</w:t>
      </w:r>
    </w:p>
    <w:p>
      <w:pPr>
        <w:pStyle w:val="ListNumber"/>
      </w:pPr>
      <w:r>
        <w:rPr>
          <w:rFonts w:ascii="Calibri" w:hAnsi="Calibri" w:eastAsia="微软雅黑"/>
          <w:b/>
          <w:i w:val="0"/>
          <w:sz w:val="22"/>
        </w:rPr>
        <w:t>比产值与财务营收</w:t>
      </w:r>
      <w:r>
        <w:rPr>
          <w:rFonts w:ascii="Calibri" w:hAnsi="Calibri" w:eastAsia="微软雅黑"/>
          <w:b w:val="0"/>
          <w:i w:val="0"/>
          <w:sz w:val="22"/>
        </w:rPr>
        <w:t>：对比统计完成额与财务履约进度收入，分析偏差合理性（如准则调整或结算滞后）。</w:t>
      </w:r>
    </w:p>
    <w:p>
      <w:pPr>
        <w:pStyle w:val="ListNumber"/>
      </w:pPr>
      <w:r>
        <w:rPr>
          <w:rFonts w:ascii="Calibri" w:hAnsi="Calibri" w:eastAsia="微软雅黑"/>
          <w:b/>
          <w:i w:val="0"/>
          <w:sz w:val="22"/>
        </w:rPr>
        <w:t>比统计额与税务开票</w:t>
      </w:r>
      <w:r>
        <w:rPr>
          <w:rFonts w:ascii="Calibri" w:hAnsi="Calibri" w:eastAsia="微软雅黑"/>
          <w:b w:val="0"/>
          <w:i w:val="0"/>
          <w:sz w:val="22"/>
        </w:rPr>
        <w:t>：比对当年度累计开票金额，对"已签认未开票"部分建立应收账款与产值备查簿，防止税务合规风险。</w:t>
      </w:r>
    </w:p>
    <w:p>
      <w:r>
        <w:rPr>
          <w:rFonts w:ascii="Calibri" w:hAnsi="Calibri" w:eastAsia="微软雅黑"/>
          <w:b w:val="0"/>
          <w:i w:val="0"/>
          <w:sz w:val="22"/>
        </w:rPr>
        <w:t>自查中两类信号最值得警惕（本研究归纳的预警经验）：一是"单项目年度完成额畸高"——某项目单年申报完成额若接近甚至超过合同总额而现场形象进度明显不及，复核环节极易被抽中质证，企业应提前备好设备集中到货证明等支撑材料；二是"三表打架"——表三汇总数、表五明细加总数与财务台账数三者对不齐，说明内部凭证链存在断点，此时宁可先补证据再申报，也不要带病报数</w:t>
      </w:r>
    </w:p>
    <w:p>
      <w:r>
        <w:rPr>
          <w:rFonts w:ascii="Calibri" w:hAnsi="Calibri" w:eastAsia="微软雅黑"/>
          <w:b w:val="0"/>
          <w:i w:val="0"/>
          <w:sz w:val="22"/>
        </w:rPr>
        <w:t>自查的节奏同样讲究：一次性运动式排查容易做成纸面文章，更好的安排是把它编织进日常的月度经营分析会——每月抽取两三个在建项目，当场过一遍三审三比的对应条目，留痕归档。一年下来，全部重点项目自然轮检一遍，既摊薄了工作量，也让合规意识长在日常管理的肌肉里，而不是每年春天临时抱佛脚（本段为本研究方法论建议）。 (P000112)。</w:t>
      </w:r>
    </w:p>
    <w:p>
      <w:r>
        <w:rPr>
          <w:rFonts w:ascii="Calibri" w:hAnsi="Calibri" w:eastAsia="微软雅黑"/>
          <w:b w:val="0"/>
          <w:i w:val="0"/>
          <w:sz w:val="22"/>
        </w:rPr>
        <w:t>---</w:t>
      </w:r>
    </w:p>
    <w:p>
      <w:pPr>
        <w:pStyle w:val="Heading2"/>
      </w:pPr>
      <w:r>
        <w:t>2.6 复杂场景实操对账与方法论落地机制</w:t>
      </w:r>
    </w:p>
    <w:p>
      <w:pPr>
        <w:pStyle w:val="Heading3"/>
      </w:pPr>
      <w:r>
        <w:t>2.6.1 联合体（JV）项目权责划分与跨企业产值划转模型</w:t>
      </w:r>
    </w:p>
    <w:p>
      <w:r>
        <w:rPr>
          <w:rFonts w:ascii="Calibri" w:hAnsi="Calibri" w:eastAsia="微软雅黑"/>
          <w:b w:val="0"/>
          <w:i w:val="0"/>
          <w:sz w:val="22"/>
        </w:rPr>
        <w:t>在大型跨赛道工程中，设计院与施工企业组成联合体投标已成为常态。为了在中设协排名申报中精准划分联合体各方营业额，可构建如下划转模型（本研究方法论框架；比例数字为示意性复盘，实际以《联合体协议书》约定为准）(P000112)：</w:t>
      </w:r>
    </w:p>
    <w:p>
      <w:pPr>
        <w:pStyle w:val="ListBullet"/>
      </w:pPr>
      <w:r>
        <w:rPr>
          <w:rFonts w:ascii="Calibri" w:hAnsi="Calibri" w:eastAsia="微软雅黑"/>
          <w:b/>
          <w:i w:val="0"/>
          <w:sz w:val="22"/>
        </w:rPr>
        <w:t>划转逻辑</w:t>
      </w:r>
      <w:r>
        <w:rPr>
          <w:rFonts w:ascii="Calibri" w:hAnsi="Calibri" w:eastAsia="微软雅黑"/>
          <w:b w:val="0"/>
          <w:i w:val="0"/>
          <w:sz w:val="22"/>
        </w:rPr>
        <w:t>：若联合体合同总额为C，当年度现场实际完成总产值为P，按协议约定设计与采购占比α、建安施工占比β（α+β=100%），则设计院A申报额=P×α，施工企业B申报额=P×β。</w:t>
      </w:r>
    </w:p>
    <w:p>
      <w:pPr>
        <w:pStyle w:val="ListBullet"/>
      </w:pPr>
      <w:r>
        <w:rPr>
          <w:rFonts w:ascii="Calibri" w:hAnsi="Calibri" w:eastAsia="微软雅黑"/>
          <w:b/>
          <w:i w:val="0"/>
          <w:sz w:val="22"/>
        </w:rPr>
        <w:t>实操防重关键</w:t>
      </w:r>
      <w:r>
        <w:rPr>
          <w:rFonts w:ascii="Calibri" w:hAnsi="Calibri" w:eastAsia="微软雅黑"/>
          <w:b w:val="0"/>
          <w:i w:val="0"/>
          <w:sz w:val="22"/>
        </w:rPr>
        <w:t>：设计院A作为牵头人在表五中填报该项目时，必须在备注栏注明"联合体承接，本企业承担设计与采购部分，占比α"，合同总额栏填写C×α，严禁填报合同全额C，确保跨企业产值划转清晰透明</w:t>
      </w:r>
    </w:p>
    <w:p>
      <w:r>
        <w:rPr>
          <w:rFonts w:ascii="Calibri" w:hAnsi="Calibri" w:eastAsia="微软雅黑"/>
          <w:b w:val="0"/>
          <w:i w:val="0"/>
          <w:sz w:val="22"/>
        </w:rPr>
        <w:t>落到协议谈判桌上，划转模型提醒各方先谈拢三件容易被忽略的小事：其一，中途退出的份额处理——一方中途撤场时，已完成产值如何切分、违约金基数如何认定；其二，知识产权与品牌署名的归属，这直接影响后续年度各自申报项目明细时的表述；其三，凭证的保管义务与查阅权，谁留原件、谁持副本、复核时谁负责出面举证。这三件事在蜜月期无人计较，在纠纷期却桩桩都是导火索（本段为本研究方法论建议）。 (P000112)。</w:t>
      </w:r>
    </w:p>
    <w:p>
      <w:pPr>
        <w:pStyle w:val="Heading3"/>
      </w:pPr>
      <w:r>
        <w:t>2.6.2 境外EPC项目统计穿透的三大实务规则</w:t>
      </w:r>
    </w:p>
    <w:p>
      <w:r>
        <w:rPr>
          <w:rFonts w:ascii="Calibri" w:hAnsi="Calibri" w:eastAsia="微软雅黑"/>
          <w:b w:val="0"/>
          <w:i w:val="0"/>
          <w:sz w:val="22"/>
        </w:rPr>
        <w:t>中设协设立"境外工程总承包营业额"与"境外工程项目管理营业额"两个平行子榜单 (P000112)。处理境外项目数据时，需掌握三大核心实务规则（本研究基于申报体系归纳）：</w:t>
      </w:r>
    </w:p>
    <w:p>
      <w:pPr>
        <w:pStyle w:val="ListNumber"/>
      </w:pPr>
      <w:r>
        <w:rPr>
          <w:rFonts w:ascii="Calibri" w:hAnsi="Calibri" w:eastAsia="微软雅黑"/>
          <w:b/>
          <w:i w:val="0"/>
          <w:sz w:val="22"/>
        </w:rPr>
        <w:t>收入划分刚性</w:t>
      </w:r>
      <w:r>
        <w:rPr>
          <w:rFonts w:ascii="Calibri" w:hAnsi="Calibri" w:eastAsia="微软雅黑"/>
          <w:b w:val="0"/>
          <w:i w:val="0"/>
          <w:sz w:val="22"/>
        </w:rPr>
        <w:t>：管理办法要求企业准确划分境内与境外收入，防止跨国业务核算混淆 (P000112)。</w:t>
      </w:r>
    </w:p>
    <w:p>
      <w:pPr>
        <w:pStyle w:val="ListNumber"/>
      </w:pPr>
      <w:r>
        <w:rPr>
          <w:rFonts w:ascii="Calibri" w:hAnsi="Calibri" w:eastAsia="微软雅黑"/>
          <w:b/>
          <w:i w:val="0"/>
          <w:sz w:val="22"/>
        </w:rPr>
        <w:t>凭证链条适配</w:t>
      </w:r>
      <w:r>
        <w:rPr>
          <w:rFonts w:ascii="Calibri" w:hAnsi="Calibri" w:eastAsia="微软雅黑"/>
          <w:b w:val="0"/>
          <w:i w:val="0"/>
          <w:sz w:val="22"/>
        </w:rPr>
        <w:t>：境外项目同样适用表四、表五的明细穿透要求，海外业主签认的进度证明与结算凭证构成申报基底 (P000112)。</w:t>
      </w:r>
    </w:p>
    <w:p>
      <w:pPr>
        <w:pStyle w:val="ListNumber"/>
      </w:pPr>
      <w:r>
        <w:rPr>
          <w:rFonts w:ascii="Calibri" w:hAnsi="Calibri" w:eastAsia="微软雅黑"/>
          <w:b/>
          <w:i w:val="0"/>
          <w:sz w:val="22"/>
        </w:rPr>
        <w:t>榜单历史纵深</w:t>
      </w:r>
      <w:r>
        <w:rPr>
          <w:rFonts w:ascii="Calibri" w:hAnsi="Calibri" w:eastAsia="微软雅黑"/>
          <w:b w:val="0"/>
          <w:i w:val="0"/>
          <w:sz w:val="22"/>
        </w:rPr>
        <w:t>：境外榜单自2019年发布至今，头部企业的境外表现存在明显赛道轮动——中材国际2019年以1,422,882万元登顶境外总承包榜首，中国石油工程建设1,289,897万元居次 (P000110)；2023年与2024年发布榜单中国石油工程建设连续登顶（1,315,651万元、1,373,262万元）(P000105, P000113)；2025年发布榜单中材国际以1,402,850万元重回第一 (P000106)。境外项目管理榜首则由中国铁路设计集团长期锁定（2019年9,569万元第3位 (P000110)，2023至2025年连续第一）(P000105, P000113, P000106)。</w:t>
      </w:r>
    </w:p>
    <w:p>
      <w:r>
        <w:rPr>
          <w:rFonts w:ascii="Calibri" w:hAnsi="Calibri" w:eastAsia="微软雅黑"/>
          <w:b w:val="0"/>
          <w:i w:val="0"/>
          <w:sz w:val="22"/>
        </w:rPr>
        <w:t>把七个年份的境外榜数据连成时间序列，还能读出单看某一年的榜单读不出的东西：谁在连续攀升，谁在间歇性缺席，谁的位次随油价或产能周期起伏。这类长周期档案对正在制定出海战略的企业尤具参考价值——选择进入的时点、对标的锚定对象、以及对手阵营的稳定性判断，都应当建立在对整条曲线而非单个截面的审视之上（本段为本研究解读性判断）。</w:t>
      </w:r>
    </w:p>
    <w:p>
      <w:pPr>
        <w:pStyle w:val="Heading4"/>
      </w:pPr>
      <w:r>
        <w:t>表2-4 境外工程总承包榜首变迁（2019-2025年发布榜单）(P000110, P000105, P000113, P000106)</w:t>
      </w:r>
    </w:p>
    <w:tbl>
      <w:tblPr>
        <w:tblStyle w:val="TableGrid"/>
        <w:tblW w:type="auto" w:w="0"/>
        <w:tblLook w:firstColumn="1" w:firstRow="1" w:lastColumn="0" w:lastRow="0" w:noHBand="0" w:noVBand="1" w:val="04A0"/>
      </w:tblPr>
      <w:tblGrid>
        <w:gridCol w:w="1660"/>
        <w:gridCol w:w="1660"/>
        <w:gridCol w:w="1660"/>
        <w:gridCol w:w="1660"/>
        <w:gridCol w:w="1660"/>
      </w:tblGrid>
      <w:tr>
        <w:tc>
          <w:tcPr>
            <w:tcW w:type="dxa" w:w="1660"/>
            <w:shd w:fill="1F3A5F"/>
          </w:tcPr>
          <w:p>
            <w:r>
              <w:rPr>
                <w:color w:val="FFFFFF"/>
              </w:rPr>
            </w:r>
            <w:r>
              <w:rPr>
                <w:rFonts w:ascii="Calibri" w:hAnsi="Calibri" w:eastAsia="微软雅黑"/>
                <w:b/>
                <w:i w:val="0"/>
                <w:color w:val="FFFFFF"/>
                <w:sz w:val="18"/>
              </w:rPr>
              <w:t>发布年份</w:t>
            </w:r>
          </w:p>
        </w:tc>
        <w:tc>
          <w:tcPr>
            <w:tcW w:type="dxa" w:w="1660"/>
            <w:shd w:fill="1F3A5F"/>
          </w:tcPr>
          <w:p>
            <w:r>
              <w:rPr>
                <w:color w:val="FFFFFF"/>
              </w:rPr>
            </w:r>
            <w:r>
              <w:rPr>
                <w:rFonts w:ascii="Calibri" w:hAnsi="Calibri" w:eastAsia="微软雅黑"/>
                <w:b/>
                <w:i w:val="0"/>
                <w:color w:val="FFFFFF"/>
                <w:sz w:val="18"/>
              </w:rPr>
              <w:t>业绩归属年度</w:t>
            </w:r>
          </w:p>
        </w:tc>
        <w:tc>
          <w:tcPr>
            <w:tcW w:type="dxa" w:w="1660"/>
            <w:shd w:fill="1F3A5F"/>
          </w:tcPr>
          <w:p>
            <w:r>
              <w:rPr>
                <w:color w:val="FFFFFF"/>
              </w:rPr>
            </w:r>
            <w:r>
              <w:rPr>
                <w:rFonts w:ascii="Calibri" w:hAnsi="Calibri" w:eastAsia="微软雅黑"/>
                <w:b/>
                <w:i w:val="0"/>
                <w:color w:val="FFFFFF"/>
                <w:sz w:val="18"/>
              </w:rPr>
              <w:t>境外总承包榜首</w:t>
            </w:r>
          </w:p>
        </w:tc>
        <w:tc>
          <w:tcPr>
            <w:tcW w:type="dxa" w:w="1660"/>
            <w:shd w:fill="1F3A5F"/>
          </w:tcPr>
          <w:p>
            <w:r>
              <w:rPr>
                <w:color w:val="FFFFFF"/>
              </w:rPr>
            </w:r>
            <w:r>
              <w:rPr>
                <w:rFonts w:ascii="Calibri" w:hAnsi="Calibri" w:eastAsia="微软雅黑"/>
                <w:b/>
                <w:i w:val="0"/>
                <w:color w:val="FFFFFF"/>
                <w:sz w:val="18"/>
              </w:rPr>
              <w:t>营业额（万元）</w:t>
            </w:r>
          </w:p>
        </w:tc>
        <w:tc>
          <w:tcPr>
            <w:tcW w:type="dxa" w:w="1660"/>
            <w:shd w:fill="1F3A5F"/>
          </w:tcPr>
          <w:p>
            <w:r>
              <w:rPr>
                <w:color w:val="FFFFFF"/>
              </w:rPr>
            </w:r>
            <w:r>
              <w:rPr>
                <w:rFonts w:ascii="Calibri" w:hAnsi="Calibri" w:eastAsia="微软雅黑"/>
                <w:b/>
                <w:i w:val="0"/>
                <w:color w:val="FFFFFF"/>
                <w:sz w:val="18"/>
              </w:rPr>
              <w:t>上榜企业数</w:t>
            </w:r>
          </w:p>
        </w:tc>
      </w:tr>
      <w:tr>
        <w:tc>
          <w:tcPr>
            <w:tcW w:type="dxa" w:w="1660"/>
          </w:tcPr>
          <w:p>
            <w:r/>
            <w:r>
              <w:rPr>
                <w:rFonts w:ascii="Calibri" w:hAnsi="Calibri" w:eastAsia="微软雅黑"/>
                <w:b w:val="0"/>
                <w:i w:val="0"/>
                <w:sz w:val="18"/>
              </w:rPr>
              <w:t>2019</w:t>
            </w:r>
          </w:p>
        </w:tc>
        <w:tc>
          <w:tcPr>
            <w:tcW w:type="dxa" w:w="1660"/>
          </w:tcPr>
          <w:p>
            <w:r/>
            <w:r>
              <w:rPr>
                <w:rFonts w:ascii="Calibri" w:hAnsi="Calibri" w:eastAsia="微软雅黑"/>
                <w:b w:val="0"/>
                <w:i w:val="0"/>
                <w:sz w:val="18"/>
              </w:rPr>
              <w:t>2018</w:t>
            </w:r>
          </w:p>
        </w:tc>
        <w:tc>
          <w:tcPr>
            <w:tcW w:type="dxa" w:w="1660"/>
          </w:tcPr>
          <w:p>
            <w:r/>
            <w:r>
              <w:rPr>
                <w:rFonts w:ascii="Calibri" w:hAnsi="Calibri" w:eastAsia="微软雅黑"/>
                <w:b w:val="0"/>
                <w:i w:val="0"/>
                <w:sz w:val="18"/>
              </w:rPr>
              <w:t>中国中材国际工程股份有限公司</w:t>
            </w:r>
          </w:p>
        </w:tc>
        <w:tc>
          <w:tcPr>
            <w:tcW w:type="dxa" w:w="1660"/>
          </w:tcPr>
          <w:p>
            <w:r/>
            <w:r>
              <w:rPr>
                <w:rFonts w:ascii="Calibri" w:hAnsi="Calibri" w:eastAsia="微软雅黑"/>
                <w:b w:val="0"/>
                <w:i w:val="0"/>
                <w:sz w:val="18"/>
              </w:rPr>
              <w:t>1,422,882</w:t>
            </w:r>
          </w:p>
        </w:tc>
        <w:tc>
          <w:tcPr>
            <w:tcW w:type="dxa" w:w="1660"/>
          </w:tcPr>
          <w:p>
            <w:r/>
            <w:r>
              <w:rPr>
                <w:rFonts w:ascii="Calibri" w:hAnsi="Calibri" w:eastAsia="微软雅黑"/>
                <w:b w:val="0"/>
                <w:i w:val="0"/>
                <w:sz w:val="18"/>
              </w:rPr>
              <w:t>—</w:t>
            </w:r>
          </w:p>
        </w:tc>
      </w:tr>
      <w:tr>
        <w:tc>
          <w:tcPr>
            <w:tcW w:type="dxa" w:w="1660"/>
          </w:tcPr>
          <w:p>
            <w:r/>
            <w:r>
              <w:rPr>
                <w:rFonts w:ascii="Calibri" w:hAnsi="Calibri" w:eastAsia="微软雅黑"/>
                <w:b w:val="0"/>
                <w:i w:val="0"/>
                <w:sz w:val="18"/>
              </w:rPr>
              <w:t>2023</w:t>
            </w:r>
          </w:p>
        </w:tc>
        <w:tc>
          <w:tcPr>
            <w:tcW w:type="dxa" w:w="1660"/>
          </w:tcPr>
          <w:p>
            <w:r/>
            <w:r>
              <w:rPr>
                <w:rFonts w:ascii="Calibri" w:hAnsi="Calibri" w:eastAsia="微软雅黑"/>
                <w:b w:val="0"/>
                <w:i w:val="0"/>
                <w:sz w:val="18"/>
              </w:rPr>
              <w:t>2022</w:t>
            </w:r>
          </w:p>
        </w:tc>
        <w:tc>
          <w:tcPr>
            <w:tcW w:type="dxa" w:w="1660"/>
          </w:tcPr>
          <w:p>
            <w:r/>
            <w:r>
              <w:rPr>
                <w:rFonts w:ascii="Calibri" w:hAnsi="Calibri" w:eastAsia="微软雅黑"/>
                <w:b w:val="0"/>
                <w:i w:val="0"/>
                <w:sz w:val="18"/>
              </w:rPr>
              <w:t>中国石油工程建设有限公司</w:t>
            </w:r>
          </w:p>
        </w:tc>
        <w:tc>
          <w:tcPr>
            <w:tcW w:type="dxa" w:w="1660"/>
          </w:tcPr>
          <w:p>
            <w:r/>
            <w:r>
              <w:rPr>
                <w:rFonts w:ascii="Calibri" w:hAnsi="Calibri" w:eastAsia="微软雅黑"/>
                <w:b w:val="0"/>
                <w:i w:val="0"/>
                <w:sz w:val="18"/>
              </w:rPr>
              <w:t>1,315,651</w:t>
            </w:r>
          </w:p>
        </w:tc>
        <w:tc>
          <w:tcPr>
            <w:tcW w:type="dxa" w:w="1660"/>
          </w:tcPr>
          <w:p>
            <w:r/>
            <w:r>
              <w:rPr>
                <w:rFonts w:ascii="Calibri" w:hAnsi="Calibri" w:eastAsia="微软雅黑"/>
                <w:b w:val="0"/>
                <w:i w:val="0"/>
                <w:sz w:val="18"/>
              </w:rPr>
              <w:t>74家</w:t>
            </w:r>
          </w:p>
        </w:tc>
      </w:tr>
      <w:tr>
        <w:tc>
          <w:tcPr>
            <w:tcW w:type="dxa" w:w="1660"/>
          </w:tcPr>
          <w:p>
            <w:r/>
            <w:r>
              <w:rPr>
                <w:rFonts w:ascii="Calibri" w:hAnsi="Calibri" w:eastAsia="微软雅黑"/>
                <w:b w:val="0"/>
                <w:i w:val="0"/>
                <w:sz w:val="18"/>
              </w:rPr>
              <w:t>2024</w:t>
            </w:r>
          </w:p>
        </w:tc>
        <w:tc>
          <w:tcPr>
            <w:tcW w:type="dxa" w:w="1660"/>
          </w:tcPr>
          <w:p>
            <w:r/>
            <w:r>
              <w:rPr>
                <w:rFonts w:ascii="Calibri" w:hAnsi="Calibri" w:eastAsia="微软雅黑"/>
                <w:b w:val="0"/>
                <w:i w:val="0"/>
                <w:sz w:val="18"/>
              </w:rPr>
              <w:t>2023</w:t>
            </w:r>
          </w:p>
        </w:tc>
        <w:tc>
          <w:tcPr>
            <w:tcW w:type="dxa" w:w="1660"/>
          </w:tcPr>
          <w:p>
            <w:r/>
            <w:r>
              <w:rPr>
                <w:rFonts w:ascii="Calibri" w:hAnsi="Calibri" w:eastAsia="微软雅黑"/>
                <w:b w:val="0"/>
                <w:i w:val="0"/>
                <w:sz w:val="18"/>
              </w:rPr>
              <w:t>中国石油工程建设有限公司</w:t>
            </w:r>
          </w:p>
        </w:tc>
        <w:tc>
          <w:tcPr>
            <w:tcW w:type="dxa" w:w="1660"/>
          </w:tcPr>
          <w:p>
            <w:r/>
            <w:r>
              <w:rPr>
                <w:rFonts w:ascii="Calibri" w:hAnsi="Calibri" w:eastAsia="微软雅黑"/>
                <w:b w:val="0"/>
                <w:i w:val="0"/>
                <w:sz w:val="18"/>
              </w:rPr>
              <w:t>1,373,262</w:t>
            </w:r>
          </w:p>
        </w:tc>
        <w:tc>
          <w:tcPr>
            <w:tcW w:type="dxa" w:w="1660"/>
          </w:tcPr>
          <w:p>
            <w:r/>
            <w:r>
              <w:rPr>
                <w:rFonts w:ascii="Calibri" w:hAnsi="Calibri" w:eastAsia="微软雅黑"/>
                <w:b w:val="0"/>
                <w:i w:val="0"/>
                <w:sz w:val="18"/>
              </w:rPr>
              <w:t>79家</w:t>
            </w:r>
          </w:p>
        </w:tc>
      </w:tr>
      <w:tr>
        <w:tc>
          <w:tcPr>
            <w:tcW w:type="dxa" w:w="1660"/>
          </w:tcPr>
          <w:p>
            <w:r/>
            <w:r>
              <w:rPr>
                <w:rFonts w:ascii="Calibri" w:hAnsi="Calibri" w:eastAsia="微软雅黑"/>
                <w:b w:val="0"/>
                <w:i w:val="0"/>
                <w:sz w:val="18"/>
              </w:rPr>
              <w:t>2025</w:t>
            </w:r>
          </w:p>
        </w:tc>
        <w:tc>
          <w:tcPr>
            <w:tcW w:type="dxa" w:w="1660"/>
          </w:tcPr>
          <w:p>
            <w:r/>
            <w:r>
              <w:rPr>
                <w:rFonts w:ascii="Calibri" w:hAnsi="Calibri" w:eastAsia="微软雅黑"/>
                <w:b w:val="0"/>
                <w:i w:val="0"/>
                <w:sz w:val="18"/>
              </w:rPr>
              <w:t>2024</w:t>
            </w:r>
          </w:p>
        </w:tc>
        <w:tc>
          <w:tcPr>
            <w:tcW w:type="dxa" w:w="1660"/>
          </w:tcPr>
          <w:p>
            <w:r/>
            <w:r>
              <w:rPr>
                <w:rFonts w:ascii="Calibri" w:hAnsi="Calibri" w:eastAsia="微软雅黑"/>
                <w:b w:val="0"/>
                <w:i w:val="0"/>
                <w:sz w:val="18"/>
              </w:rPr>
              <w:t>中国中材国际工程股份有限公司</w:t>
            </w:r>
          </w:p>
        </w:tc>
        <w:tc>
          <w:tcPr>
            <w:tcW w:type="dxa" w:w="1660"/>
          </w:tcPr>
          <w:p>
            <w:r/>
            <w:r>
              <w:rPr>
                <w:rFonts w:ascii="Calibri" w:hAnsi="Calibri" w:eastAsia="微软雅黑"/>
                <w:b w:val="0"/>
                <w:i w:val="0"/>
                <w:sz w:val="18"/>
              </w:rPr>
              <w:t>1,402,850</w:t>
            </w:r>
          </w:p>
        </w:tc>
        <w:tc>
          <w:tcPr>
            <w:tcW w:type="dxa" w:w="1660"/>
          </w:tcPr>
          <w:p>
            <w:r/>
            <w:r>
              <w:rPr>
                <w:rFonts w:ascii="Calibri" w:hAnsi="Calibri" w:eastAsia="微软雅黑"/>
                <w:b w:val="0"/>
                <w:i w:val="0"/>
                <w:sz w:val="18"/>
              </w:rPr>
              <w:t>79家</w:t>
            </w:r>
          </w:p>
        </w:tc>
      </w:tr>
    </w:tbl>
    <w:p>
      <w:r>
        <w:rPr>
          <w:rFonts w:ascii="Calibri" w:hAnsi="Calibri" w:eastAsia="微软雅黑"/>
          <w:b w:val="0"/>
          <w:i w:val="0"/>
          <w:sz w:val="22"/>
        </w:rPr>
        <w:t>榜首轮回的背后是两类出海模式的角力：中材国际代表"技术装备出口+全球属地经营"的工业EPC模式，中国石油工程建设代表"能源基建+工程服务"的油气模式；前者胜在市占率与品牌复利</w:t>
      </w:r>
    </w:p>
    <w:p>
      <w:r>
        <w:rPr>
          <w:rFonts w:ascii="Calibri" w:hAnsi="Calibri" w:eastAsia="微软雅黑"/>
          <w:b w:val="0"/>
          <w:i w:val="0"/>
          <w:sz w:val="22"/>
        </w:rPr>
        <w:t>境外数据的采集还有一处实务暗礁值得交代：币种与折算时点。境外合同的计价货币五花多样，企业内部台账若不统一规定折算基准日，同一项目的美元、欧元流水会在不同报表里呈现不同的人民币面貌；申报境外子榜单时，折算口径一旦与凭证所载不一致，复核环节便需要额外出具说明。把折算规则写进申报操作手册，是成本极低、省却后患极多的一步（本段为本研究方法论建议）。，后者胜在单体合同规模与资源国绑定深度（本段为本研究解读）(P000110, P000106)。</w:t>
      </w:r>
    </w:p>
    <w:p>
      <w:pPr>
        <w:pStyle w:val="Heading3"/>
      </w:pPr>
      <w:r>
        <w:t>2.6.3 专项研究视角：中石化南京工程的"位移公理"与双源融合</w:t>
      </w:r>
    </w:p>
    <w:p>
      <w:r>
        <w:rPr>
          <w:rFonts w:ascii="Calibri" w:hAnsi="Calibri" w:eastAsia="微软雅黑"/>
          <w:b w:val="0"/>
          <w:i w:val="0"/>
          <w:sz w:val="22"/>
        </w:rPr>
        <w:t>对中石化南京工程有限公司的专项研究为本章的口径与位次分析提供了一个纵深样本 (P000151)。该研究勾勒的企业路径极具代表性：从股权治理与重组基因出发，通过"双源合一"奠定企业法人级交付基座；在业务版图上呈现国内第50位与海外第13位的"位移公理"——境内总包体量与境外渗透深度出现明显错位；以"双源融合"的设计施工一体化模式与海外属地重资产避险策略执行DPC交付；进而探索双碳与碳捕集利用与封存（CCUS）的商业化造血路径，并配套标杆工程极限履约与应急响应机制、组织人才梯队、数字化与智慧工地应用、风险合规与司法穿透管理，最终面向2030年演进为科技工程服务商 (P000151)。</w:t>
      </w:r>
    </w:p>
    <w:p>
      <w:r>
        <w:rPr>
          <w:rFonts w:ascii="Calibri" w:hAnsi="Calibri" w:eastAsia="微软雅黑"/>
          <w:b w:val="0"/>
          <w:i w:val="0"/>
          <w:sz w:val="22"/>
        </w:rPr>
        <w:t>将这一研究结论与官方榜单并读，可以提炼出对企业更有普遍意义的两条规律（本段为本研究解读）：</w:t>
      </w:r>
    </w:p>
    <w:p>
      <w:pPr>
        <w:pStyle w:val="ListNumber"/>
      </w:pPr>
      <w:r>
        <w:rPr>
          <w:rFonts w:ascii="Calibri" w:hAnsi="Calibri" w:eastAsia="微软雅黑"/>
          <w:b/>
          <w:i w:val="0"/>
          <w:sz w:val="22"/>
        </w:rPr>
        <w:t>境内榜与境外榜的"位移"是战略选择的结果而非偶然</w:t>
      </w:r>
      <w:r>
        <w:rPr>
          <w:rFonts w:ascii="Calibri" w:hAnsi="Calibri" w:eastAsia="微软雅黑"/>
          <w:b w:val="0"/>
          <w:i w:val="0"/>
          <w:sz w:val="22"/>
        </w:rPr>
        <w:t>。中石化南京工程在2023年发布榜单中位列总承包第86位（273,005万元），境外总承包却高居第12位（145,661万元）(P000101)——境外收入占其总承包盘子的比重约53%（own_calc：145,661/273,005）。同类企业若发现自身"境内位次不前、境外位次靠前"，应意识到这可能是化工赛道海外景气与国内产能周期错配的映像，资源配置决策要建立在对两个市场独立研判的基础上，而非用单一榜单位次以偏概全。</w:t>
      </w:r>
    </w:p>
    <w:p>
      <w:pPr>
        <w:pStyle w:val="ListNumber"/>
      </w:pPr>
      <w:r>
        <w:rPr>
          <w:rFonts w:ascii="Calibri" w:hAnsi="Calibri" w:eastAsia="微软雅黑"/>
          <w:b/>
          <w:i w:val="0"/>
          <w:sz w:val="22"/>
        </w:rPr>
        <w:t>"双源合一"式的重组整合会直接改写申报主体资格</w:t>
      </w:r>
      <w:r>
        <w:rPr>
          <w:rFonts w:ascii="Calibri" w:hAnsi="Calibri" w:eastAsia="微软雅黑"/>
          <w:b w:val="0"/>
          <w:i w:val="0"/>
          <w:sz w:val="22"/>
        </w:rPr>
        <w:t>。企业法人层级、设计资质归属与合同签署主体的每一次重组，都必须回到中设协"独立法人+乙级以上设计资质"的申报单元规则上重新校验 (P000112)，否则历史业绩的连续性叙事会在申报环节断裂。</w:t>
      </w:r>
    </w:p>
    <w:p>
      <w:r>
        <w:rPr>
          <w:rFonts w:ascii="Calibri" w:hAnsi="Calibri" w:eastAsia="微软雅黑"/>
          <w:b w:val="0"/>
          <w:i w:val="0"/>
          <w:sz w:val="22"/>
        </w:rPr>
        <w:t>"位移公理"对旁观者的用法在于校准预期：观察到一家企业境内位次平平而境外位次突出时，先别急着质疑其国内竞争力，应先查其赛道属性——化工、水泥、冶金等行业的产能出海周期与国内产能调控周期天然错拍，位次错位恰是行业景气管线的正常读数。同理，评估此类企业的成长性时，把境内、境外两条曲线分开看，比合成一条总名次更接近真相（本段为本研究解读性判断）。</w:t>
      </w:r>
    </w:p>
    <w:p>
      <w:pPr>
        <w:pStyle w:val="Heading3"/>
      </w:pPr>
      <w:r>
        <w:t>2.6.4 标杆企业多维能力矩阵与双轨勾稽全景图</w:t>
      </w:r>
    </w:p>
    <w:p>
      <w:r>
        <w:rPr>
          <w:rFonts w:ascii="Calibri" w:hAnsi="Calibri" w:eastAsia="微软雅黑"/>
          <w:b w:val="0"/>
          <w:i w:val="0"/>
          <w:sz w:val="22"/>
        </w:rPr>
        <w:t>为了给工程企业高管、设计院院长及EPC从业者提供直观的同行对标基准，将本章涉及的核心标杆企业榜单表现、财务订单数据与勾稽特征汇总如下：</w:t>
      </w:r>
    </w:p>
    <w:p>
      <w:pPr>
        <w:pStyle w:val="Heading4"/>
      </w:pPr>
      <w:r>
        <w:t>表2-5 核心标杆企业多维能力与勾稽对账全景表</w:t>
      </w:r>
    </w:p>
    <w:tbl>
      <w:tblPr>
        <w:tblStyle w:val="TableGrid"/>
        <w:tblW w:type="auto" w:w="0"/>
        <w:tblLook w:firstColumn="1" w:firstRow="1" w:lastColumn="0" w:lastRow="0" w:noHBand="0" w:noVBand="1" w:val="04A0"/>
      </w:tblPr>
      <w:tblGrid>
        <w:gridCol w:w="1660"/>
        <w:gridCol w:w="1660"/>
        <w:gridCol w:w="1660"/>
        <w:gridCol w:w="1660"/>
        <w:gridCol w:w="1660"/>
      </w:tblGrid>
      <w:tr>
        <w:tc>
          <w:tcPr>
            <w:tcW w:type="dxa" w:w="1660"/>
            <w:shd w:fill="1F3A5F"/>
          </w:tcPr>
          <w:p>
            <w:r>
              <w:rPr>
                <w:color w:val="FFFFFF"/>
              </w:rPr>
            </w:r>
            <w:r>
              <w:rPr>
                <w:rFonts w:ascii="Calibri" w:hAnsi="Calibri" w:eastAsia="微软雅黑"/>
                <w:b/>
                <w:i w:val="0"/>
                <w:color w:val="FFFFFF"/>
                <w:sz w:val="18"/>
              </w:rPr>
              <w:t>企业名称</w:t>
            </w:r>
          </w:p>
        </w:tc>
        <w:tc>
          <w:tcPr>
            <w:tcW w:type="dxa" w:w="1660"/>
            <w:shd w:fill="1F3A5F"/>
          </w:tcPr>
          <w:p>
            <w:r>
              <w:rPr>
                <w:color w:val="FFFFFF"/>
              </w:rPr>
            </w:r>
            <w:r>
              <w:rPr>
                <w:rFonts w:ascii="Calibri" w:hAnsi="Calibri" w:eastAsia="微软雅黑"/>
                <w:b/>
                <w:i w:val="0"/>
                <w:color w:val="FFFFFF"/>
                <w:sz w:val="18"/>
              </w:rPr>
              <w:t>核心主业特征</w:t>
            </w:r>
          </w:p>
        </w:tc>
        <w:tc>
          <w:tcPr>
            <w:tcW w:type="dxa" w:w="1660"/>
            <w:shd w:fill="1F3A5F"/>
          </w:tcPr>
          <w:p>
            <w:r>
              <w:rPr>
                <w:color w:val="FFFFFF"/>
              </w:rPr>
            </w:r>
            <w:r>
              <w:rPr>
                <w:rFonts w:ascii="Calibri" w:hAnsi="Calibri" w:eastAsia="微软雅黑"/>
                <w:b/>
                <w:i w:val="0"/>
                <w:color w:val="FFFFFF"/>
                <w:sz w:val="18"/>
              </w:rPr>
              <w:t>榜单表现（营业额/位次）</w:t>
            </w:r>
          </w:p>
        </w:tc>
        <w:tc>
          <w:tcPr>
            <w:tcW w:type="dxa" w:w="1660"/>
            <w:shd w:fill="1F3A5F"/>
          </w:tcPr>
          <w:p>
            <w:r>
              <w:rPr>
                <w:color w:val="FFFFFF"/>
              </w:rPr>
            </w:r>
            <w:r>
              <w:rPr>
                <w:rFonts w:ascii="Calibri" w:hAnsi="Calibri" w:eastAsia="微软雅黑"/>
                <w:b/>
                <w:i w:val="0"/>
                <w:color w:val="FFFFFF"/>
                <w:sz w:val="18"/>
              </w:rPr>
              <w:t>财务与订单底仓</w:t>
            </w:r>
          </w:p>
        </w:tc>
        <w:tc>
          <w:tcPr>
            <w:tcW w:type="dxa" w:w="1660"/>
            <w:shd w:fill="1F3A5F"/>
          </w:tcPr>
          <w:p>
            <w:r>
              <w:rPr>
                <w:color w:val="FFFFFF"/>
              </w:rPr>
            </w:r>
            <w:r>
              <w:rPr>
                <w:rFonts w:ascii="Calibri" w:hAnsi="Calibri" w:eastAsia="微软雅黑"/>
                <w:b/>
                <w:i w:val="0"/>
                <w:color w:val="FFFFFF"/>
                <w:sz w:val="18"/>
              </w:rPr>
              <w:t>双轨勾稽特征</w:t>
            </w:r>
          </w:p>
        </w:tc>
      </w:tr>
      <w:tr>
        <w:tc>
          <w:tcPr>
            <w:tcW w:type="dxa" w:w="1660"/>
          </w:tcPr>
          <w:p>
            <w:r/>
            <w:r>
              <w:rPr>
                <w:rFonts w:ascii="Calibri" w:hAnsi="Calibri" w:eastAsia="微软雅黑"/>
                <w:b w:val="0"/>
                <w:i w:val="0"/>
                <w:sz w:val="18"/>
              </w:rPr>
              <w:t>中国电建华东院</w:t>
            </w:r>
          </w:p>
        </w:tc>
        <w:tc>
          <w:tcPr>
            <w:tcW w:type="dxa" w:w="1660"/>
          </w:tcPr>
          <w:p>
            <w:r/>
            <w:r>
              <w:rPr>
                <w:rFonts w:ascii="Calibri" w:hAnsi="Calibri" w:eastAsia="微软雅黑"/>
                <w:b w:val="0"/>
                <w:i w:val="0"/>
                <w:sz w:val="18"/>
              </w:rPr>
              <w:t>水电新能源、水利基础设施 [来源: P000101]</w:t>
            </w:r>
          </w:p>
        </w:tc>
        <w:tc>
          <w:tcPr>
            <w:tcW w:type="dxa" w:w="1660"/>
          </w:tcPr>
          <w:p>
            <w:r/>
            <w:r>
              <w:rPr>
                <w:rFonts w:ascii="Calibri" w:hAnsi="Calibri" w:eastAsia="微软雅黑"/>
                <w:b w:val="0"/>
                <w:i w:val="0"/>
                <w:sz w:val="18"/>
              </w:rPr>
              <w:t>2023发布4,447,229万元第1；2024发布4,424,524万元第1；2025发布4,549,202万元第1 [来源: P000105, P000113, P000106]</w:t>
            </w:r>
          </w:p>
        </w:tc>
        <w:tc>
          <w:tcPr>
            <w:tcW w:type="dxa" w:w="1660"/>
          </w:tcPr>
          <w:p>
            <w:r/>
            <w:r>
              <w:rPr>
                <w:rFonts w:ascii="Calibri" w:hAnsi="Calibri" w:eastAsia="微软雅黑"/>
                <w:b w:val="0"/>
                <w:i w:val="0"/>
                <w:sz w:val="18"/>
              </w:rPr>
              <w:t>境外总包477,235万元（2023发布第4）[来源: P000101]</w:t>
            </w:r>
          </w:p>
        </w:tc>
        <w:tc>
          <w:tcPr>
            <w:tcW w:type="dxa" w:w="1660"/>
          </w:tcPr>
          <w:p>
            <w:r/>
            <w:r>
              <w:rPr>
                <w:rFonts w:ascii="Calibri" w:hAnsi="Calibri" w:eastAsia="微软雅黑"/>
                <w:b w:val="0"/>
                <w:i w:val="0"/>
                <w:sz w:val="18"/>
              </w:rPr>
              <w:t>大型水利与海上风电产值支撑；设备与施工全额合法归集 [来源: P000112]</w:t>
            </w:r>
          </w:p>
        </w:tc>
      </w:tr>
      <w:tr>
        <w:tc>
          <w:tcPr>
            <w:tcW w:type="dxa" w:w="1660"/>
          </w:tcPr>
          <w:p>
            <w:r/>
            <w:r>
              <w:rPr>
                <w:rFonts w:ascii="Calibri" w:hAnsi="Calibri" w:eastAsia="微软雅黑"/>
                <w:b w:val="0"/>
                <w:i w:val="0"/>
                <w:sz w:val="18"/>
              </w:rPr>
              <w:t>中国铁路设计集团</w:t>
            </w:r>
          </w:p>
        </w:tc>
        <w:tc>
          <w:tcPr>
            <w:tcW w:type="dxa" w:w="1660"/>
          </w:tcPr>
          <w:p>
            <w:r/>
            <w:r>
              <w:rPr>
                <w:rFonts w:ascii="Calibri" w:hAnsi="Calibri" w:eastAsia="微软雅黑"/>
                <w:b w:val="0"/>
                <w:i w:val="0"/>
                <w:sz w:val="18"/>
              </w:rPr>
              <w:t>铁路与轨道交通 [来源: P000101]</w:t>
            </w:r>
          </w:p>
        </w:tc>
        <w:tc>
          <w:tcPr>
            <w:tcW w:type="dxa" w:w="1660"/>
          </w:tcPr>
          <w:p>
            <w:r/>
            <w:r>
              <w:rPr>
                <w:rFonts w:ascii="Calibri" w:hAnsi="Calibri" w:eastAsia="微软雅黑"/>
                <w:b w:val="0"/>
                <w:i w:val="0"/>
                <w:sz w:val="18"/>
              </w:rPr>
              <w:t>2023发布总包3,503,064万元第2 [来源: P000101]</w:t>
            </w:r>
          </w:p>
        </w:tc>
        <w:tc>
          <w:tcPr>
            <w:tcW w:type="dxa" w:w="1660"/>
          </w:tcPr>
          <w:p>
            <w:r/>
            <w:r>
              <w:rPr>
                <w:rFonts w:ascii="Calibri" w:hAnsi="Calibri" w:eastAsia="微软雅黑"/>
                <w:b w:val="0"/>
                <w:i w:val="0"/>
                <w:sz w:val="18"/>
              </w:rPr>
              <w:t>境外项目管理三连冠（37,515万元、25,029万元、26,583万元）[来源: P000105, P000113, P000106]</w:t>
            </w:r>
          </w:p>
        </w:tc>
        <w:tc>
          <w:tcPr>
            <w:tcW w:type="dxa" w:w="1660"/>
          </w:tcPr>
          <w:p>
            <w:r/>
            <w:r>
              <w:rPr>
                <w:rFonts w:ascii="Calibri" w:hAnsi="Calibri" w:eastAsia="微软雅黑"/>
                <w:b w:val="0"/>
                <w:i w:val="0"/>
                <w:sz w:val="18"/>
              </w:rPr>
              <w:t>境外项目管理按咨询服务费核算口径独立申报 [来源: P000112]</w:t>
            </w:r>
          </w:p>
        </w:tc>
      </w:tr>
      <w:tr>
        <w:tc>
          <w:tcPr>
            <w:tcW w:type="dxa" w:w="1660"/>
          </w:tcPr>
          <w:p>
            <w:r/>
            <w:r>
              <w:rPr>
                <w:rFonts w:ascii="Calibri" w:hAnsi="Calibri" w:eastAsia="微软雅黑"/>
                <w:b w:val="0"/>
                <w:i w:val="0"/>
                <w:sz w:val="18"/>
              </w:rPr>
              <w:t>十一科技</w:t>
            </w:r>
          </w:p>
        </w:tc>
        <w:tc>
          <w:tcPr>
            <w:tcW w:type="dxa" w:w="1660"/>
          </w:tcPr>
          <w:p>
            <w:r/>
            <w:r>
              <w:rPr>
                <w:rFonts w:ascii="Calibri" w:hAnsi="Calibri" w:eastAsia="微软雅黑"/>
                <w:b w:val="0"/>
                <w:i w:val="0"/>
                <w:sz w:val="18"/>
              </w:rPr>
              <w:t>半导体洁净厂房与新能源 [来源: P000101]</w:t>
            </w:r>
          </w:p>
        </w:tc>
        <w:tc>
          <w:tcPr>
            <w:tcW w:type="dxa" w:w="1660"/>
          </w:tcPr>
          <w:p>
            <w:r/>
            <w:r>
              <w:rPr>
                <w:rFonts w:ascii="Calibri" w:hAnsi="Calibri" w:eastAsia="微软雅黑"/>
                <w:b w:val="0"/>
                <w:i w:val="0"/>
                <w:sz w:val="18"/>
              </w:rPr>
              <w:t>2023发布2,661,723万元第3；新能源系仅两家破200亿之一 [来源: P000101]</w:t>
            </w:r>
          </w:p>
        </w:tc>
        <w:tc>
          <w:tcPr>
            <w:tcW w:type="dxa" w:w="1660"/>
          </w:tcPr>
          <w:p>
            <w:r/>
            <w:r>
              <w:rPr>
                <w:rFonts w:ascii="Calibri" w:hAnsi="Calibri" w:eastAsia="微软雅黑"/>
                <w:b w:val="0"/>
                <w:i w:val="0"/>
                <w:sz w:val="18"/>
              </w:rPr>
              <w:t>高科技工业设备占比较大（本研究解读）</w:t>
            </w:r>
          </w:p>
        </w:tc>
        <w:tc>
          <w:tcPr>
            <w:tcW w:type="dxa" w:w="1660"/>
          </w:tcPr>
          <w:p>
            <w:r/>
            <w:r>
              <w:rPr>
                <w:rFonts w:ascii="Calibri" w:hAnsi="Calibri" w:eastAsia="微软雅黑"/>
                <w:b w:val="0"/>
                <w:i w:val="0"/>
                <w:sz w:val="18"/>
              </w:rPr>
              <w:t>按总包责任全额计入统计营业额 [来源: P000112]</w:t>
            </w:r>
          </w:p>
        </w:tc>
      </w:tr>
      <w:tr>
        <w:tc>
          <w:tcPr>
            <w:tcW w:type="dxa" w:w="1660"/>
          </w:tcPr>
          <w:p>
            <w:r/>
            <w:r>
              <w:rPr>
                <w:rFonts w:ascii="Calibri" w:hAnsi="Calibri" w:eastAsia="微软雅黑"/>
                <w:b w:val="0"/>
                <w:i w:val="0"/>
                <w:sz w:val="18"/>
              </w:rPr>
              <w:t>中国石油工程建设</w:t>
            </w:r>
          </w:p>
        </w:tc>
        <w:tc>
          <w:tcPr>
            <w:tcW w:type="dxa" w:w="1660"/>
          </w:tcPr>
          <w:p>
            <w:r/>
            <w:r>
              <w:rPr>
                <w:rFonts w:ascii="Calibri" w:hAnsi="Calibri" w:eastAsia="微软雅黑"/>
                <w:b w:val="0"/>
                <w:i w:val="0"/>
                <w:sz w:val="18"/>
              </w:rPr>
              <w:t>油气田地面工程 [来源: P000101]</w:t>
            </w:r>
          </w:p>
        </w:tc>
        <w:tc>
          <w:tcPr>
            <w:tcW w:type="dxa" w:w="1660"/>
          </w:tcPr>
          <w:p>
            <w:r/>
            <w:r>
              <w:rPr>
                <w:rFonts w:ascii="Calibri" w:hAnsi="Calibri" w:eastAsia="微软雅黑"/>
                <w:b w:val="0"/>
                <w:i w:val="0"/>
                <w:sz w:val="18"/>
              </w:rPr>
              <w:t>2023发布2,387,423万元第5 [来源: P000101]；境外总包两连冠（1,315,651万元、1,373,262万元）[来源: P000105, P000113]</w:t>
            </w:r>
          </w:p>
        </w:tc>
        <w:tc>
          <w:tcPr>
            <w:tcW w:type="dxa" w:w="1660"/>
          </w:tcPr>
          <w:p>
            <w:r/>
            <w:r>
              <w:rPr>
                <w:rFonts w:ascii="Calibri" w:hAnsi="Calibri" w:eastAsia="微软雅黑"/>
                <w:b w:val="0"/>
                <w:i w:val="0"/>
                <w:sz w:val="18"/>
              </w:rPr>
              <w:t>2019年境外第2（1,289,897万元）[来源: P000110]</w:t>
            </w:r>
          </w:p>
        </w:tc>
        <w:tc>
          <w:tcPr>
            <w:tcW w:type="dxa" w:w="1660"/>
          </w:tcPr>
          <w:p>
            <w:r/>
            <w:r>
              <w:rPr>
                <w:rFonts w:ascii="Calibri" w:hAnsi="Calibri" w:eastAsia="微软雅黑"/>
                <w:b w:val="0"/>
                <w:i w:val="0"/>
                <w:sz w:val="18"/>
              </w:rPr>
              <w:t>境外收入按子榜单独立穿透申报 [来源: P000112]</w:t>
            </w:r>
          </w:p>
        </w:tc>
      </w:tr>
      <w:tr>
        <w:tc>
          <w:tcPr>
            <w:tcW w:type="dxa" w:w="1660"/>
          </w:tcPr>
          <w:p>
            <w:r/>
            <w:r>
              <w:rPr>
                <w:rFonts w:ascii="Calibri" w:hAnsi="Calibri" w:eastAsia="微软雅黑"/>
                <w:b w:val="0"/>
                <w:i w:val="0"/>
                <w:sz w:val="18"/>
              </w:rPr>
              <w:t>中国核电工程</w:t>
            </w:r>
          </w:p>
        </w:tc>
        <w:tc>
          <w:tcPr>
            <w:tcW w:type="dxa" w:w="1660"/>
          </w:tcPr>
          <w:p>
            <w:r/>
            <w:r>
              <w:rPr>
                <w:rFonts w:ascii="Calibri" w:hAnsi="Calibri" w:eastAsia="微软雅黑"/>
                <w:b w:val="0"/>
                <w:i w:val="0"/>
                <w:sz w:val="18"/>
              </w:rPr>
              <w:t>核电全岛EPC [来源: P000101]</w:t>
            </w:r>
          </w:p>
        </w:tc>
        <w:tc>
          <w:tcPr>
            <w:tcW w:type="dxa" w:w="1660"/>
          </w:tcPr>
          <w:p>
            <w:r/>
            <w:r>
              <w:rPr>
                <w:rFonts w:ascii="Calibri" w:hAnsi="Calibri" w:eastAsia="微软雅黑"/>
                <w:b w:val="0"/>
                <w:i w:val="0"/>
                <w:sz w:val="18"/>
              </w:rPr>
              <w:t>2023发布2,286,021万元第6 [来源: P000101]</w:t>
            </w:r>
          </w:p>
        </w:tc>
        <w:tc>
          <w:tcPr>
            <w:tcW w:type="dxa" w:w="1660"/>
          </w:tcPr>
          <w:p>
            <w:r/>
            <w:r>
              <w:rPr>
                <w:rFonts w:ascii="Calibri" w:hAnsi="Calibri" w:eastAsia="微软雅黑"/>
                <w:b w:val="0"/>
                <w:i w:val="0"/>
                <w:sz w:val="18"/>
              </w:rPr>
              <w:t>单台机组投资超200亿元（研究基底披露）</w:t>
            </w:r>
          </w:p>
        </w:tc>
        <w:tc>
          <w:tcPr>
            <w:tcW w:type="dxa" w:w="1660"/>
          </w:tcPr>
          <w:p>
            <w:r/>
            <w:r>
              <w:rPr>
                <w:rFonts w:ascii="Calibri" w:hAnsi="Calibri" w:eastAsia="微软雅黑"/>
                <w:b w:val="0"/>
                <w:i w:val="0"/>
                <w:sz w:val="18"/>
              </w:rPr>
              <w:t>里程碑验收与产值凭证严格绑定 [来源: P000152]</w:t>
            </w:r>
          </w:p>
        </w:tc>
      </w:tr>
      <w:tr>
        <w:tc>
          <w:tcPr>
            <w:tcW w:type="dxa" w:w="1660"/>
          </w:tcPr>
          <w:p>
            <w:r/>
            <w:r>
              <w:rPr>
                <w:rFonts w:ascii="Calibri" w:hAnsi="Calibri" w:eastAsia="微软雅黑"/>
                <w:b w:val="0"/>
                <w:i w:val="0"/>
                <w:sz w:val="18"/>
              </w:rPr>
              <w:t>中石化工程建设</w:t>
            </w:r>
          </w:p>
        </w:tc>
        <w:tc>
          <w:tcPr>
            <w:tcW w:type="dxa" w:w="1660"/>
          </w:tcPr>
          <w:p>
            <w:r/>
            <w:r>
              <w:rPr>
                <w:rFonts w:ascii="Calibri" w:hAnsi="Calibri" w:eastAsia="微软雅黑"/>
                <w:b w:val="0"/>
                <w:i w:val="0"/>
                <w:sz w:val="18"/>
              </w:rPr>
              <w:t>炼化一体化 [来源: P000101]</w:t>
            </w:r>
          </w:p>
        </w:tc>
        <w:tc>
          <w:tcPr>
            <w:tcW w:type="dxa" w:w="1660"/>
          </w:tcPr>
          <w:p>
            <w:r/>
            <w:r>
              <w:rPr>
                <w:rFonts w:ascii="Calibri" w:hAnsi="Calibri" w:eastAsia="微软雅黑"/>
                <w:b w:val="0"/>
                <w:i w:val="0"/>
                <w:sz w:val="18"/>
              </w:rPr>
              <w:t>2023发布2,108,845万元第7 [来源: P000101]；项目管理三连冠（186,585万元、150,154万元、150,171万元）[来源: P000105, P000113, P000106]</w:t>
            </w:r>
          </w:p>
        </w:tc>
        <w:tc>
          <w:tcPr>
            <w:tcW w:type="dxa" w:w="1660"/>
          </w:tcPr>
          <w:p>
            <w:r/>
            <w:r>
              <w:rPr>
                <w:rFonts w:ascii="Calibri" w:hAnsi="Calibri" w:eastAsia="微软雅黑"/>
                <w:b w:val="0"/>
                <w:i w:val="0"/>
                <w:sz w:val="18"/>
              </w:rPr>
              <w:t>项目管理与总承包双轮驱动</w:t>
            </w:r>
          </w:p>
        </w:tc>
        <w:tc>
          <w:tcPr>
            <w:tcW w:type="dxa" w:w="1660"/>
          </w:tcPr>
          <w:p>
            <w:r/>
            <w:r>
              <w:rPr>
                <w:rFonts w:ascii="Calibri" w:hAnsi="Calibri" w:eastAsia="微软雅黑"/>
                <w:b w:val="0"/>
                <w:i w:val="0"/>
                <w:sz w:val="18"/>
              </w:rPr>
              <w:t>项目管理按服务费核算；EPC按建造与采购产值核算 [来源: P000112]</w:t>
            </w:r>
          </w:p>
        </w:tc>
      </w:tr>
      <w:tr>
        <w:tc>
          <w:tcPr>
            <w:tcW w:type="dxa" w:w="1660"/>
          </w:tcPr>
          <w:p>
            <w:r/>
            <w:r>
              <w:rPr>
                <w:rFonts w:ascii="Calibri" w:hAnsi="Calibri" w:eastAsia="微软雅黑"/>
                <w:b w:val="0"/>
                <w:i w:val="0"/>
                <w:sz w:val="18"/>
              </w:rPr>
              <w:t>中材国际</w:t>
            </w:r>
          </w:p>
        </w:tc>
        <w:tc>
          <w:tcPr>
            <w:tcW w:type="dxa" w:w="1660"/>
          </w:tcPr>
          <w:p>
            <w:r/>
            <w:r>
              <w:rPr>
                <w:rFonts w:ascii="Calibri" w:hAnsi="Calibri" w:eastAsia="微软雅黑"/>
                <w:b w:val="0"/>
                <w:i w:val="0"/>
                <w:sz w:val="18"/>
              </w:rPr>
              <w:t>水泥技术装备工程 [来源: P000101]</w:t>
            </w:r>
          </w:p>
        </w:tc>
        <w:tc>
          <w:tcPr>
            <w:tcW w:type="dxa" w:w="1660"/>
          </w:tcPr>
          <w:p>
            <w:r/>
            <w:r>
              <w:rPr>
                <w:rFonts w:ascii="Calibri" w:hAnsi="Calibri" w:eastAsia="微软雅黑"/>
                <w:b w:val="0"/>
                <w:i w:val="0"/>
                <w:sz w:val="18"/>
              </w:rPr>
              <w:t>2023发布2,038,560万元第8 [来源: P000101]；2025发布境外榜首1,402,850万元 [来源: P000106]</w:t>
            </w:r>
          </w:p>
        </w:tc>
        <w:tc>
          <w:tcPr>
            <w:tcW w:type="dxa" w:w="1660"/>
          </w:tcPr>
          <w:p>
            <w:r/>
            <w:r>
              <w:rPr>
                <w:rFonts w:ascii="Calibri" w:hAnsi="Calibri" w:eastAsia="微软雅黑"/>
                <w:b w:val="0"/>
                <w:i w:val="0"/>
                <w:sz w:val="18"/>
              </w:rPr>
              <w:t>2019年境外榜首1,422,882万元 [来源: P000110]</w:t>
            </w:r>
          </w:p>
        </w:tc>
        <w:tc>
          <w:tcPr>
            <w:tcW w:type="dxa" w:w="1660"/>
          </w:tcPr>
          <w:p>
            <w:r/>
            <w:r>
              <w:rPr>
                <w:rFonts w:ascii="Calibri" w:hAnsi="Calibri" w:eastAsia="微软雅黑"/>
                <w:b w:val="0"/>
                <w:i w:val="0"/>
                <w:sz w:val="18"/>
              </w:rPr>
              <w:t>境外装备出口与施工按总包责任归集 [来源: P000112]</w:t>
            </w:r>
          </w:p>
        </w:tc>
      </w:tr>
      <w:tr>
        <w:tc>
          <w:tcPr>
            <w:tcW w:type="dxa" w:w="1660"/>
          </w:tcPr>
          <w:p>
            <w:r/>
            <w:r>
              <w:rPr>
                <w:rFonts w:ascii="Calibri" w:hAnsi="Calibri" w:eastAsia="微软雅黑"/>
                <w:b w:val="0"/>
                <w:i w:val="0"/>
                <w:sz w:val="18"/>
              </w:rPr>
              <w:t>中石化广州工程</w:t>
            </w:r>
          </w:p>
        </w:tc>
        <w:tc>
          <w:tcPr>
            <w:tcW w:type="dxa" w:w="1660"/>
          </w:tcPr>
          <w:p>
            <w:r/>
            <w:r>
              <w:rPr>
                <w:rFonts w:ascii="Calibri" w:hAnsi="Calibri" w:eastAsia="微软雅黑"/>
                <w:b w:val="0"/>
                <w:i w:val="0"/>
                <w:sz w:val="18"/>
              </w:rPr>
              <w:t>石化化工与绿色低碳 [来源: P000115]</w:t>
            </w:r>
          </w:p>
        </w:tc>
        <w:tc>
          <w:tcPr>
            <w:tcW w:type="dxa" w:w="1660"/>
          </w:tcPr>
          <w:p>
            <w:r/>
            <w:r>
              <w:rPr>
                <w:rFonts w:ascii="Calibri" w:hAnsi="Calibri" w:eastAsia="微软雅黑"/>
                <w:b w:val="0"/>
                <w:i w:val="0"/>
                <w:sz w:val="18"/>
              </w:rPr>
              <w:t>2023发布900,077万元第26；境外31,843万元第37 [来源: P000101]</w:t>
            </w:r>
          </w:p>
        </w:tc>
        <w:tc>
          <w:tcPr>
            <w:tcW w:type="dxa" w:w="1660"/>
          </w:tcPr>
          <w:p>
            <w:r/>
            <w:r>
              <w:rPr>
                <w:rFonts w:ascii="Calibri" w:hAnsi="Calibri" w:eastAsia="微软雅黑"/>
                <w:b w:val="0"/>
                <w:i w:val="0"/>
                <w:sz w:val="18"/>
              </w:rPr>
              <w:t>国家级企业技术中心、博士后科研工作站 [来源: P000115]</w:t>
            </w:r>
          </w:p>
        </w:tc>
        <w:tc>
          <w:tcPr>
            <w:tcW w:type="dxa" w:w="1660"/>
          </w:tcPr>
          <w:p>
            <w:r/>
            <w:r>
              <w:rPr>
                <w:rFonts w:ascii="Calibri" w:hAnsi="Calibri" w:eastAsia="微软雅黑"/>
                <w:b w:val="0"/>
                <w:i w:val="0"/>
                <w:sz w:val="18"/>
              </w:rPr>
              <w:t>代理采购核减与总包采购全额归集并存 [来源: P000112, P000115]</w:t>
            </w:r>
          </w:p>
        </w:tc>
      </w:tr>
      <w:tr>
        <w:tc>
          <w:tcPr>
            <w:tcW w:type="dxa" w:w="1660"/>
          </w:tcPr>
          <w:p>
            <w:r/>
            <w:r>
              <w:rPr>
                <w:rFonts w:ascii="Calibri" w:hAnsi="Calibri" w:eastAsia="微软雅黑"/>
                <w:b w:val="0"/>
                <w:i w:val="0"/>
                <w:sz w:val="18"/>
              </w:rPr>
              <w:t>中石化南京工程</w:t>
            </w:r>
          </w:p>
        </w:tc>
        <w:tc>
          <w:tcPr>
            <w:tcW w:type="dxa" w:w="1660"/>
          </w:tcPr>
          <w:p>
            <w:r/>
            <w:r>
              <w:rPr>
                <w:rFonts w:ascii="Calibri" w:hAnsi="Calibri" w:eastAsia="微软雅黑"/>
                <w:b w:val="0"/>
                <w:i w:val="0"/>
                <w:sz w:val="18"/>
              </w:rPr>
              <w:t>化工与境外总承包 [来源: P000101]</w:t>
            </w:r>
          </w:p>
        </w:tc>
        <w:tc>
          <w:tcPr>
            <w:tcW w:type="dxa" w:w="1660"/>
          </w:tcPr>
          <w:p>
            <w:r/>
            <w:r>
              <w:rPr>
                <w:rFonts w:ascii="Calibri" w:hAnsi="Calibri" w:eastAsia="微软雅黑"/>
                <w:b w:val="0"/>
                <w:i w:val="0"/>
                <w:sz w:val="18"/>
              </w:rPr>
              <w:t>2023发布273,005万元第86；境外145,661万元第12 [来源: P000101]</w:t>
            </w:r>
          </w:p>
        </w:tc>
        <w:tc>
          <w:tcPr>
            <w:tcW w:type="dxa" w:w="1660"/>
          </w:tcPr>
          <w:p>
            <w:r/>
            <w:r>
              <w:rPr>
                <w:rFonts w:ascii="Calibri" w:hAnsi="Calibri" w:eastAsia="微软雅黑"/>
                <w:b w:val="0"/>
                <w:i w:val="0"/>
                <w:sz w:val="18"/>
              </w:rPr>
              <w:t>2019境外项目管理第4（9,260万元）、境外总包第22（124,908万元）[来源: P000110]</w:t>
            </w:r>
          </w:p>
        </w:tc>
        <w:tc>
          <w:tcPr>
            <w:tcW w:type="dxa" w:w="1660"/>
          </w:tcPr>
          <w:p>
            <w:r/>
            <w:r>
              <w:rPr>
                <w:rFonts w:ascii="Calibri" w:hAnsi="Calibri" w:eastAsia="微软雅黑"/>
                <w:b w:val="0"/>
                <w:i w:val="0"/>
                <w:sz w:val="18"/>
              </w:rPr>
              <w:t>境内、境外、项目管理三榜隔离申报 [来源: P000112]</w:t>
            </w:r>
          </w:p>
        </w:tc>
      </w:tr>
      <w:tr>
        <w:tc>
          <w:tcPr>
            <w:tcW w:type="dxa" w:w="1660"/>
          </w:tcPr>
          <w:p>
            <w:r/>
            <w:r>
              <w:rPr>
                <w:rFonts w:ascii="Calibri" w:hAnsi="Calibri" w:eastAsia="微软雅黑"/>
                <w:b w:val="0"/>
                <w:i w:val="0"/>
                <w:sz w:val="18"/>
              </w:rPr>
              <w:t>中建六局</w:t>
            </w:r>
          </w:p>
        </w:tc>
        <w:tc>
          <w:tcPr>
            <w:tcW w:type="dxa" w:w="1660"/>
          </w:tcPr>
          <w:p>
            <w:r/>
            <w:r>
              <w:rPr>
                <w:rFonts w:ascii="Calibri" w:hAnsi="Calibri" w:eastAsia="微软雅黑"/>
                <w:b w:val="0"/>
                <w:i w:val="0"/>
                <w:sz w:val="18"/>
              </w:rPr>
              <w:t>大型基础设施与房建 [来源: P000120]</w:t>
            </w:r>
          </w:p>
        </w:tc>
        <w:tc>
          <w:tcPr>
            <w:tcW w:type="dxa" w:w="1660"/>
          </w:tcPr>
          <w:p>
            <w:r/>
            <w:r>
              <w:rPr>
                <w:rFonts w:ascii="Calibri" w:hAnsi="Calibri" w:eastAsia="微软雅黑"/>
                <w:b w:val="0"/>
                <w:i w:val="0"/>
                <w:sz w:val="18"/>
              </w:rPr>
              <w:t>未入设计资质榜单（口径边界）</w:t>
            </w:r>
          </w:p>
        </w:tc>
        <w:tc>
          <w:tcPr>
            <w:tcW w:type="dxa" w:w="1660"/>
          </w:tcPr>
          <w:p>
            <w:r/>
            <w:r>
              <w:rPr>
                <w:rFonts w:ascii="Calibri" w:hAnsi="Calibri" w:eastAsia="微软雅黑"/>
                <w:b w:val="0"/>
                <w:i w:val="0"/>
                <w:sz w:val="18"/>
              </w:rPr>
              <w:t>2023营收591.71亿元、归母净利3.92亿元（+69.7%）[来源: P000120]</w:t>
            </w:r>
          </w:p>
        </w:tc>
        <w:tc>
          <w:tcPr>
            <w:tcW w:type="dxa" w:w="1660"/>
          </w:tcPr>
          <w:p>
            <w:r/>
            <w:r>
              <w:rPr>
                <w:rFonts w:ascii="Calibri" w:hAnsi="Calibri" w:eastAsia="微软雅黑"/>
                <w:b w:val="0"/>
                <w:i w:val="0"/>
                <w:sz w:val="18"/>
              </w:rPr>
              <w:t>财务法定营收与产值凭证穿透勾稽 [来源: P000120]</w:t>
            </w:r>
          </w:p>
        </w:tc>
      </w:tr>
      <w:tr>
        <w:tc>
          <w:tcPr>
            <w:tcW w:type="dxa" w:w="1660"/>
          </w:tcPr>
          <w:p>
            <w:r/>
            <w:r>
              <w:rPr>
                <w:rFonts w:ascii="Calibri" w:hAnsi="Calibri" w:eastAsia="微软雅黑"/>
                <w:b w:val="0"/>
                <w:i w:val="0"/>
                <w:sz w:val="18"/>
              </w:rPr>
              <w:t>湖南省建筑设计院</w:t>
            </w:r>
          </w:p>
        </w:tc>
        <w:tc>
          <w:tcPr>
            <w:tcW w:type="dxa" w:w="1660"/>
          </w:tcPr>
          <w:p>
            <w:r/>
            <w:r>
              <w:rPr>
                <w:rFonts w:ascii="Calibri" w:hAnsi="Calibri" w:eastAsia="微软雅黑"/>
                <w:b w:val="0"/>
                <w:i w:val="0"/>
                <w:sz w:val="18"/>
              </w:rPr>
              <w:t>地方公建、医疗教育 [来源: P000125]</w:t>
            </w:r>
          </w:p>
        </w:tc>
        <w:tc>
          <w:tcPr>
            <w:tcW w:type="dxa" w:w="1660"/>
          </w:tcPr>
          <w:p>
            <w:r/>
            <w:r>
              <w:rPr>
                <w:rFonts w:ascii="Calibri" w:hAnsi="Calibri" w:eastAsia="微软雅黑"/>
                <w:b w:val="0"/>
                <w:i w:val="0"/>
                <w:sz w:val="18"/>
              </w:rPr>
              <w:t>连续3年入选全国工程总承包百强 [来源: P000125]</w:t>
            </w:r>
          </w:p>
        </w:tc>
        <w:tc>
          <w:tcPr>
            <w:tcW w:type="dxa" w:w="1660"/>
          </w:tcPr>
          <w:p>
            <w:r/>
            <w:r>
              <w:rPr>
                <w:rFonts w:ascii="Calibri" w:hAnsi="Calibri" w:eastAsia="微软雅黑"/>
                <w:b w:val="0"/>
                <w:i w:val="0"/>
                <w:sz w:val="18"/>
              </w:rPr>
              <w:t>2024营收9.22亿元、中标总额约152亿元 [来源: P000125]</w:t>
            </w:r>
          </w:p>
        </w:tc>
        <w:tc>
          <w:tcPr>
            <w:tcW w:type="dxa" w:w="1660"/>
          </w:tcPr>
          <w:p>
            <w:r/>
            <w:r>
              <w:rPr>
                <w:rFonts w:ascii="Calibri" w:hAnsi="Calibri" w:eastAsia="微软雅黑"/>
                <w:b w:val="0"/>
                <w:i w:val="0"/>
                <w:sz w:val="18"/>
              </w:rPr>
              <w:t>152亿订单储备与9.22亿当期营收的时滞管理（own_calc：约16.5倍差）</w:t>
            </w:r>
          </w:p>
        </w:tc>
      </w:tr>
      <w:tr>
        <w:tc>
          <w:tcPr>
            <w:tcW w:type="dxa" w:w="1660"/>
          </w:tcPr>
          <w:p>
            <w:r/>
            <w:r>
              <w:rPr>
                <w:rFonts w:ascii="Calibri" w:hAnsi="Calibri" w:eastAsia="微软雅黑"/>
                <w:b w:val="0"/>
                <w:i w:val="0"/>
                <w:sz w:val="18"/>
              </w:rPr>
              <w:t>中城科泽</w:t>
            </w:r>
          </w:p>
        </w:tc>
        <w:tc>
          <w:tcPr>
            <w:tcW w:type="dxa" w:w="1660"/>
          </w:tcPr>
          <w:p>
            <w:r/>
            <w:r>
              <w:rPr>
                <w:rFonts w:ascii="Calibri" w:hAnsi="Calibri" w:eastAsia="微软雅黑"/>
                <w:b w:val="0"/>
                <w:i w:val="0"/>
                <w:sz w:val="18"/>
              </w:rPr>
              <w:t>敏捷型市政公建环保EPC [来源: P000130]</w:t>
            </w:r>
          </w:p>
        </w:tc>
        <w:tc>
          <w:tcPr>
            <w:tcW w:type="dxa" w:w="1660"/>
          </w:tcPr>
          <w:p>
            <w:r/>
            <w:r>
              <w:rPr>
                <w:rFonts w:ascii="Calibri" w:hAnsi="Calibri" w:eastAsia="微软雅黑"/>
                <w:b w:val="0"/>
                <w:i w:val="0"/>
                <w:sz w:val="18"/>
              </w:rPr>
              <w:t>2023上半年EPC中标百强第7；2025Q1中标157个全国第2 [来源: P000130]</w:t>
            </w:r>
          </w:p>
        </w:tc>
        <w:tc>
          <w:tcPr>
            <w:tcW w:type="dxa" w:w="1660"/>
          </w:tcPr>
          <w:p>
            <w:r/>
            <w:r>
              <w:rPr>
                <w:rFonts w:ascii="Calibri" w:hAnsi="Calibri" w:eastAsia="微软雅黑"/>
                <w:b w:val="0"/>
                <w:i w:val="0"/>
                <w:sz w:val="18"/>
              </w:rPr>
              <w:t>2024营收突破30亿元、EPC占比80%以上 [来源: P000130]</w:t>
            </w:r>
          </w:p>
        </w:tc>
        <w:tc>
          <w:tcPr>
            <w:tcW w:type="dxa" w:w="1660"/>
          </w:tcPr>
          <w:p>
            <w:r/>
            <w:r>
              <w:rPr>
                <w:rFonts w:ascii="Calibri" w:hAnsi="Calibri" w:eastAsia="微软雅黑"/>
                <w:b w:val="0"/>
                <w:i w:val="0"/>
                <w:sz w:val="18"/>
              </w:rPr>
              <w:t>高频中标快速转化为当期现场产值 [来源: P000130]</w:t>
            </w:r>
          </w:p>
        </w:tc>
      </w:tr>
    </w:tbl>
    <w:p>
      <w:r>
        <w:rPr>
          <w:rFonts w:ascii="Calibri" w:hAnsi="Calibri" w:eastAsia="微软雅黑"/>
          <w:b w:val="0"/>
          <w:i w:val="0"/>
          <w:sz w:val="22"/>
        </w:rPr>
        <w:t>这张全景表的正确打开方式是横向读三遍而非纵向看一行：第一遍只看榜单列，确认位次与量级；第二遍对照财务订单列，找出位次与收入背离最远的企业，追问其口径原因；第三遍落到勾稽特征列，把每家企业的做法归入自家的借鉴清单。三遍读罢，表就从名人录变成了诊断仪（本段为本研究使用指引）。</w:t>
      </w:r>
    </w:p>
    <w:p>
      <w:r>
        <w:rPr>
          <w:rFonts w:ascii="Calibri" w:hAnsi="Calibri" w:eastAsia="微软雅黑"/>
          <w:b w:val="0"/>
          <w:i w:val="0"/>
          <w:sz w:val="22"/>
        </w:rPr>
        <w:t>---</w:t>
      </w:r>
    </w:p>
    <w:p>
      <w:pPr>
        <w:pStyle w:val="Heading2"/>
      </w:pPr>
      <w:r>
        <w:t>2.7 小结要点</w:t>
      </w:r>
    </w:p>
    <w:p>
      <w:r>
        <w:rPr>
          <w:rFonts w:ascii="Calibri" w:hAnsi="Calibri" w:eastAsia="微软雅黑"/>
          <w:b w:val="0"/>
          <w:i w:val="0"/>
          <w:sz w:val="22"/>
        </w:rPr>
        <w:t>本章通过对中设协2023至2025年连续三次发布排名数据、2019年境外榜单历史数据、行业统计大盘及多家标杆企业实证材料的深度解构，为工程企业决策者梳理出五大战略结论：</w:t>
      </w:r>
    </w:p>
    <w:p>
      <w:pPr>
        <w:pStyle w:val="ListNumber"/>
      </w:pPr>
      <w:r>
        <w:rPr>
          <w:rFonts w:ascii="Calibri" w:hAnsi="Calibri" w:eastAsia="微软雅黑"/>
          <w:b/>
          <w:i w:val="0"/>
          <w:sz w:val="22"/>
        </w:rPr>
        <w:t>明确指标内涵，建立"双轨制"管控体系</w:t>
      </w:r>
      <w:r>
        <w:rPr>
          <w:rFonts w:ascii="Calibri" w:hAnsi="Calibri" w:eastAsia="微软雅黑"/>
          <w:b w:val="0"/>
          <w:i w:val="0"/>
          <w:sz w:val="22"/>
        </w:rPr>
        <w:t>：中设协"总承包营业额"衡量的是企业现场建造工程量的整合规模，与法定财务"营业收入"在会计确认、集团合并抵消及设备采购核算上存在根本差异 (P000112)。企业应建立"经营/项目部统计台账"与"财务会计账簿"双轨并行机制，做到账目清晰、勾稽有据。</w:t>
      </w:r>
    </w:p>
    <w:p>
      <w:pPr>
        <w:pStyle w:val="ListNumber"/>
      </w:pPr>
      <w:r>
        <w:rPr>
          <w:rFonts w:ascii="Calibri" w:hAnsi="Calibri" w:eastAsia="微软雅黑"/>
          <w:b/>
          <w:i w:val="0"/>
          <w:sz w:val="22"/>
        </w:rPr>
        <w:t>严格执行口径穿透，守住申报合规底线</w:t>
      </w:r>
      <w:r>
        <w:rPr>
          <w:rFonts w:ascii="Calibri" w:hAnsi="Calibri" w:eastAsia="微软雅黑"/>
          <w:b w:val="0"/>
          <w:i w:val="0"/>
          <w:sz w:val="22"/>
        </w:rPr>
        <w:t>：复核机制严厉打击资质借用、违规转包及虚增产值行为 (P000112)；联合体项目必须严格按《联合体协议书》分工比例拆分申报，专业分包必须建立真实扣除台账，实施"合同单、结算单、凭证单"三单合一审计。</w:t>
      </w:r>
    </w:p>
    <w:p>
      <w:pPr>
        <w:pStyle w:val="ListNumber"/>
      </w:pPr>
      <w:r>
        <w:rPr>
          <w:rFonts w:ascii="Calibri" w:hAnsi="Calibri" w:eastAsia="微软雅黑"/>
          <w:b/>
          <w:i w:val="0"/>
          <w:sz w:val="22"/>
        </w:rPr>
        <w:t>洞察转化时滞，提升订单周转效率</w:t>
      </w:r>
      <w:r>
        <w:rPr>
          <w:rFonts w:ascii="Calibri" w:hAnsi="Calibri" w:eastAsia="微软雅黑"/>
          <w:b w:val="0"/>
          <w:i w:val="0"/>
          <w:sz w:val="22"/>
        </w:rPr>
        <w:t>：从"中标签约"到"统计营业额"存在阶段性时滞（行业经验区间，示意）。湖南院（152亿元中标额）与中城科泽（单季157个中标项目）的实践表明，高效的订单转化机制是企业位次上升的关键 (P000125, P000130)。</w:t>
      </w:r>
    </w:p>
    <w:p>
      <w:pPr>
        <w:pStyle w:val="ListNumber"/>
      </w:pPr>
      <w:r>
        <w:rPr>
          <w:rFonts w:ascii="Calibri" w:hAnsi="Calibri" w:eastAsia="微软雅黑"/>
          <w:b/>
          <w:i w:val="0"/>
          <w:sz w:val="22"/>
        </w:rPr>
        <w:t>认清位次洗牌规律，选择匹配的竞争赛道</w:t>
      </w:r>
      <w:r>
        <w:rPr>
          <w:rFonts w:ascii="Calibri" w:hAnsi="Calibri" w:eastAsia="微软雅黑"/>
          <w:b w:val="0"/>
          <w:i w:val="0"/>
          <w:sz w:val="22"/>
        </w:rPr>
        <w:t>：行业集中度持续提高（总承包上榜企业收缩至178家）(P000106)。以华东院（4,549,202万元）为代表的领跑者通过数字化与技术壁垒构筑了极高护城河 (P000106)。传统设计院与工程公司不应盲目拼建安体量，而应选择重化工业、新能源、高科技洁净厂房或公建更新等垂直赛道，以"设计控造价+专业技术集成"寻求突破（本研究建议）。</w:t>
      </w:r>
    </w:p>
    <w:p>
      <w:pPr>
        <w:pStyle w:val="ListNumber"/>
      </w:pPr>
      <w:r>
        <w:rPr>
          <w:rFonts w:ascii="Calibri" w:hAnsi="Calibri" w:eastAsia="微软雅黑"/>
          <w:b/>
          <w:i w:val="0"/>
          <w:sz w:val="22"/>
        </w:rPr>
        <w:t>用"三审三比"与时间轴看板把方法论落到日常</w:t>
      </w:r>
      <w:r>
        <w:rPr>
          <w:rFonts w:ascii="Calibri" w:hAnsi="Calibri" w:eastAsia="微软雅黑"/>
          <w:b w:val="0"/>
          <w:i w:val="0"/>
          <w:sz w:val="22"/>
        </w:rPr>
        <w:t>：企业高管应立即组织经营、财务与项目管理部门开展合规自查，建立标准化申报流程与"新签订单-开工率-月度产值-财务营收"全链条预警看板，打造可追溯、可勾稽、抗风险的EPC总承包交付能力。</w:t>
      </w:r>
    </w:p>
    <w:p>
      <w:r>
        <w:rPr>
          <w:rFonts w:ascii="Calibri" w:hAnsi="Calibri" w:eastAsia="微软雅黑"/>
          <w:b w:val="0"/>
          <w:i w:val="0"/>
          <w:sz w:val="22"/>
        </w:rPr>
        <w:t>结论与行动清单之间，隔着的正是本章反复出现的两个词：口径与时滞。读者若只带走一句话，应是这一句——看榜单先问口径，做对标先算时滞；数字只有在口径对齐、时间对齐之后，才配进入决策会议室（本句为本研究总结性提示）。</w:t>
      </w:r>
    </w:p>
    <w:p>
      <w:r>
        <w:rPr>
          <w:rFonts w:ascii="Calibri" w:hAnsi="Calibri" w:eastAsia="微软雅黑"/>
          <w:b/>
          <w:i w:val="0"/>
          <w:sz w:val="22"/>
        </w:rPr>
        <w:t>决策者行动清单</w:t>
      </w:r>
    </w:p>
    <w:p>
      <w:pPr>
        <w:pStyle w:val="ListBullet"/>
      </w:pPr>
      <w:r>
        <w:rPr>
          <w:rFonts w:ascii="Calibri" w:hAnsi="Calibri" w:eastAsia="微软雅黑"/>
          <w:b w:val="0"/>
          <w:i w:val="0"/>
          <w:sz w:val="22"/>
        </w:rPr>
        <w:t>行动1：组织财务、经营与项目部，建立EPC"财务营收与统计营业额"双轨对账台账——以统一项目编码贯通两套口径，每月对齐一次差异并留档差异说明。</w:t>
      </w:r>
    </w:p>
    <w:p>
      <w:pPr>
        <w:pStyle w:val="ListBullet"/>
      </w:pPr>
      <w:r>
        <w:rPr>
          <w:rFonts w:ascii="Calibri" w:hAnsi="Calibri" w:eastAsia="微软雅黑"/>
          <w:b w:val="0"/>
          <w:i w:val="0"/>
          <w:sz w:val="22"/>
        </w:rPr>
        <w:t>行动2：全面开展在建EPC项目"合同-结算-凭证"三单合一口径穿透合规自查——重点核对联合体份额剥离与分包扣除台账，凡无监理与业主双签的产值一律暂缓申报。</w:t>
      </w:r>
    </w:p>
    <w:p>
      <w:pPr>
        <w:pStyle w:val="ListBullet"/>
      </w:pPr>
      <w:r>
        <w:rPr>
          <w:rFonts w:ascii="Calibri" w:hAnsi="Calibri" w:eastAsia="微软雅黑"/>
          <w:b w:val="0"/>
          <w:i w:val="0"/>
          <w:sz w:val="22"/>
        </w:rPr>
        <w:t>行动3：设立"新签订单转化为现场产值"时间轴看板——按签约、开工、产值高峰、竣工四节点跟踪，重点督办签约后长期未开工与签认连续滞后的项目。</w:t>
      </w:r>
    </w:p>
    <w:p>
      <w:pPr>
        <w:pStyle w:val="ListBullet"/>
      </w:pPr>
      <w:r>
        <w:rPr>
          <w:rFonts w:ascii="Calibri" w:hAnsi="Calibri" w:eastAsia="微软雅黑"/>
          <w:b w:val="0"/>
          <w:i w:val="0"/>
          <w:sz w:val="22"/>
        </w:rPr>
        <w:t>行动4：评估企业三维数字化设计向采购与施工一体化延伸深度——对照华东院三大平台与标杆企业的数字化积累，制定分年度的延伸路线图而非一步到位的空蓝图。</w:t>
      </w:r>
    </w:p>
    <w:p>
      <w:pPr>
        <w:pStyle w:val="ListBullet"/>
      </w:pPr>
      <w:r>
        <w:rPr>
          <w:rFonts w:ascii="Calibri" w:hAnsi="Calibri" w:eastAsia="微软雅黑"/>
          <w:b w:val="0"/>
          <w:i w:val="0"/>
          <w:sz w:val="22"/>
        </w:rPr>
        <w:t>行动5：明确企业在TOP50"三大阵营"中的战略定位——用表2-3的军团集群测算校准自身量级，挑选1-2个垂直高壁垒赛道集中发力，放弃全赛道平铺的幻觉。</w:t>
      </w:r>
    </w:p>
    <w:p>
      <w:r>
        <w:rPr>
          <w:rFonts w:ascii="Calibri" w:hAnsi="Calibri" w:eastAsia="微软雅黑"/>
          <w:b w:val="0"/>
          <w:i w:val="0"/>
          <w:sz w:val="22"/>
        </w:rPr>
        <w:t>清单落地的前提是给每一条指定主责部门与完成期限，否则五条行动会永远停留在会议纪要里。建议的经营节奏是：行动一、行动二交由财务部牵头，一个季度内完成台账搭建与首轮自查；行动三、行动四归口经营部门，纳入半年度考核；行动五属于战略议题，由院务会在年度规划中一次性定调。每条行动配一个可验证的交付物——台账截图、自查报告、看板演示或战略决议——有交付物的清单才是可执行的清单（本段为本研究方法论建议）。</w:t>
      </w:r>
    </w:p>
    <w:p>
      <w:r>
        <w:rPr>
          <w:rFonts w:ascii="Calibri" w:hAnsi="Calibri" w:eastAsia="微软雅黑"/>
          <w:b w:val="0"/>
          <w:i w:val="0"/>
          <w:sz w:val="22"/>
        </w:rPr>
        <w:t>---</w:t>
      </w:r>
    </w:p>
    <w:p>
      <w:pPr>
        <w:pStyle w:val="Heading2"/>
      </w:pPr>
      <w:r>
        <w:t>2.8 本章证据边界</w:t>
      </w:r>
    </w:p>
    <w:p>
      <w:r>
        <w:rPr>
          <w:rFonts w:ascii="Calibri" w:hAnsi="Calibri" w:eastAsia="微软雅黑"/>
          <w:b w:val="0"/>
          <w:i w:val="0"/>
          <w:sz w:val="22"/>
        </w:rPr>
        <w:t>为保障本报告的严谨性与可追溯性，特对本章证据材料、数据出处及分析推演边界声明如下：</w:t>
      </w:r>
    </w:p>
    <w:p>
      <w:pPr>
        <w:pStyle w:val="ListNumber"/>
      </w:pPr>
      <w:r>
        <w:rPr>
          <w:rFonts w:ascii="Calibri" w:hAnsi="Calibri" w:eastAsia="微软雅黑"/>
          <w:b/>
          <w:i w:val="0"/>
          <w:sz w:val="22"/>
        </w:rPr>
        <w:t>权威数据来源边界</w:t>
      </w:r>
      <w:r>
        <w:rPr>
          <w:rFonts w:ascii="Calibri" w:hAnsi="Calibri" w:eastAsia="微软雅黑"/>
          <w:b w:val="0"/>
          <w:i w:val="0"/>
          <w:sz w:val="22"/>
        </w:rPr>
        <w:t>：</w:t>
      </w:r>
    </w:p>
    <w:p>
      <w:r>
        <w:rPr>
          <w:rFonts w:ascii="Calibri" w:hAnsi="Calibri" w:eastAsia="微软雅黑"/>
          <w:b w:val="0"/>
          <w:i w:val="0"/>
          <w:sz w:val="22"/>
        </w:rPr>
        <w:t>- 行业排名数据全部引自中国勘察设计协会及建设项目管理和工程总承包分会发布的《关于公布勘察设计企业工程项目管理和工程总承包营业额排名的通知》（2023年、2024年、2025年历次发布）及附件清单 (P000105, P000106, P000113, P000112)。</w:t>
      </w:r>
    </w:p>
    <w:p>
      <w:r>
        <w:rPr>
          <w:rFonts w:ascii="Calibri" w:hAnsi="Calibri" w:eastAsia="微软雅黑"/>
          <w:b w:val="0"/>
          <w:i w:val="0"/>
          <w:sz w:val="22"/>
        </w:rPr>
        <w:t>- 境外榜单历史数据引自2019年境外工程项目管理和总承包营业额排名公开转载件 (P000110)。</w:t>
      </w:r>
    </w:p>
    <w:p>
      <w:r>
        <w:rPr>
          <w:rFonts w:ascii="Calibri" w:hAnsi="Calibri" w:eastAsia="微软雅黑"/>
          <w:b w:val="0"/>
          <w:i w:val="0"/>
          <w:sz w:val="22"/>
        </w:rPr>
        <w:t>- 行业大盘数据引自中国建筑业协会《2024年建筑业发展统计分析》(P000135)。本章资料库收录的《2024年国民经济和社会发展统计公报》为节选件，未含建筑业总产值完整数值，故未作引用，特此如实说明。</w:t>
      </w:r>
    </w:p>
    <w:p>
      <w:r>
        <w:rPr>
          <w:rFonts w:ascii="Calibri" w:hAnsi="Calibri" w:eastAsia="微软雅黑"/>
          <w:b w:val="0"/>
          <w:i w:val="0"/>
          <w:sz w:val="22"/>
        </w:rPr>
        <w:t>- 企业实证数据源自中石化广州工程 (P000115)、中建六局 (P000120)、湖南省建筑设计院 (P000125)、中城科泽 (P000130) 的企业研究资料，以及核电工程专项研究基底 (P000152, P000153)。</w:t>
      </w:r>
    </w:p>
    <w:p>
      <w:pPr>
        <w:pStyle w:val="ListNumber"/>
      </w:pPr>
      <w:r>
        <w:rPr>
          <w:rFonts w:ascii="Calibri" w:hAnsi="Calibri" w:eastAsia="微软雅黑"/>
          <w:b/>
          <w:i w:val="0"/>
          <w:sz w:val="22"/>
        </w:rPr>
        <w:t>时间与空间时效边界</w:t>
      </w:r>
      <w:r>
        <w:rPr>
          <w:rFonts w:ascii="Calibri" w:hAnsi="Calibri" w:eastAsia="微软雅黑"/>
          <w:b w:val="0"/>
          <w:i w:val="0"/>
          <w:sz w:val="22"/>
        </w:rPr>
        <w:t>：</w:t>
      </w:r>
    </w:p>
    <w:p>
      <w:r>
        <w:rPr>
          <w:rFonts w:ascii="Calibri" w:hAnsi="Calibri" w:eastAsia="微软雅黑"/>
          <w:b w:val="0"/>
          <w:i w:val="0"/>
          <w:sz w:val="22"/>
        </w:rPr>
        <w:t>- 榜单数据覆盖2019年发布（2018年度业绩）与2023至2025年发布（2022至2024年度业绩）节点 (P000110, P000105, P000113, P000106)；企业财务与订单数据以各源文披露期为准。</w:t>
      </w:r>
    </w:p>
    <w:p>
      <w:r>
        <w:rPr>
          <w:rFonts w:ascii="Calibri" w:hAnsi="Calibri" w:eastAsia="微软雅黑"/>
          <w:b w:val="0"/>
          <w:i w:val="0"/>
          <w:sz w:val="22"/>
        </w:rPr>
        <w:t>- 本章严格区分"排名发布年份"与"业绩归属年份"，全部榜单数据随文标注发布期与业绩归属年度。</w:t>
      </w:r>
    </w:p>
    <w:p>
      <w:pPr>
        <w:pStyle w:val="ListNumber"/>
      </w:pPr>
      <w:r>
        <w:rPr>
          <w:rFonts w:ascii="Calibri" w:hAnsi="Calibri" w:eastAsia="微软雅黑"/>
          <w:b/>
          <w:i w:val="0"/>
          <w:sz w:val="22"/>
        </w:rPr>
        <w:t>方法论与推理适用边界</w:t>
      </w:r>
      <w:r>
        <w:rPr>
          <w:rFonts w:ascii="Calibri" w:hAnsi="Calibri" w:eastAsia="微软雅黑"/>
          <w:b w:val="0"/>
          <w:i w:val="0"/>
          <w:sz w:val="22"/>
        </w:rPr>
        <w:t>：</w:t>
      </w:r>
    </w:p>
    <w:p>
      <w:r>
        <w:rPr>
          <w:rFonts w:ascii="Calibri" w:hAnsi="Calibri" w:eastAsia="微软雅黑"/>
          <w:b w:val="0"/>
          <w:i w:val="0"/>
          <w:sz w:val="22"/>
        </w:rPr>
        <w:t>- 本章构建的"双轨对账框架""三单合一审计""联合体划转模型""三审三比自查"与"订单转化三阶段时滞模型"，适用于持有乙级以上工程设计资质的勘察设计企业及从事工程总承包、工程项目管理的独立法人实体 (P000112)。</w:t>
      </w:r>
    </w:p>
    <w:p>
      <w:r>
        <w:rPr>
          <w:rFonts w:ascii="Calibri" w:hAnsi="Calibri" w:eastAsia="微软雅黑"/>
          <w:b w:val="0"/>
          <w:i w:val="0"/>
          <w:sz w:val="22"/>
        </w:rPr>
        <w:t>- 时滞模型的阶段时长为行业经验区间（示意性复盘），因项目类型、业主审批效率与合同条件差异较大，实操中应结合具体项目个案校准；联合体划转模型中的比例数字为示例，实际以协议约定为准。</w:t>
      </w:r>
    </w:p>
    <w:p>
      <w:r>
        <w:rPr>
          <w:rFonts w:ascii="Calibri" w:hAnsi="Calibri" w:eastAsia="微软雅黑"/>
          <w:b w:val="0"/>
          <w:i w:val="0"/>
          <w:sz w:val="22"/>
        </w:rPr>
        <w:t>- 标注"本研究解读""本研究归纳"的语句为分析判断，均已随文明示，不构成对源文数据的替代。</w:t>
      </w:r>
    </w:p>
    <w:p>
      <w:r>
        <w:rPr>
          <w:rFonts w:ascii="Calibri" w:hAnsi="Calibri" w:eastAsia="微软雅黑"/>
          <w:b w:val="0"/>
          <w:i w:val="0"/>
          <w:sz w:val="22"/>
        </w:rPr>
        <w:t>- 规则时效边界：本章申报规则以《排名活动管理办法》（2018年修订版）及2025年度通知为准 (P000112)；若后续年度协会对管理办法作出修订（如资质门槛、折算规则或申报表式调整），相关拆分逻辑与结论应以最新官方文件为准，读者使用本章方法论时应先核对规则版本。</w:t>
      </w:r>
    </w:p>
    <w:p>
      <w:r>
        <w:rPr>
          <w:rFonts w:ascii="Calibri" w:hAnsi="Calibri" w:eastAsia="微软雅黑"/>
          <w:b w:val="0"/>
          <w:i w:val="0"/>
          <w:sz w:val="22"/>
        </w:rPr>
        <w:t>末了附一条抽验指引：本章所有标注own_calc的比值与倍数，均可由读者独立验算——按尾注锚号调出原始行数据，重做一遍加总与除法即可。抽验时建议优先挑体量最大与最小的两行入手，这两处的折算误差最容易被肉眼识别；若发现任何一处对不上，请以官方原件为准并将勘误反馈至出品方，本研究团队将逐条回应并留档修订（本段为本研究对读者的邀请）。</w:t>
      </w:r>
    </w:p>
    <w:p>
      <w:r>
        <w:rPr>
          <w:rFonts w:ascii="Calibri" w:hAnsi="Calibri" w:eastAsia="微软雅黑"/>
          <w:b w:val="0"/>
          <w:i w:val="0"/>
          <w:sz w:val="22"/>
        </w:rPr>
        <w:t>---</w:t>
      </w:r>
    </w:p>
    <w:p>
      <w:pPr>
        <w:pStyle w:val="Heading2"/>
      </w:pPr>
      <w:r>
        <w:t>本章尾注（事实锚源对照）</w:t>
      </w:r>
    </w:p>
    <w:tbl>
      <w:tblPr>
        <w:tblStyle w:val="TableGrid"/>
        <w:tblW w:type="auto" w:w="0"/>
        <w:tblLook w:firstColumn="1" w:firstRow="1" w:lastColumn="0" w:lastRow="0" w:noHBand="0" w:noVBand="1" w:val="04A0"/>
      </w:tblPr>
      <w:tblGrid>
        <w:gridCol w:w="4150"/>
        <w:gridCol w:w="4150"/>
      </w:tblGrid>
      <w:tr>
        <w:tc>
          <w:tcPr>
            <w:tcW w:type="dxa" w:w="4150"/>
            <w:shd w:fill="1F3A5F"/>
          </w:tcPr>
          <w:p>
            <w:r>
              <w:rPr>
                <w:color w:val="FFFFFF"/>
              </w:rPr>
            </w:r>
            <w:r>
              <w:rPr>
                <w:rFonts w:ascii="Calibri" w:hAnsi="Calibri" w:eastAsia="微软雅黑"/>
                <w:b/>
                <w:i w:val="0"/>
                <w:color w:val="FFFFFF"/>
                <w:sz w:val="18"/>
              </w:rPr>
              <w:t>事实锚</w:t>
            </w:r>
          </w:p>
        </w:tc>
        <w:tc>
          <w:tcPr>
            <w:tcW w:type="dxa" w:w="4150"/>
            <w:shd w:fill="1F3A5F"/>
          </w:tcPr>
          <w:p>
            <w:r>
              <w:rPr>
                <w:color w:val="FFFFFF"/>
              </w:rPr>
            </w:r>
            <w:r>
              <w:rPr>
                <w:rFonts w:ascii="Calibri" w:hAnsi="Calibri" w:eastAsia="微软雅黑"/>
                <w:b/>
                <w:i w:val="0"/>
                <w:color w:val="FFFFFF"/>
                <w:sz w:val="18"/>
              </w:rPr>
              <w:t>源文（事实资料库实收件）</w:t>
            </w:r>
          </w:p>
        </w:tc>
      </w:tr>
      <w:tr>
        <w:tc>
          <w:tcPr>
            <w:tcW w:type="dxa" w:w="4150"/>
          </w:tcPr>
          <w:p>
            <w:r/>
            <w:r>
              <w:rPr>
                <w:rFonts w:ascii="Calibri" w:hAnsi="Calibri" w:eastAsia="微软雅黑"/>
                <w:b w:val="0"/>
                <w:i w:val="0"/>
                <w:sz w:val="18"/>
              </w:rPr>
              <w:t>P000101</w:t>
            </w:r>
          </w:p>
        </w:tc>
        <w:tc>
          <w:tcPr>
            <w:tcW w:type="dxa" w:w="4150"/>
          </w:tcPr>
          <w:p>
            <w:r/>
            <w:r>
              <w:rPr>
                <w:rFonts w:ascii="Calibri" w:hAnsi="Calibri" w:eastAsia="微软雅黑"/>
                <w:b w:val="0"/>
                <w:i w:val="0"/>
                <w:sz w:val="18"/>
              </w:rPr>
              <w:t>中国电建华东院445亿元领衔！2023年设计院工程总承包营业额排名发布（含总承包186家、境外项目管理、境外总承包完整榜单附件）</w:t>
            </w:r>
          </w:p>
        </w:tc>
      </w:tr>
      <w:tr>
        <w:tc>
          <w:tcPr>
            <w:tcW w:type="dxa" w:w="4150"/>
          </w:tcPr>
          <w:p>
            <w:r/>
            <w:r>
              <w:rPr>
                <w:rFonts w:ascii="Calibri" w:hAnsi="Calibri" w:eastAsia="微软雅黑"/>
                <w:b w:val="0"/>
                <w:i w:val="0"/>
                <w:sz w:val="18"/>
              </w:rPr>
              <w:t>P000105</w:t>
            </w:r>
          </w:p>
        </w:tc>
        <w:tc>
          <w:tcPr>
            <w:tcW w:type="dxa" w:w="4150"/>
          </w:tcPr>
          <w:p>
            <w:r/>
            <w:r>
              <w:rPr>
                <w:rFonts w:ascii="Calibri" w:hAnsi="Calibri" w:eastAsia="微软雅黑"/>
                <w:b w:val="0"/>
                <w:i w:val="0"/>
                <w:sz w:val="18"/>
              </w:rPr>
              <w:t>勘察设计企业工程项目管理和工程总承包营业额2023年排名（中设协通知，2023年发布）</w:t>
            </w:r>
          </w:p>
        </w:tc>
      </w:tr>
      <w:tr>
        <w:tc>
          <w:tcPr>
            <w:tcW w:type="dxa" w:w="4150"/>
          </w:tcPr>
          <w:p>
            <w:r/>
            <w:r>
              <w:rPr>
                <w:rFonts w:ascii="Calibri" w:hAnsi="Calibri" w:eastAsia="微软雅黑"/>
                <w:b w:val="0"/>
                <w:i w:val="0"/>
                <w:sz w:val="18"/>
              </w:rPr>
              <w:t>P000106</w:t>
            </w:r>
          </w:p>
        </w:tc>
        <w:tc>
          <w:tcPr>
            <w:tcW w:type="dxa" w:w="4150"/>
          </w:tcPr>
          <w:p>
            <w:r/>
            <w:r>
              <w:rPr>
                <w:rFonts w:ascii="Calibri" w:hAnsi="Calibri" w:eastAsia="微软雅黑"/>
                <w:b w:val="0"/>
                <w:i w:val="0"/>
                <w:sz w:val="18"/>
              </w:rPr>
              <w:t>2025年勘察设计企业工程项目管理和工程总承包营业额排名（中设协通知，2025年9月4日）</w:t>
            </w:r>
          </w:p>
        </w:tc>
      </w:tr>
      <w:tr>
        <w:tc>
          <w:tcPr>
            <w:tcW w:type="dxa" w:w="4150"/>
          </w:tcPr>
          <w:p>
            <w:r/>
            <w:r>
              <w:rPr>
                <w:rFonts w:ascii="Calibri" w:hAnsi="Calibri" w:eastAsia="微软雅黑"/>
                <w:b w:val="0"/>
                <w:i w:val="0"/>
                <w:sz w:val="18"/>
              </w:rPr>
              <w:t>P000110</w:t>
            </w:r>
          </w:p>
        </w:tc>
        <w:tc>
          <w:tcPr>
            <w:tcW w:type="dxa" w:w="4150"/>
          </w:tcPr>
          <w:p>
            <w:r/>
            <w:r>
              <w:rPr>
                <w:rFonts w:ascii="Calibri" w:hAnsi="Calibri" w:eastAsia="微软雅黑"/>
                <w:b w:val="0"/>
                <w:i w:val="0"/>
                <w:sz w:val="18"/>
              </w:rPr>
              <w:t>勘察设计企业境外工程项目管理和总承包营业额二〇一九年排名（新浪财经转载，含境外双榜完整数据）</w:t>
            </w:r>
          </w:p>
        </w:tc>
      </w:tr>
      <w:tr>
        <w:tc>
          <w:tcPr>
            <w:tcW w:type="dxa" w:w="4150"/>
          </w:tcPr>
          <w:p>
            <w:r/>
            <w:r>
              <w:rPr>
                <w:rFonts w:ascii="Calibri" w:hAnsi="Calibri" w:eastAsia="微软雅黑"/>
                <w:b w:val="0"/>
                <w:i w:val="0"/>
                <w:sz w:val="18"/>
              </w:rPr>
              <w:t>P000112</w:t>
            </w:r>
          </w:p>
        </w:tc>
        <w:tc>
          <w:tcPr>
            <w:tcW w:type="dxa" w:w="4150"/>
          </w:tcPr>
          <w:p>
            <w:r/>
            <w:r>
              <w:rPr>
                <w:rFonts w:ascii="Calibri" w:hAnsi="Calibri" w:eastAsia="微软雅黑"/>
                <w:b w:val="0"/>
                <w:i w:val="0"/>
                <w:sz w:val="18"/>
              </w:rPr>
              <w:t>中国勘察设计协会关于2025年开展排名活动的通知（中设协字〔2025〕9号，含申报条件、表一至表五、时序与审核规则）</w:t>
            </w:r>
          </w:p>
        </w:tc>
      </w:tr>
      <w:tr>
        <w:tc>
          <w:tcPr>
            <w:tcW w:type="dxa" w:w="4150"/>
          </w:tcPr>
          <w:p>
            <w:r/>
            <w:r>
              <w:rPr>
                <w:rFonts w:ascii="Calibri" w:hAnsi="Calibri" w:eastAsia="微软雅黑"/>
                <w:b w:val="0"/>
                <w:i w:val="0"/>
                <w:sz w:val="18"/>
              </w:rPr>
              <w:t>P000113</w:t>
            </w:r>
          </w:p>
        </w:tc>
        <w:tc>
          <w:tcPr>
            <w:tcW w:type="dxa" w:w="4150"/>
          </w:tcPr>
          <w:p>
            <w:r/>
            <w:r>
              <w:rPr>
                <w:rFonts w:ascii="Calibri" w:hAnsi="Calibri" w:eastAsia="微软雅黑"/>
                <w:b w:val="0"/>
                <w:i w:val="0"/>
                <w:sz w:val="18"/>
              </w:rPr>
              <w:t>勘察设计企业工程项目管理和工程总承包营业额2024年排名出炉（2024年9月14日通知转载）</w:t>
            </w:r>
          </w:p>
        </w:tc>
      </w:tr>
      <w:tr>
        <w:tc>
          <w:tcPr>
            <w:tcW w:type="dxa" w:w="4150"/>
          </w:tcPr>
          <w:p>
            <w:r/>
            <w:r>
              <w:rPr>
                <w:rFonts w:ascii="Calibri" w:hAnsi="Calibri" w:eastAsia="微软雅黑"/>
                <w:b w:val="0"/>
                <w:i w:val="0"/>
                <w:sz w:val="18"/>
              </w:rPr>
              <w:t>P000114</w:t>
            </w:r>
          </w:p>
        </w:tc>
        <w:tc>
          <w:tcPr>
            <w:tcW w:type="dxa" w:w="4150"/>
          </w:tcPr>
          <w:p>
            <w:r/>
            <w:r>
              <w:rPr>
                <w:rFonts w:ascii="Calibri" w:hAnsi="Calibri" w:eastAsia="微软雅黑"/>
                <w:b w:val="0"/>
                <w:i w:val="0"/>
                <w:sz w:val="18"/>
              </w:rPr>
              <w:t>关于组织申报中设协2021年排名活动的通知（江苏省勘察设计行业协会转发）</w:t>
            </w:r>
          </w:p>
        </w:tc>
      </w:tr>
      <w:tr>
        <w:tc>
          <w:tcPr>
            <w:tcW w:type="dxa" w:w="4150"/>
          </w:tcPr>
          <w:p>
            <w:r/>
            <w:r>
              <w:rPr>
                <w:rFonts w:ascii="Calibri" w:hAnsi="Calibri" w:eastAsia="微软雅黑"/>
                <w:b w:val="0"/>
                <w:i w:val="0"/>
                <w:sz w:val="18"/>
              </w:rPr>
              <w:t>P000115</w:t>
            </w:r>
          </w:p>
        </w:tc>
        <w:tc>
          <w:tcPr>
            <w:tcW w:type="dxa" w:w="4150"/>
          </w:tcPr>
          <w:p>
            <w:r/>
            <w:r>
              <w:rPr>
                <w:rFonts w:ascii="Calibri" w:hAnsi="Calibri" w:eastAsia="微软雅黑"/>
                <w:b w:val="0"/>
                <w:i w:val="0"/>
                <w:sz w:val="18"/>
              </w:rPr>
              <w:t>中石化广州工程有限公司EPC专项研究资料</w:t>
            </w:r>
          </w:p>
        </w:tc>
      </w:tr>
      <w:tr>
        <w:tc>
          <w:tcPr>
            <w:tcW w:type="dxa" w:w="4150"/>
          </w:tcPr>
          <w:p>
            <w:r/>
            <w:r>
              <w:rPr>
                <w:rFonts w:ascii="Calibri" w:hAnsi="Calibri" w:eastAsia="微软雅黑"/>
                <w:b w:val="0"/>
                <w:i w:val="0"/>
                <w:sz w:val="18"/>
              </w:rPr>
              <w:t>P000120</w:t>
            </w:r>
          </w:p>
        </w:tc>
        <w:tc>
          <w:tcPr>
            <w:tcW w:type="dxa" w:w="4150"/>
          </w:tcPr>
          <w:p>
            <w:r/>
            <w:r>
              <w:rPr>
                <w:rFonts w:ascii="Calibri" w:hAnsi="Calibri" w:eastAsia="微软雅黑"/>
                <w:b w:val="0"/>
                <w:i w:val="0"/>
                <w:sz w:val="18"/>
              </w:rPr>
              <w:t>中国建筑第六工程局有限公司EPC专项研究资料</w:t>
            </w:r>
          </w:p>
        </w:tc>
      </w:tr>
      <w:tr>
        <w:tc>
          <w:tcPr>
            <w:tcW w:type="dxa" w:w="4150"/>
          </w:tcPr>
          <w:p>
            <w:r/>
            <w:r>
              <w:rPr>
                <w:rFonts w:ascii="Calibri" w:hAnsi="Calibri" w:eastAsia="微软雅黑"/>
                <w:b w:val="0"/>
                <w:i w:val="0"/>
                <w:sz w:val="18"/>
              </w:rPr>
              <w:t>P000125</w:t>
            </w:r>
          </w:p>
        </w:tc>
        <w:tc>
          <w:tcPr>
            <w:tcW w:type="dxa" w:w="4150"/>
          </w:tcPr>
          <w:p>
            <w:r/>
            <w:r>
              <w:rPr>
                <w:rFonts w:ascii="Calibri" w:hAnsi="Calibri" w:eastAsia="微软雅黑"/>
                <w:b w:val="0"/>
                <w:i w:val="0"/>
                <w:sz w:val="18"/>
              </w:rPr>
              <w:t>湖南省建筑设计院集团股份有限公司EPC专项研究资料</w:t>
            </w:r>
          </w:p>
        </w:tc>
      </w:tr>
      <w:tr>
        <w:tc>
          <w:tcPr>
            <w:tcW w:type="dxa" w:w="4150"/>
          </w:tcPr>
          <w:p>
            <w:r/>
            <w:r>
              <w:rPr>
                <w:rFonts w:ascii="Calibri" w:hAnsi="Calibri" w:eastAsia="微软雅黑"/>
                <w:b w:val="0"/>
                <w:i w:val="0"/>
                <w:sz w:val="18"/>
              </w:rPr>
              <w:t>P000130</w:t>
            </w:r>
          </w:p>
        </w:tc>
        <w:tc>
          <w:tcPr>
            <w:tcW w:type="dxa" w:w="4150"/>
          </w:tcPr>
          <w:p>
            <w:r/>
            <w:r>
              <w:rPr>
                <w:rFonts w:ascii="Calibri" w:hAnsi="Calibri" w:eastAsia="微软雅黑"/>
                <w:b w:val="0"/>
                <w:i w:val="0"/>
                <w:sz w:val="18"/>
              </w:rPr>
              <w:t>中城科泽工程设计集团有限责任公司EPC专项研究资料</w:t>
            </w:r>
          </w:p>
        </w:tc>
      </w:tr>
      <w:tr>
        <w:tc>
          <w:tcPr>
            <w:tcW w:type="dxa" w:w="4150"/>
          </w:tcPr>
          <w:p>
            <w:r/>
            <w:r>
              <w:rPr>
                <w:rFonts w:ascii="Calibri" w:hAnsi="Calibri" w:eastAsia="微软雅黑"/>
                <w:b w:val="0"/>
                <w:i w:val="0"/>
                <w:sz w:val="18"/>
              </w:rPr>
              <w:t>P000135</w:t>
            </w:r>
          </w:p>
        </w:tc>
        <w:tc>
          <w:tcPr>
            <w:tcW w:type="dxa" w:w="4150"/>
          </w:tcPr>
          <w:p>
            <w:r/>
            <w:r>
              <w:rPr>
                <w:rFonts w:ascii="Calibri" w:hAnsi="Calibri" w:eastAsia="微软雅黑"/>
                <w:b w:val="0"/>
                <w:i w:val="0"/>
                <w:sz w:val="18"/>
              </w:rPr>
              <w:t>中国建筑业协会《2024年建筑业发展统计分析》</w:t>
            </w:r>
          </w:p>
        </w:tc>
      </w:tr>
      <w:tr>
        <w:tc>
          <w:tcPr>
            <w:tcW w:type="dxa" w:w="4150"/>
          </w:tcPr>
          <w:p>
            <w:r/>
            <w:r>
              <w:rPr>
                <w:rFonts w:ascii="Calibri" w:hAnsi="Calibri" w:eastAsia="微软雅黑"/>
                <w:b w:val="0"/>
                <w:i w:val="0"/>
                <w:sz w:val="18"/>
              </w:rPr>
              <w:t>P000151</w:t>
            </w:r>
          </w:p>
        </w:tc>
        <w:tc>
          <w:tcPr>
            <w:tcW w:type="dxa" w:w="4150"/>
          </w:tcPr>
          <w:p>
            <w:r/>
            <w:r>
              <w:rPr>
                <w:rFonts w:ascii="Calibri" w:hAnsi="Calibri" w:eastAsia="微软雅黑"/>
                <w:b w:val="0"/>
                <w:i w:val="0"/>
                <w:sz w:val="18"/>
              </w:rPr>
              <w:t>中石化南京工程有限公司EPC专项研究（研究报告交付版）</w:t>
            </w:r>
          </w:p>
        </w:tc>
      </w:tr>
      <w:tr>
        <w:tc>
          <w:tcPr>
            <w:tcW w:type="dxa" w:w="4150"/>
          </w:tcPr>
          <w:p>
            <w:r/>
            <w:r>
              <w:rPr>
                <w:rFonts w:ascii="Calibri" w:hAnsi="Calibri" w:eastAsia="微软雅黑"/>
                <w:b w:val="0"/>
                <w:i w:val="0"/>
                <w:sz w:val="18"/>
              </w:rPr>
              <w:t>P000152</w:t>
            </w:r>
          </w:p>
        </w:tc>
        <w:tc>
          <w:tcPr>
            <w:tcW w:type="dxa" w:w="4150"/>
          </w:tcPr>
          <w:p>
            <w:r/>
            <w:r>
              <w:rPr>
                <w:rFonts w:ascii="Calibri" w:hAnsi="Calibri" w:eastAsia="微软雅黑"/>
                <w:b w:val="0"/>
                <w:i w:val="0"/>
                <w:sz w:val="18"/>
              </w:rPr>
              <w:t>中核工程EPC专项研究（第7章：调试与移交体系·核电特色）</w:t>
            </w:r>
          </w:p>
        </w:tc>
      </w:tr>
      <w:tr>
        <w:tc>
          <w:tcPr>
            <w:tcW w:type="dxa" w:w="4150"/>
          </w:tcPr>
          <w:p>
            <w:r/>
            <w:r>
              <w:rPr>
                <w:rFonts w:ascii="Calibri" w:hAnsi="Calibri" w:eastAsia="微软雅黑"/>
                <w:b w:val="0"/>
                <w:i w:val="0"/>
                <w:sz w:val="18"/>
              </w:rPr>
              <w:t>P000153</w:t>
            </w:r>
          </w:p>
        </w:tc>
        <w:tc>
          <w:tcPr>
            <w:tcW w:type="dxa" w:w="4150"/>
          </w:tcPr>
          <w:p>
            <w:r/>
            <w:r>
              <w:rPr>
                <w:rFonts w:ascii="Calibri" w:hAnsi="Calibri" w:eastAsia="微软雅黑"/>
                <w:b w:val="0"/>
                <w:i w:val="0"/>
                <w:sz w:val="18"/>
              </w:rPr>
              <w:t>中核工程EPC专项研究（引用修订版）</w:t>
            </w:r>
          </w:p>
        </w:tc>
      </w:tr>
    </w:tbl>
    <w:p>
      <w:r>
        <w:rPr>
          <w:rFonts w:ascii="Calibri" w:hAnsi="Calibri" w:eastAsia="微软雅黑"/>
          <w:b w:val="0"/>
          <w:i w:val="0"/>
          <w:sz w:val="22"/>
        </w:rPr>
        <w:t>---</w:t>
      </w:r>
    </w:p>
    <w:p>
      <w:pPr>
        <w:pStyle w:val="Heading1"/>
      </w:pPr>
      <w:r>
        <w:t>第3章 央企集团军凭借资质集聚与资金统筹建立护城河，但内部同质化与协同耗损仍待破解</w:t>
      </w:r>
    </w:p>
    <w:p>
      <w:r>
        <w:rPr>
          <w:rFonts w:ascii="Calibri" w:hAnsi="Calibri" w:eastAsia="微软雅黑"/>
          <w:b w:val="0"/>
          <w:i w:val="0"/>
          <w:sz w:val="22"/>
        </w:rPr>
        <w:t>出品：总包创研院研究团队</w:t>
      </w:r>
    </w:p>
    <w:p>
      <w:pPr>
        <w:ind w:left="454"/>
      </w:pPr>
      <w:r>
        <w:rPr>
          <w:rFonts w:ascii="Calibri" w:hAnsi="Calibri" w:eastAsia="微软雅黑"/>
          <w:b/>
          <w:i w:val="0"/>
          <w:color w:val="666666"/>
          <w:sz w:val="22"/>
        </w:rPr>
        <w:t>本章事实纪律声明</w:t>
      </w:r>
      <w:r>
        <w:rPr>
          <w:rFonts w:ascii="Calibri" w:hAnsi="Calibri" w:eastAsia="微软雅黑"/>
          <w:b w:val="0"/>
          <w:i w:val="0"/>
          <w:color w:val="666666"/>
          <w:sz w:val="22"/>
        </w:rPr>
        <w:t>：本章全部企业财务数据、战略表述、管理模型与工程案例，均逐字取自本书研究团队采集整理的事实资料库（含上市公司经审计年报全文与企业专项研究资料），正文随文标注[来源: P锚]（对照本章尾注），读者可按锚号回溯核验；无源不写，解读性判断均在文中明示。标注"本研究测算"（own_calc）的比值为研究团队依据源数据折算所得；标注"示意性复盘"或"行业归纳"的内容为依据源文规则与赛道特征的推演，均已随文明示。</w:t>
      </w:r>
    </w:p>
    <w:p>
      <w:r>
        <w:rPr>
          <w:rFonts w:ascii="Calibri" w:hAnsi="Calibri" w:eastAsia="微软雅黑"/>
          <w:b/>
          <w:i w:val="0"/>
          <w:sz w:val="22"/>
        </w:rPr>
        <w:t>开篇导言：本章帮读者解决什么问题</w:t>
      </w:r>
    </w:p>
    <w:p>
      <w:r>
        <w:rPr>
          <w:rFonts w:ascii="Calibri" w:hAnsi="Calibri" w:eastAsia="微软雅黑"/>
          <w:b w:val="0"/>
          <w:i w:val="0"/>
          <w:sz w:val="22"/>
        </w:rPr>
        <w:t>本章与第1、2章构成递进关系：第1章回答"市场有多大、格局是什么"，第2章回答"榜单怎么读、口径怎么穿"，本章回答"头部玩家凭什么强、强在哪里、弱在哪里"——三问读完，读者手里就有了从宏观格局到微观战法的完整地图（本段为全书结构说明）。</w:t>
      </w:r>
    </w:p>
    <w:p>
      <w:r>
        <w:rPr>
          <w:rFonts w:ascii="Calibri" w:hAnsi="Calibri" w:eastAsia="微软雅黑"/>
          <w:b w:val="0"/>
          <w:i w:val="0"/>
          <w:sz w:val="22"/>
        </w:rPr>
        <w:t>在我国建筑与工程建设行业由"大规模增量扩张"向"存量盘活与高质量结构优化"加速转变的背景下，广大工程企业高管、设计院院长及EPC项目决策者正面临三大现实痛点：一是传统施工或单一设计业务盈利空间被持续压缩，亟需向全产业链大总包模式演进，但缺乏对头部央企集团军核心战法与管控架构的深刻洞察；二是面对百亿级片区综合开发、大型新能源基地以及复杂工业基础设施等"巨无霸"项目，缺乏"投建营一体化"与跨板块集群协作的落地支点；三是在与央企集团军同台竞技或合作时，不清楚其能力边界、决策链条与组织痛点，难以制定差异化的竞合策略。</w:t>
      </w:r>
    </w:p>
    <w:p>
      <w:r>
        <w:rPr>
          <w:rFonts w:ascii="Calibri" w:hAnsi="Calibri" w:eastAsia="微软雅黑"/>
          <w:b w:val="0"/>
          <w:i w:val="0"/>
          <w:sz w:val="22"/>
        </w:rPr>
        <w:t>本章立足于事实资料库全量财务与经营数据（覆盖五大集团军2022-2025年经审计年报与企业专项研究），深度剖析中国电建、中国能建、中国中冶、中石化工程建设、中核工程等中央企业集团军的战略坐标、阵营分化、集群协作机制与壁垒构建路径，为读者提供一张清晰的央企大总包"作战地图"，提炼可复制的设计施工融合、风险量化评估、集群联动及一体化交付方法论，帮助决策者在复杂市场环境中找准定位、开辟新赛道并构建坚实竞争壁垒。需要预先言明的是：央企不是铁板一块——本章将同时呈现其硬核壁垒与内部阵痛，因为对多数读者而言，后者恰恰是竞合策略的真正入口（本句为本研究立场说明）。</w:t>
      </w:r>
    </w:p>
    <w:p>
      <w:r>
        <w:rPr>
          <w:rFonts w:ascii="Calibri" w:hAnsi="Calibri" w:eastAsia="微软雅黑"/>
          <w:b w:val="0"/>
          <w:i w:val="0"/>
          <w:sz w:val="22"/>
        </w:rPr>
        <w:t>---</w:t>
      </w:r>
    </w:p>
    <w:p>
      <w:pPr>
        <w:pStyle w:val="Heading2"/>
      </w:pPr>
      <w:r>
        <w:t>3.1 阵营分化：五大央企集团军的战略坐标与作战定位</w:t>
      </w:r>
    </w:p>
    <w:p>
      <w:r>
        <w:rPr>
          <w:rFonts w:ascii="Calibri" w:hAnsi="Calibri" w:eastAsia="微软雅黑"/>
          <w:b w:val="0"/>
          <w:i w:val="0"/>
          <w:sz w:val="22"/>
        </w:rPr>
        <w:t>在国家"双碳"战略、新基建与新型城镇化建设的牵引下，工程建设领域的中央企业集团军基于各自的历史基因与核心资质，演化出差异显著的战略坐标与业务阵营（阵营划分为本研究归纳框架，各军团单体数据均锚定年报与专项研究）。</w:t>
      </w:r>
    </w:p>
    <w:p>
      <w:pPr>
        <w:pStyle w:val="Heading3"/>
      </w:pPr>
      <w:r>
        <w:t>3.1.1 大水能与全产业链龙头：中国电建（601669）</w:t>
      </w:r>
    </w:p>
    <w:p>
      <w:pPr>
        <w:pStyle w:val="ListBullet"/>
      </w:pPr>
      <w:r>
        <w:rPr>
          <w:rFonts w:ascii="Calibri" w:hAnsi="Calibri" w:eastAsia="微软雅黑"/>
          <w:b/>
          <w:i w:val="0"/>
          <w:sz w:val="22"/>
        </w:rPr>
        <w:t>战略定位与业务坐标</w:t>
      </w:r>
      <w:r>
        <w:rPr>
          <w:rFonts w:ascii="Calibri" w:hAnsi="Calibri" w:eastAsia="微软雅黑"/>
          <w:b w:val="0"/>
          <w:i w:val="0"/>
          <w:sz w:val="22"/>
        </w:rPr>
        <w:t>：中国电建聚焦"水、能、砂、城、数"核心业务，在新能源和抽水蓄能领域全面发力 [来源: P000201]。公司形成以上游勘察设计院集群（华东院、成都院、昆明院、北京院等 [来源: P000201]）为技术龙头、下游专业工程局集群为施工骨干的矩阵体系（本句后半为本研究归纳）。砂石骨料的开采、生产和销售与水利水电专用设备的设计研发生产销售，构成其工程承包紧密相关的重点业务 [来源: P000208]。</w:t>
      </w:r>
    </w:p>
    <w:p>
      <w:pPr>
        <w:pStyle w:val="ListBullet"/>
      </w:pPr>
      <w:r>
        <w:rPr>
          <w:rFonts w:ascii="Calibri" w:hAnsi="Calibri" w:eastAsia="微软雅黑"/>
          <w:b/>
          <w:i w:val="0"/>
          <w:sz w:val="22"/>
        </w:rPr>
        <w:t>经营体量与数据</w:t>
      </w:r>
      <w:r>
        <w:rPr>
          <w:rFonts w:ascii="Calibri" w:hAnsi="Calibri" w:eastAsia="微软雅黑"/>
          <w:b w:val="0"/>
          <w:i w:val="0"/>
          <w:sz w:val="22"/>
        </w:rPr>
        <w:t>：2022年，中国电建实现新签合同10,091.86亿元（同比增长29.34%），营业收入5,716.49亿元（同比增长1.16%），归属于母公司的净利润114.35亿元（同比增长15.93%），各项主要指标再创新高 [来源: P000201]；同年公司成功获批5项"1025专项"攻关任务、主持3项国家重点研发计划，夯实原创技术策源地建设 [来源: P000201]。2023年，新签合同进一步攀升至11,428.44亿元（同比增长13.24%），营业收入6,084.39亿元（同比增长6.44%），归母净利润129.88亿元（同比增长13.58%），扣非归母净利润117.13亿元（同比增长13.17%）[来源: P000207]；另有国家重点研发计划2项、国家自然基金项目5项、牵头第二批2项"1025专项"攻关实现重大突破 [来源: P000207]。2024年，公司合并报表实现归属于上市公司股东净利润120.15亿元（12,015,017,079.83元），以新能源为主的战新产业营收贡献超40%、投资占比近50%、新签合同额占比超50% [来源: P000210]。2025年年度报告显示，公司营业收入达6,456.04亿元（645,604,120,331.32元，own_calc折算），数智业务新签合同近500亿元，全年获批主持国家重点研发计划6项，"1025专项"二期任务高质量通过验收、新获批三期牵头任务10项创历史新高 [来源: P000208]。</w:t>
      </w:r>
    </w:p>
    <w:p>
      <w:pPr>
        <w:pStyle w:val="ListBullet"/>
      </w:pPr>
      <w:r>
        <w:rPr>
          <w:rFonts w:ascii="Calibri" w:hAnsi="Calibri" w:eastAsia="微软雅黑"/>
          <w:b/>
          <w:i w:val="0"/>
          <w:sz w:val="22"/>
        </w:rPr>
        <w:t>品牌与工程资产</w:t>
      </w:r>
      <w:r>
        <w:rPr>
          <w:rFonts w:ascii="Calibri" w:hAnsi="Calibri" w:eastAsia="微软雅黑"/>
          <w:b w:val="0"/>
          <w:i w:val="0"/>
          <w:sz w:val="22"/>
        </w:rPr>
        <w:t>：以公司为核心资产的电建集团《财富》世界500强排名十连升跃居第100位，ENR"全球工程设计公司150强"连续三年蝉联榜首，ENR全球承包商250强和国际承包商250强排名在电力行业领域均居全球第一 [来源: P000201]。公司深度融入京津冀、长江经济带、成渝双城经济圈、粤港澳大湾区等城市群建设，推动雅砻江水风光一体化基地等重大项目落地实施 [来源: P000207]；白鹤滩水电站、深圳地铁12号线、雅万高铁等精品工程，以及藏东南水风光一体化示范基地规划获批、丰宁抽水蓄能等多个"世界之最""国内首个"重大工程，构成其置信度资产的核心存货 [来源: P000201, P000210]；治理层面，"三项制度"改革持续深化、参与国企改革"双百行动"，为工程主业提供制度底盘 [来源: P000201]；乌干达最大水电站卡鲁玛水电站等标志性工程与海外"小而美"民生项目高效交付，推动国际业务质量效益双提升 [来源: P000210]。国内五大"千亿级"市场布局持续优化，核心区域影响力不断巩固 [来源: P000210]。</w:t>
      </w:r>
    </w:p>
    <w:p>
      <w:pPr>
        <w:pStyle w:val="ListBullet"/>
      </w:pPr>
      <w:r>
        <w:rPr>
          <w:rFonts w:ascii="Calibri" w:hAnsi="Calibri" w:eastAsia="微软雅黑"/>
          <w:b/>
          <w:i w:val="0"/>
          <w:sz w:val="22"/>
        </w:rPr>
        <w:t>经典案例解析（数据-动作-结果）</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案例一：成都院大型抽水蓄能电站EPC项目</w:t>
      </w:r>
      <w:r>
        <w:rPr>
          <w:rFonts w:ascii="Calibri" w:hAnsi="Calibri" w:eastAsia="微软雅黑"/>
          <w:b w:val="0"/>
          <w:i w:val="0"/>
          <w:sz w:val="22"/>
        </w:rPr>
        <w:t>。项目面临复杂地质条件、巨型地下洞室群开挖以及极高的造价控制压力。成都院充分发挥"设计引领"优势，在项目前期即邀请施工专家参与方案评审，联合优化地下厂房布置与施工导流方案；在执行阶段组建现场联合设计团队，全面应用三维可视化与施工模拟技术。结果是减少了开挖量约15万立方米，节约工期3个月，降低工程造价约2.5亿元 [来源: P000230]。</w:t>
      </w:r>
    </w:p>
    <w:p>
      <w:r>
        <w:rPr>
          <w:rFonts w:ascii="Calibri" w:hAnsi="Calibri" w:eastAsia="微软雅黑"/>
          <w:b w:val="0"/>
          <w:i w:val="0"/>
          <w:sz w:val="22"/>
        </w:rPr>
        <w:t xml:space="preserve">- </w:t>
      </w:r>
      <w:r>
        <w:rPr>
          <w:rFonts w:ascii="Calibri" w:hAnsi="Calibri" w:eastAsia="微软雅黑"/>
          <w:b/>
          <w:i w:val="0"/>
          <w:sz w:val="22"/>
        </w:rPr>
        <w:t>案例二：华东院苍南三号海上风电场EPC项目</w:t>
      </w:r>
      <w:r>
        <w:rPr>
          <w:rFonts w:ascii="Calibri" w:hAnsi="Calibri" w:eastAsia="微软雅黑"/>
          <w:b w:val="0"/>
          <w:i w:val="0"/>
          <w:sz w:val="22"/>
        </w:rPr>
        <w:t>。该项目合同额87.51亿元，是目前国内单体合同额最大的海上风电EPC项目 [来源: P000235]。华东院依托自主研发的OWind数字能源服务平台与"大设计"理念，打通设计、采购与施工接口 [来源: P000235]；通过"质量、安全、进度、成本"四位一体综合管控模式实施统筹 [来源: P000235]，按期完成高质量并网，奠定了在海上风电高端EPC领域的领军地位（本句后半为本研究解读）。同期承接的华能玉环2号海上风电项目合同额亦达51.91亿元 [来源: P000235]。</w:t>
      </w:r>
    </w:p>
    <w:p>
      <w:pPr>
        <w:pStyle w:val="Heading3"/>
      </w:pPr>
      <w:r>
        <w:t>3.1.2 综合能源与融合发展巨无霸：中国能建（601868）</w:t>
      </w:r>
    </w:p>
    <w:p>
      <w:pPr>
        <w:pStyle w:val="ListBullet"/>
      </w:pPr>
      <w:r>
        <w:rPr>
          <w:rFonts w:ascii="Calibri" w:hAnsi="Calibri" w:eastAsia="微软雅黑"/>
          <w:b/>
          <w:i w:val="0"/>
          <w:sz w:val="22"/>
        </w:rPr>
        <w:t>战略定位与业务坐标</w:t>
      </w:r>
      <w:r>
        <w:rPr>
          <w:rFonts w:ascii="Calibri" w:hAnsi="Calibri" w:eastAsia="微软雅黑"/>
          <w:b w:val="0"/>
          <w:i w:val="0"/>
          <w:sz w:val="22"/>
        </w:rPr>
        <w:t>：中国能建依托旗下中国电力工程顾问集团（中电工程）与葛洲坝集团等特大型主体 [来源: P000228]，在水电工程领域施工市场份额超过30%（大型水电超过50%），承担了国内已投运核电90%以上常规岛勘察设计、66%以上常规岛工程建设以及几乎所有大型清洁能源输电通道工程的勘察设计任务 [来源: P000228]——这组数字是理解其"能源电力国家队"成色的最硬注脚（本句后半为本研究解读）。战略语言上，公司以"1466"战略为总纲——"一个战略愿景"（行业领先、世界一流），"四个走在前列"（在践行国家战略、推动能源革命、加快高质量发展、建设美好生活上走在前列），"六个一流"（一流的能源一体化方案解决商、工程总承包商、基础设施投资商、生态环境综合治理商、城市综合开发运营商、建材工业产品和装备提供商），"六个重大突破"（推动能源革命和能源转型发展、加快高质量发展、深化系统改革、全面加强科学管理、全面提升企业核心竞争力与组织能力、加强党的全面领导和党的建设）[来源: P000229]；2023年年报进一步把《若干意见》、"1466"与"三新"能建战略贯通，确立"创新、绿色、数智、融合"核心发展理念 [来源: P000228]。这一战略文本本身就是一份市场地图："六个一流"逐条对位一类客户与一类合同，二线企业可以对照检视自己在哪一"流"上具备入场券（本句为本研究解读）。2023年，公司全年新签合同额、营业收入、利润总额、净利润同比分别增长22.4%、10.82%、2.44%、8.00%，新签合同额连续三年高速增长、在站稳万亿平台基础上再创新高 [来源: P000228]；入选"全球十大工程成就"的白鹤滩水电站代表了当今世界水电技术发展的最高水平 [来源: P000228]。2024年，公司工程建设业务新签合同额12,750.8亿元（同比增长6.4%）[来源: P000224]；2025年，工程建设业务新签合同额13,464.8亿元（同比增长5.6%），勘测设计及咨询业务新签合同额261.61亿元（同比增长32.66%）[来源: P000220]。集团整体层面，2024年新签合同额突破1.4万亿元，全年新签合同额、营业收入、利润总额同比分别增长9.8%、7.6%、8.0% [来源: P000224]。</w:t>
      </w:r>
    </w:p>
    <w:p>
      <w:pPr>
        <w:pStyle w:val="ListBullet"/>
      </w:pPr>
      <w:r>
        <w:rPr>
          <w:rFonts w:ascii="Calibri" w:hAnsi="Calibri" w:eastAsia="微软雅黑"/>
          <w:b/>
          <w:i w:val="0"/>
          <w:sz w:val="22"/>
        </w:rPr>
        <w:t>新兴业务纵深</w:t>
      </w:r>
      <w:r>
        <w:rPr>
          <w:rFonts w:ascii="Calibri" w:hAnsi="Calibri" w:eastAsia="微软雅黑"/>
          <w:b w:val="0"/>
          <w:i w:val="0"/>
          <w:sz w:val="22"/>
        </w:rPr>
        <w:t>：截至2025年末，公司累计获取风光新能源指标8,200万千瓦，控股并网风光新能源项目装机容量1,905.47万千瓦，其中风电526.63万千瓦、太阳能发电1,378.84万千瓦 [来源: P000220]；氢能业务储备一体化项目50余个，甘肃张掖氢能综合应用示范项目、吉林松原绿色氢氨醇一体化一期建成投产 [来源: P000220]。2025年1月，公司投建的世界首座300兆瓦级压缩空气储能示范工程——湖北应城"能储一号"实现全容量并网，该项目利用地下废弃岩矿作为储气库，一次储能可满足中小城市连续五小时用电需求 [来源: P000220]；300兆瓦非补燃压缩空气储能用透平膨胀机、百兆瓦级新能源并网柔性功率调节装置等2项产品入选中央企业科技创新成果目录，百兆瓦级大容量半固态锂离子电池储能系统等7项装备入选能源领域首台套重大技术装备 [来源: P000220]。</w:t>
      </w:r>
    </w:p>
    <w:p>
      <w:pPr>
        <w:pStyle w:val="ListBullet"/>
      </w:pPr>
      <w:r>
        <w:rPr>
          <w:rFonts w:ascii="Calibri" w:hAnsi="Calibri" w:eastAsia="微软雅黑"/>
          <w:b/>
          <w:i w:val="0"/>
          <w:sz w:val="22"/>
        </w:rPr>
        <w:t>经典案例解析（数据-动作-结果）</w:t>
      </w:r>
      <w:r>
        <w:rPr>
          <w:rFonts w:ascii="Calibri" w:hAnsi="Calibri" w:eastAsia="微软雅黑"/>
          <w:b w:val="0"/>
          <w:i w:val="0"/>
          <w:sz w:val="22"/>
        </w:rPr>
        <w:t>：</w:t>
      </w:r>
      <w:r>
        <w:rPr>
          <w:rFonts w:ascii="Calibri" w:hAnsi="Calibri" w:eastAsia="微软雅黑"/>
          <w:b/>
          <w:i w:val="0"/>
          <w:sz w:val="22"/>
        </w:rPr>
        <w:t>交能融合与新型储能示范项目</w:t>
      </w:r>
      <w:r>
        <w:rPr>
          <w:rFonts w:ascii="Calibri" w:hAnsi="Calibri" w:eastAsia="微软雅黑"/>
          <w:b w:val="0"/>
          <w:i w:val="0"/>
          <w:sz w:val="22"/>
        </w:rPr>
        <w:t>（项目事实详见本节"新兴业务纵深"与下文案例展开）。2025年1月，公司投建的世界首座300兆瓦级压缩空气储能示范工程——湖北应城"能储一号"实现全容量并网，该项目利用地下废弃岩矿作为储气库，一次储能可满足中小城市连续五小时用电需求 [来源: P000220]。在"交能融合"方向，公司将高速公路与光伏、储能等能源设施一体化建设，把传统单一的土木工程升级为自带收益的复合能源基础设施（本句后半为本研究基于其战略表述的归纳）[来源: P000228]。通过"规划咨询+设计+施工+投资+装备"全产业链一体化优势牵头攻关，公司打通了新型储能与绿氢全产业链（本研究解读）[来源: P000220]。此外，内蒙古阿拉善世界最大5000平方米高空风力发电捕风伞成功完成开伞试验，为高空风能规模化开发打开新空间 [来源: P000220]——从压缩空气储能到高空风能，能建在新型储能赛道上的布局宽度罕见（本句为本研究解读）。</w:t>
      </w:r>
    </w:p>
    <w:p>
      <w:pPr>
        <w:pStyle w:val="Heading3"/>
      </w:pPr>
      <w:r>
        <w:t>3.1.3 冶金国家队与基本建设主力军：中国中冶（601618）</w:t>
      </w:r>
    </w:p>
    <w:p>
      <w:pPr>
        <w:pStyle w:val="ListBullet"/>
      </w:pPr>
      <w:r>
        <w:rPr>
          <w:rFonts w:ascii="Calibri" w:hAnsi="Calibri" w:eastAsia="微软雅黑"/>
          <w:b/>
          <w:i w:val="0"/>
          <w:sz w:val="22"/>
        </w:rPr>
        <w:t>战略定位与业务坐标</w:t>
      </w:r>
      <w:r>
        <w:rPr>
          <w:rFonts w:ascii="Calibri" w:hAnsi="Calibri" w:eastAsia="微软雅黑"/>
          <w:b w:val="0"/>
          <w:i w:val="0"/>
          <w:sz w:val="22"/>
        </w:rPr>
        <w:t>：中国中冶以"一创两最五强"为奋斗目标——以创建具有全球竞争力的世界一流企业为牵引，以打造具有超强核心竞争力的冶金建设运营国家队为根基 [来源: P000215]；公司还围绕先进工艺流程、绿色发展、智能制造及前沿关键技术制定了181项核心技术攻坚方向 [来源: P000215]，打造"四梁八柱"综合业务体系，锻造成为国家基本建设的主导力量 [来源: P000219]。</w:t>
      </w:r>
    </w:p>
    <w:p>
      <w:pPr>
        <w:pStyle w:val="ListBullet"/>
      </w:pPr>
      <w:r>
        <w:rPr>
          <w:rFonts w:ascii="Calibri" w:hAnsi="Calibri" w:eastAsia="微软雅黑"/>
          <w:b/>
          <w:i w:val="0"/>
          <w:sz w:val="22"/>
        </w:rPr>
        <w:t>创新底盘</w:t>
      </w:r>
      <w:r>
        <w:rPr>
          <w:rFonts w:ascii="Calibri" w:hAnsi="Calibri" w:eastAsia="微软雅黑"/>
          <w:b w:val="0"/>
          <w:i w:val="0"/>
          <w:sz w:val="22"/>
        </w:rPr>
        <w:t>：2022年年度报告披露，公司获得认定国家企业技术中心1个；牵头承担国家重点研发计划项目3项、课题5项，牵头承担国家自然科学基金项目3项；新申请专利12,020件，新获授权专利8,963件，累计有效专利达到47,120件，并获批发布牵头制定的国际标准 [来源: P000219]。2024年再进一步：世界最宽厚板轧机、自主开发的世界首条炭热还原烟气制硫磺中试线热试成功，荣获国家科技奖3项，累计有效专利超过5.5万件，国家级制造业单项冠军企业达到6家、专精特新"小巨人"企业达到10家 [来源: P000212]。</w:t>
      </w:r>
    </w:p>
    <w:p>
      <w:pPr>
        <w:pStyle w:val="ListBullet"/>
      </w:pPr>
      <w:r>
        <w:rPr>
          <w:rFonts w:ascii="Calibri" w:hAnsi="Calibri" w:eastAsia="微软雅黑"/>
          <w:b/>
          <w:i w:val="0"/>
          <w:sz w:val="22"/>
        </w:rPr>
        <w:t>三年经营轨迹</w:t>
      </w:r>
      <w:r>
        <w:rPr>
          <w:rFonts w:ascii="Calibri" w:hAnsi="Calibri" w:eastAsia="微软雅黑"/>
          <w:b w:val="0"/>
          <w:i w:val="0"/>
          <w:sz w:val="22"/>
        </w:rPr>
        <w:t>：2023年实现营业收入6,338.70亿元、利润总额137.65亿元、归属上市公司股东净利润86.70亿元，新签合同额14,247.79亿元 [来源: P000215]；2024年实现新签合同额12,487.06亿元、营业收入5,520.25亿元、利润总额92.55亿元，归属上市公司股东净利润67.46亿元 [来源: P000212]。在冶金行业下行周期中，营收与新签的双降倒逼其向公投与新兴赛道要增量（本句为本研究解读）。</w:t>
      </w:r>
    </w:p>
    <w:p>
      <w:pPr>
        <w:pStyle w:val="ListBullet"/>
      </w:pPr>
      <w:r>
        <w:rPr>
          <w:rFonts w:ascii="Calibri" w:hAnsi="Calibri" w:eastAsia="微软雅黑"/>
          <w:b/>
          <w:i w:val="0"/>
          <w:sz w:val="22"/>
        </w:rPr>
        <w:t>市场纵深与攻坚数据</w:t>
      </w:r>
      <w:r>
        <w:rPr>
          <w:rFonts w:ascii="Calibri" w:hAnsi="Calibri" w:eastAsia="微软雅黑"/>
          <w:b w:val="0"/>
          <w:i w:val="0"/>
          <w:sz w:val="22"/>
        </w:rPr>
        <w:t>：2024年，公司新签合同额总体规模稳定在合理区间，成功打造出5个国内千亿级市场，培育出3个百亿级海外市场，其中印尼市场新签合同额首次突破300亿元，海外市场规模实现两年翻一番 [来源: P000212]；重庆枢纽港产业园项目充分发挥链主企业优势，聚集上下游资源带动产业集群发展，服务西部陆海新通道建设 [来源: P000212]。2025年，公司海外市场勇开新局——新签合同额首次突破千亿大关，达1,007亿元（同比增长6%），阿曼苏哈尔选矿厂、淡水河谷熔融还原炼铁等一批代表性项目成功落地 [来源: P000216]。</w:t>
      </w:r>
    </w:p>
    <w:p>
      <w:pPr>
        <w:pStyle w:val="ListBullet"/>
      </w:pPr>
      <w:r>
        <w:rPr>
          <w:rFonts w:ascii="Calibri" w:hAnsi="Calibri" w:eastAsia="微软雅黑"/>
          <w:b/>
          <w:i w:val="0"/>
          <w:sz w:val="22"/>
        </w:rPr>
        <w:t>经典案例解析（数据-动作-结果）</w:t>
      </w:r>
      <w:r>
        <w:rPr>
          <w:rFonts w:ascii="Calibri" w:hAnsi="Calibri" w:eastAsia="微软雅黑"/>
          <w:b w:val="0"/>
          <w:i w:val="0"/>
          <w:sz w:val="22"/>
        </w:rPr>
        <w:t>：</w:t>
      </w:r>
      <w:r>
        <w:rPr>
          <w:rFonts w:ascii="Calibri" w:hAnsi="Calibri" w:eastAsia="微软雅黑"/>
          <w:b/>
          <w:i w:val="0"/>
          <w:sz w:val="22"/>
        </w:rPr>
        <w:t>高端公投市场与新兴赛道攻坚</w:t>
      </w:r>
      <w:r>
        <w:rPr>
          <w:rFonts w:ascii="Calibri" w:hAnsi="Calibri" w:eastAsia="微软雅黑"/>
          <w:b w:val="0"/>
          <w:i w:val="0"/>
          <w:sz w:val="22"/>
        </w:rPr>
        <w:t>。公投市场方面，公司成功签约宝山高铁站站房项目，成为高铁站房开创性、里程碑式的业绩突破，并斩获成都"红照壁"超高层项目 [来源: P000216]。"五个联动"优势下，施工企业与设计企业积极联动，成功揽获郑州航空港翠湖片区综合开发百亿元项目、签约星河焦化及尾气综合利用79亿元大单 [来源: P000216]；在特色业务方向，成功签约中国人保西部数据中心项目、新疆巴州独立储能电站项目、新疆俊瑞新能源规模化制绿氢设计采购施工一体化总承包项目以及永善顺河一、二、三级水电站建设项目EPC工程 [来源: P000216]，实现了从传统冶金建造向高科技、高附加值新基建总包的跨越（本句后半为本研究解读）。</w:t>
      </w:r>
    </w:p>
    <w:p>
      <w:pPr>
        <w:pStyle w:val="Heading3"/>
      </w:pPr>
      <w:r>
        <w:t>3.1.4 复杂系统工程掌控者：中核工程（CNPE）</w:t>
      </w:r>
    </w:p>
    <w:p>
      <w:pPr>
        <w:pStyle w:val="ListBullet"/>
      </w:pPr>
      <w:r>
        <w:rPr>
          <w:rFonts w:ascii="Calibri" w:hAnsi="Calibri" w:eastAsia="微软雅黑"/>
          <w:b/>
          <w:i w:val="0"/>
          <w:sz w:val="22"/>
        </w:rPr>
        <w:t>战略定位与业务坐标</w:t>
      </w:r>
      <w:r>
        <w:rPr>
          <w:rFonts w:ascii="Calibri" w:hAnsi="Calibri" w:eastAsia="微软雅黑"/>
          <w:b w:val="0"/>
          <w:i w:val="0"/>
          <w:sz w:val="22"/>
        </w:rPr>
        <w:t>：作为中国核电工程建设的"核心大脑"，中核工程实现了从传统"画图院"向全产业链"大总包"与"战略协调枢纽"的职能跃迁 [来源: P000251]。在EPC模式下，公司不再仅仅提供设计图纸，而是对数千个系统、数万台设备、数十家分包商进行全方位的指挥与统领 [来源: P000251]，聚焦核电站全生命周期EPC总承包，掌控极度复杂系统工程的组织协调与核安全红线管控。核电项目投资规模巨大，单台机组投资通常超过200亿元，建设周期通常5-7年 [来源: P000251]。</w:t>
      </w:r>
    </w:p>
    <w:p>
      <w:pPr>
        <w:pStyle w:val="ListBullet"/>
      </w:pPr>
      <w:r>
        <w:rPr>
          <w:rFonts w:ascii="Calibri" w:hAnsi="Calibri" w:eastAsia="微软雅黑"/>
          <w:b/>
          <w:i w:val="0"/>
          <w:sz w:val="22"/>
        </w:rPr>
        <w:t>管控哲学</w:t>
      </w:r>
      <w:r>
        <w:rPr>
          <w:rFonts w:ascii="Calibri" w:hAnsi="Calibri" w:eastAsia="微软雅黑"/>
          <w:b w:val="0"/>
          <w:i w:val="0"/>
          <w:sz w:val="22"/>
        </w:rPr>
        <w:t>：核电工程对质量的"零容忍"不仅是技术要求，更是政治任务；随着"六大控制七个零"高质量精细化管控体系的建立，核电工程管理已从经验驱动升维至体系驱动 [来源: P000251]。在这一体系下，EPC总包方行使的是"战略协调枢纽"职能——设计、采购、施工、调试四条线在总包层面合流，任何一条线的偏差都会被拉回同一张进度与质量基准表（本句为本研究解读）[来源: P000251]。</w:t>
      </w:r>
    </w:p>
    <w:p>
      <w:pPr>
        <w:pStyle w:val="ListBullet"/>
      </w:pPr>
      <w:r>
        <w:rPr>
          <w:rFonts w:ascii="Calibri" w:hAnsi="Calibri" w:eastAsia="微软雅黑"/>
          <w:b/>
          <w:i w:val="0"/>
          <w:sz w:val="22"/>
        </w:rPr>
        <w:t>案例解析（数据-动作-结果）</w:t>
      </w:r>
      <w:r>
        <w:rPr>
          <w:rFonts w:ascii="Calibri" w:hAnsi="Calibri" w:eastAsia="微软雅黑"/>
          <w:b w:val="0"/>
          <w:i w:val="0"/>
          <w:sz w:val="22"/>
        </w:rPr>
        <w:t>：</w:t>
      </w:r>
      <w:r>
        <w:rPr>
          <w:rFonts w:ascii="Calibri" w:hAnsi="Calibri" w:eastAsia="微软雅黑"/>
          <w:b/>
          <w:i w:val="0"/>
          <w:sz w:val="22"/>
        </w:rPr>
        <w:t>"华龙一号"批量化建设与数字化交付</w:t>
      </w:r>
      <w:r>
        <w:rPr>
          <w:rFonts w:ascii="Calibri" w:hAnsi="Calibri" w:eastAsia="微软雅黑"/>
          <w:b w:val="0"/>
          <w:i w:val="0"/>
          <w:sz w:val="22"/>
        </w:rPr>
        <w:t>。中核工程打造"一软、一网、一硬、一平台"的智能工程生态，通过三维设计实现"虚拟建造" [来源: P000251]；以Engineering Base（EB）软件为底层数据库，全面推行基于模型的定义（MBD）数字化交付模式，建立"设计-制造-监造-协同平台"深度融合机制，实现"一套模型做到底" [来源: P000253]。结果是从设计院到装备制造厂的数据链条被打通，现场设计变更率与返工率大幅下降（源文定性表述），确保了"华龙一号"首堆及后续机组重大里程碑节点的确定性预控 [来源: P000251, P000253]。核电级管控对行业的溢出价值在于示范了"复杂系统的可管理性上限"——当数千个系统、数万台设备的接口都能被结构化治理 [来源: P000251]，普通民用工程的复杂度就有了成熟的方法论可借用（本研究解读）。</w:t>
      </w:r>
    </w:p>
    <w:p>
      <w:pPr>
        <w:pStyle w:val="Heading3"/>
      </w:pPr>
      <w:r>
        <w:t>3.1.5 石化与炼化工程排头兵：中石化工程建设（SEI）</w:t>
      </w:r>
    </w:p>
    <w:p>
      <w:pPr>
        <w:pStyle w:val="ListBullet"/>
      </w:pPr>
      <w:r>
        <w:rPr>
          <w:rFonts w:ascii="Calibri" w:hAnsi="Calibri" w:eastAsia="微软雅黑"/>
          <w:b/>
          <w:i w:val="0"/>
          <w:sz w:val="22"/>
        </w:rPr>
        <w:t>战略定位与业务坐标</w:t>
      </w:r>
      <w:r>
        <w:rPr>
          <w:rFonts w:ascii="Calibri" w:hAnsi="Calibri" w:eastAsia="微软雅黑"/>
          <w:b w:val="0"/>
          <w:i w:val="0"/>
          <w:sz w:val="22"/>
        </w:rPr>
        <w:t>：依托中石化集团强大的炼化工艺技术许可与工程设计能力，中石化工程建设锁定特大型炼化一体化基地、煤化工与烯烃/芳烃装置大总包领域（本条为基于其榜单定位与集团背景的行业归纳，本研究明示）。SEI通过将核心工艺包研发、专利设备采购与高难度现场安装深度一体化，在高端化工EPC领域构建起极高的技术壁垒。</w:t>
      </w:r>
    </w:p>
    <w:p>
      <w:pPr>
        <w:pStyle w:val="ListBullet"/>
      </w:pPr>
      <w:r>
        <w:rPr>
          <w:rFonts w:ascii="Calibri" w:hAnsi="Calibri" w:eastAsia="微软雅黑"/>
          <w:b/>
          <w:i w:val="0"/>
          <w:sz w:val="22"/>
        </w:rPr>
        <w:t>榜单坐标</w:t>
      </w:r>
      <w:r>
        <w:rPr>
          <w:rFonts w:ascii="Calibri" w:hAnsi="Calibri" w:eastAsia="微软雅黑"/>
          <w:b w:val="0"/>
          <w:i w:val="0"/>
          <w:sz w:val="22"/>
        </w:rPr>
        <w:t>：SEI在全国勘察设计企业工程总承包榜单稳居第一梯队，并在工程项目管理营业额榜单连续多年位居全国榜首——"总承包+项目管理"双榜靠前的组合，正是其"设计资质+全过程服务能力"双底座的直接映射（榜单数据与口径分析详见第2章表2-2，本章不重复展开；本句为本研究解读）。</w:t>
      </w:r>
    </w:p>
    <w:p>
      <w:pPr>
        <w:pStyle w:val="Heading3"/>
      </w:pPr>
      <w:r>
        <w:t>3.1.6 三大军团经营轨迹对照（2022-2025年报口径）</w:t>
      </w:r>
    </w:p>
    <w:p>
      <w:r>
        <w:rPr>
          <w:rFonts w:ascii="Calibri" w:hAnsi="Calibri" w:eastAsia="微软雅黑"/>
          <w:b w:val="0"/>
          <w:i w:val="0"/>
          <w:sz w:val="22"/>
        </w:rPr>
        <w:t>把五大集团军中三家整体上市的军团放在同一张表上，阵营分化的财务底色一目了然：</w:t>
      </w:r>
    </w:p>
    <w:p>
      <w:pPr>
        <w:pStyle w:val="Heading4"/>
      </w:pPr>
      <w:r>
        <w:t>表3-2 央企军团经营轨迹对照表（各年年报口径）[来源: P000201, P000207, P000210, P000208, P000228, P000224, P000220, P000215, P000212, P000216]</w:t>
      </w:r>
    </w:p>
    <w:tbl>
      <w:tblPr>
        <w:tblStyle w:val="TableGrid"/>
        <w:tblW w:type="auto" w:w="0"/>
        <w:tblLook w:firstColumn="1" w:firstRow="1" w:lastColumn="0" w:lastRow="0" w:noHBand="0" w:noVBand="1" w:val="04A0"/>
      </w:tblPr>
      <w:tblGrid>
        <w:gridCol w:w="1383"/>
        <w:gridCol w:w="1383"/>
        <w:gridCol w:w="1383"/>
        <w:gridCol w:w="1383"/>
        <w:gridCol w:w="1383"/>
        <w:gridCol w:w="1383"/>
      </w:tblGrid>
      <w:tr>
        <w:tc>
          <w:tcPr>
            <w:tcW w:type="dxa" w:w="1383"/>
            <w:shd w:fill="1F3A5F"/>
          </w:tcPr>
          <w:p>
            <w:r>
              <w:rPr>
                <w:color w:val="FFFFFF"/>
              </w:rPr>
            </w:r>
            <w:r>
              <w:rPr>
                <w:rFonts w:ascii="Calibri" w:hAnsi="Calibri" w:eastAsia="微软雅黑"/>
                <w:b/>
                <w:i w:val="0"/>
                <w:color w:val="FFFFFF"/>
                <w:sz w:val="18"/>
              </w:rPr>
              <w:t>军团</w:t>
            </w:r>
          </w:p>
        </w:tc>
        <w:tc>
          <w:tcPr>
            <w:tcW w:type="dxa" w:w="1383"/>
            <w:shd w:fill="1F3A5F"/>
          </w:tcPr>
          <w:p>
            <w:r>
              <w:rPr>
                <w:color w:val="FFFFFF"/>
              </w:rPr>
            </w:r>
            <w:r>
              <w:rPr>
                <w:rFonts w:ascii="Calibri" w:hAnsi="Calibri" w:eastAsia="微软雅黑"/>
                <w:b/>
                <w:i w:val="0"/>
                <w:color w:val="FFFFFF"/>
                <w:sz w:val="18"/>
              </w:rPr>
              <w:t>年度</w:t>
            </w:r>
          </w:p>
        </w:tc>
        <w:tc>
          <w:tcPr>
            <w:tcW w:type="dxa" w:w="1383"/>
            <w:shd w:fill="1F3A5F"/>
          </w:tcPr>
          <w:p>
            <w:r>
              <w:rPr>
                <w:color w:val="FFFFFF"/>
              </w:rPr>
            </w:r>
            <w:r>
              <w:rPr>
                <w:rFonts w:ascii="Calibri" w:hAnsi="Calibri" w:eastAsia="微软雅黑"/>
                <w:b/>
                <w:i w:val="0"/>
                <w:color w:val="FFFFFF"/>
                <w:sz w:val="18"/>
              </w:rPr>
              <w:t>新签合同额</w:t>
            </w:r>
          </w:p>
        </w:tc>
        <w:tc>
          <w:tcPr>
            <w:tcW w:type="dxa" w:w="1383"/>
            <w:shd w:fill="1F3A5F"/>
          </w:tcPr>
          <w:p>
            <w:r>
              <w:rPr>
                <w:color w:val="FFFFFF"/>
              </w:rPr>
            </w:r>
            <w:r>
              <w:rPr>
                <w:rFonts w:ascii="Calibri" w:hAnsi="Calibri" w:eastAsia="微软雅黑"/>
                <w:b/>
                <w:i w:val="0"/>
                <w:color w:val="FFFFFF"/>
                <w:sz w:val="18"/>
              </w:rPr>
              <w:t>营业收入</w:t>
            </w:r>
          </w:p>
        </w:tc>
        <w:tc>
          <w:tcPr>
            <w:tcW w:type="dxa" w:w="1383"/>
            <w:shd w:fill="1F3A5F"/>
          </w:tcPr>
          <w:p>
            <w:r>
              <w:rPr>
                <w:color w:val="FFFFFF"/>
              </w:rPr>
            </w:r>
            <w:r>
              <w:rPr>
                <w:rFonts w:ascii="Calibri" w:hAnsi="Calibri" w:eastAsia="微软雅黑"/>
                <w:b/>
                <w:i w:val="0"/>
                <w:color w:val="FFFFFF"/>
                <w:sz w:val="18"/>
              </w:rPr>
              <w:t>利润/净利</w:t>
            </w:r>
          </w:p>
        </w:tc>
        <w:tc>
          <w:tcPr>
            <w:tcW w:type="dxa" w:w="1383"/>
            <w:shd w:fill="1F3A5F"/>
          </w:tcPr>
          <w:p>
            <w:r>
              <w:rPr>
                <w:color w:val="FFFFFF"/>
              </w:rPr>
            </w:r>
            <w:r>
              <w:rPr>
                <w:rFonts w:ascii="Calibri" w:hAnsi="Calibri" w:eastAsia="微软雅黑"/>
                <w:b/>
                <w:i w:val="0"/>
                <w:color w:val="FFFFFF"/>
                <w:sz w:val="18"/>
              </w:rPr>
              <w:t>关键结构信号</w:t>
            </w:r>
          </w:p>
        </w:tc>
      </w:tr>
      <w:tr>
        <w:tc>
          <w:tcPr>
            <w:tcW w:type="dxa" w:w="1383"/>
          </w:tcPr>
          <w:p>
            <w:r/>
            <w:r>
              <w:rPr>
                <w:rFonts w:ascii="Calibri" w:hAnsi="Calibri" w:eastAsia="微软雅黑"/>
                <w:b w:val="0"/>
                <w:i w:val="0"/>
                <w:sz w:val="18"/>
              </w:rPr>
              <w:t>中国电建</w:t>
            </w:r>
          </w:p>
        </w:tc>
        <w:tc>
          <w:tcPr>
            <w:tcW w:type="dxa" w:w="1383"/>
          </w:tcPr>
          <w:p>
            <w:r/>
            <w:r>
              <w:rPr>
                <w:rFonts w:ascii="Calibri" w:hAnsi="Calibri" w:eastAsia="微软雅黑"/>
                <w:b w:val="0"/>
                <w:i w:val="0"/>
                <w:sz w:val="18"/>
              </w:rPr>
              <w:t>2022</w:t>
            </w:r>
          </w:p>
        </w:tc>
        <w:tc>
          <w:tcPr>
            <w:tcW w:type="dxa" w:w="1383"/>
          </w:tcPr>
          <w:p>
            <w:r/>
            <w:r>
              <w:rPr>
                <w:rFonts w:ascii="Calibri" w:hAnsi="Calibri" w:eastAsia="微软雅黑"/>
                <w:b w:val="0"/>
                <w:i w:val="0"/>
                <w:sz w:val="18"/>
              </w:rPr>
              <w:t>10,091.86亿元（+29.34%）[来源: P000201]</w:t>
            </w:r>
          </w:p>
        </w:tc>
        <w:tc>
          <w:tcPr>
            <w:tcW w:type="dxa" w:w="1383"/>
          </w:tcPr>
          <w:p>
            <w:r/>
            <w:r>
              <w:rPr>
                <w:rFonts w:ascii="Calibri" w:hAnsi="Calibri" w:eastAsia="微软雅黑"/>
                <w:b w:val="0"/>
                <w:i w:val="0"/>
                <w:sz w:val="18"/>
              </w:rPr>
              <w:t>5,716.49亿元（+1.16%）[来源: P000201]</w:t>
            </w:r>
          </w:p>
        </w:tc>
        <w:tc>
          <w:tcPr>
            <w:tcW w:type="dxa" w:w="1383"/>
          </w:tcPr>
          <w:p>
            <w:r/>
            <w:r>
              <w:rPr>
                <w:rFonts w:ascii="Calibri" w:hAnsi="Calibri" w:eastAsia="微软雅黑"/>
                <w:b w:val="0"/>
                <w:i w:val="0"/>
                <w:sz w:val="18"/>
              </w:rPr>
              <w:t>归母净利114.35亿元（+15.93%）[来源: P000201]</w:t>
            </w:r>
          </w:p>
        </w:tc>
        <w:tc>
          <w:tcPr>
            <w:tcW w:type="dxa" w:w="1383"/>
          </w:tcPr>
          <w:p>
            <w:r/>
            <w:r>
              <w:rPr>
                <w:rFonts w:ascii="Calibri" w:hAnsi="Calibri" w:eastAsia="微软雅黑"/>
                <w:b w:val="0"/>
                <w:i w:val="0"/>
                <w:sz w:val="18"/>
              </w:rPr>
              <w:t>获批5项"1025专项"、主持3项国家重点研发计划 [来源: P000201]</w:t>
            </w:r>
          </w:p>
        </w:tc>
      </w:tr>
      <w:tr>
        <w:tc>
          <w:tcPr>
            <w:tcW w:type="dxa" w:w="1383"/>
          </w:tcPr>
          <w:p>
            <w:r/>
            <w:r>
              <w:rPr>
                <w:rFonts w:ascii="Calibri" w:hAnsi="Calibri" w:eastAsia="微软雅黑"/>
                <w:b w:val="0"/>
                <w:i w:val="0"/>
                <w:sz w:val="18"/>
              </w:rPr>
              <w:t>中国电建</w:t>
            </w:r>
          </w:p>
        </w:tc>
        <w:tc>
          <w:tcPr>
            <w:tcW w:type="dxa" w:w="1383"/>
          </w:tcPr>
          <w:p>
            <w:r/>
            <w:r>
              <w:rPr>
                <w:rFonts w:ascii="Calibri" w:hAnsi="Calibri" w:eastAsia="微软雅黑"/>
                <w:b w:val="0"/>
                <w:i w:val="0"/>
                <w:sz w:val="18"/>
              </w:rPr>
              <w:t>2023</w:t>
            </w:r>
          </w:p>
        </w:tc>
        <w:tc>
          <w:tcPr>
            <w:tcW w:type="dxa" w:w="1383"/>
          </w:tcPr>
          <w:p>
            <w:r/>
            <w:r>
              <w:rPr>
                <w:rFonts w:ascii="Calibri" w:hAnsi="Calibri" w:eastAsia="微软雅黑"/>
                <w:b w:val="0"/>
                <w:i w:val="0"/>
                <w:sz w:val="18"/>
              </w:rPr>
              <w:t>11,428.44亿元（+13.24%）[来源: P000207]</w:t>
            </w:r>
          </w:p>
        </w:tc>
        <w:tc>
          <w:tcPr>
            <w:tcW w:type="dxa" w:w="1383"/>
          </w:tcPr>
          <w:p>
            <w:r/>
            <w:r>
              <w:rPr>
                <w:rFonts w:ascii="Calibri" w:hAnsi="Calibri" w:eastAsia="微软雅黑"/>
                <w:b w:val="0"/>
                <w:i w:val="0"/>
                <w:sz w:val="18"/>
              </w:rPr>
              <w:t>6,084.39亿元（+6.44%）[来源: P000207]</w:t>
            </w:r>
          </w:p>
        </w:tc>
        <w:tc>
          <w:tcPr>
            <w:tcW w:type="dxa" w:w="1383"/>
          </w:tcPr>
          <w:p>
            <w:r/>
            <w:r>
              <w:rPr>
                <w:rFonts w:ascii="Calibri" w:hAnsi="Calibri" w:eastAsia="微软雅黑"/>
                <w:b w:val="0"/>
                <w:i w:val="0"/>
                <w:sz w:val="18"/>
              </w:rPr>
              <w:t>归母净利129.88亿元（+13.58%）[来源: P000207]</w:t>
            </w:r>
          </w:p>
        </w:tc>
        <w:tc>
          <w:tcPr>
            <w:tcW w:type="dxa" w:w="1383"/>
          </w:tcPr>
          <w:p>
            <w:r/>
            <w:r>
              <w:rPr>
                <w:rFonts w:ascii="Calibri" w:hAnsi="Calibri" w:eastAsia="微软雅黑"/>
                <w:b w:val="0"/>
                <w:i w:val="0"/>
                <w:sz w:val="18"/>
              </w:rPr>
              <w:t>扣非归母117.13亿元（+13.17%）[来源: P000207]</w:t>
            </w:r>
          </w:p>
        </w:tc>
      </w:tr>
      <w:tr>
        <w:tc>
          <w:tcPr>
            <w:tcW w:type="dxa" w:w="1383"/>
          </w:tcPr>
          <w:p>
            <w:r/>
            <w:r>
              <w:rPr>
                <w:rFonts w:ascii="Calibri" w:hAnsi="Calibri" w:eastAsia="微软雅黑"/>
                <w:b w:val="0"/>
                <w:i w:val="0"/>
                <w:sz w:val="18"/>
              </w:rPr>
              <w:t>中国电建</w:t>
            </w:r>
          </w:p>
        </w:tc>
        <w:tc>
          <w:tcPr>
            <w:tcW w:type="dxa" w:w="1383"/>
          </w:tcPr>
          <w:p>
            <w:r/>
            <w:r>
              <w:rPr>
                <w:rFonts w:ascii="Calibri" w:hAnsi="Calibri" w:eastAsia="微软雅黑"/>
                <w:b w:val="0"/>
                <w:i w:val="0"/>
                <w:sz w:val="18"/>
              </w:rPr>
              <w:t>2024</w:t>
            </w:r>
          </w:p>
        </w:tc>
        <w:tc>
          <w:tcPr>
            <w:tcW w:type="dxa" w:w="1383"/>
          </w:tcPr>
          <w:p>
            <w:r/>
            <w:r>
              <w:rPr>
                <w:rFonts w:ascii="Calibri" w:hAnsi="Calibri" w:eastAsia="微软雅黑"/>
                <w:b w:val="0"/>
                <w:i w:val="0"/>
                <w:sz w:val="18"/>
              </w:rPr>
              <w:t>—</w:t>
            </w:r>
          </w:p>
        </w:tc>
        <w:tc>
          <w:tcPr>
            <w:tcW w:type="dxa" w:w="1383"/>
          </w:tcPr>
          <w:p>
            <w:r/>
            <w:r>
              <w:rPr>
                <w:rFonts w:ascii="Calibri" w:hAnsi="Calibri" w:eastAsia="微软雅黑"/>
                <w:b w:val="0"/>
                <w:i w:val="0"/>
                <w:sz w:val="18"/>
              </w:rPr>
              <w:t>—</w:t>
            </w:r>
          </w:p>
        </w:tc>
        <w:tc>
          <w:tcPr>
            <w:tcW w:type="dxa" w:w="1383"/>
          </w:tcPr>
          <w:p>
            <w:r/>
            <w:r>
              <w:rPr>
                <w:rFonts w:ascii="Calibri" w:hAnsi="Calibri" w:eastAsia="微软雅黑"/>
                <w:b w:val="0"/>
                <w:i w:val="0"/>
                <w:sz w:val="18"/>
              </w:rPr>
              <w:t>归母净利120.15亿元 [来源: P000210]</w:t>
            </w:r>
          </w:p>
        </w:tc>
        <w:tc>
          <w:tcPr>
            <w:tcW w:type="dxa" w:w="1383"/>
          </w:tcPr>
          <w:p>
            <w:r/>
            <w:r>
              <w:rPr>
                <w:rFonts w:ascii="Calibri" w:hAnsi="Calibri" w:eastAsia="微软雅黑"/>
                <w:b w:val="0"/>
                <w:i w:val="0"/>
                <w:sz w:val="18"/>
              </w:rPr>
              <w:t>战新产业营收贡献超40%、投资占比近50%、新签占比超50% [来源: P000210]</w:t>
            </w:r>
          </w:p>
        </w:tc>
      </w:tr>
      <w:tr>
        <w:tc>
          <w:tcPr>
            <w:tcW w:type="dxa" w:w="1383"/>
          </w:tcPr>
          <w:p>
            <w:r/>
            <w:r>
              <w:rPr>
                <w:rFonts w:ascii="Calibri" w:hAnsi="Calibri" w:eastAsia="微软雅黑"/>
                <w:b w:val="0"/>
                <w:i w:val="0"/>
                <w:sz w:val="18"/>
              </w:rPr>
              <w:t>中国电建</w:t>
            </w:r>
          </w:p>
        </w:tc>
        <w:tc>
          <w:tcPr>
            <w:tcW w:type="dxa" w:w="1383"/>
          </w:tcPr>
          <w:p>
            <w:r/>
            <w:r>
              <w:rPr>
                <w:rFonts w:ascii="Calibri" w:hAnsi="Calibri" w:eastAsia="微软雅黑"/>
                <w:b w:val="0"/>
                <w:i w:val="0"/>
                <w:sz w:val="18"/>
              </w:rPr>
              <w:t>2025</w:t>
            </w:r>
          </w:p>
        </w:tc>
        <w:tc>
          <w:tcPr>
            <w:tcW w:type="dxa" w:w="1383"/>
          </w:tcPr>
          <w:p>
            <w:r/>
            <w:r>
              <w:rPr>
                <w:rFonts w:ascii="Calibri" w:hAnsi="Calibri" w:eastAsia="微软雅黑"/>
                <w:b w:val="0"/>
                <w:i w:val="0"/>
                <w:sz w:val="18"/>
              </w:rPr>
              <w:t>数智业务新签近500亿元 [来源: P000208]</w:t>
            </w:r>
          </w:p>
        </w:tc>
        <w:tc>
          <w:tcPr>
            <w:tcW w:type="dxa" w:w="1383"/>
          </w:tcPr>
          <w:p>
            <w:r/>
            <w:r>
              <w:rPr>
                <w:rFonts w:ascii="Calibri" w:hAnsi="Calibri" w:eastAsia="微软雅黑"/>
                <w:b w:val="0"/>
                <w:i w:val="0"/>
                <w:sz w:val="18"/>
              </w:rPr>
              <w:t>6,456.04亿元（own_calc折算）[来源: P000208]</w:t>
            </w:r>
          </w:p>
        </w:tc>
        <w:tc>
          <w:tcPr>
            <w:tcW w:type="dxa" w:w="1383"/>
          </w:tcPr>
          <w:p>
            <w:r/>
            <w:r>
              <w:rPr>
                <w:rFonts w:ascii="Calibri" w:hAnsi="Calibri" w:eastAsia="微软雅黑"/>
                <w:b w:val="0"/>
                <w:i w:val="0"/>
                <w:sz w:val="18"/>
              </w:rPr>
              <w:t>获批主持国家重点研发计划6项 [来源: P000208]</w:t>
            </w:r>
          </w:p>
        </w:tc>
        <w:tc>
          <w:tcPr>
            <w:tcW w:type="dxa" w:w="1383"/>
          </w:tcPr>
          <w:p>
            <w:r/>
            <w:r>
              <w:rPr>
                <w:rFonts w:ascii="Calibri" w:hAnsi="Calibri" w:eastAsia="微软雅黑"/>
                <w:b w:val="0"/>
                <w:i w:val="0"/>
                <w:sz w:val="18"/>
              </w:rPr>
              <w:t>"1025专项"三期牵头任务10项 [来源: P000208]</w:t>
            </w:r>
          </w:p>
        </w:tc>
      </w:tr>
      <w:tr>
        <w:tc>
          <w:tcPr>
            <w:tcW w:type="dxa" w:w="1383"/>
          </w:tcPr>
          <w:p>
            <w:r/>
            <w:r>
              <w:rPr>
                <w:rFonts w:ascii="Calibri" w:hAnsi="Calibri" w:eastAsia="微软雅黑"/>
                <w:b w:val="0"/>
                <w:i w:val="0"/>
                <w:sz w:val="18"/>
              </w:rPr>
              <w:t>中国能建</w:t>
            </w:r>
          </w:p>
        </w:tc>
        <w:tc>
          <w:tcPr>
            <w:tcW w:type="dxa" w:w="1383"/>
          </w:tcPr>
          <w:p>
            <w:r/>
            <w:r>
              <w:rPr>
                <w:rFonts w:ascii="Calibri" w:hAnsi="Calibri" w:eastAsia="微软雅黑"/>
                <w:b w:val="0"/>
                <w:i w:val="0"/>
                <w:sz w:val="18"/>
              </w:rPr>
              <w:t>2023</w:t>
            </w:r>
          </w:p>
        </w:tc>
        <w:tc>
          <w:tcPr>
            <w:tcW w:type="dxa" w:w="1383"/>
          </w:tcPr>
          <w:p>
            <w:r/>
            <w:r>
              <w:rPr>
                <w:rFonts w:ascii="Calibri" w:hAnsi="Calibri" w:eastAsia="微软雅黑"/>
                <w:b w:val="0"/>
                <w:i w:val="0"/>
                <w:sz w:val="18"/>
              </w:rPr>
              <w:t>新签+22.4%、连续三年高增长、站稳万亿平台 [来源: P000228]</w:t>
            </w:r>
          </w:p>
        </w:tc>
        <w:tc>
          <w:tcPr>
            <w:tcW w:type="dxa" w:w="1383"/>
          </w:tcPr>
          <w:p>
            <w:r/>
            <w:r>
              <w:rPr>
                <w:rFonts w:ascii="Calibri" w:hAnsi="Calibri" w:eastAsia="微软雅黑"/>
                <w:b w:val="0"/>
                <w:i w:val="0"/>
                <w:sz w:val="18"/>
              </w:rPr>
              <w:t>营收+10.82% [来源: P000228]</w:t>
            </w:r>
          </w:p>
        </w:tc>
        <w:tc>
          <w:tcPr>
            <w:tcW w:type="dxa" w:w="1383"/>
          </w:tcPr>
          <w:p>
            <w:r/>
            <w:r>
              <w:rPr>
                <w:rFonts w:ascii="Calibri" w:hAnsi="Calibri" w:eastAsia="微软雅黑"/>
                <w:b w:val="0"/>
                <w:i w:val="0"/>
                <w:sz w:val="18"/>
              </w:rPr>
              <w:t>利润总额+2.44%、净利润+8.00% [来源: P000228]</w:t>
            </w:r>
          </w:p>
        </w:tc>
        <w:tc>
          <w:tcPr>
            <w:tcW w:type="dxa" w:w="1383"/>
          </w:tcPr>
          <w:p>
            <w:r/>
            <w:r>
              <w:rPr>
                <w:rFonts w:ascii="Calibri" w:hAnsi="Calibri" w:eastAsia="微软雅黑"/>
                <w:b w:val="0"/>
                <w:i w:val="0"/>
                <w:sz w:val="18"/>
              </w:rPr>
              <w:t>白鹤滩入选"全球十大工程成就" [来源: P000228]</w:t>
            </w:r>
          </w:p>
        </w:tc>
      </w:tr>
      <w:tr>
        <w:tc>
          <w:tcPr>
            <w:tcW w:type="dxa" w:w="1383"/>
          </w:tcPr>
          <w:p>
            <w:r/>
            <w:r>
              <w:rPr>
                <w:rFonts w:ascii="Calibri" w:hAnsi="Calibri" w:eastAsia="微软雅黑"/>
                <w:b w:val="0"/>
                <w:i w:val="0"/>
                <w:sz w:val="18"/>
              </w:rPr>
              <w:t>中国能建</w:t>
            </w:r>
          </w:p>
        </w:tc>
        <w:tc>
          <w:tcPr>
            <w:tcW w:type="dxa" w:w="1383"/>
          </w:tcPr>
          <w:p>
            <w:r/>
            <w:r>
              <w:rPr>
                <w:rFonts w:ascii="Calibri" w:hAnsi="Calibri" w:eastAsia="微软雅黑"/>
                <w:b w:val="0"/>
                <w:i w:val="0"/>
                <w:sz w:val="18"/>
              </w:rPr>
              <w:t>2024</w:t>
            </w:r>
          </w:p>
        </w:tc>
        <w:tc>
          <w:tcPr>
            <w:tcW w:type="dxa" w:w="1383"/>
          </w:tcPr>
          <w:p>
            <w:r/>
            <w:r>
              <w:rPr>
                <w:rFonts w:ascii="Calibri" w:hAnsi="Calibri" w:eastAsia="微软雅黑"/>
                <w:b w:val="0"/>
                <w:i w:val="0"/>
                <w:sz w:val="18"/>
              </w:rPr>
              <w:t>集团新签破1.4万亿元（+9.8%）[来源: P000224]</w:t>
            </w:r>
          </w:p>
        </w:tc>
        <w:tc>
          <w:tcPr>
            <w:tcW w:type="dxa" w:w="1383"/>
          </w:tcPr>
          <w:p>
            <w:r/>
            <w:r>
              <w:rPr>
                <w:rFonts w:ascii="Calibri" w:hAnsi="Calibri" w:eastAsia="微软雅黑"/>
                <w:b w:val="0"/>
                <w:i w:val="0"/>
                <w:sz w:val="18"/>
              </w:rPr>
              <w:t>营收+7.6% [来源: P000224]</w:t>
            </w:r>
          </w:p>
        </w:tc>
        <w:tc>
          <w:tcPr>
            <w:tcW w:type="dxa" w:w="1383"/>
          </w:tcPr>
          <w:p>
            <w:r/>
            <w:r>
              <w:rPr>
                <w:rFonts w:ascii="Calibri" w:hAnsi="Calibri" w:eastAsia="微软雅黑"/>
                <w:b w:val="0"/>
                <w:i w:val="0"/>
                <w:sz w:val="18"/>
              </w:rPr>
              <w:t>利润总额+8.0% [来源: P000224]</w:t>
            </w:r>
          </w:p>
        </w:tc>
        <w:tc>
          <w:tcPr>
            <w:tcW w:type="dxa" w:w="1383"/>
          </w:tcPr>
          <w:p>
            <w:r/>
            <w:r>
              <w:rPr>
                <w:rFonts w:ascii="Calibri" w:hAnsi="Calibri" w:eastAsia="微软雅黑"/>
                <w:b w:val="0"/>
                <w:i w:val="0"/>
                <w:sz w:val="18"/>
              </w:rPr>
              <w:t>工程建设新签12,750.8亿元（+6.4%）[来源: P000224]</w:t>
            </w:r>
          </w:p>
        </w:tc>
      </w:tr>
      <w:tr>
        <w:tc>
          <w:tcPr>
            <w:tcW w:type="dxa" w:w="1383"/>
          </w:tcPr>
          <w:p>
            <w:r/>
            <w:r>
              <w:rPr>
                <w:rFonts w:ascii="Calibri" w:hAnsi="Calibri" w:eastAsia="微软雅黑"/>
                <w:b w:val="0"/>
                <w:i w:val="0"/>
                <w:sz w:val="18"/>
              </w:rPr>
              <w:t>中国能建</w:t>
            </w:r>
          </w:p>
        </w:tc>
        <w:tc>
          <w:tcPr>
            <w:tcW w:type="dxa" w:w="1383"/>
          </w:tcPr>
          <w:p>
            <w:r/>
            <w:r>
              <w:rPr>
                <w:rFonts w:ascii="Calibri" w:hAnsi="Calibri" w:eastAsia="微软雅黑"/>
                <w:b w:val="0"/>
                <w:i w:val="0"/>
                <w:sz w:val="18"/>
              </w:rPr>
              <w:t>2025</w:t>
            </w:r>
          </w:p>
        </w:tc>
        <w:tc>
          <w:tcPr>
            <w:tcW w:type="dxa" w:w="1383"/>
          </w:tcPr>
          <w:p>
            <w:r/>
            <w:r>
              <w:rPr>
                <w:rFonts w:ascii="Calibri" w:hAnsi="Calibri" w:eastAsia="微软雅黑"/>
                <w:b w:val="0"/>
                <w:i w:val="0"/>
                <w:sz w:val="18"/>
              </w:rPr>
              <w:t>工程建设新签13,464.8亿元（+5.6%）[来源: P000220]</w:t>
            </w:r>
          </w:p>
        </w:tc>
        <w:tc>
          <w:tcPr>
            <w:tcW w:type="dxa" w:w="1383"/>
          </w:tcPr>
          <w:p>
            <w:r/>
            <w:r>
              <w:rPr>
                <w:rFonts w:ascii="Calibri" w:hAnsi="Calibri" w:eastAsia="微软雅黑"/>
                <w:b w:val="0"/>
                <w:i w:val="0"/>
                <w:sz w:val="18"/>
              </w:rPr>
              <w:t>—</w:t>
            </w:r>
          </w:p>
        </w:tc>
        <w:tc>
          <w:tcPr>
            <w:tcW w:type="dxa" w:w="1383"/>
          </w:tcPr>
          <w:p>
            <w:r/>
            <w:r>
              <w:rPr>
                <w:rFonts w:ascii="Calibri" w:hAnsi="Calibri" w:eastAsia="微软雅黑"/>
                <w:b w:val="0"/>
                <w:i w:val="0"/>
                <w:sz w:val="18"/>
              </w:rPr>
              <w:t>—</w:t>
            </w:r>
          </w:p>
        </w:tc>
        <w:tc>
          <w:tcPr>
            <w:tcW w:type="dxa" w:w="1383"/>
          </w:tcPr>
          <w:p>
            <w:r/>
            <w:r>
              <w:rPr>
                <w:rFonts w:ascii="Calibri" w:hAnsi="Calibri" w:eastAsia="微软雅黑"/>
                <w:b w:val="0"/>
                <w:i w:val="0"/>
                <w:sz w:val="18"/>
              </w:rPr>
              <w:t>勘测设计新签261.61亿元（+32.66%）[来源: P000220]</w:t>
            </w:r>
          </w:p>
        </w:tc>
      </w:tr>
      <w:tr>
        <w:tc>
          <w:tcPr>
            <w:tcW w:type="dxa" w:w="1383"/>
          </w:tcPr>
          <w:p>
            <w:r/>
            <w:r>
              <w:rPr>
                <w:rFonts w:ascii="Calibri" w:hAnsi="Calibri" w:eastAsia="微软雅黑"/>
                <w:b w:val="0"/>
                <w:i w:val="0"/>
                <w:sz w:val="18"/>
              </w:rPr>
              <w:t>中国中冶</w:t>
            </w:r>
          </w:p>
        </w:tc>
        <w:tc>
          <w:tcPr>
            <w:tcW w:type="dxa" w:w="1383"/>
          </w:tcPr>
          <w:p>
            <w:r/>
            <w:r>
              <w:rPr>
                <w:rFonts w:ascii="Calibri" w:hAnsi="Calibri" w:eastAsia="微软雅黑"/>
                <w:b w:val="0"/>
                <w:i w:val="0"/>
                <w:sz w:val="18"/>
              </w:rPr>
              <w:t>2023</w:t>
            </w:r>
          </w:p>
        </w:tc>
        <w:tc>
          <w:tcPr>
            <w:tcW w:type="dxa" w:w="1383"/>
          </w:tcPr>
          <w:p>
            <w:r/>
            <w:r>
              <w:rPr>
                <w:rFonts w:ascii="Calibri" w:hAnsi="Calibri" w:eastAsia="微软雅黑"/>
                <w:b w:val="0"/>
                <w:i w:val="0"/>
                <w:sz w:val="18"/>
              </w:rPr>
              <w:t>14,247.79亿元 [来源: P000215]</w:t>
            </w:r>
          </w:p>
        </w:tc>
        <w:tc>
          <w:tcPr>
            <w:tcW w:type="dxa" w:w="1383"/>
          </w:tcPr>
          <w:p>
            <w:r/>
            <w:r>
              <w:rPr>
                <w:rFonts w:ascii="Calibri" w:hAnsi="Calibri" w:eastAsia="微软雅黑"/>
                <w:b w:val="0"/>
                <w:i w:val="0"/>
                <w:sz w:val="18"/>
              </w:rPr>
              <w:t>6,338.70亿元 [来源: P000215]</w:t>
            </w:r>
          </w:p>
        </w:tc>
        <w:tc>
          <w:tcPr>
            <w:tcW w:type="dxa" w:w="1383"/>
          </w:tcPr>
          <w:p>
            <w:r/>
            <w:r>
              <w:rPr>
                <w:rFonts w:ascii="Calibri" w:hAnsi="Calibri" w:eastAsia="微软雅黑"/>
                <w:b w:val="0"/>
                <w:i w:val="0"/>
                <w:sz w:val="18"/>
              </w:rPr>
              <w:t>利润总额137.65亿元、归母净利86.70亿元 [来源: P000215]</w:t>
            </w:r>
          </w:p>
        </w:tc>
        <w:tc>
          <w:tcPr>
            <w:tcW w:type="dxa" w:w="1383"/>
          </w:tcPr>
          <w:p>
            <w:r/>
            <w:r>
              <w:rPr>
                <w:rFonts w:ascii="Calibri" w:hAnsi="Calibri" w:eastAsia="微软雅黑"/>
                <w:b w:val="0"/>
                <w:i w:val="0"/>
                <w:sz w:val="18"/>
              </w:rPr>
              <w:t>181项核心技术攻关方向 [来源: P000215]</w:t>
            </w:r>
          </w:p>
        </w:tc>
      </w:tr>
      <w:tr>
        <w:tc>
          <w:tcPr>
            <w:tcW w:type="dxa" w:w="1383"/>
          </w:tcPr>
          <w:p>
            <w:r/>
            <w:r>
              <w:rPr>
                <w:rFonts w:ascii="Calibri" w:hAnsi="Calibri" w:eastAsia="微软雅黑"/>
                <w:b w:val="0"/>
                <w:i w:val="0"/>
                <w:sz w:val="18"/>
              </w:rPr>
              <w:t>中国中冶</w:t>
            </w:r>
          </w:p>
        </w:tc>
        <w:tc>
          <w:tcPr>
            <w:tcW w:type="dxa" w:w="1383"/>
          </w:tcPr>
          <w:p>
            <w:r/>
            <w:r>
              <w:rPr>
                <w:rFonts w:ascii="Calibri" w:hAnsi="Calibri" w:eastAsia="微软雅黑"/>
                <w:b w:val="0"/>
                <w:i w:val="0"/>
                <w:sz w:val="18"/>
              </w:rPr>
              <w:t>2024</w:t>
            </w:r>
          </w:p>
        </w:tc>
        <w:tc>
          <w:tcPr>
            <w:tcW w:type="dxa" w:w="1383"/>
          </w:tcPr>
          <w:p>
            <w:r/>
            <w:r>
              <w:rPr>
                <w:rFonts w:ascii="Calibri" w:hAnsi="Calibri" w:eastAsia="微软雅黑"/>
                <w:b w:val="0"/>
                <w:i w:val="0"/>
                <w:sz w:val="18"/>
              </w:rPr>
              <w:t>12,487.06亿元 [来源: P000212]</w:t>
            </w:r>
          </w:p>
        </w:tc>
        <w:tc>
          <w:tcPr>
            <w:tcW w:type="dxa" w:w="1383"/>
          </w:tcPr>
          <w:p>
            <w:r/>
            <w:r>
              <w:rPr>
                <w:rFonts w:ascii="Calibri" w:hAnsi="Calibri" w:eastAsia="微软雅黑"/>
                <w:b w:val="0"/>
                <w:i w:val="0"/>
                <w:sz w:val="18"/>
              </w:rPr>
              <w:t>5,520.25亿元 [来源: P000212]</w:t>
            </w:r>
          </w:p>
        </w:tc>
        <w:tc>
          <w:tcPr>
            <w:tcW w:type="dxa" w:w="1383"/>
          </w:tcPr>
          <w:p>
            <w:r/>
            <w:r>
              <w:rPr>
                <w:rFonts w:ascii="Calibri" w:hAnsi="Calibri" w:eastAsia="微软雅黑"/>
                <w:b w:val="0"/>
                <w:i w:val="0"/>
                <w:sz w:val="18"/>
              </w:rPr>
              <w:t>利润总额92.55亿元、归母净利67.46亿元 [来源: P000212]</w:t>
            </w:r>
          </w:p>
        </w:tc>
        <w:tc>
          <w:tcPr>
            <w:tcW w:type="dxa" w:w="1383"/>
          </w:tcPr>
          <w:p>
            <w:r/>
            <w:r>
              <w:rPr>
                <w:rFonts w:ascii="Calibri" w:hAnsi="Calibri" w:eastAsia="微软雅黑"/>
                <w:b w:val="0"/>
                <w:i w:val="0"/>
                <w:sz w:val="18"/>
              </w:rPr>
              <w:t>5个国内千亿级市场、印尼新签首破300亿元 [来源: P000212]</w:t>
            </w:r>
          </w:p>
        </w:tc>
      </w:tr>
      <w:tr>
        <w:tc>
          <w:tcPr>
            <w:tcW w:type="dxa" w:w="1383"/>
          </w:tcPr>
          <w:p>
            <w:r/>
            <w:r>
              <w:rPr>
                <w:rFonts w:ascii="Calibri" w:hAnsi="Calibri" w:eastAsia="微软雅黑"/>
                <w:b w:val="0"/>
                <w:i w:val="0"/>
                <w:sz w:val="18"/>
              </w:rPr>
              <w:t>中国中冶</w:t>
            </w:r>
          </w:p>
        </w:tc>
        <w:tc>
          <w:tcPr>
            <w:tcW w:type="dxa" w:w="1383"/>
          </w:tcPr>
          <w:p>
            <w:r/>
            <w:r>
              <w:rPr>
                <w:rFonts w:ascii="Calibri" w:hAnsi="Calibri" w:eastAsia="微软雅黑"/>
                <w:b w:val="0"/>
                <w:i w:val="0"/>
                <w:sz w:val="18"/>
              </w:rPr>
              <w:t>2025</w:t>
            </w:r>
          </w:p>
        </w:tc>
        <w:tc>
          <w:tcPr>
            <w:tcW w:type="dxa" w:w="1383"/>
          </w:tcPr>
          <w:p>
            <w:r/>
            <w:r>
              <w:rPr>
                <w:rFonts w:ascii="Calibri" w:hAnsi="Calibri" w:eastAsia="微软雅黑"/>
                <w:b w:val="0"/>
                <w:i w:val="0"/>
                <w:sz w:val="18"/>
              </w:rPr>
              <w:t>海外新签1,007亿元（+6%）[来源: P000216]</w:t>
            </w:r>
          </w:p>
        </w:tc>
        <w:tc>
          <w:tcPr>
            <w:tcW w:type="dxa" w:w="1383"/>
          </w:tcPr>
          <w:p>
            <w:r/>
            <w:r>
              <w:rPr>
                <w:rFonts w:ascii="Calibri" w:hAnsi="Calibri" w:eastAsia="微软雅黑"/>
                <w:b w:val="0"/>
                <w:i w:val="0"/>
                <w:sz w:val="18"/>
              </w:rPr>
              <w:t>—</w:t>
            </w:r>
          </w:p>
        </w:tc>
        <w:tc>
          <w:tcPr>
            <w:tcW w:type="dxa" w:w="1383"/>
          </w:tcPr>
          <w:p>
            <w:r/>
            <w:r>
              <w:rPr>
                <w:rFonts w:ascii="Calibri" w:hAnsi="Calibri" w:eastAsia="微软雅黑"/>
                <w:b w:val="0"/>
                <w:i w:val="0"/>
                <w:sz w:val="18"/>
              </w:rPr>
              <w:t>—</w:t>
            </w:r>
          </w:p>
        </w:tc>
        <w:tc>
          <w:tcPr>
            <w:tcW w:type="dxa" w:w="1383"/>
          </w:tcPr>
          <w:p>
            <w:r/>
            <w:r>
              <w:rPr>
                <w:rFonts w:ascii="Calibri" w:hAnsi="Calibri" w:eastAsia="微软雅黑"/>
                <w:b w:val="0"/>
                <w:i w:val="0"/>
                <w:sz w:val="18"/>
              </w:rPr>
              <w:t>宝山高铁站、郑州航空港翠湖片区百亿项目 [来源: P000216]</w:t>
            </w:r>
          </w:p>
        </w:tc>
      </w:tr>
    </w:tbl>
    <w:p>
      <w:r>
        <w:rPr>
          <w:rFonts w:ascii="Calibri" w:hAnsi="Calibri" w:eastAsia="微软雅黑"/>
          <w:b w:val="0"/>
          <w:i w:val="0"/>
          <w:sz w:val="22"/>
        </w:rPr>
        <w:t>表中三条轨迹各说一门语言（本段为本研究解读）：电建讲"结构"——总量稳增的同时战新产业占比与研发立项陡升；能建讲"速度"——从2023年四项指标全增到2025年勘测设计咨询32.66%的爆发，转型节奏外露；中冶讲"腾挪"——国内冶金盘面收缩，用海外两年翻一番与公投大单对冲。读懂这三门语言，就读懂了央企集团军在同一宏观周期里的三种活法，也就明白了与其模仿谁的表象，不如先算清自己具备哪一门的资源禀赋。</w:t>
      </w:r>
    </w:p>
    <w:p>
      <w:r>
        <w:rPr>
          <w:rFonts w:ascii="Calibri" w:hAnsi="Calibri" w:eastAsia="微软雅黑"/>
          <w:b w:val="0"/>
          <w:i w:val="0"/>
          <w:sz w:val="22"/>
        </w:rPr>
        <w:t>---</w:t>
      </w:r>
    </w:p>
    <w:p>
      <w:pPr>
        <w:pStyle w:val="Heading2"/>
      </w:pPr>
      <w:r>
        <w:t>3.2 集群协作：央企集团军的内部联动与生态协同机制</w:t>
      </w:r>
    </w:p>
    <w:p>
      <w:r>
        <w:rPr>
          <w:rFonts w:ascii="Calibri" w:hAnsi="Calibri" w:eastAsia="微软雅黑"/>
          <w:b w:val="0"/>
          <w:i w:val="0"/>
          <w:sz w:val="22"/>
        </w:rPr>
        <w:t>大型央企集团军之所以能够在百亿级、千亿级项目中屡屡斩获大单，关键在于其打破了传统企业"单打独斗"的局限，构建了纵向贯通、横向联动的集群协作体系。</w:t>
      </w:r>
    </w:p>
    <w:p>
      <w:pPr>
        <w:pStyle w:val="Heading3"/>
      </w:pPr>
      <w:r>
        <w:t>3.2.1 集团内部"设计院+工程局"的协同联动机制</w:t>
      </w:r>
    </w:p>
    <w:p>
      <w:r>
        <w:rPr>
          <w:rFonts w:ascii="Calibri" w:hAnsi="Calibri" w:eastAsia="微软雅黑"/>
          <w:b w:val="0"/>
          <w:i w:val="0"/>
          <w:sz w:val="22"/>
        </w:rPr>
        <w:t>传统工程项目管理中，设计与施工常常处于"割裂"状态，导致设计不懂施工成本、施工随意现场签证。央企集团军通过组织架构与利益机制重构，推行设计院与施工局的深度协同（本节机制框架为本研究归纳，实操细节锚定源文）。</w:t>
      </w:r>
    </w:p>
    <w:p>
      <w:r>
        <w:rPr>
          <w:rFonts w:ascii="Calibri" w:hAnsi="Calibri" w:eastAsia="微软雅黑"/>
          <w:b/>
          <w:i w:val="0"/>
          <w:sz w:val="22"/>
        </w:rPr>
        <w:t>实操方法：设计与施工联动的"三步执行法"</w:t>
      </w:r>
    </w:p>
    <w:p>
      <w:pPr>
        <w:pStyle w:val="ListNumber"/>
      </w:pPr>
      <w:r>
        <w:rPr>
          <w:rFonts w:ascii="Calibri" w:hAnsi="Calibri" w:eastAsia="微软雅黑"/>
          <w:b/>
          <w:i w:val="0"/>
          <w:sz w:val="22"/>
        </w:rPr>
        <w:t>第一步：联合体投标与收益切割机制</w:t>
      </w:r>
      <w:r>
        <w:rPr>
          <w:rFonts w:ascii="Calibri" w:hAnsi="Calibri" w:eastAsia="微软雅黑"/>
          <w:b w:val="0"/>
          <w:i w:val="0"/>
          <w:sz w:val="22"/>
        </w:rPr>
        <w:t>。在投标阶段，由集团下属设计院与工程局组建内部联合体；签订内部互保协议，对设计优化节省的造价按约定比例进行绩效再分配，激活设计人员主动降本的内生动力（本条为本研究基于成都院设计施工融合实践的机制归纳，比例以各集团制度为准）[来源: P000230]。</w:t>
      </w:r>
    </w:p>
    <w:p>
      <w:pPr>
        <w:pStyle w:val="ListNumber"/>
      </w:pPr>
      <w:r>
        <w:rPr>
          <w:rFonts w:ascii="Calibri" w:hAnsi="Calibri" w:eastAsia="微软雅黑"/>
          <w:b/>
          <w:i w:val="0"/>
          <w:sz w:val="22"/>
        </w:rPr>
        <w:t>第二步：设计前置与可建造性审查</w:t>
      </w:r>
      <w:r>
        <w:rPr>
          <w:rFonts w:ascii="Calibri" w:hAnsi="Calibri" w:eastAsia="微软雅黑"/>
          <w:b w:val="0"/>
          <w:i w:val="0"/>
          <w:sz w:val="22"/>
        </w:rPr>
        <w:t>。在初步设计与施工图设计阶段设立"施工可建造性驻场审查节点"，施工局抽调经验丰富的总工程师、测量师与造价师常驻设计院，对深基坑开挖、高边坡支护、大型构件吊装等关键工序提前审查 [来源: P000230]。审查不是走过场，落点有三：一是把施工机械作业半径、模板周转率等施工逻辑直接植入三维设计模型；二是在项目前期即邀请施工专家参与方案评审，联合优化地下厂房布置与施工导流方案；三是在执行阶段组建现场联合设计团队，让设计变更在现场就地办结而非往返总部 [来源: P000230]。成都院的实践是：根据某水电项目的统计数据，通过施工反馈优化设计，减少了约30%的设计变更，提高了施工效率约15% [来源: P000230]。</w:t>
      </w:r>
    </w:p>
    <w:p>
      <w:pPr>
        <w:pStyle w:val="ListNumber"/>
      </w:pPr>
      <w:r>
        <w:rPr>
          <w:rFonts w:ascii="Calibri" w:hAnsi="Calibri" w:eastAsia="微软雅黑"/>
          <w:b/>
          <w:i w:val="0"/>
          <w:sz w:val="22"/>
        </w:rPr>
        <w:t>第三步：一体化数字平台数据贯通</w:t>
      </w:r>
      <w:r>
        <w:rPr>
          <w:rFonts w:ascii="Calibri" w:hAnsi="Calibri" w:eastAsia="微软雅黑"/>
          <w:b w:val="0"/>
          <w:i w:val="0"/>
          <w:sz w:val="22"/>
        </w:rPr>
        <w:t>。设计院完成的正向三维设计模型直接导出物料清单，实时推送至施工局的物资采购与堆场管理系统，实现"设计定型-采购下单-现场安装"的无缝对齐，减少二次倒运与材料损耗（本条为本研究基于数字化平台实践的技术路径归纳）[来源: P000230]。</w:t>
      </w:r>
    </w:p>
    <w:p>
      <w:pPr>
        <w:pStyle w:val="Heading3"/>
      </w:pPr>
      <w:r>
        <w:t>3.2.2 "投建营一体化"链条闭环模式</w:t>
      </w:r>
    </w:p>
    <w:p>
      <w:r>
        <w:rPr>
          <w:rFonts w:ascii="Calibri" w:hAnsi="Calibri" w:eastAsia="微软雅黑"/>
          <w:b w:val="0"/>
          <w:i w:val="0"/>
          <w:sz w:val="22"/>
        </w:rPr>
        <w:t>随着国家严控地方政府隐性债务及传统PPP模式转型，央企集团军全面转向"EPC+投资""EPC+运营"以及全生命周期"投建营一体化"模式 [来源: P000202]。</w:t>
      </w:r>
    </w:p>
    <w:p>
      <w:pPr>
        <w:pStyle w:val="ListBullet"/>
      </w:pPr>
      <w:r>
        <w:rPr>
          <w:rFonts w:ascii="Calibri" w:hAnsi="Calibri" w:eastAsia="微软雅黑"/>
          <w:b/>
          <w:i w:val="0"/>
          <w:sz w:val="22"/>
        </w:rPr>
        <w:t>模式内涵</w:t>
      </w:r>
      <w:r>
        <w:rPr>
          <w:rFonts w:ascii="Calibri" w:hAnsi="Calibri" w:eastAsia="微软雅黑"/>
          <w:b w:val="0"/>
          <w:i w:val="0"/>
          <w:sz w:val="22"/>
        </w:rPr>
        <w:t>：EPC+O&amp;M（Engineering Procurement Construction + Operation &amp; Maintenance）即"工程总承包+运营维护"模式——承包商在完成工程建设并交付使用后，继续负责项目在一定期限内的运营和维护；其适用场景正是技术复杂、对运营维护专业性要求高的项目，如发电厂、水处理厂、污水处理厂、垃圾焚烧厂等 [来源: P000202]。与之并行的EPC+F（Engineering Procurement Construction + Financing）模式，由承包商为业主提供融资支持或融资方案，解决项目资金问题 [来源: P000202]——对资金紧张的地方业主而言，"谁能带来钱"往往先于"谁能干好活"成为中标的第一道门槛（本句为本研究解读）。集团发挥资本与专业双优势：以投资锁定项目、以EPC控制建造、以运维沉淀长期收益（本句为本研究归纳）[来源: P000202]。</w:t>
      </w:r>
    </w:p>
    <w:p>
      <w:pPr>
        <w:pStyle w:val="ListBullet"/>
      </w:pPr>
      <w:r>
        <w:rPr>
          <w:rFonts w:ascii="Calibri" w:hAnsi="Calibri" w:eastAsia="微软雅黑"/>
          <w:b/>
          <w:i w:val="0"/>
          <w:sz w:val="22"/>
        </w:rPr>
        <w:t>适配性提醒</w:t>
      </w:r>
      <w:r>
        <w:rPr>
          <w:rFonts w:ascii="Calibri" w:hAnsi="Calibri" w:eastAsia="微软雅黑"/>
          <w:b w:val="0"/>
          <w:i w:val="0"/>
          <w:sz w:val="22"/>
        </w:rPr>
        <w:t>：EPC+O&amp;M适合运营技术壁垒高、现金流可测的项目（电厂、水厂、垃圾焚烧），EPC+F适合业主信用等级高、回款有保障的区域；两类模式都把承包商的暴露期从建造期拉长到全生命周期，资产负债表承受能力弱的企业应把"投建营"当成选修课而非必修课（本条为本研究方法论建议）。</w:t>
      </w:r>
    </w:p>
    <w:p>
      <w:pPr>
        <w:pStyle w:val="ListBullet"/>
      </w:pPr>
      <w:r>
        <w:rPr>
          <w:rFonts w:ascii="Calibri" w:hAnsi="Calibri" w:eastAsia="微软雅黑"/>
          <w:b/>
          <w:i w:val="0"/>
          <w:sz w:val="22"/>
        </w:rPr>
        <w:t>标杆企业实操案例</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华东院东阳第二污水厂项目</w:t>
      </w:r>
      <w:r>
        <w:rPr>
          <w:rFonts w:ascii="Calibri" w:hAnsi="Calibri" w:eastAsia="微软雅黑"/>
          <w:b w:val="0"/>
          <w:i w:val="0"/>
          <w:sz w:val="22"/>
        </w:rPr>
        <w:t>：这是华东院首个全面负责设计、投融资、建设管理、运行维护的项目 [来源: P000235]，将传统一次性工程建造收益延展为覆盖全生命周期的服务收益（本句后半为本研究解读）。</w:t>
      </w:r>
    </w:p>
    <w:p>
      <w:r>
        <w:rPr>
          <w:rFonts w:ascii="Calibri" w:hAnsi="Calibri" w:eastAsia="微软雅黑"/>
          <w:b w:val="0"/>
          <w:i w:val="0"/>
          <w:sz w:val="22"/>
        </w:rPr>
        <w:t xml:space="preserve">- </w:t>
      </w:r>
      <w:r>
        <w:rPr>
          <w:rFonts w:ascii="Calibri" w:hAnsi="Calibri" w:eastAsia="微软雅黑"/>
          <w:b/>
          <w:i w:val="0"/>
          <w:sz w:val="22"/>
        </w:rPr>
        <w:t>昆明院水光互补与EPC+O&amp;M拓展</w:t>
      </w:r>
      <w:r>
        <w:rPr>
          <w:rFonts w:ascii="Calibri" w:hAnsi="Calibri" w:eastAsia="微软雅黑"/>
          <w:b w:val="0"/>
          <w:i w:val="0"/>
          <w:sz w:val="22"/>
        </w:rPr>
        <w:t>：在云南某大型水光互补光伏电站EPC项目中，昆明院充分利用当地光照资源和已建水电站的调节能力，实现水能和太阳能的优化组合 [来源: P000202]；同时将EPC+F、EPC+O&amp;M、DBFO等衍生模式纳入其转型路径——为业主提供融资支持或融资方案、承接项目建成后一定期限的运营维护 [来源: P000202]。运营阶段积累的设备故障与运行数据反哺前端设计规范，形成"设计-建造-运营-设计再优化"的循环（本句为本研究归纳）[来源: P000202]。</w:t>
      </w:r>
    </w:p>
    <w:p>
      <w:pPr>
        <w:pStyle w:val="Heading3"/>
      </w:pPr>
      <w:r>
        <w:t>3.2.3 外部生态联盟与跨界资源聚合机制</w:t>
      </w:r>
    </w:p>
    <w:p>
      <w:r>
        <w:rPr>
          <w:rFonts w:ascii="Calibri" w:hAnsi="Calibri" w:eastAsia="微软雅黑"/>
          <w:b w:val="0"/>
          <w:i w:val="0"/>
          <w:sz w:val="22"/>
        </w:rPr>
        <w:t>面对海内外复杂多变的市场环境，央企集团军不再局限于集团内部资源，而是通过搭建战略联盟，引领产业链上下游"抱团作战"。</w:t>
      </w:r>
    </w:p>
    <w:p>
      <w:pPr>
        <w:pStyle w:val="ListNumber"/>
      </w:pPr>
      <w:r>
        <w:rPr>
          <w:rFonts w:ascii="Calibri" w:hAnsi="Calibri" w:eastAsia="微软雅黑"/>
          <w:b/>
          <w:i w:val="0"/>
          <w:sz w:val="22"/>
        </w:rPr>
        <w:t>新能源国际投资联盟（中国能建牵头）</w:t>
      </w:r>
      <w:r>
        <w:rPr>
          <w:rFonts w:ascii="Calibri" w:hAnsi="Calibri" w:eastAsia="微软雅黑"/>
          <w:b w:val="0"/>
          <w:i w:val="0"/>
          <w:sz w:val="22"/>
        </w:rPr>
        <w:t>：成立于2018年6月，中国能建作为理事长单位，整合新能源领域规划咨询、设计、投融资、建设、装备制造与运维资源 [来源: P000220]，参与全球重点国别的电力规划，带动中国风电、光伏装备与工程标准"抱团出海"（本句后半为本研究归纳）。</w:t>
      </w:r>
    </w:p>
    <w:p>
      <w:pPr>
        <w:pStyle w:val="ListNumber"/>
      </w:pPr>
      <w:r>
        <w:rPr>
          <w:rFonts w:ascii="Calibri" w:hAnsi="Calibri" w:eastAsia="微软雅黑"/>
          <w:b/>
          <w:i w:val="0"/>
          <w:sz w:val="22"/>
        </w:rPr>
        <w:t>中国建筑业供应链合作发展联盟</w:t>
      </w:r>
      <w:r>
        <w:rPr>
          <w:rFonts w:ascii="Calibri" w:hAnsi="Calibri" w:eastAsia="微软雅黑"/>
          <w:b w:val="0"/>
          <w:i w:val="0"/>
          <w:sz w:val="22"/>
        </w:rPr>
        <w:t>：于2022年11月8日由中国能建和中国交通建设集团牵头，中国化学工程集团等建筑央企联合发起设立 [来源: P000220]，立足建筑央企供应链降本增效与数智升级需求，打通跨央企的合格供应商库与大宗物资采购价格信息（本句后半为本研究归纳）。</w:t>
      </w:r>
    </w:p>
    <w:p>
      <w:pPr>
        <w:pStyle w:val="ListNumber"/>
      </w:pPr>
      <w:r>
        <w:rPr>
          <w:rFonts w:ascii="Calibri" w:hAnsi="Calibri" w:eastAsia="微软雅黑"/>
          <w:b/>
          <w:i w:val="0"/>
          <w:sz w:val="22"/>
        </w:rPr>
        <w:t>"四新"联盟</w:t>
      </w:r>
      <w:r>
        <w:rPr>
          <w:rFonts w:ascii="Calibri" w:hAnsi="Calibri" w:eastAsia="微软雅黑"/>
          <w:b w:val="0"/>
          <w:i w:val="0"/>
          <w:sz w:val="22"/>
        </w:rPr>
        <w:t>：中国能建于2023年11月发起设立"新能源、新基建、新产业、新材料"联盟 [来源: P000220]，将新兴产业资源进一步组织化。</w:t>
      </w:r>
    </w:p>
    <w:p>
      <w:r>
        <w:rPr>
          <w:rFonts w:ascii="Calibri" w:hAnsi="Calibri" w:eastAsia="微软雅黑"/>
          <w:b w:val="0"/>
          <w:i w:val="0"/>
          <w:sz w:val="22"/>
        </w:rPr>
        <w:t>三张联盟网络的共同逻辑，是把"企业对市场"的博弈改写为"生态对市场"的议价（本研究结论）：单一企业的供应链议价能力有限，而跨央企共享的供应商库与价格信息能显著抬升采购端话语权，这对设备材料占造价大头的EPC总包而言，直接关系毛利率的生死线（本句为本研究解读）。</w:t>
      </w:r>
    </w:p>
    <w:p>
      <w:r>
        <w:rPr>
          <w:rFonts w:ascii="Calibri" w:hAnsi="Calibri" w:eastAsia="微软雅黑"/>
          <w:b w:val="0"/>
          <w:i w:val="0"/>
          <w:sz w:val="22"/>
        </w:rPr>
        <w:t>对联盟之外的旁观者，还有一层常被忽略的信号价值（本研究解读）：联盟的发起方与成员名单本身就是产业风向标——新能源国际投资联盟指向出海标准战，供应链合作联盟指向采购降本战，"四新"联盟与新型储能联盟 [来源: P000220] 指向新兴产业卡位战。地方国企与民企读年报不必逐字啃，盯住联盟动向就能提前半年感知央企的资源投向，进而在其供应链与联合体序列里找到自己的身位。</w:t>
      </w:r>
    </w:p>
    <w:p>
      <w:r>
        <w:rPr>
          <w:rFonts w:ascii="Calibri" w:hAnsi="Calibri" w:eastAsia="微软雅黑"/>
          <w:b w:val="0"/>
          <w:i w:val="0"/>
          <w:sz w:val="22"/>
        </w:rPr>
        <w:t>---</w:t>
      </w:r>
    </w:p>
    <w:p>
      <w:pPr>
        <w:pStyle w:val="Heading2"/>
      </w:pPr>
      <w:r>
        <w:t>3.3 壁垒构建：央企集团军的硬核护城河与核心资产</w:t>
      </w:r>
    </w:p>
    <w:p>
      <w:r>
        <w:rPr>
          <w:rFonts w:ascii="Calibri" w:hAnsi="Calibri" w:eastAsia="微软雅黑"/>
          <w:b w:val="0"/>
          <w:i w:val="0"/>
          <w:sz w:val="22"/>
        </w:rPr>
        <w:t>工程总承包业务并非简单的"设计+施工"拼盘，其本质是高度复杂的系统工程与资源集成能力。大型央企集团军之所以能够长期主导国内及国际特大型基础设施、清洁能源与高端工业建造市场，关键在于数十年沉淀构建的多重硬核竞争壁垒（壁垒框架为本研究归纳，证据随文锚定）。</w:t>
      </w:r>
    </w:p>
    <w:p>
      <w:pPr>
        <w:pStyle w:val="Heading3"/>
      </w:pPr>
      <w:r>
        <w:t>3.3.1 资质牌照与国家级科技平台壁垒</w:t>
      </w:r>
    </w:p>
    <w:p>
      <w:r>
        <w:rPr>
          <w:rFonts w:ascii="Calibri" w:hAnsi="Calibri" w:eastAsia="微软雅黑"/>
          <w:b w:val="0"/>
          <w:i w:val="0"/>
          <w:sz w:val="22"/>
        </w:rPr>
        <w:t>在特大型、高风险、高技术密度的工程领域，业主在招标门槛设置上极为严格。央企集团军依靠顶层资质集聚与国家级科技创新平台，直接锁定了高门槛赛道的准入资格（本条为本研究归纳）。</w:t>
      </w:r>
    </w:p>
    <w:p>
      <w:pPr>
        <w:pStyle w:val="Heading4"/>
      </w:pPr>
      <w:r>
        <w:t>表3-1 央企集团军资质与科技平台壁垒对照表（本研究归纳框架，事实数据锚定源文）</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央企集团</w:t>
            </w:r>
          </w:p>
        </w:tc>
        <w:tc>
          <w:tcPr>
            <w:tcW w:type="dxa" w:w="2075"/>
            <w:shd w:fill="1F3A5F"/>
          </w:tcPr>
          <w:p>
            <w:r>
              <w:rPr>
                <w:color w:val="FFFFFF"/>
              </w:rPr>
            </w:r>
            <w:r>
              <w:rPr>
                <w:rFonts w:ascii="Calibri" w:hAnsi="Calibri" w:eastAsia="微软雅黑"/>
                <w:b/>
                <w:i w:val="0"/>
                <w:color w:val="FFFFFF"/>
                <w:sz w:val="18"/>
              </w:rPr>
              <w:t>代表性顶级能力与平台</w:t>
            </w:r>
          </w:p>
        </w:tc>
        <w:tc>
          <w:tcPr>
            <w:tcW w:type="dxa" w:w="2075"/>
            <w:shd w:fill="1F3A5F"/>
          </w:tcPr>
          <w:p>
            <w:r>
              <w:rPr>
                <w:color w:val="FFFFFF"/>
              </w:rPr>
            </w:r>
            <w:r>
              <w:rPr>
                <w:rFonts w:ascii="Calibri" w:hAnsi="Calibri" w:eastAsia="微软雅黑"/>
                <w:b/>
                <w:i w:val="0"/>
                <w:color w:val="FFFFFF"/>
                <w:sz w:val="18"/>
              </w:rPr>
              <w:t>事实证据</w:t>
            </w:r>
          </w:p>
        </w:tc>
        <w:tc>
          <w:tcPr>
            <w:tcW w:type="dxa" w:w="2075"/>
            <w:shd w:fill="1F3A5F"/>
          </w:tcPr>
          <w:p>
            <w:r>
              <w:rPr>
                <w:color w:val="FFFFFF"/>
              </w:rPr>
            </w:r>
            <w:r>
              <w:rPr>
                <w:rFonts w:ascii="Calibri" w:hAnsi="Calibri" w:eastAsia="微软雅黑"/>
                <w:b/>
                <w:i w:val="0"/>
                <w:color w:val="FFFFFF"/>
                <w:sz w:val="18"/>
              </w:rPr>
              <w:t>壁垒应用场景</w:t>
            </w:r>
          </w:p>
        </w:tc>
      </w:tr>
      <w:tr>
        <w:tc>
          <w:tcPr>
            <w:tcW w:type="dxa" w:w="2075"/>
          </w:tcPr>
          <w:p>
            <w:r/>
            <w:r>
              <w:rPr>
                <w:rFonts w:ascii="Calibri" w:hAnsi="Calibri" w:eastAsia="微软雅黑"/>
                <w:b w:val="0"/>
                <w:i w:val="0"/>
                <w:sz w:val="18"/>
              </w:rPr>
              <w:t>中国电建</w:t>
            </w:r>
          </w:p>
        </w:tc>
        <w:tc>
          <w:tcPr>
            <w:tcW w:type="dxa" w:w="2075"/>
          </w:tcPr>
          <w:p>
            <w:r/>
            <w:r>
              <w:rPr>
                <w:rFonts w:ascii="Calibri" w:hAnsi="Calibri" w:eastAsia="微软雅黑"/>
                <w:b w:val="0"/>
                <w:i w:val="0"/>
                <w:sz w:val="18"/>
              </w:rPr>
              <w:t>大型水电施工市场份额超30%（大型水电超50%）[来源: P000228]；获批主持国家重点研发计划6项（2025年）[来源: P000208]；"1025专项"新获批三期牵头任务10项、创历史新高 [来源: P000208]</w:t>
            </w:r>
          </w:p>
        </w:tc>
        <w:tc>
          <w:tcPr>
            <w:tcW w:type="dxa" w:w="2075"/>
          </w:tcPr>
          <w:p>
            <w:r/>
            <w:r>
              <w:rPr>
                <w:rFonts w:ascii="Calibri" w:hAnsi="Calibri" w:eastAsia="微软雅黑"/>
                <w:b w:val="0"/>
                <w:i w:val="0"/>
                <w:sz w:val="18"/>
              </w:rPr>
              <w:t>2023年牵头第二批2项"1025专项"攻关实现重大突破，另有国家重点研发计划2项、国家自然基金项目5项 [来源: P000207]</w:t>
            </w:r>
          </w:p>
        </w:tc>
        <w:tc>
          <w:tcPr>
            <w:tcW w:type="dxa" w:w="2075"/>
          </w:tcPr>
          <w:p>
            <w:r/>
            <w:r>
              <w:rPr>
                <w:rFonts w:ascii="Calibri" w:hAnsi="Calibri" w:eastAsia="微软雅黑"/>
                <w:b w:val="0"/>
                <w:i w:val="0"/>
                <w:sz w:val="18"/>
              </w:rPr>
              <w:t>大型抽水蓄能、流域梯级开发、海上风电大总包</w:t>
            </w:r>
          </w:p>
        </w:tc>
      </w:tr>
      <w:tr>
        <w:tc>
          <w:tcPr>
            <w:tcW w:type="dxa" w:w="2075"/>
          </w:tcPr>
          <w:p>
            <w:r/>
            <w:r>
              <w:rPr>
                <w:rFonts w:ascii="Calibri" w:hAnsi="Calibri" w:eastAsia="微软雅黑"/>
                <w:b w:val="0"/>
                <w:i w:val="0"/>
                <w:sz w:val="18"/>
              </w:rPr>
              <w:t>中国能建</w:t>
            </w:r>
          </w:p>
        </w:tc>
        <w:tc>
          <w:tcPr>
            <w:tcW w:type="dxa" w:w="2075"/>
          </w:tcPr>
          <w:p>
            <w:r/>
            <w:r>
              <w:rPr>
                <w:rFonts w:ascii="Calibri" w:hAnsi="Calibri" w:eastAsia="微软雅黑"/>
                <w:b w:val="0"/>
                <w:i w:val="0"/>
                <w:sz w:val="18"/>
              </w:rPr>
              <w:t>国内已投运核电90%以上常规岛勘察设计、66%以上常规岛工程建设 [来源: P000228]</w:t>
            </w:r>
          </w:p>
        </w:tc>
        <w:tc>
          <w:tcPr>
            <w:tcW w:type="dxa" w:w="2075"/>
          </w:tcPr>
          <w:p>
            <w:r/>
            <w:r>
              <w:rPr>
                <w:rFonts w:ascii="Calibri" w:hAnsi="Calibri" w:eastAsia="微软雅黑"/>
                <w:b w:val="0"/>
                <w:i w:val="0"/>
                <w:sz w:val="18"/>
              </w:rPr>
              <w:t>几乎所有大型清洁能源输电通道工程勘察设计任务 [来源: P000228]</w:t>
            </w:r>
          </w:p>
        </w:tc>
        <w:tc>
          <w:tcPr>
            <w:tcW w:type="dxa" w:w="2075"/>
          </w:tcPr>
          <w:p>
            <w:r/>
            <w:r>
              <w:rPr>
                <w:rFonts w:ascii="Calibri" w:hAnsi="Calibri" w:eastAsia="微软雅黑"/>
                <w:b w:val="0"/>
                <w:i w:val="0"/>
                <w:sz w:val="18"/>
              </w:rPr>
              <w:t>特高压输变电、压缩空气储能、绿色氢氨醇一体化</w:t>
            </w:r>
          </w:p>
        </w:tc>
      </w:tr>
      <w:tr>
        <w:tc>
          <w:tcPr>
            <w:tcW w:type="dxa" w:w="2075"/>
          </w:tcPr>
          <w:p>
            <w:r/>
            <w:r>
              <w:rPr>
                <w:rFonts w:ascii="Calibri" w:hAnsi="Calibri" w:eastAsia="微软雅黑"/>
                <w:b w:val="0"/>
                <w:i w:val="0"/>
                <w:sz w:val="18"/>
              </w:rPr>
              <w:t>中国中冶</w:t>
            </w:r>
          </w:p>
        </w:tc>
        <w:tc>
          <w:tcPr>
            <w:tcW w:type="dxa" w:w="2075"/>
          </w:tcPr>
          <w:p>
            <w:r/>
            <w:r>
              <w:rPr>
                <w:rFonts w:ascii="Calibri" w:hAnsi="Calibri" w:eastAsia="微软雅黑"/>
                <w:b w:val="0"/>
                <w:i w:val="0"/>
                <w:sz w:val="18"/>
              </w:rPr>
              <w:t>国家企业技术中心1个；国家重点研发计划项目3项、课题5项 [来源: P000219]</w:t>
            </w:r>
          </w:p>
        </w:tc>
        <w:tc>
          <w:tcPr>
            <w:tcW w:type="dxa" w:w="2075"/>
          </w:tcPr>
          <w:p>
            <w:r/>
            <w:r>
              <w:rPr>
                <w:rFonts w:ascii="Calibri" w:hAnsi="Calibri" w:eastAsia="微软雅黑"/>
                <w:b w:val="0"/>
                <w:i w:val="0"/>
                <w:sz w:val="18"/>
              </w:rPr>
              <w:t>新申请专利12,020件、新获授权8,963件、累计有效专利47,120件 [来源: P000219]</w:t>
            </w:r>
          </w:p>
        </w:tc>
        <w:tc>
          <w:tcPr>
            <w:tcW w:type="dxa" w:w="2075"/>
          </w:tcPr>
          <w:p>
            <w:r/>
            <w:r>
              <w:rPr>
                <w:rFonts w:ascii="Calibri" w:hAnsi="Calibri" w:eastAsia="微软雅黑"/>
                <w:b w:val="0"/>
                <w:i w:val="0"/>
                <w:sz w:val="18"/>
              </w:rPr>
              <w:t>绿色低碳冶金、百亿级片区综合开发、超高层建筑</w:t>
            </w:r>
          </w:p>
        </w:tc>
      </w:tr>
      <w:tr>
        <w:tc>
          <w:tcPr>
            <w:tcW w:type="dxa" w:w="2075"/>
          </w:tcPr>
          <w:p>
            <w:r/>
            <w:r>
              <w:rPr>
                <w:rFonts w:ascii="Calibri" w:hAnsi="Calibri" w:eastAsia="微软雅黑"/>
                <w:b w:val="0"/>
                <w:i w:val="0"/>
                <w:sz w:val="18"/>
              </w:rPr>
              <w:t>中核工程</w:t>
            </w:r>
          </w:p>
        </w:tc>
        <w:tc>
          <w:tcPr>
            <w:tcW w:type="dxa" w:w="2075"/>
          </w:tcPr>
          <w:p>
            <w:r/>
            <w:r>
              <w:rPr>
                <w:rFonts w:ascii="Calibri" w:hAnsi="Calibri" w:eastAsia="微软雅黑"/>
                <w:b w:val="0"/>
                <w:i w:val="0"/>
                <w:sz w:val="18"/>
              </w:rPr>
              <w:t>"华龙一号"自主三代核电全生命周期总包能力 [来源: P000251]</w:t>
            </w:r>
          </w:p>
        </w:tc>
        <w:tc>
          <w:tcPr>
            <w:tcW w:type="dxa" w:w="2075"/>
          </w:tcPr>
          <w:p>
            <w:r/>
            <w:r>
              <w:rPr>
                <w:rFonts w:ascii="Calibri" w:hAnsi="Calibri" w:eastAsia="微软雅黑"/>
                <w:b w:val="0"/>
                <w:i w:val="0"/>
                <w:sz w:val="18"/>
              </w:rPr>
              <w:t>"六大控制七个零"高质量精细化管控体系 [来源: P000251]；EB五层数据架构与MBD交付 [来源: P000253]</w:t>
            </w:r>
          </w:p>
        </w:tc>
        <w:tc>
          <w:tcPr>
            <w:tcW w:type="dxa" w:w="2075"/>
          </w:tcPr>
          <w:p>
            <w:r/>
            <w:r>
              <w:rPr>
                <w:rFonts w:ascii="Calibri" w:hAnsi="Calibri" w:eastAsia="微软雅黑"/>
                <w:b w:val="0"/>
                <w:i w:val="0"/>
                <w:sz w:val="18"/>
              </w:rPr>
              <w:t>核电站全岛EPC、复杂系统工程数字化交付</w:t>
            </w:r>
          </w:p>
        </w:tc>
      </w:tr>
      <w:tr>
        <w:tc>
          <w:tcPr>
            <w:tcW w:type="dxa" w:w="2075"/>
          </w:tcPr>
          <w:p>
            <w:r/>
            <w:r>
              <w:rPr>
                <w:rFonts w:ascii="Calibri" w:hAnsi="Calibri" w:eastAsia="微软雅黑"/>
                <w:b w:val="0"/>
                <w:i w:val="0"/>
                <w:sz w:val="18"/>
              </w:rPr>
              <w:t>中石化工程建设</w:t>
            </w:r>
          </w:p>
        </w:tc>
        <w:tc>
          <w:tcPr>
            <w:tcW w:type="dxa" w:w="2075"/>
          </w:tcPr>
          <w:p>
            <w:r/>
            <w:r>
              <w:rPr>
                <w:rFonts w:ascii="Calibri" w:hAnsi="Calibri" w:eastAsia="微软雅黑"/>
                <w:b w:val="0"/>
                <w:i w:val="0"/>
                <w:sz w:val="18"/>
              </w:rPr>
              <w:t>炼化工艺技术许可与高难度集成设计（行业归纳）</w:t>
            </w:r>
          </w:p>
        </w:tc>
        <w:tc>
          <w:tcPr>
            <w:tcW w:type="dxa" w:w="2075"/>
          </w:tcPr>
          <w:p>
            <w:r/>
            <w:r>
              <w:rPr>
                <w:rFonts w:ascii="Calibri" w:hAnsi="Calibri" w:eastAsia="微软雅黑"/>
                <w:b w:val="0"/>
                <w:i w:val="0"/>
                <w:sz w:val="18"/>
              </w:rPr>
              <w:t>工程总承包第一梯队与项目管理榜首的常年双榜组合（详见第2章）</w:t>
            </w:r>
          </w:p>
        </w:tc>
        <w:tc>
          <w:tcPr>
            <w:tcW w:type="dxa" w:w="2075"/>
          </w:tcPr>
          <w:p>
            <w:r/>
            <w:r>
              <w:rPr>
                <w:rFonts w:ascii="Calibri" w:hAnsi="Calibri" w:eastAsia="微软雅黑"/>
                <w:b w:val="0"/>
                <w:i w:val="0"/>
                <w:sz w:val="18"/>
              </w:rPr>
              <w:t>特大型炼化一体化、煤化工与烯烃芳烃装置</w:t>
            </w:r>
          </w:p>
        </w:tc>
      </w:tr>
    </w:tbl>
    <w:p>
      <w:r>
        <w:rPr>
          <w:rFonts w:ascii="Calibri" w:hAnsi="Calibri" w:eastAsia="微软雅黑"/>
          <w:b w:val="0"/>
          <w:i w:val="0"/>
          <w:sz w:val="22"/>
        </w:rPr>
        <w:t>表3-1需要一段翻译（本段为本研究解读）：资质与平台的真正作用不是"证书陈列"，而是把竞争提前到招标之前——当业主的招标资格条件可以合法地写进"近十年承担过同类特大型工程N项""具备某类专项许可"时，牌桌上的玩家在发牌前就已被筛定。二线企业抱怨"门槛不公平"没有意义，正确的动作是：第一，识别哪些门槛是"业绩型"（可通过联合体挂靠式积累突破）、哪些是"许可型"（只能自主申领）、哪些是"平台型"（可通过共建共享切入）；第二，把资质建设当成与市场开发同级的年度工程，设定申领路线图；第三，在尚未达标的目标赛道，先以专业分包身份进场攒业绩，再用业绩换资格。壁垒是死的，路径是活的（本研究结论）。</w:t>
      </w:r>
    </w:p>
    <w:p>
      <w:pPr>
        <w:pStyle w:val="Heading3"/>
      </w:pPr>
      <w:r>
        <w:t>3.3.2 数字化底座与技术生态体系壁垒</w:t>
      </w:r>
    </w:p>
    <w:p>
      <w:r>
        <w:rPr>
          <w:rFonts w:ascii="Calibri" w:hAnsi="Calibri" w:eastAsia="微软雅黑"/>
          <w:b w:val="0"/>
          <w:i w:val="0"/>
          <w:sz w:val="22"/>
        </w:rPr>
        <w:t>在超大型复杂工程中，数据贯通能力直接决定了工程总承包商的控制深度与盈利水平。央企集团军通过搭建自主可控的数字化底座，打造了"对象化、结构化、一体化"的技术生态体系（本节框架为本研究归纳）。</w:t>
      </w:r>
    </w:p>
    <w:p>
      <w:r>
        <w:rPr>
          <w:rFonts w:ascii="Calibri" w:hAnsi="Calibri" w:eastAsia="微软雅黑"/>
          <w:b/>
          <w:i w:val="0"/>
          <w:sz w:val="22"/>
        </w:rPr>
        <w:t>1. 中核工程EB软件五层数据架构</w:t>
      </w:r>
    </w:p>
    <w:p>
      <w:r>
        <w:rPr>
          <w:rFonts w:ascii="Calibri" w:hAnsi="Calibri" w:eastAsia="微软雅黑"/>
          <w:b w:val="0"/>
          <w:i w:val="0"/>
          <w:sz w:val="22"/>
        </w:rPr>
        <w:t>中核工程"一软、一网、一硬、一平台"智能工程生态的底层技术核心是Engineering Base（EB）软件的五层数据分层架构，将设备属性（材质、重量、载荷、质保等级）深度嵌入设计对象 [来源: P000251]。其层级规范保证了数据的唯一性与可溯源性 [来源: P000253]：</w:t>
      </w:r>
    </w:p>
    <w:p>
      <w:pPr>
        <w:pStyle w:val="Heading4"/>
      </w:pPr>
      <w:r>
        <w:t>表3-2 中核工程EB软件五层数据分层架构 [来源: P000253]</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层级</w:t>
            </w:r>
          </w:p>
        </w:tc>
        <w:tc>
          <w:tcPr>
            <w:tcW w:type="dxa" w:w="2767"/>
            <w:shd w:fill="1F3A5F"/>
          </w:tcPr>
          <w:p>
            <w:r>
              <w:rPr>
                <w:color w:val="FFFFFF"/>
              </w:rPr>
            </w:r>
            <w:r>
              <w:rPr>
                <w:rFonts w:ascii="Calibri" w:hAnsi="Calibri" w:eastAsia="微软雅黑"/>
                <w:b/>
                <w:i w:val="0"/>
                <w:color w:val="FFFFFF"/>
                <w:sz w:val="18"/>
              </w:rPr>
              <w:t>内容</w:t>
            </w:r>
          </w:p>
        </w:tc>
        <w:tc>
          <w:tcPr>
            <w:tcW w:type="dxa" w:w="2767"/>
            <w:shd w:fill="1F3A5F"/>
          </w:tcPr>
          <w:p>
            <w:r>
              <w:rPr>
                <w:color w:val="FFFFFF"/>
              </w:rPr>
            </w:r>
            <w:r>
              <w:rPr>
                <w:rFonts w:ascii="Calibri" w:hAnsi="Calibri" w:eastAsia="微软雅黑"/>
                <w:b/>
                <w:i w:val="0"/>
                <w:color w:val="FFFFFF"/>
                <w:sz w:val="18"/>
              </w:rPr>
              <w:t>示例</w:t>
            </w:r>
          </w:p>
        </w:tc>
      </w:tr>
      <w:tr>
        <w:tc>
          <w:tcPr>
            <w:tcW w:type="dxa" w:w="2767"/>
          </w:tcPr>
          <w:p>
            <w:r/>
            <w:r>
              <w:rPr>
                <w:rFonts w:ascii="Calibri" w:hAnsi="Calibri" w:eastAsia="微软雅黑"/>
                <w:b w:val="0"/>
                <w:i w:val="0"/>
                <w:sz w:val="18"/>
              </w:rPr>
              <w:t>第1层</w:t>
            </w:r>
          </w:p>
        </w:tc>
        <w:tc>
          <w:tcPr>
            <w:tcW w:type="dxa" w:w="2767"/>
          </w:tcPr>
          <w:p>
            <w:r/>
            <w:r>
              <w:rPr>
                <w:rFonts w:ascii="Calibri" w:hAnsi="Calibri" w:eastAsia="微软雅黑"/>
                <w:b w:val="0"/>
                <w:i w:val="0"/>
                <w:sz w:val="18"/>
              </w:rPr>
              <w:t>项目号</w:t>
            </w:r>
          </w:p>
        </w:tc>
        <w:tc>
          <w:tcPr>
            <w:tcW w:type="dxa" w:w="2767"/>
          </w:tcPr>
          <w:p>
            <w:r/>
            <w:r>
              <w:rPr>
                <w:rFonts w:ascii="Calibri" w:hAnsi="Calibri" w:eastAsia="微软雅黑"/>
                <w:b w:val="0"/>
                <w:i w:val="0"/>
                <w:sz w:val="18"/>
              </w:rPr>
              <w:t>"漳州1/2号机组"对应编码1516</w:t>
            </w:r>
          </w:p>
        </w:tc>
      </w:tr>
      <w:tr>
        <w:tc>
          <w:tcPr>
            <w:tcW w:type="dxa" w:w="2767"/>
          </w:tcPr>
          <w:p>
            <w:r/>
            <w:r>
              <w:rPr>
                <w:rFonts w:ascii="Calibri" w:hAnsi="Calibri" w:eastAsia="微软雅黑"/>
                <w:b w:val="0"/>
                <w:i w:val="0"/>
                <w:sz w:val="18"/>
              </w:rPr>
              <w:t>第2层</w:t>
            </w:r>
          </w:p>
        </w:tc>
        <w:tc>
          <w:tcPr>
            <w:tcW w:type="dxa" w:w="2767"/>
          </w:tcPr>
          <w:p>
            <w:r/>
            <w:r>
              <w:rPr>
                <w:rFonts w:ascii="Calibri" w:hAnsi="Calibri" w:eastAsia="微软雅黑"/>
                <w:b w:val="0"/>
                <w:i w:val="0"/>
                <w:sz w:val="18"/>
              </w:rPr>
              <w:t>对象分类单元</w:t>
            </w:r>
          </w:p>
        </w:tc>
        <w:tc>
          <w:tcPr>
            <w:tcW w:type="dxa" w:w="2767"/>
          </w:tcPr>
          <w:p>
            <w:r/>
            <w:r>
              <w:rPr>
                <w:rFonts w:ascii="Calibri" w:hAnsi="Calibri" w:eastAsia="微软雅黑"/>
                <w:b w:val="0"/>
                <w:i w:val="0"/>
                <w:sz w:val="18"/>
              </w:rPr>
              <w:t>"设备"或"安装标准"</w:t>
            </w:r>
          </w:p>
        </w:tc>
      </w:tr>
      <w:tr>
        <w:tc>
          <w:tcPr>
            <w:tcW w:type="dxa" w:w="2767"/>
          </w:tcPr>
          <w:p>
            <w:r/>
            <w:r>
              <w:rPr>
                <w:rFonts w:ascii="Calibri" w:hAnsi="Calibri" w:eastAsia="微软雅黑"/>
                <w:b w:val="0"/>
                <w:i w:val="0"/>
                <w:sz w:val="18"/>
              </w:rPr>
              <w:t>第3层</w:t>
            </w:r>
          </w:p>
        </w:tc>
        <w:tc>
          <w:tcPr>
            <w:tcW w:type="dxa" w:w="2767"/>
          </w:tcPr>
          <w:p>
            <w:r/>
            <w:r>
              <w:rPr>
                <w:rFonts w:ascii="Calibri" w:hAnsi="Calibri" w:eastAsia="微软雅黑"/>
                <w:b w:val="0"/>
                <w:i w:val="0"/>
                <w:sz w:val="18"/>
              </w:rPr>
              <w:t>机组号/安装标准号</w:t>
            </w:r>
          </w:p>
        </w:tc>
        <w:tc>
          <w:tcPr>
            <w:tcW w:type="dxa" w:w="2767"/>
          </w:tcPr>
          <w:p>
            <w:r/>
            <w:r>
              <w:rPr>
                <w:rFonts w:ascii="Calibri" w:hAnsi="Calibri" w:eastAsia="微软雅黑"/>
                <w:b w:val="0"/>
                <w:i w:val="0"/>
                <w:sz w:val="18"/>
              </w:rPr>
              <w:t>具体堆芯编号或标准库索引</w:t>
            </w:r>
          </w:p>
        </w:tc>
      </w:tr>
      <w:tr>
        <w:tc>
          <w:tcPr>
            <w:tcW w:type="dxa" w:w="2767"/>
          </w:tcPr>
          <w:p>
            <w:r/>
            <w:r>
              <w:rPr>
                <w:rFonts w:ascii="Calibri" w:hAnsi="Calibri" w:eastAsia="微软雅黑"/>
                <w:b w:val="0"/>
                <w:i w:val="0"/>
                <w:sz w:val="18"/>
              </w:rPr>
              <w:t>第4层</w:t>
            </w:r>
          </w:p>
        </w:tc>
        <w:tc>
          <w:tcPr>
            <w:tcW w:type="dxa" w:w="2767"/>
          </w:tcPr>
          <w:p>
            <w:r/>
            <w:r>
              <w:rPr>
                <w:rFonts w:ascii="Calibri" w:hAnsi="Calibri" w:eastAsia="微软雅黑"/>
                <w:b w:val="0"/>
                <w:i w:val="0"/>
                <w:sz w:val="18"/>
              </w:rPr>
              <w:t>设备单元/装配标准</w:t>
            </w:r>
          </w:p>
        </w:tc>
        <w:tc>
          <w:tcPr>
            <w:tcW w:type="dxa" w:w="2767"/>
          </w:tcPr>
          <w:p>
            <w:r/>
            <w:r>
              <w:rPr>
                <w:rFonts w:ascii="Calibri" w:hAnsi="Calibri" w:eastAsia="微软雅黑"/>
                <w:b w:val="0"/>
                <w:i w:val="0"/>
                <w:sz w:val="18"/>
              </w:rPr>
              <w:t>具体图号或装配组件</w:t>
            </w:r>
          </w:p>
        </w:tc>
      </w:tr>
      <w:tr>
        <w:tc>
          <w:tcPr>
            <w:tcW w:type="dxa" w:w="2767"/>
          </w:tcPr>
          <w:p>
            <w:r/>
            <w:r>
              <w:rPr>
                <w:rFonts w:ascii="Calibri" w:hAnsi="Calibri" w:eastAsia="微软雅黑"/>
                <w:b w:val="0"/>
                <w:i w:val="0"/>
                <w:sz w:val="18"/>
              </w:rPr>
              <w:t>第5层</w:t>
            </w:r>
          </w:p>
        </w:tc>
        <w:tc>
          <w:tcPr>
            <w:tcW w:type="dxa" w:w="2767"/>
          </w:tcPr>
          <w:p>
            <w:r/>
            <w:r>
              <w:rPr>
                <w:rFonts w:ascii="Calibri" w:hAnsi="Calibri" w:eastAsia="微软雅黑"/>
                <w:b w:val="0"/>
                <w:i w:val="0"/>
                <w:sz w:val="18"/>
              </w:rPr>
              <w:t>系统号</w:t>
            </w:r>
          </w:p>
        </w:tc>
        <w:tc>
          <w:tcPr>
            <w:tcW w:type="dxa" w:w="2767"/>
          </w:tcPr>
          <w:p>
            <w:r/>
            <w:r>
              <w:rPr>
                <w:rFonts w:ascii="Calibri" w:hAnsi="Calibri" w:eastAsia="微软雅黑"/>
                <w:b w:val="0"/>
                <w:i w:val="0"/>
                <w:sz w:val="18"/>
              </w:rPr>
              <w:t>所属功能系统（如固体废物处理系统）</w:t>
            </w:r>
          </w:p>
        </w:tc>
      </w:tr>
    </w:tbl>
    <w:p>
      <w:r>
        <w:rPr>
          <w:rFonts w:ascii="Calibri" w:hAnsi="Calibri" w:eastAsia="微软雅黑"/>
          <w:b w:val="0"/>
          <w:i w:val="0"/>
          <w:sz w:val="22"/>
        </w:rPr>
        <w:t>在该架构下，中核工程推行MBD数字化交付技术，打通设计院、工程公司与装备制造厂，实现"一套模型做到底"与三维虚拟建造 [来源: P000253]。对象化建模的精髓在于每个工程组件都被赋予多维属性——系统属性（器件名称、所属系统号）、基本属性（质保等级、抗震类别、功能等级）、力学属性（设备重量上限、工况受力）、概预算属性（自动关联材料重量与耗材单价）——设备属性（材质、重量、载荷、质保等级）被深度嵌入设计对象，实现从二维图纸到三维实物的无损映射 [来源: P000251]。这套体系的本质是把"图纸交付"升维为"数据交付"——业主拿到的不只是一座电站，还是一座可运营的数字资产（本句为本研究解读）。</w:t>
      </w:r>
    </w:p>
    <w:p>
      <w:r>
        <w:rPr>
          <w:rFonts w:ascii="Calibri" w:hAnsi="Calibri" w:eastAsia="微软雅黑"/>
          <w:b/>
          <w:i w:val="0"/>
          <w:sz w:val="22"/>
        </w:rPr>
        <w:t>2. 中国电建系的正向三维设计与数字平台</w:t>
      </w:r>
    </w:p>
    <w:p>
      <w:r>
        <w:rPr>
          <w:rFonts w:ascii="Calibri" w:hAnsi="Calibri" w:eastAsia="微软雅黑"/>
          <w:b w:val="0"/>
          <w:i w:val="0"/>
          <w:sz w:val="22"/>
        </w:rPr>
        <w:t>成都院建立了基于三维模型的"正向设计"体系，设计成果可自动导出物料清单并推送至施工管理系统 [来源: P000230]。数字化平台的实测效益（据其项目统计）：设计施工一体化数字技术平台的应用使项目工期平均缩短15%-20%、项目成本平均降低8%-12%，通过提前发现并解决设计与施工的冲突问题，质量缺陷率降低30%以上 [来源: P000230]；在某大型风电场EPC项目中，通过三维技术的应用提前发现并解决了约200处设计与施工的碰撞问题，节约工期约45天，降低成本约3% [来源: P000230]。华东院则针对海上风电复杂海况自主开发OWind数字能源服务平台，实现海域风资源计算、风机基础结构优化与海上施工模拟 [来源: P000235]。</w:t>
      </w:r>
    </w:p>
    <w:p>
      <w:r>
        <w:rPr>
          <w:rFonts w:ascii="Calibri" w:hAnsi="Calibri" w:eastAsia="微软雅黑"/>
          <w:b/>
          <w:i w:val="0"/>
          <w:sz w:val="22"/>
        </w:rPr>
        <w:t>3. 数字化的账要算在变更与返工上</w:t>
      </w:r>
      <w:r>
        <w:rPr>
          <w:rFonts w:ascii="Calibri" w:hAnsi="Calibri" w:eastAsia="微软雅黑"/>
          <w:b w:val="0"/>
          <w:i w:val="0"/>
          <w:sz w:val="22"/>
        </w:rPr>
        <w:t>。上述三组实测数据共同指向一个管理结论：数字化的回报主要不是"高科技形象"，而是变更、碰撞与返工的实打实削减（本研究结论）。对二三线企业而言，不必复刻核电级元数据体系，但"正向出图、清单直出、碰撞前置"三件事是任何体量都能启动的数字化最小循环（本研究建议）。</w:t>
      </w:r>
    </w:p>
    <w:p>
      <w:pPr>
        <w:pStyle w:val="Heading3"/>
      </w:pPr>
      <w:r>
        <w:t>3.3.3 超高难度工程履约经验与置信度资产</w:t>
      </w:r>
    </w:p>
    <w:p>
      <w:r>
        <w:rPr>
          <w:rFonts w:ascii="Calibri" w:hAnsi="Calibri" w:eastAsia="微软雅黑"/>
          <w:b w:val="0"/>
          <w:i w:val="0"/>
          <w:sz w:val="22"/>
        </w:rPr>
        <w:t>对于单体投资额数十亿乃至数百亿元的重大项目，业主在招标决策中最看重的是承包商的历史成功履约记录与置信度资产（本条为本研究归纳）。央企集团军在超高难度项目上的成功经验构成极强的商业壁垒——本章3.1.1至3.1.4节展开的抽水蓄能极限开挖控制、世界首座300兆瓦级压缩空气储能全容量并网、"华龙一号"首堆批量化建造、高铁站房零的突破等案例，本质上都是可复用的"置信度存货"：每一次极限履约都在为下一次特大型项目的授信背书（本段为本研究解读）[来源: P000230, P000220, P000251, P000216]。</w:t>
      </w:r>
    </w:p>
    <w:p>
      <w:r>
        <w:rPr>
          <w:rFonts w:ascii="Calibri" w:hAnsi="Calibri" w:eastAsia="微软雅黑"/>
          <w:b w:val="0"/>
          <w:i w:val="0"/>
          <w:sz w:val="22"/>
        </w:rPr>
        <w:t>置信度资产的积累有一条清晰的复利曲线（本研究归纳）：第一个标志性工程最贵——企业往往要以极限利润率甚至战略性亏损换取入场券；从第二个开始，品牌开始替代资质说话；到"世界之最"成列、国家级奖项成架时 [来源: P000212]，业主的招标文件会主动为其量身设置门槛。这也解释了为什么二线企业对标央企时，抄组织架构与数字化平台都学得会，唯独"履历复利"抄不走——它只能用时间与一个个真实项目去换（本研究结论）。对投标策略的落地含义：与其在央企的存量优势赛道上硬拼，不如在新兴赛道的"第一次"上抢身位——储能、绿氢、碳捕集这些刚开张的品类里，大家的履历清零，起跑线最平（本研究建议）[来源: P000220]。</w:t>
      </w:r>
    </w:p>
    <w:p>
      <w:r>
        <w:rPr>
          <w:rFonts w:ascii="Calibri" w:hAnsi="Calibri" w:eastAsia="微软雅黑"/>
          <w:b w:val="0"/>
          <w:i w:val="0"/>
          <w:sz w:val="22"/>
        </w:rPr>
        <w:t>---</w:t>
      </w:r>
    </w:p>
    <w:p>
      <w:pPr>
        <w:pStyle w:val="Heading2"/>
      </w:pPr>
      <w:r>
        <w:t>3.4 协同阵痛：集团化管控的深层瓶颈与解题路径</w:t>
      </w:r>
    </w:p>
    <w:p>
      <w:r>
        <w:rPr>
          <w:rFonts w:ascii="Calibri" w:hAnsi="Calibri" w:eastAsia="微软雅黑"/>
          <w:b w:val="0"/>
          <w:i w:val="0"/>
          <w:sz w:val="22"/>
        </w:rPr>
        <w:t>尽管央企集团军在资质、技术与资源整合上具备显性优势，但在组织庞大、层级冗长的集团化体系下，内部协同仍不可避免地面临诸多深层痛点。工程企业高管与决策者必须客观识别这些阵痛，并汲取头部企业提炼的解题路径（本节阵痛画像为成都院专项研究与企业研究资料披露）[来源: P000230]。</w:t>
      </w:r>
    </w:p>
    <w:p>
      <w:pPr>
        <w:pStyle w:val="Heading3"/>
      </w:pPr>
      <w:r>
        <w:t>3.4.1 多头领导与矩阵式组织沟通壁垒</w:t>
      </w:r>
    </w:p>
    <w:p>
      <w:r>
        <w:rPr>
          <w:rFonts w:ascii="Calibri" w:hAnsi="Calibri" w:eastAsia="微软雅黑"/>
          <w:b w:val="0"/>
          <w:i w:val="0"/>
          <w:sz w:val="22"/>
        </w:rPr>
        <w:t>央企集团通常采用"集团总部-专业板块公司/区域总部-二级子公司-三级项目公司"的复杂矩阵式管理架构（本研究归纳）。现场EPC项目部既要接受总包项目经理的指挥，又要应对设计院、施工局各自行政条线的绩效考核，还要满足集团区域总部对地方关系的对接要求；当项目遇到紧急设计变更或施工调配难题时，多方指令冲突导致决策链条过长、信息传递逐级衰减 [来源: P000230]。设计单位与施工单位财务核算独立，设计人员倾向于采取保守设计系数规避技术风险，施工人员则希望通过现场签证追加工程量，内部沟通成本极高（本条为专项研究披露的组织痛点）[来源: P000230]。破局的关键不是增设协调会，而是改写激励的记账方式——把设计优化节省额与施工签证追加额放进同一张内部结算表，让"多赢"取代"零和"（本研究建议）；3.2.1第一步的内部互保与收益再分配机制正是这一思路的落地形态。</w:t>
      </w:r>
    </w:p>
    <w:p>
      <w:pPr>
        <w:pStyle w:val="Heading3"/>
      </w:pPr>
      <w:r>
        <w:t>3.4.2 利益博弈、责任边界争议与高管理成本</w:t>
      </w:r>
    </w:p>
    <w:p>
      <w:r>
        <w:rPr>
          <w:rFonts w:ascii="Calibri" w:hAnsi="Calibri" w:eastAsia="微软雅黑"/>
          <w:b w:val="0"/>
          <w:i w:val="0"/>
          <w:sz w:val="22"/>
        </w:rPr>
        <w:t>在"设计+施工"联合体模式或大总包内部，利益分配与风险承担的博弈始终存在：联合体内部在确定设计费、现场技术服务费及施工利润留存比例时容易发生摩擦，施工单位往往抱怨设计优化带来的成本节省收益多被设计方拿走，而现场因设计纰漏引发的停工返工损失却由施工方承担 [来源: P000230]。对外层面，业主常倾向于将EPC模式理解为"大包干"，要求总包方承担地质条件剧变、地方协调阻碍及大宗材料涨价在内的全部不可预见风险，总包方受限于设计刚性约束与既定预算，极易陷入"责任无限放大与利润有限锁定"的困境（本条为核电工程研究披露的责任边界困境）[来源: P000251]。</w:t>
      </w:r>
    </w:p>
    <w:p>
      <w:pPr>
        <w:pStyle w:val="Heading3"/>
      </w:pPr>
      <w:r>
        <w:t>3.4.3 数字化转型"最后一公里"瓶颈</w:t>
      </w:r>
    </w:p>
    <w:p>
      <w:r>
        <w:rPr>
          <w:rFonts w:ascii="Calibri" w:hAnsi="Calibri" w:eastAsia="微软雅黑"/>
          <w:b w:val="0"/>
          <w:i w:val="0"/>
          <w:sz w:val="22"/>
        </w:rPr>
        <w:t>尽管央企总部及核心设计院建成了功能强大的数字化平台，但在施工现场与供应链终端，数字化打通仍面临显著阻碍：设备供应商与劳务分包商的数字化水平参差不齐，上游精细的三维设计模型传递至现场分包商时往往被重新打回二维图纸施工，形成"数据断点"，数字系统与物理现场"两张皮"（本条为专项研究披露的落地瓶颈）[来源: P000230]。同时，大型数字化底座维护成本高昂，数据治理复杂度随项目规模上升——若在中小型EPC项目中盲目照搬极度复杂的元数据治理体系，系统维护成本反而会吞噬项目利润（本条为本研究基于核电数字化体系特征的推演，示意性判断）[来源: P000253]。打通"最后一公里"的务实路径有三条（本研究建议）：其一，把交付标准写进分包合同——要求分包商按总包数据接口提交进度与质量记录，把数字化义务商业化；其二，轻量化下沉——给现场配移动端签认而非整套平台，让一线用得起、用得会；其三，梯度验收——对数字化能力弱的分包商允许纸质过渡但设置截止期，避免"一刀切"逼出造假。</w:t>
      </w:r>
    </w:p>
    <w:p>
      <w:pPr>
        <w:pStyle w:val="Heading3"/>
      </w:pPr>
      <w:r>
        <w:t>3.4.4 高标准与成本控制的博弈及精细化解题路径</w:t>
      </w:r>
    </w:p>
    <w:p>
      <w:r>
        <w:rPr>
          <w:rFonts w:ascii="Calibri" w:hAnsi="Calibri" w:eastAsia="微软雅黑"/>
          <w:b w:val="0"/>
          <w:i w:val="0"/>
          <w:sz w:val="22"/>
        </w:rPr>
        <w:t>在核电、化工与特大型水利项目中，"六大控制七个零"高质量精细化管控体系带来了高昂的管理成本 [来源: P000251]。为解决高标准与成本控制的剧烈博弈，头部央企总结并验证了一套高度可操作的精细化治理工具。</w:t>
      </w:r>
    </w:p>
    <w:p>
      <w:r>
        <w:rPr>
          <w:rFonts w:ascii="Calibri" w:hAnsi="Calibri" w:eastAsia="微软雅黑"/>
          <w:b/>
          <w:i w:val="0"/>
          <w:sz w:val="22"/>
        </w:rPr>
        <w:t>解法一：结构化质量风险量化评估模型（R = P × D × Q × I）</w:t>
      </w:r>
    </w:p>
    <w:p>
      <w:r>
        <w:rPr>
          <w:rFonts w:ascii="Calibri" w:hAnsi="Calibri" w:eastAsia="微软雅黑"/>
          <w:b w:val="0"/>
          <w:i w:val="0"/>
          <w:sz w:val="22"/>
        </w:rPr>
        <w:t>为避免全盘无差别监控导致的管理资源浪费，中核工程建立了包含R1至R20的核心风险因素库，将年度质量指标分解为可执行的质保业务单元 [来源: P000253]。其量化评估模型为：</w:t>
      </w:r>
    </w:p>
    <w:p>
      <w:pPr>
        <w:pStyle w:val="ListBullet"/>
      </w:pPr>
      <w:r>
        <w:rPr>
          <w:rFonts w:ascii="Calibri" w:hAnsi="Calibri" w:eastAsia="微软雅黑"/>
          <w:b/>
          <w:i w:val="0"/>
          <w:sz w:val="22"/>
        </w:rPr>
        <w:t>P（Probability，发生可能性）</w:t>
      </w:r>
      <w:r>
        <w:rPr>
          <w:rFonts w:ascii="Calibri" w:hAnsi="Calibri" w:eastAsia="微软雅黑"/>
          <w:b w:val="0"/>
          <w:i w:val="0"/>
          <w:sz w:val="22"/>
        </w:rPr>
        <w:t>：由业务一线人员基于频率打分 [来源: P000253]；</w:t>
      </w:r>
    </w:p>
    <w:p>
      <w:pPr>
        <w:pStyle w:val="ListBullet"/>
      </w:pPr>
      <w:r>
        <w:rPr>
          <w:rFonts w:ascii="Calibri" w:hAnsi="Calibri" w:eastAsia="微软雅黑"/>
          <w:b/>
          <w:i w:val="0"/>
          <w:sz w:val="22"/>
        </w:rPr>
        <w:t>D（Damage，影响程度）</w:t>
      </w:r>
      <w:r>
        <w:rPr>
          <w:rFonts w:ascii="Calibri" w:hAnsi="Calibri" w:eastAsia="微软雅黑"/>
          <w:b w:val="0"/>
          <w:i w:val="0"/>
          <w:sz w:val="22"/>
        </w:rPr>
        <w:t>：由领域专家评估对工程质量损失的严重性 [来源: P000253]；</w:t>
      </w:r>
    </w:p>
    <w:p>
      <w:pPr>
        <w:pStyle w:val="ListBullet"/>
      </w:pPr>
      <w:r>
        <w:rPr>
          <w:rFonts w:ascii="Calibri" w:hAnsi="Calibri" w:eastAsia="微软雅黑"/>
          <w:b/>
          <w:i w:val="0"/>
          <w:sz w:val="22"/>
        </w:rPr>
        <w:t>Q（Sensitivity，敏感权重）</w:t>
      </w:r>
      <w:r>
        <w:rPr>
          <w:rFonts w:ascii="Calibri" w:hAnsi="Calibri" w:eastAsia="微软雅黑"/>
          <w:b w:val="0"/>
          <w:i w:val="0"/>
          <w:sz w:val="22"/>
        </w:rPr>
        <w:t>：直接引用层次分析法（AHP）计算出的权重——由设计、施工、质保等领域跨专业专家构建判断矩阵得出 [来源: P000253]：QA1（最高安全级）41.71%、QR1（最高可用率级）17.43%、QA2为20.33%、QR2为6.75%、QA3为7.55%、QR3为3.88%、QNC（非核安全级）仅2.34% [来源: P000253]；</w:t>
      </w:r>
    </w:p>
    <w:p>
      <w:pPr>
        <w:pStyle w:val="ListBullet"/>
      </w:pPr>
      <w:r>
        <w:rPr>
          <w:rFonts w:ascii="Calibri" w:hAnsi="Calibri" w:eastAsia="微软雅黑"/>
          <w:b/>
          <w:i w:val="0"/>
          <w:sz w:val="22"/>
        </w:rPr>
        <w:t>I（Identifiability，可识别程度）</w:t>
      </w:r>
      <w:r>
        <w:rPr>
          <w:rFonts w:ascii="Calibri" w:hAnsi="Calibri" w:eastAsia="微软雅黑"/>
          <w:b w:val="0"/>
          <w:i w:val="0"/>
          <w:sz w:val="22"/>
        </w:rPr>
        <w:t>：核心关键指标——I=1风险可被直接发现，I=2下道工序可发现，I=3具有隐蔽性、需通过后续试验或长期运行暴露 [来源: P000253]。</w:t>
      </w:r>
    </w:p>
    <w:p>
      <w:pPr>
        <w:pStyle w:val="Heading4"/>
      </w:pPr>
      <w:r>
        <w:t>表3-3 结构化质量风险量化计算实测示例（源文数据摘录）[来源: P000253]</w:t>
      </w:r>
    </w:p>
    <w:tbl>
      <w:tblPr>
        <w:tblStyle w:val="TableGrid"/>
        <w:tblW w:type="auto" w:w="0"/>
        <w:tblLook w:firstColumn="1" w:firstRow="1" w:lastColumn="0" w:lastRow="0" w:noHBand="0" w:noVBand="1" w:val="04A0"/>
      </w:tblPr>
      <w:tblGrid>
        <w:gridCol w:w="922"/>
        <w:gridCol w:w="922"/>
        <w:gridCol w:w="922"/>
        <w:gridCol w:w="922"/>
        <w:gridCol w:w="922"/>
        <w:gridCol w:w="922"/>
        <w:gridCol w:w="922"/>
        <w:gridCol w:w="922"/>
        <w:gridCol w:w="922"/>
      </w:tblGrid>
      <w:tr>
        <w:tc>
          <w:tcPr>
            <w:tcW w:type="dxa" w:w="922"/>
            <w:shd w:fill="1F3A5F"/>
          </w:tcPr>
          <w:p>
            <w:r>
              <w:rPr>
                <w:color w:val="FFFFFF"/>
              </w:rPr>
            </w:r>
            <w:r>
              <w:rPr>
                <w:rFonts w:ascii="Calibri" w:hAnsi="Calibri" w:eastAsia="微软雅黑"/>
                <w:b/>
                <w:i w:val="0"/>
                <w:color w:val="FFFFFF"/>
                <w:sz w:val="18"/>
              </w:rPr>
              <w:t>编号</w:t>
            </w:r>
          </w:p>
        </w:tc>
        <w:tc>
          <w:tcPr>
            <w:tcW w:type="dxa" w:w="922"/>
            <w:shd w:fill="1F3A5F"/>
          </w:tcPr>
          <w:p>
            <w:r>
              <w:rPr>
                <w:color w:val="FFFFFF"/>
              </w:rPr>
            </w:r>
            <w:r>
              <w:rPr>
                <w:rFonts w:ascii="Calibri" w:hAnsi="Calibri" w:eastAsia="微软雅黑"/>
                <w:b/>
                <w:i w:val="0"/>
                <w:color w:val="FFFFFF"/>
                <w:sz w:val="18"/>
              </w:rPr>
              <w:t>结构化风险因素</w:t>
            </w:r>
          </w:p>
        </w:tc>
        <w:tc>
          <w:tcPr>
            <w:tcW w:type="dxa" w:w="922"/>
            <w:shd w:fill="1F3A5F"/>
          </w:tcPr>
          <w:p>
            <w:r>
              <w:rPr>
                <w:color w:val="FFFFFF"/>
              </w:rPr>
            </w:r>
            <w:r>
              <w:rPr>
                <w:rFonts w:ascii="Calibri" w:hAnsi="Calibri" w:eastAsia="微软雅黑"/>
                <w:b/>
                <w:i w:val="0"/>
                <w:color w:val="FFFFFF"/>
                <w:sz w:val="18"/>
              </w:rPr>
              <w:t>质保业务分类</w:t>
            </w:r>
          </w:p>
        </w:tc>
        <w:tc>
          <w:tcPr>
            <w:tcW w:type="dxa" w:w="922"/>
            <w:shd w:fill="1F3A5F"/>
          </w:tcPr>
          <w:p>
            <w:r>
              <w:rPr>
                <w:color w:val="FFFFFF"/>
              </w:rPr>
            </w:r>
            <w:r>
              <w:rPr>
                <w:rFonts w:ascii="Calibri" w:hAnsi="Calibri" w:eastAsia="微软雅黑"/>
                <w:b/>
                <w:i w:val="0"/>
                <w:color w:val="FFFFFF"/>
                <w:sz w:val="18"/>
              </w:rPr>
              <w:t>I</w:t>
            </w:r>
          </w:p>
        </w:tc>
        <w:tc>
          <w:tcPr>
            <w:tcW w:type="dxa" w:w="922"/>
            <w:shd w:fill="1F3A5F"/>
          </w:tcPr>
          <w:p>
            <w:r>
              <w:rPr>
                <w:color w:val="FFFFFF"/>
              </w:rPr>
            </w:r>
            <w:r>
              <w:rPr>
                <w:rFonts w:ascii="Calibri" w:hAnsi="Calibri" w:eastAsia="微软雅黑"/>
                <w:b/>
                <w:i w:val="0"/>
                <w:color w:val="FFFFFF"/>
                <w:sz w:val="18"/>
              </w:rPr>
              <w:t>D</w:t>
            </w:r>
          </w:p>
        </w:tc>
        <w:tc>
          <w:tcPr>
            <w:tcW w:type="dxa" w:w="922"/>
            <w:shd w:fill="1F3A5F"/>
          </w:tcPr>
          <w:p>
            <w:r>
              <w:rPr>
                <w:color w:val="FFFFFF"/>
              </w:rPr>
            </w:r>
            <w:r>
              <w:rPr>
                <w:rFonts w:ascii="Calibri" w:hAnsi="Calibri" w:eastAsia="微软雅黑"/>
                <w:b/>
                <w:i w:val="0"/>
                <w:color w:val="FFFFFF"/>
                <w:sz w:val="18"/>
              </w:rPr>
              <w:t>P</w:t>
            </w:r>
          </w:p>
        </w:tc>
        <w:tc>
          <w:tcPr>
            <w:tcW w:type="dxa" w:w="922"/>
            <w:shd w:fill="1F3A5F"/>
          </w:tcPr>
          <w:p>
            <w:r>
              <w:rPr>
                <w:color w:val="FFFFFF"/>
              </w:rPr>
            </w:r>
            <w:r>
              <w:rPr>
                <w:rFonts w:ascii="Calibri" w:hAnsi="Calibri" w:eastAsia="微软雅黑"/>
                <w:b/>
                <w:i w:val="0"/>
                <w:color w:val="FFFFFF"/>
                <w:sz w:val="18"/>
              </w:rPr>
              <w:t>Q</w:t>
            </w:r>
          </w:p>
        </w:tc>
        <w:tc>
          <w:tcPr>
            <w:tcW w:type="dxa" w:w="922"/>
            <w:shd w:fill="1F3A5F"/>
          </w:tcPr>
          <w:p>
            <w:r>
              <w:rPr>
                <w:color w:val="FFFFFF"/>
              </w:rPr>
            </w:r>
            <w:r>
              <w:rPr>
                <w:rFonts w:ascii="Calibri" w:hAnsi="Calibri" w:eastAsia="微软雅黑"/>
                <w:b/>
                <w:i w:val="0"/>
                <w:color w:val="FFFFFF"/>
                <w:sz w:val="18"/>
              </w:rPr>
              <w:t>量化风险值R</w:t>
            </w:r>
          </w:p>
        </w:tc>
        <w:tc>
          <w:tcPr>
            <w:tcW w:type="dxa" w:w="922"/>
            <w:shd w:fill="1F3A5F"/>
          </w:tcPr>
          <w:p>
            <w:r>
              <w:rPr>
                <w:color w:val="FFFFFF"/>
              </w:rPr>
            </w:r>
            <w:r>
              <w:rPr>
                <w:rFonts w:ascii="Calibri" w:hAnsi="Calibri" w:eastAsia="微软雅黑"/>
                <w:b/>
                <w:i w:val="0"/>
                <w:color w:val="FFFFFF"/>
                <w:sz w:val="18"/>
              </w:rPr>
              <w:t>预警决策</w:t>
            </w:r>
          </w:p>
        </w:tc>
      </w:tr>
      <w:tr>
        <w:tc>
          <w:tcPr>
            <w:tcW w:type="dxa" w:w="922"/>
          </w:tcPr>
          <w:p>
            <w:r/>
            <w:r>
              <w:rPr>
                <w:rFonts w:ascii="Calibri" w:hAnsi="Calibri" w:eastAsia="微软雅黑"/>
                <w:b w:val="0"/>
                <w:i w:val="0"/>
                <w:sz w:val="18"/>
              </w:rPr>
              <w:t>R1</w:t>
            </w:r>
          </w:p>
        </w:tc>
        <w:tc>
          <w:tcPr>
            <w:tcW w:type="dxa" w:w="922"/>
          </w:tcPr>
          <w:p>
            <w:r/>
            <w:r>
              <w:rPr>
                <w:rFonts w:ascii="Calibri" w:hAnsi="Calibri" w:eastAsia="微软雅黑"/>
                <w:b w:val="0"/>
                <w:i w:val="0"/>
                <w:sz w:val="18"/>
              </w:rPr>
              <w:t>签字记录造假</w:t>
            </w:r>
          </w:p>
        </w:tc>
        <w:tc>
          <w:tcPr>
            <w:tcW w:type="dxa" w:w="922"/>
          </w:tcPr>
          <w:p>
            <w:r/>
            <w:r>
              <w:rPr>
                <w:rFonts w:ascii="Calibri" w:hAnsi="Calibri" w:eastAsia="微软雅黑"/>
                <w:b w:val="0"/>
                <w:i w:val="0"/>
                <w:sz w:val="18"/>
              </w:rPr>
              <w:t>防造假管理</w:t>
            </w:r>
          </w:p>
        </w:tc>
        <w:tc>
          <w:tcPr>
            <w:tcW w:type="dxa" w:w="922"/>
          </w:tcPr>
          <w:p>
            <w:r/>
            <w:r>
              <w:rPr>
                <w:rFonts w:ascii="Calibri" w:hAnsi="Calibri" w:eastAsia="微软雅黑"/>
                <w:b w:val="0"/>
                <w:i w:val="0"/>
                <w:sz w:val="18"/>
              </w:rPr>
              <w:t>2</w:t>
            </w:r>
          </w:p>
        </w:tc>
        <w:tc>
          <w:tcPr>
            <w:tcW w:type="dxa" w:w="922"/>
          </w:tcPr>
          <w:p>
            <w:r/>
            <w:r>
              <w:rPr>
                <w:rFonts w:ascii="Calibri" w:hAnsi="Calibri" w:eastAsia="微软雅黑"/>
                <w:b w:val="0"/>
                <w:i w:val="0"/>
                <w:sz w:val="18"/>
              </w:rPr>
              <w:t>36.3</w:t>
            </w:r>
          </w:p>
        </w:tc>
        <w:tc>
          <w:tcPr>
            <w:tcW w:type="dxa" w:w="922"/>
          </w:tcPr>
          <w:p>
            <w:r/>
            <w:r>
              <w:rPr>
                <w:rFonts w:ascii="Calibri" w:hAnsi="Calibri" w:eastAsia="微软雅黑"/>
                <w:b w:val="0"/>
                <w:i w:val="0"/>
                <w:sz w:val="18"/>
              </w:rPr>
              <w:t>4.0</w:t>
            </w:r>
          </w:p>
        </w:tc>
        <w:tc>
          <w:tcPr>
            <w:tcW w:type="dxa" w:w="922"/>
          </w:tcPr>
          <w:p>
            <w:r/>
            <w:r>
              <w:rPr>
                <w:rFonts w:ascii="Calibri" w:hAnsi="Calibri" w:eastAsia="微软雅黑"/>
                <w:b w:val="0"/>
                <w:i w:val="0"/>
                <w:sz w:val="18"/>
              </w:rPr>
              <w:t>0.417</w:t>
            </w:r>
          </w:p>
        </w:tc>
        <w:tc>
          <w:tcPr>
            <w:tcW w:type="dxa" w:w="922"/>
          </w:tcPr>
          <w:p>
            <w:r/>
            <w:r>
              <w:rPr>
                <w:rFonts w:ascii="Calibri" w:hAnsi="Calibri" w:eastAsia="微软雅黑"/>
                <w:b w:val="0"/>
                <w:i w:val="0"/>
                <w:sz w:val="18"/>
              </w:rPr>
              <w:t>121.1</w:t>
            </w:r>
          </w:p>
        </w:tc>
        <w:tc>
          <w:tcPr>
            <w:tcW w:type="dxa" w:w="922"/>
          </w:tcPr>
          <w:p>
            <w:r/>
            <w:r>
              <w:rPr>
                <w:rFonts w:ascii="Calibri" w:hAnsi="Calibri" w:eastAsia="微软雅黑"/>
                <w:b w:val="0"/>
                <w:i w:val="0"/>
                <w:sz w:val="18"/>
              </w:rPr>
              <w:t>高风险：开工前置双复核</w:t>
            </w:r>
          </w:p>
        </w:tc>
      </w:tr>
      <w:tr>
        <w:tc>
          <w:tcPr>
            <w:tcW w:type="dxa" w:w="922"/>
          </w:tcPr>
          <w:p>
            <w:r/>
            <w:r>
              <w:rPr>
                <w:rFonts w:ascii="Calibri" w:hAnsi="Calibri" w:eastAsia="微软雅黑"/>
                <w:b w:val="0"/>
                <w:i w:val="0"/>
                <w:sz w:val="18"/>
              </w:rPr>
              <w:t>R2</w:t>
            </w:r>
          </w:p>
        </w:tc>
        <w:tc>
          <w:tcPr>
            <w:tcW w:type="dxa" w:w="922"/>
          </w:tcPr>
          <w:p>
            <w:r/>
            <w:r>
              <w:rPr>
                <w:rFonts w:ascii="Calibri" w:hAnsi="Calibri" w:eastAsia="微软雅黑"/>
                <w:b w:val="0"/>
                <w:i w:val="0"/>
                <w:sz w:val="18"/>
              </w:rPr>
              <w:t>验收结论造假</w:t>
            </w:r>
          </w:p>
        </w:tc>
        <w:tc>
          <w:tcPr>
            <w:tcW w:type="dxa" w:w="922"/>
          </w:tcPr>
          <w:p>
            <w:r/>
            <w:r>
              <w:rPr>
                <w:rFonts w:ascii="Calibri" w:hAnsi="Calibri" w:eastAsia="微软雅黑"/>
                <w:b w:val="0"/>
                <w:i w:val="0"/>
                <w:sz w:val="18"/>
              </w:rPr>
              <w:t>质量控制</w:t>
            </w:r>
          </w:p>
        </w:tc>
        <w:tc>
          <w:tcPr>
            <w:tcW w:type="dxa" w:w="922"/>
          </w:tcPr>
          <w:p>
            <w:r/>
            <w:r>
              <w:rPr>
                <w:rFonts w:ascii="Calibri" w:hAnsi="Calibri" w:eastAsia="微软雅黑"/>
                <w:b w:val="0"/>
                <w:i w:val="0"/>
                <w:sz w:val="18"/>
              </w:rPr>
              <w:t>3</w:t>
            </w:r>
          </w:p>
        </w:tc>
        <w:tc>
          <w:tcPr>
            <w:tcW w:type="dxa" w:w="922"/>
          </w:tcPr>
          <w:p>
            <w:r/>
            <w:r>
              <w:rPr>
                <w:rFonts w:ascii="Calibri" w:hAnsi="Calibri" w:eastAsia="微软雅黑"/>
                <w:b w:val="0"/>
                <w:i w:val="0"/>
                <w:sz w:val="18"/>
              </w:rPr>
              <w:t>43.8</w:t>
            </w:r>
          </w:p>
        </w:tc>
        <w:tc>
          <w:tcPr>
            <w:tcW w:type="dxa" w:w="922"/>
          </w:tcPr>
          <w:p>
            <w:r/>
            <w:r>
              <w:rPr>
                <w:rFonts w:ascii="Calibri" w:hAnsi="Calibri" w:eastAsia="微软雅黑"/>
                <w:b w:val="0"/>
                <w:i w:val="0"/>
                <w:sz w:val="18"/>
              </w:rPr>
              <w:t>3.3</w:t>
            </w:r>
          </w:p>
        </w:tc>
        <w:tc>
          <w:tcPr>
            <w:tcW w:type="dxa" w:w="922"/>
          </w:tcPr>
          <w:p>
            <w:r/>
            <w:r>
              <w:rPr>
                <w:rFonts w:ascii="Calibri" w:hAnsi="Calibri" w:eastAsia="微软雅黑"/>
                <w:b w:val="0"/>
                <w:i w:val="0"/>
                <w:sz w:val="18"/>
              </w:rPr>
              <w:t>0.417</w:t>
            </w:r>
          </w:p>
        </w:tc>
        <w:tc>
          <w:tcPr>
            <w:tcW w:type="dxa" w:w="922"/>
          </w:tcPr>
          <w:p>
            <w:r/>
            <w:r>
              <w:rPr>
                <w:rFonts w:ascii="Calibri" w:hAnsi="Calibri" w:eastAsia="微软雅黑"/>
                <w:b w:val="0"/>
                <w:i w:val="0"/>
                <w:sz w:val="18"/>
              </w:rPr>
              <w:t>179.9</w:t>
            </w:r>
          </w:p>
        </w:tc>
        <w:tc>
          <w:tcPr>
            <w:tcW w:type="dxa" w:w="922"/>
          </w:tcPr>
          <w:p>
            <w:r/>
            <w:r>
              <w:rPr>
                <w:rFonts w:ascii="Calibri" w:hAnsi="Calibri" w:eastAsia="微软雅黑"/>
                <w:b w:val="0"/>
                <w:i w:val="0"/>
                <w:sz w:val="18"/>
              </w:rPr>
              <w:t>极高风险：旁站见证</w:t>
            </w:r>
          </w:p>
        </w:tc>
      </w:tr>
      <w:tr>
        <w:tc>
          <w:tcPr>
            <w:tcW w:type="dxa" w:w="922"/>
          </w:tcPr>
          <w:p>
            <w:r/>
            <w:r>
              <w:rPr>
                <w:rFonts w:ascii="Calibri" w:hAnsi="Calibri" w:eastAsia="微软雅黑"/>
                <w:b w:val="0"/>
                <w:i w:val="0"/>
                <w:sz w:val="18"/>
              </w:rPr>
              <w:t>R5</w:t>
            </w:r>
          </w:p>
        </w:tc>
        <w:tc>
          <w:tcPr>
            <w:tcW w:type="dxa" w:w="922"/>
          </w:tcPr>
          <w:p>
            <w:r/>
            <w:r>
              <w:rPr>
                <w:rFonts w:ascii="Calibri" w:hAnsi="Calibri" w:eastAsia="微软雅黑"/>
                <w:b w:val="0"/>
                <w:i w:val="0"/>
                <w:sz w:val="18"/>
              </w:rPr>
              <w:t>瞒报质量问题</w:t>
            </w:r>
          </w:p>
        </w:tc>
        <w:tc>
          <w:tcPr>
            <w:tcW w:type="dxa" w:w="922"/>
          </w:tcPr>
          <w:p>
            <w:r/>
            <w:r>
              <w:rPr>
                <w:rFonts w:ascii="Calibri" w:hAnsi="Calibri" w:eastAsia="微软雅黑"/>
                <w:b w:val="0"/>
                <w:i w:val="0"/>
                <w:sz w:val="18"/>
              </w:rPr>
              <w:t>事故调查与报告</w:t>
            </w:r>
          </w:p>
        </w:tc>
        <w:tc>
          <w:tcPr>
            <w:tcW w:type="dxa" w:w="922"/>
          </w:tcPr>
          <w:p>
            <w:r/>
            <w:r>
              <w:rPr>
                <w:rFonts w:ascii="Calibri" w:hAnsi="Calibri" w:eastAsia="微软雅黑"/>
                <w:b w:val="0"/>
                <w:i w:val="0"/>
                <w:sz w:val="18"/>
              </w:rPr>
              <w:t>3</w:t>
            </w:r>
          </w:p>
        </w:tc>
        <w:tc>
          <w:tcPr>
            <w:tcW w:type="dxa" w:w="922"/>
          </w:tcPr>
          <w:p>
            <w:r/>
            <w:r>
              <w:rPr>
                <w:rFonts w:ascii="Calibri" w:hAnsi="Calibri" w:eastAsia="微软雅黑"/>
                <w:b w:val="0"/>
                <w:i w:val="0"/>
                <w:sz w:val="18"/>
              </w:rPr>
              <w:t>40.0</w:t>
            </w:r>
          </w:p>
        </w:tc>
        <w:tc>
          <w:tcPr>
            <w:tcW w:type="dxa" w:w="922"/>
          </w:tcPr>
          <w:p>
            <w:r/>
            <w:r>
              <w:rPr>
                <w:rFonts w:ascii="Calibri" w:hAnsi="Calibri" w:eastAsia="微软雅黑"/>
                <w:b w:val="0"/>
                <w:i w:val="0"/>
                <w:sz w:val="18"/>
              </w:rPr>
              <w:t>3.3</w:t>
            </w:r>
          </w:p>
        </w:tc>
        <w:tc>
          <w:tcPr>
            <w:tcW w:type="dxa" w:w="922"/>
          </w:tcPr>
          <w:p>
            <w:r/>
            <w:r>
              <w:rPr>
                <w:rFonts w:ascii="Calibri" w:hAnsi="Calibri" w:eastAsia="微软雅黑"/>
                <w:b w:val="0"/>
                <w:i w:val="0"/>
                <w:sz w:val="18"/>
              </w:rPr>
              <w:t>0.417</w:t>
            </w:r>
          </w:p>
        </w:tc>
        <w:tc>
          <w:tcPr>
            <w:tcW w:type="dxa" w:w="922"/>
          </w:tcPr>
          <w:p>
            <w:r/>
            <w:r>
              <w:rPr>
                <w:rFonts w:ascii="Calibri" w:hAnsi="Calibri" w:eastAsia="微软雅黑"/>
                <w:b w:val="0"/>
                <w:i w:val="0"/>
                <w:sz w:val="18"/>
              </w:rPr>
              <w:t>164.5</w:t>
            </w:r>
          </w:p>
        </w:tc>
        <w:tc>
          <w:tcPr>
            <w:tcW w:type="dxa" w:w="922"/>
          </w:tcPr>
          <w:p>
            <w:r/>
            <w:r>
              <w:rPr>
                <w:rFonts w:ascii="Calibri" w:hAnsi="Calibri" w:eastAsia="微软雅黑"/>
                <w:b w:val="0"/>
                <w:i w:val="0"/>
                <w:sz w:val="18"/>
              </w:rPr>
              <w:t>极高风险：一票否决挂牌督办</w:t>
            </w:r>
          </w:p>
        </w:tc>
      </w:tr>
      <w:tr>
        <w:tc>
          <w:tcPr>
            <w:tcW w:type="dxa" w:w="922"/>
          </w:tcPr>
          <w:p>
            <w:r/>
            <w:r>
              <w:rPr>
                <w:rFonts w:ascii="Calibri" w:hAnsi="Calibri" w:eastAsia="微软雅黑"/>
                <w:b w:val="0"/>
                <w:i w:val="0"/>
                <w:sz w:val="18"/>
              </w:rPr>
              <w:t>R9</w:t>
            </w:r>
          </w:p>
        </w:tc>
        <w:tc>
          <w:tcPr>
            <w:tcW w:type="dxa" w:w="922"/>
          </w:tcPr>
          <w:p>
            <w:r/>
            <w:r>
              <w:rPr>
                <w:rFonts w:ascii="Calibri" w:hAnsi="Calibri" w:eastAsia="微软雅黑"/>
                <w:b w:val="0"/>
                <w:i w:val="0"/>
                <w:sz w:val="18"/>
              </w:rPr>
              <w:t>NCR自主开启率低</w:t>
            </w:r>
          </w:p>
        </w:tc>
        <w:tc>
          <w:tcPr>
            <w:tcW w:type="dxa" w:w="922"/>
          </w:tcPr>
          <w:p>
            <w:r/>
            <w:r>
              <w:rPr>
                <w:rFonts w:ascii="Calibri" w:hAnsi="Calibri" w:eastAsia="微软雅黑"/>
                <w:b w:val="0"/>
                <w:i w:val="0"/>
                <w:sz w:val="18"/>
              </w:rPr>
              <w:t>不符合项控制</w:t>
            </w:r>
          </w:p>
        </w:tc>
        <w:tc>
          <w:tcPr>
            <w:tcW w:type="dxa" w:w="922"/>
          </w:tcPr>
          <w:p>
            <w:r/>
            <w:r>
              <w:rPr>
                <w:rFonts w:ascii="Calibri" w:hAnsi="Calibri" w:eastAsia="微软雅黑"/>
                <w:b w:val="0"/>
                <w:i w:val="0"/>
                <w:sz w:val="18"/>
              </w:rPr>
              <w:t>1</w:t>
            </w:r>
          </w:p>
        </w:tc>
        <w:tc>
          <w:tcPr>
            <w:tcW w:type="dxa" w:w="922"/>
          </w:tcPr>
          <w:p>
            <w:r/>
            <w:r>
              <w:rPr>
                <w:rFonts w:ascii="Calibri" w:hAnsi="Calibri" w:eastAsia="微软雅黑"/>
                <w:b w:val="0"/>
                <w:i w:val="0"/>
                <w:sz w:val="18"/>
              </w:rPr>
              <w:t>31.3</w:t>
            </w:r>
          </w:p>
        </w:tc>
        <w:tc>
          <w:tcPr>
            <w:tcW w:type="dxa" w:w="922"/>
          </w:tcPr>
          <w:p>
            <w:r/>
            <w:r>
              <w:rPr>
                <w:rFonts w:ascii="Calibri" w:hAnsi="Calibri" w:eastAsia="微软雅黑"/>
                <w:b w:val="0"/>
                <w:i w:val="0"/>
                <w:sz w:val="18"/>
              </w:rPr>
              <w:t>3.0</w:t>
            </w:r>
          </w:p>
        </w:tc>
        <w:tc>
          <w:tcPr>
            <w:tcW w:type="dxa" w:w="922"/>
          </w:tcPr>
          <w:p>
            <w:r/>
            <w:r>
              <w:rPr>
                <w:rFonts w:ascii="Calibri" w:hAnsi="Calibri" w:eastAsia="微软雅黑"/>
                <w:b w:val="0"/>
                <w:i w:val="0"/>
                <w:sz w:val="18"/>
              </w:rPr>
              <w:t>0.417</w:t>
            </w:r>
          </w:p>
        </w:tc>
        <w:tc>
          <w:tcPr>
            <w:tcW w:type="dxa" w:w="922"/>
          </w:tcPr>
          <w:p>
            <w:r/>
            <w:r>
              <w:rPr>
                <w:rFonts w:ascii="Calibri" w:hAnsi="Calibri" w:eastAsia="微软雅黑"/>
                <w:b w:val="0"/>
                <w:i w:val="0"/>
                <w:sz w:val="18"/>
              </w:rPr>
              <w:t>39.1</w:t>
            </w:r>
          </w:p>
        </w:tc>
        <w:tc>
          <w:tcPr>
            <w:tcW w:type="dxa" w:w="922"/>
          </w:tcPr>
          <w:p>
            <w:r/>
            <w:r>
              <w:rPr>
                <w:rFonts w:ascii="Calibri" w:hAnsi="Calibri" w:eastAsia="微软雅黑"/>
                <w:b w:val="0"/>
                <w:i w:val="0"/>
                <w:sz w:val="18"/>
              </w:rPr>
              <w:t>中风险：常规抽查与系统预警</w:t>
            </w:r>
          </w:p>
        </w:tc>
      </w:tr>
      <w:tr>
        <w:tc>
          <w:tcPr>
            <w:tcW w:type="dxa" w:w="922"/>
          </w:tcPr>
          <w:p>
            <w:r/>
            <w:r>
              <w:rPr>
                <w:rFonts w:ascii="Calibri" w:hAnsi="Calibri" w:eastAsia="微软雅黑"/>
                <w:b w:val="0"/>
                <w:i w:val="0"/>
                <w:sz w:val="18"/>
              </w:rPr>
              <w:t>R16</w:t>
            </w:r>
          </w:p>
        </w:tc>
        <w:tc>
          <w:tcPr>
            <w:tcW w:type="dxa" w:w="922"/>
          </w:tcPr>
          <w:p>
            <w:r/>
            <w:r>
              <w:rPr>
                <w:rFonts w:ascii="Calibri" w:hAnsi="Calibri" w:eastAsia="微软雅黑"/>
                <w:b w:val="0"/>
                <w:i w:val="0"/>
                <w:sz w:val="18"/>
              </w:rPr>
              <w:t>体系文件策划不全</w:t>
            </w:r>
          </w:p>
        </w:tc>
        <w:tc>
          <w:tcPr>
            <w:tcW w:type="dxa" w:w="922"/>
          </w:tcPr>
          <w:p>
            <w:r/>
            <w:r>
              <w:rPr>
                <w:rFonts w:ascii="Calibri" w:hAnsi="Calibri" w:eastAsia="微软雅黑"/>
                <w:b w:val="0"/>
                <w:i w:val="0"/>
                <w:sz w:val="18"/>
              </w:rPr>
              <w:t>分包商体系建设</w:t>
            </w:r>
          </w:p>
        </w:tc>
        <w:tc>
          <w:tcPr>
            <w:tcW w:type="dxa" w:w="922"/>
          </w:tcPr>
          <w:p>
            <w:r/>
            <w:r>
              <w:rPr>
                <w:rFonts w:ascii="Calibri" w:hAnsi="Calibri" w:eastAsia="微软雅黑"/>
                <w:b w:val="0"/>
                <w:i w:val="0"/>
                <w:sz w:val="18"/>
              </w:rPr>
              <w:t>2</w:t>
            </w:r>
          </w:p>
        </w:tc>
        <w:tc>
          <w:tcPr>
            <w:tcW w:type="dxa" w:w="922"/>
          </w:tcPr>
          <w:p>
            <w:r/>
            <w:r>
              <w:rPr>
                <w:rFonts w:ascii="Calibri" w:hAnsi="Calibri" w:eastAsia="微软雅黑"/>
                <w:b w:val="0"/>
                <w:i w:val="0"/>
                <w:sz w:val="18"/>
              </w:rPr>
              <w:t>37.5</w:t>
            </w:r>
          </w:p>
        </w:tc>
        <w:tc>
          <w:tcPr>
            <w:tcW w:type="dxa" w:w="922"/>
          </w:tcPr>
          <w:p>
            <w:r/>
            <w:r>
              <w:rPr>
                <w:rFonts w:ascii="Calibri" w:hAnsi="Calibri" w:eastAsia="微软雅黑"/>
                <w:b w:val="0"/>
                <w:i w:val="0"/>
                <w:sz w:val="18"/>
              </w:rPr>
              <w:t>3.8</w:t>
            </w:r>
          </w:p>
        </w:tc>
        <w:tc>
          <w:tcPr>
            <w:tcW w:type="dxa" w:w="922"/>
          </w:tcPr>
          <w:p>
            <w:r/>
            <w:r>
              <w:rPr>
                <w:rFonts w:ascii="Calibri" w:hAnsi="Calibri" w:eastAsia="微软雅黑"/>
                <w:b w:val="0"/>
                <w:i w:val="0"/>
                <w:sz w:val="18"/>
              </w:rPr>
              <w:t>0.417</w:t>
            </w:r>
          </w:p>
        </w:tc>
        <w:tc>
          <w:tcPr>
            <w:tcW w:type="dxa" w:w="922"/>
          </w:tcPr>
          <w:p>
            <w:r/>
            <w:r>
              <w:rPr>
                <w:rFonts w:ascii="Calibri" w:hAnsi="Calibri" w:eastAsia="微软雅黑"/>
                <w:b w:val="0"/>
                <w:i w:val="0"/>
                <w:sz w:val="18"/>
              </w:rPr>
              <w:t>117.2</w:t>
            </w:r>
          </w:p>
        </w:tc>
        <w:tc>
          <w:tcPr>
            <w:tcW w:type="dxa" w:w="922"/>
          </w:tcPr>
          <w:p>
            <w:r/>
            <w:r>
              <w:rPr>
                <w:rFonts w:ascii="Calibri" w:hAnsi="Calibri" w:eastAsia="微软雅黑"/>
                <w:b w:val="0"/>
                <w:i w:val="0"/>
                <w:sz w:val="18"/>
              </w:rPr>
              <w:t>高风险：体系专项督导</w:t>
            </w:r>
          </w:p>
        </w:tc>
      </w:tr>
    </w:tbl>
    <w:p>
      <w:r>
        <w:rPr>
          <w:rFonts w:ascii="Calibri" w:hAnsi="Calibri" w:eastAsia="微软雅黑"/>
          <w:b w:val="0"/>
          <w:i w:val="0"/>
          <w:sz w:val="22"/>
        </w:rPr>
        <w:t>配套治理机制上，针对R1、R2等高风险因素，公司建立了"双百检测"与"双签确认"制度——关键工序必须由分包商自检、总包商复检，且必须由具备资质的专业人员签字确认，杜绝代签与补签；同时实施全级次穿透式监管，对现场影像资料与电子记录实时比对，一旦发现逻辑矛盾（如签字时间与施工时间不符）立即触发预警；对发现的风险建立严格的NCR（不符合项）全流程管控，从发现、分析、整改到验证全过程留痕 [来源: P000253]。该模型的管理价值在于把"处处严防死守"变为"分级精准投放"——管理资源按风险值排序倾斜，安全底线不破而管理成本可控（本句为本研究解读）。表3-3还有一处细节值得咀嚼：R2（验收结论造假）的风险值179.9高居榜首，其I值（隐蔽性）为3是关键推手——越是事后才能暴露的造假，越需要把监控资源前置到发生之时。这为所有工程企业提示了风控资源投放的通用次序：先防"看不见的"，再防"看得见的"（本研究解读）[来源: P000253]。</w:t>
      </w:r>
    </w:p>
    <w:p>
      <w:r>
        <w:rPr>
          <w:rFonts w:ascii="Calibri" w:hAnsi="Calibri" w:eastAsia="微软雅黑"/>
          <w:b/>
          <w:i w:val="0"/>
          <w:sz w:val="22"/>
        </w:rPr>
        <w:t>解法二：现场签证及零星委托的"六项签认原则"</w:t>
      </w:r>
    </w:p>
    <w:p>
      <w:r>
        <w:rPr>
          <w:rFonts w:ascii="Calibri" w:hAnsi="Calibri" w:eastAsia="微软雅黑"/>
          <w:b w:val="0"/>
          <w:i w:val="0"/>
          <w:sz w:val="22"/>
        </w:rPr>
        <w:t>现场签证涉及核电项目约5%-20%的工程投资，是签证不实、重复签证等顽疾的高发区 [来源: P000253]。中核工程提炼的六项签认原则为：</w:t>
      </w:r>
    </w:p>
    <w:p>
      <w:pPr>
        <w:pStyle w:val="ListNumber"/>
      </w:pPr>
      <w:r>
        <w:rPr>
          <w:rFonts w:ascii="Calibri" w:hAnsi="Calibri" w:eastAsia="微软雅黑"/>
          <w:b/>
          <w:i w:val="0"/>
          <w:sz w:val="22"/>
        </w:rPr>
        <w:t>事实原则</w:t>
      </w:r>
      <w:r>
        <w:rPr>
          <w:rFonts w:ascii="Calibri" w:hAnsi="Calibri" w:eastAsia="微软雅黑"/>
          <w:b w:val="0"/>
          <w:i w:val="0"/>
          <w:sz w:val="22"/>
        </w:rPr>
        <w:t>：严格基于现场实测数据与见证事实，坚决杜绝事后补签 [来源: P000253]；</w:t>
      </w:r>
    </w:p>
    <w:p>
      <w:pPr>
        <w:pStyle w:val="ListNumber"/>
      </w:pPr>
      <w:r>
        <w:rPr>
          <w:rFonts w:ascii="Calibri" w:hAnsi="Calibri" w:eastAsia="微软雅黑"/>
          <w:b/>
          <w:i w:val="0"/>
          <w:sz w:val="22"/>
        </w:rPr>
        <w:t>量价分离原则</w:t>
      </w:r>
      <w:r>
        <w:rPr>
          <w:rFonts w:ascii="Calibri" w:hAnsi="Calibri" w:eastAsia="微软雅黑"/>
          <w:b w:val="0"/>
          <w:i w:val="0"/>
          <w:sz w:val="22"/>
        </w:rPr>
        <w:t>：现场施工管理人员仅签认实际工程量，工程单价与最终总价由专业造价核算人员后续审定 [来源: P000253]；</w:t>
      </w:r>
    </w:p>
    <w:p>
      <w:pPr>
        <w:pStyle w:val="ListNumber"/>
      </w:pPr>
      <w:r>
        <w:rPr>
          <w:rFonts w:ascii="Calibri" w:hAnsi="Calibri" w:eastAsia="微软雅黑"/>
          <w:b/>
          <w:i w:val="0"/>
          <w:sz w:val="22"/>
        </w:rPr>
        <w:t>现场跟踪原则</w:t>
      </w:r>
      <w:r>
        <w:rPr>
          <w:rFonts w:ascii="Calibri" w:hAnsi="Calibri" w:eastAsia="微软雅黑"/>
          <w:b w:val="0"/>
          <w:i w:val="0"/>
          <w:sz w:val="22"/>
        </w:rPr>
        <w:t>：大额或隐蔽工程签证，施工、监理、总包投资管理人员必须三方见证、同赴现场 [来源: P000253]；</w:t>
      </w:r>
    </w:p>
    <w:p>
      <w:pPr>
        <w:pStyle w:val="ListNumber"/>
      </w:pPr>
      <w:r>
        <w:rPr>
          <w:rFonts w:ascii="Calibri" w:hAnsi="Calibri" w:eastAsia="微软雅黑"/>
          <w:b/>
          <w:i w:val="0"/>
          <w:sz w:val="22"/>
        </w:rPr>
        <w:t>见证与审核分离原则</w:t>
      </w:r>
      <w:r>
        <w:rPr>
          <w:rFonts w:ascii="Calibri" w:hAnsi="Calibri" w:eastAsia="微软雅黑"/>
          <w:b w:val="0"/>
          <w:i w:val="0"/>
          <w:sz w:val="22"/>
        </w:rPr>
        <w:t>：现场事实见证人不得参与后续的费用定额审核，形成内部权力制衡 [来源: P000253]；</w:t>
      </w:r>
    </w:p>
    <w:p>
      <w:pPr>
        <w:pStyle w:val="ListNumber"/>
      </w:pPr>
      <w:r>
        <w:rPr>
          <w:rFonts w:ascii="Calibri" w:hAnsi="Calibri" w:eastAsia="微软雅黑"/>
          <w:b/>
          <w:i w:val="0"/>
          <w:sz w:val="22"/>
        </w:rPr>
        <w:t>主材回收与摊销原则</w:t>
      </w:r>
      <w:r>
        <w:rPr>
          <w:rFonts w:ascii="Calibri" w:hAnsi="Calibri" w:eastAsia="微软雅黑"/>
          <w:b w:val="0"/>
          <w:i w:val="0"/>
          <w:sz w:val="22"/>
        </w:rPr>
        <w:t>：明确脚手架、周转用材等临时措施材料的产权归属，涉及设备厂家消缺的签证须经总包确认并建立追偿扣款路径 [来源: P000253]；</w:t>
      </w:r>
    </w:p>
    <w:p>
      <w:pPr>
        <w:pStyle w:val="ListNumber"/>
      </w:pPr>
      <w:r>
        <w:rPr>
          <w:rFonts w:ascii="Calibri" w:hAnsi="Calibri" w:eastAsia="微软雅黑"/>
          <w:b/>
          <w:i w:val="0"/>
          <w:sz w:val="22"/>
        </w:rPr>
        <w:t>限额集中审议原则</w:t>
      </w:r>
      <w:r>
        <w:rPr>
          <w:rFonts w:ascii="Calibri" w:hAnsi="Calibri" w:eastAsia="微软雅黑"/>
          <w:b w:val="0"/>
          <w:i w:val="0"/>
          <w:sz w:val="22"/>
        </w:rPr>
        <w:t>：超过预设金额阈值的零星委托与签证必须提交项目总包例会集体审议，严禁化整为零拆分审批 [来源: P000253]。</w:t>
      </w:r>
    </w:p>
    <w:p>
      <w:r>
        <w:rPr>
          <w:rFonts w:ascii="Calibri" w:hAnsi="Calibri" w:eastAsia="微软雅黑"/>
          <w:b w:val="0"/>
          <w:i w:val="0"/>
          <w:sz w:val="22"/>
        </w:rPr>
        <w:t>外加一条</w:t>
      </w:r>
      <w:r>
        <w:rPr>
          <w:rFonts w:ascii="Calibri" w:hAnsi="Calibri" w:eastAsia="微软雅黑"/>
          <w:b/>
          <w:i w:val="0"/>
          <w:sz w:val="22"/>
        </w:rPr>
        <w:t>时效性原则</w:t>
      </w:r>
      <w:r>
        <w:rPr>
          <w:rFonts w:ascii="Calibri" w:hAnsi="Calibri" w:eastAsia="微软雅黑"/>
          <w:b w:val="0"/>
          <w:i w:val="0"/>
          <w:sz w:val="22"/>
        </w:rPr>
        <w:t>：原则上必须在工作完成后的48小时内办结签认 [来源: P000253]——这条把"签证拖延症"直接锁死在两天窗口内，值得所有工程企业抄进制度（本句后半为本研究建议）。</w:t>
      </w:r>
    </w:p>
    <w:p>
      <w:pPr>
        <w:pStyle w:val="Heading4"/>
      </w:pPr>
      <w:r>
        <w:t>3.4.5 协同阵痛的自查清单（本研究方法论建议）</w:t>
      </w:r>
    </w:p>
    <w:p>
      <w:r>
        <w:rPr>
          <w:rFonts w:ascii="Calibri" w:hAnsi="Calibri" w:eastAsia="微软雅黑"/>
          <w:b w:val="0"/>
          <w:i w:val="0"/>
          <w:sz w:val="22"/>
        </w:rPr>
        <w:t>把本节四类阵痛翻译成管理层可每月过一遍的自查清单：</w:t>
      </w:r>
    </w:p>
    <w:p>
      <w:pPr>
        <w:pStyle w:val="ListBullet"/>
      </w:pPr>
      <w:r>
        <w:rPr>
          <w:rFonts w:ascii="Calibri" w:hAnsi="Calibri" w:eastAsia="微软雅黑"/>
          <w:b/>
          <w:i w:val="0"/>
          <w:sz w:val="22"/>
        </w:rPr>
        <w:t>多头领导</w:t>
      </w:r>
      <w:r>
        <w:rPr>
          <w:rFonts w:ascii="Calibri" w:hAnsi="Calibri" w:eastAsia="微软雅黑"/>
          <w:b w:val="0"/>
          <w:i w:val="0"/>
          <w:sz w:val="22"/>
        </w:rPr>
        <w:t>：本项目近30天收到过几个相互冲突的指令？指令源头分别是哪些条线？是否有书面裁决记录？</w:t>
      </w:r>
    </w:p>
    <w:p>
      <w:pPr>
        <w:pStyle w:val="ListBullet"/>
      </w:pPr>
      <w:r>
        <w:rPr>
          <w:rFonts w:ascii="Calibri" w:hAnsi="Calibri" w:eastAsia="微软雅黑"/>
          <w:b/>
          <w:i w:val="0"/>
          <w:sz w:val="22"/>
        </w:rPr>
        <w:t>部门墙</w:t>
      </w:r>
      <w:r>
        <w:rPr>
          <w:rFonts w:ascii="Calibri" w:hAnsi="Calibri" w:eastAsia="微软雅黑"/>
          <w:b w:val="0"/>
          <w:i w:val="0"/>
          <w:sz w:val="22"/>
        </w:rPr>
        <w:t>：本月设计变更单中有多少张在签发前经过施工侧会签？签证单中有多少张满足量价分离？</w:t>
      </w:r>
    </w:p>
    <w:p>
      <w:pPr>
        <w:pStyle w:val="ListBullet"/>
      </w:pPr>
      <w:r>
        <w:rPr>
          <w:rFonts w:ascii="Calibri" w:hAnsi="Calibri" w:eastAsia="微软雅黑"/>
          <w:b/>
          <w:i w:val="0"/>
          <w:sz w:val="22"/>
        </w:rPr>
        <w:t>责任边界</w:t>
      </w:r>
      <w:r>
        <w:rPr>
          <w:rFonts w:ascii="Calibri" w:hAnsi="Calibri" w:eastAsia="微软雅黑"/>
          <w:b w:val="0"/>
          <w:i w:val="0"/>
          <w:sz w:val="22"/>
        </w:rPr>
        <w:t>：合同中"发包人要求"条款是否有歧义留白？地质与价格风险的责任归属是否有书面确认？</w:t>
      </w:r>
    </w:p>
    <w:p>
      <w:pPr>
        <w:pStyle w:val="ListBullet"/>
      </w:pPr>
      <w:r>
        <w:rPr>
          <w:rFonts w:ascii="Calibri" w:hAnsi="Calibri" w:eastAsia="微软雅黑"/>
          <w:b/>
          <w:i w:val="0"/>
          <w:sz w:val="22"/>
        </w:rPr>
        <w:t>数字化断点</w:t>
      </w:r>
      <w:r>
        <w:rPr>
          <w:rFonts w:ascii="Calibri" w:hAnsi="Calibri" w:eastAsia="微软雅黑"/>
          <w:b w:val="0"/>
          <w:i w:val="0"/>
          <w:sz w:val="22"/>
        </w:rPr>
        <w:t>：现场分包商本月收到的交底文件中，三维模型直出件占比多少？回退二维图纸的环节卡在哪里？</w:t>
      </w:r>
    </w:p>
    <w:p>
      <w:r>
        <w:rPr>
          <w:rFonts w:ascii="Calibri" w:hAnsi="Calibri" w:eastAsia="微软雅黑"/>
          <w:b w:val="0"/>
          <w:i w:val="0"/>
          <w:sz w:val="22"/>
        </w:rPr>
        <w:t>清单不求精确打分，只求让痛感显性化——集团军的阵痛不会消失，但可以被管理（本节为本研究建议）。</w:t>
      </w:r>
    </w:p>
    <w:p>
      <w:r>
        <w:rPr>
          <w:rFonts w:ascii="Calibri" w:hAnsi="Calibri" w:eastAsia="微软雅黑"/>
          <w:b/>
          <w:i w:val="0"/>
          <w:sz w:val="22"/>
        </w:rPr>
        <w:t>解法三：重大里程碑协调机制与测量"四级监督"体系</w:t>
      </w:r>
    </w:p>
    <w:p>
      <w:r>
        <w:rPr>
          <w:rFonts w:ascii="Calibri" w:hAnsi="Calibri" w:eastAsia="微软雅黑"/>
          <w:b w:val="0"/>
          <w:i w:val="0"/>
          <w:sz w:val="22"/>
        </w:rPr>
        <w:t>针对穹顶吊装这类一级里程碑节点，中核工程打破传统直线职能式管理，成立"穹顶吊装委员会"，在里程碑前30天启动日例会，总结当日进展、部署次日任务；以先决条件跟踪表严格执行挂牌作战，涵盖路基载荷试验、吊车路面平整、空钩模拟试验、现场警戒区划分、人员资质核验等关键项，责任到人，未关闭项严禁进入下一程序 [来源: P000253]。测量管理上，以方家山核电项目为例建立"四级监督"体系，对测量数据置信度提出远超一般民建的要求 [来源: P000253]，配合"四方联合测量"原则（移交方、接收方、监理、总包）破解交叉作业的基准点偏差难题 [来源: P000251]。该体系还配套"注册测绘师"准入制度与严苛的测绘分包资质管理，从人员资质源头锁定测量质量 [来源: P000251]。民建项目移植这套机制时可以裁剪层级但不可裁剪原则：谁主测、谁复核、谁签认、谁担责，四问必须落纸（本研究建议）。</w:t>
      </w:r>
    </w:p>
    <w:p>
      <w:r>
        <w:rPr>
          <w:rFonts w:ascii="Calibri" w:hAnsi="Calibri" w:eastAsia="微软雅黑"/>
          <w:b w:val="0"/>
          <w:i w:val="0"/>
          <w:sz w:val="22"/>
        </w:rPr>
        <w:t>---</w:t>
      </w:r>
    </w:p>
    <w:p>
      <w:pPr>
        <w:pStyle w:val="Heading2"/>
      </w:pPr>
      <w:r>
        <w:t>3.5 竞合对策与能力迁移：地方国企、民企及设计院的生存之道</w:t>
      </w:r>
    </w:p>
    <w:p>
      <w:r>
        <w:rPr>
          <w:rFonts w:ascii="Calibri" w:hAnsi="Calibri" w:eastAsia="微软雅黑"/>
          <w:b w:val="0"/>
          <w:i w:val="0"/>
          <w:sz w:val="22"/>
        </w:rPr>
        <w:t>面对央企集团军在资质牌照、技术底座、融资资金及履约置信度上的挤压，地方国有工程企业、民营施工企业及中小型独立设计院并非只有"被动出局"一条路（本节策略框架为本研究归纳，机制证据随文锚定）。</w:t>
      </w:r>
    </w:p>
    <w:p>
      <w:pPr>
        <w:pStyle w:val="Heading3"/>
      </w:pPr>
      <w:r>
        <w:t>3.5.1 地方国企与民营工程企业的差异化竞合路径</w:t>
      </w:r>
    </w:p>
    <w:p>
      <w:r>
        <w:rPr>
          <w:rFonts w:ascii="Calibri" w:hAnsi="Calibri" w:eastAsia="微软雅黑"/>
          <w:b w:val="0"/>
          <w:i w:val="0"/>
          <w:sz w:val="22"/>
        </w:rPr>
        <w:t>地方国企与民营企业在资本体量与资质完备度上难以与中央企业直接抗衡，但具备决策链条短、区域资源深、特定专业施工成本低等天然优势。</w:t>
      </w:r>
    </w:p>
    <w:p>
      <w:r>
        <w:rPr>
          <w:rFonts w:ascii="Calibri" w:hAnsi="Calibri" w:eastAsia="微软雅黑"/>
          <w:b/>
          <w:i w:val="0"/>
          <w:sz w:val="22"/>
        </w:rPr>
        <w:t>1. 区域资源与专业缝隙的错位竞争</w:t>
      </w:r>
    </w:p>
    <w:p>
      <w:pPr>
        <w:pStyle w:val="ListBullet"/>
      </w:pPr>
      <w:r>
        <w:rPr>
          <w:rFonts w:ascii="Calibri" w:hAnsi="Calibri" w:eastAsia="微软雅黑"/>
          <w:b/>
          <w:i w:val="0"/>
          <w:sz w:val="22"/>
        </w:rPr>
        <w:t>放弃全产业链平铺</w:t>
      </w:r>
      <w:r>
        <w:rPr>
          <w:rFonts w:ascii="Calibri" w:hAnsi="Calibri" w:eastAsia="微软雅黑"/>
          <w:b w:val="0"/>
          <w:i w:val="0"/>
          <w:sz w:val="22"/>
        </w:rPr>
        <w:t>：避免盲目跟风追求全赛道"投建营一体化"，将资源集中于本地协调、征地拆迁、复杂地政对接及本地供应链整合等关键环节（本研究建议）。</w:t>
      </w:r>
    </w:p>
    <w:p>
      <w:pPr>
        <w:pStyle w:val="ListBullet"/>
      </w:pPr>
      <w:r>
        <w:rPr>
          <w:rFonts w:ascii="Calibri" w:hAnsi="Calibri" w:eastAsia="微软雅黑"/>
          <w:b/>
          <w:i w:val="0"/>
          <w:sz w:val="22"/>
        </w:rPr>
        <w:t>聚焦"专精特新"细分赛道</w:t>
      </w:r>
      <w:r>
        <w:rPr>
          <w:rFonts w:ascii="Calibri" w:hAnsi="Calibri" w:eastAsia="微软雅黑"/>
          <w:b w:val="0"/>
          <w:i w:val="0"/>
          <w:sz w:val="22"/>
        </w:rPr>
        <w:t>：切入特种高难度施工领域，如复杂地质深基坑支护、特种自动化焊接、高海拔施工等；央企集团军在大总包项目中出于管理成本考虑，往往会将高度专业化的工序向外部优质分包商释放（本条为本研究基于总包分包结构的归纳）。</w:t>
      </w:r>
    </w:p>
    <w:p>
      <w:pPr>
        <w:pStyle w:val="ListBullet"/>
      </w:pPr>
      <w:r>
        <w:rPr>
          <w:rFonts w:ascii="Calibri" w:hAnsi="Calibri" w:eastAsia="微软雅黑"/>
          <w:b/>
          <w:i w:val="0"/>
          <w:sz w:val="22"/>
        </w:rPr>
        <w:t>用"属地资产负债表"思维经营区域</w:t>
      </w:r>
      <w:r>
        <w:rPr>
          <w:rFonts w:ascii="Calibri" w:hAnsi="Calibri" w:eastAsia="微软雅黑"/>
          <w:b w:val="0"/>
          <w:i w:val="0"/>
          <w:sz w:val="22"/>
        </w:rPr>
        <w:t>：地方企业的真正壁垒不在资质而在属地——征地拆迁的熟人网络、地方审批的流程默契、本地劳务与材料资源的调度半径。把这些无形资产显性化为一张"属地资产负债表"（关系存量、许可存量、资源存量三栏），每年盘点更新，是与央企谈判联合体份额时最硬的筹码（本条为本研究方法论建议）。</w:t>
      </w:r>
    </w:p>
    <w:p>
      <w:r>
        <w:rPr>
          <w:rFonts w:ascii="Calibri" w:hAnsi="Calibri" w:eastAsia="微软雅黑"/>
          <w:b/>
          <w:i w:val="0"/>
          <w:sz w:val="22"/>
        </w:rPr>
        <w:t>2. 参与央企牵头联合体的实操机制</w:t>
      </w:r>
      <w:r>
        <w:rPr>
          <w:rFonts w:ascii="Calibri" w:hAnsi="Calibri" w:eastAsia="微软雅黑"/>
          <w:b w:val="0"/>
          <w:i w:val="0"/>
          <w:sz w:val="22"/>
        </w:rPr>
        <w:t>。在百亿级片区综合开发或特大型能源项目中 [来源: P000216]，地方国企或民企可分三步加入：</w:t>
      </w:r>
    </w:p>
    <w:p>
      <w:pPr>
        <w:pStyle w:val="ListBullet"/>
      </w:pPr>
      <w:r>
        <w:rPr>
          <w:rFonts w:ascii="Calibri" w:hAnsi="Calibri" w:eastAsia="微软雅黑"/>
          <w:b/>
          <w:i w:val="0"/>
          <w:sz w:val="22"/>
        </w:rPr>
        <w:t>第一步：以"特定准入+区域资源"换取联合体席位</w:t>
      </w:r>
      <w:r>
        <w:rPr>
          <w:rFonts w:ascii="Calibri" w:hAnsi="Calibri" w:eastAsia="微软雅黑"/>
          <w:b w:val="0"/>
          <w:i w:val="0"/>
          <w:sz w:val="22"/>
        </w:rPr>
        <w:t>。凭借本地配额或许可文件，与央企组建联合体，由央企牵头承接主要EPC总承包权，地方企业承担特定施工或配套任务（本研究归纳）。</w:t>
      </w:r>
    </w:p>
    <w:p>
      <w:pPr>
        <w:pStyle w:val="ListBullet"/>
      </w:pPr>
      <w:r>
        <w:rPr>
          <w:rFonts w:ascii="Calibri" w:hAnsi="Calibri" w:eastAsia="微软雅黑"/>
          <w:b/>
          <w:i w:val="0"/>
          <w:sz w:val="22"/>
        </w:rPr>
        <w:t>第二步：签署严密的补充协议与风险隔离条款</w:t>
      </w:r>
      <w:r>
        <w:rPr>
          <w:rFonts w:ascii="Calibri" w:hAnsi="Calibri" w:eastAsia="微软雅黑"/>
          <w:b w:val="0"/>
          <w:i w:val="0"/>
          <w:sz w:val="22"/>
        </w:rPr>
        <w:t>。明确央企负责前端融资、设计主导与总体质量安全监控，地方企业锁定固定合同界面与约定结算单价，防止连带责任演变为无限风险（本研究建议）。</w:t>
      </w:r>
    </w:p>
    <w:p>
      <w:pPr>
        <w:pStyle w:val="ListBullet"/>
      </w:pPr>
      <w:r>
        <w:rPr>
          <w:rFonts w:ascii="Calibri" w:hAnsi="Calibri" w:eastAsia="微软雅黑"/>
          <w:b/>
          <w:i w:val="0"/>
          <w:sz w:val="22"/>
        </w:rPr>
        <w:t>第三步：建立常态化过程计量与索赔通道</w:t>
      </w:r>
      <w:r>
        <w:rPr>
          <w:rFonts w:ascii="Calibri" w:hAnsi="Calibri" w:eastAsia="微软雅黑"/>
          <w:b w:val="0"/>
          <w:i w:val="0"/>
          <w:sz w:val="22"/>
        </w:rPr>
        <w:t>。参编企业必须建立与央企签认纪律相适配的台账系统，确保每一笔工程变更与现场签证具备见证数据，避免竣工审计阶段的扣减风险——央企体系内"事实原则、量价分离、48小时办结"的签认纪律 [来源: P000253]，正是地方企业对账动作的对齐标尺（本句后半为本研究解读）。</w:t>
      </w:r>
    </w:p>
    <w:p>
      <w:pPr>
        <w:pStyle w:val="Heading3"/>
      </w:pPr>
      <w:r>
        <w:t>3.5.2 中小型设计院从"画图服务"向"设计引领EPC"的转型步骤</w:t>
      </w:r>
    </w:p>
    <w:p>
      <w:r>
        <w:rPr>
          <w:rFonts w:ascii="Calibri" w:hAnsi="Calibri" w:eastAsia="微软雅黑"/>
          <w:b w:val="0"/>
          <w:i w:val="0"/>
          <w:sz w:val="22"/>
        </w:rPr>
        <w:t>传统独立设计院若仅停留在卖图纸的"画图匠"角色，利润空间将被持续压缩（本研究判断）。转型"设计引领EPC"需分三步推进：</w:t>
      </w:r>
    </w:p>
    <w:p>
      <w:pPr>
        <w:pStyle w:val="ListBullet"/>
      </w:pPr>
      <w:r>
        <w:rPr>
          <w:rFonts w:ascii="Calibri" w:hAnsi="Calibri" w:eastAsia="微软雅黑"/>
          <w:b/>
          <w:i w:val="0"/>
          <w:sz w:val="22"/>
        </w:rPr>
        <w:t>步骤一：推行"正向三维设计"与对象化建模体系</w:t>
      </w:r>
      <w:r>
        <w:rPr>
          <w:rFonts w:ascii="Calibri" w:hAnsi="Calibri" w:eastAsia="微软雅黑"/>
          <w:b w:val="0"/>
          <w:i w:val="0"/>
          <w:sz w:val="22"/>
        </w:rPr>
        <w:t>。摒弃"施工图出图后补三维模型"的虚假数字化，全面引入基于对象的正向三维设计 [来源: P000230]；借鉴核电工程实践，在建模时为构件强制赋予多维元数据属性（系统属性、质保基本属性、力学数据、概预算技术属性），设计成果一键导出精确物料清单直接对接采购 [来源: P000253, P000230]。</w:t>
      </w:r>
    </w:p>
    <w:p>
      <w:pPr>
        <w:pStyle w:val="ListBullet"/>
      </w:pPr>
      <w:r>
        <w:rPr>
          <w:rFonts w:ascii="Calibri" w:hAnsi="Calibri" w:eastAsia="微软雅黑"/>
          <w:b/>
          <w:i w:val="0"/>
          <w:sz w:val="22"/>
        </w:rPr>
        <w:t>步骤二：建立可建造性审查与驻场机制</w:t>
      </w:r>
      <w:r>
        <w:rPr>
          <w:rFonts w:ascii="Calibri" w:hAnsi="Calibri" w:eastAsia="微软雅黑"/>
          <w:b w:val="0"/>
          <w:i w:val="0"/>
          <w:sz w:val="22"/>
        </w:rPr>
        <w:t>。在方案阶段引入施工经验丰富的总工程师，重点审查大型构件吊装半径、施工缝留设、复杂钢筋节点碰撞及模板周转率 [来源: P000230]；量化绩效对标成都院实测口径——减少约30%的设计变更、提高施工效率约15% [来源: P000230]，工期平均缩短15%-20%、成本平均降低8%-12% [来源: P000230]。</w:t>
      </w:r>
    </w:p>
    <w:p>
      <w:pPr>
        <w:pStyle w:val="ListBullet"/>
      </w:pPr>
      <w:r>
        <w:rPr>
          <w:rFonts w:ascii="Calibri" w:hAnsi="Calibri" w:eastAsia="微软雅黑"/>
          <w:b/>
          <w:i w:val="0"/>
          <w:sz w:val="22"/>
        </w:rPr>
        <w:t>步骤三：开发"EPC+X"衍生服务模式</w:t>
      </w:r>
      <w:r>
        <w:rPr>
          <w:rFonts w:ascii="Calibri" w:hAnsi="Calibri" w:eastAsia="微软雅黑"/>
          <w:b w:val="0"/>
          <w:i w:val="0"/>
          <w:sz w:val="22"/>
        </w:rPr>
        <w:t>。借鉴昆明院与华东院的转型经验，在承接水务、新能源或市政工程时，向业主延伸提供运营维护服务（EPC+O&amp;M）或协助设计融资方案（EPC+F）[来源: P000202, P000235]。华东院东阳第二污水厂项目证明，设计院通过投建营一体化可将一次性设计咨询收入转化为涵盖建造与长期运维的长效现金流 [来源: P000235]；昆明院亦将EPC+F、EPC+O&amp;M、DBFO等衍生模式纳入其中长期转型路径 [来源: P000202]。三步的先后次序不可颠倒：没有正向设计能力就谈运维，等于地基未打先封顶；没有可建造性审查就接大单，变更与返工会吃掉全部利润（本研究提醒）。</w:t>
      </w:r>
    </w:p>
    <w:p>
      <w:pPr>
        <w:pStyle w:val="ListBullet"/>
      </w:pPr>
      <w:r>
        <w:rPr>
          <w:rFonts w:ascii="Calibri" w:hAnsi="Calibri" w:eastAsia="微软雅黑"/>
          <w:b/>
          <w:i w:val="0"/>
          <w:sz w:val="22"/>
        </w:rPr>
        <w:t>转型节奏的量力线</w:t>
      </w:r>
      <w:r>
        <w:rPr>
          <w:rFonts w:ascii="Calibri" w:hAnsi="Calibri" w:eastAsia="微软雅黑"/>
          <w:b w:val="0"/>
          <w:i w:val="0"/>
          <w:sz w:val="22"/>
        </w:rPr>
        <w:t>（本研究建议）：年营收10亿元级的设计院，先把步骤一做到"模型直出清单"的纯度；50亿元级的，把步骤二做成制度化流程并沉淀实测绩效口径；百亿元级且有稳健现金流的，再试水步骤三的投融资延展。跨越量力线的转型不是进取，是风险敞口的自我放大。</w:t>
      </w:r>
    </w:p>
    <w:p>
      <w:pPr>
        <w:pStyle w:val="Heading3"/>
      </w:pPr>
      <w:r>
        <w:t>3.5.3 央企硬核管控模型的民用迁移指南</w:t>
      </w:r>
    </w:p>
    <w:p>
      <w:r>
        <w:rPr>
          <w:rFonts w:ascii="Calibri" w:hAnsi="Calibri" w:eastAsia="微软雅黑"/>
          <w:b w:val="0"/>
          <w:i w:val="0"/>
          <w:sz w:val="22"/>
        </w:rPr>
        <w:t>中核工程等央企在核电与复杂工程中打磨出的精细化治理工具，对化工、高端制造及新型城镇化项目具备极高的迁移价值 [来源: P000253]。</w:t>
      </w:r>
    </w:p>
    <w:p>
      <w:pPr>
        <w:pStyle w:val="ListBullet"/>
      </w:pPr>
      <w:r>
        <w:rPr>
          <w:rFonts w:ascii="Calibri" w:hAnsi="Calibri" w:eastAsia="微软雅黑"/>
          <w:b/>
          <w:i w:val="0"/>
          <w:sz w:val="22"/>
        </w:rPr>
        <w:t>风险量化模型的民用化部署</w:t>
      </w:r>
      <w:r>
        <w:rPr>
          <w:rFonts w:ascii="Calibri" w:hAnsi="Calibri" w:eastAsia="微软雅黑"/>
          <w:b w:val="0"/>
          <w:i w:val="0"/>
          <w:sz w:val="22"/>
        </w:rPr>
        <w:t>：直接引入R = P × D × Q × I模型，把质量控制物项按安全重要性分级并赋予差异化权重（核电口径为QA1权重41.71%、QR1权重17.43%、QA2权重20.33%、QR2权重6.75%、QA3权重7.55%、QR3权重3.88%、QNC权重2.34% [来源: P000253]；民用项目可按自身风险图谱重构权重，分级思想不变），再对P、D、I三维打分，按R值排序投放管理资源（本条为迁移方法论，本研究建议）。</w:t>
      </w:r>
    </w:p>
    <w:p>
      <w:pPr>
        <w:pStyle w:val="ListBullet"/>
      </w:pPr>
      <w:r>
        <w:rPr>
          <w:rFonts w:ascii="Calibri" w:hAnsi="Calibri" w:eastAsia="微软雅黑"/>
          <w:b/>
          <w:i w:val="0"/>
          <w:sz w:val="22"/>
        </w:rPr>
        <w:t>签证六项原则的普适落地</w:t>
      </w:r>
      <w:r>
        <w:rPr>
          <w:rFonts w:ascii="Calibri" w:hAnsi="Calibri" w:eastAsia="微软雅黑"/>
          <w:b w:val="0"/>
          <w:i w:val="0"/>
          <w:sz w:val="22"/>
        </w:rPr>
        <w:t>：事实、量价分离、现场跟踪、见证与审核分离、主材回收摊销、限额集中审议外加48小时时效 [来源: P000253]——这七条不含任何核电专有技术，任何市政、房建、水利项目都可以原样落进合同与项目部管理制度（本研究结论）。落地时建议按"合同-制度-台账"三层展开：合同层把签认要件写成通用条款；制度层明确各角色的签认权限与时限；台账层用最简单的表单记录每笔签证的见证人、办结时限与归档位置。三层齐备，原则才算从纸面进入了管理（本研究建议）。</w:t>
      </w:r>
    </w:p>
    <w:p>
      <w:pPr>
        <w:pStyle w:val="ListBullet"/>
      </w:pPr>
      <w:r>
        <w:rPr>
          <w:rFonts w:ascii="Calibri" w:hAnsi="Calibri" w:eastAsia="微软雅黑"/>
          <w:b/>
          <w:i w:val="0"/>
          <w:sz w:val="22"/>
        </w:rPr>
        <w:t>穹顶吊装委员会的民用变体</w:t>
      </w:r>
      <w:r>
        <w:rPr>
          <w:rFonts w:ascii="Calibri" w:hAnsi="Calibri" w:eastAsia="微软雅黑"/>
          <w:b w:val="0"/>
          <w:i w:val="0"/>
          <w:sz w:val="22"/>
        </w:rPr>
        <w:t>：重大里程碑的"委员会制"同样适用于普通工程的关键节点——深基坑到底、主体结构封顶、管网贯通、联动调试，都可以组建由总包牵头、各参建方高管参加的临时作战单元，配先决条件挂牌清单与前30天日例会节奏 [来源: P000253]。变体的要义不在组织名称，而在"未办结项严禁进入下一工序"的硬约束（本研究归纳）。</w:t>
      </w:r>
    </w:p>
    <w:p>
      <w:r>
        <w:rPr>
          <w:rFonts w:ascii="Calibri" w:hAnsi="Calibri" w:eastAsia="微软雅黑"/>
          <w:b w:val="0"/>
          <w:i w:val="0"/>
          <w:sz w:val="22"/>
        </w:rPr>
        <w:t>---</w:t>
      </w:r>
    </w:p>
    <w:p>
      <w:pPr>
        <w:pStyle w:val="Heading2"/>
      </w:pPr>
      <w:r>
        <w:t>3.6 央企大总包演进路线与2030战略展望</w:t>
      </w:r>
    </w:p>
    <w:p>
      <w:r>
        <w:rPr>
          <w:rFonts w:ascii="Calibri" w:hAnsi="Calibri" w:eastAsia="微软雅黑"/>
          <w:b w:val="0"/>
          <w:i w:val="0"/>
          <w:sz w:val="22"/>
        </w:rPr>
        <w:t>展望未来五年至十年，在"双碳"目标深度推进、新质生产力加速起势与新型基础设施升级的推动下，央企集团军的工程总承包模式正在经历从"规模驱动"向"绿智融合与高附加值演进"的深刻变革（本节为本研究基于年报战略表述的前瞻归纳）。</w:t>
      </w:r>
    </w:p>
    <w:p>
      <w:r>
        <w:rPr>
          <w:rFonts w:ascii="Calibri" w:hAnsi="Calibri" w:eastAsia="微软雅黑"/>
          <w:b/>
          <w:i w:val="0"/>
          <w:sz w:val="22"/>
        </w:rPr>
        <w:t>1. "能源+"融合范式下的绿智建造</w:t>
      </w:r>
      <w:r>
        <w:rPr>
          <w:rFonts w:ascii="Calibri" w:hAnsi="Calibri" w:eastAsia="微软雅黑"/>
          <w:b w:val="0"/>
          <w:i w:val="0"/>
          <w:sz w:val="22"/>
        </w:rPr>
        <w:t>。中国能建2024年勘测设计及咨询业务新签合同额同比增长32.66%（261.61亿元）[来源: P000220]，工程建设新签从12,750.8亿元增至13,464.8亿元 [来源: P000224, P000220]，风光指标储备8,200万千瓦、控股并网1,905.47万千瓦的新能源资产底盘 [来源: P000220]，昭示"规划咨询-设计-投资-建造-运营"的能源全链条融合是能建系的主航道。"交能融合"把高速公路变成自带收益的复合能源基础设施 [来源: P000228]，湖南院式的全过程咨询与中材国际式的运维服务延伸（第2章）同属这一范式的地方版与工业版（本句为本研究归纳）。判断一家总包企业是否真正站上融合范式，看三个指标即可（本研究建议）：一是订单结构中新签复合类项目（能源+交通、水务+生态、园区+算力）的占比；二是运营性收入在总盘中的比重；三是勘测设计咨询业务的增速——能建勘设新签32.66%的增速 [来源: P000220] 说明其"卖方案"的能力正在跑赢"卖工期"。</w:t>
      </w:r>
    </w:p>
    <w:p>
      <w:r>
        <w:rPr>
          <w:rFonts w:ascii="Calibri" w:hAnsi="Calibri" w:eastAsia="微软雅黑"/>
          <w:b/>
          <w:i w:val="0"/>
          <w:sz w:val="22"/>
        </w:rPr>
        <w:t>2. 从冶金主场到新兴赛道的结构跃迁</w:t>
      </w:r>
      <w:r>
        <w:rPr>
          <w:rFonts w:ascii="Calibri" w:hAnsi="Calibri" w:eastAsia="微软雅黑"/>
          <w:b w:val="0"/>
          <w:i w:val="0"/>
          <w:sz w:val="22"/>
        </w:rPr>
        <w:t>。中国中冶2025年海外新签首破千亿（1,007亿元，+6%）[来源: P000216]，阿曼苏哈尔选矿厂、淡水河谷熔融还原炼铁等代表项目落地 [来源: P000216]；国内市场宝山高铁站、成都"红照壁"超高层、郑州航空港翠湖片区百亿片区、新疆储能与绿氢总承包 [来源: P000216]——"冶金基因+公投攻坚+新兴赛道"的三线并进，勾勒出传统工业央企的总包第二曲线（本句为本研究解读）。跃迁的底层支撑仍是其冶金科技存量：累计有效专利超过5.5万件、国家级制造业单项冠军6家 [来源: P000212]、181项核心技术攻坚方向 [来源: P000215]——老赛道攒下的技术家底，正在被搬运到新赛道变现（本研究解读）。</w:t>
      </w:r>
    </w:p>
    <w:p>
      <w:r>
        <w:rPr>
          <w:rFonts w:ascii="Calibri" w:hAnsi="Calibri" w:eastAsia="微软雅黑"/>
          <w:b/>
          <w:i w:val="0"/>
          <w:sz w:val="22"/>
        </w:rPr>
        <w:t>3. 数字交付从工具升维为资产</w:t>
      </w:r>
      <w:r>
        <w:rPr>
          <w:rFonts w:ascii="Calibri" w:hAnsi="Calibri" w:eastAsia="微软雅黑"/>
          <w:b w:val="0"/>
          <w:i w:val="0"/>
          <w:sz w:val="22"/>
        </w:rPr>
        <w:t>。中核工程"一套模型做到底"的MBD交付 [来源: P000253] 与电建系正向设计实测效益（工期缩短15%-20%、成本降低8%-12%、缺陷率降低30%以上）[来源: P000230] 共同指向同一终局：2030年的头部总包竞争，比拼的将不再是谁能画图更快，而是谁交付的工程自带完整、可信、可运营的数据资产（本句为本研究展望）。</w:t>
      </w:r>
    </w:p>
    <w:p>
      <w:r>
        <w:rPr>
          <w:rFonts w:ascii="Calibri" w:hAnsi="Calibri" w:eastAsia="微软雅黑"/>
          <w:b/>
          <w:i w:val="0"/>
          <w:sz w:val="22"/>
        </w:rPr>
        <w:t>4. 组织与人才的"隐形赛点"</w:t>
      </w:r>
      <w:r>
        <w:rPr>
          <w:rFonts w:ascii="Calibri" w:hAnsi="Calibri" w:eastAsia="微软雅黑"/>
          <w:b w:val="0"/>
          <w:i w:val="0"/>
          <w:sz w:val="22"/>
        </w:rPr>
        <w:t>。年报开篇章节披露的另一个共性信号是创新平台与人才梯队的军备竞赛：电建2025年新增国家级创新平台4家、省部级创新平台24家，3家子企业分获专精特新"小巨人"与启航企业认定 [来源: P000208]；中冶国家级制造业单项冠军企业达6家、"小巨人"企业10家 [来源: P000212]。平台与头衔的背后是"国家级课题-国家级平台-国家级人才"的循环增强——二线企业切一块的最短路径，是把自己最尖的那个专长（一种工法、一类检测、一个装备）做到可申报单项冠军的纯度（本研究建议）。</w:t>
      </w:r>
    </w:p>
    <w:p>
      <w:r>
        <w:rPr>
          <w:rFonts w:ascii="Calibri" w:hAnsi="Calibri" w:eastAsia="微软雅黑"/>
          <w:b/>
          <w:i w:val="0"/>
          <w:sz w:val="22"/>
        </w:rPr>
        <w:t>5. 对其余市场主体的三句话启示</w:t>
      </w:r>
      <w:r>
        <w:rPr>
          <w:rFonts w:ascii="Calibri" w:hAnsi="Calibri" w:eastAsia="微软雅黑"/>
          <w:b w:val="0"/>
          <w:i w:val="0"/>
          <w:sz w:val="22"/>
        </w:rPr>
        <w:t>（本研究结论）：其一，看懂军团的报表语言——新签、营收、利润三速与新兴业务占比是判断其战略重心的第一信号 [来源: P000224]；其二，找到自己在军团生态里的位置——专业分包商、属地合作方、运维服务商都是正位，"扮总包"反而死得快；其三，把央企的治理工具当公共品用——风险量化分级、签证签认纪律、里程碑挂牌作战，这些工具没有护城河，护城河只在执行纪律里。</w:t>
      </w:r>
    </w:p>
    <w:p>
      <w:r>
        <w:rPr>
          <w:rFonts w:ascii="Calibri" w:hAnsi="Calibri" w:eastAsia="微软雅黑"/>
          <w:b w:val="0"/>
          <w:i w:val="0"/>
          <w:sz w:val="22"/>
        </w:rPr>
        <w:t>---</w:t>
      </w:r>
    </w:p>
    <w:p>
      <w:pPr>
        <w:pStyle w:val="Heading2"/>
      </w:pPr>
      <w:r>
        <w:t>3.7 本章小结要点</w:t>
      </w:r>
    </w:p>
    <w:p>
      <w:r>
        <w:rPr>
          <w:rFonts w:ascii="Calibri" w:hAnsi="Calibri" w:eastAsia="微软雅黑"/>
          <w:b w:val="0"/>
          <w:i w:val="0"/>
          <w:sz w:val="22"/>
        </w:rPr>
        <w:t>本章聚焦工程企业工程总承包业务的核心竞争载体——中央企业集团军，基于事实资料库全量财报与专项研究（覆盖三大军团2022-2025年经营轨迹与中核工程、成都院、华东院、昆明院四大专项样本），系统解构了央企集团军的战略坐标、集群协作机制、硬核壁垒、深层组织阵痛与未来演进路线。核心结论梳理如下：</w:t>
      </w:r>
    </w:p>
    <w:p>
      <w:pPr>
        <w:pStyle w:val="ListNumber"/>
      </w:pPr>
      <w:r>
        <w:rPr>
          <w:rFonts w:ascii="Calibri" w:hAnsi="Calibri" w:eastAsia="微软雅黑"/>
          <w:b/>
          <w:i w:val="0"/>
          <w:sz w:val="22"/>
        </w:rPr>
        <w:t>阵营分化</w:t>
      </w:r>
      <w:r>
        <w:rPr>
          <w:rFonts w:ascii="Calibri" w:hAnsi="Calibri" w:eastAsia="微软雅黑"/>
          <w:b w:val="0"/>
          <w:i w:val="0"/>
          <w:sz w:val="22"/>
        </w:rPr>
        <w:t>：五大央企基于基因演化出差异化坐标——中国电建"水、能、砂、城、数"全产业链（2023年新签11,428.44亿元 [来源: P000207]）、中国能建综合能源融合（2025年工程建设新签13,464.8亿元 [来源: P000220]）、中国中冶"四梁八柱"与海外千亿突破（1,007亿元 [来源: P000216]）、中核工程核电超密系统总包（单台机组投资超200亿元 [来源: P000251]）、SEG高端炼化一体化（总承包第一梯队与项目管理榜首常年组合，见第2章）。</w:t>
      </w:r>
    </w:p>
    <w:p>
      <w:pPr>
        <w:pStyle w:val="ListNumber"/>
      </w:pPr>
      <w:r>
        <w:rPr>
          <w:rFonts w:ascii="Calibri" w:hAnsi="Calibri" w:eastAsia="微软雅黑"/>
          <w:b/>
          <w:i w:val="0"/>
          <w:sz w:val="22"/>
        </w:rPr>
        <w:t>集群协作</w:t>
      </w:r>
      <w:r>
        <w:rPr>
          <w:rFonts w:ascii="Calibri" w:hAnsi="Calibri" w:eastAsia="微软雅黑"/>
          <w:b w:val="0"/>
          <w:i w:val="0"/>
          <w:sz w:val="22"/>
        </w:rPr>
        <w:t>：打破单打独斗，依托内部"设计院+工程局"联动（可建造性审查使设计变更减少约30% [来源: P000230]）、全生命周期"投建营一体化"循环（东阳第二污水厂 [来源: P000235]；EPC+O&amp;M模式 [来源: P000202]），以及新能源国际投资联盟、建筑业供应链联盟等外部生态 [来源: P000220]，形成生态化抱团竞争。</w:t>
      </w:r>
    </w:p>
    <w:p>
      <w:pPr>
        <w:pStyle w:val="ListNumber"/>
      </w:pPr>
      <w:r>
        <w:rPr>
          <w:rFonts w:ascii="Calibri" w:hAnsi="Calibri" w:eastAsia="微软雅黑"/>
          <w:b/>
          <w:i w:val="0"/>
          <w:sz w:val="22"/>
        </w:rPr>
        <w:t>壁垒构建</w:t>
      </w:r>
      <w:r>
        <w:rPr>
          <w:rFonts w:ascii="Calibri" w:hAnsi="Calibri" w:eastAsia="微软雅黑"/>
          <w:b w:val="0"/>
          <w:i w:val="0"/>
          <w:sz w:val="22"/>
        </w:rPr>
        <w:t>：多重护城河锁定高门槛赛道——国家级科技平台（电建2025年获批主持国家重点研发计划6项、"1025专项"三期牵头任务10项 [来源: P000208]；中冶累计有效专利47,120件 [来源: P000219]）、数字底座（中核EB五层架构与MBD [来源: P000253]；成都院正向设计 [来源: P000230]）、超高难度履约记录（世界首座300兆瓦级压缩空气储能并网 [来源: P000220]）。</w:t>
      </w:r>
    </w:p>
    <w:p>
      <w:pPr>
        <w:pStyle w:val="ListNumber"/>
      </w:pPr>
      <w:r>
        <w:rPr>
          <w:rFonts w:ascii="Calibri" w:hAnsi="Calibri" w:eastAsia="微软雅黑"/>
          <w:b/>
          <w:i w:val="0"/>
          <w:sz w:val="22"/>
        </w:rPr>
        <w:t>阵痛与解法</w:t>
      </w:r>
      <w:r>
        <w:rPr>
          <w:rFonts w:ascii="Calibri" w:hAnsi="Calibri" w:eastAsia="微软雅黑"/>
          <w:b w:val="0"/>
          <w:i w:val="0"/>
          <w:sz w:val="22"/>
        </w:rPr>
        <w:t>：针对多头领导、部门墙、利益博弈与高管理成本 [来源: P000230]，提炼出结构化风控（R=P×D×Q×I，AHP敏感权重QA1为41.71% [来源: P000253]）、现场签证六项签认原则加48小时时效 [来源: P000253]、穹顶吊装委员会挂牌作战与测量四级监督 [来源: P000253] 等硬核治理工具。</w:t>
      </w:r>
    </w:p>
    <w:p>
      <w:pPr>
        <w:pStyle w:val="ListNumber"/>
      </w:pPr>
      <w:r>
        <w:rPr>
          <w:rFonts w:ascii="Calibri" w:hAnsi="Calibri" w:eastAsia="微软雅黑"/>
          <w:b/>
          <w:i w:val="0"/>
          <w:sz w:val="22"/>
        </w:rPr>
        <w:t>竞合对策</w:t>
      </w:r>
      <w:r>
        <w:rPr>
          <w:rFonts w:ascii="Calibri" w:hAnsi="Calibri" w:eastAsia="微软雅黑"/>
          <w:b w:val="0"/>
          <w:i w:val="0"/>
          <w:sz w:val="22"/>
        </w:rPr>
        <w:t>：地方国企与民企应放弃全产业链平铺，聚焦属地资源与专精特新缝隙，以"属地资产负债表"经营区域筹码；中小设计院通过"正向三维设计+可建造性审查+EPC+X"实现转型 [来源: P000230, P000202, P000235]；央企治理工具（风险量化分级、签证签认纪律、里程碑挂牌作战）具备跨行业迁移价值 [来源: P000253]。</w:t>
      </w:r>
    </w:p>
    <w:p>
      <w:pPr>
        <w:pStyle w:val="ListNumber"/>
      </w:pPr>
      <w:r>
        <w:rPr>
          <w:rFonts w:ascii="Calibri" w:hAnsi="Calibri" w:eastAsia="微软雅黑"/>
          <w:b/>
          <w:i w:val="0"/>
          <w:sz w:val="22"/>
        </w:rPr>
        <w:t>演进方向</w:t>
      </w:r>
      <w:r>
        <w:rPr>
          <w:rFonts w:ascii="Calibri" w:hAnsi="Calibri" w:eastAsia="微软雅黑"/>
          <w:b w:val="0"/>
          <w:i w:val="0"/>
          <w:sz w:val="22"/>
        </w:rPr>
        <w:t>：2022-2025年三家军团年报轨迹显示（表3-2），电建以战新结构立身、能建以转型速度见长、中冶以海外与公投腾挪对冲周期 [来源: P000201, P000207, P000210, P000208, P000228, P000224, P000220, P000215, P000212, P000216]；到2030年，头部总包竞争的终局变量将是"交付即数据资产"的能力（本研究展望）。</w:t>
      </w:r>
    </w:p>
    <w:p>
      <w:pPr>
        <w:pStyle w:val="Heading4"/>
      </w:pPr>
      <w:r>
        <w:t>表3-4 本章核心要点对照表</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分析维度</w:t>
            </w:r>
          </w:p>
        </w:tc>
        <w:tc>
          <w:tcPr>
            <w:tcW w:type="dxa" w:w="2075"/>
            <w:shd w:fill="1F3A5F"/>
          </w:tcPr>
          <w:p>
            <w:r>
              <w:rPr>
                <w:color w:val="FFFFFF"/>
              </w:rPr>
            </w:r>
            <w:r>
              <w:rPr>
                <w:rFonts w:ascii="Calibri" w:hAnsi="Calibri" w:eastAsia="微软雅黑"/>
                <w:b/>
                <w:i w:val="0"/>
                <w:color w:val="FFFFFF"/>
                <w:sz w:val="18"/>
              </w:rPr>
              <w:t>央企集团军实践表现</w:t>
            </w:r>
          </w:p>
        </w:tc>
        <w:tc>
          <w:tcPr>
            <w:tcW w:type="dxa" w:w="2075"/>
            <w:shd w:fill="1F3A5F"/>
          </w:tcPr>
          <w:p>
            <w:r>
              <w:rPr>
                <w:color w:val="FFFFFF"/>
              </w:rPr>
            </w:r>
            <w:r>
              <w:rPr>
                <w:rFonts w:ascii="Calibri" w:hAnsi="Calibri" w:eastAsia="微软雅黑"/>
                <w:b/>
                <w:i w:val="0"/>
                <w:color w:val="FFFFFF"/>
                <w:sz w:val="18"/>
              </w:rPr>
              <w:t>核心数据/典型案例</w:t>
            </w:r>
          </w:p>
        </w:tc>
        <w:tc>
          <w:tcPr>
            <w:tcW w:type="dxa" w:w="2075"/>
            <w:shd w:fill="1F3A5F"/>
          </w:tcPr>
          <w:p>
            <w:r>
              <w:rPr>
                <w:color w:val="FFFFFF"/>
              </w:rPr>
            </w:r>
            <w:r>
              <w:rPr>
                <w:rFonts w:ascii="Calibri" w:hAnsi="Calibri" w:eastAsia="微软雅黑"/>
                <w:b/>
                <w:i w:val="0"/>
                <w:color w:val="FFFFFF"/>
                <w:sz w:val="18"/>
              </w:rPr>
              <w:t>对决策者的启示</w:t>
            </w:r>
          </w:p>
        </w:tc>
      </w:tr>
      <w:tr>
        <w:tc>
          <w:tcPr>
            <w:tcW w:type="dxa" w:w="2075"/>
          </w:tcPr>
          <w:p>
            <w:r/>
            <w:r>
              <w:rPr>
                <w:rFonts w:ascii="Calibri" w:hAnsi="Calibri" w:eastAsia="微软雅黑"/>
                <w:b w:val="0"/>
                <w:i w:val="0"/>
                <w:sz w:val="18"/>
              </w:rPr>
              <w:t>战略坐标与规模</w:t>
            </w:r>
          </w:p>
        </w:tc>
        <w:tc>
          <w:tcPr>
            <w:tcW w:type="dxa" w:w="2075"/>
          </w:tcPr>
          <w:p>
            <w:r/>
            <w:r>
              <w:rPr>
                <w:rFonts w:ascii="Calibri" w:hAnsi="Calibri" w:eastAsia="微软雅黑"/>
                <w:b w:val="0"/>
                <w:i w:val="0"/>
                <w:sz w:val="18"/>
              </w:rPr>
              <w:t>聚焦主业同时向新型能源、新基建与新兴产业转型</w:t>
            </w:r>
          </w:p>
        </w:tc>
        <w:tc>
          <w:tcPr>
            <w:tcW w:type="dxa" w:w="2075"/>
          </w:tcPr>
          <w:p>
            <w:r/>
            <w:r>
              <w:rPr>
                <w:rFonts w:ascii="Calibri" w:hAnsi="Calibri" w:eastAsia="微软雅黑"/>
                <w:b w:val="0"/>
                <w:i w:val="0"/>
                <w:sz w:val="18"/>
              </w:rPr>
              <w:t>电建2023年新签11,428.44亿元 [来源: P000207]；能建2024年集团新签破1.4万亿元 [来源: P000224]；中冶2025年海外新签1,007亿元 [来源: P000216]</w:t>
            </w:r>
          </w:p>
        </w:tc>
        <w:tc>
          <w:tcPr>
            <w:tcW w:type="dxa" w:w="2075"/>
          </w:tcPr>
          <w:p>
            <w:r/>
            <w:r>
              <w:rPr>
                <w:rFonts w:ascii="Calibri" w:hAnsi="Calibri" w:eastAsia="微软雅黑"/>
                <w:b w:val="0"/>
                <w:i w:val="0"/>
                <w:sz w:val="18"/>
              </w:rPr>
              <w:t>跟踪央企战略转型方向，寻找融合赛道的合流点</w:t>
            </w:r>
          </w:p>
        </w:tc>
      </w:tr>
      <w:tr>
        <w:tc>
          <w:tcPr>
            <w:tcW w:type="dxa" w:w="2075"/>
          </w:tcPr>
          <w:p>
            <w:r/>
            <w:r>
              <w:rPr>
                <w:rFonts w:ascii="Calibri" w:hAnsi="Calibri" w:eastAsia="微软雅黑"/>
                <w:b w:val="0"/>
                <w:i w:val="0"/>
                <w:sz w:val="18"/>
              </w:rPr>
              <w:t>集群协作机制</w:t>
            </w:r>
          </w:p>
        </w:tc>
        <w:tc>
          <w:tcPr>
            <w:tcW w:type="dxa" w:w="2075"/>
          </w:tcPr>
          <w:p>
            <w:r/>
            <w:r>
              <w:rPr>
                <w:rFonts w:ascii="Calibri" w:hAnsi="Calibri" w:eastAsia="微软雅黑"/>
                <w:b w:val="0"/>
                <w:i w:val="0"/>
                <w:sz w:val="18"/>
              </w:rPr>
              <w:t>"设计院+工程局"联动，投建营一体化与供应链联盟</w:t>
            </w:r>
          </w:p>
        </w:tc>
        <w:tc>
          <w:tcPr>
            <w:tcW w:type="dxa" w:w="2075"/>
          </w:tcPr>
          <w:p>
            <w:r/>
            <w:r>
              <w:rPr>
                <w:rFonts w:ascii="Calibri" w:hAnsi="Calibri" w:eastAsia="微软雅黑"/>
                <w:b w:val="0"/>
                <w:i w:val="0"/>
                <w:sz w:val="18"/>
              </w:rPr>
              <w:t>华东院东阳第二污水厂投建营一体化 [来源: P000235]；建筑央企供应链联盟2022年11月8日成立 [来源: P000220]</w:t>
            </w:r>
          </w:p>
        </w:tc>
        <w:tc>
          <w:tcPr>
            <w:tcW w:type="dxa" w:w="2075"/>
          </w:tcPr>
          <w:p>
            <w:r/>
            <w:r>
              <w:rPr>
                <w:rFonts w:ascii="Calibri" w:hAnsi="Calibri" w:eastAsia="微软雅黑"/>
                <w:b w:val="0"/>
                <w:i w:val="0"/>
                <w:sz w:val="18"/>
              </w:rPr>
              <w:t>推动设计与施工利益绑定，引入可建造性审查降变更 [来源: P000230]</w:t>
            </w:r>
          </w:p>
        </w:tc>
      </w:tr>
      <w:tr>
        <w:tc>
          <w:tcPr>
            <w:tcW w:type="dxa" w:w="2075"/>
          </w:tcPr>
          <w:p>
            <w:r/>
            <w:r>
              <w:rPr>
                <w:rFonts w:ascii="Calibri" w:hAnsi="Calibri" w:eastAsia="微软雅黑"/>
                <w:b w:val="0"/>
                <w:i w:val="0"/>
                <w:sz w:val="18"/>
              </w:rPr>
              <w:t>数字化技术底座</w:t>
            </w:r>
          </w:p>
        </w:tc>
        <w:tc>
          <w:tcPr>
            <w:tcW w:type="dxa" w:w="2075"/>
          </w:tcPr>
          <w:p>
            <w:r/>
            <w:r>
              <w:rPr>
                <w:rFonts w:ascii="Calibri" w:hAnsi="Calibri" w:eastAsia="微软雅黑"/>
                <w:b w:val="0"/>
                <w:i w:val="0"/>
                <w:sz w:val="18"/>
              </w:rPr>
              <w:t>对象化建模、元数据管理与MBD数字化交付</w:t>
            </w:r>
          </w:p>
        </w:tc>
        <w:tc>
          <w:tcPr>
            <w:tcW w:type="dxa" w:w="2075"/>
          </w:tcPr>
          <w:p>
            <w:r/>
            <w:r>
              <w:rPr>
                <w:rFonts w:ascii="Calibri" w:hAnsi="Calibri" w:eastAsia="微软雅黑"/>
                <w:b w:val="0"/>
                <w:i w:val="0"/>
                <w:sz w:val="18"/>
              </w:rPr>
              <w:t>中核工程EB五层架构 [来源: P000253]；成都院实测工期缩短15%-20%、成本降低8%-12% [来源: P000230]</w:t>
            </w:r>
          </w:p>
        </w:tc>
        <w:tc>
          <w:tcPr>
            <w:tcW w:type="dxa" w:w="2075"/>
          </w:tcPr>
          <w:p>
            <w:r/>
            <w:r>
              <w:rPr>
                <w:rFonts w:ascii="Calibri" w:hAnsi="Calibri" w:eastAsia="微软雅黑"/>
                <w:b w:val="0"/>
                <w:i w:val="0"/>
                <w:sz w:val="18"/>
              </w:rPr>
              <w:t>构建一体化协同平台，避免"施工图补做模型"的虚假数字化</w:t>
            </w:r>
          </w:p>
        </w:tc>
      </w:tr>
      <w:tr>
        <w:tc>
          <w:tcPr>
            <w:tcW w:type="dxa" w:w="2075"/>
          </w:tcPr>
          <w:p>
            <w:r/>
            <w:r>
              <w:rPr>
                <w:rFonts w:ascii="Calibri" w:hAnsi="Calibri" w:eastAsia="微软雅黑"/>
                <w:b w:val="0"/>
                <w:i w:val="0"/>
                <w:sz w:val="18"/>
              </w:rPr>
              <w:t>精细化风控解法</w:t>
            </w:r>
          </w:p>
        </w:tc>
        <w:tc>
          <w:tcPr>
            <w:tcW w:type="dxa" w:w="2075"/>
          </w:tcPr>
          <w:p>
            <w:r/>
            <w:r>
              <w:rPr>
                <w:rFonts w:ascii="Calibri" w:hAnsi="Calibri" w:eastAsia="微软雅黑"/>
                <w:b w:val="0"/>
                <w:i w:val="0"/>
                <w:sz w:val="18"/>
              </w:rPr>
              <w:t>结构化风控模型与签证签认纪律</w:t>
            </w:r>
          </w:p>
        </w:tc>
        <w:tc>
          <w:tcPr>
            <w:tcW w:type="dxa" w:w="2075"/>
          </w:tcPr>
          <w:p>
            <w:r/>
            <w:r>
              <w:rPr>
                <w:rFonts w:ascii="Calibri" w:hAnsi="Calibri" w:eastAsia="微软雅黑"/>
                <w:b w:val="0"/>
                <w:i w:val="0"/>
                <w:sz w:val="18"/>
              </w:rPr>
              <w:t>R=P×D×Q×I模型，QA1敏感权重41.71% [来源: P000253]；签证占工程投资5%-20% [来源: P000253]</w:t>
            </w:r>
          </w:p>
        </w:tc>
        <w:tc>
          <w:tcPr>
            <w:tcW w:type="dxa" w:w="2075"/>
          </w:tcPr>
          <w:p>
            <w:r/>
            <w:r>
              <w:rPr>
                <w:rFonts w:ascii="Calibri" w:hAnsi="Calibri" w:eastAsia="微软雅黑"/>
                <w:b w:val="0"/>
                <w:i w:val="0"/>
                <w:sz w:val="18"/>
              </w:rPr>
              <w:t>按风险值分级投放管理资源；落实量价分离与48小时闭环</w:t>
            </w:r>
          </w:p>
        </w:tc>
      </w:tr>
      <w:tr>
        <w:tc>
          <w:tcPr>
            <w:tcW w:type="dxa" w:w="2075"/>
          </w:tcPr>
          <w:p>
            <w:r/>
            <w:r>
              <w:rPr>
                <w:rFonts w:ascii="Calibri" w:hAnsi="Calibri" w:eastAsia="微软雅黑"/>
                <w:b w:val="0"/>
                <w:i w:val="0"/>
                <w:sz w:val="18"/>
              </w:rPr>
              <w:t>演进方向</w:t>
            </w:r>
          </w:p>
        </w:tc>
        <w:tc>
          <w:tcPr>
            <w:tcW w:type="dxa" w:w="2075"/>
          </w:tcPr>
          <w:p>
            <w:r/>
            <w:r>
              <w:rPr>
                <w:rFonts w:ascii="Calibri" w:hAnsi="Calibri" w:eastAsia="微软雅黑"/>
                <w:b w:val="0"/>
                <w:i w:val="0"/>
                <w:sz w:val="18"/>
              </w:rPr>
              <w:t>战新结构、转型速度与海外腾挪三种活法</w:t>
            </w:r>
          </w:p>
        </w:tc>
        <w:tc>
          <w:tcPr>
            <w:tcW w:type="dxa" w:w="2075"/>
          </w:tcPr>
          <w:p>
            <w:r/>
            <w:r>
              <w:rPr>
                <w:rFonts w:ascii="Calibri" w:hAnsi="Calibri" w:eastAsia="微软雅黑"/>
                <w:b w:val="0"/>
                <w:i w:val="0"/>
                <w:sz w:val="18"/>
              </w:rPr>
              <w:t>电建战新营收贡献超40% [来源: P000210]；能建勘设新签+32.66% [来源: P000220]；中冶海外两年翻一番 [来源: P000212]</w:t>
            </w:r>
          </w:p>
        </w:tc>
        <w:tc>
          <w:tcPr>
            <w:tcW w:type="dxa" w:w="2075"/>
          </w:tcPr>
          <w:p>
            <w:r/>
            <w:r>
              <w:rPr>
                <w:rFonts w:ascii="Calibri" w:hAnsi="Calibri" w:eastAsia="微软雅黑"/>
                <w:b w:val="0"/>
                <w:i w:val="0"/>
                <w:sz w:val="18"/>
              </w:rPr>
              <w:t>对照表3-2校准自身资源禀赋后再选对标对象</w:t>
            </w:r>
          </w:p>
        </w:tc>
      </w:tr>
    </w:tbl>
    <w:p>
      <w:r>
        <w:rPr>
          <w:rFonts w:ascii="Calibri" w:hAnsi="Calibri" w:eastAsia="微软雅黑"/>
          <w:b w:val="0"/>
          <w:i w:val="0"/>
          <w:sz w:val="22"/>
        </w:rPr>
        <w:t>---</w:t>
      </w:r>
    </w:p>
    <w:p>
      <w:pPr>
        <w:pStyle w:val="Heading2"/>
      </w:pPr>
      <w:r>
        <w:t>3.8 本章证据边界</w:t>
      </w:r>
    </w:p>
    <w:p>
      <w:r>
        <w:rPr>
          <w:rFonts w:ascii="Calibri" w:hAnsi="Calibri" w:eastAsia="微软雅黑"/>
          <w:b w:val="0"/>
          <w:i w:val="0"/>
          <w:sz w:val="22"/>
        </w:rPr>
        <w:t>本章所有分析、企业案例与财务经营数据均锚定事实资料库，现将"确证事实边界"与"资料局限说明"界定如下：</w:t>
      </w:r>
    </w:p>
    <w:p>
      <w:pPr>
        <w:pStyle w:val="ListNumber"/>
      </w:pPr>
      <w:r>
        <w:rPr>
          <w:rFonts w:ascii="Calibri" w:hAnsi="Calibri" w:eastAsia="微软雅黑"/>
          <w:b/>
          <w:i w:val="0"/>
          <w:sz w:val="22"/>
        </w:rPr>
        <w:t>确证的事实与数据边界</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财报与经营数据</w:t>
      </w:r>
      <w:r>
        <w:rPr>
          <w:rFonts w:ascii="Calibri" w:hAnsi="Calibri" w:eastAsia="微软雅黑"/>
          <w:b w:val="0"/>
          <w:i w:val="0"/>
          <w:sz w:val="22"/>
        </w:rPr>
        <w:t>：确证了中国电建2022-2023年新签合同额（10,091.86亿元、11,428.44亿元）、营业收入（5,716.49亿元、6,084.39亿元）及归母净利润数据 [来源: P000201, P000207]，2025年营业收入6,456.04亿元口径 [来源: P000208]；确证了中国能建2024-2025年工程建设新签合同额（12,750.8亿元、13,464.8亿元）及勘测设计新签261.61亿元（+32.66%）[来源: P000224, P000220]；确证了中国中冶2025年海外新签1,007亿元及宝山高铁站、郑州航空港翠湖片区百亿项目、星河焦化79亿元大单等合同数据 [来源: P000216]。</w:t>
      </w:r>
    </w:p>
    <w:p>
      <w:r>
        <w:rPr>
          <w:rFonts w:ascii="Calibri" w:hAnsi="Calibri" w:eastAsia="微软雅黑"/>
          <w:b w:val="0"/>
          <w:i w:val="0"/>
          <w:sz w:val="22"/>
        </w:rPr>
        <w:t xml:space="preserve">- </w:t>
      </w:r>
      <w:r>
        <w:rPr>
          <w:rFonts w:ascii="Calibri" w:hAnsi="Calibri" w:eastAsia="微软雅黑"/>
          <w:b/>
          <w:i w:val="0"/>
          <w:sz w:val="22"/>
        </w:rPr>
        <w:t>企业实证案例</w:t>
      </w:r>
      <w:r>
        <w:rPr>
          <w:rFonts w:ascii="Calibri" w:hAnsi="Calibri" w:eastAsia="微软雅黑"/>
          <w:b w:val="0"/>
          <w:i w:val="0"/>
          <w:sz w:val="22"/>
        </w:rPr>
        <w:t>：确证了成都院抽水蓄能EPC案例（减开挖约15万立方米、节约工期3个月、降造价约2.5亿元）与风电场三维碰撞案例（约200处、45天、3%）[来源: P000230]；确证了华东院东阳第二污水厂与苍南三号海上风电EPC（87.51亿元）案例 [来源: P000235]；确证了昆明院水光互补与EPC+O&amp;M模式 [来源: P000202]；确证了中国能建湖北应城300兆瓦级压缩空气储能与吉林松原绿色氢氨醇一体化一期投产 [来源: P000220]。</w:t>
      </w:r>
    </w:p>
    <w:p>
      <w:r>
        <w:rPr>
          <w:rFonts w:ascii="Calibri" w:hAnsi="Calibri" w:eastAsia="微软雅黑"/>
          <w:b w:val="0"/>
          <w:i w:val="0"/>
          <w:sz w:val="22"/>
        </w:rPr>
        <w:t xml:space="preserve">- </w:t>
      </w:r>
      <w:r>
        <w:rPr>
          <w:rFonts w:ascii="Calibri" w:hAnsi="Calibri" w:eastAsia="微软雅黑"/>
          <w:b/>
          <w:i w:val="0"/>
          <w:sz w:val="22"/>
        </w:rPr>
        <w:t>管理模型与底层技术</w:t>
      </w:r>
      <w:r>
        <w:rPr>
          <w:rFonts w:ascii="Calibri" w:hAnsi="Calibri" w:eastAsia="微软雅黑"/>
          <w:b w:val="0"/>
          <w:i w:val="0"/>
          <w:sz w:val="22"/>
        </w:rPr>
        <w:t>：确证了中核工程EB五层数据架构、四维属性配置及MBD数字化交付 [来源: P000251, P000253]；确证了结构化风险评估模型R=P×D×Q×I及AHP敏感权重（QA1为41.71%、QR1为17.43%、QA2为20.33%、QR2为6.75%、QA3为7.55%、QR3为3.88%、QNC为2.34%）与R1/R2/R5/R9/R16实测风险值 [来源: P000253]；确证了现场签证六项原则、48小时时效、穹顶吊装委员会及测量四级监督体系 [来源: P000253]。特别地，表3-2的经营轨迹表中"—"号表示该年度年报开篇章节未以同口径披露该项指标，本研究不作跨章节推算补齐，如实留空。</w:t>
      </w:r>
    </w:p>
    <w:p>
      <w:pPr>
        <w:pStyle w:val="ListNumber"/>
      </w:pPr>
      <w:r>
        <w:rPr>
          <w:rFonts w:ascii="Calibri" w:hAnsi="Calibri" w:eastAsia="微软雅黑"/>
          <w:b/>
          <w:i w:val="0"/>
          <w:sz w:val="22"/>
        </w:rPr>
        <w:t>资料未覆盖的局限与信息空白</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非上市主体财务细节</w:t>
      </w:r>
      <w:r>
        <w:rPr>
          <w:rFonts w:ascii="Calibri" w:hAnsi="Calibri" w:eastAsia="微软雅黑"/>
          <w:b w:val="0"/>
          <w:i w:val="0"/>
          <w:sz w:val="22"/>
        </w:rPr>
        <w:t>：本章资料重点覆盖上市公司年报与中核工程、成都院、华东院、昆明院等专项研究 [来源: P000201, P000207, P000208, P000216, P000219, P000220, P000224, P000228, P000230, P000235, P000251, P000253]。对中石化工程建设（SEG）等非独立上市主体的细化财务分拆，资料未提供明细，本章相关表述为行业归纳并已随文明示，不作臆测。</w:t>
      </w:r>
    </w:p>
    <w:p>
      <w:r>
        <w:rPr>
          <w:rFonts w:ascii="Calibri" w:hAnsi="Calibri" w:eastAsia="微软雅黑"/>
          <w:b w:val="0"/>
          <w:i w:val="0"/>
          <w:sz w:val="22"/>
        </w:rPr>
        <w:t xml:space="preserve">- </w:t>
      </w:r>
      <w:r>
        <w:rPr>
          <w:rFonts w:ascii="Calibri" w:hAnsi="Calibri" w:eastAsia="微软雅黑"/>
          <w:b/>
          <w:i w:val="0"/>
          <w:sz w:val="22"/>
        </w:rPr>
        <w:t>海外小语种市场结算细节</w:t>
      </w:r>
      <w:r>
        <w:rPr>
          <w:rFonts w:ascii="Calibri" w:hAnsi="Calibri" w:eastAsia="微软雅黑"/>
          <w:b w:val="0"/>
          <w:i w:val="0"/>
          <w:sz w:val="22"/>
        </w:rPr>
        <w:t>：资料确证了海外新签合同总额与联盟顶层架构 [来源: P000216, P000220]，但未包含个别海外国别项目内部各分包商之间的次级结算与税务统筹细则。</w:t>
      </w:r>
    </w:p>
    <w:p>
      <w:r>
        <w:rPr>
          <w:rFonts w:ascii="Calibri" w:hAnsi="Calibri" w:eastAsia="微软雅黑"/>
          <w:b w:val="0"/>
          <w:i w:val="0"/>
          <w:sz w:val="22"/>
        </w:rPr>
        <w:t xml:space="preserve">- </w:t>
      </w:r>
      <w:r>
        <w:rPr>
          <w:rFonts w:ascii="Calibri" w:hAnsi="Calibri" w:eastAsia="微软雅黑"/>
          <w:b/>
          <w:i w:val="0"/>
          <w:sz w:val="22"/>
        </w:rPr>
        <w:t>年报切片深度边界</w:t>
      </w:r>
      <w:r>
        <w:rPr>
          <w:rFonts w:ascii="Calibri" w:hAnsi="Calibri" w:eastAsia="微软雅黑"/>
          <w:b w:val="0"/>
          <w:i w:val="0"/>
          <w:sz w:val="22"/>
        </w:rPr>
        <w:t>：事实资料库对上市公司年报的收录以年度报告的开篇章节（含董事长致辞与主要会计数据）为主，年报后部的分部报告、区域明细与在建工程清单未全量入库；本章涉及的业务结构判断（如战新产业占比）以开篇章节披露口径为准，读者如需分部级验证应回查年报全文。</w:t>
      </w:r>
    </w:p>
    <w:p>
      <w:r>
        <w:rPr>
          <w:rFonts w:ascii="Calibri" w:hAnsi="Calibri" w:eastAsia="微软雅黑"/>
          <w:b w:val="0"/>
          <w:i w:val="0"/>
          <w:sz w:val="22"/>
        </w:rPr>
        <w:t xml:space="preserve">- </w:t>
      </w:r>
      <w:r>
        <w:rPr>
          <w:rFonts w:ascii="Calibri" w:hAnsi="Calibri" w:eastAsia="微软雅黑"/>
          <w:b/>
          <w:i w:val="0"/>
          <w:sz w:val="22"/>
        </w:rPr>
        <w:t>军团单体排名数据</w:t>
      </w:r>
      <w:r>
        <w:rPr>
          <w:rFonts w:ascii="Calibri" w:hAnsi="Calibri" w:eastAsia="微软雅黑"/>
          <w:b w:val="0"/>
          <w:i w:val="0"/>
          <w:sz w:val="22"/>
        </w:rPr>
        <w:t>：集团内设计院的榜单位次属第1、2章已核验事实，本章不重复引用，仅作定性衔接。</w:t>
      </w:r>
    </w:p>
    <w:p>
      <w:pPr>
        <w:pStyle w:val="ListNumber"/>
      </w:pPr>
      <w:r>
        <w:rPr>
          <w:rFonts w:ascii="Calibri" w:hAnsi="Calibri" w:eastAsia="微软雅黑"/>
          <w:b/>
          <w:i w:val="0"/>
          <w:sz w:val="22"/>
        </w:rPr>
        <w:t>推演边界</w:t>
      </w:r>
      <w:r>
        <w:rPr>
          <w:rFonts w:ascii="Calibri" w:hAnsi="Calibri" w:eastAsia="微软雅黑"/>
          <w:b w:val="0"/>
          <w:i w:val="0"/>
          <w:sz w:val="22"/>
        </w:rPr>
        <w:t>：标注"本研究归纳""本研究解读""本研究建议""示意性判断"的语句为分析推演，均已随文明示；3.6节展望为基于年报战略表述的前瞻归纳，不构成投资或经营建议。</w:t>
      </w:r>
    </w:p>
    <w:p>
      <w:r>
        <w:rPr>
          <w:rFonts w:ascii="Calibri" w:hAnsi="Calibri" w:eastAsia="微软雅黑"/>
          <w:b w:val="0"/>
          <w:i w:val="0"/>
          <w:sz w:val="22"/>
        </w:rPr>
        <w:t>---</w:t>
      </w:r>
    </w:p>
    <w:p>
      <w:pPr>
        <w:pStyle w:val="Heading2"/>
      </w:pPr>
      <w:r>
        <w:t>本章尾注（事实锚源对照）</w:t>
      </w:r>
    </w:p>
    <w:tbl>
      <w:tblPr>
        <w:tblStyle w:val="TableGrid"/>
        <w:tblW w:type="auto" w:w="0"/>
        <w:tblLook w:firstColumn="1" w:firstRow="1" w:lastColumn="0" w:lastRow="0" w:noHBand="0" w:noVBand="1" w:val="04A0"/>
      </w:tblPr>
      <w:tblGrid>
        <w:gridCol w:w="4150"/>
        <w:gridCol w:w="4150"/>
      </w:tblGrid>
      <w:tr>
        <w:tc>
          <w:tcPr>
            <w:tcW w:type="dxa" w:w="4150"/>
            <w:shd w:fill="1F3A5F"/>
          </w:tcPr>
          <w:p>
            <w:r>
              <w:rPr>
                <w:color w:val="FFFFFF"/>
              </w:rPr>
            </w:r>
            <w:r>
              <w:rPr>
                <w:rFonts w:ascii="Calibri" w:hAnsi="Calibri" w:eastAsia="微软雅黑"/>
                <w:b/>
                <w:i w:val="0"/>
                <w:color w:val="FFFFFF"/>
                <w:sz w:val="18"/>
              </w:rPr>
              <w:t>事实锚</w:t>
            </w:r>
          </w:p>
        </w:tc>
        <w:tc>
          <w:tcPr>
            <w:tcW w:type="dxa" w:w="4150"/>
            <w:shd w:fill="1F3A5F"/>
          </w:tcPr>
          <w:p>
            <w:r>
              <w:rPr>
                <w:color w:val="FFFFFF"/>
              </w:rPr>
            </w:r>
            <w:r>
              <w:rPr>
                <w:rFonts w:ascii="Calibri" w:hAnsi="Calibri" w:eastAsia="微软雅黑"/>
                <w:b/>
                <w:i w:val="0"/>
                <w:color w:val="FFFFFF"/>
                <w:sz w:val="18"/>
              </w:rPr>
              <w:t>源文（事实资料库实收件）</w:t>
            </w:r>
          </w:p>
        </w:tc>
      </w:tr>
      <w:tr>
        <w:tc>
          <w:tcPr>
            <w:tcW w:type="dxa" w:w="4150"/>
          </w:tcPr>
          <w:p>
            <w:r/>
            <w:r>
              <w:rPr>
                <w:rFonts w:ascii="Calibri" w:hAnsi="Calibri" w:eastAsia="微软雅黑"/>
                <w:b w:val="0"/>
                <w:i w:val="0"/>
                <w:sz w:val="18"/>
              </w:rPr>
              <w:t>P000201</w:t>
            </w:r>
          </w:p>
        </w:tc>
        <w:tc>
          <w:tcPr>
            <w:tcW w:type="dxa" w:w="4150"/>
          </w:tcPr>
          <w:p>
            <w:r/>
            <w:r>
              <w:rPr>
                <w:rFonts w:ascii="Calibri" w:hAnsi="Calibri" w:eastAsia="微软雅黑"/>
                <w:b w:val="0"/>
                <w:i w:val="0"/>
                <w:sz w:val="18"/>
              </w:rPr>
              <w:t>中国电建（601669）2022年年度报告</w:t>
            </w:r>
          </w:p>
        </w:tc>
      </w:tr>
      <w:tr>
        <w:tc>
          <w:tcPr>
            <w:tcW w:type="dxa" w:w="4150"/>
          </w:tcPr>
          <w:p>
            <w:r/>
            <w:r>
              <w:rPr>
                <w:rFonts w:ascii="Calibri" w:hAnsi="Calibri" w:eastAsia="微软雅黑"/>
                <w:b w:val="0"/>
                <w:i w:val="0"/>
                <w:sz w:val="18"/>
              </w:rPr>
              <w:t>P000202</w:t>
            </w:r>
          </w:p>
        </w:tc>
        <w:tc>
          <w:tcPr>
            <w:tcW w:type="dxa" w:w="4150"/>
          </w:tcPr>
          <w:p>
            <w:r/>
            <w:r>
              <w:rPr>
                <w:rFonts w:ascii="Calibri" w:hAnsi="Calibri" w:eastAsia="微软雅黑"/>
                <w:b w:val="0"/>
                <w:i w:val="0"/>
                <w:sz w:val="18"/>
              </w:rPr>
              <w:t>昆明院EPC专项研究资料（水光互补、EPC+O&amp;M/EPC+F模式）</w:t>
            </w:r>
          </w:p>
        </w:tc>
      </w:tr>
      <w:tr>
        <w:tc>
          <w:tcPr>
            <w:tcW w:type="dxa" w:w="4150"/>
          </w:tcPr>
          <w:p>
            <w:r/>
            <w:r>
              <w:rPr>
                <w:rFonts w:ascii="Calibri" w:hAnsi="Calibri" w:eastAsia="微软雅黑"/>
                <w:b w:val="0"/>
                <w:i w:val="0"/>
                <w:sz w:val="18"/>
              </w:rPr>
              <w:t>P000207</w:t>
            </w:r>
          </w:p>
        </w:tc>
        <w:tc>
          <w:tcPr>
            <w:tcW w:type="dxa" w:w="4150"/>
          </w:tcPr>
          <w:p>
            <w:r/>
            <w:r>
              <w:rPr>
                <w:rFonts w:ascii="Calibri" w:hAnsi="Calibri" w:eastAsia="微软雅黑"/>
                <w:b w:val="0"/>
                <w:i w:val="0"/>
                <w:sz w:val="18"/>
              </w:rPr>
              <w:t>中国电建（601669）2023年年度报告</w:t>
            </w:r>
          </w:p>
        </w:tc>
      </w:tr>
      <w:tr>
        <w:tc>
          <w:tcPr>
            <w:tcW w:type="dxa" w:w="4150"/>
          </w:tcPr>
          <w:p>
            <w:r/>
            <w:r>
              <w:rPr>
                <w:rFonts w:ascii="Calibri" w:hAnsi="Calibri" w:eastAsia="微软雅黑"/>
                <w:b w:val="0"/>
                <w:i w:val="0"/>
                <w:sz w:val="18"/>
              </w:rPr>
              <w:t>P000210</w:t>
            </w:r>
          </w:p>
        </w:tc>
        <w:tc>
          <w:tcPr>
            <w:tcW w:type="dxa" w:w="4150"/>
          </w:tcPr>
          <w:p>
            <w:r/>
            <w:r>
              <w:rPr>
                <w:rFonts w:ascii="Calibri" w:hAnsi="Calibri" w:eastAsia="微软雅黑"/>
                <w:b w:val="0"/>
                <w:i w:val="0"/>
                <w:sz w:val="18"/>
              </w:rPr>
              <w:t>中国电建（601669）2024年年度报告</w:t>
            </w:r>
          </w:p>
        </w:tc>
      </w:tr>
      <w:tr>
        <w:tc>
          <w:tcPr>
            <w:tcW w:type="dxa" w:w="4150"/>
          </w:tcPr>
          <w:p>
            <w:r/>
            <w:r>
              <w:rPr>
                <w:rFonts w:ascii="Calibri" w:hAnsi="Calibri" w:eastAsia="微软雅黑"/>
                <w:b w:val="0"/>
                <w:i w:val="0"/>
                <w:sz w:val="18"/>
              </w:rPr>
              <w:t>P000208</w:t>
            </w:r>
          </w:p>
        </w:tc>
        <w:tc>
          <w:tcPr>
            <w:tcW w:type="dxa" w:w="4150"/>
          </w:tcPr>
          <w:p>
            <w:r/>
            <w:r>
              <w:rPr>
                <w:rFonts w:ascii="Calibri" w:hAnsi="Calibri" w:eastAsia="微软雅黑"/>
                <w:b w:val="0"/>
                <w:i w:val="0"/>
                <w:sz w:val="18"/>
              </w:rPr>
              <w:t>中国电建（601669）2025年年度报告</w:t>
            </w:r>
          </w:p>
        </w:tc>
      </w:tr>
      <w:tr>
        <w:tc>
          <w:tcPr>
            <w:tcW w:type="dxa" w:w="4150"/>
          </w:tcPr>
          <w:p>
            <w:r/>
            <w:r>
              <w:rPr>
                <w:rFonts w:ascii="Calibri" w:hAnsi="Calibri" w:eastAsia="微软雅黑"/>
                <w:b w:val="0"/>
                <w:i w:val="0"/>
                <w:sz w:val="18"/>
              </w:rPr>
              <w:t>P000212</w:t>
            </w:r>
          </w:p>
        </w:tc>
        <w:tc>
          <w:tcPr>
            <w:tcW w:type="dxa" w:w="4150"/>
          </w:tcPr>
          <w:p>
            <w:r/>
            <w:r>
              <w:rPr>
                <w:rFonts w:ascii="Calibri" w:hAnsi="Calibri" w:eastAsia="微软雅黑"/>
                <w:b w:val="0"/>
                <w:i w:val="0"/>
                <w:sz w:val="18"/>
              </w:rPr>
              <w:t>中国中冶（601618）2024年年度报告</w:t>
            </w:r>
          </w:p>
        </w:tc>
      </w:tr>
      <w:tr>
        <w:tc>
          <w:tcPr>
            <w:tcW w:type="dxa" w:w="4150"/>
          </w:tcPr>
          <w:p>
            <w:r/>
            <w:r>
              <w:rPr>
                <w:rFonts w:ascii="Calibri" w:hAnsi="Calibri" w:eastAsia="微软雅黑"/>
                <w:b w:val="0"/>
                <w:i w:val="0"/>
                <w:sz w:val="18"/>
              </w:rPr>
              <w:t>P000215</w:t>
            </w:r>
          </w:p>
        </w:tc>
        <w:tc>
          <w:tcPr>
            <w:tcW w:type="dxa" w:w="4150"/>
          </w:tcPr>
          <w:p>
            <w:r/>
            <w:r>
              <w:rPr>
                <w:rFonts w:ascii="Calibri" w:hAnsi="Calibri" w:eastAsia="微软雅黑"/>
                <w:b w:val="0"/>
                <w:i w:val="0"/>
                <w:sz w:val="18"/>
              </w:rPr>
              <w:t>中国中冶（601618）2023年年度报告</w:t>
            </w:r>
          </w:p>
        </w:tc>
      </w:tr>
      <w:tr>
        <w:tc>
          <w:tcPr>
            <w:tcW w:type="dxa" w:w="4150"/>
          </w:tcPr>
          <w:p>
            <w:r/>
            <w:r>
              <w:rPr>
                <w:rFonts w:ascii="Calibri" w:hAnsi="Calibri" w:eastAsia="微软雅黑"/>
                <w:b w:val="0"/>
                <w:i w:val="0"/>
                <w:sz w:val="18"/>
              </w:rPr>
              <w:t>P000216</w:t>
            </w:r>
          </w:p>
        </w:tc>
        <w:tc>
          <w:tcPr>
            <w:tcW w:type="dxa" w:w="4150"/>
          </w:tcPr>
          <w:p>
            <w:r/>
            <w:r>
              <w:rPr>
                <w:rFonts w:ascii="Calibri" w:hAnsi="Calibri" w:eastAsia="微软雅黑"/>
                <w:b w:val="0"/>
                <w:i w:val="0"/>
                <w:sz w:val="18"/>
              </w:rPr>
              <w:t>中国中冶（601618）2025年年度报告</w:t>
            </w:r>
          </w:p>
        </w:tc>
      </w:tr>
      <w:tr>
        <w:tc>
          <w:tcPr>
            <w:tcW w:type="dxa" w:w="4150"/>
          </w:tcPr>
          <w:p>
            <w:r/>
            <w:r>
              <w:rPr>
                <w:rFonts w:ascii="Calibri" w:hAnsi="Calibri" w:eastAsia="微软雅黑"/>
                <w:b w:val="0"/>
                <w:i w:val="0"/>
                <w:sz w:val="18"/>
              </w:rPr>
              <w:t>P000219</w:t>
            </w:r>
          </w:p>
        </w:tc>
        <w:tc>
          <w:tcPr>
            <w:tcW w:type="dxa" w:w="4150"/>
          </w:tcPr>
          <w:p>
            <w:r/>
            <w:r>
              <w:rPr>
                <w:rFonts w:ascii="Calibri" w:hAnsi="Calibri" w:eastAsia="微软雅黑"/>
                <w:b w:val="0"/>
                <w:i w:val="0"/>
                <w:sz w:val="18"/>
              </w:rPr>
              <w:t>中国中冶（601618）2022年年度报告</w:t>
            </w:r>
          </w:p>
        </w:tc>
      </w:tr>
      <w:tr>
        <w:tc>
          <w:tcPr>
            <w:tcW w:type="dxa" w:w="4150"/>
          </w:tcPr>
          <w:p>
            <w:r/>
            <w:r>
              <w:rPr>
                <w:rFonts w:ascii="Calibri" w:hAnsi="Calibri" w:eastAsia="微软雅黑"/>
                <w:b w:val="0"/>
                <w:i w:val="0"/>
                <w:sz w:val="18"/>
              </w:rPr>
              <w:t>P000220</w:t>
            </w:r>
          </w:p>
        </w:tc>
        <w:tc>
          <w:tcPr>
            <w:tcW w:type="dxa" w:w="4150"/>
          </w:tcPr>
          <w:p>
            <w:r/>
            <w:r>
              <w:rPr>
                <w:rFonts w:ascii="Calibri" w:hAnsi="Calibri" w:eastAsia="微软雅黑"/>
                <w:b w:val="0"/>
                <w:i w:val="0"/>
                <w:sz w:val="18"/>
              </w:rPr>
              <w:t>中国能建（601868）2025年年度报告</w:t>
            </w:r>
          </w:p>
        </w:tc>
      </w:tr>
      <w:tr>
        <w:tc>
          <w:tcPr>
            <w:tcW w:type="dxa" w:w="4150"/>
          </w:tcPr>
          <w:p>
            <w:r/>
            <w:r>
              <w:rPr>
                <w:rFonts w:ascii="Calibri" w:hAnsi="Calibri" w:eastAsia="微软雅黑"/>
                <w:b w:val="0"/>
                <w:i w:val="0"/>
                <w:sz w:val="18"/>
              </w:rPr>
              <w:t>P000224</w:t>
            </w:r>
          </w:p>
        </w:tc>
        <w:tc>
          <w:tcPr>
            <w:tcW w:type="dxa" w:w="4150"/>
          </w:tcPr>
          <w:p>
            <w:r/>
            <w:r>
              <w:rPr>
                <w:rFonts w:ascii="Calibri" w:hAnsi="Calibri" w:eastAsia="微软雅黑"/>
                <w:b w:val="0"/>
                <w:i w:val="0"/>
                <w:sz w:val="18"/>
              </w:rPr>
              <w:t>中国能建（601868）2024年年度报告</w:t>
            </w:r>
          </w:p>
        </w:tc>
      </w:tr>
      <w:tr>
        <w:tc>
          <w:tcPr>
            <w:tcW w:type="dxa" w:w="4150"/>
          </w:tcPr>
          <w:p>
            <w:r/>
            <w:r>
              <w:rPr>
                <w:rFonts w:ascii="Calibri" w:hAnsi="Calibri" w:eastAsia="微软雅黑"/>
                <w:b w:val="0"/>
                <w:i w:val="0"/>
                <w:sz w:val="18"/>
              </w:rPr>
              <w:t>P000228</w:t>
            </w:r>
          </w:p>
        </w:tc>
        <w:tc>
          <w:tcPr>
            <w:tcW w:type="dxa" w:w="4150"/>
          </w:tcPr>
          <w:p>
            <w:r/>
            <w:r>
              <w:rPr>
                <w:rFonts w:ascii="Calibri" w:hAnsi="Calibri" w:eastAsia="微软雅黑"/>
                <w:b w:val="0"/>
                <w:i w:val="0"/>
                <w:sz w:val="18"/>
              </w:rPr>
              <w:t>中国能建（601868）2023年年度报告</w:t>
            </w:r>
          </w:p>
        </w:tc>
      </w:tr>
      <w:tr>
        <w:tc>
          <w:tcPr>
            <w:tcW w:type="dxa" w:w="4150"/>
          </w:tcPr>
          <w:p>
            <w:r/>
            <w:r>
              <w:rPr>
                <w:rFonts w:ascii="Calibri" w:hAnsi="Calibri" w:eastAsia="微软雅黑"/>
                <w:b w:val="0"/>
                <w:i w:val="0"/>
                <w:sz w:val="18"/>
              </w:rPr>
              <w:t>P000229</w:t>
            </w:r>
          </w:p>
        </w:tc>
        <w:tc>
          <w:tcPr>
            <w:tcW w:type="dxa" w:w="4150"/>
          </w:tcPr>
          <w:p>
            <w:r/>
            <w:r>
              <w:rPr>
                <w:rFonts w:ascii="Calibri" w:hAnsi="Calibri" w:eastAsia="微软雅黑"/>
                <w:b w:val="0"/>
                <w:i w:val="0"/>
                <w:sz w:val="18"/>
              </w:rPr>
              <w:t>中国能建（601868）2022年年度报告</w:t>
            </w:r>
          </w:p>
        </w:tc>
      </w:tr>
      <w:tr>
        <w:tc>
          <w:tcPr>
            <w:tcW w:type="dxa" w:w="4150"/>
          </w:tcPr>
          <w:p>
            <w:r/>
            <w:r>
              <w:rPr>
                <w:rFonts w:ascii="Calibri" w:hAnsi="Calibri" w:eastAsia="微软雅黑"/>
                <w:b w:val="0"/>
                <w:i w:val="0"/>
                <w:sz w:val="18"/>
              </w:rPr>
              <w:t>P000230</w:t>
            </w:r>
          </w:p>
        </w:tc>
        <w:tc>
          <w:tcPr>
            <w:tcW w:type="dxa" w:w="4150"/>
          </w:tcPr>
          <w:p>
            <w:r/>
            <w:r>
              <w:rPr>
                <w:rFonts w:ascii="Calibri" w:hAnsi="Calibri" w:eastAsia="微软雅黑"/>
                <w:b w:val="0"/>
                <w:i w:val="0"/>
                <w:sz w:val="18"/>
              </w:rPr>
              <w:t>成都院EPC专项研究资料（抽蓄案例、正向设计效益、组织阵痛）</w:t>
            </w:r>
          </w:p>
        </w:tc>
      </w:tr>
      <w:tr>
        <w:tc>
          <w:tcPr>
            <w:tcW w:type="dxa" w:w="4150"/>
          </w:tcPr>
          <w:p>
            <w:r/>
            <w:r>
              <w:rPr>
                <w:rFonts w:ascii="Calibri" w:hAnsi="Calibri" w:eastAsia="微软雅黑"/>
                <w:b w:val="0"/>
                <w:i w:val="0"/>
                <w:sz w:val="18"/>
              </w:rPr>
              <w:t>P000235</w:t>
            </w:r>
          </w:p>
        </w:tc>
        <w:tc>
          <w:tcPr>
            <w:tcW w:type="dxa" w:w="4150"/>
          </w:tcPr>
          <w:p>
            <w:r/>
            <w:r>
              <w:rPr>
                <w:rFonts w:ascii="Calibri" w:hAnsi="Calibri" w:eastAsia="微软雅黑"/>
                <w:b w:val="0"/>
                <w:i w:val="0"/>
                <w:sz w:val="18"/>
              </w:rPr>
              <w:t>华东院EPC专项研究资料（苍南三号、东阳污水厂、OWind平台）</w:t>
            </w:r>
          </w:p>
        </w:tc>
      </w:tr>
      <w:tr>
        <w:tc>
          <w:tcPr>
            <w:tcW w:type="dxa" w:w="4150"/>
          </w:tcPr>
          <w:p>
            <w:r/>
            <w:r>
              <w:rPr>
                <w:rFonts w:ascii="Calibri" w:hAnsi="Calibri" w:eastAsia="微软雅黑"/>
                <w:b w:val="0"/>
                <w:i w:val="0"/>
                <w:sz w:val="18"/>
              </w:rPr>
              <w:t>P000251</w:t>
            </w:r>
          </w:p>
        </w:tc>
        <w:tc>
          <w:tcPr>
            <w:tcW w:type="dxa" w:w="4150"/>
          </w:tcPr>
          <w:p>
            <w:r/>
            <w:r>
              <w:rPr>
                <w:rFonts w:ascii="Calibri" w:hAnsi="Calibri" w:eastAsia="微软雅黑"/>
                <w:b w:val="0"/>
                <w:i w:val="0"/>
                <w:sz w:val="18"/>
              </w:rPr>
              <w:t>中核工程EPC专项研究（第1章：核电产业格局与中核工程的战略坐标）</w:t>
            </w:r>
          </w:p>
        </w:tc>
      </w:tr>
      <w:tr>
        <w:tc>
          <w:tcPr>
            <w:tcW w:type="dxa" w:w="4150"/>
          </w:tcPr>
          <w:p>
            <w:r/>
            <w:r>
              <w:rPr>
                <w:rFonts w:ascii="Calibri" w:hAnsi="Calibri" w:eastAsia="微软雅黑"/>
                <w:b w:val="0"/>
                <w:i w:val="0"/>
                <w:sz w:val="18"/>
              </w:rPr>
              <w:t>P000253</w:t>
            </w:r>
          </w:p>
        </w:tc>
        <w:tc>
          <w:tcPr>
            <w:tcW w:type="dxa" w:w="4150"/>
          </w:tcPr>
          <w:p>
            <w:r/>
            <w:r>
              <w:rPr>
                <w:rFonts w:ascii="Calibri" w:hAnsi="Calibri" w:eastAsia="微软雅黑"/>
                <w:b w:val="0"/>
                <w:i w:val="0"/>
                <w:sz w:val="18"/>
              </w:rPr>
              <w:t>中核工程EPC专项研究（第12章：中核工程EPC能力提炼与可迁移方法论）</w:t>
            </w:r>
          </w:p>
        </w:tc>
      </w:tr>
    </w:tbl>
    <w:p>
      <w:r>
        <w:rPr>
          <w:rFonts w:ascii="Calibri" w:hAnsi="Calibri" w:eastAsia="微软雅黑"/>
          <w:b w:val="0"/>
          <w:i w:val="0"/>
          <w:sz w:val="22"/>
        </w:rPr>
        <w:t>---</w:t>
      </w:r>
    </w:p>
    <w:p>
      <w:pPr>
        <w:pStyle w:val="Heading1"/>
      </w:pPr>
      <w:r>
        <w:t>第4章 专业赛道分化：极化深潜者构筑壁垒，出清与跨界正在重划工程总承包版图</w:t>
      </w:r>
    </w:p>
    <w:p>
      <w:r>
        <w:rPr>
          <w:rFonts w:ascii="Calibri" w:hAnsi="Calibri" w:eastAsia="微软雅黑"/>
          <w:b w:val="0"/>
          <w:i w:val="0"/>
          <w:sz w:val="22"/>
        </w:rPr>
        <w:t>出品：总包创研院研究团队</w:t>
      </w:r>
    </w:p>
    <w:p>
      <w:pPr>
        <w:ind w:left="454"/>
      </w:pPr>
      <w:r>
        <w:rPr>
          <w:rFonts w:ascii="Calibri" w:hAnsi="Calibri" w:eastAsia="微软雅黑"/>
          <w:b/>
          <w:i w:val="0"/>
          <w:color w:val="666666"/>
          <w:sz w:val="22"/>
        </w:rPr>
        <w:t>本章事实纪律声明</w:t>
      </w:r>
      <w:r>
        <w:rPr>
          <w:rFonts w:ascii="Calibri" w:hAnsi="Calibri" w:eastAsia="微软雅黑"/>
          <w:b w:val="0"/>
          <w:i w:val="0"/>
          <w:color w:val="666666"/>
          <w:sz w:val="22"/>
        </w:rPr>
        <w:t>：本章全部榜单数据、政策条文、企业财务数据与案例事实，均逐字取自本书研究团队采集整理的事实资料库（含上市公司经审计年报与公司公告全文、专业机构研究报告与专项研究成果），正文随文标注[来源: P锚]（对照本章尾注），读者可按锚号回溯核验；无源不写，解读性判断均在文中明示。文中标注"示意性复盘"的推演为依据源文规则构造的示例，不指向具体项目。</w:t>
      </w:r>
    </w:p>
    <w:p>
      <w:r>
        <w:rPr>
          <w:rFonts w:ascii="Calibri" w:hAnsi="Calibri" w:eastAsia="微软雅黑"/>
          <w:b/>
          <w:i w:val="0"/>
          <w:sz w:val="22"/>
        </w:rPr>
        <w:t>本章引言：帮读者解决什么问题</w:t>
      </w:r>
    </w:p>
    <w:p>
      <w:r>
        <w:rPr>
          <w:rFonts w:ascii="Calibri" w:hAnsi="Calibri" w:eastAsia="微软雅黑"/>
          <w:b w:val="0"/>
          <w:i w:val="0"/>
          <w:sz w:val="22"/>
        </w:rPr>
        <w:t>在传统大宗工业与基建投资增速放缓、同质化产能过剩的行业转轨期，工程企业普遍面临"粗放规模扩张失灵、低价竞标爆雷频发、存量资产盘活乏力"的三重阵痛，以往依靠"泛化承揽"和"资质资金堆叠"的低附加值承包模式已难以为继 [来源: P000303]。本章为决策者解决的核心问题是：</w:t>
      </w:r>
      <w:r>
        <w:rPr>
          <w:rFonts w:ascii="Calibri" w:hAnsi="Calibri" w:eastAsia="微软雅黑"/>
          <w:b/>
          <w:i w:val="0"/>
          <w:sz w:val="22"/>
        </w:rPr>
        <w:t>在行业进入存量博弈与高门槛增量并存的"新常态"下，工程企业如何摆脱无序价格战，精准切入高毛利、高壁垒与现金流韧性强的专业赛道？</w:t>
      </w:r>
      <w:r>
        <w:rPr>
          <w:rFonts w:ascii="Calibri" w:hAnsi="Calibri" w:eastAsia="微软雅黑"/>
          <w:b w:val="0"/>
          <w:i w:val="0"/>
          <w:sz w:val="22"/>
        </w:rPr>
        <w:t xml:space="preserve"> 围绕这一问题，本章依次回答四个子问题：哪些赛道在极化、凭什么极化（4.1）；新的增量藏在哪里、谁在抢（4.2）；传统赛道如何出清、存活者靠什么盘活存量（4.3）；跨界渗透往哪里跨、怎么跨才不死（4.4）；最终汇总为一张可直接使用的赛道定位矩阵与选型规则（4.5）。结合TOP50标杆企业的实证数据，本章系统梳理"赛道极化"的护城河打法、探明"新增量爆发"的技术与海外阵地，剖析传统赛道出清的机制与存活者的存量盘活路径，并给出跨界渗透的操作方法与商业模式，助力企业实现从"低端工程承包商"向"技术与产业综合解决方案服务商"的战略升级 [来源: P000303, P000306, P000311]。</w:t>
      </w:r>
    </w:p>
    <w:p>
      <w:r>
        <w:rPr>
          <w:rFonts w:ascii="Calibri" w:hAnsi="Calibri" w:eastAsia="微软雅黑"/>
          <w:b w:val="0"/>
          <w:i w:val="0"/>
          <w:sz w:val="22"/>
        </w:rPr>
        <w:t>---</w:t>
      </w:r>
    </w:p>
    <w:p>
      <w:pPr>
        <w:pStyle w:val="Heading2"/>
      </w:pPr>
      <w:r>
        <w:t>4.1 赛道极化：以核心技术垄断与全产业链闭环构筑绝对壁垒</w:t>
      </w:r>
    </w:p>
    <w:p>
      <w:r>
        <w:rPr>
          <w:rFonts w:ascii="Calibri" w:hAnsi="Calibri" w:eastAsia="微软雅黑"/>
          <w:b w:val="0"/>
          <w:i w:val="0"/>
          <w:sz w:val="22"/>
        </w:rPr>
        <w:t>在行业整体进入存量调整期的背景下，工程总承包业务的竞争格局正加速呈现"赛道极化"趋势。所谓赛道极化，是指工程企业不再盲目追求业务领域的"大而全"，而是基于自身的核心技术、研发基因与资源禀赋，在特定的细分专业领域进行极度聚焦与深度下沉，打造不可替代的绝对竞争壁垒 [来源: P000306, P000311]。</w:t>
      </w:r>
    </w:p>
    <w:p>
      <w:r>
        <w:rPr>
          <w:rFonts w:ascii="Calibri" w:hAnsi="Calibri" w:eastAsia="微软雅黑"/>
          <w:b w:val="0"/>
          <w:i w:val="0"/>
          <w:sz w:val="22"/>
        </w:rPr>
        <w:t>传统承包模式下，企业往往充当"施工组织者"或"资源整合者"，依赖资质、资金承揽项目，门槛相对较低，容易陷入严重的同质化恶性竞争 [来源: P000303]。而在极化战略下，领先工程企业以"核心技术+工程化能力"为硬核支撑，将业务链条向前端技术研发与后端实业运维延伸，实现了从低附加值建造向高附加值技术服务的深度跨越 [来源: P000306, P000311]。</w:t>
      </w:r>
    </w:p>
    <w:p>
      <w:pPr>
        <w:pStyle w:val="Heading3"/>
      </w:pPr>
      <w:r>
        <w:t>4.1.1 极化趋势与底层逻辑</w:t>
      </w:r>
    </w:p>
    <w:p>
      <w:r>
        <w:rPr>
          <w:rFonts w:ascii="Calibri" w:hAnsi="Calibri" w:eastAsia="微软雅黑"/>
          <w:b w:val="0"/>
          <w:i w:val="0"/>
          <w:sz w:val="22"/>
        </w:rPr>
        <w:t>赛道极化的底层逻辑在于</w:t>
      </w:r>
      <w:r>
        <w:rPr>
          <w:rFonts w:ascii="Calibri" w:hAnsi="Calibri" w:eastAsia="微软雅黑"/>
          <w:b/>
          <w:i w:val="0"/>
          <w:sz w:val="22"/>
        </w:rPr>
        <w:t>技术壁垒的垄断性</w:t>
      </w:r>
      <w:r>
        <w:rPr>
          <w:rFonts w:ascii="Calibri" w:hAnsi="Calibri" w:eastAsia="微软雅黑"/>
          <w:b w:val="0"/>
          <w:i w:val="0"/>
          <w:sz w:val="22"/>
        </w:rPr>
        <w:t>与</w:t>
      </w:r>
      <w:r>
        <w:rPr>
          <w:rFonts w:ascii="Calibri" w:hAnsi="Calibri" w:eastAsia="微软雅黑"/>
          <w:b/>
          <w:i w:val="0"/>
          <w:sz w:val="22"/>
        </w:rPr>
        <w:t>全生命周期价值链的全链把控</w:t>
      </w:r>
      <w:r>
        <w:rPr>
          <w:rFonts w:ascii="Calibri" w:hAnsi="Calibri" w:eastAsia="微软雅黑"/>
          <w:b w:val="0"/>
          <w:i w:val="0"/>
          <w:sz w:val="22"/>
        </w:rPr>
        <w:t xml:space="preserve"> [来源: P000306, P000311]：</w:t>
      </w:r>
    </w:p>
    <w:p>
      <w:pPr>
        <w:pStyle w:val="ListNumber"/>
      </w:pPr>
      <w:r>
        <w:rPr>
          <w:rFonts w:ascii="Calibri" w:hAnsi="Calibri" w:eastAsia="微软雅黑"/>
          <w:b/>
          <w:i w:val="0"/>
          <w:sz w:val="22"/>
        </w:rPr>
        <w:t>从"项目交付"转向"专利技术垄断"</w:t>
      </w:r>
      <w:r>
        <w:rPr>
          <w:rFonts w:ascii="Calibri" w:hAnsi="Calibri" w:eastAsia="微软雅黑"/>
          <w:b w:val="0"/>
          <w:i w:val="0"/>
          <w:sz w:val="22"/>
        </w:rPr>
        <w:t>：领军企业通过自主研发或联合攻关，掌握细分领域关键工艺包与核心专利。业主在选择总承包商时，技术的不可替代性超越了单纯的价格竞争，使企业获得极强的定价权与溢价空间 [来源: P000306, P000311]。</w:t>
      </w:r>
    </w:p>
    <w:p>
      <w:pPr>
        <w:pStyle w:val="ListNumber"/>
      </w:pPr>
      <w:r>
        <w:rPr>
          <w:rFonts w:ascii="Calibri" w:hAnsi="Calibri" w:eastAsia="微软雅黑"/>
          <w:b/>
          <w:i w:val="0"/>
          <w:sz w:val="22"/>
        </w:rPr>
        <w:t>从"工程建设"转向"研-投-建-运-销"一体化</w:t>
      </w:r>
      <w:r>
        <w:rPr>
          <w:rFonts w:ascii="Calibri" w:hAnsi="Calibri" w:eastAsia="微软雅黑"/>
          <w:b w:val="0"/>
          <w:i w:val="0"/>
          <w:sz w:val="22"/>
        </w:rPr>
        <w:t>：极化企业打破了工程建设与产业运营的边界，通过将自主工程技术直接转化为实体产业资产，不仅赚取建设阶段的合理利润，更能长期分享产业运营的高额红利，实现现金流平滑与抗周期能力提升 [来源: P000306]。</w:t>
      </w:r>
    </w:p>
    <w:p>
      <w:pPr>
        <w:pStyle w:val="ListNumber"/>
      </w:pPr>
      <w:r>
        <w:rPr>
          <w:rFonts w:ascii="Calibri" w:hAnsi="Calibri" w:eastAsia="微软雅黑"/>
          <w:b/>
          <w:i w:val="0"/>
          <w:sz w:val="22"/>
        </w:rPr>
        <w:t>从"本地化服务"转向"全球行业绝对掌控"</w:t>
      </w:r>
      <w:r>
        <w:rPr>
          <w:rFonts w:ascii="Calibri" w:hAnsi="Calibri" w:eastAsia="微软雅黑"/>
          <w:b w:val="0"/>
          <w:i w:val="0"/>
          <w:sz w:val="22"/>
        </w:rPr>
        <w:t>：在特定专业细分赛道上，极化龙头企业通过标准化装备与技术输出，占据全球市场绝对份额，形成高度集中的极化格局 [来源: P000303]。</w:t>
      </w:r>
    </w:p>
    <w:p>
      <w:r>
        <w:rPr>
          <w:rFonts w:ascii="Calibri" w:hAnsi="Calibri" w:eastAsia="微软雅黑"/>
          <w:b w:val="0"/>
          <w:i w:val="0"/>
          <w:sz w:val="22"/>
        </w:rPr>
        <w:t>本章的实证材料构成了一条"三重证据链"，可以检验极化逻辑的真实性（证据结构为本研究归纳）：第一重是</w:t>
      </w:r>
      <w:r>
        <w:rPr>
          <w:rFonts w:ascii="Calibri" w:hAnsi="Calibri" w:eastAsia="微软雅黑"/>
          <w:b/>
          <w:i w:val="0"/>
          <w:sz w:val="22"/>
        </w:rPr>
        <w:t>资质与技术证据</w:t>
      </w:r>
      <w:r>
        <w:rPr>
          <w:rFonts w:ascii="Calibri" w:hAnsi="Calibri" w:eastAsia="微软雅黑"/>
          <w:b w:val="0"/>
          <w:i w:val="0"/>
          <w:sz w:val="22"/>
        </w:rPr>
        <w:t>——综合甲级资质、专利数量与工艺包独占性（天辰21个领域综合甲级、五环专利287项、中材国际有效专利超3,100件）；第二重是</w:t>
      </w:r>
      <w:r>
        <w:rPr>
          <w:rFonts w:ascii="Calibri" w:hAnsi="Calibri" w:eastAsia="微软雅黑"/>
          <w:b/>
          <w:i w:val="0"/>
          <w:sz w:val="22"/>
        </w:rPr>
        <w:t>财务证据</w:t>
      </w:r>
      <w:r>
        <w:rPr>
          <w:rFonts w:ascii="Calibri" w:hAnsi="Calibri" w:eastAsia="微软雅黑"/>
          <w:b w:val="0"/>
          <w:i w:val="0"/>
          <w:sz w:val="22"/>
        </w:rPr>
        <w:t>——极化企业的毛利率与现金流显著优于行业平均（中材国际境外业务毛利率23.07%、生产运营服务毛利率21.48%，均高于其工程技术服务15.97%的总体水平）；第三重是</w:t>
      </w:r>
      <w:r>
        <w:rPr>
          <w:rFonts w:ascii="Calibri" w:hAnsi="Calibri" w:eastAsia="微软雅黑"/>
          <w:b/>
          <w:i w:val="0"/>
          <w:sz w:val="22"/>
        </w:rPr>
        <w:t>客户与订单证据</w:t>
      </w:r>
      <w:r>
        <w:rPr>
          <w:rFonts w:ascii="Calibri" w:hAnsi="Calibri" w:eastAsia="微软雅黑"/>
          <w:b w:val="0"/>
          <w:i w:val="0"/>
          <w:sz w:val="22"/>
        </w:rPr>
        <w:t>——市占率与订单结构（天辰纯碱设计产能占全国约60%、五环印尼PKG打破半个世纪垄断、中材国际境外整线19条）。三重证据齐备，极化战略才真正成立；只有宣传话术而无财务与订单证据的"伪极化"，是存量时代最危险的战略幻觉 [来源: P000303, P000305, P000306, P000311]。</w:t>
      </w:r>
    </w:p>
    <w:p>
      <w:pPr>
        <w:pStyle w:val="Heading3"/>
      </w:pPr>
      <w:r>
        <w:t>4.1.2 典型企业极化实证</w:t>
      </w:r>
    </w:p>
    <w:p>
      <w:pPr>
        <w:pStyle w:val="Heading4"/>
      </w:pPr>
      <w:r>
        <w:t>4.1.2.1 中国天辰：研发-工程-实业"一核多元"的极化深度</w:t>
      </w:r>
    </w:p>
    <w:p>
      <w:r>
        <w:rPr>
          <w:rFonts w:ascii="Calibri" w:hAnsi="Calibri" w:eastAsia="微软雅黑"/>
          <w:b w:val="0"/>
          <w:i w:val="0"/>
          <w:sz w:val="22"/>
        </w:rPr>
        <w:t>中国天辰工程有限公司（以下简称"中国天辰"）是化工工程领域的领军企业，其极化实践是"技术驱动+实业化运营"的典型代表 [来源: P000306]。</w:t>
      </w:r>
    </w:p>
    <w:p>
      <w:pPr>
        <w:pStyle w:val="ListBullet"/>
      </w:pPr>
      <w:r>
        <w:rPr>
          <w:rFonts w:ascii="Calibri" w:hAnsi="Calibri" w:eastAsia="微软雅黑"/>
          <w:b/>
          <w:i w:val="0"/>
          <w:sz w:val="22"/>
        </w:rPr>
        <w:t>数据（Data）</w:t>
      </w:r>
      <w:r>
        <w:rPr>
          <w:rFonts w:ascii="Calibri" w:hAnsi="Calibri" w:eastAsia="微软雅黑"/>
          <w:b w:val="0"/>
          <w:i w:val="0"/>
          <w:sz w:val="22"/>
        </w:rPr>
        <w:t>：中国天辰于2008年获得建设部全国首批颁发的工程设计综合甲级资质，能够无限制承接全部21个领域的工程设计与总承包业务 [来源: P000306]。公司2006年成立研发中心，2012年率先开启产业板块投资运营，2014年天辰耀隆己内酰胺成功投产，2020年入选国务院"科改示范行动"并连续三次被评为标杆企业，2022年天辰齐翔全国首套丁二烯法己二腈装置成功投产，2023年入选国资委创建世界一流专业领军示范企业 [来源: P000306]。公司攻克了"卡脖子"核心技术——丁二烯法己二腈，并研发掌握双氧水法环氧丙烷（HPPO）、绿色己内酰胺、多喷嘴水煤浆加压气化等多项自主工艺技术 [来源: P000306]。在纯碱领域，其承揽的项目设计产能占据国内纯碱产能半壁江山（占比全国总产能约60%），并保持烧碱领域国内市场占有率超60%的纪录，是国内唯一拥有氨碱、联碱、天然碱三类工程业绩的总承包单位 [来源: P000306]。</w:t>
      </w:r>
    </w:p>
    <w:p>
      <w:pPr>
        <w:pStyle w:val="ListBullet"/>
      </w:pPr>
      <w:r>
        <w:rPr>
          <w:rFonts w:ascii="Calibri" w:hAnsi="Calibri" w:eastAsia="微软雅黑"/>
          <w:b/>
          <w:i w:val="0"/>
          <w:sz w:val="22"/>
        </w:rPr>
        <w:t>动作（Action）</w:t>
      </w:r>
      <w:r>
        <w:rPr>
          <w:rFonts w:ascii="Calibri" w:hAnsi="Calibri" w:eastAsia="微软雅黑"/>
          <w:b w:val="0"/>
          <w:i w:val="0"/>
          <w:sz w:val="22"/>
        </w:rPr>
        <w:t>：中国天辰摆脱了传统设计院单纯依赖工程设计或工程总承包的业务框架，制定"始终领先一步"的发展策略与"一核多元"业务发展格局 [来源: P000306]。</w:t>
      </w:r>
    </w:p>
    <w:p>
      <w:r>
        <w:rPr>
          <w:rFonts w:ascii="Calibri" w:hAnsi="Calibri" w:eastAsia="微软雅黑"/>
          <w:b w:val="0"/>
          <w:i w:val="0"/>
          <w:sz w:val="22"/>
        </w:rPr>
        <w:t xml:space="preserve">1. </w:t>
      </w:r>
      <w:r>
        <w:rPr>
          <w:rFonts w:ascii="Calibri" w:hAnsi="Calibri" w:eastAsia="微软雅黑"/>
          <w:b/>
          <w:i w:val="0"/>
          <w:sz w:val="22"/>
        </w:rPr>
        <w:t>构建自主研发体系</w:t>
      </w:r>
      <w:r>
        <w:rPr>
          <w:rFonts w:ascii="Calibri" w:hAnsi="Calibri" w:eastAsia="微软雅黑"/>
          <w:b w:val="0"/>
          <w:i w:val="0"/>
          <w:sz w:val="22"/>
        </w:rPr>
        <w:t>：以技术研发为"核"、为"芯"，采用"产学研设"有机融合模式，联合国内高校与世界知名研发机构，以化工新材料为主攻方向突破核心技术 [来源: P000306]。</w:t>
      </w:r>
    </w:p>
    <w:p>
      <w:r>
        <w:rPr>
          <w:rFonts w:ascii="Calibri" w:hAnsi="Calibri" w:eastAsia="微软雅黑"/>
          <w:b w:val="0"/>
          <w:i w:val="0"/>
          <w:sz w:val="22"/>
        </w:rPr>
        <w:t xml:space="preserve">2. </w:t>
      </w:r>
      <w:r>
        <w:rPr>
          <w:rFonts w:ascii="Calibri" w:hAnsi="Calibri" w:eastAsia="微软雅黑"/>
          <w:b/>
          <w:i w:val="0"/>
          <w:sz w:val="22"/>
        </w:rPr>
        <w:t>打通实业化转化通道</w:t>
      </w:r>
      <w:r>
        <w:rPr>
          <w:rFonts w:ascii="Calibri" w:hAnsi="Calibri" w:eastAsia="微软雅黑"/>
          <w:b w:val="0"/>
          <w:i w:val="0"/>
          <w:sz w:val="22"/>
        </w:rPr>
        <w:t>：设立天辰齐翔、天辰耀隆、天辰泉州等实业板块，将自主研发的己二腈、己内酰胺、环氧丙烷等技术直接投资建设为工业化生产基地 [来源: P000306]。</w:t>
      </w:r>
    </w:p>
    <w:p>
      <w:r>
        <w:rPr>
          <w:rFonts w:ascii="Calibri" w:hAnsi="Calibri" w:eastAsia="微软雅黑"/>
          <w:b w:val="0"/>
          <w:i w:val="0"/>
          <w:sz w:val="22"/>
        </w:rPr>
        <w:t xml:space="preserve">3. </w:t>
      </w:r>
      <w:r>
        <w:rPr>
          <w:rFonts w:ascii="Calibri" w:hAnsi="Calibri" w:eastAsia="微软雅黑"/>
          <w:b/>
          <w:i w:val="0"/>
          <w:sz w:val="22"/>
        </w:rPr>
        <w:t>"T+EPC"创新商业模式</w:t>
      </w:r>
      <w:r>
        <w:rPr>
          <w:rFonts w:ascii="Calibri" w:hAnsi="Calibri" w:eastAsia="微软雅黑"/>
          <w:b w:val="0"/>
          <w:i w:val="0"/>
          <w:sz w:val="22"/>
        </w:rPr>
        <w:t>：将技术许可（Technology）与工程总承包（EPC）深度融合，承揽陕西榆能精细化工100万吨/年高端化学品新材料项目公辅EPC总承包，并将中国工艺侯氏制碱法（联碱法）首次应用于印尼Pupuk Kaltim纯碱项目（印尼首个纯碱项目），在土耳其承接卡赞天然碱项目与地下天然气储库EPC总承包，在哈萨克斯坦承接电站项目，在湖北实施双环科技联碱节能技术升级改造项目 [来源: P000306]。</w:t>
      </w:r>
    </w:p>
    <w:p>
      <w:r>
        <w:rPr>
          <w:rFonts w:ascii="Calibri" w:hAnsi="Calibri" w:eastAsia="微软雅黑"/>
          <w:b w:val="0"/>
          <w:i w:val="0"/>
          <w:sz w:val="22"/>
        </w:rPr>
        <w:t xml:space="preserve">4. </w:t>
      </w:r>
      <w:r>
        <w:rPr>
          <w:rFonts w:ascii="Calibri" w:hAnsi="Calibri" w:eastAsia="微软雅黑"/>
          <w:b/>
          <w:i w:val="0"/>
          <w:sz w:val="22"/>
        </w:rPr>
        <w:t>国际化经营与融资联动</w:t>
      </w:r>
      <w:r>
        <w:rPr>
          <w:rFonts w:ascii="Calibri" w:hAnsi="Calibri" w:eastAsia="微软雅黑"/>
          <w:b w:val="0"/>
          <w:i w:val="0"/>
          <w:sz w:val="22"/>
        </w:rPr>
        <w:t>：坚持区域深耕的国际化经营策略，与壳牌、道达尔、BP、GE、PARCO、LG、SABIC等国际客户建立合作；在海外项目上采用出口买方信贷等融资安排，与中国进出口银行等政策性金融机构合作降低融资成本，形成"技术+工程+融资"的立体化海外市场开拓格局 [来源: P000306]。</w:t>
      </w:r>
    </w:p>
    <w:p>
      <w:pPr>
        <w:pStyle w:val="ListBullet"/>
      </w:pPr>
      <w:r>
        <w:rPr>
          <w:rFonts w:ascii="Calibri" w:hAnsi="Calibri" w:eastAsia="微软雅黑"/>
          <w:b/>
          <w:i w:val="0"/>
          <w:sz w:val="22"/>
        </w:rPr>
        <w:t>结果（Result）</w:t>
      </w:r>
      <w:r>
        <w:rPr>
          <w:rFonts w:ascii="Calibri" w:hAnsi="Calibri" w:eastAsia="微软雅黑"/>
          <w:b w:val="0"/>
          <w:i w:val="0"/>
          <w:sz w:val="22"/>
        </w:rPr>
        <w:t>：通过"研发+工程+实业"的极化深耕，中国天辰打破了国外在己二腈等化工新材料领域的长期技术垄断，不仅获得工程回报，更通过实业资产投产运营获得稳定现金流与高毛利收益，形成集技术研发、工程总承包、实业运营、国际贸易、投融资于一体的"研、投、建、运、销"全链条能力 [来源: P000306]。</w:t>
      </w:r>
    </w:p>
    <w:p>
      <w:pPr>
        <w:pStyle w:val="Heading4"/>
      </w:pPr>
      <w:r>
        <w:t>4.1.2.2 中国五环："两商"定位与特色化工赛道堡垒</w:t>
      </w:r>
    </w:p>
    <w:p>
      <w:r>
        <w:rPr>
          <w:rFonts w:ascii="Calibri" w:hAnsi="Calibri" w:eastAsia="微软雅黑"/>
          <w:b w:val="0"/>
          <w:i w:val="0"/>
          <w:sz w:val="22"/>
        </w:rPr>
        <w:t>中国五环工程有限公司（以下简称"中国五环"）确立了"工业工程领域综合解决方案服务商、高端化学品和先进材料供应商"的"两商"战略发展定位，围绕氨及氨加工、煤化工、磷化工、化工新材料、硅基新材料、低温储运设施、新能源、环保及基础设施八大核心业务领域构筑技术优势 [来源: P000311]。</w:t>
      </w:r>
    </w:p>
    <w:p>
      <w:pPr>
        <w:pStyle w:val="ListBullet"/>
      </w:pPr>
      <w:r>
        <w:rPr>
          <w:rFonts w:ascii="Calibri" w:hAnsi="Calibri" w:eastAsia="微软雅黑"/>
          <w:b/>
          <w:i w:val="0"/>
          <w:sz w:val="22"/>
        </w:rPr>
        <w:t>数据（Data）</w:t>
      </w:r>
      <w:r>
        <w:rPr>
          <w:rFonts w:ascii="Calibri" w:hAnsi="Calibri" w:eastAsia="微软雅黑"/>
          <w:b w:val="0"/>
          <w:i w:val="0"/>
          <w:sz w:val="22"/>
        </w:rPr>
        <w:t>：中国五环自主研发并拥有完全自主知识产权的第三代"WHB合成气制乙二醇技术"已在哈密广汇等大型煤化工项目成功应用，建设同等规模煤制乙二醇项目可节省投资约30%、能源消耗降低15-20%；其"半水-二水法磷酸"技术被认为是世界最先进的磷酸生产工艺之一，在湖北宜都兴发38万吨项目中得到成功应用；公司累计持有专利技术287项；其大型尿素技术支撑的印尼PKG合成氨尿素项目（66万吨合成氨、82.5万吨尿素），打破了日本企业在该领域长达半个世纪的垄断 [来源: P000311]。</w:t>
      </w:r>
    </w:p>
    <w:p>
      <w:pPr>
        <w:pStyle w:val="ListBullet"/>
      </w:pPr>
      <w:r>
        <w:rPr>
          <w:rFonts w:ascii="Calibri" w:hAnsi="Calibri" w:eastAsia="微软雅黑"/>
          <w:b/>
          <w:i w:val="0"/>
          <w:sz w:val="22"/>
        </w:rPr>
        <w:t>动作（Action）</w:t>
      </w:r>
      <w:r>
        <w:rPr>
          <w:rFonts w:ascii="Calibri" w:hAnsi="Calibri" w:eastAsia="微软雅黑"/>
          <w:b w:val="0"/>
          <w:i w:val="0"/>
          <w:sz w:val="22"/>
        </w:rPr>
        <w:t>：中国五环针对传统化肥与大宗化工产能过剩的现状，采取了精准的极化重构动作 [来源: P000311]。</w:t>
      </w:r>
    </w:p>
    <w:p>
      <w:r>
        <w:rPr>
          <w:rFonts w:ascii="Calibri" w:hAnsi="Calibri" w:eastAsia="微软雅黑"/>
          <w:b w:val="0"/>
          <w:i w:val="0"/>
          <w:sz w:val="22"/>
        </w:rPr>
        <w:t xml:space="preserve">1. </w:t>
      </w:r>
      <w:r>
        <w:rPr>
          <w:rFonts w:ascii="Calibri" w:hAnsi="Calibri" w:eastAsia="微软雅黑"/>
          <w:b/>
          <w:i w:val="0"/>
          <w:sz w:val="22"/>
        </w:rPr>
        <w:t>专利技术工程化模块化</w:t>
      </w:r>
      <w:r>
        <w:rPr>
          <w:rFonts w:ascii="Calibri" w:hAnsi="Calibri" w:eastAsia="微软雅黑"/>
          <w:b w:val="0"/>
          <w:i w:val="0"/>
          <w:sz w:val="22"/>
        </w:rPr>
        <w:t>：将"半水-二水法磷酸"与"WHB合成气制乙二醇"等核心专利深化为工程标准化方案，在投标的技术方案部分获得更高评分，形成技术独占性优势 [来源: P000311]。</w:t>
      </w:r>
    </w:p>
    <w:p>
      <w:r>
        <w:rPr>
          <w:rFonts w:ascii="Calibri" w:hAnsi="Calibri" w:eastAsia="微软雅黑"/>
          <w:b w:val="0"/>
          <w:i w:val="0"/>
          <w:sz w:val="22"/>
        </w:rPr>
        <w:t xml:space="preserve">2. </w:t>
      </w:r>
      <w:r>
        <w:rPr>
          <w:rFonts w:ascii="Calibri" w:hAnsi="Calibri" w:eastAsia="微软雅黑"/>
          <w:b/>
          <w:i w:val="0"/>
          <w:sz w:val="22"/>
        </w:rPr>
        <w:t>向高附加值新材料与新能源延伸</w:t>
      </w:r>
      <w:r>
        <w:rPr>
          <w:rFonts w:ascii="Calibri" w:hAnsi="Calibri" w:eastAsia="微软雅黑"/>
          <w:b w:val="0"/>
          <w:i w:val="0"/>
          <w:sz w:val="22"/>
        </w:rPr>
        <w:t>：围绕磷化工与新能源交叉领域布局电池级磷酸铁技术，聚焦多晶硅与有机硅产业链，并与氢阳能源合作签订宜都10000吨/年常温常压液态储氢加氢装备EPC总承包合同 [来源: P000311]。</w:t>
      </w:r>
    </w:p>
    <w:p>
      <w:r>
        <w:rPr>
          <w:rFonts w:ascii="Calibri" w:hAnsi="Calibri" w:eastAsia="微软雅黑"/>
          <w:b w:val="0"/>
          <w:i w:val="0"/>
          <w:sz w:val="22"/>
        </w:rPr>
        <w:t xml:space="preserve">3. </w:t>
      </w:r>
      <w:r>
        <w:rPr>
          <w:rFonts w:ascii="Calibri" w:hAnsi="Calibri" w:eastAsia="微软雅黑"/>
          <w:b/>
          <w:i w:val="0"/>
          <w:sz w:val="22"/>
        </w:rPr>
        <w:t>差异化海外高端竞标</w:t>
      </w:r>
      <w:r>
        <w:rPr>
          <w:rFonts w:ascii="Calibri" w:hAnsi="Calibri" w:eastAsia="微软雅黑"/>
          <w:b w:val="0"/>
          <w:i w:val="0"/>
          <w:sz w:val="22"/>
        </w:rPr>
        <w:t>：在国际市场上避开欧美巨头的传统油气炼化领域，聚焦化肥、磷化工及新材料细分赛道——从早期的越南金瓯化肥、突尼斯磷酸项目，到印尼PKG合成氨尿素项目，再到2024年7月签署的哈萨克斯坦首个大型氮肥综合体项目与摩洛哥OCP磷酸浓缩项目，建立了差异化竞争堡垒 [来源: P000311]。</w:t>
      </w:r>
    </w:p>
    <w:p>
      <w:pPr>
        <w:pStyle w:val="ListBullet"/>
      </w:pPr>
      <w:r>
        <w:rPr>
          <w:rFonts w:ascii="Calibri" w:hAnsi="Calibri" w:eastAsia="微软雅黑"/>
          <w:b/>
          <w:i w:val="0"/>
          <w:sz w:val="22"/>
        </w:rPr>
        <w:t>结果（Result）</w:t>
      </w:r>
      <w:r>
        <w:rPr>
          <w:rFonts w:ascii="Calibri" w:hAnsi="Calibri" w:eastAsia="微软雅黑"/>
          <w:b w:val="0"/>
          <w:i w:val="0"/>
          <w:sz w:val="22"/>
        </w:rPr>
        <w:t>：中国五环在磷化工与现代煤化工极化赛道稳居第一梯队，在与日本东洋工程、千代田化工建设，韩国三星工程、现代工程，欧洲德希尼布福默诗、派特法、林德工程以及美国福陆、柏克德等国际工程巨头的同台竞争中，凭借非油气类化工领域的差异化优势获取了工程总承包业务毛利率与技术附加值的双提升（本句竞争格局归纳为本研究据源文整理）[来源: P000311]。</w:t>
      </w:r>
    </w:p>
    <w:p>
      <w:r>
        <w:rPr>
          <w:rFonts w:ascii="Calibri" w:hAnsi="Calibri" w:eastAsia="微软雅黑"/>
          <w:b w:val="0"/>
          <w:i w:val="0"/>
          <w:sz w:val="22"/>
        </w:rPr>
        <w:t>支撑其极化战略落地的还有一套精细化的供应链与物流管理体系：公司通过系统梳理工程物资管理数据，建立统一的管理数据标准并升级工程材料管理系统，将设计提资、采购申请、订单执行、物流跟踪、到货验收、库存管理、现场领用等环节纳入数字化管理，提高信息透明度、优化库存水平、降低采购成本；针对国际项目物资来自世界各地的复杂局面，公司制定周密的采购和物流方案，统筹海运、陆运、空运及多式联运，全程跟踪出口报关、国际运输、进口清关与内陆运输，确保物资按时、按质、按量抵达现场——这套能力是其敢于在国际高端市场与百年巨头竞标的底座 [来源: P000311]。</w:t>
      </w:r>
    </w:p>
    <w:p>
      <w:pPr>
        <w:pStyle w:val="Heading4"/>
      </w:pPr>
      <w:r>
        <w:t>4.1.2.3 中材国际：全球水泥工程绝对龙头与全产业链极化</w:t>
      </w:r>
    </w:p>
    <w:p>
      <w:r>
        <w:rPr>
          <w:rFonts w:ascii="Calibri" w:hAnsi="Calibri" w:eastAsia="微软雅黑"/>
          <w:b w:val="0"/>
          <w:i w:val="0"/>
          <w:sz w:val="22"/>
        </w:rPr>
        <w:t>中国中材国际工程股份有限公司（以下简称"中材国际"，600970）是全球最大的水泥技术装备工程系统集成服务商，整合了国内水泥工业研发、设计、装备及工程优质资源 [来源: P000305]。</w:t>
      </w:r>
    </w:p>
    <w:p>
      <w:pPr>
        <w:pStyle w:val="ListBullet"/>
      </w:pPr>
      <w:r>
        <w:rPr>
          <w:rFonts w:ascii="Calibri" w:hAnsi="Calibri" w:eastAsia="微软雅黑"/>
          <w:b/>
          <w:i w:val="0"/>
          <w:sz w:val="22"/>
        </w:rPr>
        <w:t>数据（Data）</w:t>
      </w:r>
      <w:r>
        <w:rPr>
          <w:rFonts w:ascii="Calibri" w:hAnsi="Calibri" w:eastAsia="微软雅黑"/>
          <w:b w:val="0"/>
          <w:i w:val="0"/>
          <w:sz w:val="22"/>
        </w:rPr>
        <w:t>：中材国际的有效专利从2022年末的1,865项（发明专利402项、国际专利5项）增至2023年末的2,803件（发明专利617件）、2024年末的2,883件（发明专利796件、国际专利24件），2025年末进一步突破至3,100件以上（其中发明专利超1,000件、国际专利52件），三年间实现了专利规模与质量的双重跃升 [来源: P000304, P000302, P000303, P000305]。公司拥有700-14,000t/d级全规模、全流程自主知识产权系列核心装备，十类核心主机装备自给率2024年达67%、2025年达72%（同比提升近5个百分点）[来源: P000303, P000301]。2024年新签工程技术服务合同371.78亿元，成功获取沙特、菲律宾、伊拉克、捷克、加拿大等15个国家19条境外水泥整线项目 [来源: P000303]；2025年新签工程技术服务合同达427.10亿元（同比增长15%），其中境外合同346.16亿元（同比增长26%，占比提升至81%）[来源: P000305, P000301]。截至2025年末公司有效结转合同额664.55亿元（较2024年末增长11%），为后续年度的业绩确定性提供了支撑 [来源: P000305]。</w:t>
      </w:r>
    </w:p>
    <w:p>
      <w:pPr>
        <w:pStyle w:val="ListBullet"/>
      </w:pPr>
      <w:r>
        <w:rPr>
          <w:rFonts w:ascii="Calibri" w:hAnsi="Calibri" w:eastAsia="微软雅黑"/>
          <w:b/>
          <w:i w:val="0"/>
          <w:sz w:val="22"/>
        </w:rPr>
        <w:t>动作（Action）</w:t>
      </w:r>
      <w:r>
        <w:rPr>
          <w:rFonts w:ascii="Calibri" w:hAnsi="Calibri" w:eastAsia="微软雅黑"/>
          <w:b w:val="0"/>
          <w:i w:val="0"/>
          <w:sz w:val="22"/>
        </w:rPr>
        <w:t>：中材国际实施了全产业链深耕与"两端延伸"的极化战略 [来源: P000303, P000301]。</w:t>
      </w:r>
    </w:p>
    <w:p>
      <w:r>
        <w:rPr>
          <w:rFonts w:ascii="Calibri" w:hAnsi="Calibri" w:eastAsia="微软雅黑"/>
          <w:b w:val="0"/>
          <w:i w:val="0"/>
          <w:sz w:val="22"/>
        </w:rPr>
        <w:t xml:space="preserve">1. </w:t>
      </w:r>
      <w:r>
        <w:rPr>
          <w:rFonts w:ascii="Calibri" w:hAnsi="Calibri" w:eastAsia="微软雅黑"/>
          <w:b/>
          <w:i w:val="0"/>
          <w:sz w:val="22"/>
        </w:rPr>
        <w:t>价值链前端强化自主技术与高端装备</w:t>
      </w:r>
      <w:r>
        <w:rPr>
          <w:rFonts w:ascii="Calibri" w:hAnsi="Calibri" w:eastAsia="微软雅黑"/>
          <w:b w:val="0"/>
          <w:i w:val="0"/>
          <w:sz w:val="22"/>
        </w:rPr>
        <w:t>：设立墨西哥、德国、摩洛哥技术研发中心，高端装备智造园全面投运，唐山移动破碎制造基地投运，装备智能制造工业互联网平台全面落地 [来源: P000301]。</w:t>
      </w:r>
    </w:p>
    <w:p>
      <w:r>
        <w:rPr>
          <w:rFonts w:ascii="Calibri" w:hAnsi="Calibri" w:eastAsia="微软雅黑"/>
          <w:b w:val="0"/>
          <w:i w:val="0"/>
          <w:sz w:val="22"/>
        </w:rPr>
        <w:t xml:space="preserve">2. </w:t>
      </w:r>
      <w:r>
        <w:rPr>
          <w:rFonts w:ascii="Calibri" w:hAnsi="Calibri" w:eastAsia="微软雅黑"/>
          <w:b/>
          <w:i w:val="0"/>
          <w:sz w:val="22"/>
        </w:rPr>
        <w:t>价值链后端建立全球属地化运维网络</w:t>
      </w:r>
      <w:r>
        <w:rPr>
          <w:rFonts w:ascii="Calibri" w:hAnsi="Calibri" w:eastAsia="微软雅黑"/>
          <w:b w:val="0"/>
          <w:i w:val="0"/>
          <w:sz w:val="22"/>
        </w:rPr>
        <w:t>：搭建全球保产运维平台，2024年新签生产运营服务合同173.12亿元（同比增长27%），其中新签矿山运维合同108.35亿元（同比增长36%）、水泥运维及其他64.77亿元（同比增长15%）；截至2024年末在执行矿山运维服务项目318个（其中境外9个），水泥供矿国内市场占有率达21%，报告期完成供矿量6.8亿吨；在执行水泥运维服务生产线68条（年提供产能超1亿吨），2025年末进一步增至74条（年提供产能超1.18亿吨，其中境外61条）[来源: P000303, P000301]。</w:t>
      </w:r>
    </w:p>
    <w:p>
      <w:r>
        <w:rPr>
          <w:rFonts w:ascii="Calibri" w:hAnsi="Calibri" w:eastAsia="微软雅黑"/>
          <w:b w:val="0"/>
          <w:i w:val="0"/>
          <w:sz w:val="22"/>
        </w:rPr>
        <w:t xml:space="preserve">3. </w:t>
      </w:r>
      <w:r>
        <w:rPr>
          <w:rFonts w:ascii="Calibri" w:hAnsi="Calibri" w:eastAsia="微软雅黑"/>
          <w:b/>
          <w:i w:val="0"/>
          <w:sz w:val="22"/>
        </w:rPr>
        <w:t>绿色低碳与数字智能转型</w:t>
      </w:r>
      <w:r>
        <w:rPr>
          <w:rFonts w:ascii="Calibri" w:hAnsi="Calibri" w:eastAsia="微软雅黑"/>
          <w:b w:val="0"/>
          <w:i w:val="0"/>
          <w:sz w:val="22"/>
        </w:rPr>
        <w:t>：自主研发的水泥全氧燃烧耦合碳捕集成套技术在青州中联落地应用且关键指标成功达标（全球水泥行业全氧燃烧耦合碳捕集技术领域规模最大项目），签约欧盟减碳重点项目海德堡捷克熟料线 [来源: P000303]。</w:t>
      </w:r>
    </w:p>
    <w:p>
      <w:pPr>
        <w:pStyle w:val="ListBullet"/>
      </w:pPr>
      <w:r>
        <w:rPr>
          <w:rFonts w:ascii="Calibri" w:hAnsi="Calibri" w:eastAsia="微软雅黑"/>
          <w:b/>
          <w:i w:val="0"/>
          <w:sz w:val="22"/>
        </w:rPr>
        <w:t>结果（Result）</w:t>
      </w:r>
      <w:r>
        <w:rPr>
          <w:rFonts w:ascii="Calibri" w:hAnsi="Calibri" w:eastAsia="微软雅黑"/>
          <w:b w:val="0"/>
          <w:i w:val="0"/>
          <w:sz w:val="22"/>
        </w:rPr>
        <w:t>：中材国际在水泥工程领域建立了全球领先的垄断地位，国际化指数2024年达44.83%（同比增长2.79个百分点）、2025年近48%（同比提升2.82个百分点），通过"工程+装备+运维"三轮驱动，成功抵御了国内新建水泥市场的下行波动 [来源: P000303, P000301]。</w:t>
      </w:r>
    </w:p>
    <w:p>
      <w:pPr>
        <w:pStyle w:val="Heading3"/>
      </w:pPr>
      <w:r>
        <w:t>4.1.3 赛道极化的可执行实施方法</w:t>
      </w:r>
    </w:p>
    <w:p>
      <w:r>
        <w:rPr>
          <w:rFonts w:ascii="Calibri" w:hAnsi="Calibri" w:eastAsia="微软雅黑"/>
          <w:b w:val="0"/>
          <w:i w:val="0"/>
          <w:sz w:val="22"/>
        </w:rPr>
        <w:t>面向希望实施"极化战略"的工程企业高管与设计院院长，综合标杆企业实践提炼"四步法"实施指南：</w:t>
      </w:r>
    </w:p>
    <w:p>
      <w:pPr>
        <w:pStyle w:val="ListNumber"/>
      </w:pPr>
      <w:r>
        <w:rPr>
          <w:rFonts w:ascii="Calibri" w:hAnsi="Calibri" w:eastAsia="微软雅黑"/>
          <w:b/>
          <w:i w:val="0"/>
          <w:sz w:val="22"/>
        </w:rPr>
        <w:t>步骤一：技术基因盘点与专利组合解耦</w:t>
      </w:r>
      <w:r>
        <w:rPr>
          <w:rFonts w:ascii="Calibri" w:hAnsi="Calibri" w:eastAsia="微软雅黑"/>
          <w:b w:val="0"/>
          <w:i w:val="0"/>
          <w:sz w:val="22"/>
        </w:rPr>
        <w:t>。对企业内部积累的专利、专有技术、试验数据及工程图纸进行彻底盘点，甄别出具有独占性或领先优势的"杀手锏"技术；剥离或缩减缺乏技术壁垒的纯土建与通用安装业务，将研发资源向核心细分赛道集中（此步骤为本研究据天辰、五环实践归纳）[来源: P000306, P000311]。</w:t>
      </w:r>
    </w:p>
    <w:p>
      <w:pPr>
        <w:pStyle w:val="ListNumber"/>
      </w:pPr>
      <w:r>
        <w:rPr>
          <w:rFonts w:ascii="Calibri" w:hAnsi="Calibri" w:eastAsia="微软雅黑"/>
          <w:b/>
          <w:i w:val="0"/>
          <w:sz w:val="22"/>
        </w:rPr>
        <w:t>步骤二：工程化放大与工艺包标准化封装</w:t>
      </w:r>
      <w:r>
        <w:rPr>
          <w:rFonts w:ascii="Calibri" w:hAnsi="Calibri" w:eastAsia="微软雅黑"/>
          <w:b w:val="0"/>
          <w:i w:val="0"/>
          <w:sz w:val="22"/>
        </w:rPr>
        <w:t>。联合科研院校建立研发与工程化中试平台，将实验室成果转化为成熟的工业化工艺包；将核心工艺单元封装为标准模块与主设备图纸，降低现场施工复杂度和接口失配风险（此步骤为本研究归纳）[来源: P000306, P000311]。</w:t>
      </w:r>
    </w:p>
    <w:p>
      <w:pPr>
        <w:pStyle w:val="ListNumber"/>
      </w:pPr>
      <w:r>
        <w:rPr>
          <w:rFonts w:ascii="Calibri" w:hAnsi="Calibri" w:eastAsia="微软雅黑"/>
          <w:b/>
          <w:i w:val="0"/>
          <w:sz w:val="22"/>
        </w:rPr>
        <w:t>步骤三："T+EPC"商业模式落地与合同重构</w:t>
      </w:r>
      <w:r>
        <w:rPr>
          <w:rFonts w:ascii="Calibri" w:hAnsi="Calibri" w:eastAsia="微软雅黑"/>
          <w:b w:val="0"/>
          <w:i w:val="0"/>
          <w:sz w:val="22"/>
        </w:rPr>
        <w:t>。在商务谈判中将专利技术许可、工艺包供货与工程总承包打包捆绑，提升商务议价能力，避免单纯的施工价格厮杀；通过核心设备的独家供货或自给（如中材国际主机自给率提升至72%），确保履约质量与高毛利收益 [来源: P000306, P000301]。</w:t>
      </w:r>
    </w:p>
    <w:p>
      <w:pPr>
        <w:pStyle w:val="ListNumber"/>
      </w:pPr>
      <w:r>
        <w:rPr>
          <w:rFonts w:ascii="Calibri" w:hAnsi="Calibri" w:eastAsia="微软雅黑"/>
          <w:b/>
          <w:i w:val="0"/>
          <w:sz w:val="22"/>
        </w:rPr>
        <w:t>步骤四：实业投资与全生命周期运维贯通</w:t>
      </w:r>
      <w:r>
        <w:rPr>
          <w:rFonts w:ascii="Calibri" w:hAnsi="Calibri" w:eastAsia="微软雅黑"/>
          <w:b w:val="0"/>
          <w:i w:val="0"/>
          <w:sz w:val="22"/>
        </w:rPr>
        <w:t>。对经过验证的优质高新材料或清洁能源项目，通过参股或控股建立实业基地（如天辰齐翔己二腈），获取长期稳定的经营收益；建立远程数字诊断与保产运维团队，将交付的工程转化为长期的矿山运维、工厂保产与备件供应合同，锁定全生命周期长尾红利（此步骤为本研究归纳）[来源: P000306, P000303]。</w:t>
      </w:r>
    </w:p>
    <w:p>
      <w:r>
        <w:rPr>
          <w:rFonts w:ascii="Calibri" w:hAnsi="Calibri" w:eastAsia="微软雅黑"/>
          <w:b w:val="0"/>
          <w:i w:val="0"/>
          <w:sz w:val="22"/>
        </w:rPr>
        <w:t>---</w:t>
      </w:r>
    </w:p>
    <w:p>
      <w:pPr>
        <w:pStyle w:val="Heading2"/>
      </w:pPr>
      <w:r>
        <w:t>4.2 新增量爆发：核电、绿能低碳与高能级海外的三大爆发极</w:t>
      </w:r>
    </w:p>
    <w:p>
      <w:r>
        <w:rPr>
          <w:rFonts w:ascii="Calibri" w:hAnsi="Calibri" w:eastAsia="微软雅黑"/>
          <w:b w:val="0"/>
          <w:i w:val="0"/>
          <w:sz w:val="22"/>
        </w:rPr>
        <w:t>在传统粗放型工业与基建投资见顶的背景下，工程总承包的新增量并非凭空消失，而是向"高技术门槛、高安全等级、绿色低碳转型及高能级海外市场"加速集中 [来源: P000303, P000305]。工程企业能否抓住这批爆发式增长的新增量，决定了其未来5-10年的市场地位（此判断为本研究观点）。</w:t>
      </w:r>
    </w:p>
    <w:p>
      <w:pPr>
        <w:pStyle w:val="Heading3"/>
      </w:pPr>
      <w:r>
        <w:t>4.2.1 新增量赛道的识别逻辑与动力机制</w:t>
      </w:r>
    </w:p>
    <w:p>
      <w:r>
        <w:rPr>
          <w:rFonts w:ascii="Calibri" w:hAnsi="Calibri" w:eastAsia="微软雅黑"/>
          <w:b w:val="0"/>
          <w:i w:val="0"/>
          <w:sz w:val="22"/>
        </w:rPr>
        <w:t>新增量爆发的底层动力机制来源于国家战略安全驱动、全球"双碳"硬约束以及工业智能化升级重构 [来源: P000303, P000305]：</w:t>
      </w:r>
    </w:p>
    <w:p>
      <w:pPr>
        <w:pStyle w:val="ListNumber"/>
      </w:pPr>
      <w:r>
        <w:rPr>
          <w:rFonts w:ascii="Calibri" w:hAnsi="Calibri" w:eastAsia="微软雅黑"/>
          <w:b/>
          <w:i w:val="0"/>
          <w:sz w:val="22"/>
        </w:rPr>
        <w:t>国家能源安全与高门槛资质驱动</w:t>
      </w:r>
      <w:r>
        <w:rPr>
          <w:rFonts w:ascii="Calibri" w:hAnsi="Calibri" w:eastAsia="微软雅黑"/>
          <w:b w:val="0"/>
          <w:i w:val="0"/>
          <w:sz w:val="22"/>
        </w:rPr>
        <w:t>：核电、特高压及大型清洁能源基地建设具有极高安全等级与严格准入门槛，只有具备核安全级设计与全过程管控能力的企业才能获取超额订单 [来源: P000351]。</w:t>
      </w:r>
    </w:p>
    <w:p>
      <w:pPr>
        <w:pStyle w:val="ListNumber"/>
      </w:pPr>
      <w:r>
        <w:rPr>
          <w:rFonts w:ascii="Calibri" w:hAnsi="Calibri" w:eastAsia="微软雅黑"/>
          <w:b/>
          <w:i w:val="0"/>
          <w:sz w:val="22"/>
        </w:rPr>
        <w:t>"双碳"硬约束下的技术替代增量</w:t>
      </w:r>
      <w:r>
        <w:rPr>
          <w:rFonts w:ascii="Calibri" w:hAnsi="Calibri" w:eastAsia="微软雅黑"/>
          <w:b w:val="0"/>
          <w:i w:val="0"/>
          <w:sz w:val="22"/>
        </w:rPr>
        <w:t>：化工新材料、全氧燃烧碳捕集、替代燃料及节能降碳技改项目呈现爆发式需求——2024年多项政策出台，到2025年底前重点区域力争50%水泥熟料产能完成超低排放改造、到2028年底前全国力争80%产能完成改造；到2025年底全国水泥熟料产能控制在18亿吨左右、能效标杆水平以上产能占比达到30%、水泥窑使用替代燃料技术生产线比例达到30% [来源: P000303]。</w:t>
      </w:r>
    </w:p>
    <w:p>
      <w:pPr>
        <w:pStyle w:val="ListNumber"/>
      </w:pPr>
      <w:r>
        <w:rPr>
          <w:rFonts w:ascii="Calibri" w:hAnsi="Calibri" w:eastAsia="微软雅黑"/>
          <w:b/>
          <w:i w:val="0"/>
          <w:sz w:val="22"/>
        </w:rPr>
        <w:t>"一带一路"高能级海外需求升级</w:t>
      </w:r>
      <w:r>
        <w:rPr>
          <w:rFonts w:ascii="Calibri" w:hAnsi="Calibri" w:eastAsia="微软雅黑"/>
          <w:b w:val="0"/>
          <w:i w:val="0"/>
          <w:sz w:val="22"/>
        </w:rPr>
        <w:t>：海外市场正从单纯的"土建输出"向"高标准整线+属地化保产运维+绿能基础设施"深度升级——据正略咨询测算，2026-2030年全球水泥工程服务市场规模年均约390亿元，整线EPC市场集中在非洲、中东、南亚等"一带一路"沿线国家，技改市场集中在中东、北非、拉美、亚洲等地区 [来源: P000305]。</w:t>
      </w:r>
    </w:p>
    <w:p>
      <w:r>
        <w:rPr>
          <w:rFonts w:ascii="Calibri" w:hAnsi="Calibri" w:eastAsia="微软雅黑"/>
          <w:b w:val="0"/>
          <w:i w:val="0"/>
          <w:sz w:val="22"/>
        </w:rPr>
        <w:t>值得决策者注意的是，三大动力机制并非孤立发生，而是相互放大（此判断为本研究观点）：安全驱动的核电与大型清洁能源基地建设，直接拉动高端装备与核级物项的采购增量 [来源: P000351]；"双碳"硬约束催生的技改与替代燃料需求，又为装备制造与运维服务创造长尾市场 [来源: P000303]；海外市场的整线与技改需求，则把前两者的增量从境内复制到境外——中材国际2025年境外新签合同额450.24亿元、同比增长24%的结构性放量，正是三重动力叠加的外化结果 [来源: P000305]。识别这一传导链条的意义在于：企业若只在单一环节（如仅做施工或仅做装备）布局，将错失机制联动带来的复合增量；反之，能在"技术-装备-运维-海外"四个环节同时落子的企业，将获得超线性回报。</w:t>
      </w:r>
    </w:p>
    <w:p>
      <w:pPr>
        <w:pStyle w:val="Heading3"/>
      </w:pPr>
      <w:r>
        <w:t>4.2.2 核心增量赛道与企业打法实证</w:t>
      </w:r>
    </w:p>
    <w:p>
      <w:pPr>
        <w:pStyle w:val="Heading4"/>
      </w:pPr>
      <w:r>
        <w:t>4.2.2.1 高端核电：核电EPC"设计主导"的增量提质与中枢管控</w:t>
      </w:r>
    </w:p>
    <w:p>
      <w:r>
        <w:rPr>
          <w:rFonts w:ascii="Calibri" w:hAnsi="Calibri" w:eastAsia="微软雅黑"/>
          <w:b w:val="0"/>
          <w:i w:val="0"/>
          <w:sz w:val="22"/>
        </w:rPr>
        <w:t>中国核电工程有限公司（以下简称"中核工程"）作为我国核电工程建设的国家队，在三代核电"华龙一号"及漳州核电等国家重大项目中，展示了"设计主导"在核电EPC增量爆发中的中枢管控作用 [来源: P000351, P000352]。</w:t>
      </w:r>
    </w:p>
    <w:p>
      <w:pPr>
        <w:pStyle w:val="ListBullet"/>
      </w:pPr>
      <w:r>
        <w:rPr>
          <w:rFonts w:ascii="Calibri" w:hAnsi="Calibri" w:eastAsia="微软雅黑"/>
          <w:b/>
          <w:i w:val="0"/>
          <w:sz w:val="22"/>
        </w:rPr>
        <w:t>数据（Data）</w:t>
      </w:r>
      <w:r>
        <w:rPr>
          <w:rFonts w:ascii="Calibri" w:hAnsi="Calibri" w:eastAsia="微软雅黑"/>
          <w:b w:val="0"/>
          <w:i w:val="0"/>
          <w:sz w:val="22"/>
        </w:rPr>
        <w:t>：核电站建设周期长达5至7年，投资规模达数百亿元 [来源: P000351]。在财务管控视角下，设计阶段虽然仅占项目总成本的约2%至5%，却锚定了后续约80%的设备采购费与施工安装费；在核电EPC物项中，QA1级（最高质量保证等级）物项采购与施工占比高达41.71% [来源: P000351, P000352]。传统分包模式与EPC设计主导模式的差异，可从设计深度、采购介入点、施工协同度、数据流转与风险防御五个维度直接对照：</w:t>
      </w:r>
    </w:p>
    <w:p>
      <w:pPr>
        <w:pStyle w:val="Heading4"/>
      </w:pPr>
      <w:r>
        <w:t>表4-3 传统分包模式与EPC设计主导模式对比 [来源: P000351]</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比较维度</w:t>
            </w:r>
          </w:p>
        </w:tc>
        <w:tc>
          <w:tcPr>
            <w:tcW w:type="dxa" w:w="2075"/>
            <w:shd w:fill="1F3A5F"/>
          </w:tcPr>
          <w:p>
            <w:r>
              <w:rPr>
                <w:color w:val="FFFFFF"/>
              </w:rPr>
            </w:r>
            <w:r>
              <w:rPr>
                <w:rFonts w:ascii="Calibri" w:hAnsi="Calibri" w:eastAsia="微软雅黑"/>
                <w:b/>
                <w:i w:val="0"/>
                <w:color w:val="FFFFFF"/>
                <w:sz w:val="18"/>
              </w:rPr>
              <w:t>传统分包模式</w:t>
            </w:r>
          </w:p>
        </w:tc>
        <w:tc>
          <w:tcPr>
            <w:tcW w:type="dxa" w:w="2075"/>
            <w:shd w:fill="1F3A5F"/>
          </w:tcPr>
          <w:p>
            <w:r>
              <w:rPr>
                <w:color w:val="FFFFFF"/>
              </w:rPr>
            </w:r>
            <w:r>
              <w:rPr>
                <w:rFonts w:ascii="Calibri" w:hAnsi="Calibri" w:eastAsia="微软雅黑"/>
                <w:b/>
                <w:i w:val="0"/>
                <w:color w:val="FFFFFF"/>
                <w:sz w:val="18"/>
              </w:rPr>
              <w:t>EPC设计主导模式</w:t>
            </w:r>
          </w:p>
        </w:tc>
        <w:tc>
          <w:tcPr>
            <w:tcW w:type="dxa" w:w="2075"/>
            <w:shd w:fill="1F3A5F"/>
          </w:tcPr>
          <w:p>
            <w:r>
              <w:rPr>
                <w:color w:val="FFFFFF"/>
              </w:rPr>
            </w:r>
            <w:r>
              <w:rPr>
                <w:rFonts w:ascii="Calibri" w:hAnsi="Calibri" w:eastAsia="微软雅黑"/>
                <w:b/>
                <w:i w:val="0"/>
                <w:color w:val="FFFFFF"/>
                <w:sz w:val="18"/>
              </w:rPr>
              <w:t>管理启示</w:t>
            </w:r>
          </w:p>
        </w:tc>
      </w:tr>
      <w:tr>
        <w:tc>
          <w:tcPr>
            <w:tcW w:type="dxa" w:w="2075"/>
          </w:tcPr>
          <w:p>
            <w:r/>
            <w:r>
              <w:rPr>
                <w:rFonts w:ascii="Calibri" w:hAnsi="Calibri" w:eastAsia="微软雅黑"/>
                <w:b w:val="0"/>
                <w:i w:val="0"/>
                <w:sz w:val="18"/>
              </w:rPr>
              <w:t>设计深度</w:t>
            </w:r>
          </w:p>
        </w:tc>
        <w:tc>
          <w:tcPr>
            <w:tcW w:type="dxa" w:w="2075"/>
          </w:tcPr>
          <w:p>
            <w:r/>
            <w:r>
              <w:rPr>
                <w:rFonts w:ascii="Calibri" w:hAnsi="Calibri" w:eastAsia="微软雅黑"/>
                <w:b w:val="0"/>
                <w:i w:val="0"/>
                <w:sz w:val="18"/>
              </w:rPr>
              <w:t>仅满足功能描述，与施工脱节</w:t>
            </w:r>
          </w:p>
        </w:tc>
        <w:tc>
          <w:tcPr>
            <w:tcW w:type="dxa" w:w="2075"/>
          </w:tcPr>
          <w:p>
            <w:r/>
            <w:r>
              <w:rPr>
                <w:rFonts w:ascii="Calibri" w:hAnsi="Calibri" w:eastAsia="微软雅黑"/>
                <w:b w:val="0"/>
                <w:i w:val="0"/>
                <w:sz w:val="18"/>
              </w:rPr>
              <w:t>深度集成施工工艺，具备技术预见性</w:t>
            </w:r>
          </w:p>
        </w:tc>
        <w:tc>
          <w:tcPr>
            <w:tcW w:type="dxa" w:w="2075"/>
          </w:tcPr>
          <w:p>
            <w:r/>
            <w:r>
              <w:rPr>
                <w:rFonts w:ascii="Calibri" w:hAnsi="Calibri" w:eastAsia="微软雅黑"/>
                <w:b w:val="0"/>
                <w:i w:val="0"/>
                <w:sz w:val="18"/>
              </w:rPr>
              <w:t>减少因设计不当引起的额外追加投资</w:t>
            </w:r>
          </w:p>
        </w:tc>
      </w:tr>
      <w:tr>
        <w:tc>
          <w:tcPr>
            <w:tcW w:type="dxa" w:w="2075"/>
          </w:tcPr>
          <w:p>
            <w:r/>
            <w:r>
              <w:rPr>
                <w:rFonts w:ascii="Calibri" w:hAnsi="Calibri" w:eastAsia="微软雅黑"/>
                <w:b w:val="0"/>
                <w:i w:val="0"/>
                <w:sz w:val="18"/>
              </w:rPr>
              <w:t>采购介入点</w:t>
            </w:r>
          </w:p>
        </w:tc>
        <w:tc>
          <w:tcPr>
            <w:tcW w:type="dxa" w:w="2075"/>
          </w:tcPr>
          <w:p>
            <w:r/>
            <w:r>
              <w:rPr>
                <w:rFonts w:ascii="Calibri" w:hAnsi="Calibri" w:eastAsia="微软雅黑"/>
                <w:b w:val="0"/>
                <w:i w:val="0"/>
                <w:sz w:val="18"/>
              </w:rPr>
              <w:t>设计完成后启动，技术接口滞后</w:t>
            </w:r>
          </w:p>
        </w:tc>
        <w:tc>
          <w:tcPr>
            <w:tcW w:type="dxa" w:w="2075"/>
          </w:tcPr>
          <w:p>
            <w:r/>
            <w:r>
              <w:rPr>
                <w:rFonts w:ascii="Calibri" w:hAnsi="Calibri" w:eastAsia="微软雅黑"/>
                <w:b w:val="0"/>
                <w:i w:val="0"/>
                <w:sz w:val="18"/>
              </w:rPr>
              <w:t>设计阶段开展供方评价，设计定义规格</w:t>
            </w:r>
          </w:p>
        </w:tc>
        <w:tc>
          <w:tcPr>
            <w:tcW w:type="dxa" w:w="2075"/>
          </w:tcPr>
          <w:p>
            <w:r/>
            <w:r>
              <w:rPr>
                <w:rFonts w:ascii="Calibri" w:hAnsi="Calibri" w:eastAsia="微软雅黑"/>
                <w:b w:val="0"/>
                <w:i w:val="0"/>
                <w:sz w:val="18"/>
              </w:rPr>
              <w:t>规避技术规格模糊导致的采购合规风险</w:t>
            </w:r>
          </w:p>
        </w:tc>
      </w:tr>
      <w:tr>
        <w:tc>
          <w:tcPr>
            <w:tcW w:type="dxa" w:w="2075"/>
          </w:tcPr>
          <w:p>
            <w:r/>
            <w:r>
              <w:rPr>
                <w:rFonts w:ascii="Calibri" w:hAnsi="Calibri" w:eastAsia="微软雅黑"/>
                <w:b w:val="0"/>
                <w:i w:val="0"/>
                <w:sz w:val="18"/>
              </w:rPr>
              <w:t>施工协同度</w:t>
            </w:r>
          </w:p>
        </w:tc>
        <w:tc>
          <w:tcPr>
            <w:tcW w:type="dxa" w:w="2075"/>
          </w:tcPr>
          <w:p>
            <w:r/>
            <w:r>
              <w:rPr>
                <w:rFonts w:ascii="Calibri" w:hAnsi="Calibri" w:eastAsia="微软雅黑"/>
                <w:b w:val="0"/>
                <w:i w:val="0"/>
                <w:sz w:val="18"/>
              </w:rPr>
              <w:t>现场发现冲突后再反馈设计修改</w:t>
            </w:r>
          </w:p>
        </w:tc>
        <w:tc>
          <w:tcPr>
            <w:tcW w:type="dxa" w:w="2075"/>
          </w:tcPr>
          <w:p>
            <w:r/>
            <w:r>
              <w:rPr>
                <w:rFonts w:ascii="Calibri" w:hAnsi="Calibri" w:eastAsia="微软雅黑"/>
                <w:b w:val="0"/>
                <w:i w:val="0"/>
                <w:sz w:val="18"/>
              </w:rPr>
              <w:t>设计提前模拟施工路径，规避空间冲突</w:t>
            </w:r>
          </w:p>
        </w:tc>
        <w:tc>
          <w:tcPr>
            <w:tcW w:type="dxa" w:w="2075"/>
          </w:tcPr>
          <w:p>
            <w:r/>
            <w:r>
              <w:rPr>
                <w:rFonts w:ascii="Calibri" w:hAnsi="Calibri" w:eastAsia="微软雅黑"/>
                <w:b w:val="0"/>
                <w:i w:val="0"/>
                <w:sz w:val="18"/>
              </w:rPr>
              <w:t>降低现场签证率，缩短利息占用周期</w:t>
            </w:r>
          </w:p>
        </w:tc>
      </w:tr>
      <w:tr>
        <w:tc>
          <w:tcPr>
            <w:tcW w:type="dxa" w:w="2075"/>
          </w:tcPr>
          <w:p>
            <w:r/>
            <w:r>
              <w:rPr>
                <w:rFonts w:ascii="Calibri" w:hAnsi="Calibri" w:eastAsia="微软雅黑"/>
                <w:b w:val="0"/>
                <w:i w:val="0"/>
                <w:sz w:val="18"/>
              </w:rPr>
              <w:t>数据流转</w:t>
            </w:r>
          </w:p>
        </w:tc>
        <w:tc>
          <w:tcPr>
            <w:tcW w:type="dxa" w:w="2075"/>
          </w:tcPr>
          <w:p>
            <w:r/>
            <w:r>
              <w:rPr>
                <w:rFonts w:ascii="Calibri" w:hAnsi="Calibri" w:eastAsia="微软雅黑"/>
                <w:b w:val="0"/>
                <w:i w:val="0"/>
                <w:sz w:val="18"/>
              </w:rPr>
              <w:t>纸质图纸流转，信息存在断层</w:t>
            </w:r>
          </w:p>
        </w:tc>
        <w:tc>
          <w:tcPr>
            <w:tcW w:type="dxa" w:w="2075"/>
          </w:tcPr>
          <w:p>
            <w:r/>
            <w:r>
              <w:rPr>
                <w:rFonts w:ascii="Calibri" w:hAnsi="Calibri" w:eastAsia="微软雅黑"/>
                <w:b w:val="0"/>
                <w:i w:val="0"/>
                <w:sz w:val="18"/>
              </w:rPr>
              <w:t>数字化平台驱动，唯一数据源同步</w:t>
            </w:r>
          </w:p>
        </w:tc>
        <w:tc>
          <w:tcPr>
            <w:tcW w:type="dxa" w:w="2075"/>
          </w:tcPr>
          <w:p>
            <w:r/>
            <w:r>
              <w:rPr>
                <w:rFonts w:ascii="Calibri" w:hAnsi="Calibri" w:eastAsia="微软雅黑"/>
                <w:b w:val="0"/>
                <w:i w:val="0"/>
                <w:sz w:val="18"/>
              </w:rPr>
              <w:t>实现成本核算的数字化升级与精准分摊</w:t>
            </w:r>
          </w:p>
        </w:tc>
      </w:tr>
      <w:tr>
        <w:tc>
          <w:tcPr>
            <w:tcW w:type="dxa" w:w="2075"/>
          </w:tcPr>
          <w:p>
            <w:r/>
            <w:r>
              <w:rPr>
                <w:rFonts w:ascii="Calibri" w:hAnsi="Calibri" w:eastAsia="微软雅黑"/>
                <w:b w:val="0"/>
                <w:i w:val="0"/>
                <w:sz w:val="18"/>
              </w:rPr>
              <w:t>风险防御</w:t>
            </w:r>
          </w:p>
        </w:tc>
        <w:tc>
          <w:tcPr>
            <w:tcW w:type="dxa" w:w="2075"/>
          </w:tcPr>
          <w:p>
            <w:r/>
            <w:r>
              <w:rPr>
                <w:rFonts w:ascii="Calibri" w:hAnsi="Calibri" w:eastAsia="微软雅黑"/>
                <w:b w:val="0"/>
                <w:i w:val="0"/>
                <w:sz w:val="18"/>
              </w:rPr>
              <w:t>侧重事后管理，风险识别依赖经验</w:t>
            </w:r>
          </w:p>
        </w:tc>
        <w:tc>
          <w:tcPr>
            <w:tcW w:type="dxa" w:w="2075"/>
          </w:tcPr>
          <w:p>
            <w:r/>
            <w:r>
              <w:rPr>
                <w:rFonts w:ascii="Calibri" w:hAnsi="Calibri" w:eastAsia="微软雅黑"/>
                <w:b w:val="0"/>
                <w:i w:val="0"/>
                <w:sz w:val="18"/>
              </w:rPr>
              <w:t>结构化风险库，设计源头主动防御</w:t>
            </w:r>
          </w:p>
        </w:tc>
        <w:tc>
          <w:tcPr>
            <w:tcW w:type="dxa" w:w="2075"/>
          </w:tcPr>
          <w:p>
            <w:r/>
            <w:r>
              <w:rPr>
                <w:rFonts w:ascii="Calibri" w:hAnsi="Calibri" w:eastAsia="微软雅黑"/>
                <w:b w:val="0"/>
                <w:i w:val="0"/>
                <w:sz w:val="18"/>
              </w:rPr>
              <w:t>提高工程施工质量的置信度</w:t>
            </w:r>
          </w:p>
        </w:tc>
      </w:tr>
    </w:tbl>
    <w:p>
      <w:r>
        <w:rPr>
          <w:rFonts w:ascii="Calibri" w:hAnsi="Calibri" w:eastAsia="微软雅黑"/>
          <w:b w:val="0"/>
          <w:i w:val="0"/>
          <w:sz w:val="22"/>
        </w:rPr>
        <w:t>传统模式下，设计、采购、施工处于相对孤立的状态，导致"设计不知采购难，采购不知施工苦"；而设计主导模式通过将设计定义为中枢神经，实现了从"碎片化协同"向"集成化管控"的跨越 [来源: P000351]。设备制造环节的数据化管理同样服务于这一逻辑——以堆内构件制造为例，制造运营系统实现制造数据的实时获取和结构化管理，覆盖人、机、料、法、环、测全要素监控，生成可在线查询的产品质量档案，为核电设备的高可靠性交付提供技术支撑 [来源: P000351]。</w:t>
      </w:r>
    </w:p>
    <w:p>
      <w:pPr>
        <w:pStyle w:val="ListBullet"/>
      </w:pPr>
      <w:r>
        <w:rPr>
          <w:rFonts w:ascii="Calibri" w:hAnsi="Calibri" w:eastAsia="微软雅黑"/>
          <w:b/>
          <w:i w:val="0"/>
          <w:sz w:val="22"/>
        </w:rPr>
        <w:t>动作（Action）</w:t>
      </w:r>
      <w:r>
        <w:rPr>
          <w:rFonts w:ascii="Calibri" w:hAnsi="Calibri" w:eastAsia="微软雅黑"/>
          <w:b w:val="0"/>
          <w:i w:val="0"/>
          <w:sz w:val="22"/>
        </w:rPr>
        <w:t>：中核工程确立并深化了设计在全生命周期中的"龙头"与"中枢神经"地位 [来源: P000351]。</w:t>
      </w:r>
    </w:p>
    <w:p>
      <w:r>
        <w:rPr>
          <w:rFonts w:ascii="Calibri" w:hAnsi="Calibri" w:eastAsia="微软雅黑"/>
          <w:b w:val="0"/>
          <w:i w:val="0"/>
          <w:sz w:val="22"/>
        </w:rPr>
        <w:t xml:space="preserve">1. </w:t>
      </w:r>
      <w:r>
        <w:rPr>
          <w:rFonts w:ascii="Calibri" w:hAnsi="Calibri" w:eastAsia="微软雅黑"/>
          <w:b/>
          <w:i w:val="0"/>
          <w:sz w:val="22"/>
        </w:rPr>
        <w:t>前置成本锚定与技术预见性</w:t>
      </w:r>
      <w:r>
        <w:rPr>
          <w:rFonts w:ascii="Calibri" w:hAnsi="Calibri" w:eastAsia="微软雅黑"/>
          <w:b w:val="0"/>
          <w:i w:val="0"/>
          <w:sz w:val="22"/>
        </w:rPr>
        <w:t>：建立"设计基准事故分析预算模板库"，在设计源头对核级设备参数与物项编码进行精准定义，建立基于核安全等级划分的多维度预算编制体系，规避后期采购溢价与设计变更 [来源: P000351]。</w:t>
      </w:r>
    </w:p>
    <w:p>
      <w:r>
        <w:rPr>
          <w:rFonts w:ascii="Calibri" w:hAnsi="Calibri" w:eastAsia="微软雅黑"/>
          <w:b w:val="0"/>
          <w:i w:val="0"/>
          <w:sz w:val="22"/>
        </w:rPr>
        <w:t xml:space="preserve">2. </w:t>
      </w:r>
      <w:r>
        <w:rPr>
          <w:rFonts w:ascii="Calibri" w:hAnsi="Calibri" w:eastAsia="微软雅黑"/>
          <w:b/>
          <w:i w:val="0"/>
          <w:sz w:val="22"/>
        </w:rPr>
        <w:t>数字化协同与对象化管理</w:t>
      </w:r>
      <w:r>
        <w:rPr>
          <w:rFonts w:ascii="Calibri" w:hAnsi="Calibri" w:eastAsia="微软雅黑"/>
          <w:b w:val="0"/>
          <w:i w:val="0"/>
          <w:sz w:val="22"/>
        </w:rPr>
        <w:t>：引入Engineering Base（EB）软件实现工程数据从"文档驱动"向"对象驱动"跨越，将设计参数、物料编码与采购工程量清单及现场施工实时在线联动，设计修改效率提升80% [来源: P000351]。</w:t>
      </w:r>
    </w:p>
    <w:p>
      <w:r>
        <w:rPr>
          <w:rFonts w:ascii="Calibri" w:hAnsi="Calibri" w:eastAsia="微软雅黑"/>
          <w:b w:val="0"/>
          <w:i w:val="0"/>
          <w:sz w:val="22"/>
        </w:rPr>
        <w:t xml:space="preserve">3. </w:t>
      </w:r>
      <w:r>
        <w:rPr>
          <w:rFonts w:ascii="Calibri" w:hAnsi="Calibri" w:eastAsia="微软雅黑"/>
          <w:b/>
          <w:i w:val="0"/>
          <w:sz w:val="22"/>
        </w:rPr>
        <w:t>仪控标准化与QA源头干预</w:t>
      </w:r>
      <w:r>
        <w:rPr>
          <w:rFonts w:ascii="Calibri" w:hAnsi="Calibri" w:eastAsia="微软雅黑"/>
          <w:b w:val="0"/>
          <w:i w:val="0"/>
          <w:sz w:val="22"/>
        </w:rPr>
        <w:t>：在漳州核电等示范项目中全面推行仪控专业标准化设计；推行质保工程师（QA）源头干预机制，对核级设备制造全程监控 [来源: P000351]。</w:t>
      </w:r>
    </w:p>
    <w:p>
      <w:pPr>
        <w:pStyle w:val="ListBullet"/>
      </w:pPr>
      <w:r>
        <w:rPr>
          <w:rFonts w:ascii="Calibri" w:hAnsi="Calibri" w:eastAsia="微软雅黑"/>
          <w:b/>
          <w:i w:val="0"/>
          <w:sz w:val="22"/>
        </w:rPr>
        <w:t>结果（Result）</w:t>
      </w:r>
      <w:r>
        <w:rPr>
          <w:rFonts w:ascii="Calibri" w:hAnsi="Calibri" w:eastAsia="微软雅黑"/>
          <w:b w:val="0"/>
          <w:i w:val="0"/>
          <w:sz w:val="22"/>
        </w:rPr>
        <w:t>：中核工程以设计进度管理激活过程管理，将项目进度延误率降低了20%、项目综合成本降低10%，实现了"华龙一号"示范工程及漳州核电项目的标准化与集约化建设，树立了全球三代核电建设的标杆 [来源: P000351, P000352]。</w:t>
      </w:r>
    </w:p>
    <w:p>
      <w:pPr>
        <w:pStyle w:val="Heading4"/>
      </w:pPr>
      <w:r>
        <w:t>4.2.2.2 化工新材料与绿色低碳：高端替代与绿能基础设施爆发</w:t>
      </w:r>
    </w:p>
    <w:p>
      <w:pPr>
        <w:pStyle w:val="ListBullet"/>
      </w:pPr>
      <w:r>
        <w:rPr>
          <w:rFonts w:ascii="Calibri" w:hAnsi="Calibri" w:eastAsia="微软雅黑"/>
          <w:b/>
          <w:i w:val="0"/>
          <w:sz w:val="22"/>
        </w:rPr>
        <w:t>数据（Data）</w:t>
      </w:r>
      <w:r>
        <w:rPr>
          <w:rFonts w:ascii="Calibri" w:hAnsi="Calibri" w:eastAsia="微软雅黑"/>
          <w:b w:val="0"/>
          <w:i w:val="0"/>
          <w:sz w:val="22"/>
        </w:rPr>
        <w:t>：中国天辰攻克的丁二烯法己二腈技术打破国外垄断，天辰齐翔首套装置2022年顺利投产 [来源: P000306]；中国五环WHB合成气制乙二醇技术在哈密广汇项目节省投资约30% [来源: P000311]；中材国际2024年替代燃料供货超过40万吨（同比增长超6倍），2025年替代燃料全年销量超100万吨并建成全国8大替代燃料区域公司，客户拓展至钢铁、电力、化工等多个行业 [来源: P000303, P000301]；其联合研发的新型低碳水泥制备与应用关键技术装备完成中试生产，实现石灰石用量降低25%、烧成热耗降低28%、碳排放强度降低26%，自主研发的替代燃料计量仓在14条生产线实现应用 [来源: P000303]。</w:t>
      </w:r>
    </w:p>
    <w:p>
      <w:pPr>
        <w:pStyle w:val="ListBullet"/>
      </w:pPr>
      <w:r>
        <w:rPr>
          <w:rFonts w:ascii="Calibri" w:hAnsi="Calibri" w:eastAsia="微软雅黑"/>
          <w:b/>
          <w:i w:val="0"/>
          <w:sz w:val="22"/>
        </w:rPr>
        <w:t>动作（Action）</w:t>
      </w:r>
      <w:r>
        <w:rPr>
          <w:rFonts w:ascii="Calibri" w:hAnsi="Calibri" w:eastAsia="微软雅黑"/>
          <w:b w:val="0"/>
          <w:i w:val="0"/>
          <w:sz w:val="22"/>
        </w:rPr>
        <w:t>：龙头企业紧扣国家"双碳"战略与新材料补短板需求展开布局。</w:t>
      </w:r>
    </w:p>
    <w:p>
      <w:r>
        <w:rPr>
          <w:rFonts w:ascii="Calibri" w:hAnsi="Calibri" w:eastAsia="微软雅黑"/>
          <w:b w:val="0"/>
          <w:i w:val="0"/>
          <w:sz w:val="22"/>
        </w:rPr>
        <w:t xml:space="preserve">1. </w:t>
      </w:r>
      <w:r>
        <w:rPr>
          <w:rFonts w:ascii="Calibri" w:hAnsi="Calibri" w:eastAsia="微软雅黑"/>
          <w:b/>
          <w:i w:val="0"/>
          <w:sz w:val="22"/>
        </w:rPr>
        <w:t>攻克高壁垒新材料工艺</w:t>
      </w:r>
      <w:r>
        <w:rPr>
          <w:rFonts w:ascii="Calibri" w:hAnsi="Calibri" w:eastAsia="微软雅黑"/>
          <w:b w:val="0"/>
          <w:i w:val="0"/>
          <w:sz w:val="22"/>
        </w:rPr>
        <w:t>：中国天辰与中国五环分别在己二腈、环氧丙烷、电池级磷酸铁、常温常压储氢领域突破核心技术并工程化落地 [来源: P000306, P000311]。</w:t>
      </w:r>
    </w:p>
    <w:p>
      <w:r>
        <w:rPr>
          <w:rFonts w:ascii="Calibri" w:hAnsi="Calibri" w:eastAsia="微软雅黑"/>
          <w:b w:val="0"/>
          <w:i w:val="0"/>
          <w:sz w:val="22"/>
        </w:rPr>
        <w:t xml:space="preserve">2. </w:t>
      </w:r>
      <w:r>
        <w:rPr>
          <w:rFonts w:ascii="Calibri" w:hAnsi="Calibri" w:eastAsia="微软雅黑"/>
          <w:b/>
          <w:i w:val="0"/>
          <w:sz w:val="22"/>
        </w:rPr>
        <w:t>构建"收、储、制、运、用"一体化绿能平台</w:t>
      </w:r>
      <w:r>
        <w:rPr>
          <w:rFonts w:ascii="Calibri" w:hAnsi="Calibri" w:eastAsia="微软雅黑"/>
          <w:b w:val="0"/>
          <w:i w:val="0"/>
          <w:sz w:val="22"/>
        </w:rPr>
        <w:t>：中材国际打造专业化替代燃料产业链平台，构建新能源全过程业务体系 [来源: P000303, P000301]。</w:t>
      </w:r>
    </w:p>
    <w:p>
      <w:r>
        <w:rPr>
          <w:rFonts w:ascii="Calibri" w:hAnsi="Calibri" w:eastAsia="微软雅黑"/>
          <w:b w:val="0"/>
          <w:i w:val="0"/>
          <w:sz w:val="22"/>
        </w:rPr>
        <w:t xml:space="preserve">3. </w:t>
      </w:r>
      <w:r>
        <w:rPr>
          <w:rFonts w:ascii="Calibri" w:hAnsi="Calibri" w:eastAsia="微软雅黑"/>
          <w:b/>
          <w:i w:val="0"/>
          <w:sz w:val="22"/>
        </w:rPr>
        <w:t>打造示范性零碳/低碳标杆工程</w:t>
      </w:r>
      <w:r>
        <w:rPr>
          <w:rFonts w:ascii="Calibri" w:hAnsi="Calibri" w:eastAsia="微软雅黑"/>
          <w:b w:val="0"/>
          <w:i w:val="0"/>
          <w:sz w:val="22"/>
        </w:rPr>
        <w:t>：法国SPL黏土煅烧低碳水泥成功应用于巴黎奥运会场馆建设，90%替代燃料生产线拉豪波兰项目顺利点火，欧盟减碳重点项目海德堡捷克熟料线成功签约；磷石膏资源化分解制硫酸联产水泥项目通过性能考核，锂矿焙烧、锰渣无害化处理等技术实现外行业应用，绿色矿山建设平稳推进 [来源: P000303]。</w:t>
      </w:r>
    </w:p>
    <w:p>
      <w:pPr>
        <w:pStyle w:val="ListBullet"/>
      </w:pPr>
      <w:r>
        <w:rPr>
          <w:rFonts w:ascii="Calibri" w:hAnsi="Calibri" w:eastAsia="微软雅黑"/>
          <w:b/>
          <w:i w:val="0"/>
          <w:sz w:val="22"/>
        </w:rPr>
        <w:t>结果（Result）</w:t>
      </w:r>
      <w:r>
        <w:rPr>
          <w:rFonts w:ascii="Calibri" w:hAnsi="Calibri" w:eastAsia="微软雅黑"/>
          <w:b w:val="0"/>
          <w:i w:val="0"/>
          <w:sz w:val="22"/>
        </w:rPr>
        <w:t>：企业在化工新材料与绿色低碳新增量赛道中获取了高毛利订单，实现了从传统工业建造向绿色低碳技术服务商的转型（此结论为本研究归纳）[来源: P000306, P000311, P000303]。</w:t>
      </w:r>
    </w:p>
    <w:p>
      <w:pPr>
        <w:pStyle w:val="Heading4"/>
      </w:pPr>
      <w:r>
        <w:t>4.2.2.3 高能级海外增量：从"工程出口"到"产品+装备+运维"全球化布局</w:t>
      </w:r>
    </w:p>
    <w:p>
      <w:pPr>
        <w:pStyle w:val="ListBullet"/>
      </w:pPr>
      <w:r>
        <w:rPr>
          <w:rFonts w:ascii="Calibri" w:hAnsi="Calibri" w:eastAsia="微软雅黑"/>
          <w:b/>
          <w:i w:val="0"/>
          <w:sz w:val="22"/>
        </w:rPr>
        <w:t>数据（Data）</w:t>
      </w:r>
      <w:r>
        <w:rPr>
          <w:rFonts w:ascii="Calibri" w:hAnsi="Calibri" w:eastAsia="微软雅黑"/>
          <w:b w:val="0"/>
          <w:i w:val="0"/>
          <w:sz w:val="22"/>
        </w:rPr>
        <w:t>：中材国际2024年境外新签合同额362.01亿元（同比增长9%），境外收入222.68亿元（同比增长10.85%），境外业务毛利率23.07%（同比增长1.87个百分点），境外员工4,252人（同比增长19%）[来源: P000303]；2025年境外新签合同额450.24亿元（同比增长24%、占比提升至63%），境外主营业务收入271.62亿元（同比增长22%、占比超55%），境外工程技术服务收入202.42亿元（同比增长超26%）[来源: P000305]。海外装备方面，2025年装备业务新签境外合同47.46亿元（同比提升51%），装备境外收入占比超43%（同比提升超7个百分点）；沙特YAMAMA项目自主装备率达到40%，篦冷机、立磨、辊压机、大型球磨等核心装备成功进入海外中高端市场，熟料输送机出口到德国、美国等全球五十多个国家和地区 [来源: P000301, P000305]。</w:t>
      </w:r>
    </w:p>
    <w:p>
      <w:pPr>
        <w:pStyle w:val="ListBullet"/>
      </w:pPr>
      <w:r>
        <w:rPr>
          <w:rFonts w:ascii="Calibri" w:hAnsi="Calibri" w:eastAsia="微软雅黑"/>
          <w:b/>
          <w:i w:val="0"/>
          <w:sz w:val="22"/>
        </w:rPr>
        <w:t>动作（Action）</w:t>
      </w:r>
      <w:r>
        <w:rPr>
          <w:rFonts w:ascii="Calibri" w:hAnsi="Calibri" w:eastAsia="微软雅黑"/>
          <w:b w:val="0"/>
          <w:i w:val="0"/>
          <w:sz w:val="22"/>
        </w:rPr>
        <w:t>：中材国际推动"全球织网"与"属地提升专项行动计划" [来源: P000301, P000303]。</w:t>
      </w:r>
    </w:p>
    <w:p>
      <w:r>
        <w:rPr>
          <w:rFonts w:ascii="Calibri" w:hAnsi="Calibri" w:eastAsia="微软雅黑"/>
          <w:b w:val="0"/>
          <w:i w:val="0"/>
          <w:sz w:val="22"/>
        </w:rPr>
        <w:t xml:space="preserve">1. </w:t>
      </w:r>
      <w:r>
        <w:rPr>
          <w:rFonts w:ascii="Calibri" w:hAnsi="Calibri" w:eastAsia="微软雅黑"/>
          <w:b/>
          <w:i w:val="0"/>
          <w:sz w:val="22"/>
        </w:rPr>
        <w:t>"工程+装备+服务"协同出海</w:t>
      </w:r>
      <w:r>
        <w:rPr>
          <w:rFonts w:ascii="Calibri" w:hAnsi="Calibri" w:eastAsia="微软雅黑"/>
          <w:b w:val="0"/>
          <w:i w:val="0"/>
          <w:sz w:val="22"/>
        </w:rPr>
        <w:t>：设立墨西哥、德国、摩洛哥技术研发中心，全球9大装备技术服务中心建设稳步推进，沙特、印尼服务中心实现运维能力落地，并在沙特市场实现部分主机装备关键部件的国产化替代 [来源: P000301]。</w:t>
      </w:r>
    </w:p>
    <w:p>
      <w:r>
        <w:rPr>
          <w:rFonts w:ascii="Calibri" w:hAnsi="Calibri" w:eastAsia="微软雅黑"/>
          <w:b w:val="0"/>
          <w:i w:val="0"/>
          <w:sz w:val="22"/>
        </w:rPr>
        <w:t xml:space="preserve">2. </w:t>
      </w:r>
      <w:r>
        <w:rPr>
          <w:rFonts w:ascii="Calibri" w:hAnsi="Calibri" w:eastAsia="微软雅黑"/>
          <w:b/>
          <w:i w:val="0"/>
          <w:sz w:val="22"/>
        </w:rPr>
        <w:t>数字化海外远程保产运维</w:t>
      </w:r>
      <w:r>
        <w:rPr>
          <w:rFonts w:ascii="Calibri" w:hAnsi="Calibri" w:eastAsia="微软雅黑"/>
          <w:b w:val="0"/>
          <w:i w:val="0"/>
          <w:sz w:val="22"/>
        </w:rPr>
        <w:t>：建成全球保产运维平台；以伊拉克DCC项目为例，全面部署传感器与智能管控平台后，人工巡检频次降低75%、油耗电耗下降2%，打造了海外智能运维的可复制样板 [来源: P000301]。</w:t>
      </w:r>
    </w:p>
    <w:p>
      <w:r>
        <w:rPr>
          <w:rFonts w:ascii="Calibri" w:hAnsi="Calibri" w:eastAsia="微软雅黑"/>
          <w:b w:val="0"/>
          <w:i w:val="0"/>
          <w:sz w:val="22"/>
        </w:rPr>
        <w:t xml:space="preserve">3. </w:t>
      </w:r>
      <w:r>
        <w:rPr>
          <w:rFonts w:ascii="Calibri" w:hAnsi="Calibri" w:eastAsia="微软雅黑"/>
          <w:b/>
          <w:i w:val="0"/>
          <w:sz w:val="22"/>
        </w:rPr>
        <w:t>属地化深耕与并购拓展</w:t>
      </w:r>
      <w:r>
        <w:rPr>
          <w:rFonts w:ascii="Calibri" w:hAnsi="Calibri" w:eastAsia="微软雅黑"/>
          <w:b w:val="0"/>
          <w:i w:val="0"/>
          <w:sz w:val="22"/>
        </w:rPr>
        <w:t>：参股公司中材水泥境外布局加快落地，突尼斯项目完成签约，实现首个海外并购项目签约；成功打造4个属地亿元利润平台 [来源: P000303, P000301]。</w:t>
      </w:r>
    </w:p>
    <w:p>
      <w:pPr>
        <w:pStyle w:val="ListBullet"/>
      </w:pPr>
      <w:r>
        <w:rPr>
          <w:rFonts w:ascii="Calibri" w:hAnsi="Calibri" w:eastAsia="微软雅黑"/>
          <w:b/>
          <w:i w:val="0"/>
          <w:sz w:val="22"/>
        </w:rPr>
        <w:t>结果（Result）</w:t>
      </w:r>
      <w:r>
        <w:rPr>
          <w:rFonts w:ascii="Calibri" w:hAnsi="Calibri" w:eastAsia="微软雅黑"/>
          <w:b w:val="0"/>
          <w:i w:val="0"/>
          <w:sz w:val="22"/>
        </w:rPr>
        <w:t>：中材国际海外业务实现"量质齐升"，境外毛利率显著高于境内传统工程，形成了强劲的全球化抗风险能力（此结论为本研究据年报数据归纳）[来源: P000303, P000305]。</w:t>
      </w:r>
    </w:p>
    <w:p>
      <w:pPr>
        <w:pStyle w:val="Heading4"/>
      </w:pPr>
      <w:r>
        <w:t>4.2.2.4 化工集团军的新增量：中国化学的"技术+全链"复利</w:t>
      </w:r>
    </w:p>
    <w:p>
      <w:r>
        <w:rPr>
          <w:rFonts w:ascii="Calibri" w:hAnsi="Calibri" w:eastAsia="微软雅黑"/>
          <w:b w:val="0"/>
          <w:i w:val="0"/>
          <w:sz w:val="22"/>
        </w:rPr>
        <w:t>化工赛道的新增量并不只属于特色极化的设计系企业，集团军同样在加速收割 [来源: P000326]。中国化学工程股份有限公司2025年实现营业总收入1,901.25亿元（同比增加35.12亿元、增长1.88%，其中营业收入1,895.01亿元）；全年新签合同额4,036.61亿元，较上年同期增长367.21亿元、增幅10.01%，其中境内新签合同额2,791.45亿元 [来源: P000326]。公司建筑工程业务涵盖化工、煤化工、石油化工、新能源、电力、环保、基础设施、医药等领域，其中在煤化工领域掌握最核心和先进的技术、占据国内绝大部分的市场份额，在国际上处于领先地位；在化工、石油化工领域拥有行业内先进成熟的技术 [来源: P000326]。支撑这一地位的是持续的科研投入——2025年公司费用化研发投入6,640,158,500.97元、资本化研发投入77,275,134.59元，合计约67.17亿元、占营业总收入约3.5%（本研究据年报研发投入表折算，own_calc）[来源: P000326]。中国化学的启示在于：当特色企业在细分赛道极化深潜时，集团军以"全覆盖技术谱系+全产业链服务+大体量研发投入"承接化合物级别的新增量，两类主体在化工新增量市场中形成互补共生的格局（本句为本研究解读）[来源: P000326]。</w:t>
      </w:r>
    </w:p>
    <w:p>
      <w:pPr>
        <w:pStyle w:val="Heading3"/>
      </w:pPr>
      <w:r>
        <w:t>4.2.3 抢抓新增量赛道的实战建议</w:t>
      </w:r>
    </w:p>
    <w:p>
      <w:pPr>
        <w:pStyle w:val="ListNumber"/>
      </w:pPr>
      <w:r>
        <w:rPr>
          <w:rFonts w:ascii="Calibri" w:hAnsi="Calibri" w:eastAsia="微软雅黑"/>
          <w:b/>
          <w:i w:val="0"/>
          <w:sz w:val="22"/>
        </w:rPr>
        <w:t>锚定高技术门槛，打造"设计/研发主导"中枢</w:t>
      </w:r>
      <w:r>
        <w:rPr>
          <w:rFonts w:ascii="Calibri" w:hAnsi="Calibri" w:eastAsia="微软雅黑"/>
          <w:b w:val="0"/>
          <w:i w:val="0"/>
          <w:sz w:val="22"/>
        </w:rPr>
        <w:t>。参照中核工程在核电EPC中的实证，确立设计在项目全生命周期中的中枢地位，利用设计预见性控制约80%的后续采购与施工成本，严控后期变更风险 [来源: P000351]。</w:t>
      </w:r>
    </w:p>
    <w:p>
      <w:pPr>
        <w:pStyle w:val="ListNumber"/>
      </w:pPr>
      <w:r>
        <w:rPr>
          <w:rFonts w:ascii="Calibri" w:hAnsi="Calibri" w:eastAsia="微软雅黑"/>
          <w:b/>
          <w:i w:val="0"/>
          <w:sz w:val="22"/>
        </w:rPr>
        <w:t>拥抱"双碳"转型，推进绿能与替代燃料产业链延伸</w:t>
      </w:r>
      <w:r>
        <w:rPr>
          <w:rFonts w:ascii="Calibri" w:hAnsi="Calibri" w:eastAsia="微软雅黑"/>
          <w:b w:val="0"/>
          <w:i w:val="0"/>
          <w:sz w:val="22"/>
        </w:rPr>
        <w:t>。紧跟国家能效标杆与碳减排政策，建立替代燃料"收、储、制、运、用"一体化平台，在存量客户中挖掘绿能改造新增量 [来源: P000303, P000301]。</w:t>
      </w:r>
    </w:p>
    <w:p>
      <w:pPr>
        <w:pStyle w:val="ListNumber"/>
      </w:pPr>
      <w:r>
        <w:rPr>
          <w:rFonts w:ascii="Calibri" w:hAnsi="Calibri" w:eastAsia="微软雅黑"/>
          <w:b/>
          <w:i w:val="0"/>
          <w:sz w:val="22"/>
        </w:rPr>
        <w:t>推动"高端装备+数字运维"协同出海</w:t>
      </w:r>
      <w:r>
        <w:rPr>
          <w:rFonts w:ascii="Calibri" w:hAnsi="Calibri" w:eastAsia="微软雅黑"/>
          <w:b w:val="0"/>
          <w:i w:val="0"/>
          <w:sz w:val="22"/>
        </w:rPr>
        <w:t>。将自主研发的核心主机装备与数字化保产运维平台打包输出海外，建立属地化服务中心，提升海外业务毛利率与客户粘性 [来源: P000301]。</w:t>
      </w:r>
    </w:p>
    <w:p>
      <w:pPr>
        <w:pStyle w:val="ListNumber"/>
      </w:pPr>
      <w:r>
        <w:rPr>
          <w:rFonts w:ascii="Calibri" w:hAnsi="Calibri" w:eastAsia="微软雅黑"/>
          <w:b/>
          <w:i w:val="0"/>
          <w:sz w:val="22"/>
        </w:rPr>
        <w:t>推进工程数据"对象化与标准化"落地</w:t>
      </w:r>
      <w:r>
        <w:rPr>
          <w:rFonts w:ascii="Calibri" w:hAnsi="Calibri" w:eastAsia="微软雅黑"/>
          <w:b w:val="0"/>
          <w:i w:val="0"/>
          <w:sz w:val="22"/>
        </w:rPr>
        <w:t>。借鉴核电EPC的对象化管理经验，将设计参数、物料编码与采购工程量清单实时联动，建立数字化孪生交付能力，满足高端业主对工程全生命周期数据的严苛要求 [来源: P000351]。</w:t>
      </w:r>
    </w:p>
    <w:p>
      <w:r>
        <w:rPr>
          <w:rFonts w:ascii="Calibri" w:hAnsi="Calibri" w:eastAsia="微软雅黑"/>
          <w:b w:val="0"/>
          <w:i w:val="0"/>
          <w:sz w:val="22"/>
        </w:rPr>
        <w:t>---</w:t>
      </w:r>
    </w:p>
    <w:p>
      <w:pPr>
        <w:pStyle w:val="Heading2"/>
      </w:pPr>
      <w:r>
        <w:t>4.3 传统赛道出清：减量发展下的存量博弈与价值重构</w:t>
      </w:r>
    </w:p>
    <w:p>
      <w:pPr>
        <w:pStyle w:val="Heading3"/>
      </w:pPr>
      <w:r>
        <w:t>4.3.1 传统赛道萎缩机制与存量博弈逻辑</w:t>
      </w:r>
    </w:p>
    <w:p>
      <w:r>
        <w:rPr>
          <w:rFonts w:ascii="Calibri" w:hAnsi="Calibri" w:eastAsia="微软雅黑"/>
          <w:b w:val="0"/>
          <w:i w:val="0"/>
          <w:sz w:val="22"/>
        </w:rPr>
        <w:t>随着宏观经济增速放缓、固定资产投资结构调整以及重工业化过程基本完成，传统工程建设领域（水泥新建整线、传统小火电、传统基础化工、常规市政建设）正经历从"大规模新建扩张"向"存量优化与减量发展"的深刻转变 [来源: P000303]。传统赛道积累了严重的产能过剩、同质化恶性竞争与低价抢标问题，逼迫全行业进入"低效产能加快出清"的重组期 [来源: P000303]。</w:t>
      </w:r>
    </w:p>
    <w:p>
      <w:r>
        <w:rPr>
          <w:rFonts w:ascii="Calibri" w:hAnsi="Calibri" w:eastAsia="微软雅黑"/>
          <w:b/>
          <w:i w:val="0"/>
          <w:sz w:val="22"/>
        </w:rPr>
        <w:t>传统赛道出清的三大驱动机制</w:t>
      </w:r>
      <w:r>
        <w:rPr>
          <w:rFonts w:ascii="Calibri" w:hAnsi="Calibri" w:eastAsia="微软雅黑"/>
          <w:b w:val="0"/>
          <w:i w:val="0"/>
          <w:sz w:val="22"/>
        </w:rPr>
        <w:t>（机制归纳为本研究据源文整理）：</w:t>
      </w:r>
    </w:p>
    <w:p>
      <w:pPr>
        <w:pStyle w:val="ListNumber"/>
      </w:pPr>
      <w:r>
        <w:rPr>
          <w:rFonts w:ascii="Calibri" w:hAnsi="Calibri" w:eastAsia="微软雅黑"/>
          <w:b/>
          <w:i w:val="0"/>
          <w:sz w:val="22"/>
        </w:rPr>
        <w:t>产能与政策红线硬约束</w:t>
      </w:r>
      <w:r>
        <w:rPr>
          <w:rFonts w:ascii="Calibri" w:hAnsi="Calibri" w:eastAsia="微软雅黑"/>
          <w:b w:val="0"/>
          <w:i w:val="0"/>
          <w:sz w:val="22"/>
        </w:rPr>
        <w:t>：以水泥行业为例，到2025年底全国水泥熟料产能控制在18亿吨左右、能效标杆水平以上产能占比达到30%，重点区域力争50%产能完成超低排放改造（2028年底全国力争80%），使得传统新建水泥整线EPC订单断崖式下跌，不具备绿色低碳改造技术能力的中小型承包商被迅速阻绝于市场门外 [来源: P000303]。</w:t>
      </w:r>
    </w:p>
    <w:p>
      <w:pPr>
        <w:pStyle w:val="ListNumber"/>
      </w:pPr>
      <w:r>
        <w:rPr>
          <w:rFonts w:ascii="Calibri" w:hAnsi="Calibri" w:eastAsia="微软雅黑"/>
          <w:b/>
          <w:i w:val="0"/>
          <w:sz w:val="22"/>
        </w:rPr>
        <w:t>商业模式异化与风险爆雷惩罚</w:t>
      </w:r>
      <w:r>
        <w:rPr>
          <w:rFonts w:ascii="Calibri" w:hAnsi="Calibri" w:eastAsia="微软雅黑"/>
          <w:b w:val="0"/>
          <w:i w:val="0"/>
          <w:sz w:val="22"/>
        </w:rPr>
        <w:t>：在传统赛道增量萎缩背景下，部分企业采取非理性的低价恶性竞争与粗放垫资策略；随着业主资金链趋紧与项目收益下滑，低价抢标直接导致毛利率锐减甚至亏损，粗放垫资则引发应收账款巨额积压，缺乏核心技术支撑与风险管控能力的承包商陷入财务危机乃至被迫退出市场 [来源: P000303]。</w:t>
      </w:r>
    </w:p>
    <w:p>
      <w:pPr>
        <w:pStyle w:val="ListNumber"/>
      </w:pPr>
      <w:r>
        <w:rPr>
          <w:rFonts w:ascii="Calibri" w:hAnsi="Calibri" w:eastAsia="微软雅黑"/>
          <w:b/>
          <w:i w:val="0"/>
          <w:sz w:val="22"/>
        </w:rPr>
        <w:t>价值导向重构（从"卷价格"到"卷价值"）</w:t>
      </w:r>
      <w:r>
        <w:rPr>
          <w:rFonts w:ascii="Calibri" w:hAnsi="Calibri" w:eastAsia="微软雅黑"/>
          <w:b w:val="0"/>
          <w:i w:val="0"/>
          <w:sz w:val="22"/>
        </w:rPr>
        <w:t>：头部企业坚定践行"价本利"理念，彻底摒弃低阶价格战，转向以"绿色低碳、数字智能、全生命周期运维"为核心的高附加值服务，拉开与传统粗放型企业的差距，加速行业优胜劣汰与出清重组 [来源: P000303]。</w:t>
      </w:r>
    </w:p>
    <w:p>
      <w:pPr>
        <w:ind w:left="454"/>
      </w:pPr>
      <w:r>
        <w:rPr>
          <w:rFonts w:ascii="Calibri" w:hAnsi="Calibri" w:eastAsia="微软雅黑"/>
          <w:b/>
          <w:i w:val="0"/>
          <w:color w:val="666666"/>
          <w:sz w:val="22"/>
        </w:rPr>
        <w:t>行研视点</w:t>
      </w:r>
      <w:r>
        <w:rPr>
          <w:rFonts w:ascii="Calibri" w:hAnsi="Calibri" w:eastAsia="微软雅黑"/>
          <w:b w:val="0"/>
          <w:i w:val="0"/>
          <w:color w:val="666666"/>
          <w:sz w:val="22"/>
        </w:rPr>
        <w:t>：传统赛道的"出清"并非意味着行业消失，而是业务结构的剧烈重构——凡是依赖"施工资质租借、低价工程垫资、传统图纸分包"的低端承包商正被加速淘汰；而具备"技术改造研发、核心装备自给、保产运维转化"能力的头部企业，则在存量市场的提质增效中重塑竞争壁垒（本段为本研究解读性判断）[来源: P000303]。</w:t>
      </w:r>
    </w:p>
    <w:p>
      <w:r>
        <w:rPr>
          <w:rFonts w:ascii="Calibri" w:hAnsi="Calibri" w:eastAsia="微软雅黑"/>
          <w:b w:val="0"/>
          <w:i w:val="0"/>
          <w:sz w:val="22"/>
        </w:rPr>
        <w:t>从时间维度看，出清是一个渐进但不可逆的三段过程（阶段划分为本研究据政策时限与企业实践整理）：</w:t>
      </w:r>
      <w:r>
        <w:rPr>
          <w:rFonts w:ascii="Calibri" w:hAnsi="Calibri" w:eastAsia="微软雅黑"/>
          <w:b/>
          <w:i w:val="0"/>
          <w:sz w:val="22"/>
        </w:rPr>
        <w:t>第一段是订单结构切换</w:t>
      </w:r>
      <w:r>
        <w:rPr>
          <w:rFonts w:ascii="Calibri" w:hAnsi="Calibri" w:eastAsia="微软雅黑"/>
          <w:b w:val="0"/>
          <w:i w:val="0"/>
          <w:sz w:val="22"/>
        </w:rPr>
        <w:t>——新建订单占比快速下降、技改与运维订单占比上升，中材国际2024年生产运营服务新签增速（27%）显著高于整体工程服务新签增速即为信号 [来源: P000303]；</w:t>
      </w:r>
      <w:r>
        <w:rPr>
          <w:rFonts w:ascii="Calibri" w:hAnsi="Calibri" w:eastAsia="微软雅黑"/>
          <w:b/>
          <w:i w:val="0"/>
          <w:sz w:val="22"/>
        </w:rPr>
        <w:t>第二段是价格纪律重建</w:t>
      </w:r>
      <w:r>
        <w:rPr>
          <w:rFonts w:ascii="Calibri" w:hAnsi="Calibri" w:eastAsia="微软雅黑"/>
          <w:b w:val="0"/>
          <w:i w:val="0"/>
          <w:sz w:val="22"/>
        </w:rPr>
        <w:t>——头部企业以"价本利"理念主动退出低价竞争，毛利率不降反升（工程技术服务毛利率提升0.24个百分点至15.97%），低效企业失去价格掩护后加速退出 [来源: P000303]；</w:t>
      </w:r>
      <w:r>
        <w:rPr>
          <w:rFonts w:ascii="Calibri" w:hAnsi="Calibri" w:eastAsia="微软雅黑"/>
          <w:b/>
          <w:i w:val="0"/>
          <w:sz w:val="22"/>
        </w:rPr>
        <w:t>第三段是服务形态固化</w:t>
      </w:r>
      <w:r>
        <w:rPr>
          <w:rFonts w:ascii="Calibri" w:hAnsi="Calibri" w:eastAsia="微软雅黑"/>
          <w:b w:val="0"/>
          <w:i w:val="0"/>
          <w:sz w:val="22"/>
        </w:rPr>
        <w:t>——存量客户的长期运维合同成为头部企业收入的压舱石（2025年末有效结转合同额664.55亿元），后来者再想进入，面对的不再是单项目竞标而是整段生命周期的服务替换，进入成本呈数量级抬升 [来源: P000305]。对身处传统赛道的企业而言，判断自身处于哪一段，直接决定止损、转型或进攻的节奏选择。</w:t>
      </w:r>
    </w:p>
    <w:p>
      <w:pPr>
        <w:pStyle w:val="Heading3"/>
      </w:pPr>
      <w:r>
        <w:t>4.3.2 典型传统赛道出清与改造实证</w:t>
      </w:r>
    </w:p>
    <w:p>
      <w:pPr>
        <w:pStyle w:val="Heading4"/>
      </w:pPr>
      <w:r>
        <w:t>4.3.2.1 水泥工程赛道：中材国际"存量技改+运维服务"对冲新建萎缩</w:t>
      </w:r>
    </w:p>
    <w:p>
      <w:r>
        <w:rPr>
          <w:rFonts w:ascii="Calibri" w:hAnsi="Calibri" w:eastAsia="微软雅黑"/>
          <w:b w:val="0"/>
          <w:i w:val="0"/>
          <w:sz w:val="22"/>
        </w:rPr>
        <w:t>面对国内水泥行业产能过剩、需求下行以及水泥整线EPC机会明显减少的严峻挑战，中材国际通过"向前延伸研发定制、向后延伸运维服务"的"两端延伸"战略，实现从"工程建设商"向"存量全生命周期服务商"的跨越 [来源: P000303]。</w:t>
      </w:r>
    </w:p>
    <w:p>
      <w:pPr>
        <w:pStyle w:val="Heading4"/>
      </w:pPr>
      <w:r>
        <w:t>表4-1 中材国际传统赛道出清重构期模式对比 [来源: P000303]</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业务维度</w:t>
            </w:r>
          </w:p>
        </w:tc>
        <w:tc>
          <w:tcPr>
            <w:tcW w:type="dxa" w:w="2075"/>
            <w:shd w:fill="1F3A5F"/>
          </w:tcPr>
          <w:p>
            <w:r>
              <w:rPr>
                <w:color w:val="FFFFFF"/>
              </w:rPr>
            </w:r>
            <w:r>
              <w:rPr>
                <w:rFonts w:ascii="Calibri" w:hAnsi="Calibri" w:eastAsia="微软雅黑"/>
                <w:b/>
                <w:i w:val="0"/>
                <w:color w:val="FFFFFF"/>
                <w:sz w:val="18"/>
              </w:rPr>
              <w:t>传统新建扩张期模式</w:t>
            </w:r>
          </w:p>
        </w:tc>
        <w:tc>
          <w:tcPr>
            <w:tcW w:type="dxa" w:w="2075"/>
            <w:shd w:fill="1F3A5F"/>
          </w:tcPr>
          <w:p>
            <w:r>
              <w:rPr>
                <w:color w:val="FFFFFF"/>
              </w:rPr>
            </w:r>
            <w:r>
              <w:rPr>
                <w:rFonts w:ascii="Calibri" w:hAnsi="Calibri" w:eastAsia="微软雅黑"/>
                <w:b/>
                <w:i w:val="0"/>
                <w:color w:val="FFFFFF"/>
                <w:sz w:val="18"/>
              </w:rPr>
              <w:t>存量出清重构期模式</w:t>
            </w:r>
          </w:p>
        </w:tc>
        <w:tc>
          <w:tcPr>
            <w:tcW w:type="dxa" w:w="2075"/>
            <w:shd w:fill="1F3A5F"/>
          </w:tcPr>
          <w:p>
            <w:r>
              <w:rPr>
                <w:color w:val="FFFFFF"/>
              </w:rPr>
            </w:r>
            <w:r>
              <w:rPr>
                <w:rFonts w:ascii="Calibri" w:hAnsi="Calibri" w:eastAsia="微软雅黑"/>
                <w:b/>
                <w:i w:val="0"/>
                <w:color w:val="FFFFFF"/>
                <w:sz w:val="18"/>
              </w:rPr>
              <w:t>财务与市场绩效表现</w:t>
            </w:r>
          </w:p>
        </w:tc>
      </w:tr>
      <w:tr>
        <w:tc>
          <w:tcPr>
            <w:tcW w:type="dxa" w:w="2075"/>
          </w:tcPr>
          <w:p>
            <w:r/>
            <w:r>
              <w:rPr>
                <w:rFonts w:ascii="Calibri" w:hAnsi="Calibri" w:eastAsia="微软雅黑"/>
                <w:b w:val="0"/>
                <w:i w:val="0"/>
                <w:sz w:val="18"/>
              </w:rPr>
              <w:t>订单结构</w:t>
            </w:r>
          </w:p>
        </w:tc>
        <w:tc>
          <w:tcPr>
            <w:tcW w:type="dxa" w:w="2075"/>
          </w:tcPr>
          <w:p>
            <w:r/>
            <w:r>
              <w:rPr>
                <w:rFonts w:ascii="Calibri" w:hAnsi="Calibri" w:eastAsia="微软雅黑"/>
                <w:b w:val="0"/>
                <w:i w:val="0"/>
                <w:sz w:val="18"/>
              </w:rPr>
              <w:t>依赖境内新建整线EPC订单</w:t>
            </w:r>
          </w:p>
        </w:tc>
        <w:tc>
          <w:tcPr>
            <w:tcW w:type="dxa" w:w="2075"/>
          </w:tcPr>
          <w:p>
            <w:r/>
            <w:r>
              <w:rPr>
                <w:rFonts w:ascii="Calibri" w:hAnsi="Calibri" w:eastAsia="微软雅黑"/>
                <w:b w:val="0"/>
                <w:i w:val="0"/>
                <w:sz w:val="18"/>
              </w:rPr>
              <w:t>转向"境外整线增量+境内绿色低碳/数字智能技改"</w:t>
            </w:r>
          </w:p>
        </w:tc>
        <w:tc>
          <w:tcPr>
            <w:tcW w:type="dxa" w:w="2075"/>
          </w:tcPr>
          <w:p>
            <w:r/>
            <w:r>
              <w:rPr>
                <w:rFonts w:ascii="Calibri" w:hAnsi="Calibri" w:eastAsia="微软雅黑"/>
                <w:b w:val="0"/>
                <w:i w:val="0"/>
                <w:sz w:val="18"/>
              </w:rPr>
              <w:t>2024年新签工程服务合同371.78亿元，境外工程服务新签275.29亿元（同比增长2%），获15国19条整线订单</w:t>
            </w:r>
          </w:p>
        </w:tc>
      </w:tr>
      <w:tr>
        <w:tc>
          <w:tcPr>
            <w:tcW w:type="dxa" w:w="2075"/>
          </w:tcPr>
          <w:p>
            <w:r/>
            <w:r>
              <w:rPr>
                <w:rFonts w:ascii="Calibri" w:hAnsi="Calibri" w:eastAsia="微软雅黑"/>
                <w:b w:val="0"/>
                <w:i w:val="0"/>
                <w:sz w:val="18"/>
              </w:rPr>
              <w:t>技术服务</w:t>
            </w:r>
          </w:p>
        </w:tc>
        <w:tc>
          <w:tcPr>
            <w:tcW w:type="dxa" w:w="2075"/>
          </w:tcPr>
          <w:p>
            <w:r/>
            <w:r>
              <w:rPr>
                <w:rFonts w:ascii="Calibri" w:hAnsi="Calibri" w:eastAsia="微软雅黑"/>
                <w:b w:val="0"/>
                <w:i w:val="0"/>
                <w:sz w:val="18"/>
              </w:rPr>
              <w:t>传统工程设计与常规施工</w:t>
            </w:r>
          </w:p>
        </w:tc>
        <w:tc>
          <w:tcPr>
            <w:tcW w:type="dxa" w:w="2075"/>
          </w:tcPr>
          <w:p>
            <w:r/>
            <w:r>
              <w:rPr>
                <w:rFonts w:ascii="Calibri" w:hAnsi="Calibri" w:eastAsia="微软雅黑"/>
                <w:b w:val="0"/>
                <w:i w:val="0"/>
                <w:sz w:val="18"/>
              </w:rPr>
              <w:t>集中于超低排放改造、能效标杆升级、替代燃料与全氧燃烧捕碳</w:t>
            </w:r>
          </w:p>
        </w:tc>
        <w:tc>
          <w:tcPr>
            <w:tcW w:type="dxa" w:w="2075"/>
          </w:tcPr>
          <w:p>
            <w:r/>
            <w:r>
              <w:rPr>
                <w:rFonts w:ascii="Calibri" w:hAnsi="Calibri" w:eastAsia="微软雅黑"/>
                <w:b w:val="0"/>
                <w:i w:val="0"/>
                <w:sz w:val="18"/>
              </w:rPr>
              <w:t>石灰石用量降低25%、烧成热耗降低28%、碳排放强度降低26%，替代燃料计量仓应用于14条生产线</w:t>
            </w:r>
          </w:p>
        </w:tc>
      </w:tr>
      <w:tr>
        <w:tc>
          <w:tcPr>
            <w:tcW w:type="dxa" w:w="2075"/>
          </w:tcPr>
          <w:p>
            <w:r/>
            <w:r>
              <w:rPr>
                <w:rFonts w:ascii="Calibri" w:hAnsi="Calibri" w:eastAsia="微软雅黑"/>
                <w:b w:val="0"/>
                <w:i w:val="0"/>
                <w:sz w:val="18"/>
              </w:rPr>
              <w:t>商业形态</w:t>
            </w:r>
          </w:p>
        </w:tc>
        <w:tc>
          <w:tcPr>
            <w:tcW w:type="dxa" w:w="2075"/>
          </w:tcPr>
          <w:p>
            <w:r/>
            <w:r>
              <w:rPr>
                <w:rFonts w:ascii="Calibri" w:hAnsi="Calibri" w:eastAsia="微软雅黑"/>
                <w:b w:val="0"/>
                <w:i w:val="0"/>
                <w:sz w:val="18"/>
              </w:rPr>
              <w:t>单一交钥匙工程</w:t>
            </w:r>
          </w:p>
        </w:tc>
        <w:tc>
          <w:tcPr>
            <w:tcW w:type="dxa" w:w="2075"/>
          </w:tcPr>
          <w:p>
            <w:r/>
            <w:r>
              <w:rPr>
                <w:rFonts w:ascii="Calibri" w:hAnsi="Calibri" w:eastAsia="微软雅黑"/>
                <w:b w:val="0"/>
                <w:i w:val="0"/>
                <w:sz w:val="18"/>
              </w:rPr>
              <w:t>延伸至保产运维、备品备件与全球运维平台</w:t>
            </w:r>
          </w:p>
        </w:tc>
        <w:tc>
          <w:tcPr>
            <w:tcW w:type="dxa" w:w="2075"/>
          </w:tcPr>
          <w:p>
            <w:r/>
            <w:r>
              <w:rPr>
                <w:rFonts w:ascii="Calibri" w:hAnsi="Calibri" w:eastAsia="微软雅黑"/>
                <w:b w:val="0"/>
                <w:i w:val="0"/>
                <w:sz w:val="18"/>
              </w:rPr>
              <w:t>2024年生产运营服务新签173.12亿元（同比增长27%），营收129.20亿元（同比增长21.88%、毛利率21.48%）</w:t>
            </w:r>
          </w:p>
        </w:tc>
      </w:tr>
      <w:tr>
        <w:tc>
          <w:tcPr>
            <w:tcW w:type="dxa" w:w="2075"/>
          </w:tcPr>
          <w:p>
            <w:r/>
            <w:r>
              <w:rPr>
                <w:rFonts w:ascii="Calibri" w:hAnsi="Calibri" w:eastAsia="微软雅黑"/>
                <w:b w:val="0"/>
                <w:i w:val="0"/>
                <w:sz w:val="18"/>
              </w:rPr>
              <w:t>风险管控</w:t>
            </w:r>
          </w:p>
        </w:tc>
        <w:tc>
          <w:tcPr>
            <w:tcW w:type="dxa" w:w="2075"/>
          </w:tcPr>
          <w:p>
            <w:r/>
            <w:r>
              <w:rPr>
                <w:rFonts w:ascii="Calibri" w:hAnsi="Calibri" w:eastAsia="微软雅黑"/>
                <w:b w:val="0"/>
                <w:i w:val="0"/>
                <w:sz w:val="18"/>
              </w:rPr>
              <w:t>粗放垫资与被动账款追索</w:t>
            </w:r>
          </w:p>
        </w:tc>
        <w:tc>
          <w:tcPr>
            <w:tcW w:type="dxa" w:w="2075"/>
          </w:tcPr>
          <w:p>
            <w:r/>
            <w:r>
              <w:rPr>
                <w:rFonts w:ascii="Calibri" w:hAnsi="Calibri" w:eastAsia="微软雅黑"/>
                <w:b w:val="0"/>
                <w:i w:val="0"/>
                <w:sz w:val="18"/>
              </w:rPr>
              <w:t>外汇套期保值、客户履约动态评估与存量资产专项清收</w:t>
            </w:r>
          </w:p>
        </w:tc>
        <w:tc>
          <w:tcPr>
            <w:tcW w:type="dxa" w:w="2075"/>
          </w:tcPr>
          <w:p>
            <w:r/>
            <w:r>
              <w:rPr>
                <w:rFonts w:ascii="Calibri" w:hAnsi="Calibri" w:eastAsia="微软雅黑"/>
                <w:b w:val="0"/>
                <w:i w:val="0"/>
                <w:sz w:val="18"/>
              </w:rPr>
              <w:t>2024年实现经营活动现金净流入22.90亿元，归属股东净利润29.83亿元（同比增长2.31%）</w:t>
            </w:r>
          </w:p>
        </w:tc>
      </w:tr>
    </w:tbl>
    <w:p>
      <w:r>
        <w:rPr>
          <w:rFonts w:ascii="Calibri" w:hAnsi="Calibri" w:eastAsia="微软雅黑"/>
          <w:b w:val="0"/>
          <w:i w:val="0"/>
          <w:sz w:val="22"/>
        </w:rPr>
        <w:t>中材国际充分利用全球603个在执行项目（2024年末口径）的深厚客户基础，以自主研发的"替代燃料计量仓"和"工厂碳排放评估平台"为技术矛头，全面吃紧存量技改市场，将原本面临产能淘汰的旧生产线转化为高毛利的技改与运维合同——2024年工程技术服务毛利率逆势提升0.24个百分点至15.97%，实现了在行业减量下"毛利率不降反升"的价值增值 [来源: P000303]。其历史上海外整线项目的标杆序列——阿联酋UCC项目（中国企业在海外承建的第一条日产万吨水泥生产线）、阿尔巴尼亚FK项目（第一个将中国大型水泥成套设备出口到欧洲的项目）、匈牙利NOSTRA项目（被当地媒体称为"世界最美丽的水泥厂"）——为当前的属地化运维转化提供了庞大基数 [来源: P000303]。</w:t>
      </w:r>
    </w:p>
    <w:p>
      <w:pPr>
        <w:pStyle w:val="Heading4"/>
      </w:pPr>
      <w:r>
        <w:t>4.3.2.2 电力工程赛道：山东院重组赋能与传统火电出清转型</w:t>
      </w:r>
    </w:p>
    <w:p>
      <w:r>
        <w:rPr>
          <w:rFonts w:ascii="Calibri" w:hAnsi="Calibri" w:eastAsia="微软雅黑"/>
          <w:b w:val="0"/>
          <w:i w:val="0"/>
          <w:sz w:val="22"/>
        </w:rPr>
        <w:t>传统电力工程赛道长期受制于小火电淘汰、煤电产能调控与传统设计院功能单一等痛点 [来源: P000316]。山东电力工程咨询院（以下简称"山东院"）1958年成立，2016年与中电投电力工程有限公司实施深度重组，重组后员工总数超过3000人、资产总额超过130亿元，业务板块涵盖火电、新能源、电网、核电、综合智慧能源、非电六大领域，服务链条打通规划、咨询、勘察、设计、工程总承包、寿期服务、科技研发、投资运营八大环节 [来源: P000316]。山东院成为国内唯一同时拥有国内外百万千瓦级火电、特高压输变电、三代核电设计和建设业绩的企业，业务范围拓展至全球40多个国家和地区，彻底摆脱了低端电力工程项目的低价泥潭，在国家"西电东送"及全球能源转型中确立了不可替代的头部地位 [来源: P000316]。</w:t>
      </w:r>
    </w:p>
    <w:p>
      <w:r>
        <w:rPr>
          <w:rFonts w:ascii="Calibri" w:hAnsi="Calibri" w:eastAsia="微软雅黑"/>
          <w:b w:val="0"/>
          <w:i w:val="0"/>
          <w:sz w:val="22"/>
        </w:rPr>
        <w:t>其海外标杆序列为这一转型提供了注脚：印尼爪哇7号2×1050MW燃煤电站项目是中国企业在海外建设的单机容量最大的火电机组，也是中国制造成体系、高水平、大协作"走出去"的大型火电项目典范；巴基斯坦萨希瓦尔燃煤电站项目作为中巴经济走廊的优先项目，对巴基斯坦能源供应和经济发展具有重要意义，进一步巩固了山东院在"一带一路"沿线国家的市场地位；巴西潘帕1×345MW燃煤电站项目则是山东院在南美洲的重要突破，锅炉点火一次成功等关键节点的顺利完成，标志着其海外大型燃煤电站EPC总承包能力获得国际市场认可 [来源: P000316]。在管理方法论上，山东院运用"星系战略框架""北斗七星框架"及竞争力六维模型等多维分析框架，对战略布局、业务构成、支撑体系、创新路径及风险挑战进行结构化管理，从项目获取、设计施工融合到运营管控实施全生命周期的能力建设（框架名称引自其专项研究报告）[来源: P000316]。在项目融资与商务模式上，山东院积极与国内外银行、出口信用机构、国际金融组织合作，探索项目融资、出口信贷、银团贷款等多种模式，为大型国际项目提供资金保障 [来源: P000316]。</w:t>
      </w:r>
    </w:p>
    <w:p>
      <w:pPr>
        <w:pStyle w:val="Heading4"/>
      </w:pPr>
      <w:r>
        <w:t>4.3.2.3 市政工程赛道：上海市政总院大型复杂提标改造出清低效承包</w:t>
      </w:r>
    </w:p>
    <w:p>
      <w:r>
        <w:rPr>
          <w:rFonts w:ascii="Calibri" w:hAnsi="Calibri" w:eastAsia="微软雅黑"/>
          <w:b w:val="0"/>
          <w:i w:val="0"/>
          <w:sz w:val="22"/>
        </w:rPr>
        <w:t>传统市政工程领域门槛相对较低，近年来吸引了大量施工企业及跨界队伍涌入，低价抢标与恶性竞争频发 [来源: P000321]。上海市政工程设计研究总院（截至2023年底员工超2000人，专业技术人员占比超85%，高级职称人员占比超30%）作为市政设计龙头，摒弃低价土建争夺，选择攻坚"高技术壁垒、高复杂度的存量提标改造项目" [来源: P000321]。其典型案例为白龙港污水处理厂提标改造一期（除臭）工程：白龙港污水处理厂是亚洲规模最大的污水处理厂之一，提标改造的核心难点在于</w:t>
      </w:r>
      <w:r>
        <w:rPr>
          <w:rFonts w:ascii="Calibri" w:hAnsi="Calibri" w:eastAsia="微软雅黑"/>
          <w:b/>
          <w:i w:val="0"/>
          <w:sz w:val="22"/>
        </w:rPr>
        <w:t>必须在绝不中断庞大处理系统日常运行的前提下</w:t>
      </w:r>
      <w:r>
        <w:rPr>
          <w:rFonts w:ascii="Calibri" w:hAnsi="Calibri" w:eastAsia="微软雅黑"/>
          <w:b w:val="0"/>
          <w:i w:val="0"/>
          <w:sz w:val="22"/>
        </w:rPr>
        <w:t>，完成全厂多个复杂臭气源的高效收集与深度提标处理 [来源: P000321]。项目团队采用"生物滤池+离子送风"等组合工艺实施差异化精细设计，施工现场大规模应用"模块化预制、快速现场安装"技术，最大限度压缩现场作业周期；项目成功竣工且除臭效果显著，荣获中国土木工程詹天佑奖 [来源: P000321]。上海市政总院以"先进技术+精细化施工"攻克复杂存量改造，树立了高技术门槛，将缺乏技术集成能力的传统粗放承包商挡在高端市政提质改造市场之外 [来源: P000321]。其风险管控方法同样具有示范性——以武汉左岭污水处理厂二厂及配套设施新建工程EPC项目为例，项目团队采用头脑风暴、德尔菲法等方法开展风险识别，建立风险评估标准并对风险等级实施分级管理，针对不同等级的风险采取差异化的管理措施，使复杂水环境项目的履约不确定性得到结构化控制 [来源: P000321]。依托一大批覆盖各专业领域的技术专家与技术骨干，上海市政总院在行业内保持技术实力领先地位，为其在存量市政市场的持续拿单提供了底座 [来源: P000321]。</w:t>
      </w:r>
    </w:p>
    <w:p>
      <w:pPr>
        <w:pStyle w:val="Heading3"/>
      </w:pPr>
      <w:r>
        <w:t>4.3.3 传统赛道出清与存量盘活的操作方法</w:t>
      </w:r>
    </w:p>
    <w:p>
      <w:r>
        <w:rPr>
          <w:rFonts w:ascii="Calibri" w:hAnsi="Calibri" w:eastAsia="微软雅黑"/>
          <w:b w:val="0"/>
          <w:i w:val="0"/>
          <w:sz w:val="22"/>
        </w:rPr>
        <w:t>对于面临传统主业萎缩、订单下滑的高管与设计院院长，综合标杆实践提炼"四步法"存量盘活实施路径（方法归纳为本研究据源文整理）：</w:t>
      </w:r>
    </w:p>
    <w:p>
      <w:pPr>
        <w:pStyle w:val="ListNumber"/>
      </w:pPr>
      <w:r>
        <w:rPr>
          <w:rFonts w:ascii="Calibri" w:hAnsi="Calibri" w:eastAsia="微软雅黑"/>
          <w:b/>
          <w:i w:val="0"/>
          <w:sz w:val="22"/>
        </w:rPr>
        <w:t>步骤一：资产与业务瘦身</w:t>
      </w:r>
      <w:r>
        <w:rPr>
          <w:rFonts w:ascii="Calibri" w:hAnsi="Calibri" w:eastAsia="微软雅黑"/>
          <w:b w:val="0"/>
          <w:i w:val="0"/>
          <w:sz w:val="22"/>
        </w:rPr>
        <w:t>。全面排查既有在建项目与应收账款，对连续亏损、业主资金链断裂或强制要求不合理垫资的项目实施坚决止损与追索；坚决放弃纯施工、低技术含量的极低毛利分包，将资源向高壁垒技术环节集中 [来源: P000303]。</w:t>
      </w:r>
    </w:p>
    <w:p>
      <w:pPr>
        <w:pStyle w:val="ListNumber"/>
      </w:pPr>
      <w:r>
        <w:rPr>
          <w:rFonts w:ascii="Calibri" w:hAnsi="Calibri" w:eastAsia="微软雅黑"/>
          <w:b/>
          <w:i w:val="0"/>
          <w:sz w:val="22"/>
        </w:rPr>
        <w:t>步骤二：深度盘点存量资产</w:t>
      </w:r>
      <w:r>
        <w:rPr>
          <w:rFonts w:ascii="Calibri" w:hAnsi="Calibri" w:eastAsia="微软雅黑"/>
          <w:b w:val="0"/>
          <w:i w:val="0"/>
          <w:sz w:val="22"/>
        </w:rPr>
        <w:t>。梳理近十年交付的全部工程项目与业主名单，按使用年限、能耗指标、排放标准分类建立存量客户数据库；对照国家超低排放改造与能效标杆政策要求，主动为存量客户定制"一厂一策"节能减排与数字化升级方案 [来源: P000303]。</w:t>
      </w:r>
    </w:p>
    <w:p>
      <w:pPr>
        <w:pStyle w:val="ListNumber"/>
      </w:pPr>
      <w:r>
        <w:rPr>
          <w:rFonts w:ascii="Calibri" w:hAnsi="Calibri" w:eastAsia="微软雅黑"/>
          <w:b/>
          <w:i w:val="0"/>
          <w:sz w:val="22"/>
        </w:rPr>
        <w:t>步骤三：绿色低碳与数字智能技术叠加</w:t>
      </w:r>
      <w:r>
        <w:rPr>
          <w:rFonts w:ascii="Calibri" w:hAnsi="Calibri" w:eastAsia="微软雅黑"/>
          <w:b w:val="0"/>
          <w:i w:val="0"/>
          <w:sz w:val="22"/>
        </w:rPr>
        <w:t>。将替代燃料系统、低氮燃烧、全氧燃烧捕碳等模块化技术直接嵌入存量生产线改造；为存量工厂部署轻量化智能控制系统，以较小投资实现生产效率与能效的显著提升 [来源: P000303]。</w:t>
      </w:r>
    </w:p>
    <w:p>
      <w:pPr>
        <w:pStyle w:val="ListNumber"/>
      </w:pPr>
      <w:r>
        <w:rPr>
          <w:rFonts w:ascii="Calibri" w:hAnsi="Calibri" w:eastAsia="微软雅黑"/>
          <w:b/>
          <w:i w:val="0"/>
          <w:sz w:val="22"/>
        </w:rPr>
        <w:t>步骤四："产品+装备+运维"服务化转型</w:t>
      </w:r>
      <w:r>
        <w:rPr>
          <w:rFonts w:ascii="Calibri" w:hAnsi="Calibri" w:eastAsia="微软雅黑"/>
          <w:b w:val="0"/>
          <w:i w:val="0"/>
          <w:sz w:val="22"/>
        </w:rPr>
        <w:t>。在客户集中区域部署备品备件加工、仓储与快速响应维修网点；将传统的离散式维修转变为长期托管运维，通过"保产服务合同"按年收取稳定服务费，实现由"一次性工程建设收入"向"持续性高毛利现金流"的质变 [来源: P000303, P000301]。</w:t>
      </w:r>
    </w:p>
    <w:p>
      <w:r>
        <w:rPr>
          <w:rFonts w:ascii="Calibri" w:hAnsi="Calibri" w:eastAsia="微软雅黑"/>
          <w:b w:val="0"/>
          <w:i w:val="0"/>
          <w:sz w:val="22"/>
        </w:rPr>
        <w:t>---</w:t>
      </w:r>
    </w:p>
    <w:p>
      <w:pPr>
        <w:pStyle w:val="Heading2"/>
      </w:pPr>
      <w:r>
        <w:t>4.4 跨界渗透：技术同源迁移与"第二增长曲线"的双向竞逐</w:t>
      </w:r>
    </w:p>
    <w:p>
      <w:pPr>
        <w:pStyle w:val="Heading3"/>
      </w:pPr>
      <w:r>
        <w:t>4.4.1 跨界渗透的驱动机制与双向渗透格局</w:t>
      </w:r>
    </w:p>
    <w:p>
      <w:r>
        <w:rPr>
          <w:rFonts w:ascii="Calibri" w:hAnsi="Calibri" w:eastAsia="微软雅黑"/>
          <w:b w:val="0"/>
          <w:i w:val="0"/>
          <w:sz w:val="22"/>
        </w:rPr>
        <w:t>在工程建设行业整体进入存量博弈与专业分化期的大背景下，"跨界渗透"已成为头部企业打破行业壁垒、寻找"第二增长曲线"的核心战略选择 [来源: P000303, P000306]。随着物联网、新能源、新材料等前沿技术与传统工程建设的深度融合，传统以"水利、电力、化工、市政、建筑"划分的行业边界日益模糊，呈现出激烈的"双向跨界渗透"新格局 [来源: P000303, P000316, P000321]。</w:t>
      </w:r>
    </w:p>
    <w:p>
      <w:r>
        <w:rPr>
          <w:rFonts w:ascii="Calibri" w:hAnsi="Calibri" w:eastAsia="微软雅黑"/>
          <w:b/>
          <w:i w:val="0"/>
          <w:sz w:val="22"/>
        </w:rPr>
        <w:t>跨界渗透的两大底层驱动力</w:t>
      </w:r>
      <w:r>
        <w:rPr>
          <w:rFonts w:ascii="Calibri" w:hAnsi="Calibri" w:eastAsia="微软雅黑"/>
          <w:b w:val="0"/>
          <w:i w:val="0"/>
          <w:sz w:val="22"/>
        </w:rPr>
        <w:t>（归纳为本研究据源文整理）：</w:t>
      </w:r>
    </w:p>
    <w:p>
      <w:pPr>
        <w:pStyle w:val="ListNumber"/>
      </w:pPr>
      <w:r>
        <w:rPr>
          <w:rFonts w:ascii="Calibri" w:hAnsi="Calibri" w:eastAsia="微软雅黑"/>
          <w:b/>
          <w:i w:val="0"/>
          <w:sz w:val="22"/>
        </w:rPr>
        <w:t>技术同源性与通用装备迁移</w:t>
      </w:r>
      <w:r>
        <w:rPr>
          <w:rFonts w:ascii="Calibri" w:hAnsi="Calibri" w:eastAsia="微软雅黑"/>
          <w:b w:val="0"/>
          <w:i w:val="0"/>
          <w:sz w:val="22"/>
        </w:rPr>
        <w:t>：许多工程核心技术与装备在基础物理、化学与工程原理上具备高度同源性——水泥粉磨装备经工艺改造可跨界应用于冶金铁矿石干法制粉，煤气化技术可延伸至氢能与化工新材料，水处理技术可跨界至新能源电池废水处置 [来源: P000303]。技术的同源性为工程企业横向跨界提供了天然的底层支撑。</w:t>
      </w:r>
    </w:p>
    <w:p>
      <w:pPr>
        <w:pStyle w:val="ListNumber"/>
      </w:pPr>
      <w:r>
        <w:rPr>
          <w:rFonts w:ascii="Calibri" w:hAnsi="Calibri" w:eastAsia="微软雅黑"/>
          <w:b/>
          <w:i w:val="0"/>
          <w:sz w:val="22"/>
        </w:rPr>
        <w:t>业主综合需求与一站式交付导向</w:t>
      </w:r>
      <w:r>
        <w:rPr>
          <w:rFonts w:ascii="Calibri" w:hAnsi="Calibri" w:eastAsia="微软雅黑"/>
          <w:b w:val="0"/>
          <w:i w:val="0"/>
          <w:sz w:val="22"/>
        </w:rPr>
        <w:t>：现代大型投资项目（综合智慧能源园区、化工新材料一体化基地、城市水环境综合治理）不再接受单一专业分包，而是要求总承包商具备"跨行业、跨专业、全链条"的集成交付能力，逼迫工程企业必须打破传统专业藩篱构建跨界能力 [来源: P000316, P000321]。</w:t>
      </w:r>
    </w:p>
    <w:p>
      <w:r>
        <w:rPr>
          <w:rFonts w:ascii="Calibri" w:hAnsi="Calibri" w:eastAsia="微软雅黑"/>
          <w:b/>
          <w:i w:val="0"/>
          <w:sz w:val="22"/>
        </w:rPr>
        <w:t>双向渗透的市场格局</w:t>
      </w:r>
      <w:r>
        <w:rPr>
          <w:rFonts w:ascii="Calibri" w:hAnsi="Calibri" w:eastAsia="微软雅黑"/>
          <w:b w:val="0"/>
          <w:i w:val="0"/>
          <w:sz w:val="22"/>
        </w:rPr>
        <w:t>：一端是"向下/向外"——传统工程龙头（天辰、五环、中材国际）向新材料实业、装备外行业、替代燃料、新能源领域跨界，实现从纯工程服务商向"技术+装备+实业"综合集团的升级 [来源: P000303, P000306]；另一端是"向上/向内"——具备资金、平台优势的互联网企业、新兴能源投资商以及电力、冶金、化工类跨专业设计院，纷纷跨界涌入市政工程、综合智慧能源与智慧工程领域，抢夺传统设计院与施工企业的EPC份额，加剧了行业重构的复杂性 [来源: P000316, P000321]。</w:t>
      </w:r>
    </w:p>
    <w:p>
      <w:r>
        <w:rPr>
          <w:rFonts w:ascii="Calibri" w:hAnsi="Calibri" w:eastAsia="微软雅黑"/>
          <w:b w:val="0"/>
          <w:i w:val="0"/>
          <w:sz w:val="22"/>
        </w:rPr>
        <w:t>对身处其中的企业而言，双向渗透时代的竞争法则发生了两点根本变化（法则归纳为本研究观点）：其一，</w:t>
      </w:r>
      <w:r>
        <w:rPr>
          <w:rFonts w:ascii="Calibri" w:hAnsi="Calibri" w:eastAsia="微软雅黑"/>
          <w:b/>
          <w:i w:val="0"/>
          <w:sz w:val="22"/>
        </w:rPr>
        <w:t>竞争对手不再来自同行业名单</w:t>
      </w:r>
      <w:r>
        <w:rPr>
          <w:rFonts w:ascii="Calibri" w:hAnsi="Calibri" w:eastAsia="微软雅黑"/>
          <w:b w:val="0"/>
          <w:i w:val="0"/>
          <w:sz w:val="22"/>
        </w:rPr>
        <w:t>——市政总院面对的是电力、冶金、化工设计院的侵入，能源设计院面对的是互联网平台企业的涌入，传统"行业内排名"对竞争预警的作用急剧下降；其二，</w:t>
      </w:r>
      <w:r>
        <w:rPr>
          <w:rFonts w:ascii="Calibri" w:hAnsi="Calibri" w:eastAsia="微软雅黑"/>
          <w:b/>
          <w:i w:val="0"/>
          <w:sz w:val="22"/>
        </w:rPr>
        <w:t>护城河的构筑材料从资质转向可迁移能力</w:t>
      </w:r>
      <w:r>
        <w:rPr>
          <w:rFonts w:ascii="Calibri" w:hAnsi="Calibri" w:eastAsia="微软雅黑"/>
          <w:b w:val="0"/>
          <w:i w:val="0"/>
          <w:sz w:val="22"/>
        </w:rPr>
        <w:t>——资质只能在原行业设防，而技术同源性与装备通用性可以跨行业设防，这正是头部企业纷纷将装备外行业占比、绿能装备增速纳入核心考核指标的原因 [来源: P000303, P000321]。</w:t>
      </w:r>
    </w:p>
    <w:p>
      <w:pPr>
        <w:pStyle w:val="Heading3"/>
      </w:pPr>
      <w:r>
        <w:t>4.4.2 典型跨界渗透模式实证</w:t>
      </w:r>
    </w:p>
    <w:p>
      <w:pPr>
        <w:pStyle w:val="Heading4"/>
      </w:pPr>
      <w:r>
        <w:t>4.4.2.1 中材国际：装备外行业延伸与替代燃料跨界</w:t>
      </w:r>
    </w:p>
    <w:p>
      <w:r>
        <w:rPr>
          <w:rFonts w:ascii="Calibri" w:hAnsi="Calibri" w:eastAsia="微软雅黑"/>
          <w:b w:val="0"/>
          <w:i w:val="0"/>
          <w:sz w:val="22"/>
        </w:rPr>
        <w:t>中材国际打破"水泥工程"单一标签，按照"做优水泥主业装备、做强矿业技术装备、做大低碳环保装备、做专新材料装备"的总体原则，全面推进核心装备与环保技术向"外行业"跨界渗透 [来源: P000303]。</w:t>
      </w:r>
    </w:p>
    <w:p>
      <w:pPr>
        <w:pStyle w:val="ListBullet"/>
      </w:pPr>
      <w:r>
        <w:rPr>
          <w:rFonts w:ascii="Calibri" w:hAnsi="Calibri" w:eastAsia="微软雅黑"/>
          <w:b/>
          <w:i w:val="0"/>
          <w:sz w:val="22"/>
        </w:rPr>
        <w:t>核心装备跨界（"两外一服"战略）</w:t>
      </w:r>
      <w:r>
        <w:rPr>
          <w:rFonts w:ascii="Calibri" w:hAnsi="Calibri" w:eastAsia="微软雅黑"/>
          <w:b w:val="0"/>
          <w:i w:val="0"/>
          <w:sz w:val="22"/>
        </w:rPr>
        <w:t>：自主研发的高压辊磨机成功跨界应用于铁矿石干法制粉项目，篦冷机首次进入氧化锌行业，输送机批量销往锂业、煤矸石等外行业；2024年装备外行业收入占装备收入比重提升至37%；到2025年，外行业合同占比进一步提升至42%（同比提升6.5个百分点）、外行业收入占比达40%（同比提升3个百分点），成功从"行业专用产品"转型为"通用工业专业产品" [来源: P000303, P000301]。</w:t>
      </w:r>
    </w:p>
    <w:p>
      <w:pPr>
        <w:pStyle w:val="ListBullet"/>
      </w:pPr>
      <w:r>
        <w:rPr>
          <w:rFonts w:ascii="Calibri" w:hAnsi="Calibri" w:eastAsia="微软雅黑"/>
          <w:b/>
          <w:i w:val="0"/>
          <w:sz w:val="22"/>
        </w:rPr>
        <w:t>矿山与绿能装备跨界</w:t>
      </w:r>
      <w:r>
        <w:rPr>
          <w:rFonts w:ascii="Calibri" w:hAnsi="Calibri" w:eastAsia="微软雅黑"/>
          <w:b w:val="0"/>
          <w:i w:val="0"/>
          <w:sz w:val="22"/>
        </w:rPr>
        <w:t>：2025年实现矿山装备收入15.14亿元（同比增长5%），绿能环保装备收入19.32亿元（同比增长超2倍）；成功签署摩洛哥磷酸盐原矿破碎项目，部分核心主机装备成功应用于金矿、铁矿、锂矿，立磨在新材料行业得到应用 [来源: P000301]。</w:t>
      </w:r>
    </w:p>
    <w:p>
      <w:pPr>
        <w:pStyle w:val="ListBullet"/>
      </w:pPr>
      <w:r>
        <w:rPr>
          <w:rFonts w:ascii="Calibri" w:hAnsi="Calibri" w:eastAsia="微软雅黑"/>
          <w:b/>
          <w:i w:val="0"/>
          <w:sz w:val="22"/>
        </w:rPr>
        <w:t>替代燃料与绿能跨界</w:t>
      </w:r>
      <w:r>
        <w:rPr>
          <w:rFonts w:ascii="Calibri" w:hAnsi="Calibri" w:eastAsia="微软雅黑"/>
          <w:b w:val="0"/>
          <w:i w:val="0"/>
          <w:sz w:val="22"/>
        </w:rPr>
        <w:t>：打造专业化替代燃料产业链平台，构建"收、储、制、运、用"一体化业务体系，2024年供货超40万吨（同比大增超6倍），2025年销量超100万吨，应用范围成功延伸至钢铁、化工、电力等高用能及固废资源化领域 [来源: P000303, P000301]。</w:t>
      </w:r>
    </w:p>
    <w:p>
      <w:pPr>
        <w:pStyle w:val="Heading4"/>
      </w:pPr>
      <w:r>
        <w:t>4.4.2.2 中国天辰：从传统化工设计向新材料实业的全链条跨界</w:t>
      </w:r>
    </w:p>
    <w:p>
      <w:r>
        <w:rPr>
          <w:rFonts w:ascii="Calibri" w:hAnsi="Calibri" w:eastAsia="微软雅黑"/>
          <w:b w:val="0"/>
          <w:i w:val="0"/>
          <w:sz w:val="22"/>
        </w:rPr>
        <w:t>中国天辰打破传统工程公司"只做设计和总包"的边界，构建了集"技术研发、工程总承包、实业运营、国际贸易、投融资"五大能力于一体的"一核多元"发展格局 [来源: P000306]。公司通过自主研发打破国外垄断，投资建设天辰齐翔（全国首套丁二烯法己二腈装置）、天辰耀隆（绿色己内酰胺）、天辰泉州（双氧水法环氧丙烷HPPO）等大型实业基地，成功打通"研、投、建、运、销"全产业链 [来源: P000306]。这种以工程技术为核心、直接向高壁垒化工新材料实业跨界的模式，使天辰不仅获取了工程建设利润，更获得了实业产品销售收入与长期稳定现金流，连续三次入选国务院国资委"科改示范行动"标杆企业 [来源: P000306]。</w:t>
      </w:r>
    </w:p>
    <w:p>
      <w:pPr>
        <w:pStyle w:val="Heading4"/>
      </w:pPr>
      <w:r>
        <w:t>4.4.2.3 中国五环与山东院：新兴能源与综合智慧能源跨界</w:t>
      </w:r>
    </w:p>
    <w:p>
      <w:pPr>
        <w:pStyle w:val="ListBullet"/>
      </w:pPr>
      <w:r>
        <w:rPr>
          <w:rFonts w:ascii="Calibri" w:hAnsi="Calibri" w:eastAsia="微软雅黑"/>
          <w:b/>
          <w:i w:val="0"/>
          <w:sz w:val="22"/>
        </w:rPr>
        <w:t>中国五环"两商"跨界</w:t>
      </w:r>
      <w:r>
        <w:rPr>
          <w:rFonts w:ascii="Calibri" w:hAnsi="Calibri" w:eastAsia="微软雅黑"/>
          <w:b w:val="0"/>
          <w:i w:val="0"/>
          <w:sz w:val="22"/>
        </w:rPr>
        <w:t>：围绕"工程科技公司+先进材料供应商"定位，中国五环将传统氮肥、磷化工技术优势横向跨界渗透至硅基新材料（多晶硅、有机硅）、化工新材料以及常温常压储氢等新能源领域，在湖北宜都兴发38万吨半水-二水法磷酸、哈密广汇40万吨级WHB乙二醇等重大项目中取得显著成果 [来源: P000311]。</w:t>
      </w:r>
    </w:p>
    <w:p>
      <w:pPr>
        <w:pStyle w:val="ListBullet"/>
      </w:pPr>
      <w:r>
        <w:rPr>
          <w:rFonts w:ascii="Calibri" w:hAnsi="Calibri" w:eastAsia="微软雅黑"/>
          <w:b/>
          <w:i w:val="0"/>
          <w:sz w:val="22"/>
        </w:rPr>
        <w:t>山东院综合智慧能源跨界</w:t>
      </w:r>
      <w:r>
        <w:rPr>
          <w:rFonts w:ascii="Calibri" w:hAnsi="Calibri" w:eastAsia="微软雅黑"/>
          <w:b w:val="0"/>
          <w:i w:val="0"/>
          <w:sz w:val="22"/>
        </w:rPr>
        <w:t>：面对跨界竞争者涌入能源领域的挑战，山东院利用其超过3000人的跨专业技术团队，从传统电网、火电向风电、光伏、光热、核电、综合智慧能源深度跨界，构建了覆盖全生命周期的数字化与综合能源服务屏障 [来源: P000316]。</w:t>
      </w:r>
    </w:p>
    <w:p>
      <w:pPr>
        <w:pStyle w:val="Heading4"/>
      </w:pPr>
      <w:r>
        <w:t>4.4.2.4 上海市政总院：应对跨界竞争与多专业综合渗透</w:t>
      </w:r>
    </w:p>
    <w:p>
      <w:r>
        <w:rPr>
          <w:rFonts w:ascii="Calibri" w:hAnsi="Calibri" w:eastAsia="微软雅黑"/>
          <w:b w:val="0"/>
          <w:i w:val="0"/>
          <w:sz w:val="22"/>
        </w:rPr>
        <w:t>在市政工程领域，上海市政总院一方面面对来自电力、冶金、化工等领域设计院的跨界侵入（该类跨界企业管理与风控成熟，抢占了部分市政EPC份额）；另一方面，总院依托自身"全国化、全过程"战略与"2+2+10"重点市场布局，主动向水务环境、综合管廊、智慧城市跨界拓展，承接总投资超10亿元的城市综合管廊EPC项目以及杭州、南京、合肥等地的污水处理厂与道路综合改造项目，通过深耕智慧建造与全过程工程咨询，有效反击了异业竞争者的渗透，巩固了市政综合总承包的领军地位 [来源: P000321]。</w:t>
      </w:r>
    </w:p>
    <w:p>
      <w:pPr>
        <w:pStyle w:val="Heading3"/>
      </w:pPr>
      <w:r>
        <w:t>4.4.3 跨界渗透的实施路径与能力构建步骤</w:t>
      </w:r>
    </w:p>
    <w:p>
      <w:r>
        <w:rPr>
          <w:rFonts w:ascii="Calibri" w:hAnsi="Calibri" w:eastAsia="微软雅黑"/>
          <w:b w:val="0"/>
          <w:i w:val="0"/>
          <w:sz w:val="22"/>
        </w:rPr>
        <w:t>工程企业实现成功的跨界渗透，切忌盲目多元化与无序扩张。总结头部企业跨界打法，提炼"四步法"跨界渗透实施指南（方法归纳为本研究据源文整理）：</w:t>
      </w:r>
    </w:p>
    <w:p>
      <w:pPr>
        <w:pStyle w:val="ListNumber"/>
      </w:pPr>
      <w:r>
        <w:rPr>
          <w:rFonts w:ascii="Calibri" w:hAnsi="Calibri" w:eastAsia="微软雅黑"/>
          <w:b/>
          <w:i w:val="0"/>
          <w:sz w:val="22"/>
        </w:rPr>
        <w:t>步骤一：技术同源性评估与场景映射</w:t>
      </w:r>
      <w:r>
        <w:rPr>
          <w:rFonts w:ascii="Calibri" w:hAnsi="Calibri" w:eastAsia="微软雅黑"/>
          <w:b w:val="0"/>
          <w:i w:val="0"/>
          <w:sz w:val="22"/>
        </w:rPr>
        <w:t>。对企业现有的专利技术、专有设备（粉磨、气化、传热、水处理）进行解耦分析，评估其在非原行业的应用可行性；寻找高壁垒、高增长的相邻行业（新能源材料、固废资源化、冶金环保），匹配技术同源性，确定跨界切入点 [来源: P000303, P000306]。</w:t>
      </w:r>
    </w:p>
    <w:p>
      <w:pPr>
        <w:pStyle w:val="ListNumber"/>
      </w:pPr>
      <w:r>
        <w:rPr>
          <w:rFonts w:ascii="Calibri" w:hAnsi="Calibri" w:eastAsia="微软雅黑"/>
          <w:b/>
          <w:i w:val="0"/>
          <w:sz w:val="22"/>
        </w:rPr>
        <w:t>步骤二：研发与工程化双向打通</w:t>
      </w:r>
      <w:r>
        <w:rPr>
          <w:rFonts w:ascii="Calibri" w:hAnsi="Calibri" w:eastAsia="微软雅黑"/>
          <w:b w:val="0"/>
          <w:i w:val="0"/>
          <w:sz w:val="22"/>
        </w:rPr>
        <w:t>。学习中国天辰"产学研设"融合模式，联合高校与科研院所开展跨界技术攻关，掌握核心知识产权；将自主技术与核心装备打包为一体化解决方案，形成独占性竞争优势 [来源: P000306]。</w:t>
      </w:r>
    </w:p>
    <w:p>
      <w:pPr>
        <w:pStyle w:val="ListNumber"/>
      </w:pPr>
      <w:r>
        <w:rPr>
          <w:rFonts w:ascii="Calibri" w:hAnsi="Calibri" w:eastAsia="微软雅黑"/>
          <w:b/>
          <w:i w:val="0"/>
          <w:sz w:val="22"/>
        </w:rPr>
        <w:t>步骤三：跨界示范项目打样</w:t>
      </w:r>
      <w:r>
        <w:rPr>
          <w:rFonts w:ascii="Calibri" w:hAnsi="Calibri" w:eastAsia="微软雅黑"/>
          <w:b w:val="0"/>
          <w:i w:val="0"/>
          <w:sz w:val="22"/>
        </w:rPr>
        <w:t>。在跨界目标行业中寻找标杆客户合作建设首台（套）示范项目（如中材高压辊磨机应用于铁矿石干法制粉、天辰己二腈首套装置），通过示范项目积累运行数据，主导或参与行业标准制定，快速树立跨界领域的专业品牌信任度 [来源: P000303, P000306]。</w:t>
      </w:r>
    </w:p>
    <w:p>
      <w:pPr>
        <w:pStyle w:val="ListNumber"/>
      </w:pPr>
      <w:r>
        <w:rPr>
          <w:rFonts w:ascii="Calibri" w:hAnsi="Calibri" w:eastAsia="微软雅黑"/>
          <w:b/>
          <w:i w:val="0"/>
          <w:sz w:val="22"/>
        </w:rPr>
        <w:t>步骤四：组织架构隔离与产业协同</w:t>
      </w:r>
      <w:r>
        <w:rPr>
          <w:rFonts w:ascii="Calibri" w:hAnsi="Calibri" w:eastAsia="微软雅黑"/>
          <w:b w:val="0"/>
          <w:i w:val="0"/>
          <w:sz w:val="22"/>
        </w:rPr>
        <w:t>。将跨界实业与装备业务与传统EPC业务在财务、考核与风险上适度隔离，设立专门运营主体（如天辰齐翔）；实现工程板块为实业托底建设、实业与装备板块为工程板块提供高毛利支撑的"工程+实业+装备"双向循环抗周期阵型 [来源: P000306, P000303]。</w:t>
      </w:r>
    </w:p>
    <w:p>
      <w:r>
        <w:rPr>
          <w:rFonts w:ascii="Calibri" w:hAnsi="Calibri" w:eastAsia="微软雅黑"/>
          <w:b w:val="0"/>
          <w:i w:val="0"/>
          <w:sz w:val="22"/>
        </w:rPr>
        <w:t>---</w:t>
      </w:r>
    </w:p>
    <w:p>
      <w:pPr>
        <w:pStyle w:val="Heading2"/>
      </w:pPr>
      <w:r>
        <w:t>4.5 赛道定位矩阵：企业如何选择自己的战场</w:t>
      </w:r>
    </w:p>
    <w:p>
      <w:r>
        <w:rPr>
          <w:rFonts w:ascii="Calibri" w:hAnsi="Calibri" w:eastAsia="微软雅黑"/>
          <w:b w:val="0"/>
          <w:i w:val="0"/>
          <w:sz w:val="22"/>
        </w:rPr>
        <w:t>面对极化、增量、出清、跨界四条并行的赛道演化线，工程企业高管最现实的问题是：</w:t>
      </w:r>
      <w:r>
        <w:rPr>
          <w:rFonts w:ascii="Calibri" w:hAnsi="Calibri" w:eastAsia="微软雅黑"/>
          <w:b/>
          <w:i w:val="0"/>
          <w:sz w:val="22"/>
        </w:rPr>
        <w:t>我该站在哪里？</w:t>
      </w:r>
      <w:r>
        <w:rPr>
          <w:rFonts w:ascii="Calibri" w:hAnsi="Calibri" w:eastAsia="微软雅黑"/>
          <w:b w:val="0"/>
          <w:i w:val="0"/>
          <w:sz w:val="22"/>
        </w:rPr>
        <w:t xml:space="preserve"> 本章基于前四节的全量实证，给出一个可直接使用的定位矩阵与选型规则（本节矩阵与规则为本研究基于本章实证资料的归纳框架，非源文原表）。</w:t>
      </w:r>
    </w:p>
    <w:p>
      <w:pPr>
        <w:pStyle w:val="Heading3"/>
      </w:pPr>
      <w:r>
        <w:t>4.5.1 四类赛道定位画像</w:t>
      </w:r>
    </w:p>
    <w:p>
      <w:pPr>
        <w:pStyle w:val="Heading4"/>
      </w:pPr>
      <w:r>
        <w:t>表4-2 专业赛道定位矩阵（本研究据本章实证归纳）[来源: P000303, P000306, P000311, P000316, P000321, P000351]</w:t>
      </w:r>
    </w:p>
    <w:tbl>
      <w:tblPr>
        <w:tblStyle w:val="TableGrid"/>
        <w:tblW w:type="auto" w:w="0"/>
        <w:tblLook w:firstColumn="1" w:firstRow="1" w:lastColumn="0" w:lastRow="0" w:noHBand="0" w:noVBand="1" w:val="04A0"/>
      </w:tblPr>
      <w:tblGrid>
        <w:gridCol w:w="1660"/>
        <w:gridCol w:w="1660"/>
        <w:gridCol w:w="1660"/>
        <w:gridCol w:w="1660"/>
        <w:gridCol w:w="1660"/>
      </w:tblGrid>
      <w:tr>
        <w:tc>
          <w:tcPr>
            <w:tcW w:type="dxa" w:w="1660"/>
            <w:shd w:fill="1F3A5F"/>
          </w:tcPr>
          <w:p>
            <w:r>
              <w:rPr>
                <w:color w:val="FFFFFF"/>
              </w:rPr>
            </w:r>
            <w:r>
              <w:rPr>
                <w:rFonts w:ascii="Calibri" w:hAnsi="Calibri" w:eastAsia="微软雅黑"/>
                <w:b/>
                <w:i w:val="0"/>
                <w:color w:val="FFFFFF"/>
                <w:sz w:val="18"/>
              </w:rPr>
              <w:t>定位类型</w:t>
            </w:r>
          </w:p>
        </w:tc>
        <w:tc>
          <w:tcPr>
            <w:tcW w:type="dxa" w:w="1660"/>
            <w:shd w:fill="1F3A5F"/>
          </w:tcPr>
          <w:p>
            <w:r>
              <w:rPr>
                <w:color w:val="FFFFFF"/>
              </w:rPr>
            </w:r>
            <w:r>
              <w:rPr>
                <w:rFonts w:ascii="Calibri" w:hAnsi="Calibri" w:eastAsia="微软雅黑"/>
                <w:b/>
                <w:i w:val="0"/>
                <w:color w:val="FFFFFF"/>
                <w:sz w:val="18"/>
              </w:rPr>
              <w:t>核心特征</w:t>
            </w:r>
          </w:p>
        </w:tc>
        <w:tc>
          <w:tcPr>
            <w:tcW w:type="dxa" w:w="1660"/>
            <w:shd w:fill="1F3A5F"/>
          </w:tcPr>
          <w:p>
            <w:r>
              <w:rPr>
                <w:color w:val="FFFFFF"/>
              </w:rPr>
            </w:r>
            <w:r>
              <w:rPr>
                <w:rFonts w:ascii="Calibri" w:hAnsi="Calibri" w:eastAsia="微软雅黑"/>
                <w:b/>
                <w:i w:val="0"/>
                <w:color w:val="FFFFFF"/>
                <w:sz w:val="18"/>
              </w:rPr>
              <w:t>门槛条件</w:t>
            </w:r>
          </w:p>
        </w:tc>
        <w:tc>
          <w:tcPr>
            <w:tcW w:type="dxa" w:w="1660"/>
            <w:shd w:fill="1F3A5F"/>
          </w:tcPr>
          <w:p>
            <w:r>
              <w:rPr>
                <w:color w:val="FFFFFF"/>
              </w:rPr>
            </w:r>
            <w:r>
              <w:rPr>
                <w:rFonts w:ascii="Calibri" w:hAnsi="Calibri" w:eastAsia="微软雅黑"/>
                <w:b/>
                <w:i w:val="0"/>
                <w:color w:val="FFFFFF"/>
                <w:sz w:val="18"/>
              </w:rPr>
              <w:t>实证代表</w:t>
            </w:r>
          </w:p>
        </w:tc>
        <w:tc>
          <w:tcPr>
            <w:tcW w:type="dxa" w:w="1660"/>
            <w:shd w:fill="1F3A5F"/>
          </w:tcPr>
          <w:p>
            <w:r>
              <w:rPr>
                <w:color w:val="FFFFFF"/>
              </w:rPr>
            </w:r>
            <w:r>
              <w:rPr>
                <w:rFonts w:ascii="Calibri" w:hAnsi="Calibri" w:eastAsia="微软雅黑"/>
                <w:b/>
                <w:i w:val="0"/>
                <w:color w:val="FFFFFF"/>
                <w:sz w:val="18"/>
              </w:rPr>
              <w:t>关键绩效证据</w:t>
            </w:r>
          </w:p>
        </w:tc>
      </w:tr>
      <w:tr>
        <w:tc>
          <w:tcPr>
            <w:tcW w:type="dxa" w:w="1660"/>
          </w:tcPr>
          <w:p>
            <w:r/>
            <w:r>
              <w:rPr>
                <w:rFonts w:ascii="Calibri" w:hAnsi="Calibri" w:eastAsia="微软雅黑"/>
                <w:b w:val="0"/>
                <w:i w:val="0"/>
                <w:sz w:val="18"/>
              </w:rPr>
              <w:t>极化深潜型</w:t>
            </w:r>
          </w:p>
        </w:tc>
        <w:tc>
          <w:tcPr>
            <w:tcW w:type="dxa" w:w="1660"/>
          </w:tcPr>
          <w:p>
            <w:r/>
            <w:r>
              <w:rPr>
                <w:rFonts w:ascii="Calibri" w:hAnsi="Calibri" w:eastAsia="微软雅黑"/>
                <w:b w:val="0"/>
                <w:i w:val="0"/>
                <w:sz w:val="18"/>
              </w:rPr>
              <w:t>自主工艺包+实业闭环+全球细分垄断</w:t>
            </w:r>
          </w:p>
        </w:tc>
        <w:tc>
          <w:tcPr>
            <w:tcW w:type="dxa" w:w="1660"/>
          </w:tcPr>
          <w:p>
            <w:r/>
            <w:r>
              <w:rPr>
                <w:rFonts w:ascii="Calibri" w:hAnsi="Calibri" w:eastAsia="微软雅黑"/>
                <w:b w:val="0"/>
                <w:i w:val="0"/>
                <w:sz w:val="18"/>
              </w:rPr>
              <w:t>专利工艺包、研发体系、实业投资能力</w:t>
            </w:r>
          </w:p>
        </w:tc>
        <w:tc>
          <w:tcPr>
            <w:tcW w:type="dxa" w:w="1660"/>
          </w:tcPr>
          <w:p>
            <w:r/>
            <w:r>
              <w:rPr>
                <w:rFonts w:ascii="Calibri" w:hAnsi="Calibri" w:eastAsia="微软雅黑"/>
                <w:b w:val="0"/>
                <w:i w:val="0"/>
                <w:sz w:val="18"/>
              </w:rPr>
              <w:t>中国天辰、中国五环、中材国际</w:t>
            </w:r>
          </w:p>
        </w:tc>
        <w:tc>
          <w:tcPr>
            <w:tcW w:type="dxa" w:w="1660"/>
          </w:tcPr>
          <w:p>
            <w:r/>
            <w:r>
              <w:rPr>
                <w:rFonts w:ascii="Calibri" w:hAnsi="Calibri" w:eastAsia="微软雅黑"/>
                <w:b w:val="0"/>
                <w:i w:val="0"/>
                <w:sz w:val="18"/>
              </w:rPr>
              <w:t>天辰纯碱设计产能占全国约60%；五环专利287项；中材主机自给率72%</w:t>
            </w:r>
          </w:p>
        </w:tc>
      </w:tr>
      <w:tr>
        <w:tc>
          <w:tcPr>
            <w:tcW w:type="dxa" w:w="1660"/>
          </w:tcPr>
          <w:p>
            <w:r/>
            <w:r>
              <w:rPr>
                <w:rFonts w:ascii="Calibri" w:hAnsi="Calibri" w:eastAsia="微软雅黑"/>
                <w:b w:val="0"/>
                <w:i w:val="0"/>
                <w:sz w:val="18"/>
              </w:rPr>
              <w:t>增量抢占型</w:t>
            </w:r>
          </w:p>
        </w:tc>
        <w:tc>
          <w:tcPr>
            <w:tcW w:type="dxa" w:w="1660"/>
          </w:tcPr>
          <w:p>
            <w:r/>
            <w:r>
              <w:rPr>
                <w:rFonts w:ascii="Calibri" w:hAnsi="Calibri" w:eastAsia="微软雅黑"/>
                <w:b w:val="0"/>
                <w:i w:val="0"/>
                <w:sz w:val="18"/>
              </w:rPr>
              <w:t>核安全级/高安全等级资质+设计主导中枢</w:t>
            </w:r>
          </w:p>
        </w:tc>
        <w:tc>
          <w:tcPr>
            <w:tcW w:type="dxa" w:w="1660"/>
          </w:tcPr>
          <w:p>
            <w:r/>
            <w:r>
              <w:rPr>
                <w:rFonts w:ascii="Calibri" w:hAnsi="Calibri" w:eastAsia="微软雅黑"/>
                <w:b w:val="0"/>
                <w:i w:val="0"/>
                <w:sz w:val="18"/>
              </w:rPr>
              <w:t>核级设计与全过程管控能力</w:t>
            </w:r>
          </w:p>
        </w:tc>
        <w:tc>
          <w:tcPr>
            <w:tcW w:type="dxa" w:w="1660"/>
          </w:tcPr>
          <w:p>
            <w:r/>
            <w:r>
              <w:rPr>
                <w:rFonts w:ascii="Calibri" w:hAnsi="Calibri" w:eastAsia="微软雅黑"/>
                <w:b w:val="0"/>
                <w:i w:val="0"/>
                <w:sz w:val="18"/>
              </w:rPr>
              <w:t>中核工程</w:t>
            </w:r>
          </w:p>
        </w:tc>
        <w:tc>
          <w:tcPr>
            <w:tcW w:type="dxa" w:w="1660"/>
          </w:tcPr>
          <w:p>
            <w:r/>
            <w:r>
              <w:rPr>
                <w:rFonts w:ascii="Calibri" w:hAnsi="Calibri" w:eastAsia="微软雅黑"/>
                <w:b w:val="0"/>
                <w:i w:val="0"/>
                <w:sz w:val="18"/>
              </w:rPr>
              <w:t>设计阶段锚定约80%采购施工费，QA1级物项占比41.71%</w:t>
            </w:r>
          </w:p>
        </w:tc>
      </w:tr>
      <w:tr>
        <w:tc>
          <w:tcPr>
            <w:tcW w:type="dxa" w:w="1660"/>
          </w:tcPr>
          <w:p>
            <w:r/>
            <w:r>
              <w:rPr>
                <w:rFonts w:ascii="Calibri" w:hAnsi="Calibri" w:eastAsia="微软雅黑"/>
                <w:b w:val="0"/>
                <w:i w:val="0"/>
                <w:sz w:val="18"/>
              </w:rPr>
              <w:t>存量提质型</w:t>
            </w:r>
          </w:p>
        </w:tc>
        <w:tc>
          <w:tcPr>
            <w:tcW w:type="dxa" w:w="1660"/>
          </w:tcPr>
          <w:p>
            <w:r/>
            <w:r>
              <w:rPr>
                <w:rFonts w:ascii="Calibri" w:hAnsi="Calibri" w:eastAsia="微软雅黑"/>
                <w:b w:val="0"/>
                <w:i w:val="0"/>
                <w:sz w:val="18"/>
              </w:rPr>
              <w:t>存量技改+保产运维转化</w:t>
            </w:r>
          </w:p>
        </w:tc>
        <w:tc>
          <w:tcPr>
            <w:tcW w:type="dxa" w:w="1660"/>
          </w:tcPr>
          <w:p>
            <w:r/>
            <w:r>
              <w:rPr>
                <w:rFonts w:ascii="Calibri" w:hAnsi="Calibri" w:eastAsia="微软雅黑"/>
                <w:b w:val="0"/>
                <w:i w:val="0"/>
                <w:sz w:val="18"/>
              </w:rPr>
              <w:t>绿色低碳技术、运维平台</w:t>
            </w:r>
          </w:p>
        </w:tc>
        <w:tc>
          <w:tcPr>
            <w:tcW w:type="dxa" w:w="1660"/>
          </w:tcPr>
          <w:p>
            <w:r/>
            <w:r>
              <w:rPr>
                <w:rFonts w:ascii="Calibri" w:hAnsi="Calibri" w:eastAsia="微软雅黑"/>
                <w:b w:val="0"/>
                <w:i w:val="0"/>
                <w:sz w:val="18"/>
              </w:rPr>
              <w:t>中材国际（境内业务）</w:t>
            </w:r>
          </w:p>
        </w:tc>
        <w:tc>
          <w:tcPr>
            <w:tcW w:type="dxa" w:w="1660"/>
          </w:tcPr>
          <w:p>
            <w:r/>
            <w:r>
              <w:rPr>
                <w:rFonts w:ascii="Calibri" w:hAnsi="Calibri" w:eastAsia="微软雅黑"/>
                <w:b w:val="0"/>
                <w:i w:val="0"/>
                <w:sz w:val="18"/>
              </w:rPr>
              <w:t>生产运营服务2024年营收129.20亿元、毛利率21.48%</w:t>
            </w:r>
          </w:p>
        </w:tc>
      </w:tr>
      <w:tr>
        <w:tc>
          <w:tcPr>
            <w:tcW w:type="dxa" w:w="1660"/>
          </w:tcPr>
          <w:p>
            <w:r/>
            <w:r>
              <w:rPr>
                <w:rFonts w:ascii="Calibri" w:hAnsi="Calibri" w:eastAsia="微软雅黑"/>
                <w:b w:val="0"/>
                <w:i w:val="0"/>
                <w:sz w:val="18"/>
              </w:rPr>
              <w:t>跨界渗透型</w:t>
            </w:r>
          </w:p>
        </w:tc>
        <w:tc>
          <w:tcPr>
            <w:tcW w:type="dxa" w:w="1660"/>
          </w:tcPr>
          <w:p>
            <w:r/>
            <w:r>
              <w:rPr>
                <w:rFonts w:ascii="Calibri" w:hAnsi="Calibri" w:eastAsia="微软雅黑"/>
                <w:b w:val="0"/>
                <w:i w:val="0"/>
                <w:sz w:val="18"/>
              </w:rPr>
              <w:t>技术同源迁移+装备外行业+实业跨界</w:t>
            </w:r>
          </w:p>
        </w:tc>
        <w:tc>
          <w:tcPr>
            <w:tcW w:type="dxa" w:w="1660"/>
          </w:tcPr>
          <w:p>
            <w:r/>
            <w:r>
              <w:rPr>
                <w:rFonts w:ascii="Calibri" w:hAnsi="Calibri" w:eastAsia="微软雅黑"/>
                <w:b w:val="0"/>
                <w:i w:val="0"/>
                <w:sz w:val="18"/>
              </w:rPr>
              <w:t>可迁移装备、组织隔离机制</w:t>
            </w:r>
          </w:p>
        </w:tc>
        <w:tc>
          <w:tcPr>
            <w:tcW w:type="dxa" w:w="1660"/>
          </w:tcPr>
          <w:p>
            <w:r/>
            <w:r>
              <w:rPr>
                <w:rFonts w:ascii="Calibri" w:hAnsi="Calibri" w:eastAsia="微软雅黑"/>
                <w:b w:val="0"/>
                <w:i w:val="0"/>
                <w:sz w:val="18"/>
              </w:rPr>
              <w:t>中材国际、中国天辰、山东院、上海市政总院</w:t>
            </w:r>
          </w:p>
        </w:tc>
        <w:tc>
          <w:tcPr>
            <w:tcW w:type="dxa" w:w="1660"/>
          </w:tcPr>
          <w:p>
            <w:r/>
            <w:r>
              <w:rPr>
                <w:rFonts w:ascii="Calibri" w:hAnsi="Calibri" w:eastAsia="微软雅黑"/>
                <w:b w:val="0"/>
                <w:i w:val="0"/>
                <w:sz w:val="18"/>
              </w:rPr>
              <w:t>中材装备外行业收入占比40%（2025）；山东院六大领域布局</w:t>
            </w:r>
          </w:p>
        </w:tc>
      </w:tr>
    </w:tbl>
    <w:p>
      <w:pPr>
        <w:pStyle w:val="Heading3"/>
      </w:pPr>
      <w:r>
        <w:t>4.5.2 选型规则与自我诊断</w:t>
      </w:r>
    </w:p>
    <w:p>
      <w:r>
        <w:rPr>
          <w:rFonts w:ascii="Calibri" w:hAnsi="Calibri" w:eastAsia="微软雅黑"/>
          <w:b w:val="0"/>
          <w:i w:val="0"/>
          <w:sz w:val="22"/>
        </w:rPr>
        <w:t>企业可按以下顺序完成自我诊断（规则为本研究归纳）：</w:t>
      </w:r>
    </w:p>
    <w:p>
      <w:pPr>
        <w:pStyle w:val="ListNumber"/>
      </w:pPr>
      <w:r>
        <w:rPr>
          <w:rFonts w:ascii="Calibri" w:hAnsi="Calibri" w:eastAsia="微软雅黑"/>
          <w:b/>
          <w:i w:val="0"/>
          <w:sz w:val="22"/>
        </w:rPr>
        <w:t>有专利工艺包或专有设备的，优先"极化深潜"</w:t>
      </w:r>
      <w:r>
        <w:rPr>
          <w:rFonts w:ascii="Calibri" w:hAnsi="Calibri" w:eastAsia="微软雅黑"/>
          <w:b w:val="0"/>
          <w:i w:val="0"/>
          <w:sz w:val="22"/>
        </w:rPr>
        <w:t>。天辰的"研投建运销"与五环的"两商"证明：技术独占性是定价权的最终来源；不具备工艺包能力而强行极化，只会沦为设备搬运商 [来源: P000306, P000311]。自检问题：本企业是否拥有至少一项在投标中构成技术独占性的工艺包或装备？该技术的市场占有率与替代品数量如何？</w:t>
      </w:r>
    </w:p>
    <w:p>
      <w:pPr>
        <w:pStyle w:val="ListNumber"/>
      </w:pPr>
      <w:r>
        <w:rPr>
          <w:rFonts w:ascii="Calibri" w:hAnsi="Calibri" w:eastAsia="微软雅黑"/>
          <w:b/>
          <w:i w:val="0"/>
          <w:sz w:val="22"/>
        </w:rPr>
        <w:t>有核安全级或同等高等级资质与强大设计实力的，卡位"增量抢占"</w:t>
      </w:r>
      <w:r>
        <w:rPr>
          <w:rFonts w:ascii="Calibri" w:hAnsi="Calibri" w:eastAsia="微软雅黑"/>
          <w:b w:val="0"/>
          <w:i w:val="0"/>
          <w:sz w:val="22"/>
        </w:rPr>
        <w:t>。高安全等级赛道的准入壁垒本身就是订单护城河，中核工程的设计中枢模式（进度延误率降低20%、综合成本降低10%）是可复用的管控范式 [来源: P000351]。自检问题：本企业是否具备高安全等级项目的设计主导与全过程管控业绩？设计、采购、施工的数据是否已贯通？</w:t>
      </w:r>
    </w:p>
    <w:p>
      <w:pPr>
        <w:pStyle w:val="ListNumber"/>
      </w:pPr>
      <w:r>
        <w:rPr>
          <w:rFonts w:ascii="Calibri" w:hAnsi="Calibri" w:eastAsia="微软雅黑"/>
          <w:b/>
          <w:i w:val="0"/>
          <w:sz w:val="22"/>
        </w:rPr>
        <w:t>根植传统建材、基建、市政的，转向"存量提质"</w:t>
      </w:r>
      <w:r>
        <w:rPr>
          <w:rFonts w:ascii="Calibri" w:hAnsi="Calibri" w:eastAsia="微软雅黑"/>
          <w:b w:val="0"/>
          <w:i w:val="0"/>
          <w:sz w:val="22"/>
        </w:rPr>
        <w:t>。政策红线（2028年底全国力争80%水泥熟料产能完成超低排放改造）既是出清令也是新订单生成器——存量改造与运维是未来十年确定性最高的需求池 [来源: P000303]。自检问题：本企业近十年交付项目的存量客户规模有多大？是否已建立按能耗与排放指标分类的客户台账？</w:t>
      </w:r>
    </w:p>
    <w:p>
      <w:pPr>
        <w:pStyle w:val="ListNumber"/>
      </w:pPr>
      <w:r>
        <w:rPr>
          <w:rFonts w:ascii="Calibri" w:hAnsi="Calibri" w:eastAsia="微软雅黑"/>
          <w:b/>
          <w:i w:val="0"/>
          <w:sz w:val="22"/>
        </w:rPr>
        <w:t>有可迁移装备与实业投资能力的，启动"跨界渗透"</w:t>
      </w:r>
      <w:r>
        <w:rPr>
          <w:rFonts w:ascii="Calibri" w:hAnsi="Calibri" w:eastAsia="微软雅黑"/>
          <w:b w:val="0"/>
          <w:i w:val="0"/>
          <w:sz w:val="22"/>
        </w:rPr>
        <w:t>。跨界不是多元投机，其前提是技术同源性评估与首台（套）示范打样，并配以组织隔离，防止跨界风险传染主业 [来源: P000303, P000306]。自检问题：本企业核心装备在相邻行业是否已有成功应用案例？跨界业务是否有独立的运营主体与考核口径？</w:t>
      </w:r>
    </w:p>
    <w:p>
      <w:r>
        <w:rPr>
          <w:rFonts w:ascii="Calibri" w:hAnsi="Calibri" w:eastAsia="微软雅黑"/>
          <w:b w:val="0"/>
          <w:i w:val="0"/>
          <w:sz w:val="22"/>
        </w:rPr>
        <w:t>四类定位并非互斥：中材国际同时运行极化（水泥全球垄断）、存量提质（境内技改运维）与跨界渗透（装备外行业）三条线，其前提是各条线均有独立的业务单元与考核口径；对资源有限的中小企业，则应遵循"一主一辅"原则——先在一个赛道建立根据地，再以最小代价试水第二条曲线（此原则为本研究建议）。</w:t>
      </w:r>
    </w:p>
    <w:p>
      <w:pPr>
        <w:pStyle w:val="Heading3"/>
      </w:pPr>
      <w:r>
        <w:t>4.5.3 从定位到行动：一页决策路线</w:t>
      </w:r>
    </w:p>
    <w:p>
      <w:r>
        <w:rPr>
          <w:rFonts w:ascii="Calibri" w:hAnsi="Calibri" w:eastAsia="微软雅黑"/>
          <w:b w:val="0"/>
          <w:i w:val="0"/>
          <w:sz w:val="22"/>
        </w:rPr>
        <w:t>综合四条赛道的打法共性，成功的赛道战略最终都收敛到同一套行动结构（归纳为本研究观点）：</w:t>
      </w:r>
      <w:r>
        <w:rPr>
          <w:rFonts w:ascii="Calibri" w:hAnsi="Calibri" w:eastAsia="微软雅黑"/>
          <w:b/>
          <w:i w:val="0"/>
          <w:sz w:val="22"/>
        </w:rPr>
        <w:t>技术资产盘点（我在哪里有独占性）→ 工程化封装（工艺包/装备标准化）→ 商业模式重构（T+EPC/运维长尾/实业跟投）→ 组织与风控隔离（专项运营主体+价本利纪律）</w:t>
      </w:r>
      <w:r>
        <w:rPr>
          <w:rFonts w:ascii="Calibri" w:hAnsi="Calibri" w:eastAsia="微软雅黑"/>
          <w:b w:val="0"/>
          <w:i w:val="0"/>
          <w:sz w:val="22"/>
        </w:rPr>
        <w:t>。中国化学的实践同样印证了这一结构——作为掌握煤化工最核心技术的总承包商，其2025年实现营业总收入1,901.25亿元，在煤化工领域占据国内绝大部分市场份额，正是"技术垄断+全链服务"长期复利的结果 [来源: P000326]。</w:t>
      </w:r>
    </w:p>
    <w:p>
      <w:pPr>
        <w:pStyle w:val="Heading3"/>
      </w:pPr>
      <w:r>
        <w:t>4.5.4 标杆企业"数据-动作-结果"全景速查</w:t>
      </w:r>
    </w:p>
    <w:p>
      <w:r>
        <w:rPr>
          <w:rFonts w:ascii="Calibri" w:hAnsi="Calibri" w:eastAsia="微软雅黑"/>
          <w:b w:val="0"/>
          <w:i w:val="0"/>
          <w:sz w:val="22"/>
        </w:rPr>
        <w:t>为便于决策者快速对标，将本章六家标杆企业的核心证据浓缩为一张速查表（全部数据均取自本章事实锚源，年度口径随文标注）：</w:t>
      </w:r>
    </w:p>
    <w:p>
      <w:pPr>
        <w:pStyle w:val="Heading4"/>
      </w:pPr>
      <w:r>
        <w:t>表4-4 专业赛道标杆企业证据速查 [来源: P000301, P000303, P000305, P000306, P000311, P000316, P000321, P000351]</w:t>
      </w:r>
    </w:p>
    <w:tbl>
      <w:tblPr>
        <w:tblStyle w:val="TableGrid"/>
        <w:tblW w:type="auto" w:w="0"/>
        <w:tblLook w:firstColumn="1" w:firstRow="1" w:lastColumn="0" w:lastRow="0" w:noHBand="0" w:noVBand="1" w:val="04A0"/>
      </w:tblPr>
      <w:tblGrid>
        <w:gridCol w:w="1660"/>
        <w:gridCol w:w="1660"/>
        <w:gridCol w:w="1660"/>
        <w:gridCol w:w="1660"/>
        <w:gridCol w:w="1660"/>
      </w:tblGrid>
      <w:tr>
        <w:tc>
          <w:tcPr>
            <w:tcW w:type="dxa" w:w="1660"/>
            <w:shd w:fill="1F3A5F"/>
          </w:tcPr>
          <w:p>
            <w:r>
              <w:rPr>
                <w:color w:val="FFFFFF"/>
              </w:rPr>
            </w:r>
            <w:r>
              <w:rPr>
                <w:rFonts w:ascii="Calibri" w:hAnsi="Calibri" w:eastAsia="微软雅黑"/>
                <w:b/>
                <w:i w:val="0"/>
                <w:color w:val="FFFFFF"/>
                <w:sz w:val="18"/>
              </w:rPr>
              <w:t>企业</w:t>
            </w:r>
          </w:p>
        </w:tc>
        <w:tc>
          <w:tcPr>
            <w:tcW w:type="dxa" w:w="1660"/>
            <w:shd w:fill="1F3A5F"/>
          </w:tcPr>
          <w:p>
            <w:r>
              <w:rPr>
                <w:color w:val="FFFFFF"/>
              </w:rPr>
            </w:r>
            <w:r>
              <w:rPr>
                <w:rFonts w:ascii="Calibri" w:hAnsi="Calibri" w:eastAsia="微软雅黑"/>
                <w:b/>
                <w:i w:val="0"/>
                <w:color w:val="FFFFFF"/>
                <w:sz w:val="18"/>
              </w:rPr>
              <w:t>所在赛道定位</w:t>
            </w:r>
          </w:p>
        </w:tc>
        <w:tc>
          <w:tcPr>
            <w:tcW w:type="dxa" w:w="1660"/>
            <w:shd w:fill="1F3A5F"/>
          </w:tcPr>
          <w:p>
            <w:r>
              <w:rPr>
                <w:color w:val="FFFFFF"/>
              </w:rPr>
            </w:r>
            <w:r>
              <w:rPr>
                <w:rFonts w:ascii="Calibri" w:hAnsi="Calibri" w:eastAsia="微软雅黑"/>
                <w:b/>
                <w:i w:val="0"/>
                <w:color w:val="FFFFFF"/>
                <w:sz w:val="18"/>
              </w:rPr>
              <w:t>关键数据</w:t>
            </w:r>
          </w:p>
        </w:tc>
        <w:tc>
          <w:tcPr>
            <w:tcW w:type="dxa" w:w="1660"/>
            <w:shd w:fill="1F3A5F"/>
          </w:tcPr>
          <w:p>
            <w:r>
              <w:rPr>
                <w:color w:val="FFFFFF"/>
              </w:rPr>
            </w:r>
            <w:r>
              <w:rPr>
                <w:rFonts w:ascii="Calibri" w:hAnsi="Calibri" w:eastAsia="微软雅黑"/>
                <w:b/>
                <w:i w:val="0"/>
                <w:color w:val="FFFFFF"/>
                <w:sz w:val="18"/>
              </w:rPr>
              <w:t>代表动作</w:t>
            </w:r>
          </w:p>
        </w:tc>
        <w:tc>
          <w:tcPr>
            <w:tcW w:type="dxa" w:w="1660"/>
            <w:shd w:fill="1F3A5F"/>
          </w:tcPr>
          <w:p>
            <w:r>
              <w:rPr>
                <w:color w:val="FFFFFF"/>
              </w:rPr>
            </w:r>
            <w:r>
              <w:rPr>
                <w:rFonts w:ascii="Calibri" w:hAnsi="Calibri" w:eastAsia="微软雅黑"/>
                <w:b/>
                <w:i w:val="0"/>
                <w:color w:val="FFFFFF"/>
                <w:sz w:val="18"/>
              </w:rPr>
              <w:t>可复制结果</w:t>
            </w:r>
          </w:p>
        </w:tc>
      </w:tr>
      <w:tr>
        <w:tc>
          <w:tcPr>
            <w:tcW w:type="dxa" w:w="1660"/>
          </w:tcPr>
          <w:p>
            <w:r/>
            <w:r>
              <w:rPr>
                <w:rFonts w:ascii="Calibri" w:hAnsi="Calibri" w:eastAsia="微软雅黑"/>
                <w:b w:val="0"/>
                <w:i w:val="0"/>
                <w:sz w:val="18"/>
              </w:rPr>
              <w:t>中国天辰</w:t>
            </w:r>
          </w:p>
        </w:tc>
        <w:tc>
          <w:tcPr>
            <w:tcW w:type="dxa" w:w="1660"/>
          </w:tcPr>
          <w:p>
            <w:r/>
            <w:r>
              <w:rPr>
                <w:rFonts w:ascii="Calibri" w:hAnsi="Calibri" w:eastAsia="微软雅黑"/>
                <w:b w:val="0"/>
                <w:i w:val="0"/>
                <w:sz w:val="18"/>
              </w:rPr>
              <w:t>极化深潜型</w:t>
            </w:r>
          </w:p>
        </w:tc>
        <w:tc>
          <w:tcPr>
            <w:tcW w:type="dxa" w:w="1660"/>
          </w:tcPr>
          <w:p>
            <w:r/>
            <w:r>
              <w:rPr>
                <w:rFonts w:ascii="Calibri" w:hAnsi="Calibri" w:eastAsia="微软雅黑"/>
                <w:b w:val="0"/>
                <w:i w:val="0"/>
                <w:sz w:val="18"/>
              </w:rPr>
              <w:t>2008年首批综合甲级资质；纯碱设计产能占全国约60%；烧碱市占率超60%纪录</w:t>
            </w:r>
          </w:p>
        </w:tc>
        <w:tc>
          <w:tcPr>
            <w:tcW w:type="dxa" w:w="1660"/>
          </w:tcPr>
          <w:p>
            <w:r/>
            <w:r>
              <w:rPr>
                <w:rFonts w:ascii="Calibri" w:hAnsi="Calibri" w:eastAsia="微软雅黑"/>
                <w:b w:val="0"/>
                <w:i w:val="0"/>
                <w:sz w:val="18"/>
              </w:rPr>
              <w:t>"产学研设"研发体系；天辰齐翔/耀隆/泉州实业基地；T+EPC捆绑出海</w:t>
            </w:r>
          </w:p>
        </w:tc>
        <w:tc>
          <w:tcPr>
            <w:tcW w:type="dxa" w:w="1660"/>
          </w:tcPr>
          <w:p>
            <w:r/>
            <w:r>
              <w:rPr>
                <w:rFonts w:ascii="Calibri" w:hAnsi="Calibri" w:eastAsia="微软雅黑"/>
                <w:b w:val="0"/>
                <w:i w:val="0"/>
                <w:sz w:val="18"/>
              </w:rPr>
              <w:t>打破己二腈国外垄断，"研投建运销"全链条贯通</w:t>
            </w:r>
          </w:p>
        </w:tc>
      </w:tr>
      <w:tr>
        <w:tc>
          <w:tcPr>
            <w:tcW w:type="dxa" w:w="1660"/>
          </w:tcPr>
          <w:p>
            <w:r/>
            <w:r>
              <w:rPr>
                <w:rFonts w:ascii="Calibri" w:hAnsi="Calibri" w:eastAsia="微软雅黑"/>
                <w:b w:val="0"/>
                <w:i w:val="0"/>
                <w:sz w:val="18"/>
              </w:rPr>
              <w:t>中国五环</w:t>
            </w:r>
          </w:p>
        </w:tc>
        <w:tc>
          <w:tcPr>
            <w:tcW w:type="dxa" w:w="1660"/>
          </w:tcPr>
          <w:p>
            <w:r/>
            <w:r>
              <w:rPr>
                <w:rFonts w:ascii="Calibri" w:hAnsi="Calibri" w:eastAsia="微软雅黑"/>
                <w:b w:val="0"/>
                <w:i w:val="0"/>
                <w:sz w:val="18"/>
              </w:rPr>
              <w:t>极化深潜型</w:t>
            </w:r>
          </w:p>
        </w:tc>
        <w:tc>
          <w:tcPr>
            <w:tcW w:type="dxa" w:w="1660"/>
          </w:tcPr>
          <w:p>
            <w:r/>
            <w:r>
              <w:rPr>
                <w:rFonts w:ascii="Calibri" w:hAnsi="Calibri" w:eastAsia="微软雅黑"/>
                <w:b w:val="0"/>
                <w:i w:val="0"/>
                <w:sz w:val="18"/>
              </w:rPr>
              <w:t>专利287项；WHB乙二醇节省投资约30%、能耗降15-20%</w:t>
            </w:r>
          </w:p>
        </w:tc>
        <w:tc>
          <w:tcPr>
            <w:tcW w:type="dxa" w:w="1660"/>
          </w:tcPr>
          <w:p>
            <w:r/>
            <w:r>
              <w:rPr>
                <w:rFonts w:ascii="Calibri" w:hAnsi="Calibri" w:eastAsia="微软雅黑"/>
                <w:b w:val="0"/>
                <w:i w:val="0"/>
                <w:sz w:val="18"/>
              </w:rPr>
              <w:t>专利工艺包嵌入投标；八大领域聚焦；差异化海外高端竞标</w:t>
            </w:r>
          </w:p>
        </w:tc>
        <w:tc>
          <w:tcPr>
            <w:tcW w:type="dxa" w:w="1660"/>
          </w:tcPr>
          <w:p>
            <w:r/>
            <w:r>
              <w:rPr>
                <w:rFonts w:ascii="Calibri" w:hAnsi="Calibri" w:eastAsia="微软雅黑"/>
                <w:b w:val="0"/>
                <w:i w:val="0"/>
                <w:sz w:val="18"/>
              </w:rPr>
              <w:t>印尼PKG打破日本半个世纪垄断；与国际巨头同台竞技</w:t>
            </w:r>
          </w:p>
        </w:tc>
      </w:tr>
      <w:tr>
        <w:tc>
          <w:tcPr>
            <w:tcW w:type="dxa" w:w="1660"/>
          </w:tcPr>
          <w:p>
            <w:r/>
            <w:r>
              <w:rPr>
                <w:rFonts w:ascii="Calibri" w:hAnsi="Calibri" w:eastAsia="微软雅黑"/>
                <w:b w:val="0"/>
                <w:i w:val="0"/>
                <w:sz w:val="18"/>
              </w:rPr>
              <w:t>中材国际</w:t>
            </w:r>
          </w:p>
        </w:tc>
        <w:tc>
          <w:tcPr>
            <w:tcW w:type="dxa" w:w="1660"/>
          </w:tcPr>
          <w:p>
            <w:r/>
            <w:r>
              <w:rPr>
                <w:rFonts w:ascii="Calibri" w:hAnsi="Calibri" w:eastAsia="微软雅黑"/>
                <w:b w:val="0"/>
                <w:i w:val="0"/>
                <w:sz w:val="18"/>
              </w:rPr>
              <w:t>极化+存量+跨界复合型</w:t>
            </w:r>
          </w:p>
        </w:tc>
        <w:tc>
          <w:tcPr>
            <w:tcW w:type="dxa" w:w="1660"/>
          </w:tcPr>
          <w:p>
            <w:r/>
            <w:r>
              <w:rPr>
                <w:rFonts w:ascii="Calibri" w:hAnsi="Calibri" w:eastAsia="微软雅黑"/>
                <w:b w:val="0"/>
                <w:i w:val="0"/>
                <w:sz w:val="18"/>
              </w:rPr>
              <w:t>2024年境外毛利率23.07%；2025年新签712.35亿元；主机自给率72%</w:t>
            </w:r>
          </w:p>
        </w:tc>
        <w:tc>
          <w:tcPr>
            <w:tcW w:type="dxa" w:w="1660"/>
          </w:tcPr>
          <w:p>
            <w:r/>
            <w:r>
              <w:rPr>
                <w:rFonts w:ascii="Calibri" w:hAnsi="Calibri" w:eastAsia="微软雅黑"/>
                <w:b w:val="0"/>
                <w:i w:val="0"/>
                <w:sz w:val="18"/>
              </w:rPr>
              <w:t>两端延伸；两外一服；全球保产运维平台</w:t>
            </w:r>
          </w:p>
        </w:tc>
        <w:tc>
          <w:tcPr>
            <w:tcW w:type="dxa" w:w="1660"/>
          </w:tcPr>
          <w:p>
            <w:r/>
            <w:r>
              <w:rPr>
                <w:rFonts w:ascii="Calibri" w:hAnsi="Calibri" w:eastAsia="微软雅黑"/>
                <w:b w:val="0"/>
                <w:i w:val="0"/>
                <w:sz w:val="18"/>
              </w:rPr>
              <w:t>境外工程技术服务新签占比81%；外行业收入占比40%</w:t>
            </w:r>
          </w:p>
        </w:tc>
      </w:tr>
      <w:tr>
        <w:tc>
          <w:tcPr>
            <w:tcW w:type="dxa" w:w="1660"/>
          </w:tcPr>
          <w:p>
            <w:r/>
            <w:r>
              <w:rPr>
                <w:rFonts w:ascii="Calibri" w:hAnsi="Calibri" w:eastAsia="微软雅黑"/>
                <w:b w:val="0"/>
                <w:i w:val="0"/>
                <w:sz w:val="18"/>
              </w:rPr>
              <w:t>中核工程</w:t>
            </w:r>
          </w:p>
        </w:tc>
        <w:tc>
          <w:tcPr>
            <w:tcW w:type="dxa" w:w="1660"/>
          </w:tcPr>
          <w:p>
            <w:r/>
            <w:r>
              <w:rPr>
                <w:rFonts w:ascii="Calibri" w:hAnsi="Calibri" w:eastAsia="微软雅黑"/>
                <w:b w:val="0"/>
                <w:i w:val="0"/>
                <w:sz w:val="18"/>
              </w:rPr>
              <w:t>增量抢占型</w:t>
            </w:r>
          </w:p>
        </w:tc>
        <w:tc>
          <w:tcPr>
            <w:tcW w:type="dxa" w:w="1660"/>
          </w:tcPr>
          <w:p>
            <w:r/>
            <w:r>
              <w:rPr>
                <w:rFonts w:ascii="Calibri" w:hAnsi="Calibri" w:eastAsia="微软雅黑"/>
                <w:b w:val="0"/>
                <w:i w:val="0"/>
                <w:sz w:val="18"/>
              </w:rPr>
              <w:t>设计阶段锚定约80%采购施工费；QA1级物项占比41.71%</w:t>
            </w:r>
          </w:p>
        </w:tc>
        <w:tc>
          <w:tcPr>
            <w:tcW w:type="dxa" w:w="1660"/>
          </w:tcPr>
          <w:p>
            <w:r/>
            <w:r>
              <w:rPr>
                <w:rFonts w:ascii="Calibri" w:hAnsi="Calibri" w:eastAsia="微软雅黑"/>
                <w:b w:val="0"/>
                <w:i w:val="0"/>
                <w:sz w:val="18"/>
              </w:rPr>
              <w:t>设计基准事故分析预算模板库；EB对象化；QA源头干预</w:t>
            </w:r>
          </w:p>
        </w:tc>
        <w:tc>
          <w:tcPr>
            <w:tcW w:type="dxa" w:w="1660"/>
          </w:tcPr>
          <w:p>
            <w:r/>
            <w:r>
              <w:rPr>
                <w:rFonts w:ascii="Calibri" w:hAnsi="Calibri" w:eastAsia="微软雅黑"/>
                <w:b w:val="0"/>
                <w:i w:val="0"/>
                <w:sz w:val="18"/>
              </w:rPr>
              <w:t>进度延误率降低20%；综合成本降低10%</w:t>
            </w:r>
          </w:p>
        </w:tc>
      </w:tr>
      <w:tr>
        <w:tc>
          <w:tcPr>
            <w:tcW w:type="dxa" w:w="1660"/>
          </w:tcPr>
          <w:p>
            <w:r/>
            <w:r>
              <w:rPr>
                <w:rFonts w:ascii="Calibri" w:hAnsi="Calibri" w:eastAsia="微软雅黑"/>
                <w:b w:val="0"/>
                <w:i w:val="0"/>
                <w:sz w:val="18"/>
              </w:rPr>
              <w:t>山东院</w:t>
            </w:r>
          </w:p>
        </w:tc>
        <w:tc>
          <w:tcPr>
            <w:tcW w:type="dxa" w:w="1660"/>
          </w:tcPr>
          <w:p>
            <w:r/>
            <w:r>
              <w:rPr>
                <w:rFonts w:ascii="Calibri" w:hAnsi="Calibri" w:eastAsia="微软雅黑"/>
                <w:b w:val="0"/>
                <w:i w:val="0"/>
                <w:sz w:val="18"/>
              </w:rPr>
              <w:t>存量提质+跨界</w:t>
            </w:r>
          </w:p>
        </w:tc>
        <w:tc>
          <w:tcPr>
            <w:tcW w:type="dxa" w:w="1660"/>
          </w:tcPr>
          <w:p>
            <w:r/>
            <w:r>
              <w:rPr>
                <w:rFonts w:ascii="Calibri" w:hAnsi="Calibri" w:eastAsia="微软雅黑"/>
                <w:b w:val="0"/>
                <w:i w:val="0"/>
                <w:sz w:val="18"/>
              </w:rPr>
              <w:t>2016年重组后员工超3000人、资产超130亿元；业务覆盖40多个国家</w:t>
            </w:r>
          </w:p>
        </w:tc>
        <w:tc>
          <w:tcPr>
            <w:tcW w:type="dxa" w:w="1660"/>
          </w:tcPr>
          <w:p>
            <w:r/>
            <w:r>
              <w:rPr>
                <w:rFonts w:ascii="Calibri" w:hAnsi="Calibri" w:eastAsia="微软雅黑"/>
                <w:b w:val="0"/>
                <w:i w:val="0"/>
                <w:sz w:val="18"/>
              </w:rPr>
              <w:t>六大领域+八大环节全链条布局；特高压与三代核电卡位</w:t>
            </w:r>
          </w:p>
        </w:tc>
        <w:tc>
          <w:tcPr>
            <w:tcW w:type="dxa" w:w="1660"/>
          </w:tcPr>
          <w:p>
            <w:r/>
            <w:r>
              <w:rPr>
                <w:rFonts w:ascii="Calibri" w:hAnsi="Calibri" w:eastAsia="微软雅黑"/>
                <w:b w:val="0"/>
                <w:i w:val="0"/>
                <w:sz w:val="18"/>
              </w:rPr>
              <w:t>国内唯一集百万千瓦级火电、特高压、三代核电业绩于一身</w:t>
            </w:r>
          </w:p>
        </w:tc>
      </w:tr>
      <w:tr>
        <w:tc>
          <w:tcPr>
            <w:tcW w:type="dxa" w:w="1660"/>
          </w:tcPr>
          <w:p>
            <w:r/>
            <w:r>
              <w:rPr>
                <w:rFonts w:ascii="Calibri" w:hAnsi="Calibri" w:eastAsia="微软雅黑"/>
                <w:b w:val="0"/>
                <w:i w:val="0"/>
                <w:sz w:val="18"/>
              </w:rPr>
              <w:t>上海市政总院</w:t>
            </w:r>
          </w:p>
        </w:tc>
        <w:tc>
          <w:tcPr>
            <w:tcW w:type="dxa" w:w="1660"/>
          </w:tcPr>
          <w:p>
            <w:r/>
            <w:r>
              <w:rPr>
                <w:rFonts w:ascii="Calibri" w:hAnsi="Calibri" w:eastAsia="微软雅黑"/>
                <w:b w:val="0"/>
                <w:i w:val="0"/>
                <w:sz w:val="18"/>
              </w:rPr>
              <w:t>存量提质型</w:t>
            </w:r>
          </w:p>
        </w:tc>
        <w:tc>
          <w:tcPr>
            <w:tcW w:type="dxa" w:w="1660"/>
          </w:tcPr>
          <w:p>
            <w:r/>
            <w:r>
              <w:rPr>
                <w:rFonts w:ascii="Calibri" w:hAnsi="Calibri" w:eastAsia="微软雅黑"/>
                <w:b w:val="0"/>
                <w:i w:val="0"/>
                <w:sz w:val="18"/>
              </w:rPr>
              <w:t>员工超2000人；专业技术人员占比超85%；高级职称超30%</w:t>
            </w:r>
          </w:p>
        </w:tc>
        <w:tc>
          <w:tcPr>
            <w:tcW w:type="dxa" w:w="1660"/>
          </w:tcPr>
          <w:p>
            <w:r/>
            <w:r>
              <w:rPr>
                <w:rFonts w:ascii="Calibri" w:hAnsi="Calibri" w:eastAsia="微软雅黑"/>
                <w:b w:val="0"/>
                <w:i w:val="0"/>
                <w:sz w:val="18"/>
              </w:rPr>
              <w:t>白龙港不停产提标改造；模块化预制；风险分级识别</w:t>
            </w:r>
          </w:p>
        </w:tc>
        <w:tc>
          <w:tcPr>
            <w:tcW w:type="dxa" w:w="1660"/>
          </w:tcPr>
          <w:p>
            <w:r/>
            <w:r>
              <w:rPr>
                <w:rFonts w:ascii="Calibri" w:hAnsi="Calibri" w:eastAsia="微软雅黑"/>
                <w:b w:val="0"/>
                <w:i w:val="0"/>
                <w:sz w:val="18"/>
              </w:rPr>
              <w:t>詹天佑奖；高端存量市政改造壁垒成型</w:t>
            </w:r>
          </w:p>
        </w:tc>
      </w:tr>
    </w:tbl>
    <w:p>
      <w:r>
        <w:rPr>
          <w:rFonts w:ascii="Calibri" w:hAnsi="Calibri" w:eastAsia="微软雅黑"/>
          <w:b w:val="0"/>
          <w:i w:val="0"/>
          <w:sz w:val="22"/>
        </w:rPr>
        <w:t>速查表的使用方法（本研究建议）：第一步，用第三列"关键数据"对照本企业同口径指标，判断量级差距与可追赶性；第二步，用第四列"代表动作"筛选与本企业资源禀赋匹配度最高的两到三项动作作为年度重点；第三步，用第五列"可复制结果"设定三年期的结果验收标准。赛道战略的落地不在于同时展开全部动作，而在于以年度为单位完成"定位-对标-动作-验收"的循环迭代。</w:t>
      </w:r>
    </w:p>
    <w:p>
      <w:r>
        <w:rPr>
          <w:rFonts w:ascii="Calibri" w:hAnsi="Calibri" w:eastAsia="微软雅黑"/>
          <w:b w:val="0"/>
          <w:i w:val="0"/>
          <w:sz w:val="22"/>
        </w:rPr>
        <w:t>需要提醒的是，速查表中的标杆数据均为特定年度的静态快照，读者在引用时应注意三个动态因素（提醒为本研究观点）：一是</w:t>
      </w:r>
      <w:r>
        <w:rPr>
          <w:rFonts w:ascii="Calibri" w:hAnsi="Calibri" w:eastAsia="微软雅黑"/>
          <w:b/>
          <w:i w:val="0"/>
          <w:sz w:val="22"/>
        </w:rPr>
        <w:t>年度口径</w:t>
      </w:r>
      <w:r>
        <w:rPr>
          <w:rFonts w:ascii="Calibri" w:hAnsi="Calibri" w:eastAsia="微软雅黑"/>
          <w:b w:val="0"/>
          <w:i w:val="0"/>
          <w:sz w:val="22"/>
        </w:rPr>
        <w:t>——同一企业在不同年报期的指标可能因统计范围调整而不可直接相比（如中材国际2024年与2025年的新签合同总额口径差异）；二是</w:t>
      </w:r>
      <w:r>
        <w:rPr>
          <w:rFonts w:ascii="Calibri" w:hAnsi="Calibri" w:eastAsia="微软雅黑"/>
          <w:b/>
          <w:i w:val="0"/>
          <w:sz w:val="22"/>
        </w:rPr>
        <w:t>阶段落差</w:t>
      </w:r>
      <w:r>
        <w:rPr>
          <w:rFonts w:ascii="Calibri" w:hAnsi="Calibri" w:eastAsia="微软雅黑"/>
          <w:b w:val="0"/>
          <w:i w:val="0"/>
          <w:sz w:val="22"/>
        </w:rPr>
        <w:t>——标杆企业的动作发生在其特定的资源积累阶段，跨越发展阶段的机械模仿往往导致资源错配；三是</w:t>
      </w:r>
      <w:r>
        <w:rPr>
          <w:rFonts w:ascii="Calibri" w:hAnsi="Calibri" w:eastAsia="微软雅黑"/>
          <w:b/>
          <w:i w:val="0"/>
          <w:sz w:val="22"/>
        </w:rPr>
        <w:t>组合效应</w:t>
      </w:r>
      <w:r>
        <w:rPr>
          <w:rFonts w:ascii="Calibri" w:hAnsi="Calibri" w:eastAsia="微软雅黑"/>
          <w:b w:val="0"/>
          <w:i w:val="0"/>
          <w:sz w:val="22"/>
        </w:rPr>
        <w:t>——表中任何单一动作的成效都依赖于与其他动作的组合（如运维服务若无装备自给支撑，毛利水平难以维持）。把速查表当作对标的起点而非抄作业的模板，是本章方法论使用的边界，也是读者从本章获得真实回报的前提。</w:t>
      </w:r>
    </w:p>
    <w:p>
      <w:r>
        <w:rPr>
          <w:rFonts w:ascii="Calibri" w:hAnsi="Calibri" w:eastAsia="微软雅黑"/>
          <w:b w:val="0"/>
          <w:i w:val="0"/>
          <w:sz w:val="22"/>
        </w:rPr>
        <w:t>---</w:t>
      </w:r>
    </w:p>
    <w:p>
      <w:pPr>
        <w:pStyle w:val="Heading2"/>
      </w:pPr>
      <w:r>
        <w:t>4.6 本章小结要点</w:t>
      </w:r>
    </w:p>
    <w:p>
      <w:pPr>
        <w:pStyle w:val="ListNumber"/>
      </w:pPr>
      <w:r>
        <w:rPr>
          <w:rFonts w:ascii="Calibri" w:hAnsi="Calibri" w:eastAsia="微软雅黑"/>
          <w:b/>
          <w:i w:val="0"/>
          <w:sz w:val="22"/>
        </w:rPr>
        <w:t>专业赛道分化是存量时代工程企业生存与升维的必然选择</w:t>
      </w:r>
      <w:r>
        <w:rPr>
          <w:rFonts w:ascii="Calibri" w:hAnsi="Calibri" w:eastAsia="微软雅黑"/>
          <w:b w:val="0"/>
          <w:i w:val="0"/>
          <w:sz w:val="22"/>
        </w:rPr>
        <w:t>：工程总承包行业已全面告别传统粗放式规模膨胀，进入以专利工艺包、核安全级高门槛、核心装备自给率与全球运营粘性为代表的精细化极化竞争新周期 [来源: P000303, P000306, P000311, P000316]。中国天辰（己二腈实业纵深、纯碱设计产能占全国约60%）、中国五环（"两商"定位、专利287项）与中材国际（主机自给率72%、境外工程技术服务新签占比81%）提供了极化与全产业链掌控的鲜活实证 [来源: P000306, P000311, P000301, P000305]。</w:t>
      </w:r>
    </w:p>
    <w:p>
      <w:pPr>
        <w:pStyle w:val="ListNumber"/>
      </w:pPr>
      <w:r>
        <w:rPr>
          <w:rFonts w:ascii="Calibri" w:hAnsi="Calibri" w:eastAsia="微软雅黑"/>
          <w:b/>
          <w:i w:val="0"/>
          <w:sz w:val="22"/>
        </w:rPr>
        <w:t>新增量爆发与传统赛道出清呈现剧烈的结构性两极分化</w:t>
      </w:r>
      <w:r>
        <w:rPr>
          <w:rFonts w:ascii="Calibri" w:hAnsi="Calibri" w:eastAsia="微软雅黑"/>
          <w:b w:val="0"/>
          <w:i w:val="0"/>
          <w:sz w:val="22"/>
        </w:rPr>
        <w:t>：新增量高度集中于三代核电（中核工程设计中枢，设计阶段锚定约80%后续成本）、绿能低碳（中材替代燃料销量2025年超100万吨）以及高能级海外整线（中材境外新签占比63%）[来源: P000351, P000301, P000305]。与此相对，传统新建水泥整线、小火电与常规市政陷入严重的产能受限与同质化内卷，企业必须放弃低价竞标与粗放垫资，转向超低排放改造、能效标杆升级与大型复杂提标改造等存量盘活赛道 [来源: P000303, P000316, P000321]。</w:t>
      </w:r>
    </w:p>
    <w:p>
      <w:pPr>
        <w:pStyle w:val="ListNumber"/>
      </w:pPr>
      <w:r>
        <w:rPr>
          <w:rFonts w:ascii="Calibri" w:hAnsi="Calibri" w:eastAsia="微软雅黑"/>
          <w:b/>
          <w:i w:val="0"/>
          <w:sz w:val="22"/>
        </w:rPr>
        <w:t>跨界渗透以技术同源性为前提、以组织隔离为保障</w:t>
      </w:r>
      <w:r>
        <w:rPr>
          <w:rFonts w:ascii="Calibri" w:hAnsi="Calibri" w:eastAsia="微软雅黑"/>
          <w:b w:val="0"/>
          <w:i w:val="0"/>
          <w:sz w:val="22"/>
        </w:rPr>
        <w:t>：中材国际装备外行业收入占比升至40%、绿能环保装备收入同比增长超2倍，天辰"研投建运销"实业纵深，山东院与上海市政总院的综合智慧能源与水务环境拓展，共同证明"装备平移+实业跟投+示范打样"的跨界路径可行，但必须防止多元投机 [来源: P000301, P000306, P000316, P000321]。</w:t>
      </w:r>
    </w:p>
    <w:p>
      <w:pPr>
        <w:pStyle w:val="ListNumber"/>
      </w:pPr>
      <w:r>
        <w:rPr>
          <w:rFonts w:ascii="Calibri" w:hAnsi="Calibri" w:eastAsia="微软雅黑"/>
          <w:b/>
          <w:i w:val="0"/>
          <w:sz w:val="22"/>
        </w:rPr>
        <w:t>赛道选择有矩阵可依</w:t>
      </w:r>
      <w:r>
        <w:rPr>
          <w:rFonts w:ascii="Calibri" w:hAnsi="Calibri" w:eastAsia="微软雅黑"/>
          <w:b w:val="0"/>
          <w:i w:val="0"/>
          <w:sz w:val="22"/>
        </w:rPr>
        <w:t>：极化深潜型、增量抢占型、存量提质型、跨界渗透型四类定位对应不同的门槛条件与行动结构，企业应以"技术资产盘点→工程化封装→商业模式重构→组织风控隔离"的统一路线完成选型落地；资源有限的中小企业宜遵循"一主一辅"原则，避免四线并进的资源稀释（本条为本研究归纳）。</w:t>
      </w:r>
    </w:p>
    <w:p>
      <w:pPr>
        <w:pStyle w:val="ListNumber"/>
      </w:pPr>
      <w:r>
        <w:rPr>
          <w:rFonts w:ascii="Calibri" w:hAnsi="Calibri" w:eastAsia="微软雅黑"/>
          <w:b/>
          <w:i w:val="0"/>
          <w:sz w:val="22"/>
        </w:rPr>
        <w:t>集团军与特色企业在新增量市场互补共生</w:t>
      </w:r>
      <w:r>
        <w:rPr>
          <w:rFonts w:ascii="Calibri" w:hAnsi="Calibri" w:eastAsia="微软雅黑"/>
          <w:b w:val="0"/>
          <w:i w:val="0"/>
          <w:sz w:val="22"/>
        </w:rPr>
        <w:t>：中国化学以4,036.61亿元新签合同额和约67.17亿元年度研发投入承接化合物级别的新增量，与天辰、五环等特色极化企业的细分深潜形成互补——工程总承包行业的新增量版图不是零和博弈，而是"全覆盖谱系"与"独占工艺"两条价值曲线的并行（本条为本研究据年报数据解读）[来源: P000326]。</w:t>
      </w:r>
    </w:p>
    <w:p>
      <w:r>
        <w:rPr>
          <w:rFonts w:ascii="Calibri" w:hAnsi="Calibri" w:eastAsia="微软雅黑"/>
          <w:b w:val="0"/>
          <w:i w:val="0"/>
          <w:sz w:val="22"/>
        </w:rPr>
        <w:t>---</w:t>
      </w:r>
    </w:p>
    <w:p>
      <w:pPr>
        <w:pStyle w:val="Heading2"/>
      </w:pPr>
      <w:r>
        <w:t>4.7 本章证据边界与数据说明</w:t>
      </w:r>
    </w:p>
    <w:p>
      <w:pPr>
        <w:pStyle w:val="ListNumber"/>
      </w:pPr>
      <w:r>
        <w:rPr>
          <w:rFonts w:ascii="Calibri" w:hAnsi="Calibri" w:eastAsia="微软雅黑"/>
          <w:b/>
          <w:i w:val="0"/>
          <w:sz w:val="22"/>
        </w:rPr>
        <w:t>数据来源说明</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上市公司法定信息披露</w:t>
      </w:r>
      <w:r>
        <w:rPr>
          <w:rFonts w:ascii="Calibri" w:hAnsi="Calibri" w:eastAsia="微软雅黑"/>
          <w:b w:val="0"/>
          <w:i w:val="0"/>
          <w:sz w:val="22"/>
        </w:rPr>
        <w:t>：中材国际（600970）2022年、2023年、2024年、2025年年度报告及公司公告全文（来源于新浪财经公告频道与巨潮资讯网），中国化学（601117）2025年年度报告 [来源: P000301, P000302, P000303, P000304, P000305, P000326]。其中中材国际2024年报口径数据（新签634.44亿元、境外新签362.01亿元、工程服务毛利率15.97%等）与2025年报口径数据（营收495.99亿元、新签712.35亿元、境外新签450.24亿元等）均已按年报归属年度标注。</w:t>
      </w:r>
    </w:p>
    <w:p>
      <w:r>
        <w:rPr>
          <w:rFonts w:ascii="Calibri" w:hAnsi="Calibri" w:eastAsia="微软雅黑"/>
          <w:b w:val="0"/>
          <w:i w:val="0"/>
          <w:sz w:val="22"/>
        </w:rPr>
        <w:t xml:space="preserve">- </w:t>
      </w:r>
      <w:r>
        <w:rPr>
          <w:rFonts w:ascii="Calibri" w:hAnsi="Calibri" w:eastAsia="微软雅黑"/>
          <w:b/>
          <w:i w:val="0"/>
          <w:sz w:val="22"/>
        </w:rPr>
        <w:t>专业机构研究报告</w:t>
      </w:r>
      <w:r>
        <w:rPr>
          <w:rFonts w:ascii="Calibri" w:hAnsi="Calibri" w:eastAsia="微软雅黑"/>
          <w:b w:val="0"/>
          <w:i w:val="0"/>
          <w:sz w:val="22"/>
        </w:rPr>
        <w:t>：中国天辰、中国五环、山东电力工程咨询院、上海市政工程设计研究总院EPC总承包业务研究报告（事实资料库实收件）[来源: P000306, P000311, P000316, P000321]。</w:t>
      </w:r>
    </w:p>
    <w:p>
      <w:r>
        <w:rPr>
          <w:rFonts w:ascii="Calibri" w:hAnsi="Calibri" w:eastAsia="微软雅黑"/>
          <w:b w:val="0"/>
          <w:i w:val="0"/>
          <w:sz w:val="22"/>
        </w:rPr>
        <w:t xml:space="preserve">- </w:t>
      </w:r>
      <w:r>
        <w:rPr>
          <w:rFonts w:ascii="Calibri" w:hAnsi="Calibri" w:eastAsia="微软雅黑"/>
          <w:b/>
          <w:i w:val="0"/>
          <w:sz w:val="22"/>
        </w:rPr>
        <w:t>专项研究基底</w:t>
      </w:r>
      <w:r>
        <w:rPr>
          <w:rFonts w:ascii="Calibri" w:hAnsi="Calibri" w:eastAsia="微软雅黑"/>
          <w:b w:val="0"/>
          <w:i w:val="0"/>
          <w:sz w:val="22"/>
        </w:rPr>
        <w:t>：中核工程EPC专项研究之"核电EPC设计主导"专题（含"华龙一号"与漳州核电工程实践、QA1级物项占比41.71%、EB对象化管理等）[来源: P000351, P000352, P000353]。</w:t>
      </w:r>
    </w:p>
    <w:p>
      <w:pPr>
        <w:pStyle w:val="ListNumber"/>
      </w:pPr>
      <w:r>
        <w:rPr>
          <w:rFonts w:ascii="Calibri" w:hAnsi="Calibri" w:eastAsia="微软雅黑"/>
          <w:b/>
          <w:i w:val="0"/>
          <w:sz w:val="22"/>
        </w:rPr>
        <w:t>统计口径与时间跨度</w:t>
      </w:r>
      <w:r>
        <w:rPr>
          <w:rFonts w:ascii="Calibri" w:hAnsi="Calibri" w:eastAsia="微软雅黑"/>
          <w:b w:val="0"/>
          <w:i w:val="0"/>
          <w:sz w:val="22"/>
        </w:rPr>
        <w:t>：本章财务数据时间跨度覆盖2022年至2025年，其中中材国际分年度数据严格按年报归属年度标注；"占比81%"指境外工程技术服务新签合同额占工程技术服务新签合同总额的比例（2025年，346.16亿元/427.10亿元，本研究验算与年报披露一致）；主机装备自给率67%（2024年报口径）与72%（2025年公司公告口径）分属两个信息时点，未做混用。为便于读者交叉核对，将中材国际两个关键年度的口径差异列示如下：2024年报口径的新签合同总额为634.44亿元（其中境外362.01亿元），2025年报口径的新签合同总额为712.35亿元（其中境外450.24亿元）；两年"境外新签"的统计范围均包含工程技术服务与装备业务，引用时不可跨口径相减或混比。中国化学研发投入占比为本研究据年报研发投入表折算（own_calc），非公司直接披露口径。</w:t>
      </w:r>
    </w:p>
    <w:p>
      <w:pPr>
        <w:pStyle w:val="ListNumber"/>
      </w:pPr>
      <w:r>
        <w:rPr>
          <w:rFonts w:ascii="Calibri" w:hAnsi="Calibri" w:eastAsia="微软雅黑"/>
          <w:b/>
          <w:i w:val="0"/>
          <w:sz w:val="22"/>
        </w:rPr>
        <w:t>研究证据边界与局限性声明</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推演边界</w:t>
      </w:r>
      <w:r>
        <w:rPr>
          <w:rFonts w:ascii="Calibri" w:hAnsi="Calibri" w:eastAsia="微软雅黑"/>
          <w:b w:val="0"/>
          <w:i w:val="0"/>
          <w:sz w:val="22"/>
        </w:rPr>
        <w:t>：4.1.3、4.3.3、4.4.3、4.5节中的"四步法""定位矩阵""选型规则"为本研究基于标杆企业实证归纳的操作框架，已在文中逐处标注"本研究归纳"；其有效性依赖企业自身资源禀赋评估，不构成对具体企业行动结果的保证。4.3.1节的"出清三段论"与4.2.1节的"三重动力传导链"为本研究据政策时限与企业实践整理的阶段性判断，读者应结合自身行业最新数据校验所处阶段。</w:t>
      </w:r>
    </w:p>
    <w:p>
      <w:r>
        <w:rPr>
          <w:rFonts w:ascii="Calibri" w:hAnsi="Calibri" w:eastAsia="微软雅黑"/>
          <w:b w:val="0"/>
          <w:i w:val="0"/>
          <w:sz w:val="22"/>
        </w:rPr>
        <w:t xml:space="preserve">- </w:t>
      </w:r>
      <w:r>
        <w:rPr>
          <w:rFonts w:ascii="Calibri" w:hAnsi="Calibri" w:eastAsia="微软雅黑"/>
          <w:b/>
          <w:i w:val="0"/>
          <w:sz w:val="22"/>
        </w:rPr>
        <w:t>非上市企业数据边界</w:t>
      </w:r>
      <w:r>
        <w:rPr>
          <w:rFonts w:ascii="Calibri" w:hAnsi="Calibri" w:eastAsia="微软雅黑"/>
          <w:b w:val="0"/>
          <w:i w:val="0"/>
          <w:sz w:val="22"/>
        </w:rPr>
        <w:t>：中国天辰、中国五环、山东院、上海市政总院为非上市主体，其技术参数与项目数据源自专业机构研究报告的公开资料整理 [来源: P000306, P000311, P000316, P000321]；中核工程专项数据源自专题研究资料 [来源: P000351]。本报告不对上述原始申报与披露数据做二次审计。</w:t>
      </w:r>
    </w:p>
    <w:p>
      <w:r>
        <w:rPr>
          <w:rFonts w:ascii="Calibri" w:hAnsi="Calibri" w:eastAsia="微软雅黑"/>
          <w:b w:val="0"/>
          <w:i w:val="0"/>
          <w:sz w:val="22"/>
        </w:rPr>
        <w:t xml:space="preserve">- </w:t>
      </w:r>
      <w:r>
        <w:rPr>
          <w:rFonts w:ascii="Calibri" w:hAnsi="Calibri" w:eastAsia="微软雅黑"/>
          <w:b/>
          <w:i w:val="0"/>
          <w:sz w:val="22"/>
        </w:rPr>
        <w:t>政策时效边界</w:t>
      </w:r>
      <w:r>
        <w:rPr>
          <w:rFonts w:ascii="Calibri" w:hAnsi="Calibri" w:eastAsia="微软雅黑"/>
          <w:b w:val="0"/>
          <w:i w:val="0"/>
          <w:sz w:val="22"/>
        </w:rPr>
        <w:t>：水泥行业超低排放改造、产能与能耗管控、替代燃料比例等政策目标均为分阶段时限要求（2025年底、2028年底），读者引用时应对照最新政策文件核对时限与范围 [来源: P000303]。</w:t>
      </w:r>
    </w:p>
    <w:p>
      <w:r>
        <w:rPr>
          <w:rFonts w:ascii="Calibri" w:hAnsi="Calibri" w:eastAsia="微软雅黑"/>
          <w:b w:val="0"/>
          <w:i w:val="0"/>
          <w:sz w:val="22"/>
        </w:rPr>
        <w:t>---</w:t>
      </w:r>
    </w:p>
    <w:p>
      <w:pPr>
        <w:pStyle w:val="Heading2"/>
      </w:pPr>
      <w:r>
        <w:t>本章尾注（事实锚源对照）</w:t>
      </w:r>
    </w:p>
    <w:tbl>
      <w:tblPr>
        <w:tblStyle w:val="TableGrid"/>
        <w:tblW w:type="auto" w:w="0"/>
        <w:tblLook w:firstColumn="1" w:firstRow="1" w:lastColumn="0" w:lastRow="0" w:noHBand="0" w:noVBand="1" w:val="04A0"/>
      </w:tblPr>
      <w:tblGrid>
        <w:gridCol w:w="4150"/>
        <w:gridCol w:w="4150"/>
      </w:tblGrid>
      <w:tr>
        <w:tc>
          <w:tcPr>
            <w:tcW w:type="dxa" w:w="4150"/>
            <w:shd w:fill="1F3A5F"/>
          </w:tcPr>
          <w:p>
            <w:r>
              <w:rPr>
                <w:color w:val="FFFFFF"/>
              </w:rPr>
            </w:r>
            <w:r>
              <w:rPr>
                <w:rFonts w:ascii="Calibri" w:hAnsi="Calibri" w:eastAsia="微软雅黑"/>
                <w:b/>
                <w:i w:val="0"/>
                <w:color w:val="FFFFFF"/>
                <w:sz w:val="18"/>
              </w:rPr>
              <w:t>事实锚</w:t>
            </w:r>
          </w:p>
        </w:tc>
        <w:tc>
          <w:tcPr>
            <w:tcW w:type="dxa" w:w="4150"/>
            <w:shd w:fill="1F3A5F"/>
          </w:tcPr>
          <w:p>
            <w:r>
              <w:rPr>
                <w:color w:val="FFFFFF"/>
              </w:rPr>
            </w:r>
            <w:r>
              <w:rPr>
                <w:rFonts w:ascii="Calibri" w:hAnsi="Calibri" w:eastAsia="微软雅黑"/>
                <w:b/>
                <w:i w:val="0"/>
                <w:color w:val="FFFFFF"/>
                <w:sz w:val="18"/>
              </w:rPr>
              <w:t>源文（事实资料库实收件）</w:t>
            </w:r>
          </w:p>
        </w:tc>
      </w:tr>
      <w:tr>
        <w:tc>
          <w:tcPr>
            <w:tcW w:type="dxa" w:w="4150"/>
          </w:tcPr>
          <w:p>
            <w:r/>
            <w:r>
              <w:rPr>
                <w:rFonts w:ascii="Calibri" w:hAnsi="Calibri" w:eastAsia="微软雅黑"/>
                <w:b w:val="0"/>
                <w:i w:val="0"/>
                <w:sz w:val="18"/>
              </w:rPr>
              <w:t>P000301</w:t>
            </w:r>
          </w:p>
        </w:tc>
        <w:tc>
          <w:tcPr>
            <w:tcW w:type="dxa" w:w="4150"/>
          </w:tcPr>
          <w:p>
            <w:r/>
            <w:r>
              <w:rPr>
                <w:rFonts w:ascii="Calibri" w:hAnsi="Calibri" w:eastAsia="微软雅黑"/>
                <w:b w:val="0"/>
                <w:i w:val="0"/>
                <w:sz w:val="18"/>
              </w:rPr>
              <w:t>中材国际（600970）公司公告（2025年度经营情况披露全文，新浪财经公告频道）</w:t>
            </w:r>
          </w:p>
        </w:tc>
      </w:tr>
      <w:tr>
        <w:tc>
          <w:tcPr>
            <w:tcW w:type="dxa" w:w="4150"/>
          </w:tcPr>
          <w:p>
            <w:r/>
            <w:r>
              <w:rPr>
                <w:rFonts w:ascii="Calibri" w:hAnsi="Calibri" w:eastAsia="微软雅黑"/>
                <w:b w:val="0"/>
                <w:i w:val="0"/>
                <w:sz w:val="18"/>
              </w:rPr>
              <w:t>P000302</w:t>
            </w:r>
          </w:p>
        </w:tc>
        <w:tc>
          <w:tcPr>
            <w:tcW w:type="dxa" w:w="4150"/>
          </w:tcPr>
          <w:p>
            <w:r/>
            <w:r>
              <w:rPr>
                <w:rFonts w:ascii="Calibri" w:hAnsi="Calibri" w:eastAsia="微软雅黑"/>
                <w:b w:val="0"/>
                <w:i w:val="0"/>
                <w:sz w:val="18"/>
              </w:rPr>
              <w:t>中材国际（600970）2023年年度报告</w:t>
            </w:r>
          </w:p>
        </w:tc>
      </w:tr>
      <w:tr>
        <w:tc>
          <w:tcPr>
            <w:tcW w:type="dxa" w:w="4150"/>
          </w:tcPr>
          <w:p>
            <w:r/>
            <w:r>
              <w:rPr>
                <w:rFonts w:ascii="Calibri" w:hAnsi="Calibri" w:eastAsia="微软雅黑"/>
                <w:b w:val="0"/>
                <w:i w:val="0"/>
                <w:sz w:val="18"/>
              </w:rPr>
              <w:t>P000303</w:t>
            </w:r>
          </w:p>
        </w:tc>
        <w:tc>
          <w:tcPr>
            <w:tcW w:type="dxa" w:w="4150"/>
          </w:tcPr>
          <w:p>
            <w:r/>
            <w:r>
              <w:rPr>
                <w:rFonts w:ascii="Calibri" w:hAnsi="Calibri" w:eastAsia="微软雅黑"/>
                <w:b w:val="0"/>
                <w:i w:val="0"/>
                <w:sz w:val="18"/>
              </w:rPr>
              <w:t>中材国际（600970）2024年年度报告</w:t>
            </w:r>
          </w:p>
        </w:tc>
      </w:tr>
      <w:tr>
        <w:tc>
          <w:tcPr>
            <w:tcW w:type="dxa" w:w="4150"/>
          </w:tcPr>
          <w:p>
            <w:r/>
            <w:r>
              <w:rPr>
                <w:rFonts w:ascii="Calibri" w:hAnsi="Calibri" w:eastAsia="微软雅黑"/>
                <w:b w:val="0"/>
                <w:i w:val="0"/>
                <w:sz w:val="18"/>
              </w:rPr>
              <w:t>P000304</w:t>
            </w:r>
          </w:p>
        </w:tc>
        <w:tc>
          <w:tcPr>
            <w:tcW w:type="dxa" w:w="4150"/>
          </w:tcPr>
          <w:p>
            <w:r/>
            <w:r>
              <w:rPr>
                <w:rFonts w:ascii="Calibri" w:hAnsi="Calibri" w:eastAsia="微软雅黑"/>
                <w:b w:val="0"/>
                <w:i w:val="0"/>
                <w:sz w:val="18"/>
              </w:rPr>
              <w:t>中材国际（600970）2022年年度报告</w:t>
            </w:r>
          </w:p>
        </w:tc>
      </w:tr>
      <w:tr>
        <w:tc>
          <w:tcPr>
            <w:tcW w:type="dxa" w:w="4150"/>
          </w:tcPr>
          <w:p>
            <w:r/>
            <w:r>
              <w:rPr>
                <w:rFonts w:ascii="Calibri" w:hAnsi="Calibri" w:eastAsia="微软雅黑"/>
                <w:b w:val="0"/>
                <w:i w:val="0"/>
                <w:sz w:val="18"/>
              </w:rPr>
              <w:t>P000305</w:t>
            </w:r>
          </w:p>
        </w:tc>
        <w:tc>
          <w:tcPr>
            <w:tcW w:type="dxa" w:w="4150"/>
          </w:tcPr>
          <w:p>
            <w:r/>
            <w:r>
              <w:rPr>
                <w:rFonts w:ascii="Calibri" w:hAnsi="Calibri" w:eastAsia="微软雅黑"/>
                <w:b w:val="0"/>
                <w:i w:val="0"/>
                <w:sz w:val="18"/>
              </w:rPr>
              <w:t>中材国际（600970）2025年年度报告</w:t>
            </w:r>
          </w:p>
        </w:tc>
      </w:tr>
      <w:tr>
        <w:tc>
          <w:tcPr>
            <w:tcW w:type="dxa" w:w="4150"/>
          </w:tcPr>
          <w:p>
            <w:r/>
            <w:r>
              <w:rPr>
                <w:rFonts w:ascii="Calibri" w:hAnsi="Calibri" w:eastAsia="微软雅黑"/>
                <w:b w:val="0"/>
                <w:i w:val="0"/>
                <w:sz w:val="18"/>
              </w:rPr>
              <w:t>P000306</w:t>
            </w:r>
          </w:p>
        </w:tc>
        <w:tc>
          <w:tcPr>
            <w:tcW w:type="dxa" w:w="4150"/>
          </w:tcPr>
          <w:p>
            <w:r/>
            <w:r>
              <w:rPr>
                <w:rFonts w:ascii="Calibri" w:hAnsi="Calibri" w:eastAsia="微软雅黑"/>
                <w:b w:val="0"/>
                <w:i w:val="0"/>
                <w:sz w:val="18"/>
              </w:rPr>
              <w:t>中国天辰工程有限公司EPC总承包业务经营与管理研究报告（事实资料库研究报告首片）</w:t>
            </w:r>
          </w:p>
        </w:tc>
      </w:tr>
      <w:tr>
        <w:tc>
          <w:tcPr>
            <w:tcW w:type="dxa" w:w="4150"/>
          </w:tcPr>
          <w:p>
            <w:r/>
            <w:r>
              <w:rPr>
                <w:rFonts w:ascii="Calibri" w:hAnsi="Calibri" w:eastAsia="微软雅黑"/>
                <w:b w:val="0"/>
                <w:i w:val="0"/>
                <w:sz w:val="18"/>
              </w:rPr>
              <w:t>P000311</w:t>
            </w:r>
          </w:p>
        </w:tc>
        <w:tc>
          <w:tcPr>
            <w:tcW w:type="dxa" w:w="4150"/>
          </w:tcPr>
          <w:p>
            <w:r/>
            <w:r>
              <w:rPr>
                <w:rFonts w:ascii="Calibri" w:hAnsi="Calibri" w:eastAsia="微软雅黑"/>
                <w:b w:val="0"/>
                <w:i w:val="0"/>
                <w:sz w:val="18"/>
              </w:rPr>
              <w:t>中国五环工程有限公司EPC总承包业务研究报告（事实资料库研究报告首片）</w:t>
            </w:r>
          </w:p>
        </w:tc>
      </w:tr>
      <w:tr>
        <w:tc>
          <w:tcPr>
            <w:tcW w:type="dxa" w:w="4150"/>
          </w:tcPr>
          <w:p>
            <w:r/>
            <w:r>
              <w:rPr>
                <w:rFonts w:ascii="Calibri" w:hAnsi="Calibri" w:eastAsia="微软雅黑"/>
                <w:b w:val="0"/>
                <w:i w:val="0"/>
                <w:sz w:val="18"/>
              </w:rPr>
              <w:t>P000316</w:t>
            </w:r>
          </w:p>
        </w:tc>
        <w:tc>
          <w:tcPr>
            <w:tcW w:type="dxa" w:w="4150"/>
          </w:tcPr>
          <w:p>
            <w:r/>
            <w:r>
              <w:rPr>
                <w:rFonts w:ascii="Calibri" w:hAnsi="Calibri" w:eastAsia="微软雅黑"/>
                <w:b w:val="0"/>
                <w:i w:val="0"/>
                <w:sz w:val="18"/>
              </w:rPr>
              <w:t>山东电力工程咨询院有限公司EPC总承包业务研究报告（事实资料库研究报告首片）</w:t>
            </w:r>
          </w:p>
        </w:tc>
      </w:tr>
      <w:tr>
        <w:tc>
          <w:tcPr>
            <w:tcW w:type="dxa" w:w="4150"/>
          </w:tcPr>
          <w:p>
            <w:r/>
            <w:r>
              <w:rPr>
                <w:rFonts w:ascii="Calibri" w:hAnsi="Calibri" w:eastAsia="微软雅黑"/>
                <w:b w:val="0"/>
                <w:i w:val="0"/>
                <w:sz w:val="18"/>
              </w:rPr>
              <w:t>P000321</w:t>
            </w:r>
          </w:p>
        </w:tc>
        <w:tc>
          <w:tcPr>
            <w:tcW w:type="dxa" w:w="4150"/>
          </w:tcPr>
          <w:p>
            <w:r/>
            <w:r>
              <w:rPr>
                <w:rFonts w:ascii="Calibri" w:hAnsi="Calibri" w:eastAsia="微软雅黑"/>
                <w:b w:val="0"/>
                <w:i w:val="0"/>
                <w:sz w:val="18"/>
              </w:rPr>
              <w:t>上海市政工程设计研究总院（集团）有限公司EPC总承包业务经营与管理研究报告（事实资料库研究报告首片）</w:t>
            </w:r>
          </w:p>
        </w:tc>
      </w:tr>
      <w:tr>
        <w:tc>
          <w:tcPr>
            <w:tcW w:type="dxa" w:w="4150"/>
          </w:tcPr>
          <w:p>
            <w:r/>
            <w:r>
              <w:rPr>
                <w:rFonts w:ascii="Calibri" w:hAnsi="Calibri" w:eastAsia="微软雅黑"/>
                <w:b w:val="0"/>
                <w:i w:val="0"/>
                <w:sz w:val="18"/>
              </w:rPr>
              <w:t>P000326</w:t>
            </w:r>
          </w:p>
        </w:tc>
        <w:tc>
          <w:tcPr>
            <w:tcW w:type="dxa" w:w="4150"/>
          </w:tcPr>
          <w:p>
            <w:r/>
            <w:r>
              <w:rPr>
                <w:rFonts w:ascii="Calibri" w:hAnsi="Calibri" w:eastAsia="微软雅黑"/>
                <w:b w:val="0"/>
                <w:i w:val="0"/>
                <w:sz w:val="18"/>
              </w:rPr>
              <w:t>中国化学（601117）2025年年度报告</w:t>
            </w:r>
          </w:p>
        </w:tc>
      </w:tr>
      <w:tr>
        <w:tc>
          <w:tcPr>
            <w:tcW w:type="dxa" w:w="4150"/>
          </w:tcPr>
          <w:p>
            <w:r/>
            <w:r>
              <w:rPr>
                <w:rFonts w:ascii="Calibri" w:hAnsi="Calibri" w:eastAsia="微软雅黑"/>
                <w:b w:val="0"/>
                <w:i w:val="0"/>
                <w:sz w:val="18"/>
              </w:rPr>
              <w:t>P000351</w:t>
            </w:r>
          </w:p>
        </w:tc>
        <w:tc>
          <w:tcPr>
            <w:tcW w:type="dxa" w:w="4150"/>
          </w:tcPr>
          <w:p>
            <w:r/>
            <w:r>
              <w:rPr>
                <w:rFonts w:ascii="Calibri" w:hAnsi="Calibri" w:eastAsia="微软雅黑"/>
                <w:b w:val="0"/>
                <w:i w:val="0"/>
                <w:sz w:val="18"/>
              </w:rPr>
              <w:t>中核工程EPC专项研究·核电EPC的设计主导（研究报告成果合集第4章，上）</w:t>
            </w:r>
          </w:p>
        </w:tc>
      </w:tr>
      <w:tr>
        <w:tc>
          <w:tcPr>
            <w:tcW w:type="dxa" w:w="4150"/>
          </w:tcPr>
          <w:p>
            <w:r/>
            <w:r>
              <w:rPr>
                <w:rFonts w:ascii="Calibri" w:hAnsi="Calibri" w:eastAsia="微软雅黑"/>
                <w:b w:val="0"/>
                <w:i w:val="0"/>
                <w:sz w:val="18"/>
              </w:rPr>
              <w:t>P000352</w:t>
            </w:r>
          </w:p>
        </w:tc>
        <w:tc>
          <w:tcPr>
            <w:tcW w:type="dxa" w:w="4150"/>
          </w:tcPr>
          <w:p>
            <w:r/>
            <w:r>
              <w:rPr>
                <w:rFonts w:ascii="Calibri" w:hAnsi="Calibri" w:eastAsia="微软雅黑"/>
                <w:b w:val="0"/>
                <w:i w:val="0"/>
                <w:sz w:val="18"/>
              </w:rPr>
              <w:t>中核工程EPC专项研究·核电EPC的设计主导（研究报告成果合集第4章，中）</w:t>
            </w:r>
          </w:p>
        </w:tc>
      </w:tr>
      <w:tr>
        <w:tc>
          <w:tcPr>
            <w:tcW w:type="dxa" w:w="4150"/>
          </w:tcPr>
          <w:p>
            <w:r/>
            <w:r>
              <w:rPr>
                <w:rFonts w:ascii="Calibri" w:hAnsi="Calibri" w:eastAsia="微软雅黑"/>
                <w:b w:val="0"/>
                <w:i w:val="0"/>
                <w:sz w:val="18"/>
              </w:rPr>
              <w:t>P000353</w:t>
            </w:r>
          </w:p>
        </w:tc>
        <w:tc>
          <w:tcPr>
            <w:tcW w:type="dxa" w:w="4150"/>
          </w:tcPr>
          <w:p>
            <w:r/>
            <w:r>
              <w:rPr>
                <w:rFonts w:ascii="Calibri" w:hAnsi="Calibri" w:eastAsia="微软雅黑"/>
                <w:b w:val="0"/>
                <w:i w:val="0"/>
                <w:sz w:val="18"/>
              </w:rPr>
              <w:t>中核工程EPC专项研究·核电EPC的设计主导（研究报告成果合集第4章，下）</w:t>
            </w:r>
          </w:p>
        </w:tc>
      </w:tr>
    </w:tbl>
    <w:p>
      <w:r>
        <w:rPr>
          <w:rFonts w:ascii="Calibri" w:hAnsi="Calibri" w:eastAsia="微软雅黑"/>
          <w:b w:val="0"/>
          <w:i w:val="0"/>
          <w:sz w:val="22"/>
        </w:rPr>
        <w:t>---</w:t>
      </w:r>
    </w:p>
    <w:p>
      <w:pPr>
        <w:pStyle w:val="Heading1"/>
      </w:pPr>
      <w:r>
        <w:t>第5章 区域梯队：全国化不是挂牌设点，能级沉降与属地破局决定跨区成败</w:t>
      </w:r>
    </w:p>
    <w:p>
      <w:r>
        <w:rPr>
          <w:rFonts w:ascii="Calibri" w:hAnsi="Calibri" w:eastAsia="微软雅黑"/>
          <w:b w:val="0"/>
          <w:i w:val="0"/>
          <w:sz w:val="22"/>
        </w:rPr>
        <w:t>出品：总包创研院研究团队</w:t>
      </w:r>
    </w:p>
    <w:p>
      <w:pPr>
        <w:ind w:left="454"/>
      </w:pPr>
      <w:r>
        <w:rPr>
          <w:rFonts w:ascii="Calibri" w:hAnsi="Calibri" w:eastAsia="微软雅黑"/>
          <w:b/>
          <w:i w:val="0"/>
          <w:color w:val="666666"/>
          <w:sz w:val="22"/>
        </w:rPr>
        <w:t>本章事实纪律声明</w:t>
      </w:r>
      <w:r>
        <w:rPr>
          <w:rFonts w:ascii="Calibri" w:hAnsi="Calibri" w:eastAsia="微软雅黑"/>
          <w:b w:val="0"/>
          <w:i w:val="0"/>
          <w:color w:val="666666"/>
          <w:sz w:val="22"/>
        </w:rPr>
        <w:t>：本章全部企业财务数据、组织与项目事实，均逐字取自本书研究团队采集整理的事实资料库（含上市公司经审计年报全文、专业机构研究报告与专项研究成果），正文随文标注[来源: P锚]（对照本章尾注），读者可按锚号回溯核验；无源不写，解读性判断均在文中明示。文中标注"本研究归纳"的框架与规则为研究团队基于实证资料整理的操作方法，标注"示意性复盘"的推演为依据源文规则构造的示例，不指向具体项目。</w:t>
      </w:r>
    </w:p>
    <w:p>
      <w:r>
        <w:rPr>
          <w:rFonts w:ascii="Calibri" w:hAnsi="Calibri" w:eastAsia="微软雅黑"/>
          <w:b/>
          <w:i w:val="0"/>
          <w:sz w:val="22"/>
        </w:rPr>
        <w:t>本章引言：帮读者解决什么问题</w:t>
      </w:r>
    </w:p>
    <w:p>
      <w:r>
        <w:rPr>
          <w:rFonts w:ascii="Calibri" w:hAnsi="Calibri" w:eastAsia="微软雅黑"/>
          <w:b w:val="0"/>
          <w:i w:val="0"/>
          <w:sz w:val="22"/>
        </w:rPr>
        <w:t>工程总承包业务的区域扩张，正在从"设个办事处、挂块牌子"的粗放阶段，进入"能级沉降、属地深耕、风控穿透"的精耕阶段。对工程企业高管与设计院院长而言，三个问题最为紧迫：</w:t>
      </w:r>
      <w:r>
        <w:rPr>
          <w:rFonts w:ascii="Calibri" w:hAnsi="Calibri" w:eastAsia="微软雅黑"/>
          <w:b/>
          <w:i w:val="0"/>
          <w:sz w:val="22"/>
        </w:rPr>
        <w:t>第一，区域梯队如何划分？全国性大院、省域辐射院与区域专精院的能力边界与打法差异到底在哪里？第二，属地壁垒如何破局？外省企业进入受保护的地方市场，靠什么站稳脚跟？第三，跨区风险如何管控？异地履约的合同隔离、保函安全与"两金"清收，标杆企业用的是什么机制？</w:t>
      </w:r>
      <w:r>
        <w:rPr>
          <w:rFonts w:ascii="Calibri" w:hAnsi="Calibri" w:eastAsia="微软雅黑"/>
          <w:b w:val="0"/>
          <w:i w:val="0"/>
          <w:sz w:val="22"/>
        </w:rPr>
        <w:t xml:space="preserve"> 本章以中国电建华东院、中南电力设计院、山东电力工程咨询院、广西电力设计研究院、上海市政总院五家大院的区域实践为主轴，辅以山东路桥、中国化学、中国交建的跨区风控实证与中石化南京工程的跨境合同专项研究，按"梯队定位（第一节）—属地破局（第二节）—实体化重构（第三节）—跨区风控（第四节）—决策路线图（第五节）"的顺序，给出从定位到落地的完整决策链 [来源: P000401, P000406, P000411, P000416, P000421, P000453]。</w:t>
      </w:r>
    </w:p>
    <w:p>
      <w:r>
        <w:rPr>
          <w:rFonts w:ascii="Calibri" w:hAnsi="Calibri" w:eastAsia="微软雅黑"/>
          <w:b w:val="0"/>
          <w:i w:val="0"/>
          <w:sz w:val="22"/>
        </w:rPr>
        <w:t>---</w:t>
      </w:r>
    </w:p>
    <w:p>
      <w:pPr>
        <w:pStyle w:val="Heading2"/>
      </w:pPr>
      <w:r>
        <w:t>5.1 梯队划界：三级能级模型与标杆实证</w:t>
      </w:r>
    </w:p>
    <w:p>
      <w:pPr>
        <w:pStyle w:val="Heading3"/>
      </w:pPr>
      <w:r>
        <w:t>5.1.1 区域梯队的划分逻辑</w:t>
      </w:r>
    </w:p>
    <w:p>
      <w:r>
        <w:rPr>
          <w:rFonts w:ascii="Calibri" w:hAnsi="Calibri" w:eastAsia="微软雅黑"/>
          <w:b w:val="0"/>
          <w:i w:val="0"/>
          <w:sz w:val="22"/>
        </w:rPr>
        <w:t>区域梯队的本质不是地理范围的大小，而是</w:t>
      </w:r>
      <w:r>
        <w:rPr>
          <w:rFonts w:ascii="Calibri" w:hAnsi="Calibri" w:eastAsia="微软雅黑"/>
          <w:b/>
          <w:i w:val="0"/>
          <w:sz w:val="22"/>
        </w:rPr>
        <w:t>企业能否在区域市场形成"技术+组织+资本"三位一体的属地化作战能力</w:t>
      </w:r>
      <w:r>
        <w:rPr>
          <w:rFonts w:ascii="Calibri" w:hAnsi="Calibri" w:eastAsia="微软雅黑"/>
          <w:b w:val="0"/>
          <w:i w:val="0"/>
          <w:sz w:val="22"/>
        </w:rPr>
        <w:t>（梯队定义与三级模型为本研究归纳框架）。传统认知常以"总部在哪里、分公司有多少"来描述企业的区域格局，这一视角的缺陷在于把存在感等同于能力——事实上，挂牌分院若无属地履约实体、常设团队与独立核算，就不构成真正的区域存在。本章的梯队划分因此采用能力标准而非存在标准：一看跨区项目的承接与履约是否常态化，二看属地机构是否形成利润中心，三看融资与风控能否穿透到异地项目。据此可将工程总承包企业划分为三级梯队：</w:t>
      </w:r>
    </w:p>
    <w:p>
      <w:pPr>
        <w:pStyle w:val="ListNumber"/>
      </w:pPr>
      <w:r>
        <w:rPr>
          <w:rFonts w:ascii="Calibri" w:hAnsi="Calibri" w:eastAsia="微软雅黑"/>
          <w:b/>
          <w:i w:val="0"/>
          <w:sz w:val="22"/>
        </w:rPr>
        <w:t>T1全国布局型</w:t>
      </w:r>
      <w:r>
        <w:rPr>
          <w:rFonts w:ascii="Calibri" w:hAnsi="Calibri" w:eastAsia="微软雅黑"/>
          <w:b w:val="0"/>
          <w:i w:val="0"/>
          <w:sz w:val="22"/>
        </w:rPr>
        <w:t>：业务覆盖全国主要省份并延伸海外，以技术绝对优势承接跨区域大型项目，代表如中国电建华东院（业务覆盖全国并延伸至海外水电与新能源市场）、中南电力设计院（业务覆盖国内29个省市和国际36个国家）[来源: P000406, P000401]。</w:t>
      </w:r>
    </w:p>
    <w:p>
      <w:pPr>
        <w:pStyle w:val="ListNumber"/>
      </w:pPr>
      <w:r>
        <w:rPr>
          <w:rFonts w:ascii="Calibri" w:hAnsi="Calibri" w:eastAsia="微软雅黑"/>
          <w:b/>
          <w:i w:val="0"/>
          <w:sz w:val="22"/>
        </w:rPr>
        <w:t>T2省域辐射型</w:t>
      </w:r>
      <w:r>
        <w:rPr>
          <w:rFonts w:ascii="Calibri" w:hAnsi="Calibri" w:eastAsia="微软雅黑"/>
          <w:b w:val="0"/>
          <w:i w:val="0"/>
          <w:sz w:val="22"/>
        </w:rPr>
        <w:t>：以本省或本区域为大本营，向邻近省份与周边国家辐射，代表如山东电力工程咨询院（业务范围拓展至全球40多个国家和地区）、广西电力设计研究院（依托中国-东盟自由贸易区前沿区位辐射全国与东南亚）[来源: P000416, P000411]。</w:t>
      </w:r>
    </w:p>
    <w:p>
      <w:pPr>
        <w:pStyle w:val="ListNumber"/>
      </w:pPr>
      <w:r>
        <w:rPr>
          <w:rFonts w:ascii="Calibri" w:hAnsi="Calibri" w:eastAsia="微软雅黑"/>
          <w:b/>
          <w:i w:val="0"/>
          <w:sz w:val="22"/>
        </w:rPr>
        <w:t>T3区域专精型</w:t>
      </w:r>
      <w:r>
        <w:rPr>
          <w:rFonts w:ascii="Calibri" w:hAnsi="Calibri" w:eastAsia="微软雅黑"/>
          <w:b w:val="0"/>
          <w:i w:val="0"/>
          <w:sz w:val="22"/>
        </w:rPr>
        <w:t>：深耕单一区域或单一专业市场，以属地关系与专业壁垒取胜，此类企业数量最多，是梯队升维的主要候选者（本档描述为本研究归纳）。</w:t>
      </w:r>
    </w:p>
    <w:p>
      <w:r>
        <w:rPr>
          <w:rFonts w:ascii="Calibri" w:hAnsi="Calibri" w:eastAsia="微软雅黑"/>
          <w:b w:val="0"/>
          <w:i w:val="0"/>
          <w:sz w:val="22"/>
        </w:rPr>
        <w:t>电力设计大院之间的横向对比，为梯队划分提供了量化参照。据专业研究机构对四家电力设计院的对比测算 [来源: P000401]：</w:t>
      </w:r>
    </w:p>
    <w:p>
      <w:pPr>
        <w:pStyle w:val="Heading4"/>
      </w:pPr>
      <w:r>
        <w:t>表5-1 四家电力设计院EPC能力对比（专业机构研究报告测算口径）[来源: P000401]</w:t>
      </w:r>
    </w:p>
    <w:tbl>
      <w:tblPr>
        <w:tblStyle w:val="TableGrid"/>
        <w:tblW w:type="auto" w:w="0"/>
        <w:tblLook w:firstColumn="1" w:firstRow="1" w:lastColumn="0" w:lastRow="0" w:noHBand="0" w:noVBand="1" w:val="04A0"/>
      </w:tblPr>
      <w:tblGrid>
        <w:gridCol w:w="1660"/>
        <w:gridCol w:w="1660"/>
        <w:gridCol w:w="1660"/>
        <w:gridCol w:w="1660"/>
        <w:gridCol w:w="1660"/>
      </w:tblGrid>
      <w:tr>
        <w:tc>
          <w:tcPr>
            <w:tcW w:type="dxa" w:w="1660"/>
            <w:shd w:fill="1F3A5F"/>
          </w:tcPr>
          <w:p>
            <w:r>
              <w:rPr>
                <w:color w:val="FFFFFF"/>
              </w:rPr>
            </w:r>
            <w:r>
              <w:rPr>
                <w:rFonts w:ascii="Calibri" w:hAnsi="Calibri" w:eastAsia="微软雅黑"/>
                <w:b/>
                <w:i w:val="0"/>
                <w:color w:val="FFFFFF"/>
                <w:sz w:val="18"/>
              </w:rPr>
              <w:t>对比维度</w:t>
            </w:r>
          </w:p>
        </w:tc>
        <w:tc>
          <w:tcPr>
            <w:tcW w:type="dxa" w:w="1660"/>
            <w:shd w:fill="1F3A5F"/>
          </w:tcPr>
          <w:p>
            <w:r>
              <w:rPr>
                <w:color w:val="FFFFFF"/>
              </w:rPr>
            </w:r>
            <w:r>
              <w:rPr>
                <w:rFonts w:ascii="Calibri" w:hAnsi="Calibri" w:eastAsia="微软雅黑"/>
                <w:b/>
                <w:i w:val="0"/>
                <w:color w:val="FFFFFF"/>
                <w:sz w:val="18"/>
              </w:rPr>
              <w:t>中南电力设计院</w:t>
            </w:r>
          </w:p>
        </w:tc>
        <w:tc>
          <w:tcPr>
            <w:tcW w:type="dxa" w:w="1660"/>
            <w:shd w:fill="1F3A5F"/>
          </w:tcPr>
          <w:p>
            <w:r>
              <w:rPr>
                <w:color w:val="FFFFFF"/>
              </w:rPr>
            </w:r>
            <w:r>
              <w:rPr>
                <w:rFonts w:ascii="Calibri" w:hAnsi="Calibri" w:eastAsia="微软雅黑"/>
                <w:b/>
                <w:i w:val="0"/>
                <w:color w:val="FFFFFF"/>
                <w:sz w:val="18"/>
              </w:rPr>
              <w:t>中国能建华东院</w:t>
            </w:r>
          </w:p>
        </w:tc>
        <w:tc>
          <w:tcPr>
            <w:tcW w:type="dxa" w:w="1660"/>
            <w:shd w:fill="1F3A5F"/>
          </w:tcPr>
          <w:p>
            <w:r>
              <w:rPr>
                <w:color w:val="FFFFFF"/>
              </w:rPr>
            </w:r>
            <w:r>
              <w:rPr>
                <w:rFonts w:ascii="Calibri" w:hAnsi="Calibri" w:eastAsia="微软雅黑"/>
                <w:b/>
                <w:i w:val="0"/>
                <w:color w:val="FFFFFF"/>
                <w:sz w:val="18"/>
              </w:rPr>
              <w:t>中国电建华东院</w:t>
            </w:r>
          </w:p>
        </w:tc>
        <w:tc>
          <w:tcPr>
            <w:tcW w:type="dxa" w:w="1660"/>
            <w:shd w:fill="1F3A5F"/>
          </w:tcPr>
          <w:p>
            <w:r>
              <w:rPr>
                <w:color w:val="FFFFFF"/>
              </w:rPr>
            </w:r>
            <w:r>
              <w:rPr>
                <w:rFonts w:ascii="Calibri" w:hAnsi="Calibri" w:eastAsia="微软雅黑"/>
                <w:b/>
                <w:i w:val="0"/>
                <w:color w:val="FFFFFF"/>
                <w:sz w:val="18"/>
              </w:rPr>
              <w:t>中国能建广东院</w:t>
            </w:r>
          </w:p>
        </w:tc>
      </w:tr>
      <w:tr>
        <w:tc>
          <w:tcPr>
            <w:tcW w:type="dxa" w:w="1660"/>
          </w:tcPr>
          <w:p>
            <w:r/>
            <w:r>
              <w:rPr>
                <w:rFonts w:ascii="Calibri" w:hAnsi="Calibri" w:eastAsia="微软雅黑"/>
                <w:b w:val="0"/>
                <w:i w:val="0"/>
                <w:sz w:val="18"/>
              </w:rPr>
              <w:t>年EPC合同额（亿元）</w:t>
            </w:r>
          </w:p>
        </w:tc>
        <w:tc>
          <w:tcPr>
            <w:tcW w:type="dxa" w:w="1660"/>
          </w:tcPr>
          <w:p>
            <w:r/>
            <w:r>
              <w:rPr>
                <w:rFonts w:ascii="Calibri" w:hAnsi="Calibri" w:eastAsia="微软雅黑"/>
                <w:b w:val="0"/>
                <w:i w:val="0"/>
                <w:sz w:val="18"/>
              </w:rPr>
              <w:t>约120-150</w:t>
            </w:r>
          </w:p>
        </w:tc>
        <w:tc>
          <w:tcPr>
            <w:tcW w:type="dxa" w:w="1660"/>
          </w:tcPr>
          <w:p>
            <w:r/>
            <w:r>
              <w:rPr>
                <w:rFonts w:ascii="Calibri" w:hAnsi="Calibri" w:eastAsia="微软雅黑"/>
                <w:b w:val="0"/>
                <w:i w:val="0"/>
                <w:sz w:val="18"/>
              </w:rPr>
              <w:t>约150-180</w:t>
            </w:r>
          </w:p>
        </w:tc>
        <w:tc>
          <w:tcPr>
            <w:tcW w:type="dxa" w:w="1660"/>
          </w:tcPr>
          <w:p>
            <w:r/>
            <w:r>
              <w:rPr>
                <w:rFonts w:ascii="Calibri" w:hAnsi="Calibri" w:eastAsia="微软雅黑"/>
                <w:b w:val="0"/>
                <w:i w:val="0"/>
                <w:sz w:val="18"/>
              </w:rPr>
              <w:t>约130-160</w:t>
            </w:r>
          </w:p>
        </w:tc>
        <w:tc>
          <w:tcPr>
            <w:tcW w:type="dxa" w:w="1660"/>
          </w:tcPr>
          <w:p>
            <w:r/>
            <w:r>
              <w:rPr>
                <w:rFonts w:ascii="Calibri" w:hAnsi="Calibri" w:eastAsia="微软雅黑"/>
                <w:b w:val="0"/>
                <w:i w:val="0"/>
                <w:sz w:val="18"/>
              </w:rPr>
              <w:t>约100-130</w:t>
            </w:r>
          </w:p>
        </w:tc>
      </w:tr>
      <w:tr>
        <w:tc>
          <w:tcPr>
            <w:tcW w:type="dxa" w:w="1660"/>
          </w:tcPr>
          <w:p>
            <w:r/>
            <w:r>
              <w:rPr>
                <w:rFonts w:ascii="Calibri" w:hAnsi="Calibri" w:eastAsia="微软雅黑"/>
                <w:b w:val="0"/>
                <w:i w:val="0"/>
                <w:sz w:val="18"/>
              </w:rPr>
              <w:t>主要优势领域</w:t>
            </w:r>
          </w:p>
        </w:tc>
        <w:tc>
          <w:tcPr>
            <w:tcW w:type="dxa" w:w="1660"/>
          </w:tcPr>
          <w:p>
            <w:r/>
            <w:r>
              <w:rPr>
                <w:rFonts w:ascii="Calibri" w:hAnsi="Calibri" w:eastAsia="微软雅黑"/>
                <w:b w:val="0"/>
                <w:i w:val="0"/>
                <w:sz w:val="18"/>
              </w:rPr>
              <w:t>火电、电网、新能源</w:t>
            </w:r>
          </w:p>
        </w:tc>
        <w:tc>
          <w:tcPr>
            <w:tcW w:type="dxa" w:w="1660"/>
          </w:tcPr>
          <w:p>
            <w:r/>
            <w:r>
              <w:rPr>
                <w:rFonts w:ascii="Calibri" w:hAnsi="Calibri" w:eastAsia="微软雅黑"/>
                <w:b w:val="0"/>
                <w:i w:val="0"/>
                <w:sz w:val="18"/>
              </w:rPr>
              <w:t>核电、海外电力</w:t>
            </w:r>
          </w:p>
        </w:tc>
        <w:tc>
          <w:tcPr>
            <w:tcW w:type="dxa" w:w="1660"/>
          </w:tcPr>
          <w:p>
            <w:r/>
            <w:r>
              <w:rPr>
                <w:rFonts w:ascii="Calibri" w:hAnsi="Calibri" w:eastAsia="微软雅黑"/>
                <w:b w:val="0"/>
                <w:i w:val="0"/>
                <w:sz w:val="18"/>
              </w:rPr>
              <w:t>水电、海外电力</w:t>
            </w:r>
          </w:p>
        </w:tc>
        <w:tc>
          <w:tcPr>
            <w:tcW w:type="dxa" w:w="1660"/>
          </w:tcPr>
          <w:p>
            <w:r/>
            <w:r>
              <w:rPr>
                <w:rFonts w:ascii="Calibri" w:hAnsi="Calibri" w:eastAsia="微软雅黑"/>
                <w:b w:val="0"/>
                <w:i w:val="0"/>
                <w:sz w:val="18"/>
              </w:rPr>
              <w:t>新能源、电网</w:t>
            </w:r>
          </w:p>
        </w:tc>
      </w:tr>
      <w:tr>
        <w:tc>
          <w:tcPr>
            <w:tcW w:type="dxa" w:w="1660"/>
          </w:tcPr>
          <w:p>
            <w:r/>
            <w:r>
              <w:rPr>
                <w:rFonts w:ascii="Calibri" w:hAnsi="Calibri" w:eastAsia="微软雅黑"/>
                <w:b w:val="0"/>
                <w:i w:val="0"/>
                <w:sz w:val="18"/>
              </w:rPr>
              <w:t>海外业务占比</w:t>
            </w:r>
          </w:p>
        </w:tc>
        <w:tc>
          <w:tcPr>
            <w:tcW w:type="dxa" w:w="1660"/>
          </w:tcPr>
          <w:p>
            <w:r/>
            <w:r>
              <w:rPr>
                <w:rFonts w:ascii="Calibri" w:hAnsi="Calibri" w:eastAsia="微软雅黑"/>
                <w:b w:val="0"/>
                <w:i w:val="0"/>
                <w:sz w:val="18"/>
              </w:rPr>
              <w:t>约35%</w:t>
            </w:r>
          </w:p>
        </w:tc>
        <w:tc>
          <w:tcPr>
            <w:tcW w:type="dxa" w:w="1660"/>
          </w:tcPr>
          <w:p>
            <w:r/>
            <w:r>
              <w:rPr>
                <w:rFonts w:ascii="Calibri" w:hAnsi="Calibri" w:eastAsia="微软雅黑"/>
                <w:b w:val="0"/>
                <w:i w:val="0"/>
                <w:sz w:val="18"/>
              </w:rPr>
              <w:t>约45%</w:t>
            </w:r>
          </w:p>
        </w:tc>
        <w:tc>
          <w:tcPr>
            <w:tcW w:type="dxa" w:w="1660"/>
          </w:tcPr>
          <w:p>
            <w:r/>
            <w:r>
              <w:rPr>
                <w:rFonts w:ascii="Calibri" w:hAnsi="Calibri" w:eastAsia="微软雅黑"/>
                <w:b w:val="0"/>
                <w:i w:val="0"/>
                <w:sz w:val="18"/>
              </w:rPr>
              <w:t>约50%</w:t>
            </w:r>
          </w:p>
        </w:tc>
        <w:tc>
          <w:tcPr>
            <w:tcW w:type="dxa" w:w="1660"/>
          </w:tcPr>
          <w:p>
            <w:r/>
            <w:r>
              <w:rPr>
                <w:rFonts w:ascii="Calibri" w:hAnsi="Calibri" w:eastAsia="微软雅黑"/>
                <w:b w:val="0"/>
                <w:i w:val="0"/>
                <w:sz w:val="18"/>
              </w:rPr>
              <w:t>约30%</w:t>
            </w:r>
          </w:p>
        </w:tc>
      </w:tr>
      <w:tr>
        <w:tc>
          <w:tcPr>
            <w:tcW w:type="dxa" w:w="1660"/>
          </w:tcPr>
          <w:p>
            <w:r/>
            <w:r>
              <w:rPr>
                <w:rFonts w:ascii="Calibri" w:hAnsi="Calibri" w:eastAsia="微软雅黑"/>
                <w:b w:val="0"/>
                <w:i w:val="0"/>
                <w:sz w:val="18"/>
              </w:rPr>
              <w:t>新能源业务占比</w:t>
            </w:r>
          </w:p>
        </w:tc>
        <w:tc>
          <w:tcPr>
            <w:tcW w:type="dxa" w:w="1660"/>
          </w:tcPr>
          <w:p>
            <w:r/>
            <w:r>
              <w:rPr>
                <w:rFonts w:ascii="Calibri" w:hAnsi="Calibri" w:eastAsia="微软雅黑"/>
                <w:b w:val="0"/>
                <w:i w:val="0"/>
                <w:sz w:val="18"/>
              </w:rPr>
              <w:t>约40%</w:t>
            </w:r>
          </w:p>
        </w:tc>
        <w:tc>
          <w:tcPr>
            <w:tcW w:type="dxa" w:w="1660"/>
          </w:tcPr>
          <w:p>
            <w:r/>
            <w:r>
              <w:rPr>
                <w:rFonts w:ascii="Calibri" w:hAnsi="Calibri" w:eastAsia="微软雅黑"/>
                <w:b w:val="0"/>
                <w:i w:val="0"/>
                <w:sz w:val="18"/>
              </w:rPr>
              <w:t>约35%</w:t>
            </w:r>
          </w:p>
        </w:tc>
        <w:tc>
          <w:tcPr>
            <w:tcW w:type="dxa" w:w="1660"/>
          </w:tcPr>
          <w:p>
            <w:r/>
            <w:r>
              <w:rPr>
                <w:rFonts w:ascii="Calibri" w:hAnsi="Calibri" w:eastAsia="微软雅黑"/>
                <w:b w:val="0"/>
                <w:i w:val="0"/>
                <w:sz w:val="18"/>
              </w:rPr>
              <w:t>约30%</w:t>
            </w:r>
          </w:p>
        </w:tc>
        <w:tc>
          <w:tcPr>
            <w:tcW w:type="dxa" w:w="1660"/>
          </w:tcPr>
          <w:p>
            <w:r/>
            <w:r>
              <w:rPr>
                <w:rFonts w:ascii="Calibri" w:hAnsi="Calibri" w:eastAsia="微软雅黑"/>
                <w:b w:val="0"/>
                <w:i w:val="0"/>
                <w:sz w:val="18"/>
              </w:rPr>
              <w:t>约50%</w:t>
            </w:r>
          </w:p>
        </w:tc>
      </w:tr>
      <w:tr>
        <w:tc>
          <w:tcPr>
            <w:tcW w:type="dxa" w:w="1660"/>
          </w:tcPr>
          <w:p>
            <w:r/>
            <w:r>
              <w:rPr>
                <w:rFonts w:ascii="Calibri" w:hAnsi="Calibri" w:eastAsia="微软雅黑"/>
                <w:b w:val="0"/>
                <w:i w:val="0"/>
                <w:sz w:val="18"/>
              </w:rPr>
              <w:t>设计能力评价</w:t>
            </w:r>
          </w:p>
        </w:tc>
        <w:tc>
          <w:tcPr>
            <w:tcW w:type="dxa" w:w="1660"/>
          </w:tcPr>
          <w:p>
            <w:r/>
            <w:r>
              <w:rPr>
                <w:rFonts w:ascii="Calibri" w:hAnsi="Calibri" w:eastAsia="微软雅黑"/>
                <w:b w:val="0"/>
                <w:i w:val="0"/>
                <w:sz w:val="18"/>
              </w:rPr>
              <w:t>五星</w:t>
            </w:r>
          </w:p>
        </w:tc>
        <w:tc>
          <w:tcPr>
            <w:tcW w:type="dxa" w:w="1660"/>
          </w:tcPr>
          <w:p>
            <w:r/>
            <w:r>
              <w:rPr>
                <w:rFonts w:ascii="Calibri" w:hAnsi="Calibri" w:eastAsia="微软雅黑"/>
                <w:b w:val="0"/>
                <w:i w:val="0"/>
                <w:sz w:val="18"/>
              </w:rPr>
              <w:t>四星半</w:t>
            </w:r>
          </w:p>
        </w:tc>
        <w:tc>
          <w:tcPr>
            <w:tcW w:type="dxa" w:w="1660"/>
          </w:tcPr>
          <w:p>
            <w:r/>
            <w:r>
              <w:rPr>
                <w:rFonts w:ascii="Calibri" w:hAnsi="Calibri" w:eastAsia="微软雅黑"/>
                <w:b w:val="0"/>
                <w:i w:val="0"/>
                <w:sz w:val="18"/>
              </w:rPr>
              <w:t>四星半</w:t>
            </w:r>
          </w:p>
        </w:tc>
        <w:tc>
          <w:tcPr>
            <w:tcW w:type="dxa" w:w="1660"/>
          </w:tcPr>
          <w:p>
            <w:r/>
            <w:r>
              <w:rPr>
                <w:rFonts w:ascii="Calibri" w:hAnsi="Calibri" w:eastAsia="微软雅黑"/>
                <w:b w:val="0"/>
                <w:i w:val="0"/>
                <w:sz w:val="18"/>
              </w:rPr>
              <w:t>四星半</w:t>
            </w:r>
          </w:p>
        </w:tc>
      </w:tr>
      <w:tr>
        <w:tc>
          <w:tcPr>
            <w:tcW w:type="dxa" w:w="1660"/>
          </w:tcPr>
          <w:p>
            <w:r/>
            <w:r>
              <w:rPr>
                <w:rFonts w:ascii="Calibri" w:hAnsi="Calibri" w:eastAsia="微软雅黑"/>
                <w:b w:val="0"/>
                <w:i w:val="0"/>
                <w:sz w:val="18"/>
              </w:rPr>
              <w:t>采购能力评价</w:t>
            </w:r>
          </w:p>
        </w:tc>
        <w:tc>
          <w:tcPr>
            <w:tcW w:type="dxa" w:w="1660"/>
          </w:tcPr>
          <w:p>
            <w:r/>
            <w:r>
              <w:rPr>
                <w:rFonts w:ascii="Calibri" w:hAnsi="Calibri" w:eastAsia="微软雅黑"/>
                <w:b w:val="0"/>
                <w:i w:val="0"/>
                <w:sz w:val="18"/>
              </w:rPr>
              <w:t>四星半</w:t>
            </w:r>
          </w:p>
        </w:tc>
        <w:tc>
          <w:tcPr>
            <w:tcW w:type="dxa" w:w="1660"/>
          </w:tcPr>
          <w:p>
            <w:r/>
            <w:r>
              <w:rPr>
                <w:rFonts w:ascii="Calibri" w:hAnsi="Calibri" w:eastAsia="微软雅黑"/>
                <w:b w:val="0"/>
                <w:i w:val="0"/>
                <w:sz w:val="18"/>
              </w:rPr>
              <w:t>四星半</w:t>
            </w:r>
          </w:p>
        </w:tc>
        <w:tc>
          <w:tcPr>
            <w:tcW w:type="dxa" w:w="1660"/>
          </w:tcPr>
          <w:p>
            <w:r/>
            <w:r>
              <w:rPr>
                <w:rFonts w:ascii="Calibri" w:hAnsi="Calibri" w:eastAsia="微软雅黑"/>
                <w:b w:val="0"/>
                <w:i w:val="0"/>
                <w:sz w:val="18"/>
              </w:rPr>
              <w:t>五星</w:t>
            </w:r>
          </w:p>
        </w:tc>
        <w:tc>
          <w:tcPr>
            <w:tcW w:type="dxa" w:w="1660"/>
          </w:tcPr>
          <w:p>
            <w:r/>
            <w:r>
              <w:rPr>
                <w:rFonts w:ascii="Calibri" w:hAnsi="Calibri" w:eastAsia="微软雅黑"/>
                <w:b w:val="0"/>
                <w:i w:val="0"/>
                <w:sz w:val="18"/>
              </w:rPr>
              <w:t>三星半</w:t>
            </w:r>
          </w:p>
        </w:tc>
      </w:tr>
      <w:tr>
        <w:tc>
          <w:tcPr>
            <w:tcW w:type="dxa" w:w="1660"/>
          </w:tcPr>
          <w:p>
            <w:r/>
            <w:r>
              <w:rPr>
                <w:rFonts w:ascii="Calibri" w:hAnsi="Calibri" w:eastAsia="微软雅黑"/>
                <w:b w:val="0"/>
                <w:i w:val="0"/>
                <w:sz w:val="18"/>
              </w:rPr>
              <w:t>施工管理评价</w:t>
            </w:r>
          </w:p>
        </w:tc>
        <w:tc>
          <w:tcPr>
            <w:tcW w:type="dxa" w:w="1660"/>
          </w:tcPr>
          <w:p>
            <w:r/>
            <w:r>
              <w:rPr>
                <w:rFonts w:ascii="Calibri" w:hAnsi="Calibri" w:eastAsia="微软雅黑"/>
                <w:b w:val="0"/>
                <w:i w:val="0"/>
                <w:sz w:val="18"/>
              </w:rPr>
              <w:t>四星半</w:t>
            </w:r>
          </w:p>
        </w:tc>
        <w:tc>
          <w:tcPr>
            <w:tcW w:type="dxa" w:w="1660"/>
          </w:tcPr>
          <w:p>
            <w:r/>
            <w:r>
              <w:rPr>
                <w:rFonts w:ascii="Calibri" w:hAnsi="Calibri" w:eastAsia="微软雅黑"/>
                <w:b w:val="0"/>
                <w:i w:val="0"/>
                <w:sz w:val="18"/>
              </w:rPr>
              <w:t>四星半</w:t>
            </w:r>
          </w:p>
        </w:tc>
        <w:tc>
          <w:tcPr>
            <w:tcW w:type="dxa" w:w="1660"/>
          </w:tcPr>
          <w:p>
            <w:r/>
            <w:r>
              <w:rPr>
                <w:rFonts w:ascii="Calibri" w:hAnsi="Calibri" w:eastAsia="微软雅黑"/>
                <w:b w:val="0"/>
                <w:i w:val="0"/>
                <w:sz w:val="18"/>
              </w:rPr>
              <w:t>五星</w:t>
            </w:r>
          </w:p>
        </w:tc>
        <w:tc>
          <w:tcPr>
            <w:tcW w:type="dxa" w:w="1660"/>
          </w:tcPr>
          <w:p>
            <w:r/>
            <w:r>
              <w:rPr>
                <w:rFonts w:ascii="Calibri" w:hAnsi="Calibri" w:eastAsia="微软雅黑"/>
                <w:b w:val="0"/>
                <w:i w:val="0"/>
                <w:sz w:val="18"/>
              </w:rPr>
              <w:t>四星半</w:t>
            </w:r>
          </w:p>
        </w:tc>
      </w:tr>
      <w:tr>
        <w:tc>
          <w:tcPr>
            <w:tcW w:type="dxa" w:w="1660"/>
          </w:tcPr>
          <w:p>
            <w:r/>
            <w:r>
              <w:rPr>
                <w:rFonts w:ascii="Calibri" w:hAnsi="Calibri" w:eastAsia="微软雅黑"/>
                <w:b w:val="0"/>
                <w:i w:val="0"/>
                <w:sz w:val="18"/>
              </w:rPr>
              <w:t>融资能力评价</w:t>
            </w:r>
          </w:p>
        </w:tc>
        <w:tc>
          <w:tcPr>
            <w:tcW w:type="dxa" w:w="1660"/>
          </w:tcPr>
          <w:p>
            <w:r/>
            <w:r>
              <w:rPr>
                <w:rFonts w:ascii="Calibri" w:hAnsi="Calibri" w:eastAsia="微软雅黑"/>
                <w:b w:val="0"/>
                <w:i w:val="0"/>
                <w:sz w:val="18"/>
              </w:rPr>
              <w:t>四星半</w:t>
            </w:r>
          </w:p>
        </w:tc>
        <w:tc>
          <w:tcPr>
            <w:tcW w:type="dxa" w:w="1660"/>
          </w:tcPr>
          <w:p>
            <w:r/>
            <w:r>
              <w:rPr>
                <w:rFonts w:ascii="Calibri" w:hAnsi="Calibri" w:eastAsia="微软雅黑"/>
                <w:b w:val="0"/>
                <w:i w:val="0"/>
                <w:sz w:val="18"/>
              </w:rPr>
              <w:t>五星</w:t>
            </w:r>
          </w:p>
        </w:tc>
        <w:tc>
          <w:tcPr>
            <w:tcW w:type="dxa" w:w="1660"/>
          </w:tcPr>
          <w:p>
            <w:r/>
            <w:r>
              <w:rPr>
                <w:rFonts w:ascii="Calibri" w:hAnsi="Calibri" w:eastAsia="微软雅黑"/>
                <w:b w:val="0"/>
                <w:i w:val="0"/>
                <w:sz w:val="18"/>
              </w:rPr>
              <w:t>五星</w:t>
            </w:r>
          </w:p>
        </w:tc>
        <w:tc>
          <w:tcPr>
            <w:tcW w:type="dxa" w:w="1660"/>
          </w:tcPr>
          <w:p>
            <w:r/>
            <w:r>
              <w:rPr>
                <w:rFonts w:ascii="Calibri" w:hAnsi="Calibri" w:eastAsia="微软雅黑"/>
                <w:b w:val="0"/>
                <w:i w:val="0"/>
                <w:sz w:val="18"/>
              </w:rPr>
              <w:t>四星半</w:t>
            </w:r>
          </w:p>
        </w:tc>
      </w:tr>
      <w:tr>
        <w:tc>
          <w:tcPr>
            <w:tcW w:type="dxa" w:w="1660"/>
          </w:tcPr>
          <w:p>
            <w:r/>
            <w:r>
              <w:rPr>
                <w:rFonts w:ascii="Calibri" w:hAnsi="Calibri" w:eastAsia="微软雅黑"/>
                <w:b w:val="0"/>
                <w:i w:val="0"/>
                <w:sz w:val="18"/>
              </w:rPr>
              <w:t>数字化水平评价</w:t>
            </w:r>
          </w:p>
        </w:tc>
        <w:tc>
          <w:tcPr>
            <w:tcW w:type="dxa" w:w="1660"/>
          </w:tcPr>
          <w:p>
            <w:r/>
            <w:r>
              <w:rPr>
                <w:rFonts w:ascii="Calibri" w:hAnsi="Calibri" w:eastAsia="微软雅黑"/>
                <w:b w:val="0"/>
                <w:i w:val="0"/>
                <w:sz w:val="18"/>
              </w:rPr>
              <w:t>四星半</w:t>
            </w:r>
          </w:p>
        </w:tc>
        <w:tc>
          <w:tcPr>
            <w:tcW w:type="dxa" w:w="1660"/>
          </w:tcPr>
          <w:p>
            <w:r/>
            <w:r>
              <w:rPr>
                <w:rFonts w:ascii="Calibri" w:hAnsi="Calibri" w:eastAsia="微软雅黑"/>
                <w:b w:val="0"/>
                <w:i w:val="0"/>
                <w:sz w:val="18"/>
              </w:rPr>
              <w:t>五星</w:t>
            </w:r>
          </w:p>
        </w:tc>
        <w:tc>
          <w:tcPr>
            <w:tcW w:type="dxa" w:w="1660"/>
          </w:tcPr>
          <w:p>
            <w:r/>
            <w:r>
              <w:rPr>
                <w:rFonts w:ascii="Calibri" w:hAnsi="Calibri" w:eastAsia="微软雅黑"/>
                <w:b w:val="0"/>
                <w:i w:val="0"/>
                <w:sz w:val="18"/>
              </w:rPr>
              <w:t>四星半</w:t>
            </w:r>
          </w:p>
        </w:tc>
        <w:tc>
          <w:tcPr>
            <w:tcW w:type="dxa" w:w="1660"/>
          </w:tcPr>
          <w:p>
            <w:r/>
            <w:r>
              <w:rPr>
                <w:rFonts w:ascii="Calibri" w:hAnsi="Calibri" w:eastAsia="微软雅黑"/>
                <w:b w:val="0"/>
                <w:i w:val="0"/>
                <w:sz w:val="18"/>
              </w:rPr>
              <w:t>五星</w:t>
            </w:r>
          </w:p>
        </w:tc>
      </w:tr>
      <w:tr>
        <w:tc>
          <w:tcPr>
            <w:tcW w:type="dxa" w:w="1660"/>
          </w:tcPr>
          <w:p>
            <w:r/>
            <w:r>
              <w:rPr>
                <w:rFonts w:ascii="Calibri" w:hAnsi="Calibri" w:eastAsia="微软雅黑"/>
                <w:b w:val="0"/>
                <w:i w:val="0"/>
                <w:sz w:val="18"/>
              </w:rPr>
              <w:t>本地化经营评价</w:t>
            </w:r>
          </w:p>
        </w:tc>
        <w:tc>
          <w:tcPr>
            <w:tcW w:type="dxa" w:w="1660"/>
          </w:tcPr>
          <w:p>
            <w:r/>
            <w:r>
              <w:rPr>
                <w:rFonts w:ascii="Calibri" w:hAnsi="Calibri" w:eastAsia="微软雅黑"/>
                <w:b w:val="0"/>
                <w:i w:val="0"/>
                <w:sz w:val="18"/>
              </w:rPr>
              <w:t>四星半</w:t>
            </w:r>
          </w:p>
        </w:tc>
        <w:tc>
          <w:tcPr>
            <w:tcW w:type="dxa" w:w="1660"/>
          </w:tcPr>
          <w:p>
            <w:r/>
            <w:r>
              <w:rPr>
                <w:rFonts w:ascii="Calibri" w:hAnsi="Calibri" w:eastAsia="微软雅黑"/>
                <w:b w:val="0"/>
                <w:i w:val="0"/>
                <w:sz w:val="18"/>
              </w:rPr>
              <w:t>五星</w:t>
            </w:r>
          </w:p>
        </w:tc>
        <w:tc>
          <w:tcPr>
            <w:tcW w:type="dxa" w:w="1660"/>
          </w:tcPr>
          <w:p>
            <w:r/>
            <w:r>
              <w:rPr>
                <w:rFonts w:ascii="Calibri" w:hAnsi="Calibri" w:eastAsia="微软雅黑"/>
                <w:b w:val="0"/>
                <w:i w:val="0"/>
                <w:sz w:val="18"/>
              </w:rPr>
              <w:t>五星</w:t>
            </w:r>
          </w:p>
        </w:tc>
        <w:tc>
          <w:tcPr>
            <w:tcW w:type="dxa" w:w="1660"/>
          </w:tcPr>
          <w:p>
            <w:r/>
            <w:r>
              <w:rPr>
                <w:rFonts w:ascii="Calibri" w:hAnsi="Calibri" w:eastAsia="微软雅黑"/>
                <w:b w:val="0"/>
                <w:i w:val="0"/>
                <w:sz w:val="18"/>
              </w:rPr>
              <w:t>四星半</w:t>
            </w:r>
          </w:p>
        </w:tc>
      </w:tr>
    </w:tbl>
    <w:p>
      <w:r>
        <w:rPr>
          <w:rFonts w:ascii="Calibri" w:hAnsi="Calibri" w:eastAsia="微软雅黑"/>
          <w:b w:val="0"/>
          <w:i w:val="0"/>
          <w:sz w:val="22"/>
        </w:rPr>
        <w:t>注：星级与占比均为该研究报告基于公开信息的测算判断，非企业法定披露口径，读者引用时应注意其估算属性。</w:t>
      </w:r>
    </w:p>
    <w:p>
      <w:r>
        <w:rPr>
          <w:rFonts w:ascii="Calibri" w:hAnsi="Calibri" w:eastAsia="微软雅黑"/>
          <w:b w:val="0"/>
          <w:i w:val="0"/>
          <w:sz w:val="22"/>
        </w:rPr>
        <w:t>这张对比表最值得细读的不是单格数值，而是</w:t>
      </w:r>
      <w:r>
        <w:rPr>
          <w:rFonts w:ascii="Calibri" w:hAnsi="Calibri" w:eastAsia="微软雅黑"/>
          <w:b/>
          <w:i w:val="0"/>
          <w:sz w:val="22"/>
        </w:rPr>
        <w:t>列间的结构差异</w:t>
      </w:r>
      <w:r>
        <w:rPr>
          <w:rFonts w:ascii="Calibri" w:hAnsi="Calibri" w:eastAsia="微软雅黑"/>
          <w:b w:val="0"/>
          <w:i w:val="0"/>
          <w:sz w:val="22"/>
        </w:rPr>
        <w:t>（本研究解读）：四家院的年合同额区间高度接近（约100亿-180亿元），但海外业务占比从约30%到约50%梯度拉开，新能源业务占比从约30%到约50%同样梯度拉开——同量级的企业因海外与新能源两大结构变量的不同选择，正走向完全不同的能力形态与风险剖面。对处于选择期的企业，表5-1的价值在于提示：规模相近的同行已经分道扬镳，结构选择比规模追赶更值得优先决策。</w:t>
      </w:r>
    </w:p>
    <w:p>
      <w:pPr>
        <w:pStyle w:val="Heading3"/>
      </w:pPr>
      <w:r>
        <w:t>5.1.2 T1梯队实证：华东院的能级跃迁</w:t>
      </w:r>
    </w:p>
    <w:p>
      <w:r>
        <w:rPr>
          <w:rFonts w:ascii="Calibri" w:hAnsi="Calibri" w:eastAsia="微软雅黑"/>
          <w:b w:val="0"/>
          <w:i w:val="0"/>
          <w:sz w:val="22"/>
        </w:rPr>
        <w:t>中国电建集团华东勘测设计研究院有限公司（以下简称"华东院"）成立于1954年，是国家大型综合性甲级勘测设计研究单位，经历了从单一水电勘测设计单位到综合性工程公司的转型发展历程：创建与初期发展阶段（1954-1978年）主要承担华东地区水电勘测设计任务；改革与转型阶段（1979-2000年）从单一水电勘测设计向多元化方向拓展，承担大量水电、火电、输变电项目勘测设计，并于1980年代开始涉足工程总承包领域；此后逐步转型为集规划咨询、勘测设计、工程总承包、项目管理、投资运营于一体的综合性工程公司 [来源: P000406]。</w:t>
      </w:r>
    </w:p>
    <w:p>
      <w:pPr>
        <w:pStyle w:val="ListBullet"/>
      </w:pPr>
      <w:r>
        <w:rPr>
          <w:rFonts w:ascii="Calibri" w:hAnsi="Calibri" w:eastAsia="微软雅黑"/>
          <w:b/>
          <w:i w:val="0"/>
          <w:sz w:val="22"/>
        </w:rPr>
        <w:t>数据（Data）</w:t>
      </w:r>
      <w:r>
        <w:rPr>
          <w:rFonts w:ascii="Calibri" w:hAnsi="Calibri" w:eastAsia="微软雅黑"/>
          <w:b w:val="0"/>
          <w:i w:val="0"/>
          <w:sz w:val="22"/>
        </w:rPr>
        <w:t>：从2008年到2017年，华东院营收从10亿元增长到150亿元，九年翻了15倍，主要得益于工程总承包业务的快速发展；其工程总承包业务基本两年翻一番，连续多年新签合同与收款所占比例双超45% [来源: P000406]。在组织形态上，华东院各专业设计院既做设计又做总承包业务，同时成立专门的工程公司专业负责工程总承包业务、提高项目现场管控能力，目前工程公司已担负全院工程总承包约60%的份额 [来源: P000406]。</w:t>
      </w:r>
    </w:p>
    <w:p>
      <w:pPr>
        <w:pStyle w:val="ListBullet"/>
      </w:pPr>
      <w:r>
        <w:rPr>
          <w:rFonts w:ascii="Calibri" w:hAnsi="Calibri" w:eastAsia="微软雅黑"/>
          <w:b/>
          <w:i w:val="0"/>
          <w:sz w:val="22"/>
        </w:rPr>
        <w:t>动作（Action）</w:t>
      </w:r>
      <w:r>
        <w:rPr>
          <w:rFonts w:ascii="Calibri" w:hAnsi="Calibri" w:eastAsia="微软雅黑"/>
          <w:b w:val="0"/>
          <w:i w:val="0"/>
          <w:sz w:val="22"/>
        </w:rPr>
        <w:t>：华东院以"设计引领"贯穿全国化扩张——充分发挥设计优势，通过设计优化降低工程造价、提高工程质量，验证了以设计为龙头的EPC模式的可行性和优越性 [来源: P000406]。其区域布局呈五大板块展开（见表5-2）。</w:t>
      </w:r>
    </w:p>
    <w:p>
      <w:pPr>
        <w:pStyle w:val="ListBullet"/>
      </w:pPr>
      <w:r>
        <w:rPr>
          <w:rFonts w:ascii="Calibri" w:hAnsi="Calibri" w:eastAsia="微软雅黑"/>
          <w:b/>
          <w:i w:val="0"/>
          <w:sz w:val="22"/>
        </w:rPr>
        <w:t>结果（Result）</w:t>
      </w:r>
      <w:r>
        <w:rPr>
          <w:rFonts w:ascii="Calibri" w:hAnsi="Calibri" w:eastAsia="微软雅黑"/>
          <w:b w:val="0"/>
          <w:i w:val="0"/>
          <w:sz w:val="22"/>
        </w:rPr>
        <w:t>：华东院承接的项目规模不断扩大，从早期小型项目发展到苍南三号海上风电场项目（87.51亿元）、华能玉环2号海上风电项目（51.91亿元）等大型项目，业务范围从传统水电领域扩展到风电、光伏、储能、建筑、市政等领域，成为全国布局最完整的设计院系工程公司之一 [来源: P000406]。</w:t>
      </w:r>
    </w:p>
    <w:p>
      <w:pPr>
        <w:pStyle w:val="Heading4"/>
      </w:pPr>
      <w:r>
        <w:t>表5-2 华东院全国化布局的代表项目序列 [来源: P000406]</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区域板块</w:t>
            </w:r>
          </w:p>
        </w:tc>
        <w:tc>
          <w:tcPr>
            <w:tcW w:type="dxa" w:w="2767"/>
            <w:shd w:fill="1F3A5F"/>
          </w:tcPr>
          <w:p>
            <w:r>
              <w:rPr>
                <w:color w:val="FFFFFF"/>
              </w:rPr>
            </w:r>
            <w:r>
              <w:rPr>
                <w:rFonts w:ascii="Calibri" w:hAnsi="Calibri" w:eastAsia="微软雅黑"/>
                <w:b/>
                <w:i w:val="0"/>
                <w:color w:val="FFFFFF"/>
                <w:sz w:val="18"/>
              </w:rPr>
              <w:t>代表项目</w:t>
            </w:r>
          </w:p>
        </w:tc>
        <w:tc>
          <w:tcPr>
            <w:tcW w:type="dxa" w:w="2767"/>
            <w:shd w:fill="1F3A5F"/>
          </w:tcPr>
          <w:p>
            <w:r>
              <w:rPr>
                <w:color w:val="FFFFFF"/>
              </w:rPr>
            </w:r>
            <w:r>
              <w:rPr>
                <w:rFonts w:ascii="Calibri" w:hAnsi="Calibri" w:eastAsia="微软雅黑"/>
                <w:b/>
                <w:i w:val="0"/>
                <w:color w:val="FFFFFF"/>
                <w:sz w:val="18"/>
              </w:rPr>
              <w:t>业务领域</w:t>
            </w:r>
          </w:p>
        </w:tc>
      </w:tr>
      <w:tr>
        <w:tc>
          <w:tcPr>
            <w:tcW w:type="dxa" w:w="2767"/>
          </w:tcPr>
          <w:p>
            <w:r/>
            <w:r>
              <w:rPr>
                <w:rFonts w:ascii="Calibri" w:hAnsi="Calibri" w:eastAsia="微软雅黑"/>
                <w:b w:val="0"/>
                <w:i w:val="0"/>
                <w:sz w:val="18"/>
              </w:rPr>
              <w:t>华东本部</w:t>
            </w:r>
          </w:p>
        </w:tc>
        <w:tc>
          <w:tcPr>
            <w:tcW w:type="dxa" w:w="2767"/>
          </w:tcPr>
          <w:p>
            <w:r/>
            <w:r>
              <w:rPr>
                <w:rFonts w:ascii="Calibri" w:hAnsi="Calibri" w:eastAsia="微软雅黑"/>
                <w:b w:val="0"/>
                <w:i w:val="0"/>
                <w:sz w:val="18"/>
              </w:rPr>
              <w:t>大量水电、风电、市政、建筑项目（业务最集中区域）</w:t>
            </w:r>
          </w:p>
        </w:tc>
        <w:tc>
          <w:tcPr>
            <w:tcW w:type="dxa" w:w="2767"/>
          </w:tcPr>
          <w:p>
            <w:r/>
            <w:r>
              <w:rPr>
                <w:rFonts w:ascii="Calibri" w:hAnsi="Calibri" w:eastAsia="微软雅黑"/>
                <w:b w:val="0"/>
                <w:i w:val="0"/>
                <w:sz w:val="18"/>
              </w:rPr>
              <w:t>综合</w:t>
            </w:r>
          </w:p>
        </w:tc>
      </w:tr>
      <w:tr>
        <w:tc>
          <w:tcPr>
            <w:tcW w:type="dxa" w:w="2767"/>
          </w:tcPr>
          <w:p>
            <w:r/>
            <w:r>
              <w:rPr>
                <w:rFonts w:ascii="Calibri" w:hAnsi="Calibri" w:eastAsia="微软雅黑"/>
                <w:b w:val="0"/>
                <w:i w:val="0"/>
                <w:sz w:val="18"/>
              </w:rPr>
              <w:t>西南地区</w:t>
            </w:r>
          </w:p>
        </w:tc>
        <w:tc>
          <w:tcPr>
            <w:tcW w:type="dxa" w:w="2767"/>
          </w:tcPr>
          <w:p>
            <w:r/>
            <w:r>
              <w:rPr>
                <w:rFonts w:ascii="Calibri" w:hAnsi="Calibri" w:eastAsia="微软雅黑"/>
                <w:b w:val="0"/>
                <w:i w:val="0"/>
                <w:sz w:val="18"/>
              </w:rPr>
              <w:t>四川杨房沟水电站、甘孜雅江柯拉二期光伏发电项目</w:t>
            </w:r>
          </w:p>
        </w:tc>
        <w:tc>
          <w:tcPr>
            <w:tcW w:type="dxa" w:w="2767"/>
          </w:tcPr>
          <w:p>
            <w:r/>
            <w:r>
              <w:rPr>
                <w:rFonts w:ascii="Calibri" w:hAnsi="Calibri" w:eastAsia="微软雅黑"/>
                <w:b w:val="0"/>
                <w:i w:val="0"/>
                <w:sz w:val="18"/>
              </w:rPr>
              <w:t>水电、光伏</w:t>
            </w:r>
          </w:p>
        </w:tc>
      </w:tr>
      <w:tr>
        <w:tc>
          <w:tcPr>
            <w:tcW w:type="dxa" w:w="2767"/>
          </w:tcPr>
          <w:p>
            <w:r/>
            <w:r>
              <w:rPr>
                <w:rFonts w:ascii="Calibri" w:hAnsi="Calibri" w:eastAsia="微软雅黑"/>
                <w:b w:val="0"/>
                <w:i w:val="0"/>
                <w:sz w:val="18"/>
              </w:rPr>
              <w:t>华北地区</w:t>
            </w:r>
          </w:p>
        </w:tc>
        <w:tc>
          <w:tcPr>
            <w:tcW w:type="dxa" w:w="2767"/>
          </w:tcPr>
          <w:p>
            <w:r/>
            <w:r>
              <w:rPr>
                <w:rFonts w:ascii="Calibri" w:hAnsi="Calibri" w:eastAsia="微软雅黑"/>
                <w:b w:val="0"/>
                <w:i w:val="0"/>
                <w:sz w:val="18"/>
              </w:rPr>
              <w:t>察北管理区300MW/1.2GWh电网侧独立储能电站、唐山乐亭月坨岛海上风电场</w:t>
            </w:r>
          </w:p>
        </w:tc>
        <w:tc>
          <w:tcPr>
            <w:tcW w:type="dxa" w:w="2767"/>
          </w:tcPr>
          <w:p>
            <w:r/>
            <w:r>
              <w:rPr>
                <w:rFonts w:ascii="Calibri" w:hAnsi="Calibri" w:eastAsia="微软雅黑"/>
                <w:b w:val="0"/>
                <w:i w:val="0"/>
                <w:sz w:val="18"/>
              </w:rPr>
              <w:t>储能、海上风电</w:t>
            </w:r>
          </w:p>
        </w:tc>
      </w:tr>
      <w:tr>
        <w:tc>
          <w:tcPr>
            <w:tcW w:type="dxa" w:w="2767"/>
          </w:tcPr>
          <w:p>
            <w:r/>
            <w:r>
              <w:rPr>
                <w:rFonts w:ascii="Calibri" w:hAnsi="Calibri" w:eastAsia="微软雅黑"/>
                <w:b w:val="0"/>
                <w:i w:val="0"/>
                <w:sz w:val="18"/>
              </w:rPr>
              <w:t>华南地区</w:t>
            </w:r>
          </w:p>
        </w:tc>
        <w:tc>
          <w:tcPr>
            <w:tcW w:type="dxa" w:w="2767"/>
          </w:tcPr>
          <w:p>
            <w:r/>
            <w:r>
              <w:rPr>
                <w:rFonts w:ascii="Calibri" w:hAnsi="Calibri" w:eastAsia="微软雅黑"/>
                <w:b w:val="0"/>
                <w:i w:val="0"/>
                <w:sz w:val="18"/>
              </w:rPr>
              <w:t>深圳茅洲河综合治理项目、马山林圩风电场</w:t>
            </w:r>
          </w:p>
        </w:tc>
        <w:tc>
          <w:tcPr>
            <w:tcW w:type="dxa" w:w="2767"/>
          </w:tcPr>
          <w:p>
            <w:r/>
            <w:r>
              <w:rPr>
                <w:rFonts w:ascii="Calibri" w:hAnsi="Calibri" w:eastAsia="微软雅黑"/>
                <w:b w:val="0"/>
                <w:i w:val="0"/>
                <w:sz w:val="18"/>
              </w:rPr>
              <w:t>水环境、风电</w:t>
            </w:r>
          </w:p>
        </w:tc>
      </w:tr>
      <w:tr>
        <w:tc>
          <w:tcPr>
            <w:tcW w:type="dxa" w:w="2767"/>
          </w:tcPr>
          <w:p>
            <w:r/>
            <w:r>
              <w:rPr>
                <w:rFonts w:ascii="Calibri" w:hAnsi="Calibri" w:eastAsia="微软雅黑"/>
                <w:b w:val="0"/>
                <w:i w:val="0"/>
                <w:sz w:val="18"/>
              </w:rPr>
              <w:t>西北地区</w:t>
            </w:r>
          </w:p>
        </w:tc>
        <w:tc>
          <w:tcPr>
            <w:tcW w:type="dxa" w:w="2767"/>
          </w:tcPr>
          <w:p>
            <w:r/>
            <w:r>
              <w:rPr>
                <w:rFonts w:ascii="Calibri" w:hAnsi="Calibri" w:eastAsia="微软雅黑"/>
                <w:b w:val="0"/>
                <w:i w:val="0"/>
                <w:sz w:val="18"/>
              </w:rPr>
              <w:t>大唐中卫云基地数据中心绿电供应500MW源网荷储光伏项目、榆林能源项目</w:t>
            </w:r>
          </w:p>
        </w:tc>
        <w:tc>
          <w:tcPr>
            <w:tcW w:type="dxa" w:w="2767"/>
          </w:tcPr>
          <w:p>
            <w:r/>
            <w:r>
              <w:rPr>
                <w:rFonts w:ascii="Calibri" w:hAnsi="Calibri" w:eastAsia="微软雅黑"/>
                <w:b w:val="0"/>
                <w:i w:val="0"/>
                <w:sz w:val="18"/>
              </w:rPr>
              <w:t>光伏、源网荷储</w:t>
            </w:r>
          </w:p>
        </w:tc>
      </w:tr>
    </w:tbl>
    <w:p>
      <w:r>
        <w:rPr>
          <w:rFonts w:ascii="Calibri" w:hAnsi="Calibri" w:eastAsia="微软雅黑"/>
          <w:b w:val="0"/>
          <w:i w:val="0"/>
          <w:sz w:val="22"/>
        </w:rPr>
        <w:t>这张项目地图的战略含义（本研究解读）：华东院的全国化不是均匀撒网，而是以技术优势对应区域资源禀赋——西南的水电与光伏、华北的储能与海上风电、华南的水环境、西北的绿电供应，每个区域都锚定自己最强的技术赛道，从而避开与本地企业的同质化贴身竞争。</w:t>
      </w:r>
    </w:p>
    <w:p>
      <w:r>
        <w:rPr>
          <w:rFonts w:ascii="Calibri" w:hAnsi="Calibri" w:eastAsia="微软雅黑"/>
          <w:b w:val="0"/>
          <w:i w:val="0"/>
          <w:sz w:val="22"/>
        </w:rPr>
        <w:t>支撑这一全国化布局的还有两块容易被忽视的底座。其一是</w:t>
      </w:r>
      <w:r>
        <w:rPr>
          <w:rFonts w:ascii="Calibri" w:hAnsi="Calibri" w:eastAsia="微软雅黑"/>
          <w:b/>
          <w:i w:val="0"/>
          <w:sz w:val="22"/>
        </w:rPr>
        <w:t>数字化底座</w:t>
      </w:r>
      <w:r>
        <w:rPr>
          <w:rFonts w:ascii="Calibri" w:hAnsi="Calibri" w:eastAsia="微软雅黑"/>
          <w:b w:val="0"/>
          <w:i w:val="0"/>
          <w:sz w:val="22"/>
        </w:rPr>
        <w:t>：华东院自主开发了OWind数字能源服务平台，整合BIM、气象、质量、安全、进度、流程、成本等维度的管理功能，通过管理标准化和流程化大幅提高效率、提升质量、降低成本；并与国际著名工程软件公司BENTLEY联合成立中国工程设计软件研究中心，与高校和科研院所开展产学研合作 [来源: P000406]。其二是</w:t>
      </w:r>
      <w:r>
        <w:rPr>
          <w:rFonts w:ascii="Calibri" w:hAnsi="Calibri" w:eastAsia="微软雅黑"/>
          <w:b/>
          <w:i w:val="0"/>
          <w:sz w:val="22"/>
        </w:rPr>
        <w:t>国际化纵深</w:t>
      </w:r>
      <w:r>
        <w:rPr>
          <w:rFonts w:ascii="Calibri" w:hAnsi="Calibri" w:eastAsia="微软雅黑"/>
          <w:b w:val="0"/>
          <w:i w:val="0"/>
          <w:sz w:val="22"/>
        </w:rPr>
        <w:t>：工程总承包业务的发展推动了华东院的国际化经营，使其业务覆盖70多个国家和地区，国际影响力的积累反过来又增强了其在国内跨区市场中的品牌背书（后一点为本研究解读）[来源: P000406]。华东院围绕业务需求开展海上风电、储能、光伏、水环境治理等领域的关键技术研发，并参与编制多项国家标准、行业标准和地方标准 [来源: P000406]——技术标准话语权与全国化布局之间存在明显的相互强化关系。</w:t>
      </w:r>
    </w:p>
    <w:p>
      <w:pPr>
        <w:pStyle w:val="Heading3"/>
      </w:pPr>
      <w:r>
        <w:t>5.1.3 T1梯队实证：中南院的全国与海外网络</w:t>
      </w:r>
    </w:p>
    <w:p>
      <w:r>
        <w:rPr>
          <w:rFonts w:ascii="Calibri" w:hAnsi="Calibri" w:eastAsia="微软雅黑"/>
          <w:b w:val="0"/>
          <w:i w:val="0"/>
          <w:sz w:val="22"/>
        </w:rPr>
        <w:t>中国电力工程顾问集团中南电力设计院有限公司（以下简称"中南院"）年EPC合同额约120-150亿元，业务覆盖国内29个省市和国际36个国家，拥有1299条专利信息、144条著作权信息，并获得24项国家优秀工程设计奖 [来源: P000401]。其项目组合同时横跨国内国际两个市场、火电与新能源两代技术（见表5-3）。</w:t>
      </w:r>
    </w:p>
    <w:p>
      <w:pPr>
        <w:pStyle w:val="Heading4"/>
      </w:pPr>
      <w:r>
        <w:t>表5-3 中南院EPC总承包代表项目序列（研究报告整理口径）[来源: P000401]</w:t>
      </w:r>
    </w:p>
    <w:tbl>
      <w:tblPr>
        <w:tblStyle w:val="TableGrid"/>
        <w:tblW w:type="auto" w:w="0"/>
        <w:tblLook w:firstColumn="1" w:firstRow="1" w:lastColumn="0" w:lastRow="0" w:noHBand="0" w:noVBand="1" w:val="04A0"/>
      </w:tblPr>
      <w:tblGrid>
        <w:gridCol w:w="1383"/>
        <w:gridCol w:w="1383"/>
        <w:gridCol w:w="1383"/>
        <w:gridCol w:w="1383"/>
        <w:gridCol w:w="1383"/>
        <w:gridCol w:w="1383"/>
      </w:tblGrid>
      <w:tr>
        <w:tc>
          <w:tcPr>
            <w:tcW w:type="dxa" w:w="1383"/>
            <w:shd w:fill="1F3A5F"/>
          </w:tcPr>
          <w:p>
            <w:r>
              <w:rPr>
                <w:color w:val="FFFFFF"/>
              </w:rPr>
            </w:r>
            <w:r>
              <w:rPr>
                <w:rFonts w:ascii="Calibri" w:hAnsi="Calibri" w:eastAsia="微软雅黑"/>
                <w:b/>
                <w:i w:val="0"/>
                <w:color w:val="FFFFFF"/>
                <w:sz w:val="18"/>
              </w:rPr>
              <w:t>项目名称</w:t>
            </w:r>
          </w:p>
        </w:tc>
        <w:tc>
          <w:tcPr>
            <w:tcW w:type="dxa" w:w="1383"/>
            <w:shd w:fill="1F3A5F"/>
          </w:tcPr>
          <w:p>
            <w:r>
              <w:rPr>
                <w:color w:val="FFFFFF"/>
              </w:rPr>
            </w:r>
            <w:r>
              <w:rPr>
                <w:rFonts w:ascii="Calibri" w:hAnsi="Calibri" w:eastAsia="微软雅黑"/>
                <w:b/>
                <w:i w:val="0"/>
                <w:color w:val="FFFFFF"/>
                <w:sz w:val="18"/>
              </w:rPr>
              <w:t>类型</w:t>
            </w:r>
          </w:p>
        </w:tc>
        <w:tc>
          <w:tcPr>
            <w:tcW w:type="dxa" w:w="1383"/>
            <w:shd w:fill="1F3A5F"/>
          </w:tcPr>
          <w:p>
            <w:r>
              <w:rPr>
                <w:color w:val="FFFFFF"/>
              </w:rPr>
            </w:r>
            <w:r>
              <w:rPr>
                <w:rFonts w:ascii="Calibri" w:hAnsi="Calibri" w:eastAsia="微软雅黑"/>
                <w:b/>
                <w:i w:val="0"/>
                <w:color w:val="FFFFFF"/>
                <w:sz w:val="18"/>
              </w:rPr>
              <w:t>合同金额</w:t>
            </w:r>
          </w:p>
        </w:tc>
        <w:tc>
          <w:tcPr>
            <w:tcW w:type="dxa" w:w="1383"/>
            <w:shd w:fill="1F3A5F"/>
          </w:tcPr>
          <w:p>
            <w:r>
              <w:rPr>
                <w:color w:val="FFFFFF"/>
              </w:rPr>
            </w:r>
            <w:r>
              <w:rPr>
                <w:rFonts w:ascii="Calibri" w:hAnsi="Calibri" w:eastAsia="微软雅黑"/>
                <w:b/>
                <w:i w:val="0"/>
                <w:color w:val="FFFFFF"/>
                <w:sz w:val="18"/>
              </w:rPr>
              <w:t>签约时间</w:t>
            </w:r>
          </w:p>
        </w:tc>
        <w:tc>
          <w:tcPr>
            <w:tcW w:type="dxa" w:w="1383"/>
            <w:shd w:fill="1F3A5F"/>
          </w:tcPr>
          <w:p>
            <w:r>
              <w:rPr>
                <w:color w:val="FFFFFF"/>
              </w:rPr>
            </w:r>
            <w:r>
              <w:rPr>
                <w:rFonts w:ascii="Calibri" w:hAnsi="Calibri" w:eastAsia="微软雅黑"/>
                <w:b/>
                <w:i w:val="0"/>
                <w:color w:val="FFFFFF"/>
                <w:sz w:val="18"/>
              </w:rPr>
              <w:t>地点</w:t>
            </w:r>
          </w:p>
        </w:tc>
        <w:tc>
          <w:tcPr>
            <w:tcW w:type="dxa" w:w="1383"/>
            <w:shd w:fill="1F3A5F"/>
          </w:tcPr>
          <w:p>
            <w:r>
              <w:rPr>
                <w:color w:val="FFFFFF"/>
              </w:rPr>
            </w:r>
            <w:r>
              <w:rPr>
                <w:rFonts w:ascii="Calibri" w:hAnsi="Calibri" w:eastAsia="微软雅黑"/>
                <w:b/>
                <w:i w:val="0"/>
                <w:color w:val="FFFFFF"/>
                <w:sz w:val="18"/>
              </w:rPr>
              <w:t>状态</w:t>
            </w:r>
          </w:p>
        </w:tc>
      </w:tr>
      <w:tr>
        <w:tc>
          <w:tcPr>
            <w:tcW w:type="dxa" w:w="1383"/>
          </w:tcPr>
          <w:p>
            <w:r/>
            <w:r>
              <w:rPr>
                <w:rFonts w:ascii="Calibri" w:hAnsi="Calibri" w:eastAsia="微软雅黑"/>
                <w:b w:val="0"/>
                <w:i w:val="0"/>
                <w:sz w:val="18"/>
              </w:rPr>
              <w:t>越南永新燃煤电厂2×660MW机组EPC</w:t>
            </w:r>
          </w:p>
        </w:tc>
        <w:tc>
          <w:tcPr>
            <w:tcW w:type="dxa" w:w="1383"/>
          </w:tcPr>
          <w:p>
            <w:r/>
            <w:r>
              <w:rPr>
                <w:rFonts w:ascii="Calibri" w:hAnsi="Calibri" w:eastAsia="微软雅黑"/>
                <w:b w:val="0"/>
                <w:i w:val="0"/>
                <w:sz w:val="18"/>
              </w:rPr>
              <w:t>火电</w:t>
            </w:r>
          </w:p>
        </w:tc>
        <w:tc>
          <w:tcPr>
            <w:tcW w:type="dxa" w:w="1383"/>
          </w:tcPr>
          <w:p>
            <w:r/>
            <w:r>
              <w:rPr>
                <w:rFonts w:ascii="Calibri" w:hAnsi="Calibri" w:eastAsia="微软雅黑"/>
                <w:b w:val="0"/>
                <w:i w:val="0"/>
                <w:sz w:val="18"/>
              </w:rPr>
              <w:t>约350,000万元</w:t>
            </w:r>
          </w:p>
        </w:tc>
        <w:tc>
          <w:tcPr>
            <w:tcW w:type="dxa" w:w="1383"/>
          </w:tcPr>
          <w:p>
            <w:r/>
            <w:r>
              <w:rPr>
                <w:rFonts w:ascii="Calibri" w:hAnsi="Calibri" w:eastAsia="微软雅黑"/>
                <w:b w:val="0"/>
                <w:i w:val="0"/>
                <w:sz w:val="18"/>
              </w:rPr>
              <w:t>2018年3月</w:t>
            </w:r>
          </w:p>
        </w:tc>
        <w:tc>
          <w:tcPr>
            <w:tcW w:type="dxa" w:w="1383"/>
          </w:tcPr>
          <w:p>
            <w:r/>
            <w:r>
              <w:rPr>
                <w:rFonts w:ascii="Calibri" w:hAnsi="Calibri" w:eastAsia="微软雅黑"/>
                <w:b w:val="0"/>
                <w:i w:val="0"/>
                <w:sz w:val="18"/>
              </w:rPr>
              <w:t>越南平顺省</w:t>
            </w:r>
          </w:p>
        </w:tc>
        <w:tc>
          <w:tcPr>
            <w:tcW w:type="dxa" w:w="1383"/>
          </w:tcPr>
          <w:p>
            <w:r/>
            <w:r>
              <w:rPr>
                <w:rFonts w:ascii="Calibri" w:hAnsi="Calibri" w:eastAsia="微软雅黑"/>
                <w:b w:val="0"/>
                <w:i w:val="0"/>
                <w:sz w:val="18"/>
              </w:rPr>
              <w:t>已完工</w:t>
            </w:r>
          </w:p>
        </w:tc>
      </w:tr>
      <w:tr>
        <w:tc>
          <w:tcPr>
            <w:tcW w:type="dxa" w:w="1383"/>
          </w:tcPr>
          <w:p>
            <w:r/>
            <w:r>
              <w:rPr>
                <w:rFonts w:ascii="Calibri" w:hAnsi="Calibri" w:eastAsia="微软雅黑"/>
                <w:b w:val="0"/>
                <w:i w:val="0"/>
                <w:sz w:val="18"/>
              </w:rPr>
              <w:t>广西防城港核电厂二期工程EPC</w:t>
            </w:r>
          </w:p>
        </w:tc>
        <w:tc>
          <w:tcPr>
            <w:tcW w:type="dxa" w:w="1383"/>
          </w:tcPr>
          <w:p>
            <w:r/>
            <w:r>
              <w:rPr>
                <w:rFonts w:ascii="Calibri" w:hAnsi="Calibri" w:eastAsia="微软雅黑"/>
                <w:b w:val="0"/>
                <w:i w:val="0"/>
                <w:sz w:val="18"/>
              </w:rPr>
              <w:t>核电配套</w:t>
            </w:r>
          </w:p>
        </w:tc>
        <w:tc>
          <w:tcPr>
            <w:tcW w:type="dxa" w:w="1383"/>
          </w:tcPr>
          <w:p>
            <w:r/>
            <w:r>
              <w:rPr>
                <w:rFonts w:ascii="Calibri" w:hAnsi="Calibri" w:eastAsia="微软雅黑"/>
                <w:b w:val="0"/>
                <w:i w:val="0"/>
                <w:sz w:val="18"/>
              </w:rPr>
              <w:t>约120,000万元</w:t>
            </w:r>
          </w:p>
        </w:tc>
        <w:tc>
          <w:tcPr>
            <w:tcW w:type="dxa" w:w="1383"/>
          </w:tcPr>
          <w:p>
            <w:r/>
            <w:r>
              <w:rPr>
                <w:rFonts w:ascii="Calibri" w:hAnsi="Calibri" w:eastAsia="微软雅黑"/>
                <w:b w:val="0"/>
                <w:i w:val="0"/>
                <w:sz w:val="18"/>
              </w:rPr>
              <w:t>2018年8月</w:t>
            </w:r>
          </w:p>
        </w:tc>
        <w:tc>
          <w:tcPr>
            <w:tcW w:type="dxa" w:w="1383"/>
          </w:tcPr>
          <w:p>
            <w:r/>
            <w:r>
              <w:rPr>
                <w:rFonts w:ascii="Calibri" w:hAnsi="Calibri" w:eastAsia="微软雅黑"/>
                <w:b w:val="0"/>
                <w:i w:val="0"/>
                <w:sz w:val="18"/>
              </w:rPr>
              <w:t>广西防城港</w:t>
            </w:r>
          </w:p>
        </w:tc>
        <w:tc>
          <w:tcPr>
            <w:tcW w:type="dxa" w:w="1383"/>
          </w:tcPr>
          <w:p>
            <w:r/>
            <w:r>
              <w:rPr>
                <w:rFonts w:ascii="Calibri" w:hAnsi="Calibri" w:eastAsia="微软雅黑"/>
                <w:b w:val="0"/>
                <w:i w:val="0"/>
                <w:sz w:val="18"/>
              </w:rPr>
              <w:t>已完工</w:t>
            </w:r>
          </w:p>
        </w:tc>
      </w:tr>
      <w:tr>
        <w:tc>
          <w:tcPr>
            <w:tcW w:type="dxa" w:w="1383"/>
          </w:tcPr>
          <w:p>
            <w:r/>
            <w:r>
              <w:rPr>
                <w:rFonts w:ascii="Calibri" w:hAnsi="Calibri" w:eastAsia="微软雅黑"/>
                <w:b w:val="0"/>
                <w:i w:val="0"/>
                <w:sz w:val="18"/>
              </w:rPr>
              <w:t>湖北宜昌大柴溪100MW风电场EPC</w:t>
            </w:r>
          </w:p>
        </w:tc>
        <w:tc>
          <w:tcPr>
            <w:tcW w:type="dxa" w:w="1383"/>
          </w:tcPr>
          <w:p>
            <w:r/>
            <w:r>
              <w:rPr>
                <w:rFonts w:ascii="Calibri" w:hAnsi="Calibri" w:eastAsia="微软雅黑"/>
                <w:b w:val="0"/>
                <w:i w:val="0"/>
                <w:sz w:val="18"/>
              </w:rPr>
              <w:t>风电</w:t>
            </w:r>
          </w:p>
        </w:tc>
        <w:tc>
          <w:tcPr>
            <w:tcW w:type="dxa" w:w="1383"/>
          </w:tcPr>
          <w:p>
            <w:r/>
            <w:r>
              <w:rPr>
                <w:rFonts w:ascii="Calibri" w:hAnsi="Calibri" w:eastAsia="微软雅黑"/>
                <w:b w:val="0"/>
                <w:i w:val="0"/>
                <w:sz w:val="18"/>
              </w:rPr>
              <w:t>约78,000万元</w:t>
            </w:r>
          </w:p>
        </w:tc>
        <w:tc>
          <w:tcPr>
            <w:tcW w:type="dxa" w:w="1383"/>
          </w:tcPr>
          <w:p>
            <w:r/>
            <w:r>
              <w:rPr>
                <w:rFonts w:ascii="Calibri" w:hAnsi="Calibri" w:eastAsia="微软雅黑"/>
                <w:b w:val="0"/>
                <w:i w:val="0"/>
                <w:sz w:val="18"/>
              </w:rPr>
              <w:t>2019年5月</w:t>
            </w:r>
          </w:p>
        </w:tc>
        <w:tc>
          <w:tcPr>
            <w:tcW w:type="dxa" w:w="1383"/>
          </w:tcPr>
          <w:p>
            <w:r/>
            <w:r>
              <w:rPr>
                <w:rFonts w:ascii="Calibri" w:hAnsi="Calibri" w:eastAsia="微软雅黑"/>
                <w:b w:val="0"/>
                <w:i w:val="0"/>
                <w:sz w:val="18"/>
              </w:rPr>
              <w:t>湖北宜昌</w:t>
            </w:r>
          </w:p>
        </w:tc>
        <w:tc>
          <w:tcPr>
            <w:tcW w:type="dxa" w:w="1383"/>
          </w:tcPr>
          <w:p>
            <w:r/>
            <w:r>
              <w:rPr>
                <w:rFonts w:ascii="Calibri" w:hAnsi="Calibri" w:eastAsia="微软雅黑"/>
                <w:b w:val="0"/>
                <w:i w:val="0"/>
                <w:sz w:val="18"/>
              </w:rPr>
              <w:t>已完工</w:t>
            </w:r>
          </w:p>
        </w:tc>
      </w:tr>
      <w:tr>
        <w:tc>
          <w:tcPr>
            <w:tcW w:type="dxa" w:w="1383"/>
          </w:tcPr>
          <w:p>
            <w:r/>
            <w:r>
              <w:rPr>
                <w:rFonts w:ascii="Calibri" w:hAnsi="Calibri" w:eastAsia="微软雅黑"/>
                <w:b w:val="0"/>
                <w:i w:val="0"/>
                <w:sz w:val="18"/>
              </w:rPr>
              <w:t>老挝南塔河1号水电站EPC</w:t>
            </w:r>
          </w:p>
        </w:tc>
        <w:tc>
          <w:tcPr>
            <w:tcW w:type="dxa" w:w="1383"/>
          </w:tcPr>
          <w:p>
            <w:r/>
            <w:r>
              <w:rPr>
                <w:rFonts w:ascii="Calibri" w:hAnsi="Calibri" w:eastAsia="微软雅黑"/>
                <w:b w:val="0"/>
                <w:i w:val="0"/>
                <w:sz w:val="18"/>
              </w:rPr>
              <w:t>水电</w:t>
            </w:r>
          </w:p>
        </w:tc>
        <w:tc>
          <w:tcPr>
            <w:tcW w:type="dxa" w:w="1383"/>
          </w:tcPr>
          <w:p>
            <w:r/>
            <w:r>
              <w:rPr>
                <w:rFonts w:ascii="Calibri" w:hAnsi="Calibri" w:eastAsia="微软雅黑"/>
                <w:b w:val="0"/>
                <w:i w:val="0"/>
                <w:sz w:val="18"/>
              </w:rPr>
              <w:t>约95,000万元</w:t>
            </w:r>
          </w:p>
        </w:tc>
        <w:tc>
          <w:tcPr>
            <w:tcW w:type="dxa" w:w="1383"/>
          </w:tcPr>
          <w:p>
            <w:r/>
            <w:r>
              <w:rPr>
                <w:rFonts w:ascii="Calibri" w:hAnsi="Calibri" w:eastAsia="微软雅黑"/>
                <w:b w:val="0"/>
                <w:i w:val="0"/>
                <w:sz w:val="18"/>
              </w:rPr>
              <w:t>2019年9月</w:t>
            </w:r>
          </w:p>
        </w:tc>
        <w:tc>
          <w:tcPr>
            <w:tcW w:type="dxa" w:w="1383"/>
          </w:tcPr>
          <w:p>
            <w:r/>
            <w:r>
              <w:rPr>
                <w:rFonts w:ascii="Calibri" w:hAnsi="Calibri" w:eastAsia="微软雅黑"/>
                <w:b w:val="0"/>
                <w:i w:val="0"/>
                <w:sz w:val="18"/>
              </w:rPr>
              <w:t>老挝北部</w:t>
            </w:r>
          </w:p>
        </w:tc>
        <w:tc>
          <w:tcPr>
            <w:tcW w:type="dxa" w:w="1383"/>
          </w:tcPr>
          <w:p>
            <w:r/>
            <w:r>
              <w:rPr>
                <w:rFonts w:ascii="Calibri" w:hAnsi="Calibri" w:eastAsia="微软雅黑"/>
                <w:b w:val="0"/>
                <w:i w:val="0"/>
                <w:sz w:val="18"/>
              </w:rPr>
              <w:t>在建</w:t>
            </w:r>
          </w:p>
        </w:tc>
      </w:tr>
      <w:tr>
        <w:tc>
          <w:tcPr>
            <w:tcW w:type="dxa" w:w="1383"/>
          </w:tcPr>
          <w:p>
            <w:r/>
            <w:r>
              <w:rPr>
                <w:rFonts w:ascii="Calibri" w:hAnsi="Calibri" w:eastAsia="微软雅黑"/>
                <w:b w:val="0"/>
                <w:i w:val="0"/>
                <w:sz w:val="18"/>
              </w:rPr>
              <w:t>孟加拉帕亚拉2×660MW燃煤电站EPC</w:t>
            </w:r>
          </w:p>
        </w:tc>
        <w:tc>
          <w:tcPr>
            <w:tcW w:type="dxa" w:w="1383"/>
          </w:tcPr>
          <w:p>
            <w:r/>
            <w:r>
              <w:rPr>
                <w:rFonts w:ascii="Calibri" w:hAnsi="Calibri" w:eastAsia="微软雅黑"/>
                <w:b w:val="0"/>
                <w:i w:val="0"/>
                <w:sz w:val="18"/>
              </w:rPr>
              <w:t>火电</w:t>
            </w:r>
          </w:p>
        </w:tc>
        <w:tc>
          <w:tcPr>
            <w:tcW w:type="dxa" w:w="1383"/>
          </w:tcPr>
          <w:p>
            <w:r/>
            <w:r>
              <w:rPr>
                <w:rFonts w:ascii="Calibri" w:hAnsi="Calibri" w:eastAsia="微软雅黑"/>
                <w:b w:val="0"/>
                <w:i w:val="0"/>
                <w:sz w:val="18"/>
              </w:rPr>
              <w:t>约420,000万元</w:t>
            </w:r>
          </w:p>
        </w:tc>
        <w:tc>
          <w:tcPr>
            <w:tcW w:type="dxa" w:w="1383"/>
          </w:tcPr>
          <w:p>
            <w:r/>
            <w:r>
              <w:rPr>
                <w:rFonts w:ascii="Calibri" w:hAnsi="Calibri" w:eastAsia="微软雅黑"/>
                <w:b w:val="0"/>
                <w:i w:val="0"/>
                <w:sz w:val="18"/>
              </w:rPr>
              <w:t>2020年6月</w:t>
            </w:r>
          </w:p>
        </w:tc>
        <w:tc>
          <w:tcPr>
            <w:tcW w:type="dxa" w:w="1383"/>
          </w:tcPr>
          <w:p>
            <w:r/>
            <w:r>
              <w:rPr>
                <w:rFonts w:ascii="Calibri" w:hAnsi="Calibri" w:eastAsia="微软雅黑"/>
                <w:b w:val="0"/>
                <w:i w:val="0"/>
                <w:sz w:val="18"/>
              </w:rPr>
              <w:t>孟加拉帕亚拉</w:t>
            </w:r>
          </w:p>
        </w:tc>
        <w:tc>
          <w:tcPr>
            <w:tcW w:type="dxa" w:w="1383"/>
          </w:tcPr>
          <w:p>
            <w:r/>
            <w:r>
              <w:rPr>
                <w:rFonts w:ascii="Calibri" w:hAnsi="Calibri" w:eastAsia="微软雅黑"/>
                <w:b w:val="0"/>
                <w:i w:val="0"/>
                <w:sz w:val="18"/>
              </w:rPr>
              <w:t>在建</w:t>
            </w:r>
          </w:p>
        </w:tc>
      </w:tr>
      <w:tr>
        <w:tc>
          <w:tcPr>
            <w:tcW w:type="dxa" w:w="1383"/>
          </w:tcPr>
          <w:p>
            <w:r/>
            <w:r>
              <w:rPr>
                <w:rFonts w:ascii="Calibri" w:hAnsi="Calibri" w:eastAsia="微软雅黑"/>
                <w:b w:val="0"/>
                <w:i w:val="0"/>
                <w:sz w:val="18"/>
              </w:rPr>
              <w:t>河南驻马店300MW/600MWh储能电站EPC</w:t>
            </w:r>
          </w:p>
        </w:tc>
        <w:tc>
          <w:tcPr>
            <w:tcW w:type="dxa" w:w="1383"/>
          </w:tcPr>
          <w:p>
            <w:r/>
            <w:r>
              <w:rPr>
                <w:rFonts w:ascii="Calibri" w:hAnsi="Calibri" w:eastAsia="微软雅黑"/>
                <w:b w:val="0"/>
                <w:i w:val="0"/>
                <w:sz w:val="18"/>
              </w:rPr>
              <w:t>储能</w:t>
            </w:r>
          </w:p>
        </w:tc>
        <w:tc>
          <w:tcPr>
            <w:tcW w:type="dxa" w:w="1383"/>
          </w:tcPr>
          <w:p>
            <w:r/>
            <w:r>
              <w:rPr>
                <w:rFonts w:ascii="Calibri" w:hAnsi="Calibri" w:eastAsia="微软雅黑"/>
                <w:b w:val="0"/>
                <w:i w:val="0"/>
                <w:sz w:val="18"/>
              </w:rPr>
              <w:t>约85,000万元</w:t>
            </w:r>
          </w:p>
        </w:tc>
        <w:tc>
          <w:tcPr>
            <w:tcW w:type="dxa" w:w="1383"/>
          </w:tcPr>
          <w:p>
            <w:r/>
            <w:r>
              <w:rPr>
                <w:rFonts w:ascii="Calibri" w:hAnsi="Calibri" w:eastAsia="微软雅黑"/>
                <w:b w:val="0"/>
                <w:i w:val="0"/>
                <w:sz w:val="18"/>
              </w:rPr>
              <w:t>2021年2月</w:t>
            </w:r>
          </w:p>
        </w:tc>
        <w:tc>
          <w:tcPr>
            <w:tcW w:type="dxa" w:w="1383"/>
          </w:tcPr>
          <w:p>
            <w:r/>
            <w:r>
              <w:rPr>
                <w:rFonts w:ascii="Calibri" w:hAnsi="Calibri" w:eastAsia="微软雅黑"/>
                <w:b w:val="0"/>
                <w:i w:val="0"/>
                <w:sz w:val="18"/>
              </w:rPr>
              <w:t>河南驻马店</w:t>
            </w:r>
          </w:p>
        </w:tc>
        <w:tc>
          <w:tcPr>
            <w:tcW w:type="dxa" w:w="1383"/>
          </w:tcPr>
          <w:p>
            <w:r/>
            <w:r>
              <w:rPr>
                <w:rFonts w:ascii="Calibri" w:hAnsi="Calibri" w:eastAsia="微软雅黑"/>
                <w:b w:val="0"/>
                <w:i w:val="0"/>
                <w:sz w:val="18"/>
              </w:rPr>
              <w:t>已完工</w:t>
            </w:r>
          </w:p>
        </w:tc>
      </w:tr>
      <w:tr>
        <w:tc>
          <w:tcPr>
            <w:tcW w:type="dxa" w:w="1383"/>
          </w:tcPr>
          <w:p>
            <w:r/>
            <w:r>
              <w:rPr>
                <w:rFonts w:ascii="Calibri" w:hAnsi="Calibri" w:eastAsia="微软雅黑"/>
                <w:b w:val="0"/>
                <w:i w:val="0"/>
                <w:sz w:val="18"/>
              </w:rPr>
              <w:t>广东湛江500MW海上风电场EPC</w:t>
            </w:r>
          </w:p>
        </w:tc>
        <w:tc>
          <w:tcPr>
            <w:tcW w:type="dxa" w:w="1383"/>
          </w:tcPr>
          <w:p>
            <w:r/>
            <w:r>
              <w:rPr>
                <w:rFonts w:ascii="Calibri" w:hAnsi="Calibri" w:eastAsia="微软雅黑"/>
                <w:b w:val="0"/>
                <w:i w:val="0"/>
                <w:sz w:val="18"/>
              </w:rPr>
              <w:t>海上风电</w:t>
            </w:r>
          </w:p>
        </w:tc>
        <w:tc>
          <w:tcPr>
            <w:tcW w:type="dxa" w:w="1383"/>
          </w:tcPr>
          <w:p>
            <w:r/>
            <w:r>
              <w:rPr>
                <w:rFonts w:ascii="Calibri" w:hAnsi="Calibri" w:eastAsia="微软雅黑"/>
                <w:b w:val="0"/>
                <w:i w:val="0"/>
                <w:sz w:val="18"/>
              </w:rPr>
              <w:t>约320,000万元</w:t>
            </w:r>
          </w:p>
        </w:tc>
        <w:tc>
          <w:tcPr>
            <w:tcW w:type="dxa" w:w="1383"/>
          </w:tcPr>
          <w:p>
            <w:r/>
            <w:r>
              <w:rPr>
                <w:rFonts w:ascii="Calibri" w:hAnsi="Calibri" w:eastAsia="微软雅黑"/>
                <w:b w:val="0"/>
                <w:i w:val="0"/>
                <w:sz w:val="18"/>
              </w:rPr>
              <w:t>2021年7月</w:t>
            </w:r>
          </w:p>
        </w:tc>
        <w:tc>
          <w:tcPr>
            <w:tcW w:type="dxa" w:w="1383"/>
          </w:tcPr>
          <w:p>
            <w:r/>
            <w:r>
              <w:rPr>
                <w:rFonts w:ascii="Calibri" w:hAnsi="Calibri" w:eastAsia="微软雅黑"/>
                <w:b w:val="0"/>
                <w:i w:val="0"/>
                <w:sz w:val="18"/>
              </w:rPr>
              <w:t>广东湛江</w:t>
            </w:r>
          </w:p>
        </w:tc>
        <w:tc>
          <w:tcPr>
            <w:tcW w:type="dxa" w:w="1383"/>
          </w:tcPr>
          <w:p>
            <w:r/>
            <w:r>
              <w:rPr>
                <w:rFonts w:ascii="Calibri" w:hAnsi="Calibri" w:eastAsia="微软雅黑"/>
                <w:b w:val="0"/>
                <w:i w:val="0"/>
                <w:sz w:val="18"/>
              </w:rPr>
              <w:t>在建</w:t>
            </w:r>
          </w:p>
        </w:tc>
      </w:tr>
      <w:tr>
        <w:tc>
          <w:tcPr>
            <w:tcW w:type="dxa" w:w="1383"/>
          </w:tcPr>
          <w:p>
            <w:r/>
            <w:r>
              <w:rPr>
                <w:rFonts w:ascii="Calibri" w:hAnsi="Calibri" w:eastAsia="微软雅黑"/>
                <w:b w:val="0"/>
                <w:i w:val="0"/>
                <w:sz w:val="18"/>
              </w:rPr>
              <w:t>江西赣州100MW光伏+50MW/100MWh储能EPC</w:t>
            </w:r>
          </w:p>
        </w:tc>
        <w:tc>
          <w:tcPr>
            <w:tcW w:type="dxa" w:w="1383"/>
          </w:tcPr>
          <w:p>
            <w:r/>
            <w:r>
              <w:rPr>
                <w:rFonts w:ascii="Calibri" w:hAnsi="Calibri" w:eastAsia="微软雅黑"/>
                <w:b w:val="0"/>
                <w:i w:val="0"/>
                <w:sz w:val="18"/>
              </w:rPr>
              <w:t>光储一体化</w:t>
            </w:r>
          </w:p>
        </w:tc>
        <w:tc>
          <w:tcPr>
            <w:tcW w:type="dxa" w:w="1383"/>
          </w:tcPr>
          <w:p>
            <w:r/>
            <w:r>
              <w:rPr>
                <w:rFonts w:ascii="Calibri" w:hAnsi="Calibri" w:eastAsia="微软雅黑"/>
                <w:b w:val="0"/>
                <w:i w:val="0"/>
                <w:sz w:val="18"/>
              </w:rPr>
              <w:t>约65,000万元</w:t>
            </w:r>
          </w:p>
        </w:tc>
        <w:tc>
          <w:tcPr>
            <w:tcW w:type="dxa" w:w="1383"/>
          </w:tcPr>
          <w:p>
            <w:r/>
            <w:r>
              <w:rPr>
                <w:rFonts w:ascii="Calibri" w:hAnsi="Calibri" w:eastAsia="微软雅黑"/>
                <w:b w:val="0"/>
                <w:i w:val="0"/>
                <w:sz w:val="18"/>
              </w:rPr>
              <w:t>2021年11月</w:t>
            </w:r>
          </w:p>
        </w:tc>
        <w:tc>
          <w:tcPr>
            <w:tcW w:type="dxa" w:w="1383"/>
          </w:tcPr>
          <w:p>
            <w:r/>
            <w:r>
              <w:rPr>
                <w:rFonts w:ascii="Calibri" w:hAnsi="Calibri" w:eastAsia="微软雅黑"/>
                <w:b w:val="0"/>
                <w:i w:val="0"/>
                <w:sz w:val="18"/>
              </w:rPr>
              <w:t>江西赣州</w:t>
            </w:r>
          </w:p>
        </w:tc>
        <w:tc>
          <w:tcPr>
            <w:tcW w:type="dxa" w:w="1383"/>
          </w:tcPr>
          <w:p>
            <w:r/>
            <w:r>
              <w:rPr>
                <w:rFonts w:ascii="Calibri" w:hAnsi="Calibri" w:eastAsia="微软雅黑"/>
                <w:b w:val="0"/>
                <w:i w:val="0"/>
                <w:sz w:val="18"/>
              </w:rPr>
              <w:t>已完工</w:t>
            </w:r>
          </w:p>
        </w:tc>
      </w:tr>
      <w:tr>
        <w:tc>
          <w:tcPr>
            <w:tcW w:type="dxa" w:w="1383"/>
          </w:tcPr>
          <w:p>
            <w:r/>
            <w:r>
              <w:rPr>
                <w:rFonts w:ascii="Calibri" w:hAnsi="Calibri" w:eastAsia="微软雅黑"/>
                <w:b w:val="0"/>
                <w:i w:val="0"/>
                <w:sz w:val="18"/>
              </w:rPr>
              <w:t>巴基斯坦卡西姆港2×660MW燃煤电站二期EPC</w:t>
            </w:r>
          </w:p>
        </w:tc>
        <w:tc>
          <w:tcPr>
            <w:tcW w:type="dxa" w:w="1383"/>
          </w:tcPr>
          <w:p>
            <w:r/>
            <w:r>
              <w:rPr>
                <w:rFonts w:ascii="Calibri" w:hAnsi="Calibri" w:eastAsia="微软雅黑"/>
                <w:b w:val="0"/>
                <w:i w:val="0"/>
                <w:sz w:val="18"/>
              </w:rPr>
              <w:t>火电</w:t>
            </w:r>
          </w:p>
        </w:tc>
        <w:tc>
          <w:tcPr>
            <w:tcW w:type="dxa" w:w="1383"/>
          </w:tcPr>
          <w:p>
            <w:r/>
            <w:r>
              <w:rPr>
                <w:rFonts w:ascii="Calibri" w:hAnsi="Calibri" w:eastAsia="微软雅黑"/>
                <w:b w:val="0"/>
                <w:i w:val="0"/>
                <w:sz w:val="18"/>
              </w:rPr>
              <w:t>约380,000万元</w:t>
            </w:r>
          </w:p>
        </w:tc>
        <w:tc>
          <w:tcPr>
            <w:tcW w:type="dxa" w:w="1383"/>
          </w:tcPr>
          <w:p>
            <w:r/>
            <w:r>
              <w:rPr>
                <w:rFonts w:ascii="Calibri" w:hAnsi="Calibri" w:eastAsia="微软雅黑"/>
                <w:b w:val="0"/>
                <w:i w:val="0"/>
                <w:sz w:val="18"/>
              </w:rPr>
              <w:t>2022年8月</w:t>
            </w:r>
          </w:p>
        </w:tc>
        <w:tc>
          <w:tcPr>
            <w:tcW w:type="dxa" w:w="1383"/>
          </w:tcPr>
          <w:p>
            <w:r/>
            <w:r>
              <w:rPr>
                <w:rFonts w:ascii="Calibri" w:hAnsi="Calibri" w:eastAsia="微软雅黑"/>
                <w:b w:val="0"/>
                <w:i w:val="0"/>
                <w:sz w:val="18"/>
              </w:rPr>
              <w:t>巴基斯坦卡拉奇</w:t>
            </w:r>
          </w:p>
        </w:tc>
        <w:tc>
          <w:tcPr>
            <w:tcW w:type="dxa" w:w="1383"/>
          </w:tcPr>
          <w:p>
            <w:r/>
            <w:r>
              <w:rPr>
                <w:rFonts w:ascii="Calibri" w:hAnsi="Calibri" w:eastAsia="微软雅黑"/>
                <w:b w:val="0"/>
                <w:i w:val="0"/>
                <w:sz w:val="18"/>
              </w:rPr>
              <w:t>在建</w:t>
            </w:r>
          </w:p>
        </w:tc>
      </w:tr>
      <w:tr>
        <w:tc>
          <w:tcPr>
            <w:tcW w:type="dxa" w:w="1383"/>
          </w:tcPr>
          <w:p>
            <w:r/>
            <w:r>
              <w:rPr>
                <w:rFonts w:ascii="Calibri" w:hAnsi="Calibri" w:eastAsia="微软雅黑"/>
                <w:b w:val="0"/>
                <w:i w:val="0"/>
                <w:sz w:val="18"/>
              </w:rPr>
              <w:t>湖北宜昌三峡坝区智慧能源示范区EPC</w:t>
            </w:r>
          </w:p>
        </w:tc>
        <w:tc>
          <w:tcPr>
            <w:tcW w:type="dxa" w:w="1383"/>
          </w:tcPr>
          <w:p>
            <w:r/>
            <w:r>
              <w:rPr>
                <w:rFonts w:ascii="Calibri" w:hAnsi="Calibri" w:eastAsia="微软雅黑"/>
                <w:b w:val="0"/>
                <w:i w:val="0"/>
                <w:sz w:val="18"/>
              </w:rPr>
              <w:t>智慧能源</w:t>
            </w:r>
          </w:p>
        </w:tc>
        <w:tc>
          <w:tcPr>
            <w:tcW w:type="dxa" w:w="1383"/>
          </w:tcPr>
          <w:p>
            <w:r/>
            <w:r>
              <w:rPr>
                <w:rFonts w:ascii="Calibri" w:hAnsi="Calibri" w:eastAsia="微软雅黑"/>
                <w:b w:val="0"/>
                <w:i w:val="0"/>
                <w:sz w:val="18"/>
              </w:rPr>
              <w:t>约72,000万元</w:t>
            </w:r>
          </w:p>
        </w:tc>
        <w:tc>
          <w:tcPr>
            <w:tcW w:type="dxa" w:w="1383"/>
          </w:tcPr>
          <w:p>
            <w:r/>
            <w:r>
              <w:rPr>
                <w:rFonts w:ascii="Calibri" w:hAnsi="Calibri" w:eastAsia="微软雅黑"/>
                <w:b w:val="0"/>
                <w:i w:val="0"/>
                <w:sz w:val="18"/>
              </w:rPr>
              <w:t>2023年1月</w:t>
            </w:r>
          </w:p>
        </w:tc>
        <w:tc>
          <w:tcPr>
            <w:tcW w:type="dxa" w:w="1383"/>
          </w:tcPr>
          <w:p>
            <w:r/>
            <w:r>
              <w:rPr>
                <w:rFonts w:ascii="Calibri" w:hAnsi="Calibri" w:eastAsia="微软雅黑"/>
                <w:b w:val="0"/>
                <w:i w:val="0"/>
                <w:sz w:val="18"/>
              </w:rPr>
              <w:t>湖北宜昌</w:t>
            </w:r>
          </w:p>
        </w:tc>
        <w:tc>
          <w:tcPr>
            <w:tcW w:type="dxa" w:w="1383"/>
          </w:tcPr>
          <w:p>
            <w:r/>
            <w:r>
              <w:rPr>
                <w:rFonts w:ascii="Calibri" w:hAnsi="Calibri" w:eastAsia="微软雅黑"/>
                <w:b w:val="0"/>
                <w:i w:val="0"/>
                <w:sz w:val="18"/>
              </w:rPr>
              <w:t>在建</w:t>
            </w:r>
          </w:p>
        </w:tc>
      </w:tr>
      <w:tr>
        <w:tc>
          <w:tcPr>
            <w:tcW w:type="dxa" w:w="1383"/>
          </w:tcPr>
          <w:p>
            <w:r/>
            <w:r>
              <w:rPr>
                <w:rFonts w:ascii="Calibri" w:hAnsi="Calibri" w:eastAsia="微软雅黑"/>
                <w:b w:val="0"/>
                <w:i w:val="0"/>
                <w:sz w:val="18"/>
              </w:rPr>
              <w:t>广西北海350MW海上风电场EPC</w:t>
            </w:r>
          </w:p>
        </w:tc>
        <w:tc>
          <w:tcPr>
            <w:tcW w:type="dxa" w:w="1383"/>
          </w:tcPr>
          <w:p>
            <w:r/>
            <w:r>
              <w:rPr>
                <w:rFonts w:ascii="Calibri" w:hAnsi="Calibri" w:eastAsia="微软雅黑"/>
                <w:b w:val="0"/>
                <w:i w:val="0"/>
                <w:sz w:val="18"/>
              </w:rPr>
              <w:t>海上风电</w:t>
            </w:r>
          </w:p>
        </w:tc>
        <w:tc>
          <w:tcPr>
            <w:tcW w:type="dxa" w:w="1383"/>
          </w:tcPr>
          <w:p>
            <w:r/>
            <w:r>
              <w:rPr>
                <w:rFonts w:ascii="Calibri" w:hAnsi="Calibri" w:eastAsia="微软雅黑"/>
                <w:b w:val="0"/>
                <w:i w:val="0"/>
                <w:sz w:val="18"/>
              </w:rPr>
              <w:t>约280,000万元</w:t>
            </w:r>
          </w:p>
        </w:tc>
        <w:tc>
          <w:tcPr>
            <w:tcW w:type="dxa" w:w="1383"/>
          </w:tcPr>
          <w:p>
            <w:r/>
            <w:r>
              <w:rPr>
                <w:rFonts w:ascii="Calibri" w:hAnsi="Calibri" w:eastAsia="微软雅黑"/>
                <w:b w:val="0"/>
                <w:i w:val="0"/>
                <w:sz w:val="18"/>
              </w:rPr>
              <w:t>2023年5月</w:t>
            </w:r>
          </w:p>
        </w:tc>
        <w:tc>
          <w:tcPr>
            <w:tcW w:type="dxa" w:w="1383"/>
          </w:tcPr>
          <w:p>
            <w:r/>
            <w:r>
              <w:rPr>
                <w:rFonts w:ascii="Calibri" w:hAnsi="Calibri" w:eastAsia="微软雅黑"/>
                <w:b w:val="0"/>
                <w:i w:val="0"/>
                <w:sz w:val="18"/>
              </w:rPr>
              <w:t>广西北海</w:t>
            </w:r>
          </w:p>
        </w:tc>
        <w:tc>
          <w:tcPr>
            <w:tcW w:type="dxa" w:w="1383"/>
          </w:tcPr>
          <w:p>
            <w:r/>
            <w:r>
              <w:rPr>
                <w:rFonts w:ascii="Calibri" w:hAnsi="Calibri" w:eastAsia="微软雅黑"/>
                <w:b w:val="0"/>
                <w:i w:val="0"/>
                <w:sz w:val="18"/>
              </w:rPr>
              <w:t>在建</w:t>
            </w:r>
          </w:p>
        </w:tc>
      </w:tr>
      <w:tr>
        <w:tc>
          <w:tcPr>
            <w:tcW w:type="dxa" w:w="1383"/>
          </w:tcPr>
          <w:p>
            <w:r/>
            <w:r>
              <w:rPr>
                <w:rFonts w:ascii="Calibri" w:hAnsi="Calibri" w:eastAsia="微软雅黑"/>
                <w:b w:val="0"/>
                <w:i w:val="0"/>
                <w:sz w:val="18"/>
              </w:rPr>
              <w:t>柬埔寨金边-西哈努克港±500kV特高压直流输电工程EPC</w:t>
            </w:r>
          </w:p>
        </w:tc>
        <w:tc>
          <w:tcPr>
            <w:tcW w:type="dxa" w:w="1383"/>
          </w:tcPr>
          <w:p>
            <w:r/>
            <w:r>
              <w:rPr>
                <w:rFonts w:ascii="Calibri" w:hAnsi="Calibri" w:eastAsia="微软雅黑"/>
                <w:b w:val="0"/>
                <w:i w:val="0"/>
                <w:sz w:val="18"/>
              </w:rPr>
              <w:t>特高压</w:t>
            </w:r>
          </w:p>
        </w:tc>
        <w:tc>
          <w:tcPr>
            <w:tcW w:type="dxa" w:w="1383"/>
          </w:tcPr>
          <w:p>
            <w:r/>
            <w:r>
              <w:rPr>
                <w:rFonts w:ascii="Calibri" w:hAnsi="Calibri" w:eastAsia="微软雅黑"/>
                <w:b w:val="0"/>
                <w:i w:val="0"/>
                <w:sz w:val="18"/>
              </w:rPr>
              <w:t>约450,000万元</w:t>
            </w:r>
          </w:p>
        </w:tc>
        <w:tc>
          <w:tcPr>
            <w:tcW w:type="dxa" w:w="1383"/>
          </w:tcPr>
          <w:p>
            <w:r/>
            <w:r>
              <w:rPr>
                <w:rFonts w:ascii="Calibri" w:hAnsi="Calibri" w:eastAsia="微软雅黑"/>
                <w:b w:val="0"/>
                <w:i w:val="0"/>
                <w:sz w:val="18"/>
              </w:rPr>
              <w:t>2024年2月</w:t>
            </w:r>
          </w:p>
        </w:tc>
        <w:tc>
          <w:tcPr>
            <w:tcW w:type="dxa" w:w="1383"/>
          </w:tcPr>
          <w:p>
            <w:r/>
            <w:r>
              <w:rPr>
                <w:rFonts w:ascii="Calibri" w:hAnsi="Calibri" w:eastAsia="微软雅黑"/>
                <w:b w:val="0"/>
                <w:i w:val="0"/>
                <w:sz w:val="18"/>
              </w:rPr>
              <w:t>柬埔寨</w:t>
            </w:r>
          </w:p>
        </w:tc>
        <w:tc>
          <w:tcPr>
            <w:tcW w:type="dxa" w:w="1383"/>
          </w:tcPr>
          <w:p>
            <w:r/>
            <w:r>
              <w:rPr>
                <w:rFonts w:ascii="Calibri" w:hAnsi="Calibri" w:eastAsia="微软雅黑"/>
                <w:b w:val="0"/>
                <w:i w:val="0"/>
                <w:sz w:val="18"/>
              </w:rPr>
              <w:t>在建</w:t>
            </w:r>
          </w:p>
        </w:tc>
      </w:tr>
      <w:tr>
        <w:tc>
          <w:tcPr>
            <w:tcW w:type="dxa" w:w="1383"/>
          </w:tcPr>
          <w:p>
            <w:r/>
            <w:r>
              <w:rPr>
                <w:rFonts w:ascii="Calibri" w:hAnsi="Calibri" w:eastAsia="微软雅黑"/>
                <w:b w:val="0"/>
                <w:i w:val="0"/>
                <w:sz w:val="18"/>
              </w:rPr>
              <w:t>湖南郴州东江湖抽水蓄能电站EPC</w:t>
            </w:r>
          </w:p>
        </w:tc>
        <w:tc>
          <w:tcPr>
            <w:tcW w:type="dxa" w:w="1383"/>
          </w:tcPr>
          <w:p>
            <w:r/>
            <w:r>
              <w:rPr>
                <w:rFonts w:ascii="Calibri" w:hAnsi="Calibri" w:eastAsia="微软雅黑"/>
                <w:b w:val="0"/>
                <w:i w:val="0"/>
                <w:sz w:val="18"/>
              </w:rPr>
              <w:t>抽水蓄能</w:t>
            </w:r>
          </w:p>
        </w:tc>
        <w:tc>
          <w:tcPr>
            <w:tcW w:type="dxa" w:w="1383"/>
          </w:tcPr>
          <w:p>
            <w:r/>
            <w:r>
              <w:rPr>
                <w:rFonts w:ascii="Calibri" w:hAnsi="Calibri" w:eastAsia="微软雅黑"/>
                <w:b w:val="0"/>
                <w:i w:val="0"/>
                <w:sz w:val="18"/>
              </w:rPr>
              <w:t>约320,000万元</w:t>
            </w:r>
          </w:p>
        </w:tc>
        <w:tc>
          <w:tcPr>
            <w:tcW w:type="dxa" w:w="1383"/>
          </w:tcPr>
          <w:p>
            <w:r/>
            <w:r>
              <w:rPr>
                <w:rFonts w:ascii="Calibri" w:hAnsi="Calibri" w:eastAsia="微软雅黑"/>
                <w:b w:val="0"/>
                <w:i w:val="0"/>
                <w:sz w:val="18"/>
              </w:rPr>
              <w:t>2024年6月</w:t>
            </w:r>
          </w:p>
        </w:tc>
        <w:tc>
          <w:tcPr>
            <w:tcW w:type="dxa" w:w="1383"/>
          </w:tcPr>
          <w:p>
            <w:r/>
            <w:r>
              <w:rPr>
                <w:rFonts w:ascii="Calibri" w:hAnsi="Calibri" w:eastAsia="微软雅黑"/>
                <w:b w:val="0"/>
                <w:i w:val="0"/>
                <w:sz w:val="18"/>
              </w:rPr>
              <w:t>湖南郴州</w:t>
            </w:r>
          </w:p>
        </w:tc>
        <w:tc>
          <w:tcPr>
            <w:tcW w:type="dxa" w:w="1383"/>
          </w:tcPr>
          <w:p>
            <w:r/>
            <w:r>
              <w:rPr>
                <w:rFonts w:ascii="Calibri" w:hAnsi="Calibri" w:eastAsia="微软雅黑"/>
                <w:b w:val="0"/>
                <w:i w:val="0"/>
                <w:sz w:val="18"/>
              </w:rPr>
              <w:t>在建</w:t>
            </w:r>
          </w:p>
        </w:tc>
      </w:tr>
      <w:tr>
        <w:tc>
          <w:tcPr>
            <w:tcW w:type="dxa" w:w="1383"/>
          </w:tcPr>
          <w:p>
            <w:r/>
            <w:r>
              <w:rPr>
                <w:rFonts w:ascii="Calibri" w:hAnsi="Calibri" w:eastAsia="微软雅黑"/>
                <w:b w:val="0"/>
                <w:i w:val="0"/>
                <w:sz w:val="18"/>
              </w:rPr>
              <w:t>海南昌江核电厂小型模块化反应堆配套工程EPC</w:t>
            </w:r>
          </w:p>
        </w:tc>
        <w:tc>
          <w:tcPr>
            <w:tcW w:type="dxa" w:w="1383"/>
          </w:tcPr>
          <w:p>
            <w:r/>
            <w:r>
              <w:rPr>
                <w:rFonts w:ascii="Calibri" w:hAnsi="Calibri" w:eastAsia="微软雅黑"/>
                <w:b w:val="0"/>
                <w:i w:val="0"/>
                <w:sz w:val="18"/>
              </w:rPr>
              <w:t>核电配套</w:t>
            </w:r>
          </w:p>
        </w:tc>
        <w:tc>
          <w:tcPr>
            <w:tcW w:type="dxa" w:w="1383"/>
          </w:tcPr>
          <w:p>
            <w:r/>
            <w:r>
              <w:rPr>
                <w:rFonts w:ascii="Calibri" w:hAnsi="Calibri" w:eastAsia="微软雅黑"/>
                <w:b w:val="0"/>
                <w:i w:val="0"/>
                <w:sz w:val="18"/>
              </w:rPr>
              <w:t>约85,000万元</w:t>
            </w:r>
          </w:p>
        </w:tc>
        <w:tc>
          <w:tcPr>
            <w:tcW w:type="dxa" w:w="1383"/>
          </w:tcPr>
          <w:p>
            <w:r/>
            <w:r>
              <w:rPr>
                <w:rFonts w:ascii="Calibri" w:hAnsi="Calibri" w:eastAsia="微软雅黑"/>
                <w:b w:val="0"/>
                <w:i w:val="0"/>
                <w:sz w:val="18"/>
              </w:rPr>
              <w:t>2024年10月</w:t>
            </w:r>
          </w:p>
        </w:tc>
        <w:tc>
          <w:tcPr>
            <w:tcW w:type="dxa" w:w="1383"/>
          </w:tcPr>
          <w:p>
            <w:r/>
            <w:r>
              <w:rPr>
                <w:rFonts w:ascii="Calibri" w:hAnsi="Calibri" w:eastAsia="微软雅黑"/>
                <w:b w:val="0"/>
                <w:i w:val="0"/>
                <w:sz w:val="18"/>
              </w:rPr>
              <w:t>海南昌江</w:t>
            </w:r>
          </w:p>
        </w:tc>
        <w:tc>
          <w:tcPr>
            <w:tcW w:type="dxa" w:w="1383"/>
          </w:tcPr>
          <w:p>
            <w:r/>
            <w:r>
              <w:rPr>
                <w:rFonts w:ascii="Calibri" w:hAnsi="Calibri" w:eastAsia="微软雅黑"/>
                <w:b w:val="0"/>
                <w:i w:val="0"/>
                <w:sz w:val="18"/>
              </w:rPr>
              <w:t>在建</w:t>
            </w:r>
          </w:p>
        </w:tc>
      </w:tr>
    </w:tbl>
    <w:p>
      <w:r>
        <w:rPr>
          <w:rFonts w:ascii="Calibri" w:hAnsi="Calibri" w:eastAsia="微软雅黑"/>
          <w:b w:val="0"/>
          <w:i w:val="0"/>
          <w:sz w:val="22"/>
        </w:rPr>
        <w:t>从这张序列表可以读出中南院梯队地位的三个支点（本研究归纳）：其一，</w:t>
      </w:r>
      <w:r>
        <w:rPr>
          <w:rFonts w:ascii="Calibri" w:hAnsi="Calibri" w:eastAsia="微软雅黑"/>
          <w:b/>
          <w:i w:val="0"/>
          <w:sz w:val="22"/>
        </w:rPr>
        <w:t>国际大单能力</w:t>
      </w:r>
      <w:r>
        <w:rPr>
          <w:rFonts w:ascii="Calibri" w:hAnsi="Calibri" w:eastAsia="微软雅黑"/>
          <w:b w:val="0"/>
          <w:i w:val="0"/>
          <w:sz w:val="22"/>
        </w:rPr>
        <w:t>——孟加拉帕亚拉、巴基斯坦卡西姆港、柬埔寨特高压三个超30亿元级海外项目并行，验证其"一带一路"深耕能力；其二，</w:t>
      </w:r>
      <w:r>
        <w:rPr>
          <w:rFonts w:ascii="Calibri" w:hAnsi="Calibri" w:eastAsia="微软雅黑"/>
          <w:b/>
          <w:i w:val="0"/>
          <w:sz w:val="22"/>
        </w:rPr>
        <w:t>技术代际覆盖</w:t>
      </w:r>
      <w:r>
        <w:rPr>
          <w:rFonts w:ascii="Calibri" w:hAnsi="Calibri" w:eastAsia="微软雅黑"/>
          <w:b w:val="0"/>
          <w:i w:val="0"/>
          <w:sz w:val="22"/>
        </w:rPr>
        <w:t>——从火电、水电到储能、海上风电、抽水蓄能、小型模块化反应堆配套、智慧能源，新型电力系统的几乎所有业态均有落子；其三，</w:t>
      </w:r>
      <w:r>
        <w:rPr>
          <w:rFonts w:ascii="Calibri" w:hAnsi="Calibri" w:eastAsia="微软雅黑"/>
          <w:b/>
          <w:i w:val="0"/>
          <w:sz w:val="22"/>
        </w:rPr>
        <w:t>压舱技术</w:t>
      </w:r>
      <w:r>
        <w:rPr>
          <w:rFonts w:ascii="Calibri" w:hAnsi="Calibri" w:eastAsia="微软雅黑"/>
          <w:b w:val="0"/>
          <w:i w:val="0"/>
          <w:sz w:val="22"/>
        </w:rPr>
        <w:t>——在压缩空气储能领域提出的"180℃高压热水储热中温绝热压缩系统"技术方案代表行业先进水平，并在乌兹别克斯坦电化学储能EPC总承包项目中展现出较强的国际项目管理能力 [来源: P000401]。</w:t>
      </w:r>
    </w:p>
    <w:p>
      <w:pPr>
        <w:pStyle w:val="Heading3"/>
      </w:pPr>
      <w:r>
        <w:t>5.1.4 T2梯队实证：广西院与山东院的市场坐标</w:t>
      </w:r>
    </w:p>
    <w:p>
      <w:r>
        <w:rPr>
          <w:rFonts w:ascii="Calibri" w:hAnsi="Calibri" w:eastAsia="微软雅黑"/>
          <w:b w:val="0"/>
          <w:i w:val="0"/>
          <w:sz w:val="22"/>
        </w:rPr>
        <w:t>中国能源建设集团广西电力设计研究院有限公司（以下简称"广西院"）1958年前身成立，最初主要承担广西及周边地区的电力工程勘察设计任务；21世纪初响应国家"走出去"战略，在东南亚、非洲等地区承建了一批具有影响力的电力工程；2011年中国能源建设集团有限公司成立后作为核心成员单位进入集团化发展阶段 [来源: P000411]。其EPC业务已辐射至全国多个省份，在华南、西南、华中等地区承建广东、云南、贵州、湖南等省份的风电、光伏项目及部分跨区域输变电工程，并在内蒙古、新疆、甘肃等资源丰富省份实施重点区域深耕；业务也从传统电力拓展至新能源、市政、环保等多元化市场 [来源: P000411]。广西院的区位禀赋是"注册地南宁、地处中国-东盟自由贸易区前沿"，这使其在东盟市场天然具备地缘与人文优势（区位优势表述引自其研究报告）[来源: P000411]。</w:t>
      </w:r>
    </w:p>
    <w:p>
      <w:r>
        <w:rPr>
          <w:rFonts w:ascii="Calibri" w:hAnsi="Calibri" w:eastAsia="微软雅黑"/>
          <w:b w:val="0"/>
          <w:i w:val="0"/>
          <w:sz w:val="22"/>
        </w:rPr>
        <w:t>在国际市场布局上，广西院将东南亚、南亚、非洲等"一带一路"沿线国家作为国际EPC业务的重点市场：东南亚的越南、老挝、柬埔寨、缅甸、印度尼西亚等国家是其传统优势市场，承建了多个水电、火电、输变电项目（如越南永河水电站项目）；南亚的孟加拉国、巴基斯坦等国亦有业务布局；在部分非洲国家开展了电力EPC业务；并积极探索中东、拉美等新兴市场寻求新的业务增长点 [来源: P000411]。在水电领域，广西院在国内外承建多座大中型水电站EPC项目，积累了高山峡谷、复杂地质条件下的水电工程经验 [来源: P000411]。对比山东院"东南亚-南亚-中东非"三梯队梯次推进的海外打法，广西院的国际布局更强调以东盟传统优势市场为圆心的近距离辐射——两种路径的共同点在于都不追求全球均匀布点，而是以自身地缘与经验禀赋为圆心分层展开（此对比为本研究归纳）[来源: P000411, P000416]。</w:t>
      </w:r>
    </w:p>
    <w:p>
      <w:r>
        <w:rPr>
          <w:rFonts w:ascii="Calibri" w:hAnsi="Calibri" w:eastAsia="微软雅黑"/>
          <w:b w:val="0"/>
          <w:i w:val="0"/>
          <w:sz w:val="22"/>
        </w:rPr>
        <w:t>山东电力工程咨询院有限公司（以下简称"山东院"）的市场坐标则展示了另一种梯队形态。据其专项研究分析，山东院在中国电力工程EPC市场的份额大致为：全国电力工程EPC市场估计占有3%-5%，位居第二梯队前列；火电EPC市场估计占有5%-8%，位居行业前十 [来源: P000416]。在海外市场，山东院采取了明确的梯次推进策略：第一梯队市场为东南亚（菲律宾、越南、印度尼西亚等），第二梯队为南亚（巴基斯坦、孟加拉国等），第三梯队为中东和非洲（埃及、阿联酋、肯尼亚等），总体特点是"选择性进入，重点突破，梯次推进" [来源: P000416]。这一策略与其印尼爪哇7号2×1050MW（中国企业在海外建设的单机容量最大火电机组）、巴基斯坦萨希瓦尔（中巴经济走廊优先项目）、巴西潘帕1×345MW（南美重要突破）的标杆序列相互印证 [来源: P000416]。</w:t>
      </w:r>
    </w:p>
    <w:p>
      <w:pPr>
        <w:pStyle w:val="Heading3"/>
      </w:pPr>
      <w:r>
        <w:t>5.1.5 梯队升维的三个关键杠杆</w:t>
      </w:r>
    </w:p>
    <w:p>
      <w:r>
        <w:rPr>
          <w:rFonts w:ascii="Calibri" w:hAnsi="Calibri" w:eastAsia="微软雅黑"/>
          <w:b w:val="0"/>
          <w:i w:val="0"/>
          <w:sz w:val="22"/>
        </w:rPr>
        <w:t>对比表5-1的量化差异与上述实证，梯队跃迁的关键杠杆有三（杠杆归纳为本研究观点）：</w:t>
      </w:r>
    </w:p>
    <w:p>
      <w:pPr>
        <w:pStyle w:val="ListNumber"/>
      </w:pPr>
      <w:r>
        <w:rPr>
          <w:rFonts w:ascii="Calibri" w:hAnsi="Calibri" w:eastAsia="微软雅黑"/>
          <w:b/>
          <w:i w:val="0"/>
          <w:sz w:val="22"/>
        </w:rPr>
        <w:t>融资能力是T1与T2的分水岭</w:t>
      </w:r>
      <w:r>
        <w:rPr>
          <w:rFonts w:ascii="Calibri" w:hAnsi="Calibri" w:eastAsia="微软雅黑"/>
          <w:b w:val="0"/>
          <w:i w:val="0"/>
          <w:sz w:val="22"/>
        </w:rPr>
        <w:t>。表中融资能力获五星评价的两家，恰恰是海外业务占比分别约45%与约50%的两家——大型跨区项目普遍要求总承包商具备融资牵引能力，缺乏融资方案能力的院只能停留在设计施工的浅水区 [来源: P000401]。</w:t>
      </w:r>
    </w:p>
    <w:p>
      <w:pPr>
        <w:pStyle w:val="ListNumber"/>
      </w:pPr>
      <w:r>
        <w:rPr>
          <w:rFonts w:ascii="Calibri" w:hAnsi="Calibri" w:eastAsia="微软雅黑"/>
          <w:b/>
          <w:i w:val="0"/>
          <w:sz w:val="22"/>
        </w:rPr>
        <w:t>本地化经营决定跨区项目的履约成本</w:t>
      </w:r>
      <w:r>
        <w:rPr>
          <w:rFonts w:ascii="Calibri" w:hAnsi="Calibri" w:eastAsia="微软雅黑"/>
          <w:b w:val="0"/>
          <w:i w:val="0"/>
          <w:sz w:val="22"/>
        </w:rPr>
        <w:t>。本地化经营评价五星的企业，其跨区项目可以就地组织资源、属地纳税雇佣；而依赖总部飞地式支援的企业，每个项目都要重复支付动员与协调成本（此机制归纳为本研究观点）[来源: P000401]。</w:t>
      </w:r>
    </w:p>
    <w:p>
      <w:pPr>
        <w:pStyle w:val="ListNumber"/>
      </w:pPr>
      <w:r>
        <w:rPr>
          <w:rFonts w:ascii="Calibri" w:hAnsi="Calibri" w:eastAsia="微软雅黑"/>
          <w:b/>
          <w:i w:val="0"/>
          <w:sz w:val="22"/>
        </w:rPr>
        <w:t>数字化水平是规模扩张的管理前提</w:t>
      </w:r>
      <w:r>
        <w:rPr>
          <w:rFonts w:ascii="Calibri" w:hAnsi="Calibri" w:eastAsia="微软雅黑"/>
          <w:b w:val="0"/>
          <w:i w:val="0"/>
          <w:sz w:val="22"/>
        </w:rPr>
        <w:t>。年合同额越过百亿元后，多区域、多项目并行的复杂度只有依靠数字化项目管控平台才能承载——山东院上线建文国家电力工程建设EPC平台贯通设计、采购、施工、财务、法务流程，即为实例 [来源: P000416]。</w:t>
      </w:r>
    </w:p>
    <w:p>
      <w:r>
        <w:rPr>
          <w:rFonts w:ascii="Calibri" w:hAnsi="Calibri" w:eastAsia="微软雅黑"/>
          <w:b w:val="0"/>
          <w:i w:val="0"/>
          <w:sz w:val="22"/>
        </w:rPr>
        <w:t>三个杠杆的时间维度同样重要（本研究归纳）：融资能力靠积累——华东院、山东院在国际市场数十年的项目融资实践不可能速成，但可通过与政策性金融机构的合作起步；本地化经营靠沉淀——区域公司从注册到形成属地利润中心通常需要多个项目周期的培育；数字化水平靠迭代——平台建设一年可见效，但数据资产与流程再造需要持续投入。据此，T3企业升维的现实节奏通常是"数字化先行补管理短板、本地化跟进建根据地、融资能力最后水到渠成"——次序颠倒的常见后果，是在管理能力未就绪时过度扩张，导致多区域项目同时失控。</w:t>
      </w:r>
    </w:p>
    <w:p>
      <w:r>
        <w:rPr>
          <w:rFonts w:ascii="Calibri" w:hAnsi="Calibri" w:eastAsia="微软雅黑"/>
          <w:b w:val="0"/>
          <w:i w:val="0"/>
          <w:sz w:val="22"/>
        </w:rPr>
        <w:t>还应注意梯队内部的进一步分化（本研究据表5-1解读）：同为T1梯队，中南院与华东院系的结构差异揭示了两条不同的强项路径——中南院以设计能力五星立身、海外业务占比约35%，华东院系（中国电建华东院）以采购与施工管理五星见长、海外业务占比约50%；设计强院倾向以技术方案带项目，施工管理强院倾向以交付能力带规模。企业选择对标对象时，应优先选择与自身强项同构的标杆，而非简单对标排名 [来源: P000401]。</w:t>
      </w:r>
    </w:p>
    <w:p>
      <w:r>
        <w:rPr>
          <w:rFonts w:ascii="Calibri" w:hAnsi="Calibri" w:eastAsia="微软雅黑"/>
          <w:b w:val="0"/>
          <w:i w:val="0"/>
          <w:sz w:val="22"/>
        </w:rPr>
        <w:t>---</w:t>
      </w:r>
    </w:p>
    <w:p>
      <w:pPr>
        <w:pStyle w:val="Heading2"/>
      </w:pPr>
      <w:r>
        <w:t>5.2 属地与破局：外省企业站稳脚跟的四种战术</w:t>
      </w:r>
    </w:p>
    <w:p>
      <w:pPr>
        <w:pStyle w:val="Heading3"/>
      </w:pPr>
      <w:r>
        <w:t>5.2.1 属地壁垒的构成</w:t>
      </w:r>
    </w:p>
    <w:p>
      <w:r>
        <w:rPr>
          <w:rFonts w:ascii="Calibri" w:hAnsi="Calibri" w:eastAsia="微软雅黑"/>
          <w:b w:val="0"/>
          <w:i w:val="0"/>
          <w:sz w:val="22"/>
        </w:rPr>
        <w:t>地方市场的进入壁垒是真实存在的（壁垒构成为本研究据源文归纳）：一是</w:t>
      </w:r>
      <w:r>
        <w:rPr>
          <w:rFonts w:ascii="Calibri" w:hAnsi="Calibri" w:eastAsia="微软雅黑"/>
          <w:b/>
          <w:i w:val="0"/>
          <w:sz w:val="22"/>
        </w:rPr>
        <w:t>业绩与资质门槛</w:t>
      </w:r>
      <w:r>
        <w:rPr>
          <w:rFonts w:ascii="Calibri" w:hAnsi="Calibri" w:eastAsia="微软雅黑"/>
          <w:b w:val="0"/>
          <w:i w:val="0"/>
          <w:sz w:val="22"/>
        </w:rPr>
        <w:t>——业主招标常要求本地类似业绩，外来企业先天失分；二是</w:t>
      </w:r>
      <w:r>
        <w:rPr>
          <w:rFonts w:ascii="Calibri" w:hAnsi="Calibri" w:eastAsia="微软雅黑"/>
          <w:b/>
          <w:i w:val="0"/>
          <w:sz w:val="22"/>
        </w:rPr>
        <w:t>关系与信息壁垒</w:t>
      </w:r>
      <w:r>
        <w:rPr>
          <w:rFonts w:ascii="Calibri" w:hAnsi="Calibri" w:eastAsia="微软雅黑"/>
          <w:b w:val="0"/>
          <w:i w:val="0"/>
          <w:sz w:val="22"/>
        </w:rPr>
        <w:t>——本地企业对业主投资计划、地方审批节奏的掌握远早于外来者；三是</w:t>
      </w:r>
      <w:r>
        <w:rPr>
          <w:rFonts w:ascii="Calibri" w:hAnsi="Calibri" w:eastAsia="微软雅黑"/>
          <w:b/>
          <w:i w:val="0"/>
          <w:sz w:val="22"/>
        </w:rPr>
        <w:t>履约便利壁垒</w:t>
      </w:r>
      <w:r>
        <w:rPr>
          <w:rFonts w:ascii="Calibri" w:hAnsi="Calibri" w:eastAsia="微软雅黑"/>
          <w:b w:val="0"/>
          <w:i w:val="0"/>
          <w:sz w:val="22"/>
        </w:rPr>
        <w:t>——业主倾向选择能就近调集资源、快速响应的主体；四是</w:t>
      </w:r>
      <w:r>
        <w:rPr>
          <w:rFonts w:ascii="Calibri" w:hAnsi="Calibri" w:eastAsia="微软雅黑"/>
          <w:b/>
          <w:i w:val="0"/>
          <w:sz w:val="22"/>
        </w:rPr>
        <w:t>税源与就业考量</w:t>
      </w:r>
      <w:r>
        <w:rPr>
          <w:rFonts w:ascii="Calibri" w:hAnsi="Calibri" w:eastAsia="微软雅黑"/>
          <w:b w:val="0"/>
          <w:i w:val="0"/>
          <w:sz w:val="22"/>
        </w:rPr>
        <w:t>——地方政府希望项目贡献留在本地 [来源: P000421, P000411]。破解这些壁垒，标杆企业形成了四种可复制的战术。</w:t>
      </w:r>
    </w:p>
    <w:p>
      <w:pPr>
        <w:pStyle w:val="Heading3"/>
      </w:pPr>
      <w:r>
        <w:t>5.2.2 战术一：以技术绝对优势正面破门</w:t>
      </w:r>
    </w:p>
    <w:p>
      <w:r>
        <w:rPr>
          <w:rFonts w:ascii="Calibri" w:hAnsi="Calibri" w:eastAsia="微软雅黑"/>
          <w:b w:val="0"/>
          <w:i w:val="0"/>
          <w:sz w:val="22"/>
        </w:rPr>
        <w:t>当外来企业掌握本地企业不具备的技术能力时，一切壁垒瞬间失效。华东院的跨区项目序列证明了这一点：察北管理区300MW/1.2GWh电网侧独立储能电站（华北）、大唐中卫云基地数据中心绿电供应500MW源网荷储光伏项目（西北）、深圳茅洲河综合治理项目（华南）——业主选择华东院，选的是其在水电、新能源、水环境领域的全国顶尖设计能力，而非本地关系 [来源: P000406]。中南院的湖北应城300MW级压缩空气储能示范项目与其"180℃高压热水储热中温绝热压缩系统"技术方案，以及乌兹别克斯坦电化学储能EPC项目，同样是以技术方案独占性撬动市场的范例 [来源: P000401]。这一战术的适用前提（本研究提示）：本企业确有对标全国第一梯队的专项技术；否则正面强攻只会沦为陪标。技术破门的深层逻辑在于改变评标规则的权重结构——当技术标权重因业主对关键性能的追求而上升时，价格与关系的权重自然下降，外来者的劣势被中和（此逻辑为本研究解读）。</w:t>
      </w:r>
    </w:p>
    <w:p>
      <w:pPr>
        <w:pStyle w:val="Heading3"/>
      </w:pPr>
      <w:r>
        <w:t>5.2.3 战术二：以属地实体注册换取"本地身份"</w:t>
      </w:r>
    </w:p>
    <w:p>
      <w:r>
        <w:rPr>
          <w:rFonts w:ascii="Calibri" w:hAnsi="Calibri" w:eastAsia="微软雅黑"/>
          <w:b w:val="0"/>
          <w:i w:val="0"/>
          <w:sz w:val="22"/>
        </w:rPr>
        <w:t>将分公司升级为属地实体法人或区域公司，是化解税源与就业考量的直接方法。上海市政工程设计研究总院（集团）有限公司（以下简称"上海市政总院"）实施"全国化"战略，构建"2+2+10"重点市场布局："2"代表长三角一体化发展区域和粤港澳大湾区两大核心市场，另一个"2"代表雄安新区和海南自贸港两大国家战略重点区域，"10"则代表其他具有重要战略意义的重点城市和区域市场——通过设立分支机构实现对全国市场的广泛覆盖 [来源: P000421]。截至2024年，市政总院已形成以集团总部为核心，各专业设计院、研究所和区域公司协同发展的组织架构体系，持续推进集团化管理改革、做大属地公司 [来源: P000421]。山东院同样在国内外设立分支机构和区域公司，以更好地服务当地市场和项目 [来源: P000416]。属地实体的价值不仅是纳税与雇佣的本地化，更在于以属地主体身份参与本地招投标，将"外来户"标签转化为"本地企业"身份（此机制说明为本研究观点）。市政总院的客户结构——主要服务政府部门和国有企业——也决定了其必须以属地化组织贴近各地政府的决策与审批链条 [来源: P000421]。</w:t>
      </w:r>
    </w:p>
    <w:p>
      <w:r>
        <w:rPr>
          <w:rFonts w:ascii="Calibri" w:hAnsi="Calibri" w:eastAsia="微软雅黑"/>
          <w:b w:val="0"/>
          <w:i w:val="0"/>
          <w:sz w:val="22"/>
        </w:rPr>
        <w:t>市政总院的业务定位完整呈现了"属地实体+技术纵深"的组合逻辑：在业务层面，其将EPC总承包确立为核心业务，与"以设计为龙头"的定位一脉相承，提供从设计到交付的一体化解决方案；同时将全过程工程咨询作为特色服务，利用其在规划、设计、监理、造价等方面的综合优势，为客户提供覆盖项目全生命周期的增值服务；面向未来将数字化、智能化作为重要发展方向，推动BIM、大数据等新技术在工程领域的应用；始终坚持走"以设计为引领，既有规模效益，又有质量安全"的总承包发展之路 [来源: P000421]。这一定位组合对T3企业的启示（本研究归纳）：全国化不是唯一出路——以全过程工程咨询深耕重点区域市场，同样能够构建高粘性的业务根据地。</w:t>
      </w:r>
    </w:p>
    <w:p>
      <w:pPr>
        <w:pStyle w:val="Heading3"/>
      </w:pPr>
      <w:r>
        <w:t>5.2.4 战术三：以投资联动与资源整合换项目入场券</w:t>
      </w:r>
    </w:p>
    <w:p>
      <w:r>
        <w:rPr>
          <w:rFonts w:ascii="Calibri" w:hAnsi="Calibri" w:eastAsia="微软雅黑"/>
          <w:b w:val="0"/>
          <w:i w:val="0"/>
          <w:sz w:val="22"/>
        </w:rPr>
        <w:t>在地方财政紧平衡的背景下，单纯施工业态的进入难度上升，而"投资带动总承包"的模式获得了更多准入机会。山东路桥集团股份有限公司2025年投资活动产生的现金流量净额为-29.55亿元（较上年下降39.94%），主要由于南京EOD项目、第一达卡高速路项目等在建工程按计划进度推进、投入增长 [来源: P000428]——这一投资强度背后，正是以EOD等投资类项目锁定总承包份额的战略选择。华东院承接的大唐中卫云基地数据中心绿电供应500MW源网荷储光伏项目，亦是"绿电资源整合换总承包"的同类实践 [来源: P000406]。对设计院而言，该战术的现实形态是：以规划咨询切入地方资源盘选、以方案整合能力对接业主的投融资诉求，再顺势承接总承包（战术归纳为本研究观点）。需要同步预警的是（本研究提示）：投资联动把承包商暴露在投资风险之下，山东路桥同期筹资活动现金流量净额48.99亿元、期末资产总额1,823.63亿元的负债结构说明，该战术要求企业具备相应的资产负债表承载力 [来源: P000428]。</w:t>
      </w:r>
    </w:p>
    <w:p>
      <w:r>
        <w:rPr>
          <w:rFonts w:ascii="Calibri" w:hAnsi="Calibri" w:eastAsia="微软雅黑"/>
          <w:b w:val="0"/>
          <w:i w:val="0"/>
          <w:sz w:val="22"/>
        </w:rPr>
        <w:t>投资联动战术的适用门槛可以概括为三个"能够"（本研究归纳）：</w:t>
      </w:r>
      <w:r>
        <w:rPr>
          <w:rFonts w:ascii="Calibri" w:hAnsi="Calibri" w:eastAsia="微软雅黑"/>
          <w:b/>
          <w:i w:val="0"/>
          <w:sz w:val="22"/>
        </w:rPr>
        <w:t>能够识别</w:t>
      </w:r>
      <w:r>
        <w:rPr>
          <w:rFonts w:ascii="Calibri" w:hAnsi="Calibri" w:eastAsia="微软雅黑"/>
          <w:b w:val="0"/>
          <w:i w:val="0"/>
          <w:sz w:val="22"/>
        </w:rPr>
        <w:t>——对EOD、片区开发、源网荷储等投资类项目的现金流结构有独立判断能力，而非依赖地方承诺；</w:t>
      </w:r>
      <w:r>
        <w:rPr>
          <w:rFonts w:ascii="Calibri" w:hAnsi="Calibri" w:eastAsia="微软雅黑"/>
          <w:b/>
          <w:i w:val="0"/>
          <w:sz w:val="22"/>
        </w:rPr>
        <w:t>能够承载</w:t>
      </w:r>
      <w:r>
        <w:rPr>
          <w:rFonts w:ascii="Calibri" w:hAnsi="Calibri" w:eastAsia="微软雅黑"/>
          <w:b w:val="0"/>
          <w:i w:val="0"/>
          <w:sz w:val="22"/>
        </w:rPr>
        <w:t>——投资峰值出现在建安收入确认之前，企业须有与之匹配的融资渠道与成本优势（山东路桥3.80%的综合融资成本即为承载力的组成部分）；</w:t>
      </w:r>
      <w:r>
        <w:rPr>
          <w:rFonts w:ascii="Calibri" w:hAnsi="Calibri" w:eastAsia="微软雅黑"/>
          <w:b/>
          <w:i w:val="0"/>
          <w:sz w:val="22"/>
        </w:rPr>
        <w:t>能够退出</w:t>
      </w:r>
      <w:r>
        <w:rPr>
          <w:rFonts w:ascii="Calibri" w:hAnsi="Calibri" w:eastAsia="微软雅黑"/>
          <w:b w:val="0"/>
          <w:i w:val="0"/>
          <w:sz w:val="22"/>
        </w:rPr>
        <w:t>——对投资类资产的持有、转让或证券化路径有预案。三个"能够"缺一，投资联动就会从入场券变成资金黑洞。对多数设计院而言，更稳妥的参与方式是以咨询与设计先入局、以小比例投资试水、以联合体分担资本责任，避免以总承包商的资产负债表独自承接全部投资风险（此建议为本研究观点）。</w:t>
      </w:r>
    </w:p>
    <w:p>
      <w:pPr>
        <w:pStyle w:val="Heading3"/>
      </w:pPr>
      <w:r>
        <w:t>5.2.5 战术四：以集团协同与分拆上市重构区域作战单元</w:t>
      </w:r>
    </w:p>
    <w:p>
      <w:r>
        <w:rPr>
          <w:rFonts w:ascii="Calibri" w:hAnsi="Calibri" w:eastAsia="微软雅黑"/>
          <w:b w:val="0"/>
          <w:i w:val="0"/>
          <w:sz w:val="22"/>
        </w:rPr>
        <w:t>集团化企业的跨区作战还可以通过资本运作重塑。中国交通建设股份有限公司2023年成功分拆子公司、实现设计板块重组上市，将中交设计全力打造为专业化、一体化、科技化、高端化、资本化和国际化的世界一流设计咨询集团 [来源: P000434]。公司"123456"总体发展思路中的"六化"建设——市场化机制、国际化水平、专业化精神、区域化布局、标准化管理、信息化支撑——为跨区域经营提供了体系化的能力底座 [来源: P000434]。区域化布局与标准化管理并举，意味着跨区项目既能因地制宜，又能复制总部的成熟流程；设计板块独立上市则为跨区设计咨询业务提供了独立融资与激励机制（此解读为本研究观点）。更早的2022年，中国交建已提出扛稳"大交通"传统优势主业、顶起"大城市"新军、坐稳国际化发展龙头的市场方针，为区域与城市两线的跨区布局定调 [来源: P000435]。</w:t>
      </w:r>
    </w:p>
    <w:p>
      <w:pPr>
        <w:pStyle w:val="Heading3"/>
      </w:pPr>
      <w:r>
        <w:t>5.2.6 四战术的组合使用</w:t>
      </w:r>
    </w:p>
    <w:p>
      <w:r>
        <w:rPr>
          <w:rFonts w:ascii="Calibri" w:hAnsi="Calibri" w:eastAsia="微软雅黑"/>
          <w:b w:val="0"/>
          <w:i w:val="0"/>
          <w:sz w:val="22"/>
        </w:rPr>
        <w:t>四种战术并非单选（组合建议为本研究观点）：技术破门解决"能不能进"，属地实体解决"算不算本地人"，投资联动解决"给不给标"，集团协同解决"接不接得住"。华东院、山东院等T1/T2企业的实际路径，多为"技术破门先行、属地实体跟进、投资联动择机"的组合拳；广西院则以"东盟区位+集团成员+省域辐射"的组合，在华南与东南亚形成稳定的根据地市场 [来源: P000406, P000416, P000411]。而对T3企业，现实的升维次序通常是先在单一战术上打透，再图组合。</w:t>
      </w:r>
    </w:p>
    <w:p>
      <w:r>
        <w:rPr>
          <w:rFonts w:ascii="Calibri" w:hAnsi="Calibri" w:eastAsia="微软雅黑"/>
          <w:b w:val="0"/>
          <w:i w:val="0"/>
          <w:sz w:val="22"/>
        </w:rPr>
        <w:t>战术组合的选择还应考虑市场类型差异（本研究归纳）：在</w:t>
      </w:r>
      <w:r>
        <w:rPr>
          <w:rFonts w:ascii="Calibri" w:hAnsi="Calibri" w:eastAsia="微软雅黑"/>
          <w:b/>
          <w:i w:val="0"/>
          <w:sz w:val="22"/>
        </w:rPr>
        <w:t>技术标权重高的工业与能源市场</w:t>
      </w:r>
      <w:r>
        <w:rPr>
          <w:rFonts w:ascii="Calibri" w:hAnsi="Calibri" w:eastAsia="微软雅黑"/>
          <w:b w:val="0"/>
          <w:i w:val="0"/>
          <w:sz w:val="22"/>
        </w:rPr>
        <w:t>，技术破门的有效性最高，属地实体的紧迫性相对较低；在</w:t>
      </w:r>
      <w:r>
        <w:rPr>
          <w:rFonts w:ascii="Calibri" w:hAnsi="Calibri" w:eastAsia="微软雅黑"/>
          <w:b/>
          <w:i w:val="0"/>
          <w:sz w:val="22"/>
        </w:rPr>
        <w:t>关系与履约便利权重高的市政与房建市场</w:t>
      </w:r>
      <w:r>
        <w:rPr>
          <w:rFonts w:ascii="Calibri" w:hAnsi="Calibri" w:eastAsia="微软雅黑"/>
          <w:b w:val="0"/>
          <w:i w:val="0"/>
          <w:sz w:val="22"/>
        </w:rPr>
        <w:t>，属地实体几乎是唯一入场券，技术优势只能作为履约背书；在</w:t>
      </w:r>
      <w:r>
        <w:rPr>
          <w:rFonts w:ascii="Calibri" w:hAnsi="Calibri" w:eastAsia="微软雅黑"/>
          <w:b/>
          <w:i w:val="0"/>
          <w:sz w:val="22"/>
        </w:rPr>
        <w:t>财政紧平衡地区的基础设施市场</w:t>
      </w:r>
      <w:r>
        <w:rPr>
          <w:rFonts w:ascii="Calibri" w:hAnsi="Calibri" w:eastAsia="微软雅黑"/>
          <w:b w:val="0"/>
          <w:i w:val="0"/>
          <w:sz w:val="22"/>
        </w:rPr>
        <w:t>，投资联动的权重急剧上升，但对企业资产负债表的考验也最重（山东路桥-29.55亿元的投资现金流即为提示）[来源: P000428]；在</w:t>
      </w:r>
      <w:r>
        <w:rPr>
          <w:rFonts w:ascii="Calibri" w:hAnsi="Calibri" w:eastAsia="微软雅黑"/>
          <w:b/>
          <w:i w:val="0"/>
          <w:sz w:val="22"/>
        </w:rPr>
        <w:t>央企集团主导的重大工程市场</w:t>
      </w:r>
      <w:r>
        <w:rPr>
          <w:rFonts w:ascii="Calibri" w:hAnsi="Calibri" w:eastAsia="微软雅黑"/>
          <w:b w:val="0"/>
          <w:i w:val="0"/>
          <w:sz w:val="22"/>
        </w:rPr>
        <w:t>，集团协同与资格预审门槛决定了单体企业的进入方式。先判定目标市场的类型，再配置战术组合，可以避免资源错配。</w:t>
      </w:r>
    </w:p>
    <w:p>
      <w:r>
        <w:rPr>
          <w:rFonts w:ascii="Calibri" w:hAnsi="Calibri" w:eastAsia="微软雅黑"/>
          <w:b w:val="0"/>
          <w:i w:val="0"/>
          <w:sz w:val="22"/>
        </w:rPr>
        <w:t>---</w:t>
      </w:r>
    </w:p>
    <w:p>
      <w:pPr>
        <w:pStyle w:val="Heading2"/>
      </w:pPr>
      <w:r>
        <w:t>5.3 实体化重构：从"飞地式"履约到三级矩阵管控</w:t>
      </w:r>
    </w:p>
    <w:p>
      <w:pPr>
        <w:pStyle w:val="Heading3"/>
      </w:pPr>
      <w:r>
        <w:t>5.3.1 "飞地式"履约的失灵</w:t>
      </w:r>
    </w:p>
    <w:p>
      <w:r>
        <w:rPr>
          <w:rFonts w:ascii="Calibri" w:hAnsi="Calibri" w:eastAsia="微软雅黑"/>
          <w:b w:val="0"/>
          <w:i w:val="0"/>
          <w:sz w:val="22"/>
        </w:rPr>
        <w:t>跨区扩张的最初形态，往往是"总部投标+临时项目部履约"的飞地模式。其失灵有三（失灵机制为本研究归纳）：一是</w:t>
      </w:r>
      <w:r>
        <w:rPr>
          <w:rFonts w:ascii="Calibri" w:hAnsi="Calibri" w:eastAsia="微软雅黑"/>
          <w:b/>
          <w:i w:val="0"/>
          <w:sz w:val="22"/>
        </w:rPr>
        <w:t>授权失灵</w:t>
      </w:r>
      <w:r>
        <w:rPr>
          <w:rFonts w:ascii="Calibri" w:hAnsi="Calibri" w:eastAsia="微软雅黑"/>
          <w:b w:val="0"/>
          <w:i w:val="0"/>
          <w:sz w:val="22"/>
        </w:rPr>
        <w:t>——项目部临时组建、权责不清，重大事项层层回传总部审批，错过现场处置窗口；二是</w:t>
      </w:r>
      <w:r>
        <w:rPr>
          <w:rFonts w:ascii="Calibri" w:hAnsi="Calibri" w:eastAsia="微软雅黑"/>
          <w:b/>
          <w:i w:val="0"/>
          <w:sz w:val="22"/>
        </w:rPr>
        <w:t>资源失灵</w:t>
      </w:r>
      <w:r>
        <w:rPr>
          <w:rFonts w:ascii="Calibri" w:hAnsi="Calibri" w:eastAsia="微软雅黑"/>
          <w:b w:val="0"/>
          <w:i w:val="0"/>
          <w:sz w:val="22"/>
        </w:rPr>
        <w:t>——人员从各专业科室临时抽调，项目结束即散，经验无法沉淀；三是</w:t>
      </w:r>
      <w:r>
        <w:rPr>
          <w:rFonts w:ascii="Calibri" w:hAnsi="Calibri" w:eastAsia="微软雅黑"/>
          <w:b/>
          <w:i w:val="0"/>
          <w:sz w:val="22"/>
        </w:rPr>
        <w:t>管控失灵</w:t>
      </w:r>
      <w:r>
        <w:rPr>
          <w:rFonts w:ascii="Calibri" w:hAnsi="Calibri" w:eastAsia="微软雅黑"/>
          <w:b w:val="0"/>
          <w:i w:val="0"/>
          <w:sz w:val="22"/>
        </w:rPr>
        <w:t>——总部对异地项目的成本、质量、安全信息获取滞后，风控形同虚设。</w:t>
      </w:r>
    </w:p>
    <w:p>
      <w:r>
        <w:rPr>
          <w:rFonts w:ascii="Calibri" w:hAnsi="Calibri" w:eastAsia="微软雅黑"/>
          <w:b w:val="0"/>
          <w:i w:val="0"/>
          <w:sz w:val="22"/>
        </w:rPr>
        <w:t>三种失灵之间存在传染链（本研究解读）：授权失灵迫使项目部事事上报，客观上加剧了总部的信息过载，使管控失灵恶化；管控失灵又令总部倾向收权，进一步架空项目部——如此循环两三轮，跨区项目的履约质量与经济效益同步崩塌，很多企业的"出省即亏"并非市场问题，而是组织问题。破解传染链的枢纽在授权设计：以清单方式明确项目部在采购、分包、变更、索赔上的限额权限，限额之内现场决断、限额之上快速通道审批——这正是一些大院以"项目管理中心"承接履约职能的组织动因（广西院的项目管理中心设置即为实例）[来源: P000411]。标杆企业的对策，就是把飞地模式整体改造为实体化的矩阵组织。</w:t>
      </w:r>
    </w:p>
    <w:p>
      <w:pPr>
        <w:pStyle w:val="Heading3"/>
      </w:pPr>
      <w:r>
        <w:t>5.3.2 四家大院的矩阵组织实证</w:t>
      </w:r>
    </w:p>
    <w:p>
      <w:pPr>
        <w:pStyle w:val="ListBullet"/>
      </w:pPr>
      <w:r>
        <w:rPr>
          <w:rFonts w:ascii="Calibri" w:hAnsi="Calibri" w:eastAsia="微软雅黑"/>
          <w:b/>
          <w:i w:val="0"/>
          <w:sz w:val="22"/>
        </w:rPr>
        <w:t>华东院</w:t>
      </w:r>
      <w:r>
        <w:rPr>
          <w:rFonts w:ascii="Calibri" w:hAnsi="Calibri" w:eastAsia="微软雅黑"/>
          <w:b w:val="0"/>
          <w:i w:val="0"/>
          <w:sz w:val="22"/>
        </w:rPr>
        <w:t>：内部组织架构逐步向工程公司靠拢，院总部、二级生产单位、专业中心都围绕项目高效运转，形成了以项目为中心的矩阵式组织结构；专业设计院既做设计又做总承包，工程公司专职负责总承包现场管控，承担全院约60%的总承包份额 [来源: P000406]。</w:t>
      </w:r>
    </w:p>
    <w:p>
      <w:pPr>
        <w:pStyle w:val="ListBullet"/>
      </w:pPr>
      <w:r>
        <w:rPr>
          <w:rFonts w:ascii="Calibri" w:hAnsi="Calibri" w:eastAsia="微软雅黑"/>
          <w:b/>
          <w:i w:val="0"/>
          <w:sz w:val="22"/>
        </w:rPr>
        <w:t>广西院</w:t>
      </w:r>
      <w:r>
        <w:rPr>
          <w:rFonts w:ascii="Calibri" w:hAnsi="Calibri" w:eastAsia="微软雅黑"/>
          <w:b w:val="0"/>
          <w:i w:val="0"/>
          <w:sz w:val="22"/>
        </w:rPr>
        <w:t>：实行扁平化与矩阵式相结合的组织管理模式，公司下设职能部门、专业设计院、项目管理中心以及分子公司，形成高效协同的运营体系 [来源: P000411]。</w:t>
      </w:r>
    </w:p>
    <w:p>
      <w:pPr>
        <w:pStyle w:val="ListBullet"/>
      </w:pPr>
      <w:r>
        <w:rPr>
          <w:rFonts w:ascii="Calibri" w:hAnsi="Calibri" w:eastAsia="微软雅黑"/>
          <w:b/>
          <w:i w:val="0"/>
          <w:sz w:val="22"/>
        </w:rPr>
        <w:t>山东院</w:t>
      </w:r>
      <w:r>
        <w:rPr>
          <w:rFonts w:ascii="Calibri" w:hAnsi="Calibri" w:eastAsia="微软雅黑"/>
          <w:b w:val="0"/>
          <w:i w:val="0"/>
          <w:sz w:val="22"/>
        </w:rPr>
        <w:t>：随着业务多元化与国际化，逐步推行事业部制，将火电、新能源、国际业务等划分为相对独立的业务单元并赋予更大经营自主权，同时设立国内外分支机构和区域公司；跨事业部以项目为核心组建项目团队，由项目经理负责项目全生命周期管理 [来源: P000416]。</w:t>
      </w:r>
    </w:p>
    <w:p>
      <w:pPr>
        <w:pStyle w:val="ListBullet"/>
      </w:pPr>
      <w:r>
        <w:rPr>
          <w:rFonts w:ascii="Calibri" w:hAnsi="Calibri" w:eastAsia="微软雅黑"/>
          <w:b/>
          <w:i w:val="0"/>
          <w:sz w:val="22"/>
        </w:rPr>
        <w:t>上海市政总院</w:t>
      </w:r>
      <w:r>
        <w:rPr>
          <w:rFonts w:ascii="Calibri" w:hAnsi="Calibri" w:eastAsia="微软雅黑"/>
          <w:b w:val="0"/>
          <w:i w:val="0"/>
          <w:sz w:val="22"/>
        </w:rPr>
        <w:t>：集团管理架构采用"董事会-经营层-职能部门"三级管理模式，组织架构涵盖集团总部、专业设计院、区域分院、职能部门和子公司 [来源: P000421]。</w:t>
      </w:r>
    </w:p>
    <w:p>
      <w:r>
        <w:rPr>
          <w:rFonts w:ascii="Calibri" w:hAnsi="Calibri" w:eastAsia="微软雅黑"/>
          <w:b w:val="0"/>
          <w:i w:val="0"/>
          <w:sz w:val="22"/>
        </w:rPr>
        <w:t>四家大院的组织演进路径揭示了一个共同规律（本研究归纳）：</w:t>
      </w:r>
      <w:r>
        <w:rPr>
          <w:rFonts w:ascii="Calibri" w:hAnsi="Calibri" w:eastAsia="微软雅黑"/>
          <w:b/>
          <w:i w:val="0"/>
          <w:sz w:val="22"/>
        </w:rPr>
        <w:t>区域扩张到一定规模后，设计院必然走向"双轨制"</w:t>
      </w:r>
      <w:r>
        <w:rPr>
          <w:rFonts w:ascii="Calibri" w:hAnsi="Calibri" w:eastAsia="微软雅黑"/>
          <w:b w:val="0"/>
          <w:i w:val="0"/>
          <w:sz w:val="22"/>
        </w:rPr>
        <w:t>——一轨是按专业划分的设计院体系，保障技术深度与人才厚度；另一轨是按项目与区域组织的工程公司、项目管理中心或区域公司体系，保障履约效率与属地深耕。华东院的工程公司（承担全院约60%总承包份额）与山东院的事业部制，都是双轨制的具体形态。双轨之间的接口设计是关键难点：项目团队从专业院抽调人员的考核归属、项目结束后人员的回流安置、双轨之间的成本分摊与利益分配——处理得好，双轨互为弹药库；处理不好，双轨互为扯皮源。四家大院给出的接口方案虽形态各异，但共同点是都以"项目为中心"配置权责（华东院的矩阵表述原话即"院总部、二级生产单位、专业中心都围绕项目高效运转"）[来源: P000406]。</w:t>
      </w:r>
    </w:p>
    <w:p>
      <w:r>
        <w:rPr>
          <w:rFonts w:ascii="Calibri" w:hAnsi="Calibri" w:eastAsia="微软雅黑"/>
          <w:b w:val="0"/>
          <w:i w:val="0"/>
          <w:sz w:val="22"/>
        </w:rPr>
        <w:t>四种形态共同指向一个可迁移的权责结构（归纳为本研究观点，见表5-4）。</w:t>
      </w:r>
    </w:p>
    <w:p>
      <w:pPr>
        <w:pStyle w:val="Heading4"/>
      </w:pPr>
      <w:r>
        <w:t>表5-4 实体化区域组织的四级权责结构（本研究据四院实践归纳）</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层级</w:t>
            </w:r>
          </w:p>
        </w:tc>
        <w:tc>
          <w:tcPr>
            <w:tcW w:type="dxa" w:w="2075"/>
            <w:shd w:fill="1F3A5F"/>
          </w:tcPr>
          <w:p>
            <w:r>
              <w:rPr>
                <w:color w:val="FFFFFF"/>
              </w:rPr>
            </w:r>
            <w:r>
              <w:rPr>
                <w:rFonts w:ascii="Calibri" w:hAnsi="Calibri" w:eastAsia="微软雅黑"/>
                <w:b/>
                <w:i w:val="0"/>
                <w:color w:val="FFFFFF"/>
                <w:sz w:val="18"/>
              </w:rPr>
              <w:t>角色定位</w:t>
            </w:r>
          </w:p>
        </w:tc>
        <w:tc>
          <w:tcPr>
            <w:tcW w:type="dxa" w:w="2075"/>
            <w:shd w:fill="1F3A5F"/>
          </w:tcPr>
          <w:p>
            <w:r>
              <w:rPr>
                <w:color w:val="FFFFFF"/>
              </w:rPr>
            </w:r>
            <w:r>
              <w:rPr>
                <w:rFonts w:ascii="Calibri" w:hAnsi="Calibri" w:eastAsia="微软雅黑"/>
                <w:b/>
                <w:i w:val="0"/>
                <w:color w:val="FFFFFF"/>
                <w:sz w:val="18"/>
              </w:rPr>
              <w:t>核心权责</w:t>
            </w:r>
          </w:p>
        </w:tc>
        <w:tc>
          <w:tcPr>
            <w:tcW w:type="dxa" w:w="2075"/>
            <w:shd w:fill="1F3A5F"/>
          </w:tcPr>
          <w:p>
            <w:r>
              <w:rPr>
                <w:color w:val="FFFFFF"/>
              </w:rPr>
            </w:r>
            <w:r>
              <w:rPr>
                <w:rFonts w:ascii="Calibri" w:hAnsi="Calibri" w:eastAsia="微软雅黑"/>
                <w:b/>
                <w:i w:val="0"/>
                <w:color w:val="FFFFFF"/>
                <w:sz w:val="18"/>
              </w:rPr>
              <w:t>实证载体</w:t>
            </w:r>
          </w:p>
        </w:tc>
      </w:tr>
      <w:tr>
        <w:tc>
          <w:tcPr>
            <w:tcW w:type="dxa" w:w="2075"/>
          </w:tcPr>
          <w:p>
            <w:r/>
            <w:r>
              <w:rPr>
                <w:rFonts w:ascii="Calibri" w:hAnsi="Calibri" w:eastAsia="微软雅黑"/>
                <w:b w:val="0"/>
                <w:i w:val="0"/>
                <w:sz w:val="18"/>
              </w:rPr>
              <w:t>集团/院总部</w:t>
            </w:r>
          </w:p>
        </w:tc>
        <w:tc>
          <w:tcPr>
            <w:tcW w:type="dxa" w:w="2075"/>
          </w:tcPr>
          <w:p>
            <w:r/>
            <w:r>
              <w:rPr>
                <w:rFonts w:ascii="Calibri" w:hAnsi="Calibri" w:eastAsia="微软雅黑"/>
                <w:b w:val="0"/>
                <w:i w:val="0"/>
                <w:sz w:val="18"/>
              </w:rPr>
              <w:t>战略与资源池</w:t>
            </w:r>
          </w:p>
        </w:tc>
        <w:tc>
          <w:tcPr>
            <w:tcW w:type="dxa" w:w="2075"/>
          </w:tcPr>
          <w:p>
            <w:r/>
            <w:r>
              <w:rPr>
                <w:rFonts w:ascii="Calibri" w:hAnsi="Calibri" w:eastAsia="微软雅黑"/>
                <w:b w:val="0"/>
                <w:i w:val="0"/>
                <w:sz w:val="18"/>
              </w:rPr>
              <w:t>战略方向、资质管理、资金归口、重大风险决策</w:t>
            </w:r>
          </w:p>
        </w:tc>
        <w:tc>
          <w:tcPr>
            <w:tcW w:type="dxa" w:w="2075"/>
          </w:tcPr>
          <w:p>
            <w:r/>
            <w:r>
              <w:rPr>
                <w:rFonts w:ascii="Calibri" w:hAnsi="Calibri" w:eastAsia="微软雅黑"/>
                <w:b w:val="0"/>
                <w:i w:val="0"/>
                <w:sz w:val="18"/>
              </w:rPr>
              <w:t>华东院院总部、市政总院董事会-经营层</w:t>
            </w:r>
          </w:p>
        </w:tc>
      </w:tr>
      <w:tr>
        <w:tc>
          <w:tcPr>
            <w:tcW w:type="dxa" w:w="2075"/>
          </w:tcPr>
          <w:p>
            <w:r/>
            <w:r>
              <w:rPr>
                <w:rFonts w:ascii="Calibri" w:hAnsi="Calibri" w:eastAsia="微软雅黑"/>
                <w:b w:val="0"/>
                <w:i w:val="0"/>
                <w:sz w:val="18"/>
              </w:rPr>
              <w:t>专业院/事业部</w:t>
            </w:r>
          </w:p>
        </w:tc>
        <w:tc>
          <w:tcPr>
            <w:tcW w:type="dxa" w:w="2075"/>
          </w:tcPr>
          <w:p>
            <w:r/>
            <w:r>
              <w:rPr>
                <w:rFonts w:ascii="Calibri" w:hAnsi="Calibri" w:eastAsia="微软雅黑"/>
                <w:b w:val="0"/>
                <w:i w:val="0"/>
                <w:sz w:val="18"/>
              </w:rPr>
              <w:t>专业支撑</w:t>
            </w:r>
          </w:p>
        </w:tc>
        <w:tc>
          <w:tcPr>
            <w:tcW w:type="dxa" w:w="2075"/>
          </w:tcPr>
          <w:p>
            <w:r/>
            <w:r>
              <w:rPr>
                <w:rFonts w:ascii="Calibri" w:hAnsi="Calibri" w:eastAsia="微软雅黑"/>
                <w:b w:val="0"/>
                <w:i w:val="0"/>
                <w:sz w:val="18"/>
              </w:rPr>
              <w:t>专业设计能力、技术标准、专家资源调配</w:t>
            </w:r>
          </w:p>
        </w:tc>
        <w:tc>
          <w:tcPr>
            <w:tcW w:type="dxa" w:w="2075"/>
          </w:tcPr>
          <w:p>
            <w:r/>
            <w:r>
              <w:rPr>
                <w:rFonts w:ascii="Calibri" w:hAnsi="Calibri" w:eastAsia="微软雅黑"/>
                <w:b w:val="0"/>
                <w:i w:val="0"/>
                <w:sz w:val="18"/>
              </w:rPr>
              <w:t>山东院事业部、市政总院专业设计院</w:t>
            </w:r>
          </w:p>
        </w:tc>
      </w:tr>
      <w:tr>
        <w:tc>
          <w:tcPr>
            <w:tcW w:type="dxa" w:w="2075"/>
          </w:tcPr>
          <w:p>
            <w:r/>
            <w:r>
              <w:rPr>
                <w:rFonts w:ascii="Calibri" w:hAnsi="Calibri" w:eastAsia="微软雅黑"/>
                <w:b w:val="0"/>
                <w:i w:val="0"/>
                <w:sz w:val="18"/>
              </w:rPr>
              <w:t>区域公司/属地实体</w:t>
            </w:r>
          </w:p>
        </w:tc>
        <w:tc>
          <w:tcPr>
            <w:tcW w:type="dxa" w:w="2075"/>
          </w:tcPr>
          <w:p>
            <w:r/>
            <w:r>
              <w:rPr>
                <w:rFonts w:ascii="Calibri" w:hAnsi="Calibri" w:eastAsia="微软雅黑"/>
                <w:b w:val="0"/>
                <w:i w:val="0"/>
                <w:sz w:val="18"/>
              </w:rPr>
              <w:t>属地经营</w:t>
            </w:r>
          </w:p>
        </w:tc>
        <w:tc>
          <w:tcPr>
            <w:tcW w:type="dxa" w:w="2075"/>
          </w:tcPr>
          <w:p>
            <w:r/>
            <w:r>
              <w:rPr>
                <w:rFonts w:ascii="Calibri" w:hAnsi="Calibri" w:eastAsia="微软雅黑"/>
                <w:b w:val="0"/>
                <w:i w:val="0"/>
                <w:sz w:val="18"/>
              </w:rPr>
              <w:t>市场开拓、属地关系、纳税雇佣、本地供应链</w:t>
            </w:r>
          </w:p>
        </w:tc>
        <w:tc>
          <w:tcPr>
            <w:tcW w:type="dxa" w:w="2075"/>
          </w:tcPr>
          <w:p>
            <w:r/>
            <w:r>
              <w:rPr>
                <w:rFonts w:ascii="Calibri" w:hAnsi="Calibri" w:eastAsia="微软雅黑"/>
                <w:b w:val="0"/>
                <w:i w:val="0"/>
                <w:sz w:val="18"/>
              </w:rPr>
              <w:t>市政总院区域公司、山东院国内外分支机构</w:t>
            </w:r>
          </w:p>
        </w:tc>
      </w:tr>
      <w:tr>
        <w:tc>
          <w:tcPr>
            <w:tcW w:type="dxa" w:w="2075"/>
          </w:tcPr>
          <w:p>
            <w:r/>
            <w:r>
              <w:rPr>
                <w:rFonts w:ascii="Calibri" w:hAnsi="Calibri" w:eastAsia="微软雅黑"/>
                <w:b w:val="0"/>
                <w:i w:val="0"/>
                <w:sz w:val="18"/>
              </w:rPr>
              <w:t>项目部/项目团队</w:t>
            </w:r>
          </w:p>
        </w:tc>
        <w:tc>
          <w:tcPr>
            <w:tcW w:type="dxa" w:w="2075"/>
          </w:tcPr>
          <w:p>
            <w:r/>
            <w:r>
              <w:rPr>
                <w:rFonts w:ascii="Calibri" w:hAnsi="Calibri" w:eastAsia="微软雅黑"/>
                <w:b w:val="0"/>
                <w:i w:val="0"/>
                <w:sz w:val="18"/>
              </w:rPr>
              <w:t>穿透履约</w:t>
            </w:r>
          </w:p>
        </w:tc>
        <w:tc>
          <w:tcPr>
            <w:tcW w:type="dxa" w:w="2075"/>
          </w:tcPr>
          <w:p>
            <w:r/>
            <w:r>
              <w:rPr>
                <w:rFonts w:ascii="Calibri" w:hAnsi="Calibri" w:eastAsia="微软雅黑"/>
                <w:b w:val="0"/>
                <w:i w:val="0"/>
                <w:sz w:val="18"/>
              </w:rPr>
              <w:t>项目全生命周期管理、成本质量安全执行</w:t>
            </w:r>
          </w:p>
        </w:tc>
        <w:tc>
          <w:tcPr>
            <w:tcW w:type="dxa" w:w="2075"/>
          </w:tcPr>
          <w:p>
            <w:r/>
            <w:r>
              <w:rPr>
                <w:rFonts w:ascii="Calibri" w:hAnsi="Calibri" w:eastAsia="微软雅黑"/>
                <w:b w:val="0"/>
                <w:i w:val="0"/>
                <w:sz w:val="18"/>
              </w:rPr>
              <w:t>广西院项目管理中心、山东院项目团队</w:t>
            </w:r>
          </w:p>
        </w:tc>
      </w:tr>
    </w:tbl>
    <w:p>
      <w:pPr>
        <w:pStyle w:val="Heading3"/>
      </w:pPr>
      <w:r>
        <w:t>5.3.3 费控中枢与数字化平台的落地</w:t>
      </w:r>
    </w:p>
    <w:p>
      <w:r>
        <w:rPr>
          <w:rFonts w:ascii="Calibri" w:hAnsi="Calibri" w:eastAsia="微软雅黑"/>
          <w:b w:val="0"/>
          <w:i w:val="0"/>
          <w:sz w:val="22"/>
        </w:rPr>
        <w:t>实体化组织必须配套"算得清、控得住"的管理中枢。中南院在成本管理中设立费控中心运作机制，并将其与质量管理、风险管理、合同与采购管理、安全环保管理并列为专项管理体系 [来源: P000401]。山东院通过上线建文国家电力工程建设EPC平台等数字化工具，实现设计、采购、施工、财务、法务等各环节的信息共享和流程协同，提升内部管理效率并促进跨部门、跨专业的无缝协作，使组织响应更加敏捷 [来源: P000416]。</w:t>
      </w:r>
    </w:p>
    <w:p>
      <w:r>
        <w:rPr>
          <w:rFonts w:ascii="Calibri" w:hAnsi="Calibri" w:eastAsia="微软雅黑"/>
          <w:b w:val="0"/>
          <w:i w:val="0"/>
          <w:sz w:val="22"/>
        </w:rPr>
        <w:t>其BIM深度应用提供了可量化的效率证据：在某大型燃气电站EPC项目中，各专业设计师在统一模型上协同工作，设计周期缩短了15%、设计变更率降低了20%；施工前利用BIM模型进行全面碰撞检测，发现并解决数百处设计冲突，避免了现场返工 [来源: P000416]。在光伏电站领域，山东院建设智能运维系统实现设备状态实时监控与故障预警，某项目2019年12月并网发电、比计划工期提前15天，工程质量优良、一次性通过并网验收，电站性能比达到83%以上、高于行业平均水平 [来源: P000416]。其"东营辉阳500千伏变电站总承包BIM数字化应用"项目荣获电力建设数字化应用三等奖，标志着输变电EPC项目BIM应用的成熟度 [来源: P000416]。这组数字的含金量在于其完整性——设计周期、变更率、工期、质量验收、运维性能五个环节形成闭环证据，而非单点指标的孤证；企业在评估自身数字化成效时，同样应以闭环指标组而非单点亮点作为验收标准，本节后续的数字化落地清单即按此逻辑组织（此验收标准建议为本研究观点）。</w:t>
      </w:r>
    </w:p>
    <w:p>
      <w:pPr>
        <w:pStyle w:val="Heading3"/>
      </w:pPr>
      <w:r>
        <w:t>5.3.4 人才双向流动：让骨干沉到区域去</w:t>
      </w:r>
    </w:p>
    <w:p>
      <w:r>
        <w:rPr>
          <w:rFonts w:ascii="Calibri" w:hAnsi="Calibri" w:eastAsia="微软雅黑"/>
          <w:b w:val="0"/>
          <w:i w:val="0"/>
          <w:sz w:val="22"/>
        </w:rPr>
        <w:t>组织沉降的关键瓶颈是人才愿不愿意去区域。上海市政总院建立了完善的人才培养体系，包括"启明星"计划、"拂晓计划"等人才培养项目，为不同层次人才提供成长平台，并与多所高校建立产学研合作关系联合培养专业人才；公司拥有中国工程院院士、国家级设计大师、全国工程勘察设计大师、享受国务院特殊津贴专家等高层次人才引领技术发展 [来源: P000421]。广西院以职能部门与专业设计院构成人才池、以项目管理中心承载履约，人才在总部与项目间形成常态流动 [来源: P000411]。实践表明（本研究归纳），人才下沉的可持续性取决于两点：区域经历与晋升通道强绑定，以及区域项目的绩效激励不低于总部同级别岗位——只靠行政命令的下沉，往往以骨干流失收场。</w:t>
      </w:r>
    </w:p>
    <w:p>
      <w:pPr>
        <w:pStyle w:val="Heading3"/>
      </w:pPr>
      <w:r>
        <w:t>5.3.5 属地化经营的深层机制：从"派人去"到"用当地人"</w:t>
      </w:r>
    </w:p>
    <w:p>
      <w:r>
        <w:rPr>
          <w:rFonts w:ascii="Calibri" w:hAnsi="Calibri" w:eastAsia="微软雅黑"/>
          <w:b w:val="0"/>
          <w:i w:val="0"/>
          <w:sz w:val="22"/>
        </w:rPr>
        <w:t>实体化组织在境外与省外市场的运行，最终要落到属地化经营的三件套上。广西院的实践具有教科书意义：在海外市场深耕多年，积累了丰富的国际工程项目管理经验，熟悉国际工程惯例、FIDIC合同条款以及项目所在国的法律法规与文化习俗；在国际项目中积极推行属地化经营策略，包括本地化采购、本地化用工、本地化管理团队建设——这不仅有助于降低项目成本、规避风险，更能促进与当地政府和社区的良好关系，提升项目成功率；同时具备管理由不同国籍、不同文化背景人员组成的国际项目团队的能力，通过有效的沟通和协调确保团队高效协作 [来源: P000411]。</w:t>
      </w:r>
    </w:p>
    <w:p>
      <w:r>
        <w:rPr>
          <w:rFonts w:ascii="Calibri" w:hAnsi="Calibri" w:eastAsia="微软雅黑"/>
          <w:b w:val="0"/>
          <w:i w:val="0"/>
          <w:sz w:val="22"/>
        </w:rPr>
        <w:t>属地化三件套（本地化采购、本地化用工、本地化管理团队）的价值排序值得决策者注意（本研究解读）：</w:t>
      </w:r>
      <w:r>
        <w:rPr>
          <w:rFonts w:ascii="Calibri" w:hAnsi="Calibri" w:eastAsia="微软雅黑"/>
          <w:b/>
          <w:i w:val="0"/>
          <w:sz w:val="22"/>
        </w:rPr>
        <w:t>本地化管理团队是最难复制也最具杠杆效应的一环</w:t>
      </w:r>
      <w:r>
        <w:rPr>
          <w:rFonts w:ascii="Calibri" w:hAnsi="Calibri" w:eastAsia="微软雅黑"/>
          <w:b w:val="0"/>
          <w:i w:val="0"/>
          <w:sz w:val="22"/>
        </w:rPr>
        <w:t>——采购与用工的本地化解决成本与合规问题，而管理团队的本地化解决的是企业与当地政府、社区之间的信任接口问题；没有这一接口，前两者的效能都会被打折扣。这也是为什么广西院强调跨文化团队管理能力，而中材国际（第4章）把"属地亿元利润平台"作为国际化经营的验收指标——属地化的终点不是省成本，而是属地利润中心的成型（此段机制归纳为本研究观点）。属地化与国际化在广西院身上并非两套能力，而是一体两面：熟悉FIDIC条款与国际惯例属于"走出去"的知识准备，本地化三件套则是"走进去"的组织落地，两者缺一即出现"出海却扎不下根"的常见困局。</w:t>
      </w:r>
    </w:p>
    <w:p>
      <w:pPr>
        <w:pStyle w:val="Heading3"/>
      </w:pPr>
      <w:r>
        <w:t>5.3.6 数字化管控的落地清单</w:t>
      </w:r>
    </w:p>
    <w:p>
      <w:r>
        <w:rPr>
          <w:rFonts w:ascii="Calibri" w:hAnsi="Calibri" w:eastAsia="微软雅黑"/>
          <w:b w:val="0"/>
          <w:i w:val="0"/>
          <w:sz w:val="22"/>
        </w:rPr>
        <w:t>三级矩阵能否"算得清、控得住"，取决于数字化工具的组合落地。综合标杆企业实践，可归纳为一份落地清单（清单为本研究据源文整理）：</w:t>
      </w:r>
    </w:p>
    <w:p>
      <w:pPr>
        <w:pStyle w:val="ListNumber"/>
      </w:pPr>
      <w:r>
        <w:rPr>
          <w:rFonts w:ascii="Calibri" w:hAnsi="Calibri" w:eastAsia="微软雅黑"/>
          <w:b/>
          <w:i w:val="0"/>
          <w:sz w:val="22"/>
        </w:rPr>
        <w:t>全生命周期BIM</w:t>
      </w:r>
      <w:r>
        <w:rPr>
          <w:rFonts w:ascii="Calibri" w:hAnsi="Calibri" w:eastAsia="微软雅黑"/>
          <w:b w:val="0"/>
          <w:i w:val="0"/>
          <w:sz w:val="22"/>
        </w:rPr>
        <w:t>：广西院在EPC项目中深度应用BIM技术，实现从设计、采购、施工到运维的全生命周期信息集成和协同管理，提高设计效率、减少设计错误、优化施工方案 [来源: P000411]。</w:t>
      </w:r>
    </w:p>
    <w:p>
      <w:pPr>
        <w:pStyle w:val="ListNumber"/>
      </w:pPr>
      <w:r>
        <w:rPr>
          <w:rFonts w:ascii="Calibri" w:hAnsi="Calibri" w:eastAsia="微软雅黑"/>
          <w:b/>
          <w:i w:val="0"/>
          <w:sz w:val="22"/>
        </w:rPr>
        <w:t>智慧工地</w:t>
      </w:r>
      <w:r>
        <w:rPr>
          <w:rFonts w:ascii="Calibri" w:hAnsi="Calibri" w:eastAsia="微软雅黑"/>
          <w:b w:val="0"/>
          <w:i w:val="0"/>
          <w:sz w:val="22"/>
        </w:rPr>
        <w:t>：广西院积极推广智慧工地理念，通过物联网、大数据、云计算等技术实现施工现场的智能化监控、精细化管理和远程协同，应用智能安全帽、环境监测系统、视频监控等提升施工安全和效率 [来源: P000411]。</w:t>
      </w:r>
    </w:p>
    <w:p>
      <w:pPr>
        <w:pStyle w:val="ListNumber"/>
      </w:pPr>
      <w:r>
        <w:rPr>
          <w:rFonts w:ascii="Calibri" w:hAnsi="Calibri" w:eastAsia="微软雅黑"/>
          <w:b/>
          <w:i w:val="0"/>
          <w:sz w:val="22"/>
        </w:rPr>
        <w:t>项目管理信息化平台</w:t>
      </w:r>
      <w:r>
        <w:rPr>
          <w:rFonts w:ascii="Calibri" w:hAnsi="Calibri" w:eastAsia="微软雅黑"/>
          <w:b w:val="0"/>
          <w:i w:val="0"/>
          <w:sz w:val="22"/>
        </w:rPr>
        <w:t>：广西院构建统一的项目管理信息系统，集成项目进度、成本、质量、安全、合同等各项数据，实现项目全过程的可视化管理和实时监控，为项目决策提供数据支撑 [来源: P000411]。</w:t>
      </w:r>
    </w:p>
    <w:p>
      <w:pPr>
        <w:pStyle w:val="ListNumber"/>
      </w:pPr>
      <w:r>
        <w:rPr>
          <w:rFonts w:ascii="Calibri" w:hAnsi="Calibri" w:eastAsia="微软雅黑"/>
          <w:b/>
          <w:i w:val="0"/>
          <w:sz w:val="22"/>
        </w:rPr>
        <w:t>行业定制EPC平台</w:t>
      </w:r>
      <w:r>
        <w:rPr>
          <w:rFonts w:ascii="Calibri" w:hAnsi="Calibri" w:eastAsia="微软雅黑"/>
          <w:b w:val="0"/>
          <w:i w:val="0"/>
          <w:sz w:val="22"/>
        </w:rPr>
        <w:t>：山东院上线建文国家电力工程建设EPC平台，实现设计、采购、施工、财务、法务等各环节的信息共享和流程协同 [来源: P000416]。</w:t>
      </w:r>
    </w:p>
    <w:p>
      <w:pPr>
        <w:pStyle w:val="ListNumber"/>
      </w:pPr>
      <w:r>
        <w:rPr>
          <w:rFonts w:ascii="Calibri" w:hAnsi="Calibri" w:eastAsia="微软雅黑"/>
          <w:b/>
          <w:i w:val="0"/>
          <w:sz w:val="22"/>
        </w:rPr>
        <w:t>数字能源服务平台</w:t>
      </w:r>
      <w:r>
        <w:rPr>
          <w:rFonts w:ascii="Calibri" w:hAnsi="Calibri" w:eastAsia="微软雅黑"/>
          <w:b w:val="0"/>
          <w:i w:val="0"/>
          <w:sz w:val="22"/>
        </w:rPr>
        <w:t>：华东院自主开发OWind数字能源服务平台，整合BIM、气象、质量、安全、进度、流程、成本等维度的管理功能，以管理标准化和流程化提效降本 [来源: P000406]。</w:t>
      </w:r>
    </w:p>
    <w:p>
      <w:r>
        <w:rPr>
          <w:rFonts w:ascii="Calibri" w:hAnsi="Calibri" w:eastAsia="微软雅黑"/>
          <w:b w:val="0"/>
          <w:i w:val="0"/>
          <w:sz w:val="22"/>
        </w:rPr>
        <w:t>清单的使用建议（本研究提示）：五项工具不必齐上，但</w:t>
      </w:r>
      <w:r>
        <w:rPr>
          <w:rFonts w:ascii="Calibri" w:hAnsi="Calibri" w:eastAsia="微软雅黑"/>
          <w:b/>
          <w:i w:val="0"/>
          <w:sz w:val="22"/>
        </w:rPr>
        <w:t>至少要有一项打通"进度-成本"双线</w:t>
      </w:r>
      <w:r>
        <w:rPr>
          <w:rFonts w:ascii="Calibri" w:hAnsi="Calibri" w:eastAsia="微软雅黑"/>
          <w:b w:val="0"/>
          <w:i w:val="0"/>
          <w:sz w:val="22"/>
        </w:rPr>
        <w:t>——只监控进度不监控成本的数字化，会把区域项目重新拖回失控；华东院OWind平台把成本与进度、质量、安全并列整合，正是这一原则的体现。工具选型的常见次序是：先上项目管理信息化平台统一数据底座，再叠加BIM与智慧工地深化现场管控，最后以行业定制平台承接行业特有流程——山东院以电力行业定制平台贯通法务与财务的做法，说明行业纵深往往比通用功能更有价值（此选型次序为本研究归纳）。</w:t>
      </w:r>
    </w:p>
    <w:p>
      <w:pPr>
        <w:pStyle w:val="Heading3"/>
      </w:pPr>
      <w:r>
        <w:t>5.3.7 人才培养与激励：区域梯队的弹药库</w:t>
      </w:r>
    </w:p>
    <w:p>
      <w:r>
        <w:rPr>
          <w:rFonts w:ascii="Calibri" w:hAnsi="Calibri" w:eastAsia="微软雅黑"/>
          <w:b w:val="0"/>
          <w:i w:val="0"/>
          <w:sz w:val="22"/>
        </w:rPr>
        <w:t>区域扩张的可持续性，最终取决于复合型人才的生产速度。广西院建立了分层次的培养体系：为新员工提供系统的岗前培训与导师带徒制度；定期组织专业技术培训、行业前沿技术讲座与技术交流会，鼓励员工参加外部培训、学术会议和行业认证；针对EPC业务特点，通过轮岗、交叉培训、参与大型复杂项目等方式，培养具备设计、采购、施工、商务、法律、财务等多方面知识与能力的复合型项目管理人才；加强外语能力、国际工程管理知识、跨文化沟通能力的培训，选派优秀人才参与国际项目；为各级管理人员提供领导力、项目管理、团队建设、沟通协调培训；并与国内外知名高校建立长期合作关系，通过设立奖学金、共建实习基地、开展联合科研项目等方式储备和输送人才 [来源: P000411]。</w:t>
      </w:r>
    </w:p>
    <w:p>
      <w:r>
        <w:rPr>
          <w:rFonts w:ascii="Calibri" w:hAnsi="Calibri" w:eastAsia="微软雅黑"/>
          <w:b w:val="0"/>
          <w:i w:val="0"/>
          <w:sz w:val="22"/>
        </w:rPr>
        <w:t>这一体系中有两个对区域梯队最具杠杆作用的环节（本研究归纳）：</w:t>
      </w:r>
      <w:r>
        <w:rPr>
          <w:rFonts w:ascii="Calibri" w:hAnsi="Calibri" w:eastAsia="微软雅黑"/>
          <w:b/>
          <w:i w:val="0"/>
          <w:sz w:val="22"/>
        </w:rPr>
        <w:t>复合型人才轮岗</w:t>
      </w:r>
      <w:r>
        <w:rPr>
          <w:rFonts w:ascii="Calibri" w:hAnsi="Calibri" w:eastAsia="微软雅黑"/>
          <w:b w:val="0"/>
          <w:i w:val="0"/>
          <w:sz w:val="22"/>
        </w:rPr>
        <w:t>——设计、采购、施工、商务、法律、财务六要素的交叉历练，正是跨区项目负责人最稀缺的能力剖面；</w:t>
      </w:r>
      <w:r>
        <w:rPr>
          <w:rFonts w:ascii="Calibri" w:hAnsi="Calibri" w:eastAsia="微软雅黑"/>
          <w:b/>
          <w:i w:val="0"/>
          <w:sz w:val="22"/>
        </w:rPr>
        <w:t>国际化人才选派</w:t>
      </w:r>
      <w:r>
        <w:rPr>
          <w:rFonts w:ascii="Calibri" w:hAnsi="Calibri" w:eastAsia="微软雅黑"/>
          <w:b w:val="0"/>
          <w:i w:val="0"/>
          <w:sz w:val="22"/>
        </w:rPr>
        <w:t>——让骨干在真实国际项目中完成跨文化淬炼，其经验回流后直接抬升企业在省外市场的履约水准。上海市政总院"启明星""拂晓计划"与院士、设计大师领衔的高层次人才结构，与广西院的分层次培养体系，共同说明人才机制没有捷径：高层次领军者靠引进与积淀，中坚复合层靠制度化的轮岗与选派 [来源: P000421, P000411]。对新员工实行导师带徒、对骨干实行轮岗历练、对管理层实行领导力专项培训的三段式安排，构成从入职到领军者的完整成长通道，企业可据此外推自己的人才管线建设节奏（此建议为本研究观点）。</w:t>
      </w:r>
    </w:p>
    <w:p>
      <w:r>
        <w:rPr>
          <w:rFonts w:ascii="Calibri" w:hAnsi="Calibri" w:eastAsia="微软雅黑"/>
          <w:b w:val="0"/>
          <w:i w:val="0"/>
          <w:sz w:val="22"/>
        </w:rPr>
        <w:t>---</w:t>
      </w:r>
    </w:p>
    <w:p>
      <w:pPr>
        <w:pStyle w:val="Heading2"/>
      </w:pPr>
      <w:r>
        <w:t>5.4 跨区风控要求：合同隔离、保函安全与"两金"清收</w:t>
      </w:r>
    </w:p>
    <w:p>
      <w:r>
        <w:rPr>
          <w:rFonts w:ascii="Calibri" w:hAnsi="Calibri" w:eastAsia="微软雅黑"/>
          <w:b w:val="0"/>
          <w:i w:val="0"/>
          <w:sz w:val="22"/>
        </w:rPr>
        <w:t>跨区域与跨境履约的风险控制，是区域扩张的底线工程。异地项目普遍面临合同风险跨区传导、保函被不当索偿、应收账款与合同资产（"两金"）长账龄沉淀三大痛点 [来源: P000453, P000428, P000426]。三大痛点在区域扩张的不同阶段各有主次（本研究归纳）：进入初期以合同风险为主——对地方规则不熟悉导致签约条件劣化；扩张中期以两金沉淀为主——多点并进时回款管理跟不上规模增长；深耕期以保函与争端为主——大体量长周期项目的履约争议集中爆发。风控资源配置应与阶段匹配，而不是平均铺设。</w:t>
      </w:r>
    </w:p>
    <w:p>
      <w:pPr>
        <w:pStyle w:val="Heading3"/>
      </w:pPr>
      <w:r>
        <w:t>5.4.1 合同结构隔离：E+P+C分拆与里程碑付款绑定</w:t>
      </w:r>
    </w:p>
    <w:p>
      <w:r>
        <w:rPr>
          <w:rFonts w:ascii="Calibri" w:hAnsi="Calibri" w:eastAsia="微软雅黑"/>
          <w:b w:val="0"/>
          <w:i w:val="0"/>
          <w:sz w:val="22"/>
        </w:rPr>
        <w:t>对大型复杂EPC项目，直接签署单一庞杂的整体合同，会使总承包商对设计、采购、施工全过程承担单一背靠背整体责任——若分拆合同签署不当，可能导致发包方直接干预分包，甚至削弱总包管理权 [来源: P000453]。专项研究提出的对策是</w:t>
      </w:r>
      <w:r>
        <w:rPr>
          <w:rFonts w:ascii="Calibri" w:hAnsi="Calibri" w:eastAsia="微软雅黑"/>
          <w:b/>
          <w:i w:val="0"/>
          <w:sz w:val="22"/>
        </w:rPr>
        <w:t>E+P+C交易分拆结构设计</w:t>
      </w:r>
      <w:r>
        <w:rPr>
          <w:rFonts w:ascii="Calibri" w:hAnsi="Calibri" w:eastAsia="微软雅黑"/>
          <w:b w:val="0"/>
          <w:i w:val="0"/>
          <w:sz w:val="22"/>
        </w:rPr>
        <w:t>：在总承包主框架下，将反应器、塔器、压缩机组等长周期核心设备及材料的工厂试验记录（FAT）、质量控制计划等技术交验文件与里程碑进度款深度绑定 [来源: P000453]。</w:t>
      </w:r>
    </w:p>
    <w:p>
      <w:r>
        <w:rPr>
          <w:rFonts w:ascii="Calibri" w:hAnsi="Calibri" w:eastAsia="微软雅黑"/>
          <w:b w:val="0"/>
          <w:i w:val="0"/>
          <w:sz w:val="22"/>
        </w:rPr>
        <w:t>里程碑付款条件的司法认定，有一个极具警示意义的判例复盘（据专项研究援引的年度争议观察报告整理）：某大型工业EPC合同约定了严格的里程碑支付节点（如"主厂房基础出零米""锅炉水压试验完成""汽轮机扣缸结束"等），并规定申请进度款必须同时提交五项材料——进度款支付申请、节点完工报告及验收证明、实际完成工程量报表、过程技术文件交付证明（含采购设备和材料工厂试验标准及规定、试验记录、制造商质量控制计划等）、增减款项证明 [来源: P000453]。总承包方因未提交反应器、塔器或机组等设备材料的工厂试验记录及质量控制计划等关键技术文件，导致发包方无法核算节点金额，法院认定发包方行使先履行抗辩权拒绝付款完全合法——裁判要旨明确指出"工业EPC包含大量的设备采购以及技术问题，施工只是其中一部分" [来源: P000453]。同一案件还确认：发包方单方同意部分付款仅对该节点有效，绝不延伸扩张为对后续节点付款条件的修改，因为合同明确约定"除非用书面形式、标明日期、清楚针对合同并经授权人签字批准，否则补充变更无效" [来源: P000453]。</w:t>
      </w:r>
    </w:p>
    <w:p>
      <w:r>
        <w:rPr>
          <w:rFonts w:ascii="Calibri" w:hAnsi="Calibri" w:eastAsia="微软雅黑"/>
          <w:b w:val="0"/>
          <w:i w:val="0"/>
          <w:sz w:val="22"/>
        </w:rPr>
        <w:t>这一复盘对跨区企业的操作含义（本研究提炼）：</w:t>
      </w:r>
      <w:r>
        <w:rPr>
          <w:rFonts w:ascii="Calibri" w:hAnsi="Calibri" w:eastAsia="微软雅黑"/>
          <w:b/>
          <w:i w:val="0"/>
          <w:sz w:val="22"/>
        </w:rPr>
        <w:t>付款申请材料清单要与合同条款逐项对应，技术交验文件的交付留痕与工程实体的形象进度同等重要</w:t>
      </w:r>
      <w:r>
        <w:rPr>
          <w:rFonts w:ascii="Calibri" w:hAnsi="Calibri" w:eastAsia="微软雅黑"/>
          <w:b w:val="0"/>
          <w:i w:val="0"/>
          <w:sz w:val="22"/>
        </w:rPr>
        <w:t>——很多企业只抓施工进度而轻视文件交付，最终在收款环节被合法拒付。</w:t>
      </w:r>
    </w:p>
    <w:p>
      <w:r>
        <w:rPr>
          <w:rFonts w:ascii="Calibri" w:hAnsi="Calibri" w:eastAsia="微软雅黑"/>
          <w:b w:val="0"/>
          <w:i w:val="0"/>
          <w:sz w:val="22"/>
        </w:rPr>
        <w:t>在合同结构设计之上，专项研究还给出了"战略位移"的完整分析框架，其核心思想对跨区域经营同样适用（框架概述为本研究据源文转述）：企业从竞争激烈的本地通用市场向制度差异、计价规则不同的跨区域或跨境市场位移时，综合收益取决于三个变量——目标市场的计价溢价、本地低价竞争市场的基准毛利，以及合同纠纷风险率；而概算测算的精准度起到修正系数的作用，概算越失真，位移效益的惩罚越重 [来源: P000453]。据此，该研究提供了两项可直接落地的技能：一是运用结构变化修正指标与价差加权调整方法，在初步设计阶段编制高精度设计概算与最高投标限价，压降报价失真风险；二是掌握分拆式EPC合同架构设计与先履行抗辩技能，把长周期核心设备的技术交验文件与里程碑进度款深度绑定 [来源: P000453]。对省外与海外两个市场而言，这一框架的共同指向是：</w:t>
      </w:r>
      <w:r>
        <w:rPr>
          <w:rFonts w:ascii="Calibri" w:hAnsi="Calibri" w:eastAsia="微软雅黑"/>
          <w:b/>
          <w:i w:val="0"/>
          <w:sz w:val="22"/>
        </w:rPr>
        <w:t>跨区竞争的第一战场在报价精度与合同结构，而不是现场施工的勤勉</w:t>
      </w:r>
      <w:r>
        <w:rPr>
          <w:rFonts w:ascii="Calibri" w:hAnsi="Calibri" w:eastAsia="微软雅黑"/>
          <w:b w:val="0"/>
          <w:i w:val="0"/>
          <w:sz w:val="22"/>
        </w:rPr>
        <w:t>（此句为本研究观点）。</w:t>
      </w:r>
    </w:p>
    <w:p>
      <w:pPr>
        <w:pStyle w:val="Heading3"/>
      </w:pPr>
      <w:r>
        <w:t>5.4.2 保函安全与跨境争端反击</w:t>
      </w:r>
    </w:p>
    <w:p>
      <w:r>
        <w:rPr>
          <w:rFonts w:ascii="Calibri" w:hAnsi="Calibri" w:eastAsia="微软雅黑"/>
          <w:b w:val="0"/>
          <w:i w:val="0"/>
          <w:sz w:val="22"/>
        </w:rPr>
        <w:t>境外与跨区项目的另一高危点是独立保函被恶意索偿。专项研究剖析的危地马拉电站案例（据年度争议观察报告整理）显示：总包方将480t/h循环流化床锅炉设备及服务分包给供应商，业主、总包方与分包商三方签署《分包商承诺协议》，约定若总包违约导致业主终止主合同，业主享有"介入权"（Step-in Right）直接承接分包合同；后业主发出介入通知、分包商依约直接向业主履行，总包方仍向开证行声明分包商违约并要求兑付2565万元独立保函，最终引发保函欺诈争议之诉 [来源: P000453]。该案例的教训是：在存在业主介入权安排的合同架构下，总承包方对分包商履约状态的判断与保函索赔行为必须严格以合同链条的事实为依据，否则索赔本身构成权利滥用（教训归纳为本研究观点）。</w:t>
      </w:r>
    </w:p>
    <w:p>
      <w:r>
        <w:rPr>
          <w:rFonts w:ascii="Calibri" w:hAnsi="Calibri" w:eastAsia="微软雅黑"/>
          <w:b w:val="0"/>
          <w:i w:val="0"/>
          <w:sz w:val="22"/>
        </w:rPr>
        <w:t>专项研究给出的体系化对策是：掌握利用独立保函司法解释应对业主"介入权"滥用的司法止付程序，并在跨境争端中通过事先管辖条款设计建立裁判优势 [来源: P000453]。对拟出海与跨省承揽大型项目的企业，这一条的操作含义（本研究提示）：合同签订前即完成保函条款与管辖条款的法律审查，比事后诉讼救济的成本低一个数量级。</w:t>
      </w:r>
    </w:p>
    <w:p>
      <w:r>
        <w:rPr>
          <w:rFonts w:ascii="Calibri" w:hAnsi="Calibri" w:eastAsia="微软雅黑"/>
          <w:b w:val="0"/>
          <w:i w:val="0"/>
          <w:sz w:val="22"/>
        </w:rPr>
        <w:t>把判例与研究对策合并，可提炼出一份保函安全实操清单（清单为本研究据源文归纳）：</w:t>
      </w:r>
      <w:r>
        <w:rPr>
          <w:rFonts w:ascii="Calibri" w:hAnsi="Calibri" w:eastAsia="微软雅黑"/>
          <w:b/>
          <w:i w:val="0"/>
          <w:sz w:val="22"/>
        </w:rPr>
        <w:t>签约前</w:t>
      </w:r>
      <w:r>
        <w:rPr>
          <w:rFonts w:ascii="Calibri" w:hAnsi="Calibri" w:eastAsia="微软雅黑"/>
          <w:b w:val="0"/>
          <w:i w:val="0"/>
          <w:sz w:val="22"/>
        </w:rPr>
        <w:t>——审查合同中有无业主介入权安排及其触发条件，评估独立保函的金额、效期与减额机制，约定保函欺诈争议的管辖与法律适用；</w:t>
      </w:r>
      <w:r>
        <w:rPr>
          <w:rFonts w:ascii="Calibri" w:hAnsi="Calibri" w:eastAsia="微软雅黑"/>
          <w:b/>
          <w:i w:val="0"/>
          <w:sz w:val="22"/>
        </w:rPr>
        <w:t>履约中</w:t>
      </w:r>
      <w:r>
        <w:rPr>
          <w:rFonts w:ascii="Calibri" w:hAnsi="Calibri" w:eastAsia="微软雅黑"/>
          <w:b w:val="0"/>
          <w:i w:val="0"/>
          <w:sz w:val="22"/>
        </w:rPr>
        <w:t>——对每一次业主指令、介入通知、付款行为留痕归档，确保己方履约事实可举证，避免在保函索赔时陷入"违约方说不清、守约方证不明"的被动；</w:t>
      </w:r>
      <w:r>
        <w:rPr>
          <w:rFonts w:ascii="Calibri" w:hAnsi="Calibri" w:eastAsia="微软雅黑"/>
          <w:b/>
          <w:i w:val="0"/>
          <w:sz w:val="22"/>
        </w:rPr>
        <w:t>风险发生时</w:t>
      </w:r>
      <w:r>
        <w:rPr>
          <w:rFonts w:ascii="Calibri" w:hAnsi="Calibri" w:eastAsia="微软雅黑"/>
          <w:b w:val="0"/>
          <w:i w:val="0"/>
          <w:sz w:val="22"/>
        </w:rPr>
        <w:t>——第一时间评估索赔是否符合独立保函的欺诈例外情形，依法申请止付，同步启动管辖条款项下的争端程序。清单背后的原理只有一条：独立保函"见索即付"的特性使事后救济窗口极窄，安全边际几乎全部前置在签约环节（此原理说明为本研究观点）。</w:t>
      </w:r>
    </w:p>
    <w:p>
      <w:pPr>
        <w:pStyle w:val="Heading3"/>
      </w:pPr>
      <w:r>
        <w:t>5.4.3 "两金"防御与清收闭环：山东路桥与中国化学实证</w:t>
      </w:r>
    </w:p>
    <w:p>
      <w:pPr>
        <w:pStyle w:val="ListBullet"/>
      </w:pPr>
      <w:r>
        <w:rPr>
          <w:rFonts w:ascii="Calibri" w:hAnsi="Calibri" w:eastAsia="微软雅黑"/>
          <w:b/>
          <w:i w:val="0"/>
          <w:sz w:val="22"/>
        </w:rPr>
        <w:t>山东路桥（000498）——现金流由负转正的清收战</w:t>
      </w:r>
      <w:r>
        <w:rPr>
          <w:rFonts w:ascii="Calibri" w:hAnsi="Calibri" w:eastAsia="微软雅黑"/>
          <w:b w:val="0"/>
          <w:i w:val="0"/>
          <w:sz w:val="22"/>
        </w:rPr>
        <w:t xml:space="preserve"> [来源: P000428]：</w:t>
      </w:r>
    </w:p>
    <w:p>
      <w:r>
        <w:rPr>
          <w:rFonts w:ascii="Calibri" w:hAnsi="Calibri" w:eastAsia="微软雅黑"/>
          <w:b w:val="0"/>
          <w:i w:val="0"/>
          <w:sz w:val="22"/>
        </w:rPr>
        <w:t xml:space="preserve">* </w:t>
      </w:r>
      <w:r>
        <w:rPr>
          <w:rFonts w:ascii="Calibri" w:hAnsi="Calibri" w:eastAsia="微软雅黑"/>
          <w:b/>
          <w:i w:val="0"/>
          <w:sz w:val="22"/>
        </w:rPr>
        <w:t>数据（Data）</w:t>
      </w:r>
      <w:r>
        <w:rPr>
          <w:rFonts w:ascii="Calibri" w:hAnsi="Calibri" w:eastAsia="微软雅黑"/>
          <w:b w:val="0"/>
          <w:i w:val="0"/>
          <w:sz w:val="22"/>
        </w:rPr>
        <w:t>：2025年公司实现利润总额38.23亿元（同比增长4.51%）、归属于母公司所有者的净利润22.27亿元（同比下降4.12%）；经营活动产生的现金流量净额2.57亿元，较上年增加105%，由负转正；投资活动现金流量净额-29.55亿元（南京EOD、第一达卡高速路等在建投入增长）；筹资活动现金流量净额48.99亿元；综合融资成本3.80%，长期处于行业最低区间；期末资产总额1,823.63亿元（较年初增长11.63%）。</w:t>
      </w:r>
    </w:p>
    <w:p>
      <w:r>
        <w:rPr>
          <w:rFonts w:ascii="Calibri" w:hAnsi="Calibri" w:eastAsia="微软雅黑"/>
          <w:b w:val="0"/>
          <w:i w:val="0"/>
          <w:sz w:val="22"/>
        </w:rPr>
        <w:t xml:space="preserve">* </w:t>
      </w:r>
      <w:r>
        <w:rPr>
          <w:rFonts w:ascii="Calibri" w:hAnsi="Calibri" w:eastAsia="微软雅黑"/>
          <w:b/>
          <w:i w:val="0"/>
          <w:sz w:val="22"/>
        </w:rPr>
        <w:t>动作（Action）</w:t>
      </w:r>
      <w:r>
        <w:rPr>
          <w:rFonts w:ascii="Calibri" w:hAnsi="Calibri" w:eastAsia="微软雅黑"/>
          <w:b w:val="0"/>
          <w:i w:val="0"/>
          <w:sz w:val="22"/>
        </w:rPr>
        <w:t>：公司坚持激励与约束并重，狠抓"两金"尤其长账龄账款的清收清欠工作，有效改善了经营活动现金流质量；围绕成本、税收、资产盘活等领域深挖潜力，加大"两金"压降与资产盘活力度，严守债务杠杆红线，依托司库体系实现资金风险全流程可视可控。</w:t>
      </w:r>
    </w:p>
    <w:p>
      <w:r>
        <w:rPr>
          <w:rFonts w:ascii="Calibri" w:hAnsi="Calibri" w:eastAsia="微软雅黑"/>
          <w:b w:val="0"/>
          <w:i w:val="0"/>
          <w:sz w:val="22"/>
        </w:rPr>
        <w:t xml:space="preserve">* </w:t>
      </w:r>
      <w:r>
        <w:rPr>
          <w:rFonts w:ascii="Calibri" w:hAnsi="Calibri" w:eastAsia="微软雅黑"/>
          <w:b/>
          <w:i w:val="0"/>
          <w:sz w:val="22"/>
        </w:rPr>
        <w:t>结果（Result）</w:t>
      </w:r>
      <w:r>
        <w:rPr>
          <w:rFonts w:ascii="Calibri" w:hAnsi="Calibri" w:eastAsia="微软雅黑"/>
          <w:b w:val="0"/>
          <w:i w:val="0"/>
          <w:sz w:val="22"/>
        </w:rPr>
        <w:t>：营业成本与期间费用分别同比下降5.18%和3.57%，经营现金流净额由负转正，在地方化债与行业资金偏紧的环境中守住了资金链安全。</w:t>
      </w:r>
    </w:p>
    <w:p>
      <w:pPr>
        <w:pStyle w:val="ListBullet"/>
      </w:pPr>
      <w:r>
        <w:rPr>
          <w:rFonts w:ascii="Calibri" w:hAnsi="Calibri" w:eastAsia="微软雅黑"/>
          <w:b/>
          <w:i w:val="0"/>
          <w:sz w:val="22"/>
        </w:rPr>
        <w:t>中国化学（601117）——客户分级与"两金"压控体系</w:t>
      </w:r>
      <w:r>
        <w:rPr>
          <w:rFonts w:ascii="Calibri" w:hAnsi="Calibri" w:eastAsia="微软雅黑"/>
          <w:b w:val="0"/>
          <w:i w:val="0"/>
          <w:sz w:val="22"/>
        </w:rPr>
        <w:t xml:space="preserve"> [来源: P000426]：针对部分客户资信状况不佳、可能出现资金紧张与工程款拖欠的风险，公司强化客户资信调查、完善客户分级分类管理，落实信用风险预警机制，对触发预警项目及时采取措施；依托一体化管控平台优化应收账款风险预警模型，实现数据实时追踪与智能预警；完善考核激励机制，压实防控责任，加大清收成效等指标的考核权重；组建专班统筹多个重点项目完工结算，立体化开展"两金"压控，年末资产负债率70.2%。</w:t>
      </w:r>
    </w:p>
    <w:p>
      <w:r>
        <w:rPr>
          <w:rFonts w:ascii="Calibri" w:hAnsi="Calibri" w:eastAsia="微软雅黑"/>
          <w:b w:val="0"/>
          <w:i w:val="0"/>
          <w:sz w:val="22"/>
        </w:rPr>
        <w:t>两家企业的共同经验（本研究归纳）：清收不是财务部门的事后追讨，而是"客户准入分级—履约预警—专班清收—考核挂钩"的全链条机制；差异在于山东路桥以司库体系统管资金风险，中国化学以应收账款预警模型驱动前端防控。</w:t>
      </w:r>
    </w:p>
    <w:p>
      <w:r>
        <w:rPr>
          <w:rFonts w:ascii="Calibri" w:hAnsi="Calibri" w:eastAsia="微软雅黑"/>
          <w:b w:val="0"/>
          <w:i w:val="0"/>
          <w:sz w:val="22"/>
        </w:rPr>
        <w:t>把山东路桥的年度数据放到更长的时间轴上解读（本研究据年报口径整理），其清收战的意义更为立体：2025年公司在利润总额同比增长4.51%的同时，归母净利润同比下降4.12%（受重要子公司权益变动影响），营业成本与期间费用双降，经营现金流由负转正——一组"利润稳、费用降、现金流转正"的组合，说明其改善并非来自收缩，而是来自管理动作的实效；再叠加综合融资成本3.80%的资金优势，公司才能在-29.55亿元投资现金流的扩张强度下仍守住资金链 [来源: P000428]。这对跨区扩张企业的启示是：</w:t>
      </w:r>
      <w:r>
        <w:rPr>
          <w:rFonts w:ascii="Calibri" w:hAnsi="Calibri" w:eastAsia="微软雅黑"/>
          <w:b/>
          <w:i w:val="0"/>
          <w:sz w:val="22"/>
        </w:rPr>
        <w:t>投资联动战术的资金安全边界，取决于清收能力与融资成本两个变量</w:t>
      </w:r>
      <w:r>
        <w:rPr>
          <w:rFonts w:ascii="Calibri" w:hAnsi="Calibri" w:eastAsia="微软雅黑"/>
          <w:b w:val="0"/>
          <w:i w:val="0"/>
          <w:sz w:val="22"/>
        </w:rPr>
        <w:t>——清收快一档、融资成本低一档，可承受的投资强度就大一档（此句为本研究观点）。</w:t>
      </w:r>
    </w:p>
    <w:p>
      <w:r>
        <w:rPr>
          <w:rFonts w:ascii="Calibri" w:hAnsi="Calibri" w:eastAsia="微软雅黑"/>
          <w:b w:val="0"/>
          <w:i w:val="0"/>
          <w:sz w:val="22"/>
        </w:rPr>
        <w:t>中国化学的体系则展示了大型集团的"三防"结构（本研究归纳其年报要点）：一防客户风险——强化客户资信调查与分级分类管理，落实信用风险预警机制，对触发预警项目及时采取措施 [来源: P000426]；二防项目执行风险——化工项目施工周期长、参与主体多，公司强化项目风险评估与决策督导 [来源: P000426]；三防海外经营风险——落实"三个刚性规则"，强化国别风险监控与保险金融工具配置 [来源: P000426]。年末资产负债率70.2%的水平，则是三防体系的资产负债表映像 [来源: P000426]。</w:t>
      </w:r>
    </w:p>
    <w:p>
      <w:pPr>
        <w:pStyle w:val="Heading3"/>
      </w:pPr>
      <w:r>
        <w:t>5.4.4 集团级跨区管控：中国交建的"六化"底座</w:t>
      </w:r>
    </w:p>
    <w:p>
      <w:r>
        <w:rPr>
          <w:rFonts w:ascii="Calibri" w:hAnsi="Calibri" w:eastAsia="微软雅黑"/>
          <w:b w:val="0"/>
          <w:i w:val="0"/>
          <w:sz w:val="22"/>
        </w:rPr>
        <w:t>对跨区域、跨国经营的大型集团，风控不能只靠项目层的合同技巧，更需要集团级体系。中国交建"123456"总体发展思路中的"六化"建设（市场化机制、国际化水平、专业化精神、区域化布局、标准化管理、信息化支撑），把跨区经营的授权、流程与监控统一到标准化与信息化底座上 [来源: P000434]。设计板块分拆重组上市后，中交设计以专业化、一体化、科技化、高端化、资本化、国际化的定位运营，为跨区设计咨询业务提供了独立的市场化平台 [来源: P000434]。</w:t>
      </w:r>
    </w:p>
    <w:p>
      <w:r>
        <w:rPr>
          <w:rFonts w:ascii="Calibri" w:hAnsi="Calibri" w:eastAsia="微软雅黑"/>
          <w:b w:val="0"/>
          <w:i w:val="0"/>
          <w:sz w:val="22"/>
        </w:rPr>
        <w:t>"六化"对跨区风控的实质贡献，在于解决了"多点经营的一致性难题"（本研究解读）：市场化机制解决激励一致性——各区域主体的风险收益对等；标准化管理解决流程一致性——异地项目的评审、签约、变更、结算执行同一套模板；信息化支撑解决数据一致性——集团总部对分布各地的项目风险实时可见；区域化布局解决责任一致性——属地主体对属地风险终身负责。没有这四个一致性，再多的制度文件都止步于总部大楼内。中国交建2022年年报提出的"大交通"传统优势主业、"大城市"新军与国际化龙头并举的市场方针，正是在这一致性底座上展开的三线跨区布局 [来源: P000435]。对正在构建跨区体系的集团企业，可把"六化"当作自检清单逐项对照：激励、流程、数据、责任四方面的一致性，任何一项缺失都应在扩张提速前补齐（此建议为本研究观点）。</w:t>
      </w:r>
    </w:p>
    <w:p>
      <w:pPr>
        <w:pStyle w:val="Heading3"/>
      </w:pPr>
      <w:r>
        <w:t>5.4.5 跨区风控三道防线的整合</w:t>
      </w:r>
    </w:p>
    <w:p>
      <w:r>
        <w:rPr>
          <w:rFonts w:ascii="Calibri" w:hAnsi="Calibri" w:eastAsia="微软雅黑"/>
          <w:b w:val="0"/>
          <w:i w:val="0"/>
          <w:sz w:val="22"/>
        </w:rPr>
        <w:t>综合上述实证，跨区风控可以整合为三道防线（整合框架为本研究归纳）：</w:t>
      </w:r>
      <w:r>
        <w:rPr>
          <w:rFonts w:ascii="Calibri" w:hAnsi="Calibri" w:eastAsia="微软雅黑"/>
          <w:b/>
          <w:i w:val="0"/>
          <w:sz w:val="22"/>
        </w:rPr>
        <w:t>第一道在合同签订前</w:t>
      </w:r>
      <w:r>
        <w:rPr>
          <w:rFonts w:ascii="Calibri" w:hAnsi="Calibri" w:eastAsia="微软雅黑"/>
          <w:b w:val="0"/>
          <w:i w:val="0"/>
          <w:sz w:val="22"/>
        </w:rPr>
        <w:t>——E+P+C分拆架构、保函与管辖条款审查、客户资信分级 [来源: P000453, P000426]；</w:t>
      </w:r>
      <w:r>
        <w:rPr>
          <w:rFonts w:ascii="Calibri" w:hAnsi="Calibri" w:eastAsia="微软雅黑"/>
          <w:b/>
          <w:i w:val="0"/>
          <w:sz w:val="22"/>
        </w:rPr>
        <w:t>第二道在履约过程中</w:t>
      </w:r>
      <w:r>
        <w:rPr>
          <w:rFonts w:ascii="Calibri" w:hAnsi="Calibri" w:eastAsia="微软雅黑"/>
          <w:b w:val="0"/>
          <w:i w:val="0"/>
          <w:sz w:val="22"/>
        </w:rPr>
        <w:t>——里程碑付款申请材料与合同条款逐项对应、技术交验文件交付留痕、应收账款实时预警 [来源: P000453, P000426]；</w:t>
      </w:r>
      <w:r>
        <w:rPr>
          <w:rFonts w:ascii="Calibri" w:hAnsi="Calibri" w:eastAsia="微软雅黑"/>
          <w:b/>
          <w:i w:val="0"/>
          <w:sz w:val="22"/>
        </w:rPr>
        <w:t>第三道在风险发生后</w:t>
      </w:r>
      <w:r>
        <w:rPr>
          <w:rFonts w:ascii="Calibri" w:hAnsi="Calibri" w:eastAsia="微软雅黑"/>
          <w:b w:val="0"/>
          <w:i w:val="0"/>
          <w:sz w:val="22"/>
        </w:rPr>
        <w:t>——保函欺诈止付程序、清收专班与考核挂钩、司库体系资金监控 [来源: P000453, P000428]。三道防线分别对应"少签错合同、少生新欠款、快收旧欠款"，缺一道，跨区扩张的资金安全就有敞口。</w:t>
      </w:r>
    </w:p>
    <w:p>
      <w:pPr>
        <w:pStyle w:val="Heading3"/>
      </w:pPr>
      <w:r>
        <w:t>5.4.6 全面风险管理与合规经营：广西院的基础框架</w:t>
      </w:r>
    </w:p>
    <w:p>
      <w:r>
        <w:rPr>
          <w:rFonts w:ascii="Calibri" w:hAnsi="Calibri" w:eastAsia="微软雅黑"/>
          <w:b w:val="0"/>
          <w:i w:val="0"/>
          <w:sz w:val="22"/>
        </w:rPr>
        <w:t>在项目层面之上，跨区经营还需要一张覆盖全风险类别的管理网。广西院建立了完善的全面风险管理体系，对市场风险、技术风险、管理风险、财务风险、法律合规风险、政治风险等进行全面识别、评估、应对和监控，在项目前期即进行充分的风险评估并制定详细的风险应对预案；在合同管理上，加强合同评审、谈判和履行监控，确保合同条款清晰、权利义务明确、风险分担合理，规范变更索赔管理以维护公司合法权益；同时将合规经营作为企业发展的生命线，严格遵守国内外法律法规和行业规范，杜绝商业贿赂、不正当竞争等行为 [来源: P000411]。</w:t>
      </w:r>
    </w:p>
    <w:p>
      <w:r>
        <w:rPr>
          <w:rFonts w:ascii="Calibri" w:hAnsi="Calibri" w:eastAsia="微软雅黑"/>
          <w:b w:val="0"/>
          <w:i w:val="0"/>
          <w:sz w:val="22"/>
        </w:rPr>
        <w:t>六类风险的跨区加权（本研究解读）：在省外市场，法律合规风险与市场风险的权重显著上升——地方招投标规则差异、属地政策变动、业主支付能力分化，都远比本土市场复杂；在境外市场，政治风险则跃居首位。中国化学2025年年报对此提供了体系化注脚：公司强化国别风险监控，在项目开发和投标决策阶段实行分级分类管理；用好保险和金融工具，合理配置政治风险保险、出口信用保险等工具，降低极端政治事件对资产和收益的冲击；加强海外项目源头管理 [来源: P000426]。风险管理的资源投放应随区域类型动态加权，而非平均用力。</w:t>
      </w:r>
    </w:p>
    <w:p>
      <w:r>
        <w:rPr>
          <w:rFonts w:ascii="Calibri" w:hAnsi="Calibri" w:eastAsia="微软雅黑"/>
          <w:b w:val="0"/>
          <w:i w:val="0"/>
          <w:sz w:val="22"/>
        </w:rPr>
        <w:t>---</w:t>
      </w:r>
    </w:p>
    <w:p>
      <w:pPr>
        <w:pStyle w:val="Heading2"/>
      </w:pPr>
      <w:r>
        <w:t>5.5 区域扩张的买家自诊断：一张决策路线图</w:t>
      </w:r>
    </w:p>
    <w:p>
      <w:r>
        <w:rPr>
          <w:rFonts w:ascii="Calibri" w:hAnsi="Calibri" w:eastAsia="微软雅黑"/>
          <w:b w:val="0"/>
          <w:i w:val="0"/>
          <w:sz w:val="22"/>
        </w:rPr>
        <w:t>在结束本章之前，把前四节的实证整合为一张供工程企业高管直接使用的决策路线图（路线图为本研究归纳，不含构造数据；企业自评指标应取自本单位的法定与管理口径）：</w:t>
      </w:r>
    </w:p>
    <w:p>
      <w:pPr>
        <w:pStyle w:val="Heading4"/>
      </w:pPr>
      <w:r>
        <w:t>表5-5 区域扩张决策路线图（本研究归纳）</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决策环节</w:t>
            </w:r>
          </w:p>
        </w:tc>
        <w:tc>
          <w:tcPr>
            <w:tcW w:type="dxa" w:w="2075"/>
            <w:shd w:fill="1F3A5F"/>
          </w:tcPr>
          <w:p>
            <w:r>
              <w:rPr>
                <w:color w:val="FFFFFF"/>
              </w:rPr>
            </w:r>
            <w:r>
              <w:rPr>
                <w:rFonts w:ascii="Calibri" w:hAnsi="Calibri" w:eastAsia="微软雅黑"/>
                <w:b/>
                <w:i w:val="0"/>
                <w:color w:val="FFFFFF"/>
                <w:sz w:val="18"/>
              </w:rPr>
              <w:t>核心问题</w:t>
            </w:r>
          </w:p>
        </w:tc>
        <w:tc>
          <w:tcPr>
            <w:tcW w:type="dxa" w:w="2075"/>
            <w:shd w:fill="1F3A5F"/>
          </w:tcPr>
          <w:p>
            <w:r>
              <w:rPr>
                <w:color w:val="FFFFFF"/>
              </w:rPr>
            </w:r>
            <w:r>
              <w:rPr>
                <w:rFonts w:ascii="Calibri" w:hAnsi="Calibri" w:eastAsia="微软雅黑"/>
                <w:b/>
                <w:i w:val="0"/>
                <w:color w:val="FFFFFF"/>
                <w:sz w:val="18"/>
              </w:rPr>
              <w:t>对照实证</w:t>
            </w:r>
          </w:p>
        </w:tc>
        <w:tc>
          <w:tcPr>
            <w:tcW w:type="dxa" w:w="2075"/>
            <w:shd w:fill="1F3A5F"/>
          </w:tcPr>
          <w:p>
            <w:r>
              <w:rPr>
                <w:color w:val="FFFFFF"/>
              </w:rPr>
            </w:r>
            <w:r>
              <w:rPr>
                <w:rFonts w:ascii="Calibri" w:hAnsi="Calibri" w:eastAsia="微软雅黑"/>
                <w:b/>
                <w:i w:val="0"/>
                <w:color w:val="FFFFFF"/>
                <w:sz w:val="18"/>
              </w:rPr>
              <w:t>常见误区</w:t>
            </w:r>
          </w:p>
        </w:tc>
      </w:tr>
      <w:tr>
        <w:tc>
          <w:tcPr>
            <w:tcW w:type="dxa" w:w="2075"/>
          </w:tcPr>
          <w:p>
            <w:r/>
            <w:r>
              <w:rPr>
                <w:rFonts w:ascii="Calibri" w:hAnsi="Calibri" w:eastAsia="微软雅黑"/>
                <w:b w:val="0"/>
                <w:i w:val="0"/>
                <w:sz w:val="18"/>
              </w:rPr>
              <w:t>梯队定位</w:t>
            </w:r>
          </w:p>
        </w:tc>
        <w:tc>
          <w:tcPr>
            <w:tcW w:type="dxa" w:w="2075"/>
          </w:tcPr>
          <w:p>
            <w:r/>
            <w:r>
              <w:rPr>
                <w:rFonts w:ascii="Calibri" w:hAnsi="Calibri" w:eastAsia="微软雅黑"/>
                <w:b w:val="0"/>
                <w:i w:val="0"/>
                <w:sz w:val="18"/>
              </w:rPr>
              <w:t>我处于三级梯队的哪一级？升一级缺什么？</w:t>
            </w:r>
          </w:p>
        </w:tc>
        <w:tc>
          <w:tcPr>
            <w:tcW w:type="dxa" w:w="2075"/>
          </w:tcPr>
          <w:p>
            <w:r/>
            <w:r>
              <w:rPr>
                <w:rFonts w:ascii="Calibri" w:hAnsi="Calibri" w:eastAsia="微软雅黑"/>
                <w:b w:val="0"/>
                <w:i w:val="0"/>
                <w:sz w:val="18"/>
              </w:rPr>
              <w:t>表5-1四院对比；华东院融资+本地化双五星</w:t>
            </w:r>
          </w:p>
        </w:tc>
        <w:tc>
          <w:tcPr>
            <w:tcW w:type="dxa" w:w="2075"/>
          </w:tcPr>
          <w:p>
            <w:r/>
            <w:r>
              <w:rPr>
                <w:rFonts w:ascii="Calibri" w:hAnsi="Calibri" w:eastAsia="微软雅黑"/>
                <w:b w:val="0"/>
                <w:i w:val="0"/>
                <w:sz w:val="18"/>
              </w:rPr>
              <w:t>把地理范围当梯队，忽视融资与本地化短板</w:t>
            </w:r>
          </w:p>
        </w:tc>
      </w:tr>
      <w:tr>
        <w:tc>
          <w:tcPr>
            <w:tcW w:type="dxa" w:w="2075"/>
          </w:tcPr>
          <w:p>
            <w:r/>
            <w:r>
              <w:rPr>
                <w:rFonts w:ascii="Calibri" w:hAnsi="Calibri" w:eastAsia="微软雅黑"/>
                <w:b w:val="0"/>
                <w:i w:val="0"/>
                <w:sz w:val="18"/>
              </w:rPr>
              <w:t>进入方式</w:t>
            </w:r>
          </w:p>
        </w:tc>
        <w:tc>
          <w:tcPr>
            <w:tcW w:type="dxa" w:w="2075"/>
          </w:tcPr>
          <w:p>
            <w:r/>
            <w:r>
              <w:rPr>
                <w:rFonts w:ascii="Calibri" w:hAnsi="Calibri" w:eastAsia="微软雅黑"/>
                <w:b w:val="0"/>
                <w:i w:val="0"/>
                <w:sz w:val="18"/>
              </w:rPr>
              <w:t>用哪种战术破门？</w:t>
            </w:r>
          </w:p>
        </w:tc>
        <w:tc>
          <w:tcPr>
            <w:tcW w:type="dxa" w:w="2075"/>
          </w:tcPr>
          <w:p>
            <w:r/>
            <w:r>
              <w:rPr>
                <w:rFonts w:ascii="Calibri" w:hAnsi="Calibri" w:eastAsia="微软雅黑"/>
                <w:b w:val="0"/>
                <w:i w:val="0"/>
                <w:sz w:val="18"/>
              </w:rPr>
              <w:t>华东院技术破门；市政总院属地实体；山东路桥投资联动</w:t>
            </w:r>
          </w:p>
        </w:tc>
        <w:tc>
          <w:tcPr>
            <w:tcW w:type="dxa" w:w="2075"/>
          </w:tcPr>
          <w:p>
            <w:r/>
            <w:r>
              <w:rPr>
                <w:rFonts w:ascii="Calibri" w:hAnsi="Calibri" w:eastAsia="微软雅黑"/>
                <w:b w:val="0"/>
                <w:i w:val="0"/>
                <w:sz w:val="18"/>
              </w:rPr>
              <w:t>无技术优势却正面强攻；有技术却不懂属地注册</w:t>
            </w:r>
          </w:p>
        </w:tc>
      </w:tr>
      <w:tr>
        <w:tc>
          <w:tcPr>
            <w:tcW w:type="dxa" w:w="2075"/>
          </w:tcPr>
          <w:p>
            <w:r/>
            <w:r>
              <w:rPr>
                <w:rFonts w:ascii="Calibri" w:hAnsi="Calibri" w:eastAsia="微软雅黑"/>
                <w:b w:val="0"/>
                <w:i w:val="0"/>
                <w:sz w:val="18"/>
              </w:rPr>
              <w:t>组织承载</w:t>
            </w:r>
          </w:p>
        </w:tc>
        <w:tc>
          <w:tcPr>
            <w:tcW w:type="dxa" w:w="2075"/>
          </w:tcPr>
          <w:p>
            <w:r/>
            <w:r>
              <w:rPr>
                <w:rFonts w:ascii="Calibri" w:hAnsi="Calibri" w:eastAsia="微软雅黑"/>
                <w:b w:val="0"/>
                <w:i w:val="0"/>
                <w:sz w:val="18"/>
              </w:rPr>
              <w:t>跨区项目由谁履约？</w:t>
            </w:r>
          </w:p>
        </w:tc>
        <w:tc>
          <w:tcPr>
            <w:tcW w:type="dxa" w:w="2075"/>
          </w:tcPr>
          <w:p>
            <w:r/>
            <w:r>
              <w:rPr>
                <w:rFonts w:ascii="Calibri" w:hAnsi="Calibri" w:eastAsia="微软雅黑"/>
                <w:b w:val="0"/>
                <w:i w:val="0"/>
                <w:sz w:val="18"/>
              </w:rPr>
              <w:t>四级权责结构（表5-4）；华东院工程公司60%份额</w:t>
            </w:r>
          </w:p>
        </w:tc>
        <w:tc>
          <w:tcPr>
            <w:tcW w:type="dxa" w:w="2075"/>
          </w:tcPr>
          <w:p>
            <w:r/>
            <w:r>
              <w:rPr>
                <w:rFonts w:ascii="Calibri" w:hAnsi="Calibri" w:eastAsia="微软雅黑"/>
                <w:b w:val="0"/>
                <w:i w:val="0"/>
                <w:sz w:val="18"/>
              </w:rPr>
              <w:t>飞地式临时项目部，事毕人散经验散</w:t>
            </w:r>
          </w:p>
        </w:tc>
      </w:tr>
      <w:tr>
        <w:tc>
          <w:tcPr>
            <w:tcW w:type="dxa" w:w="2075"/>
          </w:tcPr>
          <w:p>
            <w:r/>
            <w:r>
              <w:rPr>
                <w:rFonts w:ascii="Calibri" w:hAnsi="Calibri" w:eastAsia="微软雅黑"/>
                <w:b w:val="0"/>
                <w:i w:val="0"/>
                <w:sz w:val="18"/>
              </w:rPr>
              <w:t>管理中枢</w:t>
            </w:r>
          </w:p>
        </w:tc>
        <w:tc>
          <w:tcPr>
            <w:tcW w:type="dxa" w:w="2075"/>
          </w:tcPr>
          <w:p>
            <w:r/>
            <w:r>
              <w:rPr>
                <w:rFonts w:ascii="Calibri" w:hAnsi="Calibri" w:eastAsia="微软雅黑"/>
                <w:b w:val="0"/>
                <w:i w:val="0"/>
                <w:sz w:val="18"/>
              </w:rPr>
              <w:t>进度成本如何算清控住？</w:t>
            </w:r>
          </w:p>
        </w:tc>
        <w:tc>
          <w:tcPr>
            <w:tcW w:type="dxa" w:w="2075"/>
          </w:tcPr>
          <w:p>
            <w:r/>
            <w:r>
              <w:rPr>
                <w:rFonts w:ascii="Calibri" w:hAnsi="Calibri" w:eastAsia="微软雅黑"/>
                <w:b w:val="0"/>
                <w:i w:val="0"/>
                <w:sz w:val="18"/>
              </w:rPr>
              <w:t>中南院费控中心；山东院建文平台与BIM</w:t>
            </w:r>
          </w:p>
        </w:tc>
        <w:tc>
          <w:tcPr>
            <w:tcW w:type="dxa" w:w="2075"/>
          </w:tcPr>
          <w:p>
            <w:r/>
            <w:r>
              <w:rPr>
                <w:rFonts w:ascii="Calibri" w:hAnsi="Calibri" w:eastAsia="微软雅黑"/>
                <w:b w:val="0"/>
                <w:i w:val="0"/>
                <w:sz w:val="18"/>
              </w:rPr>
              <w:t>只装系统不改流程，数字化的空转</w:t>
            </w:r>
          </w:p>
        </w:tc>
      </w:tr>
      <w:tr>
        <w:tc>
          <w:tcPr>
            <w:tcW w:type="dxa" w:w="2075"/>
          </w:tcPr>
          <w:p>
            <w:r/>
            <w:r>
              <w:rPr>
                <w:rFonts w:ascii="Calibri" w:hAnsi="Calibri" w:eastAsia="微软雅黑"/>
                <w:b w:val="0"/>
                <w:i w:val="0"/>
                <w:sz w:val="18"/>
              </w:rPr>
              <w:t>风控底线</w:t>
            </w:r>
          </w:p>
        </w:tc>
        <w:tc>
          <w:tcPr>
            <w:tcW w:type="dxa" w:w="2075"/>
          </w:tcPr>
          <w:p>
            <w:r/>
            <w:r>
              <w:rPr>
                <w:rFonts w:ascii="Calibri" w:hAnsi="Calibri" w:eastAsia="微软雅黑"/>
                <w:b w:val="0"/>
                <w:i w:val="0"/>
                <w:sz w:val="18"/>
              </w:rPr>
              <w:t>合同、保函、两金如何设防？</w:t>
            </w:r>
          </w:p>
        </w:tc>
        <w:tc>
          <w:tcPr>
            <w:tcW w:type="dxa" w:w="2075"/>
          </w:tcPr>
          <w:p>
            <w:r/>
            <w:r>
              <w:rPr>
                <w:rFonts w:ascii="Calibri" w:hAnsi="Calibri" w:eastAsia="微软雅黑"/>
                <w:b w:val="0"/>
                <w:i w:val="0"/>
                <w:sz w:val="18"/>
              </w:rPr>
              <w:t>E+P+C分拆与判例规则；山东路桥清收战</w:t>
            </w:r>
          </w:p>
        </w:tc>
        <w:tc>
          <w:tcPr>
            <w:tcW w:type="dxa" w:w="2075"/>
          </w:tcPr>
          <w:p>
            <w:r/>
            <w:r>
              <w:rPr>
                <w:rFonts w:ascii="Calibri" w:hAnsi="Calibri" w:eastAsia="微软雅黑"/>
                <w:b w:val="0"/>
                <w:i w:val="0"/>
                <w:sz w:val="18"/>
              </w:rPr>
              <w:t>重签约轻条款，重进度轻文件交付</w:t>
            </w:r>
          </w:p>
        </w:tc>
      </w:tr>
      <w:tr>
        <w:tc>
          <w:tcPr>
            <w:tcW w:type="dxa" w:w="2075"/>
          </w:tcPr>
          <w:p>
            <w:r/>
            <w:r>
              <w:rPr>
                <w:rFonts w:ascii="Calibri" w:hAnsi="Calibri" w:eastAsia="微软雅黑"/>
                <w:b w:val="0"/>
                <w:i w:val="0"/>
                <w:sz w:val="18"/>
              </w:rPr>
              <w:t>人才弹药</w:t>
            </w:r>
          </w:p>
        </w:tc>
        <w:tc>
          <w:tcPr>
            <w:tcW w:type="dxa" w:w="2075"/>
          </w:tcPr>
          <w:p>
            <w:r/>
            <w:r>
              <w:rPr>
                <w:rFonts w:ascii="Calibri" w:hAnsi="Calibri" w:eastAsia="微软雅黑"/>
                <w:b w:val="0"/>
                <w:i w:val="0"/>
                <w:sz w:val="18"/>
              </w:rPr>
              <w:t>谁去区域并留得住？</w:t>
            </w:r>
          </w:p>
        </w:tc>
        <w:tc>
          <w:tcPr>
            <w:tcW w:type="dxa" w:w="2075"/>
          </w:tcPr>
          <w:p>
            <w:r/>
            <w:r>
              <w:rPr>
                <w:rFonts w:ascii="Calibri" w:hAnsi="Calibri" w:eastAsia="微软雅黑"/>
                <w:b w:val="0"/>
                <w:i w:val="0"/>
                <w:sz w:val="18"/>
              </w:rPr>
              <w:t>广西院复合型轮岗；市政总院启明星/拂晓计划</w:t>
            </w:r>
          </w:p>
        </w:tc>
        <w:tc>
          <w:tcPr>
            <w:tcW w:type="dxa" w:w="2075"/>
          </w:tcPr>
          <w:p>
            <w:r/>
            <w:r>
              <w:rPr>
                <w:rFonts w:ascii="Calibri" w:hAnsi="Calibri" w:eastAsia="微软雅黑"/>
                <w:b w:val="0"/>
                <w:i w:val="0"/>
                <w:sz w:val="18"/>
              </w:rPr>
              <w:t>行政命令式下沉，激励不随岗走</w:t>
            </w:r>
          </w:p>
        </w:tc>
      </w:tr>
    </w:tbl>
    <w:p>
      <w:r>
        <w:rPr>
          <w:rFonts w:ascii="Calibri" w:hAnsi="Calibri" w:eastAsia="微软雅黑"/>
          <w:b w:val="0"/>
          <w:i w:val="0"/>
          <w:sz w:val="22"/>
        </w:rPr>
        <w:t>这张路线图的用法（本研究建议）：每半年对照一次，每列只回答一个问题——"这一环，我的企业与标杆的差距是能力问题还是决心问题"。能力问题靠引进与建设（如融资能力、数字化平台），决心问题靠治理调整（如区域授权、激励重设）；两者的解法完全不同，混同处理是区域扩张失败最常见的根因。</w:t>
      </w:r>
    </w:p>
    <w:p>
      <w:r>
        <w:rPr>
          <w:rFonts w:ascii="Calibri" w:hAnsi="Calibri" w:eastAsia="微软雅黑"/>
          <w:b w:val="0"/>
          <w:i w:val="0"/>
          <w:sz w:val="22"/>
        </w:rPr>
        <w:t>路线图还可以反向使用，即作为</w:t>
      </w:r>
      <w:r>
        <w:rPr>
          <w:rFonts w:ascii="Calibri" w:hAnsi="Calibri" w:eastAsia="微软雅黑"/>
          <w:b/>
          <w:i w:val="0"/>
          <w:sz w:val="22"/>
        </w:rPr>
        <w:t>扩张节奏的刹车清单</w:t>
      </w:r>
      <w:r>
        <w:rPr>
          <w:rFonts w:ascii="Calibri" w:hAnsi="Calibri" w:eastAsia="微软雅黑"/>
          <w:b w:val="0"/>
          <w:i w:val="0"/>
          <w:sz w:val="22"/>
        </w:rPr>
        <w:t>：当"组织承载"与"人才弹药"两环的差距尚未收窄时，主动放慢"进入方式"一环的推进速度，是成本最低的风险控制。区域市场上最昂贵的学费，不是错过的项目，而是在组织与人才未就绪时强行拿下的大项目——一个失控的异地大项目足以吞噬一个区域市场数年的利润积累（此判断为本研究观点，源自对飞地失灵机制与风控三道防线的综合推演，属示意性复盘性质的提醒，不指向具体企业）。</w:t>
      </w:r>
    </w:p>
    <w:p>
      <w:r>
        <w:rPr>
          <w:rFonts w:ascii="Calibri" w:hAnsi="Calibri" w:eastAsia="微软雅黑"/>
          <w:b w:val="0"/>
          <w:i w:val="0"/>
          <w:sz w:val="22"/>
        </w:rPr>
        <w:t>---</w:t>
      </w:r>
    </w:p>
    <w:p>
      <w:pPr>
        <w:pStyle w:val="Heading2"/>
      </w:pPr>
      <w:r>
        <w:t>5.6 本章小结要点</w:t>
      </w:r>
    </w:p>
    <w:p>
      <w:pPr>
        <w:pStyle w:val="ListNumber"/>
      </w:pPr>
      <w:r>
        <w:rPr>
          <w:rFonts w:ascii="Calibri" w:hAnsi="Calibri" w:eastAsia="微软雅黑"/>
          <w:b/>
          <w:i w:val="0"/>
          <w:sz w:val="22"/>
        </w:rPr>
        <w:t>区域梯队的本质是属地化作战能力而非地理范围</w:t>
      </w:r>
      <w:r>
        <w:rPr>
          <w:rFonts w:ascii="Calibri" w:hAnsi="Calibri" w:eastAsia="微软雅黑"/>
          <w:b w:val="0"/>
          <w:i w:val="0"/>
          <w:sz w:val="22"/>
        </w:rPr>
        <w:t>：全国布局型（华东院、中南院）、省域辐射型（山东院、广西院）与区域专精型三级梯队之间，融资能力、本地化经营与数字化水平是三大分水岭；四家电力大院横向对比显示，海外业务占比最高的企业恰恰是融资能力获最高评价的企业 [来源: P000401, P000406, P000411, P000416]。梯队升维的三个杠杆存在时间次序——数字化先行补管理短板、本地化跟进建根据地、融资能力最后水到渠成；华东院从2008年营收10亿元到2017年150亿元的九年十五倍增长，正是三杠杆依次兑现的完整样本 [来源: P000406]。</w:t>
      </w:r>
    </w:p>
    <w:p>
      <w:pPr>
        <w:pStyle w:val="ListNumber"/>
      </w:pPr>
      <w:r>
        <w:rPr>
          <w:rFonts w:ascii="Calibri" w:hAnsi="Calibri" w:eastAsia="微软雅黑"/>
          <w:b/>
          <w:i w:val="0"/>
          <w:sz w:val="22"/>
        </w:rPr>
        <w:t>属地破局有四战术且须组合使用</w:t>
      </w:r>
      <w:r>
        <w:rPr>
          <w:rFonts w:ascii="Calibri" w:hAnsi="Calibri" w:eastAsia="微软雅黑"/>
          <w:b w:val="0"/>
          <w:i w:val="0"/>
          <w:sz w:val="22"/>
        </w:rPr>
        <w:t>：技术正面破门（华东院跨区大项目序列）、属地实体注册（上海市政总院"2+2+10"布局与区域公司体系）、投资联动换标（山东路桥南京EOD、第一达卡高速路投入）、集团协同与分拆上市（中交设计）；单用一术只能解决单点问题，组合使用才能形成进入-站稳-接住的完整链路，且战术组合应随市场类型（工业能源、市政房建、财政紧平衡基础设施、集团主导重大工程）动态调配（本条框架为本研究归纳）[来源: P000406, P000421, P000428, P000434]。</w:t>
      </w:r>
    </w:p>
    <w:p>
      <w:pPr>
        <w:pStyle w:val="ListNumber"/>
      </w:pPr>
      <w:r>
        <w:rPr>
          <w:rFonts w:ascii="Calibri" w:hAnsi="Calibri" w:eastAsia="微软雅黑"/>
          <w:b/>
          <w:i w:val="0"/>
          <w:sz w:val="22"/>
        </w:rPr>
        <w:t>实体化重构是跨区履约的组织保障</w:t>
      </w:r>
      <w:r>
        <w:rPr>
          <w:rFonts w:ascii="Calibri" w:hAnsi="Calibri" w:eastAsia="微软雅黑"/>
          <w:b w:val="0"/>
          <w:i w:val="0"/>
          <w:sz w:val="22"/>
        </w:rPr>
        <w:t>：华东院以项目为中心的矩阵结构（工程公司承担全院约60%总承包份额）、广西院扁平化矩阵、山东院事业部制加区域公司、上海市政总院三级管理架构，共同指向"总部资源池-专业院支撑-区域公司属地经营-项目部穿透履约"的四级形态，其内核是设计专业轨与项目区域轨的"双轨制"及以项目为中心的接口设计；配套的费控中心（中南院）与数字化EPC平台（山东院建文平台，BIM使设计周期缩短15%、变更率降低20%；华东院OWind数字能源服务平台整合多维管理功能）让矩阵算得清、控得住 [来源: P000401, P000406, P000411, P000416, P000421]。</w:t>
      </w:r>
    </w:p>
    <w:p>
      <w:pPr>
        <w:pStyle w:val="ListNumber"/>
      </w:pPr>
      <w:r>
        <w:rPr>
          <w:rFonts w:ascii="Calibri" w:hAnsi="Calibri" w:eastAsia="微软雅黑"/>
          <w:b/>
          <w:i w:val="0"/>
          <w:sz w:val="22"/>
        </w:rPr>
        <w:t>跨区风控的三道防线缺一不可</w:t>
      </w:r>
      <w:r>
        <w:rPr>
          <w:rFonts w:ascii="Calibri" w:hAnsi="Calibri" w:eastAsia="微软雅黑"/>
          <w:b w:val="0"/>
          <w:i w:val="0"/>
          <w:sz w:val="22"/>
        </w:rPr>
        <w:t>：E+P+C合同分拆与里程碑付款材料逐项对应（签约前与履约中）、保函止付与管辖条款反击（争端时）、"两金"清收专班与预警模型（全程）；山东路桥以经营现金流由负转正（2.57亿元、同比增加105%）验证了清收机制的实效，中国化学以客户分级与预警模型压控"两金"、年末资产负债率70.2%验证了体系化风控的可行性 [来源: P000453, P000428, P000426]。</w:t>
      </w:r>
    </w:p>
    <w:p>
      <w:pPr>
        <w:pStyle w:val="ListNumber"/>
      </w:pPr>
      <w:r>
        <w:rPr>
          <w:rFonts w:ascii="Calibri" w:hAnsi="Calibri" w:eastAsia="微软雅黑"/>
          <w:b/>
          <w:i w:val="0"/>
          <w:sz w:val="22"/>
        </w:rPr>
        <w:t>区域扩张是一场组织与人才的持久战</w:t>
      </w:r>
      <w:r>
        <w:rPr>
          <w:rFonts w:ascii="Calibri" w:hAnsi="Calibri" w:eastAsia="微软雅黑"/>
          <w:b w:val="0"/>
          <w:i w:val="0"/>
          <w:sz w:val="22"/>
        </w:rPr>
        <w:t>：广西院的复合型人才轮岗与国际化选派、上海市政总院的"启明星""拂晓计划"与院士大师领衔结构、中国交建的"六化"一致性底座共同说明——市场进入可以在一年内完成，组织承载与人才弹药的建设却以数年计；企业应把区域战略的一半资源配置给组织与人才，而不是全部押在市场开拓上（本条为本研究归纳）[来源: P000411, P000421, P000434]。</w:t>
      </w:r>
    </w:p>
    <w:p>
      <w:r>
        <w:rPr>
          <w:rFonts w:ascii="Calibri" w:hAnsi="Calibri" w:eastAsia="微软雅黑"/>
          <w:b w:val="0"/>
          <w:i w:val="0"/>
          <w:sz w:val="22"/>
        </w:rPr>
        <w:t>---</w:t>
      </w:r>
    </w:p>
    <w:p>
      <w:pPr>
        <w:pStyle w:val="Heading2"/>
      </w:pPr>
      <w:r>
        <w:t>5.7 本章证据边界与数据说明</w:t>
      </w:r>
    </w:p>
    <w:p>
      <w:pPr>
        <w:pStyle w:val="ListNumber"/>
      </w:pPr>
      <w:r>
        <w:rPr>
          <w:rFonts w:ascii="Calibri" w:hAnsi="Calibri" w:eastAsia="微软雅黑"/>
          <w:b/>
          <w:i w:val="0"/>
          <w:sz w:val="22"/>
        </w:rPr>
        <w:t>数据来源说明</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专业机构研究报告</w:t>
      </w:r>
      <w:r>
        <w:rPr>
          <w:rFonts w:ascii="Calibri" w:hAnsi="Calibri" w:eastAsia="微软雅黑"/>
          <w:b w:val="0"/>
          <w:i w:val="0"/>
          <w:sz w:val="22"/>
        </w:rPr>
        <w:t>：中国电力工程顾问集团中南电力设计院、中国电建集团华东勘测设计研究院、中国能建广西电力设计研究院、山东电力工程咨询院、上海市政工程设计研究总院EPC总承包业务研究报告（事实资料库实收件）[来源: P000401, P000406, P000411, P000416, P000421]。</w:t>
      </w:r>
    </w:p>
    <w:p>
      <w:r>
        <w:rPr>
          <w:rFonts w:ascii="Calibri" w:hAnsi="Calibri" w:eastAsia="微软雅黑"/>
          <w:b w:val="0"/>
          <w:i w:val="0"/>
          <w:sz w:val="22"/>
        </w:rPr>
        <w:t xml:space="preserve">- </w:t>
      </w:r>
      <w:r>
        <w:rPr>
          <w:rFonts w:ascii="Calibri" w:hAnsi="Calibri" w:eastAsia="微软雅黑"/>
          <w:b/>
          <w:i w:val="0"/>
          <w:sz w:val="22"/>
        </w:rPr>
        <w:t>上市公司法定信息披露</w:t>
      </w:r>
      <w:r>
        <w:rPr>
          <w:rFonts w:ascii="Calibri" w:hAnsi="Calibri" w:eastAsia="微软雅黑"/>
          <w:b w:val="0"/>
          <w:i w:val="0"/>
          <w:sz w:val="22"/>
        </w:rPr>
        <w:t>：山东路桥（000498）2025年年度报告、中国化学（601117）2025年年度报告、中国交建（601800）2023年、2022年年度报告（来源于巨潮资讯网）[来源: P000428, P000426, P000434, P000435]。</w:t>
      </w:r>
    </w:p>
    <w:p>
      <w:r>
        <w:rPr>
          <w:rFonts w:ascii="Calibri" w:hAnsi="Calibri" w:eastAsia="微软雅黑"/>
          <w:b w:val="0"/>
          <w:i w:val="0"/>
          <w:sz w:val="22"/>
        </w:rPr>
        <w:t xml:space="preserve">- </w:t>
      </w:r>
      <w:r>
        <w:rPr>
          <w:rFonts w:ascii="Calibri" w:hAnsi="Calibri" w:eastAsia="微软雅黑"/>
          <w:b/>
          <w:i w:val="0"/>
          <w:sz w:val="22"/>
        </w:rPr>
        <w:t>专项研究基底</w:t>
      </w:r>
      <w:r>
        <w:rPr>
          <w:rFonts w:ascii="Calibri" w:hAnsi="Calibri" w:eastAsia="微软雅黑"/>
          <w:b w:val="0"/>
          <w:i w:val="0"/>
          <w:sz w:val="22"/>
        </w:rPr>
        <w:t>：中石化南京工程有限公司EPC专项研究之业务版图与跨境风控章（E+P+C分拆、里程碑付款判例复盘、独立保函介入权案例、管辖条款设计，其案例事实转引自《中国建设工程争议解决年度观察》）[来源: P000453]。</w:t>
      </w:r>
    </w:p>
    <w:p>
      <w:pPr>
        <w:pStyle w:val="ListNumber"/>
      </w:pPr>
      <w:r>
        <w:rPr>
          <w:rFonts w:ascii="Calibri" w:hAnsi="Calibri" w:eastAsia="微软雅黑"/>
          <w:b/>
          <w:i w:val="0"/>
          <w:sz w:val="22"/>
        </w:rPr>
        <w:t>统计口径与时间跨度</w:t>
      </w:r>
      <w:r>
        <w:rPr>
          <w:rFonts w:ascii="Calibri" w:hAnsi="Calibri" w:eastAsia="微软雅黑"/>
          <w:b w:val="0"/>
          <w:i w:val="0"/>
          <w:sz w:val="22"/>
        </w:rPr>
        <w:t>：本章企业财务数据以2025年年报为主（山东路桥、中国化学），中国交建组织事实取自2023年年报；各研究报告中的组织与项目事实为报告成稿时点的公开资料整理，未逐一标注发生年度的表述均为归纳性描述。表5-1的合同额区间、占比与星级、表5-3的项目金额（"约"字头）均为研究报告整理口径而非企业法定披露。华东院研究报告自述其数据来源包括公司官网与年报等公开资料、行业报告与政策文件、学术论文与研究成果、项目案例资料及行业评价与奖项信息 [来源: P000406]——即研究报告口径的可靠性建立在公开信息交叉印证之上，读者对其中未标注年份的业绩数字应按"成稿时点累积口径"理解。</w:t>
      </w:r>
    </w:p>
    <w:p>
      <w:pPr>
        <w:pStyle w:val="ListNumber"/>
      </w:pPr>
      <w:r>
        <w:rPr>
          <w:rFonts w:ascii="Calibri" w:hAnsi="Calibri" w:eastAsia="微软雅黑"/>
          <w:b/>
          <w:i w:val="0"/>
          <w:sz w:val="22"/>
        </w:rPr>
        <w:t>研究证据边界与局限性声明</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推演边界</w:t>
      </w:r>
      <w:r>
        <w:rPr>
          <w:rFonts w:ascii="Calibri" w:hAnsi="Calibri" w:eastAsia="微软雅黑"/>
          <w:b w:val="0"/>
          <w:i w:val="0"/>
          <w:sz w:val="22"/>
        </w:rPr>
        <w:t>：三级梯队模型、属地四战术组合框架、飞地失灵机制、四级权责结构、人才下沉条件、跨区风控三道防线均为本研究基于实证资料的归纳，已逐处标注"本研究归纳/观点"；其适用性依赖企业自身资源与区域市场具体政策环境。</w:t>
      </w:r>
    </w:p>
    <w:p>
      <w:r>
        <w:rPr>
          <w:rFonts w:ascii="Calibri" w:hAnsi="Calibri" w:eastAsia="微软雅黑"/>
          <w:b w:val="0"/>
          <w:i w:val="0"/>
          <w:sz w:val="22"/>
        </w:rPr>
        <w:t xml:space="preserve">- </w:t>
      </w:r>
      <w:r>
        <w:rPr>
          <w:rFonts w:ascii="Calibri" w:hAnsi="Calibri" w:eastAsia="微软雅黑"/>
          <w:b/>
          <w:i w:val="0"/>
          <w:sz w:val="22"/>
        </w:rPr>
        <w:t>判例复盘边界</w:t>
      </w:r>
      <w:r>
        <w:rPr>
          <w:rFonts w:ascii="Calibri" w:hAnsi="Calibri" w:eastAsia="微软雅黑"/>
          <w:b w:val="0"/>
          <w:i w:val="0"/>
          <w:sz w:val="22"/>
        </w:rPr>
        <w:t>：5.4.1与5.4.2的判例细节转引自专项研究及其援引的争议解决年度观察报告，用于说明裁判规则与风险机理，不构成对任何在办案件的法律意见。</w:t>
      </w:r>
    </w:p>
    <w:p>
      <w:r>
        <w:rPr>
          <w:rFonts w:ascii="Calibri" w:hAnsi="Calibri" w:eastAsia="微软雅黑"/>
          <w:b w:val="0"/>
          <w:i w:val="0"/>
          <w:sz w:val="22"/>
        </w:rPr>
        <w:t xml:space="preserve">- </w:t>
      </w:r>
      <w:r>
        <w:rPr>
          <w:rFonts w:ascii="Calibri" w:hAnsi="Calibri" w:eastAsia="微软雅黑"/>
          <w:b/>
          <w:i w:val="0"/>
          <w:sz w:val="22"/>
        </w:rPr>
        <w:t>估算数据边界</w:t>
      </w:r>
      <w:r>
        <w:rPr>
          <w:rFonts w:ascii="Calibri" w:hAnsi="Calibri" w:eastAsia="微软雅黑"/>
          <w:b w:val="0"/>
          <w:i w:val="0"/>
          <w:sz w:val="22"/>
        </w:rPr>
        <w:t>：表5-1中"约120-150亿元""约35%"等区间与占比、山东院市场份额（估计3%-5%与5%-8%）均为研究机构估算，读者用于对标时应以企业法定披露与本单位管理口径复核 [来源: P000401, P000416]。</w:t>
      </w:r>
    </w:p>
    <w:p>
      <w:r>
        <w:rPr>
          <w:rFonts w:ascii="Calibri" w:hAnsi="Calibri" w:eastAsia="微软雅黑"/>
          <w:b w:val="0"/>
          <w:i w:val="0"/>
          <w:sz w:val="22"/>
        </w:rPr>
        <w:t xml:space="preserve">- </w:t>
      </w:r>
      <w:r>
        <w:rPr>
          <w:rFonts w:ascii="Calibri" w:hAnsi="Calibri" w:eastAsia="微软雅黑"/>
          <w:b/>
          <w:i w:val="0"/>
          <w:sz w:val="22"/>
        </w:rPr>
        <w:t>政策时效边界</w:t>
      </w:r>
      <w:r>
        <w:rPr>
          <w:rFonts w:ascii="Calibri" w:hAnsi="Calibri" w:eastAsia="微软雅黑"/>
          <w:b w:val="0"/>
          <w:i w:val="0"/>
          <w:sz w:val="22"/>
        </w:rPr>
        <w:t>：跨区域财税、招投标与化债政策处于持续调整期，本章涉及"两金"清收与投资联动的实践均以2025年年报披露为时间截面，读者落地时应对照所在地最新政策核对。</w:t>
      </w:r>
    </w:p>
    <w:p>
      <w:r>
        <w:rPr>
          <w:rFonts w:ascii="Calibri" w:hAnsi="Calibri" w:eastAsia="微软雅黑"/>
          <w:b w:val="0"/>
          <w:i w:val="0"/>
          <w:sz w:val="22"/>
        </w:rPr>
        <w:t xml:space="preserve">- </w:t>
      </w:r>
      <w:r>
        <w:rPr>
          <w:rFonts w:ascii="Calibri" w:hAnsi="Calibri" w:eastAsia="微软雅黑"/>
          <w:b/>
          <w:i w:val="0"/>
          <w:sz w:val="22"/>
        </w:rPr>
        <w:t>对标使用边界</w:t>
      </w:r>
      <w:r>
        <w:rPr>
          <w:rFonts w:ascii="Calibri" w:hAnsi="Calibri" w:eastAsia="微软雅黑"/>
          <w:b w:val="0"/>
          <w:i w:val="0"/>
          <w:sz w:val="22"/>
        </w:rPr>
        <w:t>：本章大量实证来自大院实践，其组织形态（如专设工程公司、事业部制）以相当规模的业务体量为前提；中小型企业引用时应按自身体量裁剪，避免组织形态的过度超前建设（此提醒为本研究观点）。</w:t>
      </w:r>
    </w:p>
    <w:p>
      <w:r>
        <w:rPr>
          <w:rFonts w:ascii="Calibri" w:hAnsi="Calibri" w:eastAsia="微软雅黑"/>
          <w:b w:val="0"/>
          <w:i w:val="0"/>
          <w:sz w:val="22"/>
        </w:rPr>
        <w:t>---</w:t>
      </w:r>
    </w:p>
    <w:p>
      <w:pPr>
        <w:pStyle w:val="Heading2"/>
      </w:pPr>
      <w:r>
        <w:t>本章尾注（事实锚源对照）</w:t>
      </w:r>
    </w:p>
    <w:tbl>
      <w:tblPr>
        <w:tblStyle w:val="TableGrid"/>
        <w:tblW w:type="auto" w:w="0"/>
        <w:tblLook w:firstColumn="1" w:firstRow="1" w:lastColumn="0" w:lastRow="0" w:noHBand="0" w:noVBand="1" w:val="04A0"/>
      </w:tblPr>
      <w:tblGrid>
        <w:gridCol w:w="4150"/>
        <w:gridCol w:w="4150"/>
      </w:tblGrid>
      <w:tr>
        <w:tc>
          <w:tcPr>
            <w:tcW w:type="dxa" w:w="4150"/>
            <w:shd w:fill="1F3A5F"/>
          </w:tcPr>
          <w:p>
            <w:r>
              <w:rPr>
                <w:color w:val="FFFFFF"/>
              </w:rPr>
            </w:r>
            <w:r>
              <w:rPr>
                <w:rFonts w:ascii="Calibri" w:hAnsi="Calibri" w:eastAsia="微软雅黑"/>
                <w:b/>
                <w:i w:val="0"/>
                <w:color w:val="FFFFFF"/>
                <w:sz w:val="18"/>
              </w:rPr>
              <w:t>事实锚</w:t>
            </w:r>
          </w:p>
        </w:tc>
        <w:tc>
          <w:tcPr>
            <w:tcW w:type="dxa" w:w="4150"/>
            <w:shd w:fill="1F3A5F"/>
          </w:tcPr>
          <w:p>
            <w:r>
              <w:rPr>
                <w:color w:val="FFFFFF"/>
              </w:rPr>
            </w:r>
            <w:r>
              <w:rPr>
                <w:rFonts w:ascii="Calibri" w:hAnsi="Calibri" w:eastAsia="微软雅黑"/>
                <w:b/>
                <w:i w:val="0"/>
                <w:color w:val="FFFFFF"/>
                <w:sz w:val="18"/>
              </w:rPr>
              <w:t>源文（事实资料库实收件）</w:t>
            </w:r>
          </w:p>
        </w:tc>
      </w:tr>
      <w:tr>
        <w:tc>
          <w:tcPr>
            <w:tcW w:type="dxa" w:w="4150"/>
          </w:tcPr>
          <w:p>
            <w:r/>
            <w:r>
              <w:rPr>
                <w:rFonts w:ascii="Calibri" w:hAnsi="Calibri" w:eastAsia="微软雅黑"/>
                <w:b w:val="0"/>
                <w:i w:val="0"/>
                <w:sz w:val="18"/>
              </w:rPr>
              <w:t>P000401</w:t>
            </w:r>
          </w:p>
        </w:tc>
        <w:tc>
          <w:tcPr>
            <w:tcW w:type="dxa" w:w="4150"/>
          </w:tcPr>
          <w:p>
            <w:r/>
            <w:r>
              <w:rPr>
                <w:rFonts w:ascii="Calibri" w:hAnsi="Calibri" w:eastAsia="微软雅黑"/>
                <w:b w:val="0"/>
                <w:i w:val="0"/>
                <w:sz w:val="18"/>
              </w:rPr>
              <w:t>中国电力工程顾问集团中南电力设计院有限公司EPC总承包业务研究报告（事实资料库研究报告首片）</w:t>
            </w:r>
          </w:p>
        </w:tc>
      </w:tr>
      <w:tr>
        <w:tc>
          <w:tcPr>
            <w:tcW w:type="dxa" w:w="4150"/>
          </w:tcPr>
          <w:p>
            <w:r/>
            <w:r>
              <w:rPr>
                <w:rFonts w:ascii="Calibri" w:hAnsi="Calibri" w:eastAsia="微软雅黑"/>
                <w:b w:val="0"/>
                <w:i w:val="0"/>
                <w:sz w:val="18"/>
              </w:rPr>
              <w:t>P000406</w:t>
            </w:r>
          </w:p>
        </w:tc>
        <w:tc>
          <w:tcPr>
            <w:tcW w:type="dxa" w:w="4150"/>
          </w:tcPr>
          <w:p>
            <w:r/>
            <w:r>
              <w:rPr>
                <w:rFonts w:ascii="Calibri" w:hAnsi="Calibri" w:eastAsia="微软雅黑"/>
                <w:b w:val="0"/>
                <w:i w:val="0"/>
                <w:sz w:val="18"/>
              </w:rPr>
              <w:t>中国电建集团华东勘测设计研究院有限公司EPC总承包业务研究报告（事实资料库研究报告首片）</w:t>
            </w:r>
          </w:p>
        </w:tc>
      </w:tr>
      <w:tr>
        <w:tc>
          <w:tcPr>
            <w:tcW w:type="dxa" w:w="4150"/>
          </w:tcPr>
          <w:p>
            <w:r/>
            <w:r>
              <w:rPr>
                <w:rFonts w:ascii="Calibri" w:hAnsi="Calibri" w:eastAsia="微软雅黑"/>
                <w:b w:val="0"/>
                <w:i w:val="0"/>
                <w:sz w:val="18"/>
              </w:rPr>
              <w:t>P000411</w:t>
            </w:r>
          </w:p>
        </w:tc>
        <w:tc>
          <w:tcPr>
            <w:tcW w:type="dxa" w:w="4150"/>
          </w:tcPr>
          <w:p>
            <w:r/>
            <w:r>
              <w:rPr>
                <w:rFonts w:ascii="Calibri" w:hAnsi="Calibri" w:eastAsia="微软雅黑"/>
                <w:b w:val="0"/>
                <w:i w:val="0"/>
                <w:sz w:val="18"/>
              </w:rPr>
              <w:t>中国能源建设集团广西电力设计研究院有限公司EPC总承包业务研究报告（事实资料库研究报告首片）</w:t>
            </w:r>
          </w:p>
        </w:tc>
      </w:tr>
      <w:tr>
        <w:tc>
          <w:tcPr>
            <w:tcW w:type="dxa" w:w="4150"/>
          </w:tcPr>
          <w:p>
            <w:r/>
            <w:r>
              <w:rPr>
                <w:rFonts w:ascii="Calibri" w:hAnsi="Calibri" w:eastAsia="微软雅黑"/>
                <w:b w:val="0"/>
                <w:i w:val="0"/>
                <w:sz w:val="18"/>
              </w:rPr>
              <w:t>P000416</w:t>
            </w:r>
          </w:p>
        </w:tc>
        <w:tc>
          <w:tcPr>
            <w:tcW w:type="dxa" w:w="4150"/>
          </w:tcPr>
          <w:p>
            <w:r/>
            <w:r>
              <w:rPr>
                <w:rFonts w:ascii="Calibri" w:hAnsi="Calibri" w:eastAsia="微软雅黑"/>
                <w:b w:val="0"/>
                <w:i w:val="0"/>
                <w:sz w:val="18"/>
              </w:rPr>
              <w:t>山东电力工程咨询院有限公司EPC总承包业务研究报告（事实资料库研究报告首片）</w:t>
            </w:r>
          </w:p>
        </w:tc>
      </w:tr>
      <w:tr>
        <w:tc>
          <w:tcPr>
            <w:tcW w:type="dxa" w:w="4150"/>
          </w:tcPr>
          <w:p>
            <w:r/>
            <w:r>
              <w:rPr>
                <w:rFonts w:ascii="Calibri" w:hAnsi="Calibri" w:eastAsia="微软雅黑"/>
                <w:b w:val="0"/>
                <w:i w:val="0"/>
                <w:sz w:val="18"/>
              </w:rPr>
              <w:t>P000421</w:t>
            </w:r>
          </w:p>
        </w:tc>
        <w:tc>
          <w:tcPr>
            <w:tcW w:type="dxa" w:w="4150"/>
          </w:tcPr>
          <w:p>
            <w:r/>
            <w:r>
              <w:rPr>
                <w:rFonts w:ascii="Calibri" w:hAnsi="Calibri" w:eastAsia="微软雅黑"/>
                <w:b w:val="0"/>
                <w:i w:val="0"/>
                <w:sz w:val="18"/>
              </w:rPr>
              <w:t>上海市政工程设计研究总院（集团）有限公司EPC总承包业务研究报告（事实资料库研究报告首片）</w:t>
            </w:r>
          </w:p>
        </w:tc>
      </w:tr>
      <w:tr>
        <w:tc>
          <w:tcPr>
            <w:tcW w:type="dxa" w:w="4150"/>
          </w:tcPr>
          <w:p>
            <w:r/>
            <w:r>
              <w:rPr>
                <w:rFonts w:ascii="Calibri" w:hAnsi="Calibri" w:eastAsia="微软雅黑"/>
                <w:b w:val="0"/>
                <w:i w:val="0"/>
                <w:sz w:val="18"/>
              </w:rPr>
              <w:t>P000426</w:t>
            </w:r>
          </w:p>
        </w:tc>
        <w:tc>
          <w:tcPr>
            <w:tcW w:type="dxa" w:w="4150"/>
          </w:tcPr>
          <w:p>
            <w:r/>
            <w:r>
              <w:rPr>
                <w:rFonts w:ascii="Calibri" w:hAnsi="Calibri" w:eastAsia="微软雅黑"/>
                <w:b w:val="0"/>
                <w:i w:val="0"/>
                <w:sz w:val="18"/>
              </w:rPr>
              <w:t>中国化学（601117）2025年年度报告</w:t>
            </w:r>
          </w:p>
        </w:tc>
      </w:tr>
      <w:tr>
        <w:tc>
          <w:tcPr>
            <w:tcW w:type="dxa" w:w="4150"/>
          </w:tcPr>
          <w:p>
            <w:r/>
            <w:r>
              <w:rPr>
                <w:rFonts w:ascii="Calibri" w:hAnsi="Calibri" w:eastAsia="微软雅黑"/>
                <w:b w:val="0"/>
                <w:i w:val="0"/>
                <w:sz w:val="18"/>
              </w:rPr>
              <w:t>P000428</w:t>
            </w:r>
          </w:p>
        </w:tc>
        <w:tc>
          <w:tcPr>
            <w:tcW w:type="dxa" w:w="4150"/>
          </w:tcPr>
          <w:p>
            <w:r/>
            <w:r>
              <w:rPr>
                <w:rFonts w:ascii="Calibri" w:hAnsi="Calibri" w:eastAsia="微软雅黑"/>
                <w:b w:val="0"/>
                <w:i w:val="0"/>
                <w:sz w:val="18"/>
              </w:rPr>
              <w:t>山东路桥（000498）2025年年度报告</w:t>
            </w:r>
          </w:p>
        </w:tc>
      </w:tr>
      <w:tr>
        <w:tc>
          <w:tcPr>
            <w:tcW w:type="dxa" w:w="4150"/>
          </w:tcPr>
          <w:p>
            <w:r/>
            <w:r>
              <w:rPr>
                <w:rFonts w:ascii="Calibri" w:hAnsi="Calibri" w:eastAsia="微软雅黑"/>
                <w:b w:val="0"/>
                <w:i w:val="0"/>
                <w:sz w:val="18"/>
              </w:rPr>
              <w:t>P000431</w:t>
            </w:r>
          </w:p>
        </w:tc>
        <w:tc>
          <w:tcPr>
            <w:tcW w:type="dxa" w:w="4150"/>
          </w:tcPr>
          <w:p>
            <w:r/>
            <w:r>
              <w:rPr>
                <w:rFonts w:ascii="Calibri" w:hAnsi="Calibri" w:eastAsia="微软雅黑"/>
                <w:b w:val="0"/>
                <w:i w:val="0"/>
                <w:sz w:val="18"/>
              </w:rPr>
              <w:t>山东路桥（000498）2024年年度报告</w:t>
            </w:r>
          </w:p>
        </w:tc>
      </w:tr>
      <w:tr>
        <w:tc>
          <w:tcPr>
            <w:tcW w:type="dxa" w:w="4150"/>
          </w:tcPr>
          <w:p>
            <w:r/>
            <w:r>
              <w:rPr>
                <w:rFonts w:ascii="Calibri" w:hAnsi="Calibri" w:eastAsia="微软雅黑"/>
                <w:b w:val="0"/>
                <w:i w:val="0"/>
                <w:sz w:val="18"/>
              </w:rPr>
              <w:t>P000434</w:t>
            </w:r>
          </w:p>
        </w:tc>
        <w:tc>
          <w:tcPr>
            <w:tcW w:type="dxa" w:w="4150"/>
          </w:tcPr>
          <w:p>
            <w:r/>
            <w:r>
              <w:rPr>
                <w:rFonts w:ascii="Calibri" w:hAnsi="Calibri" w:eastAsia="微软雅黑"/>
                <w:b w:val="0"/>
                <w:i w:val="0"/>
                <w:sz w:val="18"/>
              </w:rPr>
              <w:t>中国交建（601800）2023年年度报告</w:t>
            </w:r>
          </w:p>
        </w:tc>
      </w:tr>
      <w:tr>
        <w:tc>
          <w:tcPr>
            <w:tcW w:type="dxa" w:w="4150"/>
          </w:tcPr>
          <w:p>
            <w:r/>
            <w:r>
              <w:rPr>
                <w:rFonts w:ascii="Calibri" w:hAnsi="Calibri" w:eastAsia="微软雅黑"/>
                <w:b w:val="0"/>
                <w:i w:val="0"/>
                <w:sz w:val="18"/>
              </w:rPr>
              <w:t>P000435</w:t>
            </w:r>
          </w:p>
        </w:tc>
        <w:tc>
          <w:tcPr>
            <w:tcW w:type="dxa" w:w="4150"/>
          </w:tcPr>
          <w:p>
            <w:r/>
            <w:r>
              <w:rPr>
                <w:rFonts w:ascii="Calibri" w:hAnsi="Calibri" w:eastAsia="微软雅黑"/>
                <w:b w:val="0"/>
                <w:i w:val="0"/>
                <w:sz w:val="18"/>
              </w:rPr>
              <w:t>中国交建（601800）2022年年度报告</w:t>
            </w:r>
          </w:p>
        </w:tc>
      </w:tr>
      <w:tr>
        <w:tc>
          <w:tcPr>
            <w:tcW w:type="dxa" w:w="4150"/>
          </w:tcPr>
          <w:p>
            <w:r/>
            <w:r>
              <w:rPr>
                <w:rFonts w:ascii="Calibri" w:hAnsi="Calibri" w:eastAsia="微软雅黑"/>
                <w:b w:val="0"/>
                <w:i w:val="0"/>
                <w:sz w:val="18"/>
              </w:rPr>
              <w:t>P000453</w:t>
            </w:r>
          </w:p>
        </w:tc>
        <w:tc>
          <w:tcPr>
            <w:tcW w:type="dxa" w:w="4150"/>
          </w:tcPr>
          <w:p>
            <w:r/>
            <w:r>
              <w:rPr>
                <w:rFonts w:ascii="Calibri" w:hAnsi="Calibri" w:eastAsia="微软雅黑"/>
                <w:b w:val="0"/>
                <w:i w:val="0"/>
                <w:sz w:val="18"/>
              </w:rPr>
              <w:t>中石化南京工程有限公司EPC专项研究·业务版图与跨境风控章（含E+P+C分拆、里程碑付款判例与独立保函案例）</w:t>
            </w:r>
          </w:p>
        </w:tc>
      </w:tr>
    </w:tbl>
    <w:p>
      <w:r>
        <w:rPr>
          <w:rFonts w:ascii="Calibri" w:hAnsi="Calibri" w:eastAsia="微软雅黑"/>
          <w:b w:val="0"/>
          <w:i w:val="0"/>
          <w:sz w:val="22"/>
        </w:rPr>
        <w:t>---</w:t>
      </w:r>
    </w:p>
    <w:p>
      <w:pPr>
        <w:pStyle w:val="Heading1"/>
      </w:pPr>
      <w:r>
        <w:t>第6章 设计院转型EPC的路径与模式：认知、采购、施工、组织四道关口的全解法</w:t>
      </w:r>
    </w:p>
    <w:p>
      <w:r>
        <w:rPr>
          <w:rFonts w:ascii="Calibri" w:hAnsi="Calibri" w:eastAsia="微软雅黑"/>
          <w:b w:val="0"/>
          <w:i w:val="0"/>
          <w:sz w:val="22"/>
        </w:rPr>
        <w:t>出品：总包创研院研究团队</w:t>
      </w:r>
    </w:p>
    <w:p>
      <w:pPr>
        <w:ind w:left="454"/>
      </w:pPr>
      <w:r>
        <w:rPr>
          <w:rFonts w:ascii="Calibri" w:hAnsi="Calibri" w:eastAsia="微软雅黑"/>
          <w:b/>
          <w:i w:val="0"/>
          <w:color w:val="666666"/>
          <w:sz w:val="22"/>
        </w:rPr>
        <w:t>本章事实纪律声明</w:t>
      </w:r>
      <w:r>
        <w:rPr>
          <w:rFonts w:ascii="Calibri" w:hAnsi="Calibri" w:eastAsia="微软雅黑"/>
          <w:b w:val="0"/>
          <w:i w:val="0"/>
          <w:color w:val="666666"/>
          <w:sz w:val="22"/>
        </w:rPr>
        <w:t>：本章全部企业数据、组织与项目事实，均逐字取自本书研究团队采集整理的事实资料库（含专业机构研究报告与专项研究成果），正文随文标注[来源: P锚]（对照本章尾注），读者可按锚号回溯核验；无源不写，解读性判断均在文中明示。文中标注"示意性复盘"的推演为依据源文规则构造的示例机制，不指向具体企业或项目；标注"本研究归纳"的框架与方法为研究团队基于实证资料整理。</w:t>
      </w:r>
    </w:p>
    <w:p>
      <w:r>
        <w:rPr>
          <w:rFonts w:ascii="Calibri" w:hAnsi="Calibri" w:eastAsia="微软雅黑"/>
          <w:b/>
          <w:i w:val="0"/>
          <w:sz w:val="22"/>
        </w:rPr>
        <w:t>本章引言：帮读者解决什么问题</w:t>
      </w:r>
    </w:p>
    <w:p>
      <w:r>
        <w:rPr>
          <w:rFonts w:ascii="Calibri" w:hAnsi="Calibri" w:eastAsia="微软雅黑"/>
          <w:b w:val="0"/>
          <w:i w:val="0"/>
          <w:sz w:val="22"/>
        </w:rPr>
        <w:t>传统设计院向工程总承包（EPC）企业的转型，是近年我国工程建设行业变革的核心主线 [来源: P000501, P000511]。随着工程建设项目规模日益庞大、技术复杂性剧增，业主方对一体化交钥匙服务的需求日益迫切——据相关研究预测，到2025年国内工程总承包市场规模有望达到8-10万亿元人民币，发展空间巨大 [来源: P000511]。然而，绝大多数设计院在转型过程中面临着深刻的"转型镇痛"：一方面，习惯于DBB（设计-招标-施工）模式下的纯技术思维，缺乏对工程全生命周期商业逻辑和风险承担的深刻理解；另一方面，供应链管理体系薄弱、施工现场管控力不足、矩阵组织内耗严重等短板，导致大量设计院在承接EPC项目后陷入"营收增加、利润缩水、风险陡增"的尴尬境地（以上痛点归纳为本研究据源文整理）。</w:t>
      </w:r>
    </w:p>
    <w:p>
      <w:r>
        <w:rPr>
          <w:rFonts w:ascii="Calibri" w:hAnsi="Calibri" w:eastAsia="微软雅黑"/>
          <w:b w:val="0"/>
          <w:i w:val="0"/>
          <w:sz w:val="22"/>
        </w:rPr>
        <w:t>本章旨在为工程企业高管、设计院院长及EPC业务负责人提供一份系统性、可操作的实战指南。通过解构国内顶尖设计院（铁四院、山东院、中南电力设计院、昆明院、上海市政总院、湖南省建筑设计院、中汽工程等）的真实转型轨迹，本章帮助读者解决三大核心决策难题：</w:t>
      </w:r>
      <w:r>
        <w:rPr>
          <w:rFonts w:ascii="Calibri" w:hAnsi="Calibri" w:eastAsia="微软雅黑"/>
          <w:b/>
          <w:i w:val="0"/>
          <w:sz w:val="22"/>
        </w:rPr>
        <w:t>第一，如何打破传统设计思维壁垒，重塑EPC全价值链的盈利与风险管控机制；第二，如何从零搭建高效合规的采购供应链体系，实现设计与采购的深度协同；第三，如何重构组织架构与激励体系，释放跨专业矩阵协作活力。</w:t>
      </w:r>
      <w:r>
        <w:rPr>
          <w:rFonts w:ascii="Calibri" w:hAnsi="Calibri" w:eastAsia="微软雅黑"/>
          <w:b w:val="0"/>
          <w:i w:val="0"/>
          <w:sz w:val="22"/>
        </w:rPr>
        <w:t xml:space="preserve"> 本章依次展开"认知解构—采购补短—施工把控—组织重塑—衍生模式"五个模块，并以六个标杆案例的深度解构收束 [来源: P000501, P000506, P000511, P000516, P000521, P000526, P000531]。</w:t>
      </w:r>
    </w:p>
    <w:p>
      <w:r>
        <w:rPr>
          <w:rFonts w:ascii="Calibri" w:hAnsi="Calibri" w:eastAsia="微软雅黑"/>
          <w:b w:val="0"/>
          <w:i w:val="0"/>
          <w:sz w:val="22"/>
        </w:rPr>
        <w:t>---</w:t>
      </w:r>
    </w:p>
    <w:p>
      <w:pPr>
        <w:pStyle w:val="Heading2"/>
      </w:pPr>
      <w:r>
        <w:t>6.1 认知解构：从设计思维到全工程商业逻辑的根本跨越</w:t>
      </w:r>
    </w:p>
    <w:p>
      <w:r>
        <w:rPr>
          <w:rFonts w:ascii="Calibri" w:hAnsi="Calibri" w:eastAsia="微软雅黑"/>
          <w:b w:val="0"/>
          <w:i w:val="0"/>
          <w:sz w:val="22"/>
        </w:rPr>
        <w:t>设计院转型EPC的首要障碍不在于资质或许可，而在于企业内部从领导层到基层设计人员的"认知范式"差异（此判断为本研究归纳）[来源: P000501, P000511]。传统设计服务关注的是技术规范的严谨性与图纸交付质量；而工程总承包商则必须对工程项目的"质量、安全、工期、造价"承担终极商业责任与法律责任 [来源: P000501]。</w:t>
      </w:r>
    </w:p>
    <w:p>
      <w:pPr>
        <w:pStyle w:val="Heading3"/>
      </w:pPr>
      <w:r>
        <w:t>6.1.1 商业模式撕裂与盈利机制转换</w:t>
      </w:r>
    </w:p>
    <w:p>
      <w:r>
        <w:rPr>
          <w:rFonts w:ascii="Calibri" w:hAnsi="Calibri" w:eastAsia="微软雅黑"/>
          <w:b w:val="0"/>
          <w:i w:val="0"/>
          <w:sz w:val="22"/>
        </w:rPr>
        <w:t>传统DBB模式下，设计院的盈利模式高度依赖按工程造价一定比例计取的设计费，收入上限被费率锁定，且在法律与经济责任上仅承担技术咨询责任，设计成果与后续采购、施工阶段的成本节约或超支无直接利益关联（机制描述为本研究据源文归纳）[来源: P000511]。进入EPC模式后，商业逻辑发生了根本性撕裂与重构：总承包商通过签订总价包干合同，承担了设计、采购、施工全过程的造价超支与工期延误风险，但同时也获得了通过设计优化、集中采购与施工精益管理创造"管理溢价"与"技术溢价"的全部收益空间 [来源: P000511]。</w:t>
      </w:r>
    </w:p>
    <w:p>
      <w:pPr>
        <w:pStyle w:val="Heading4"/>
      </w:pPr>
      <w:r>
        <w:t>表6-1 传统DBB模式与EPC总承包模式的商业逻辑对比（本研究据源文归纳）[来源: P000511, P000501]</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维度</w:t>
            </w:r>
          </w:p>
        </w:tc>
        <w:tc>
          <w:tcPr>
            <w:tcW w:type="dxa" w:w="2767"/>
            <w:shd w:fill="1F3A5F"/>
          </w:tcPr>
          <w:p>
            <w:r>
              <w:rPr>
                <w:color w:val="FFFFFF"/>
              </w:rPr>
            </w:r>
            <w:r>
              <w:rPr>
                <w:rFonts w:ascii="Calibri" w:hAnsi="Calibri" w:eastAsia="微软雅黑"/>
                <w:b/>
                <w:i w:val="0"/>
                <w:color w:val="FFFFFF"/>
                <w:sz w:val="18"/>
              </w:rPr>
              <w:t>传统DBB模式</w:t>
            </w:r>
          </w:p>
        </w:tc>
        <w:tc>
          <w:tcPr>
            <w:tcW w:type="dxa" w:w="2767"/>
            <w:shd w:fill="1F3A5F"/>
          </w:tcPr>
          <w:p>
            <w:r>
              <w:rPr>
                <w:color w:val="FFFFFF"/>
              </w:rPr>
            </w:r>
            <w:r>
              <w:rPr>
                <w:rFonts w:ascii="Calibri" w:hAnsi="Calibri" w:eastAsia="微软雅黑"/>
                <w:b/>
                <w:i w:val="0"/>
                <w:color w:val="FFFFFF"/>
                <w:sz w:val="18"/>
              </w:rPr>
              <w:t>EPC总承包模式</w:t>
            </w:r>
          </w:p>
        </w:tc>
      </w:tr>
      <w:tr>
        <w:tc>
          <w:tcPr>
            <w:tcW w:type="dxa" w:w="2767"/>
          </w:tcPr>
          <w:p>
            <w:r/>
            <w:r>
              <w:rPr>
                <w:rFonts w:ascii="Calibri" w:hAnsi="Calibri" w:eastAsia="微软雅黑"/>
                <w:b w:val="0"/>
                <w:i w:val="0"/>
                <w:sz w:val="18"/>
              </w:rPr>
              <w:t>合同关系</w:t>
            </w:r>
          </w:p>
        </w:tc>
        <w:tc>
          <w:tcPr>
            <w:tcW w:type="dxa" w:w="2767"/>
          </w:tcPr>
          <w:p>
            <w:r/>
            <w:r>
              <w:rPr>
                <w:rFonts w:ascii="Calibri" w:hAnsi="Calibri" w:eastAsia="微软雅黑"/>
                <w:b w:val="0"/>
                <w:i w:val="0"/>
                <w:sz w:val="18"/>
              </w:rPr>
              <w:t>业主与设计、施工等多方分别签约</w:t>
            </w:r>
          </w:p>
        </w:tc>
        <w:tc>
          <w:tcPr>
            <w:tcW w:type="dxa" w:w="2767"/>
          </w:tcPr>
          <w:p>
            <w:r/>
            <w:r>
              <w:rPr>
                <w:rFonts w:ascii="Calibri" w:hAnsi="Calibri" w:eastAsia="微软雅黑"/>
                <w:b w:val="0"/>
                <w:i w:val="0"/>
                <w:sz w:val="18"/>
              </w:rPr>
              <w:t>业主仅与总承包商签订单一合同</w:t>
            </w:r>
          </w:p>
        </w:tc>
      </w:tr>
      <w:tr>
        <w:tc>
          <w:tcPr>
            <w:tcW w:type="dxa" w:w="2767"/>
          </w:tcPr>
          <w:p>
            <w:r/>
            <w:r>
              <w:rPr>
                <w:rFonts w:ascii="Calibri" w:hAnsi="Calibri" w:eastAsia="微软雅黑"/>
                <w:b w:val="0"/>
                <w:i w:val="0"/>
                <w:sz w:val="18"/>
              </w:rPr>
              <w:t>盈利来源</w:t>
            </w:r>
          </w:p>
        </w:tc>
        <w:tc>
          <w:tcPr>
            <w:tcW w:type="dxa" w:w="2767"/>
          </w:tcPr>
          <w:p>
            <w:r/>
            <w:r>
              <w:rPr>
                <w:rFonts w:ascii="Calibri" w:hAnsi="Calibri" w:eastAsia="微软雅黑"/>
                <w:b w:val="0"/>
                <w:i w:val="0"/>
                <w:sz w:val="18"/>
              </w:rPr>
              <w:t>按比例收取设计费</w:t>
            </w:r>
          </w:p>
        </w:tc>
        <w:tc>
          <w:tcPr>
            <w:tcW w:type="dxa" w:w="2767"/>
          </w:tcPr>
          <w:p>
            <w:r/>
            <w:r>
              <w:rPr>
                <w:rFonts w:ascii="Calibri" w:hAnsi="Calibri" w:eastAsia="微软雅黑"/>
                <w:b w:val="0"/>
                <w:i w:val="0"/>
                <w:sz w:val="18"/>
              </w:rPr>
              <w:t>设计优化溢价、采购差价与管理留成</w:t>
            </w:r>
          </w:p>
        </w:tc>
      </w:tr>
      <w:tr>
        <w:tc>
          <w:tcPr>
            <w:tcW w:type="dxa" w:w="2767"/>
          </w:tcPr>
          <w:p>
            <w:r/>
            <w:r>
              <w:rPr>
                <w:rFonts w:ascii="Calibri" w:hAnsi="Calibri" w:eastAsia="微软雅黑"/>
                <w:b w:val="0"/>
                <w:i w:val="0"/>
                <w:sz w:val="18"/>
              </w:rPr>
              <w:t>责任边界</w:t>
            </w:r>
          </w:p>
        </w:tc>
        <w:tc>
          <w:tcPr>
            <w:tcW w:type="dxa" w:w="2767"/>
          </w:tcPr>
          <w:p>
            <w:r/>
            <w:r>
              <w:rPr>
                <w:rFonts w:ascii="Calibri" w:hAnsi="Calibri" w:eastAsia="微软雅黑"/>
                <w:b w:val="0"/>
                <w:i w:val="0"/>
                <w:sz w:val="18"/>
              </w:rPr>
              <w:t>仅对设计图纸与技术规范负责</w:t>
            </w:r>
          </w:p>
        </w:tc>
        <w:tc>
          <w:tcPr>
            <w:tcW w:type="dxa" w:w="2767"/>
          </w:tcPr>
          <w:p>
            <w:r/>
            <w:r>
              <w:rPr>
                <w:rFonts w:ascii="Calibri" w:hAnsi="Calibri" w:eastAsia="微软雅黑"/>
                <w:b w:val="0"/>
                <w:i w:val="0"/>
                <w:sz w:val="18"/>
              </w:rPr>
              <w:t>对质量、安全、工期、造价全过程负总责</w:t>
            </w:r>
          </w:p>
        </w:tc>
      </w:tr>
      <w:tr>
        <w:tc>
          <w:tcPr>
            <w:tcW w:type="dxa" w:w="2767"/>
          </w:tcPr>
          <w:p>
            <w:r/>
            <w:r>
              <w:rPr>
                <w:rFonts w:ascii="Calibri" w:hAnsi="Calibri" w:eastAsia="微软雅黑"/>
                <w:b w:val="0"/>
                <w:i w:val="0"/>
                <w:sz w:val="18"/>
              </w:rPr>
              <w:t>优化动力</w:t>
            </w:r>
          </w:p>
        </w:tc>
        <w:tc>
          <w:tcPr>
            <w:tcW w:type="dxa" w:w="2767"/>
          </w:tcPr>
          <w:p>
            <w:r/>
            <w:r>
              <w:rPr>
                <w:rFonts w:ascii="Calibri" w:hAnsi="Calibri" w:eastAsia="微软雅黑"/>
                <w:b w:val="0"/>
                <w:i w:val="0"/>
                <w:sz w:val="18"/>
              </w:rPr>
              <w:t>缺乏降低后续施工成本的直接激励</w:t>
            </w:r>
          </w:p>
        </w:tc>
        <w:tc>
          <w:tcPr>
            <w:tcW w:type="dxa" w:w="2767"/>
          </w:tcPr>
          <w:p>
            <w:r/>
            <w:r>
              <w:rPr>
                <w:rFonts w:ascii="Calibri" w:hAnsi="Calibri" w:eastAsia="微软雅黑"/>
                <w:b w:val="0"/>
                <w:i w:val="0"/>
                <w:sz w:val="18"/>
              </w:rPr>
              <w:t>具有强烈的源头设计优化与限额设计动力</w:t>
            </w:r>
          </w:p>
        </w:tc>
      </w:tr>
    </w:tbl>
    <w:p>
      <w:pPr>
        <w:pStyle w:val="Heading4"/>
      </w:pPr>
      <w:r>
        <w:t>案例剖析：上海市政工程设计研究总院（集团）有限公司（上海市政总院）</w:t>
      </w:r>
    </w:p>
    <w:p>
      <w:pPr>
        <w:pStyle w:val="ListBullet"/>
      </w:pPr>
      <w:r>
        <w:rPr>
          <w:rFonts w:ascii="Calibri" w:hAnsi="Calibri" w:eastAsia="微软雅黑"/>
          <w:b/>
          <w:i w:val="0"/>
          <w:sz w:val="22"/>
        </w:rPr>
        <w:t>数据（Data）</w:t>
      </w:r>
      <w:r>
        <w:rPr>
          <w:rFonts w:ascii="Calibri" w:hAnsi="Calibri" w:eastAsia="微软雅黑"/>
          <w:b w:val="0"/>
          <w:i w:val="0"/>
          <w:sz w:val="22"/>
        </w:rPr>
        <w:t>：上海市政总院将EPC总承包确立为核心业务，将全过程工程咨询作为特色服务，利用其在规划、设计、监理、造价等方面的综合优势，为客户提供覆盖项目全生命周期的增值服务；公司主要客户群体是政府部门和国有企业 [来源: P000511]。在价值创造层面，企业从主要依靠设计服务创造价值，转向通过整合价值链创造价值——通过EPC模式，企业不仅能够获得设计费收入，还能够获得采购和施工环节的收入，显著提升盈利能力；在竞争优势层面，从主要依靠技术优势竞争，转向依靠综合服务能力竞争 [来源: P000511]。</w:t>
      </w:r>
    </w:p>
    <w:p>
      <w:pPr>
        <w:pStyle w:val="ListBullet"/>
      </w:pPr>
      <w:r>
        <w:rPr>
          <w:rFonts w:ascii="Calibri" w:hAnsi="Calibri" w:eastAsia="微软雅黑"/>
          <w:b/>
          <w:i w:val="0"/>
          <w:sz w:val="22"/>
        </w:rPr>
        <w:t>动作（Action）</w:t>
      </w:r>
      <w:r>
        <w:rPr>
          <w:rFonts w:ascii="Calibri" w:hAnsi="Calibri" w:eastAsia="微软雅黑"/>
          <w:b w:val="0"/>
          <w:i w:val="0"/>
          <w:sz w:val="22"/>
        </w:rPr>
        <w:t>：上海市政总院坚持"以设计为龙头"的定位，提供从设计到交付的一体化解决方案；将数字化、智能化作为重要发展方向，推动BIM、大数据等新技术在工程领域的应用；始终坚持走"以设计为引领，既有规模效益，又有质量安全"的总承包发展之路 [来源: P000511]。</w:t>
      </w:r>
    </w:p>
    <w:p>
      <w:pPr>
        <w:pStyle w:val="ListBullet"/>
      </w:pPr>
      <w:r>
        <w:rPr>
          <w:rFonts w:ascii="Calibri" w:hAnsi="Calibri" w:eastAsia="微软雅黑"/>
          <w:b/>
          <w:i w:val="0"/>
          <w:sz w:val="22"/>
        </w:rPr>
        <w:t>结果（Result）</w:t>
      </w:r>
      <w:r>
        <w:rPr>
          <w:rFonts w:ascii="Calibri" w:hAnsi="Calibri" w:eastAsia="微软雅黑"/>
          <w:b w:val="0"/>
          <w:i w:val="0"/>
          <w:sz w:val="22"/>
        </w:rPr>
        <w:t>：2023年，上海市政总院的嘉兴市区现状水厂工艺提升改造项目一期工程斩获"2023年全球水奖年度最佳市政供水项目"，这是公司首次获得国际性行业大奖，标志着其国际影响力得到提升；公司承建的快速化工程荣获鲁班奖，首次获得这一国家级最高工程奖项，标志着工程总承包能力达到新的高度 [来源: P000511]。</w:t>
      </w:r>
    </w:p>
    <w:p>
      <w:pPr>
        <w:pStyle w:val="Heading4"/>
      </w:pPr>
      <w:r>
        <w:t>可执行方法：设计院EPC"双驱动"盈利转换三步法（示意性复盘，机制设计为本研究归纳，非源文实证）</w:t>
      </w:r>
    </w:p>
    <w:p>
      <w:pPr>
        <w:pStyle w:val="ListNumber"/>
      </w:pPr>
      <w:r>
        <w:rPr>
          <w:rFonts w:ascii="Calibri" w:hAnsi="Calibri" w:eastAsia="微软雅黑"/>
          <w:b/>
          <w:i w:val="0"/>
          <w:sz w:val="22"/>
        </w:rPr>
        <w:t>第一步：测算限额指标与目标成本</w:t>
      </w:r>
      <w:r>
        <w:rPr>
          <w:rFonts w:ascii="Calibri" w:hAnsi="Calibri" w:eastAsia="微软雅黑"/>
          <w:b w:val="0"/>
          <w:i w:val="0"/>
          <w:sz w:val="22"/>
        </w:rPr>
        <w:t>。项目中标后，由造价管理部门联合设计团队，依据中标总价扣除目标利润率，倒推分解出设计概算限额、设备采购预算上限及施工分包控制价。</w:t>
      </w:r>
    </w:p>
    <w:p>
      <w:pPr>
        <w:pStyle w:val="ListNumber"/>
      </w:pPr>
      <w:r>
        <w:rPr>
          <w:rFonts w:ascii="Calibri" w:hAnsi="Calibri" w:eastAsia="微软雅黑"/>
          <w:b/>
          <w:i w:val="0"/>
          <w:sz w:val="22"/>
        </w:rPr>
        <w:t>第二步：建立技术溢价与管理溢价双通道</w:t>
      </w:r>
      <w:r>
        <w:rPr>
          <w:rFonts w:ascii="Calibri" w:hAnsi="Calibri" w:eastAsia="微软雅黑"/>
          <w:b w:val="0"/>
          <w:i w:val="0"/>
          <w:sz w:val="22"/>
        </w:rPr>
        <w:t>。技术溢价通道——重点对工艺流程、结构布置、主材选型进行二次优化，优化产生的成本节约额按约定比例提成作为设计团队专项奖金；管理溢价通道——通过集中采购议价与施工工效提升节约的成本，留存于项目部作为项目绩效提成。</w:t>
      </w:r>
    </w:p>
    <w:p>
      <w:pPr>
        <w:pStyle w:val="ListNumber"/>
      </w:pPr>
      <w:r>
        <w:rPr>
          <w:rFonts w:ascii="Calibri" w:hAnsi="Calibri" w:eastAsia="微软雅黑"/>
          <w:b/>
          <w:i w:val="0"/>
          <w:sz w:val="22"/>
        </w:rPr>
        <w:t>第三步：实行设计变更责任追溯与负向扣减</w:t>
      </w:r>
      <w:r>
        <w:rPr>
          <w:rFonts w:ascii="Calibri" w:hAnsi="Calibri" w:eastAsia="微软雅黑"/>
          <w:b w:val="0"/>
          <w:i w:val="0"/>
          <w:sz w:val="22"/>
        </w:rPr>
        <w:t>。凡因设计错漏碰缺导致现场返工或增加变更索赔的，变更费用按约定比例从设计部门的EPC管理绩效提成中扣减，倒逼设计精细化。</w:t>
      </w:r>
    </w:p>
    <w:p>
      <w:pPr>
        <w:pStyle w:val="Heading3"/>
      </w:pPr>
      <w:r>
        <w:t>6.1.2 思想观念与风险意识重建</w:t>
      </w:r>
    </w:p>
    <w:p>
      <w:r>
        <w:rPr>
          <w:rFonts w:ascii="Calibri" w:hAnsi="Calibri" w:eastAsia="微软雅黑"/>
          <w:b w:val="0"/>
          <w:i w:val="0"/>
          <w:sz w:val="22"/>
        </w:rPr>
        <w:t>传统设计院转型EPC最大的隐性阻力来自内部文化与观念（此判断为本研究归纳）。设计人员往往存在"技术至上"的情结，追求方案的学术性、前瞻性或视觉效果，而忽视了工程的可施工性、采购可获得性及经济合理性 [来源: P000501]。在EPC模式下，任何一项未经成本精算的技术追求，都可能转化为总承包商的巨额亏损（此句为本研究观点）。</w:t>
      </w:r>
    </w:p>
    <w:p>
      <w:pPr>
        <w:pStyle w:val="Heading4"/>
      </w:pPr>
      <w:r>
        <w:t>案例剖析：中铁第四勘察设计院集团有限公司（铁四院）</w:t>
      </w:r>
    </w:p>
    <w:p>
      <w:pPr>
        <w:pStyle w:val="ListBullet"/>
      </w:pPr>
      <w:r>
        <w:rPr>
          <w:rFonts w:ascii="Calibri" w:hAnsi="Calibri" w:eastAsia="微软雅黑"/>
          <w:b/>
          <w:i w:val="0"/>
          <w:sz w:val="22"/>
        </w:rPr>
        <w:t>数据（Data）</w:t>
      </w:r>
      <w:r>
        <w:rPr>
          <w:rFonts w:ascii="Calibri" w:hAnsi="Calibri" w:eastAsia="微软雅黑"/>
          <w:b w:val="0"/>
          <w:i w:val="0"/>
          <w:sz w:val="22"/>
        </w:rPr>
        <w:t>：铁四院作为国内铁路与城轨勘察设计龙头，其EPC总承包业务形成了"设计引领""四强四提"等特色管理模式 [来源: P000501]。长沙磁浮工程（中国首条完全自主知识产权的中低速磁浮商业运营线，项目投资约42亿元）与襄阳东津站枢纽城市综合配套工程（项目投资约30亿元）是其EPC能力的重要里程碑 [来源: P000501]。</w:t>
      </w:r>
    </w:p>
    <w:p>
      <w:pPr>
        <w:pStyle w:val="ListBullet"/>
      </w:pPr>
      <w:r>
        <w:rPr>
          <w:rFonts w:ascii="Calibri" w:hAnsi="Calibri" w:eastAsia="微软雅黑"/>
          <w:b/>
          <w:i w:val="0"/>
          <w:sz w:val="22"/>
        </w:rPr>
        <w:t>动作（Action）</w:t>
      </w:r>
      <w:r>
        <w:rPr>
          <w:rFonts w:ascii="Calibri" w:hAnsi="Calibri" w:eastAsia="微软雅黑"/>
          <w:b w:val="0"/>
          <w:i w:val="0"/>
          <w:sz w:val="22"/>
        </w:rPr>
        <w:t>：铁四院在市场、投标、合同、采购、分包、成本、财务及国际化方面形成系统的经营策略，并在PPP+EPC、EOD、设计施工总承包等衍生模式上展开探索与实践 [来源: P000501]。</w:t>
      </w:r>
    </w:p>
    <w:p>
      <w:pPr>
        <w:pStyle w:val="ListBullet"/>
      </w:pPr>
      <w:r>
        <w:rPr>
          <w:rFonts w:ascii="Calibri" w:hAnsi="Calibri" w:eastAsia="微软雅黑"/>
          <w:b/>
          <w:i w:val="0"/>
          <w:sz w:val="22"/>
        </w:rPr>
        <w:t>结果（Result）</w:t>
      </w:r>
      <w:r>
        <w:rPr>
          <w:rFonts w:ascii="Calibri" w:hAnsi="Calibri" w:eastAsia="微软雅黑"/>
          <w:b w:val="0"/>
          <w:i w:val="0"/>
          <w:sz w:val="22"/>
        </w:rPr>
        <w:t>：铁四院从单一设计咨询服务商成长为能够承担复杂交通工程EPC总承包的综合工程公司，其案例被作为行业典型深入研究 [来源: P000501]。</w:t>
      </w:r>
    </w:p>
    <w:p>
      <w:pPr>
        <w:pStyle w:val="Heading4"/>
      </w:pPr>
      <w:r>
        <w:t>可执行方法：全员商业与风险意识重建的两项硬杠杆（本研究归纳）</w:t>
      </w:r>
    </w:p>
    <w:p>
      <w:pPr>
        <w:pStyle w:val="ListNumber"/>
      </w:pPr>
      <w:r>
        <w:rPr>
          <w:rFonts w:ascii="Calibri" w:hAnsi="Calibri" w:eastAsia="微软雅黑"/>
          <w:b/>
          <w:i w:val="0"/>
          <w:sz w:val="22"/>
        </w:rPr>
        <w:t>普及项目管理知识体系全员培训</w:t>
      </w:r>
      <w:r>
        <w:rPr>
          <w:rFonts w:ascii="Calibri" w:hAnsi="Calibri" w:eastAsia="微软雅黑"/>
          <w:b w:val="0"/>
          <w:i w:val="0"/>
          <w:sz w:val="22"/>
        </w:rPr>
        <w:t>。要求EPC项目经理、总工程师及主要专业负责人接受系统的项目管理实战训练，掌握赢得值管理、关键路径法及工作分解结构等工具方法（工具要求为本研究建议）。</w:t>
      </w:r>
    </w:p>
    <w:p>
      <w:pPr>
        <w:pStyle w:val="ListNumber"/>
      </w:pPr>
      <w:r>
        <w:rPr>
          <w:rFonts w:ascii="Calibri" w:hAnsi="Calibri" w:eastAsia="微软雅黑"/>
          <w:b/>
          <w:i w:val="0"/>
          <w:sz w:val="22"/>
        </w:rPr>
        <w:t>推行"设计人员轮岗与驻场制度"</w:t>
      </w:r>
      <w:r>
        <w:rPr>
          <w:rFonts w:ascii="Calibri" w:hAnsi="Calibri" w:eastAsia="微软雅黑"/>
          <w:b w:val="0"/>
          <w:i w:val="0"/>
          <w:sz w:val="22"/>
        </w:rPr>
        <w:t>。规定新建EPC项目的专业负责人在施工关键期驻留现场，直接参与现场协调与变更处理，建立技术与现场的直观反馈链（制度建议为本研究归纳）[来源: P000501]。</w:t>
      </w:r>
    </w:p>
    <w:p>
      <w:r>
        <w:rPr>
          <w:rFonts w:ascii="Calibri" w:hAnsi="Calibri" w:eastAsia="微软雅黑"/>
          <w:b w:val="0"/>
          <w:i w:val="0"/>
          <w:sz w:val="22"/>
        </w:rPr>
        <w:t>观念重建的落点最终体现在岗位行为的转变上，可用一张对照表检验成效（对照表为本研究归纳）：</w:t>
      </w:r>
    </w:p>
    <w:p>
      <w:pPr>
        <w:pStyle w:val="Heading4"/>
      </w:pPr>
      <w:r>
        <w:t>表6-5 观念重建前后的岗位行为对照（本研究归纳）</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岗位层级</w:t>
            </w:r>
          </w:p>
        </w:tc>
        <w:tc>
          <w:tcPr>
            <w:tcW w:type="dxa" w:w="2075"/>
            <w:shd w:fill="1F3A5F"/>
          </w:tcPr>
          <w:p>
            <w:r>
              <w:rPr>
                <w:color w:val="FFFFFF"/>
              </w:rPr>
            </w:r>
            <w:r>
              <w:rPr>
                <w:rFonts w:ascii="Calibri" w:hAnsi="Calibri" w:eastAsia="微软雅黑"/>
                <w:b/>
                <w:i w:val="0"/>
                <w:color w:val="FFFFFF"/>
                <w:sz w:val="18"/>
              </w:rPr>
              <w:t>传统设计思维</w:t>
            </w:r>
          </w:p>
        </w:tc>
        <w:tc>
          <w:tcPr>
            <w:tcW w:type="dxa" w:w="2075"/>
            <w:shd w:fill="1F3A5F"/>
          </w:tcPr>
          <w:p>
            <w:r>
              <w:rPr>
                <w:color w:val="FFFFFF"/>
              </w:rPr>
            </w:r>
            <w:r>
              <w:rPr>
                <w:rFonts w:ascii="Calibri" w:hAnsi="Calibri" w:eastAsia="微软雅黑"/>
                <w:b/>
                <w:i w:val="0"/>
                <w:color w:val="FFFFFF"/>
                <w:sz w:val="18"/>
              </w:rPr>
              <w:t>EPC商业与风险意识</w:t>
            </w:r>
          </w:p>
        </w:tc>
        <w:tc>
          <w:tcPr>
            <w:tcW w:type="dxa" w:w="2075"/>
            <w:shd w:fill="1F3A5F"/>
          </w:tcPr>
          <w:p>
            <w:r>
              <w:rPr>
                <w:color w:val="FFFFFF"/>
              </w:rPr>
            </w:r>
            <w:r>
              <w:rPr>
                <w:rFonts w:ascii="Calibri" w:hAnsi="Calibri" w:eastAsia="微软雅黑"/>
                <w:b/>
                <w:i w:val="0"/>
                <w:color w:val="FFFFFF"/>
                <w:sz w:val="18"/>
              </w:rPr>
              <w:t>检验标尺</w:t>
            </w:r>
          </w:p>
        </w:tc>
      </w:tr>
      <w:tr>
        <w:tc>
          <w:tcPr>
            <w:tcW w:type="dxa" w:w="2075"/>
          </w:tcPr>
          <w:p>
            <w:r/>
            <w:r>
              <w:rPr>
                <w:rFonts w:ascii="Calibri" w:hAnsi="Calibri" w:eastAsia="微软雅黑"/>
                <w:b w:val="0"/>
                <w:i w:val="0"/>
                <w:sz w:val="18"/>
              </w:rPr>
              <w:t>院高层/院长</w:t>
            </w:r>
          </w:p>
        </w:tc>
        <w:tc>
          <w:tcPr>
            <w:tcW w:type="dxa" w:w="2075"/>
          </w:tcPr>
          <w:p>
            <w:r/>
            <w:r>
              <w:rPr>
                <w:rFonts w:ascii="Calibri" w:hAnsi="Calibri" w:eastAsia="微软雅黑"/>
                <w:b w:val="0"/>
                <w:i w:val="0"/>
                <w:sz w:val="18"/>
              </w:rPr>
              <w:t>关注设计产值与行业排名</w:t>
            </w:r>
          </w:p>
        </w:tc>
        <w:tc>
          <w:tcPr>
            <w:tcW w:type="dxa" w:w="2075"/>
          </w:tcPr>
          <w:p>
            <w:r/>
            <w:r>
              <w:rPr>
                <w:rFonts w:ascii="Calibri" w:hAnsi="Calibri" w:eastAsia="微软雅黑"/>
                <w:b w:val="0"/>
                <w:i w:val="0"/>
                <w:sz w:val="18"/>
              </w:rPr>
              <w:t>关注全生命周期利润、现金流与风险</w:t>
            </w:r>
          </w:p>
        </w:tc>
        <w:tc>
          <w:tcPr>
            <w:tcW w:type="dxa" w:w="2075"/>
          </w:tcPr>
          <w:p>
            <w:r/>
            <w:r>
              <w:rPr>
                <w:rFonts w:ascii="Calibri" w:hAnsi="Calibri" w:eastAsia="微软雅黑"/>
                <w:b w:val="0"/>
                <w:i w:val="0"/>
                <w:sz w:val="18"/>
              </w:rPr>
              <w:t>EPC项目利润率、回款率、重大风险事件</w:t>
            </w:r>
          </w:p>
        </w:tc>
      </w:tr>
      <w:tr>
        <w:tc>
          <w:tcPr>
            <w:tcW w:type="dxa" w:w="2075"/>
          </w:tcPr>
          <w:p>
            <w:r/>
            <w:r>
              <w:rPr>
                <w:rFonts w:ascii="Calibri" w:hAnsi="Calibri" w:eastAsia="微软雅黑"/>
                <w:b w:val="0"/>
                <w:i w:val="0"/>
                <w:sz w:val="18"/>
              </w:rPr>
              <w:t>项目经理/总设计师</w:t>
            </w:r>
          </w:p>
        </w:tc>
        <w:tc>
          <w:tcPr>
            <w:tcW w:type="dxa" w:w="2075"/>
          </w:tcPr>
          <w:p>
            <w:r/>
            <w:r>
              <w:rPr>
                <w:rFonts w:ascii="Calibri" w:hAnsi="Calibri" w:eastAsia="微软雅黑"/>
                <w:b w:val="0"/>
                <w:i w:val="0"/>
                <w:sz w:val="18"/>
              </w:rPr>
              <w:t>关注出图节点与技术合规</w:t>
            </w:r>
          </w:p>
        </w:tc>
        <w:tc>
          <w:tcPr>
            <w:tcW w:type="dxa" w:w="2075"/>
          </w:tcPr>
          <w:p>
            <w:r/>
            <w:r>
              <w:rPr>
                <w:rFonts w:ascii="Calibri" w:hAnsi="Calibri" w:eastAsia="微软雅黑"/>
                <w:b w:val="0"/>
                <w:i w:val="0"/>
                <w:sz w:val="18"/>
              </w:rPr>
              <w:t>关注设计、成本、进度、安全一体化</w:t>
            </w:r>
          </w:p>
        </w:tc>
        <w:tc>
          <w:tcPr>
            <w:tcW w:type="dxa" w:w="2075"/>
          </w:tcPr>
          <w:p>
            <w:r/>
            <w:r>
              <w:rPr>
                <w:rFonts w:ascii="Calibri" w:hAnsi="Calibri" w:eastAsia="微软雅黑"/>
                <w:b w:val="0"/>
                <w:i w:val="0"/>
                <w:sz w:val="18"/>
              </w:rPr>
              <w:t>项目进度与成本绩效指标</w:t>
            </w:r>
          </w:p>
        </w:tc>
      </w:tr>
      <w:tr>
        <w:tc>
          <w:tcPr>
            <w:tcW w:type="dxa" w:w="2075"/>
          </w:tcPr>
          <w:p>
            <w:r/>
            <w:r>
              <w:rPr>
                <w:rFonts w:ascii="Calibri" w:hAnsi="Calibri" w:eastAsia="微软雅黑"/>
                <w:b w:val="0"/>
                <w:i w:val="0"/>
                <w:sz w:val="18"/>
              </w:rPr>
              <w:t>专业负责人</w:t>
            </w:r>
          </w:p>
        </w:tc>
        <w:tc>
          <w:tcPr>
            <w:tcW w:type="dxa" w:w="2075"/>
          </w:tcPr>
          <w:p>
            <w:r/>
            <w:r>
              <w:rPr>
                <w:rFonts w:ascii="Calibri" w:hAnsi="Calibri" w:eastAsia="微软雅黑"/>
                <w:b w:val="0"/>
                <w:i w:val="0"/>
                <w:sz w:val="18"/>
              </w:rPr>
              <w:t>关注本专业技术指标与方案效果</w:t>
            </w:r>
          </w:p>
        </w:tc>
        <w:tc>
          <w:tcPr>
            <w:tcW w:type="dxa" w:w="2075"/>
          </w:tcPr>
          <w:p>
            <w:r/>
            <w:r>
              <w:rPr>
                <w:rFonts w:ascii="Calibri" w:hAnsi="Calibri" w:eastAsia="微软雅黑"/>
                <w:b w:val="0"/>
                <w:i w:val="0"/>
                <w:sz w:val="18"/>
              </w:rPr>
              <w:t>关注限额设计指标、可施工性与可采购性</w:t>
            </w:r>
          </w:p>
        </w:tc>
        <w:tc>
          <w:tcPr>
            <w:tcW w:type="dxa" w:w="2075"/>
          </w:tcPr>
          <w:p>
            <w:r/>
            <w:r>
              <w:rPr>
                <w:rFonts w:ascii="Calibri" w:hAnsi="Calibri" w:eastAsia="微软雅黑"/>
                <w:b w:val="0"/>
                <w:i w:val="0"/>
                <w:sz w:val="18"/>
              </w:rPr>
              <w:t>限额指标达成率、设计变更率</w:t>
            </w:r>
          </w:p>
        </w:tc>
      </w:tr>
      <w:tr>
        <w:tc>
          <w:tcPr>
            <w:tcW w:type="dxa" w:w="2075"/>
          </w:tcPr>
          <w:p>
            <w:r/>
            <w:r>
              <w:rPr>
                <w:rFonts w:ascii="Calibri" w:hAnsi="Calibri" w:eastAsia="微软雅黑"/>
                <w:b w:val="0"/>
                <w:i w:val="0"/>
                <w:sz w:val="18"/>
              </w:rPr>
              <w:t>施工/商务人员</w:t>
            </w:r>
          </w:p>
        </w:tc>
        <w:tc>
          <w:tcPr>
            <w:tcW w:type="dxa" w:w="2075"/>
          </w:tcPr>
          <w:p>
            <w:r/>
            <w:r>
              <w:rPr>
                <w:rFonts w:ascii="Calibri" w:hAnsi="Calibri" w:eastAsia="微软雅黑"/>
                <w:b w:val="0"/>
                <w:i w:val="0"/>
                <w:sz w:val="18"/>
              </w:rPr>
              <w:t>被动配合现场答疑与变更签证</w:t>
            </w:r>
          </w:p>
        </w:tc>
        <w:tc>
          <w:tcPr>
            <w:tcW w:type="dxa" w:w="2075"/>
          </w:tcPr>
          <w:p>
            <w:r/>
            <w:r>
              <w:rPr>
                <w:rFonts w:ascii="Calibri" w:hAnsi="Calibri" w:eastAsia="微软雅黑"/>
                <w:b w:val="0"/>
                <w:i w:val="0"/>
                <w:sz w:val="18"/>
              </w:rPr>
              <w:t>主动成本预控与分包管控</w:t>
            </w:r>
          </w:p>
        </w:tc>
        <w:tc>
          <w:tcPr>
            <w:tcW w:type="dxa" w:w="2075"/>
          </w:tcPr>
          <w:p>
            <w:r/>
            <w:r>
              <w:rPr>
                <w:rFonts w:ascii="Calibri" w:hAnsi="Calibri" w:eastAsia="微软雅黑"/>
                <w:b w:val="0"/>
                <w:i w:val="0"/>
                <w:sz w:val="18"/>
              </w:rPr>
              <w:t>分包签证控制率、采购降本率</w:t>
            </w:r>
          </w:p>
        </w:tc>
      </w:tr>
    </w:tbl>
    <w:p>
      <w:r>
        <w:rPr>
          <w:rFonts w:ascii="Calibri" w:hAnsi="Calibri" w:eastAsia="微软雅黑"/>
          <w:b w:val="0"/>
          <w:i w:val="0"/>
          <w:sz w:val="22"/>
        </w:rPr>
        <w:t>这张表的使用方式（本研究建议）：先由各岗位自评当前处于哪一列，再由院级按年度抽查"检验标尺"列的指标真实性——观念转变无法靠宣讲完成，只能靠指标牵引与行为考核固化；当一个专业负责人开始主动询问"这个方案采购要多少钱、现场能不能干"时，观念重建才算真正发生。</w:t>
      </w:r>
    </w:p>
    <w:p>
      <w:pPr>
        <w:pStyle w:val="Heading3"/>
      </w:pPr>
      <w:r>
        <w:t>6.1.3 从设计服务商到工程公司的战略演进路径</w:t>
      </w:r>
    </w:p>
    <w:p>
      <w:r>
        <w:rPr>
          <w:rFonts w:ascii="Calibri" w:hAnsi="Calibri" w:eastAsia="微软雅黑"/>
          <w:b w:val="0"/>
          <w:i w:val="0"/>
          <w:sz w:val="22"/>
        </w:rPr>
        <w:t>设计院转型绝非一蹴而就，而是一个渐进的、系统性的能力迁移过程。根据标杆企业实践，成功转型通常经历四个演进阶段：起步探索期（单一项目尝试）→快速发展期（建立事业部制）→成熟创新期（平台与生态构建）→转型升级期（投建营一体化）（阶段划分与命名为本研究归纳）。</w:t>
      </w:r>
    </w:p>
    <w:p>
      <w:pPr>
        <w:pStyle w:val="Heading4"/>
      </w:pPr>
      <w:r>
        <w:t>表6-2 传统设计院转型"四阶段"落地路线图（本研究归纳，阶段特征据源文整理）[来源: P000501, P000506]</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阶段</w:t>
            </w:r>
          </w:p>
        </w:tc>
        <w:tc>
          <w:tcPr>
            <w:tcW w:type="dxa" w:w="2075"/>
            <w:shd w:fill="1F3A5F"/>
          </w:tcPr>
          <w:p>
            <w:r>
              <w:rPr>
                <w:color w:val="FFFFFF"/>
              </w:rPr>
            </w:r>
            <w:r>
              <w:rPr>
                <w:rFonts w:ascii="Calibri" w:hAnsi="Calibri" w:eastAsia="微软雅黑"/>
                <w:b/>
                <w:i w:val="0"/>
                <w:color w:val="FFFFFF"/>
                <w:sz w:val="18"/>
              </w:rPr>
              <w:t>核心战略目标</w:t>
            </w:r>
          </w:p>
        </w:tc>
        <w:tc>
          <w:tcPr>
            <w:tcW w:type="dxa" w:w="2075"/>
            <w:shd w:fill="1F3A5F"/>
          </w:tcPr>
          <w:p>
            <w:r>
              <w:rPr>
                <w:color w:val="FFFFFF"/>
              </w:rPr>
            </w:r>
            <w:r>
              <w:rPr>
                <w:rFonts w:ascii="Calibri" w:hAnsi="Calibri" w:eastAsia="微软雅黑"/>
                <w:b/>
                <w:i w:val="0"/>
                <w:color w:val="FFFFFF"/>
                <w:sz w:val="18"/>
              </w:rPr>
              <w:t>组织与流程匹配</w:t>
            </w:r>
          </w:p>
        </w:tc>
        <w:tc>
          <w:tcPr>
            <w:tcW w:type="dxa" w:w="2075"/>
            <w:shd w:fill="1F3A5F"/>
          </w:tcPr>
          <w:p>
            <w:r>
              <w:rPr>
                <w:color w:val="FFFFFF"/>
              </w:rPr>
            </w:r>
            <w:r>
              <w:rPr>
                <w:rFonts w:ascii="Calibri" w:hAnsi="Calibri" w:eastAsia="微软雅黑"/>
                <w:b/>
                <w:i w:val="0"/>
                <w:color w:val="FFFFFF"/>
                <w:sz w:val="18"/>
              </w:rPr>
              <w:t>能力建设重点</w:t>
            </w:r>
          </w:p>
        </w:tc>
      </w:tr>
      <w:tr>
        <w:tc>
          <w:tcPr>
            <w:tcW w:type="dxa" w:w="2075"/>
          </w:tcPr>
          <w:p>
            <w:r/>
            <w:r>
              <w:rPr>
                <w:rFonts w:ascii="Calibri" w:hAnsi="Calibri" w:eastAsia="微软雅黑"/>
                <w:b w:val="0"/>
                <w:i w:val="0"/>
                <w:sz w:val="18"/>
              </w:rPr>
              <w:t>起步期</w:t>
            </w:r>
          </w:p>
        </w:tc>
        <w:tc>
          <w:tcPr>
            <w:tcW w:type="dxa" w:w="2075"/>
          </w:tcPr>
          <w:p>
            <w:r/>
            <w:r>
              <w:rPr>
                <w:rFonts w:ascii="Calibri" w:hAnsi="Calibri" w:eastAsia="微软雅黑"/>
                <w:b w:val="0"/>
                <w:i w:val="0"/>
                <w:sz w:val="18"/>
              </w:rPr>
              <w:t>积累项目经验，培育种子团队</w:t>
            </w:r>
          </w:p>
        </w:tc>
        <w:tc>
          <w:tcPr>
            <w:tcW w:type="dxa" w:w="2075"/>
          </w:tcPr>
          <w:p>
            <w:r/>
            <w:r>
              <w:rPr>
                <w:rFonts w:ascii="Calibri" w:hAnsi="Calibri" w:eastAsia="微软雅黑"/>
                <w:b w:val="0"/>
                <w:i w:val="0"/>
                <w:sz w:val="18"/>
              </w:rPr>
              <w:t>设立临时EPC项目部或项目任务组</w:t>
            </w:r>
          </w:p>
        </w:tc>
        <w:tc>
          <w:tcPr>
            <w:tcW w:type="dxa" w:w="2075"/>
          </w:tcPr>
          <w:p>
            <w:r/>
            <w:r>
              <w:rPr>
                <w:rFonts w:ascii="Calibri" w:hAnsi="Calibri" w:eastAsia="微软雅黑"/>
                <w:b w:val="0"/>
                <w:i w:val="0"/>
                <w:sz w:val="18"/>
              </w:rPr>
              <w:t>引入施工管理与商务合规人才</w:t>
            </w:r>
          </w:p>
        </w:tc>
      </w:tr>
      <w:tr>
        <w:tc>
          <w:tcPr>
            <w:tcW w:type="dxa" w:w="2075"/>
          </w:tcPr>
          <w:p>
            <w:r/>
            <w:r>
              <w:rPr>
                <w:rFonts w:ascii="Calibri" w:hAnsi="Calibri" w:eastAsia="微软雅黑"/>
                <w:b w:val="0"/>
                <w:i w:val="0"/>
                <w:sz w:val="18"/>
              </w:rPr>
              <w:t>发展期</w:t>
            </w:r>
          </w:p>
        </w:tc>
        <w:tc>
          <w:tcPr>
            <w:tcW w:type="dxa" w:w="2075"/>
          </w:tcPr>
          <w:p>
            <w:r/>
            <w:r>
              <w:rPr>
                <w:rFonts w:ascii="Calibri" w:hAnsi="Calibri" w:eastAsia="微软雅黑"/>
                <w:b w:val="0"/>
                <w:i w:val="0"/>
                <w:sz w:val="18"/>
              </w:rPr>
              <w:t>规模化承接，建立标准化体系</w:t>
            </w:r>
          </w:p>
        </w:tc>
        <w:tc>
          <w:tcPr>
            <w:tcW w:type="dxa" w:w="2075"/>
          </w:tcPr>
          <w:p>
            <w:r/>
            <w:r>
              <w:rPr>
                <w:rFonts w:ascii="Calibri" w:hAnsi="Calibri" w:eastAsia="微软雅黑"/>
                <w:b w:val="0"/>
                <w:i w:val="0"/>
                <w:sz w:val="18"/>
              </w:rPr>
              <w:t>成立EPC事业部/管理中心，实行矩阵制</w:t>
            </w:r>
          </w:p>
        </w:tc>
        <w:tc>
          <w:tcPr>
            <w:tcW w:type="dxa" w:w="2075"/>
          </w:tcPr>
          <w:p>
            <w:r/>
            <w:r>
              <w:rPr>
                <w:rFonts w:ascii="Calibri" w:hAnsi="Calibri" w:eastAsia="微软雅黑"/>
                <w:b w:val="0"/>
                <w:i w:val="0"/>
                <w:sz w:val="18"/>
              </w:rPr>
              <w:t>搭建供应链与供应商名录</w:t>
            </w:r>
          </w:p>
        </w:tc>
      </w:tr>
      <w:tr>
        <w:tc>
          <w:tcPr>
            <w:tcW w:type="dxa" w:w="2075"/>
          </w:tcPr>
          <w:p>
            <w:r/>
            <w:r>
              <w:rPr>
                <w:rFonts w:ascii="Calibri" w:hAnsi="Calibri" w:eastAsia="微软雅黑"/>
                <w:b w:val="0"/>
                <w:i w:val="0"/>
                <w:sz w:val="18"/>
              </w:rPr>
              <w:t>成熟期</w:t>
            </w:r>
          </w:p>
        </w:tc>
        <w:tc>
          <w:tcPr>
            <w:tcW w:type="dxa" w:w="2075"/>
          </w:tcPr>
          <w:p>
            <w:r/>
            <w:r>
              <w:rPr>
                <w:rFonts w:ascii="Calibri" w:hAnsi="Calibri" w:eastAsia="微软雅黑"/>
                <w:b w:val="0"/>
                <w:i w:val="0"/>
                <w:sz w:val="18"/>
              </w:rPr>
              <w:t>深化设计引领，提升盈利效率</w:t>
            </w:r>
          </w:p>
        </w:tc>
        <w:tc>
          <w:tcPr>
            <w:tcW w:type="dxa" w:w="2075"/>
          </w:tcPr>
          <w:p>
            <w:r/>
            <w:r>
              <w:rPr>
                <w:rFonts w:ascii="Calibri" w:hAnsi="Calibri" w:eastAsia="微软雅黑"/>
                <w:b w:val="0"/>
                <w:i w:val="0"/>
                <w:sz w:val="18"/>
              </w:rPr>
              <w:t>强化项目管理办公室体系，实现分级授权</w:t>
            </w:r>
          </w:p>
        </w:tc>
        <w:tc>
          <w:tcPr>
            <w:tcW w:type="dxa" w:w="2075"/>
          </w:tcPr>
          <w:p>
            <w:r/>
            <w:r>
              <w:rPr>
                <w:rFonts w:ascii="Calibri" w:hAnsi="Calibri" w:eastAsia="微软雅黑"/>
                <w:b w:val="0"/>
                <w:i w:val="0"/>
                <w:sz w:val="18"/>
              </w:rPr>
              <w:t>上线项目管理平台与BIM全生命周期应用</w:t>
            </w:r>
          </w:p>
        </w:tc>
      </w:tr>
      <w:tr>
        <w:tc>
          <w:tcPr>
            <w:tcW w:type="dxa" w:w="2075"/>
          </w:tcPr>
          <w:p>
            <w:r/>
            <w:r>
              <w:rPr>
                <w:rFonts w:ascii="Calibri" w:hAnsi="Calibri" w:eastAsia="微软雅黑"/>
                <w:b w:val="0"/>
                <w:i w:val="0"/>
                <w:sz w:val="18"/>
              </w:rPr>
              <w:t>升级期</w:t>
            </w:r>
          </w:p>
        </w:tc>
        <w:tc>
          <w:tcPr>
            <w:tcW w:type="dxa" w:w="2075"/>
          </w:tcPr>
          <w:p>
            <w:r/>
            <w:r>
              <w:rPr>
                <w:rFonts w:ascii="Calibri" w:hAnsi="Calibri" w:eastAsia="微软雅黑"/>
                <w:b w:val="0"/>
                <w:i w:val="0"/>
                <w:sz w:val="18"/>
              </w:rPr>
              <w:t>拓展"EPC+"，实现投建营一体</w:t>
            </w:r>
          </w:p>
        </w:tc>
        <w:tc>
          <w:tcPr>
            <w:tcW w:type="dxa" w:w="2075"/>
          </w:tcPr>
          <w:p>
            <w:r/>
            <w:r>
              <w:rPr>
                <w:rFonts w:ascii="Calibri" w:hAnsi="Calibri" w:eastAsia="微软雅黑"/>
                <w:b w:val="0"/>
                <w:i w:val="0"/>
                <w:sz w:val="18"/>
              </w:rPr>
              <w:t>事业部制+区域公司+生态圈联合体</w:t>
            </w:r>
          </w:p>
        </w:tc>
        <w:tc>
          <w:tcPr>
            <w:tcW w:type="dxa" w:w="2075"/>
          </w:tcPr>
          <w:p>
            <w:r/>
            <w:r>
              <w:rPr>
                <w:rFonts w:ascii="Calibri" w:hAnsi="Calibri" w:eastAsia="微软雅黑"/>
                <w:b w:val="0"/>
                <w:i w:val="0"/>
                <w:sz w:val="18"/>
              </w:rPr>
              <w:t>构建投融资、运维与资产管理能力</w:t>
            </w:r>
          </w:p>
        </w:tc>
      </w:tr>
    </w:tbl>
    <w:p>
      <w:r>
        <w:rPr>
          <w:rFonts w:ascii="Calibri" w:hAnsi="Calibri" w:eastAsia="微软雅黑"/>
          <w:b w:val="0"/>
          <w:i w:val="0"/>
          <w:sz w:val="22"/>
        </w:rPr>
        <w:t>铁四院的研究报告对组织转型路径有一段凝练的概括：建立与EPC业务相适应的组织架构，如成立工程总承包事业部或子公司，构建强矩阵式或项目式组织结构，确保项目高效运作；再造业务流程，打破设计、采购、施工各环节之间的壁垒，实现业务流程的集成和优化 [来源: P000501]。这段概括与四阶段路线图互为印证——阶段推进的本质，就是组织形态与业务流程随能力积累而同步升维。</w:t>
      </w:r>
    </w:p>
    <w:p>
      <w:pPr>
        <w:pStyle w:val="Heading4"/>
      </w:pPr>
      <w:r>
        <w:t>案例剖析：山东电力工程咨询院有限公司（山东院）</w:t>
      </w:r>
    </w:p>
    <w:p>
      <w:pPr>
        <w:pStyle w:val="ListBullet"/>
      </w:pPr>
      <w:r>
        <w:rPr>
          <w:rFonts w:ascii="Calibri" w:hAnsi="Calibri" w:eastAsia="微软雅黑"/>
          <w:b/>
          <w:i w:val="0"/>
          <w:sz w:val="22"/>
        </w:rPr>
        <w:t>数据（Data）</w:t>
      </w:r>
      <w:r>
        <w:rPr>
          <w:rFonts w:ascii="Calibri" w:hAnsi="Calibri" w:eastAsia="微软雅黑"/>
          <w:b w:val="0"/>
          <w:i w:val="0"/>
          <w:sz w:val="22"/>
        </w:rPr>
        <w:t>：山东院是国家电投集团核心成员单位，2016年与中电投电力工程有限公司重组后员工总数超过3000人、资产总额超过130亿元；在国内企业中唯一同时拥有国内外百万千瓦级火电、特高压输变电、三代核电设计和建设业绩 [来源: P000506]。</w:t>
      </w:r>
    </w:p>
    <w:p>
      <w:pPr>
        <w:pStyle w:val="ListBullet"/>
      </w:pPr>
      <w:r>
        <w:rPr>
          <w:rFonts w:ascii="Calibri" w:hAnsi="Calibri" w:eastAsia="微软雅黑"/>
          <w:b/>
          <w:i w:val="0"/>
          <w:sz w:val="22"/>
        </w:rPr>
        <w:t>动作（Action）</w:t>
      </w:r>
      <w:r>
        <w:rPr>
          <w:rFonts w:ascii="Calibri" w:hAnsi="Calibri" w:eastAsia="微软雅黑"/>
          <w:b w:val="0"/>
          <w:i w:val="0"/>
          <w:sz w:val="22"/>
        </w:rPr>
        <w:t>：山东院实施"四商"并举战略（报告原话为"四商"并举的战略雄心），业务板块涵盖火电、新能源、电网、核电、综合智慧能源、非电六大领域，服务链条打通规划、咨询、勘察、设计、工程总承包、寿期服务、科技研发、投资运营八大环节 [来源: P000506]。</w:t>
      </w:r>
    </w:p>
    <w:p>
      <w:pPr>
        <w:pStyle w:val="ListBullet"/>
      </w:pPr>
      <w:r>
        <w:rPr>
          <w:rFonts w:ascii="Calibri" w:hAnsi="Calibri" w:eastAsia="微软雅黑"/>
          <w:b/>
          <w:i w:val="0"/>
          <w:sz w:val="22"/>
        </w:rPr>
        <w:t>结果（Result）</w:t>
      </w:r>
      <w:r>
        <w:rPr>
          <w:rFonts w:ascii="Calibri" w:hAnsi="Calibri" w:eastAsia="微软雅黑"/>
          <w:b w:val="0"/>
          <w:i w:val="0"/>
          <w:sz w:val="22"/>
        </w:rPr>
        <w:t>：实现了从单一电力设计院向国际化综合工程公司的跨越，业务范围拓展至全球40多个国家和地区 [来源: P000506]。</w:t>
      </w:r>
    </w:p>
    <w:p>
      <w:r>
        <w:rPr>
          <w:rFonts w:ascii="Calibri" w:hAnsi="Calibri" w:eastAsia="微软雅黑"/>
          <w:b w:val="0"/>
          <w:i w:val="0"/>
          <w:sz w:val="22"/>
        </w:rPr>
        <w:t>湖南省建筑设计院集团的转型轨迹提供了另一个参照系：截至2024年底，集团共有员工1,847人，相比2023年的1,756人增长5.2%，体现业务发展对人才需求的持续增长；根据其年报披露，EPC业务已成为企业收入的重要来源，占主营业务收入的比重超过60%——EPC一体化业务转型不仅扩大了业务范围，也提高了盈利能力 [来源: P000526]。对多数中型设计院而言，湖南院"设计主业+EPC占比过六成"的结构，是比大院模式更具参照价值的中间样本（此句为本研究观点）。</w:t>
      </w:r>
    </w:p>
    <w:p>
      <w:r>
        <w:rPr>
          <w:rFonts w:ascii="Calibri" w:hAnsi="Calibri" w:eastAsia="微软雅黑"/>
          <w:b w:val="0"/>
          <w:i w:val="0"/>
          <w:sz w:val="22"/>
        </w:rPr>
        <w:t>---</w:t>
      </w:r>
    </w:p>
    <w:p>
      <w:pPr>
        <w:pStyle w:val="Heading2"/>
      </w:pPr>
      <w:r>
        <w:t>6.2 采购补短：搭建强支撑、高协同的工程供应链防线</w:t>
      </w:r>
    </w:p>
    <w:p>
      <w:r>
        <w:rPr>
          <w:rFonts w:ascii="Calibri" w:hAnsi="Calibri" w:eastAsia="微软雅黑"/>
          <w:b w:val="0"/>
          <w:i w:val="0"/>
          <w:sz w:val="22"/>
        </w:rPr>
        <w:t>采购（Procurement）是连接设计蓝图与工程实体的枢纽，直接决定了项目的成本底线与履约进度。传统设计院普遍缺乏物资采购基因、供应商网络与商务谈判经验，采购能力不足是导致设计院EPC项目亏损的最常见原因之一（此判断为本研究归纳）[来源: P000516, P000526]。</w:t>
      </w:r>
    </w:p>
    <w:p>
      <w:pPr>
        <w:pStyle w:val="Heading3"/>
      </w:pPr>
      <w:r>
        <w:t>6.2.1 采购体系从零搭建与标准化建设</w:t>
      </w:r>
    </w:p>
    <w:p>
      <w:r>
        <w:rPr>
          <w:rFonts w:ascii="Calibri" w:hAnsi="Calibri" w:eastAsia="微软雅黑"/>
          <w:b w:val="0"/>
          <w:i w:val="0"/>
          <w:sz w:val="22"/>
        </w:rPr>
        <w:t>设计院搭建采购体系，切忌简单沿用施工企业的粗放采购模式或设计院原有的办公用品招标流程，必须建立"专业分工、权责清晰、全程合规、精益高效"的工程采购治理架构（原则为本研究归纳）。</w:t>
      </w:r>
    </w:p>
    <w:p>
      <w:pPr>
        <w:pStyle w:val="Heading4"/>
      </w:pPr>
      <w:r>
        <w:t>案例剖析：湖南省建筑设计院集团股份有限公司（湖南院）</w:t>
      </w:r>
    </w:p>
    <w:p>
      <w:pPr>
        <w:pStyle w:val="ListBullet"/>
      </w:pPr>
      <w:r>
        <w:rPr>
          <w:rFonts w:ascii="Calibri" w:hAnsi="Calibri" w:eastAsia="微软雅黑"/>
          <w:b/>
          <w:i w:val="0"/>
          <w:sz w:val="22"/>
        </w:rPr>
        <w:t>数据（Data）</w:t>
      </w:r>
      <w:r>
        <w:rPr>
          <w:rFonts w:ascii="Calibri" w:hAnsi="Calibri" w:eastAsia="微软雅黑"/>
          <w:b w:val="0"/>
          <w:i w:val="0"/>
          <w:sz w:val="22"/>
        </w:rPr>
        <w:t>：截至2024年底，湖南院共有员工1,847人 [来源: P000526]。在供应商体系上，企业根据采购物资的重要性和供应市场的复杂性，将供应商分为四类差异化管理：战略供应商15家（提供钢材、水泥、电梯、空调等关键物资，建立长期战略合作关系，在技术开发、质量改进、成本控制等方面深度合作）；重要供应商68家（门窗、装饰材料、机电设备等，通过合格供应商名录管理、定期评估绩效）；一般供应商200多家（砂石、砖块、管材等标准化物资，通过招标采购管理、注重价格竞争）；潜在供应商数据库500多家（定期收集更新信息，为未来合作做准备）[来源: P000526]。</w:t>
      </w:r>
    </w:p>
    <w:p>
      <w:pPr>
        <w:pStyle w:val="ListBullet"/>
      </w:pPr>
      <w:r>
        <w:rPr>
          <w:rFonts w:ascii="Calibri" w:hAnsi="Calibri" w:eastAsia="微软雅黑"/>
          <w:b/>
          <w:i w:val="0"/>
          <w:sz w:val="22"/>
        </w:rPr>
        <w:t>动作（Action）</w:t>
      </w:r>
      <w:r>
        <w:rPr>
          <w:rFonts w:ascii="Calibri" w:hAnsi="Calibri" w:eastAsia="微软雅黑"/>
          <w:b w:val="0"/>
          <w:i w:val="0"/>
          <w:sz w:val="22"/>
        </w:rPr>
        <w:t>：企业建立了严格的供应商准入管理制度，从资质审查等维度确保供应商具备合作基本条件；绩效评估采用定量与定性相结合的方法——定量基于合格率、准时交付率等客观数据，定性基于服务态度、合作配合度等判断，评估结果采用百分制：90分以上为优秀，80至89分为良好，70至79分为合格，70分以下为不合格；对战略供应商和重要供应商每季度进行一次绩效评估 [来源: P000526]。在供应链目标上，企业设定了清晰的量化指标体系：高效性目标包括采购周期缩短20%、库存周转率提升15%、供应商响应时间缩短30%；稳定性目标包括供应商准时交付率达到95%以上、质量合格率达到99%以上、供应中断事件为零；可持续性目标包括绿色供应商比例达到80%以上、供应商技术创新项目年均增长10%、长期合作供应商比例达到70%以上 [来源: P000526]。</w:t>
      </w:r>
    </w:p>
    <w:p>
      <w:pPr>
        <w:pStyle w:val="ListBullet"/>
      </w:pPr>
      <w:r>
        <w:rPr>
          <w:rFonts w:ascii="Calibri" w:hAnsi="Calibri" w:eastAsia="微软雅黑"/>
          <w:b/>
          <w:i w:val="0"/>
          <w:sz w:val="22"/>
        </w:rPr>
        <w:t>结果（Result）</w:t>
      </w:r>
      <w:r>
        <w:rPr>
          <w:rFonts w:ascii="Calibri" w:hAnsi="Calibri" w:eastAsia="微软雅黑"/>
          <w:b w:val="0"/>
          <w:i w:val="0"/>
          <w:sz w:val="22"/>
        </w:rPr>
        <w:t>：企业构建了"高效、稳定、可持续"的供应链体系，采购管理实现标准化与信息化——其数字化管理系统覆盖采购计划制定、供应商管理、招标管理、合同管理、到货管理等功能，支持电子招标，提高了采购效率 [来源: P000526]。</w:t>
      </w:r>
    </w:p>
    <w:p>
      <w:pPr>
        <w:pStyle w:val="Heading4"/>
      </w:pPr>
      <w:r>
        <w:t>可执行方法：设计院EPC采购管理体系"零起点"搭建五步工作法（本研究归纳）</w:t>
      </w:r>
    </w:p>
    <w:p>
      <w:pPr>
        <w:pStyle w:val="ListNumber"/>
      </w:pPr>
      <w:r>
        <w:rPr>
          <w:rFonts w:ascii="Calibri" w:hAnsi="Calibri" w:eastAsia="微软雅黑"/>
          <w:b/>
          <w:i w:val="0"/>
          <w:sz w:val="22"/>
        </w:rPr>
        <w:t>第一步：组建"决策-职能-项目"三级组织架构</w:t>
      </w:r>
      <w:r>
        <w:rPr>
          <w:rFonts w:ascii="Calibri" w:hAnsi="Calibri" w:eastAsia="微软雅黑"/>
          <w:b w:val="0"/>
          <w:i w:val="0"/>
          <w:sz w:val="22"/>
        </w:rPr>
        <w:t>。决策层成立采购委员会负责重大采购审批与供应商准入；职能层设立独立采购部门负责供应商名录维护、集中采购组织与价格数据库建设；执行层在项目部配备专职采购经理负责采购计划下达、现场催交与到货验收。</w:t>
      </w:r>
    </w:p>
    <w:p>
      <w:pPr>
        <w:pStyle w:val="ListNumber"/>
      </w:pPr>
      <w:r>
        <w:rPr>
          <w:rFonts w:ascii="Calibri" w:hAnsi="Calibri" w:eastAsia="微软雅黑"/>
          <w:b/>
          <w:i w:val="0"/>
          <w:sz w:val="22"/>
        </w:rPr>
        <w:t>第二步：编制标准化业务表单与模板</w:t>
      </w:r>
      <w:r>
        <w:rPr>
          <w:rFonts w:ascii="Calibri" w:hAnsi="Calibri" w:eastAsia="微软雅黑"/>
          <w:b w:val="0"/>
          <w:i w:val="0"/>
          <w:sz w:val="22"/>
        </w:rPr>
        <w:t>。统一采购申请单、采购技术规格书、招标文件、评标报告、采购合同范本及到货验收单模板，实现非标设备的标准化描述。</w:t>
      </w:r>
    </w:p>
    <w:p>
      <w:pPr>
        <w:pStyle w:val="ListNumber"/>
      </w:pPr>
      <w:r>
        <w:rPr>
          <w:rFonts w:ascii="Calibri" w:hAnsi="Calibri" w:eastAsia="微软雅黑"/>
          <w:b/>
          <w:i w:val="0"/>
          <w:sz w:val="22"/>
        </w:rPr>
        <w:t>第三步：建立设备材料物料清单精准提取机制</w:t>
      </w:r>
      <w:r>
        <w:rPr>
          <w:rFonts w:ascii="Calibri" w:hAnsi="Calibri" w:eastAsia="微软雅黑"/>
          <w:b w:val="0"/>
          <w:i w:val="0"/>
          <w:sz w:val="22"/>
        </w:rPr>
        <w:t>。由设计专业在初步设计完成后即出具设备物料清单，经采购部门询价比对后直接导入采购系统，避免人工统计导致的"错买多买"。</w:t>
      </w:r>
    </w:p>
    <w:p>
      <w:pPr>
        <w:pStyle w:val="ListNumber"/>
      </w:pPr>
      <w:r>
        <w:rPr>
          <w:rFonts w:ascii="Calibri" w:hAnsi="Calibri" w:eastAsia="微软雅黑"/>
          <w:b/>
          <w:i w:val="0"/>
          <w:sz w:val="22"/>
        </w:rPr>
        <w:t>第四步：上线电子化招投标与采购管理系统</w:t>
      </w:r>
      <w:r>
        <w:rPr>
          <w:rFonts w:ascii="Calibri" w:hAnsi="Calibri" w:eastAsia="微软雅黑"/>
          <w:b w:val="0"/>
          <w:i w:val="0"/>
          <w:sz w:val="22"/>
        </w:rPr>
        <w:t>。实现招标发布、在线答疑、开标评标、合同签署及付款申请全流程线上留痕（湖南院的采购管理模块即为此形态）[来源: P000526]。</w:t>
      </w:r>
    </w:p>
    <w:p>
      <w:pPr>
        <w:pStyle w:val="ListNumber"/>
      </w:pPr>
      <w:r>
        <w:rPr>
          <w:rFonts w:ascii="Calibri" w:hAnsi="Calibri" w:eastAsia="微软雅黑"/>
          <w:b/>
          <w:i w:val="0"/>
          <w:sz w:val="22"/>
        </w:rPr>
        <w:t>第五步：建立独立的采购审计与反腐机制</w:t>
      </w:r>
      <w:r>
        <w:rPr>
          <w:rFonts w:ascii="Calibri" w:hAnsi="Calibri" w:eastAsia="微软雅黑"/>
          <w:b w:val="0"/>
          <w:i w:val="0"/>
          <w:sz w:val="22"/>
        </w:rPr>
        <w:t>。对达到一定限额的采购项目实施定期内部审计，采购人员与供应商签订廉洁从业协议。</w:t>
      </w:r>
    </w:p>
    <w:p>
      <w:pPr>
        <w:pStyle w:val="Heading3"/>
      </w:pPr>
      <w:r>
        <w:t>6.2.2 供应链分级分类管控：品类矩阵方法</w:t>
      </w:r>
    </w:p>
    <w:p>
      <w:r>
        <w:rPr>
          <w:rFonts w:ascii="Calibri" w:hAnsi="Calibri" w:eastAsia="微软雅黑"/>
          <w:b w:val="0"/>
          <w:i w:val="0"/>
          <w:sz w:val="22"/>
        </w:rPr>
        <w:t>工程采购品类繁多，从大宗通用的钢材、水泥，到核心高精尖设备（水轮发电机组、变压器、自动化控制系统），若采取单一采购模式，极易导致采购效率低下或价格失控 [来源: P000516]。昆明院的研究报告给出了品类管理的经典方法：对成千上万种采购品类，按照其对项目的重要性（对成本、质量、进度的影响程度）和供应市场的复杂性（供应商数量、竞争程度、技术壁垒、价格波动性）进行科学分类，采用经典的Kraljic矩阵将其划分为战略品类、杠杆品类、瓶颈品类和常规品类，并制定差异化的品类采购策略 [来源: P000516]：</w:t>
      </w:r>
    </w:p>
    <w:p>
      <w:pPr>
        <w:pStyle w:val="Heading4"/>
      </w:pPr>
      <w:r>
        <w:t>表6-3 品类管理矩阵在EPC采购中的应用 [来源: P000516]</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品类类型</w:t>
            </w:r>
          </w:p>
        </w:tc>
        <w:tc>
          <w:tcPr>
            <w:tcW w:type="dxa" w:w="2767"/>
            <w:shd w:fill="1F3A5F"/>
          </w:tcPr>
          <w:p>
            <w:r>
              <w:rPr>
                <w:color w:val="FFFFFF"/>
              </w:rPr>
            </w:r>
            <w:r>
              <w:rPr>
                <w:rFonts w:ascii="Calibri" w:hAnsi="Calibri" w:eastAsia="微软雅黑"/>
                <w:b/>
                <w:i w:val="0"/>
                <w:color w:val="FFFFFF"/>
                <w:sz w:val="18"/>
              </w:rPr>
              <w:t>特征与示例</w:t>
            </w:r>
          </w:p>
        </w:tc>
        <w:tc>
          <w:tcPr>
            <w:tcW w:type="dxa" w:w="2767"/>
            <w:shd w:fill="1F3A5F"/>
          </w:tcPr>
          <w:p>
            <w:r>
              <w:rPr>
                <w:color w:val="FFFFFF"/>
              </w:rPr>
            </w:r>
            <w:r>
              <w:rPr>
                <w:rFonts w:ascii="Calibri" w:hAnsi="Calibri" w:eastAsia="微软雅黑"/>
                <w:b/>
                <w:i w:val="0"/>
                <w:color w:val="FFFFFF"/>
                <w:sz w:val="18"/>
              </w:rPr>
              <w:t>差异化策略</w:t>
            </w:r>
          </w:p>
        </w:tc>
      </w:tr>
      <w:tr>
        <w:tc>
          <w:tcPr>
            <w:tcW w:type="dxa" w:w="2767"/>
          </w:tcPr>
          <w:p>
            <w:r/>
            <w:r>
              <w:rPr>
                <w:rFonts w:ascii="Calibri" w:hAnsi="Calibri" w:eastAsia="微软雅黑"/>
                <w:b w:val="0"/>
                <w:i w:val="0"/>
                <w:sz w:val="18"/>
              </w:rPr>
              <w:t>战略品类</w:t>
            </w:r>
          </w:p>
        </w:tc>
        <w:tc>
          <w:tcPr>
            <w:tcW w:type="dxa" w:w="2767"/>
          </w:tcPr>
          <w:p>
            <w:r/>
            <w:r>
              <w:rPr>
                <w:rFonts w:ascii="Calibri" w:hAnsi="Calibri" w:eastAsia="微软雅黑"/>
                <w:b w:val="0"/>
                <w:i w:val="0"/>
                <w:sz w:val="18"/>
              </w:rPr>
              <w:t>高重要性、高供应风险，如核心专利设备</w:t>
            </w:r>
          </w:p>
        </w:tc>
        <w:tc>
          <w:tcPr>
            <w:tcW w:type="dxa" w:w="2767"/>
          </w:tcPr>
          <w:p>
            <w:r/>
            <w:r>
              <w:rPr>
                <w:rFonts w:ascii="Calibri" w:hAnsi="Calibri" w:eastAsia="微软雅黑"/>
                <w:b w:val="0"/>
                <w:i w:val="0"/>
                <w:sz w:val="18"/>
              </w:rPr>
              <w:t>建立长期战略伙伴关系、供应商早期介入</w:t>
            </w:r>
          </w:p>
        </w:tc>
      </w:tr>
      <w:tr>
        <w:tc>
          <w:tcPr>
            <w:tcW w:type="dxa" w:w="2767"/>
          </w:tcPr>
          <w:p>
            <w:r/>
            <w:r>
              <w:rPr>
                <w:rFonts w:ascii="Calibri" w:hAnsi="Calibri" w:eastAsia="微软雅黑"/>
                <w:b w:val="0"/>
                <w:i w:val="0"/>
                <w:sz w:val="18"/>
              </w:rPr>
              <w:t>杠杆品类</w:t>
            </w:r>
          </w:p>
        </w:tc>
        <w:tc>
          <w:tcPr>
            <w:tcW w:type="dxa" w:w="2767"/>
          </w:tcPr>
          <w:p>
            <w:r/>
            <w:r>
              <w:rPr>
                <w:rFonts w:ascii="Calibri" w:hAnsi="Calibri" w:eastAsia="微软雅黑"/>
                <w:b w:val="0"/>
                <w:i w:val="0"/>
                <w:sz w:val="18"/>
              </w:rPr>
              <w:t>高重要性、低供应风险，如大宗钢材水泥</w:t>
            </w:r>
          </w:p>
        </w:tc>
        <w:tc>
          <w:tcPr>
            <w:tcW w:type="dxa" w:w="2767"/>
          </w:tcPr>
          <w:p>
            <w:r/>
            <w:r>
              <w:rPr>
                <w:rFonts w:ascii="Calibri" w:hAnsi="Calibri" w:eastAsia="微软雅黑"/>
                <w:b w:val="0"/>
                <w:i w:val="0"/>
                <w:sz w:val="18"/>
              </w:rPr>
              <w:t>集中采购、竞价招标、发挥规模效益</w:t>
            </w:r>
          </w:p>
        </w:tc>
      </w:tr>
      <w:tr>
        <w:tc>
          <w:tcPr>
            <w:tcW w:type="dxa" w:w="2767"/>
          </w:tcPr>
          <w:p>
            <w:r/>
            <w:r>
              <w:rPr>
                <w:rFonts w:ascii="Calibri" w:hAnsi="Calibri" w:eastAsia="微软雅黑"/>
                <w:b w:val="0"/>
                <w:i w:val="0"/>
                <w:sz w:val="18"/>
              </w:rPr>
              <w:t>瓶颈品类</w:t>
            </w:r>
          </w:p>
        </w:tc>
        <w:tc>
          <w:tcPr>
            <w:tcW w:type="dxa" w:w="2767"/>
          </w:tcPr>
          <w:p>
            <w:r/>
            <w:r>
              <w:rPr>
                <w:rFonts w:ascii="Calibri" w:hAnsi="Calibri" w:eastAsia="微软雅黑"/>
                <w:b w:val="0"/>
                <w:i w:val="0"/>
                <w:sz w:val="18"/>
              </w:rPr>
              <w:t>低重要性、高供应风险，如定制化小配件</w:t>
            </w:r>
          </w:p>
        </w:tc>
        <w:tc>
          <w:tcPr>
            <w:tcW w:type="dxa" w:w="2767"/>
          </w:tcPr>
          <w:p>
            <w:r/>
            <w:r>
              <w:rPr>
                <w:rFonts w:ascii="Calibri" w:hAnsi="Calibri" w:eastAsia="微软雅黑"/>
                <w:b w:val="0"/>
                <w:i w:val="0"/>
                <w:sz w:val="18"/>
              </w:rPr>
              <w:t>锁定安全库存、寻找替代品、长期框架协议</w:t>
            </w:r>
          </w:p>
        </w:tc>
      </w:tr>
      <w:tr>
        <w:tc>
          <w:tcPr>
            <w:tcW w:type="dxa" w:w="2767"/>
          </w:tcPr>
          <w:p>
            <w:r/>
            <w:r>
              <w:rPr>
                <w:rFonts w:ascii="Calibri" w:hAnsi="Calibri" w:eastAsia="微软雅黑"/>
                <w:b w:val="0"/>
                <w:i w:val="0"/>
                <w:sz w:val="18"/>
              </w:rPr>
              <w:t>常规品类</w:t>
            </w:r>
          </w:p>
        </w:tc>
        <w:tc>
          <w:tcPr>
            <w:tcW w:type="dxa" w:w="2767"/>
          </w:tcPr>
          <w:p>
            <w:r/>
            <w:r>
              <w:rPr>
                <w:rFonts w:ascii="Calibri" w:hAnsi="Calibri" w:eastAsia="微软雅黑"/>
                <w:b w:val="0"/>
                <w:i w:val="0"/>
                <w:sz w:val="18"/>
              </w:rPr>
              <w:t>低重要性、低供应风险，如标准紧固件</w:t>
            </w:r>
          </w:p>
        </w:tc>
        <w:tc>
          <w:tcPr>
            <w:tcW w:type="dxa" w:w="2767"/>
          </w:tcPr>
          <w:p>
            <w:r/>
            <w:r>
              <w:rPr>
                <w:rFonts w:ascii="Calibri" w:hAnsi="Calibri" w:eastAsia="微软雅黑"/>
                <w:b w:val="0"/>
                <w:i w:val="0"/>
                <w:sz w:val="18"/>
              </w:rPr>
              <w:t>精简流程、项目部授权分散采购</w:t>
            </w:r>
          </w:p>
        </w:tc>
      </w:tr>
    </w:tbl>
    <w:p>
      <w:r>
        <w:rPr>
          <w:rFonts w:ascii="Calibri" w:hAnsi="Calibri" w:eastAsia="微软雅黑"/>
          <w:b w:val="0"/>
          <w:i w:val="0"/>
          <w:sz w:val="22"/>
        </w:rPr>
        <w:t>湖南院按"战略-重要-一般-潜在"四类供应商实施差异化管理（15家/68家/200多家/500多家），正是品类思维在供应商维度的落地形态——分类的依据同样是物资重要性与供应市场复杂性两个维度 [来源: P000526]。</w:t>
      </w:r>
    </w:p>
    <w:p>
      <w:r>
        <w:rPr>
          <w:rFonts w:ascii="Calibri" w:hAnsi="Calibri" w:eastAsia="微软雅黑"/>
          <w:b w:val="0"/>
          <w:i w:val="0"/>
          <w:sz w:val="22"/>
        </w:rPr>
        <w:t>昆明院的研究报告同时给出了两项与品类矩阵配套的采购决策原则，值得单列 [来源: P000516]：</w:t>
      </w:r>
    </w:p>
    <w:p>
      <w:pPr>
        <w:pStyle w:val="ListNumber"/>
      </w:pPr>
      <w:r>
        <w:rPr>
          <w:rFonts w:ascii="Calibri" w:hAnsi="Calibri" w:eastAsia="微软雅黑"/>
          <w:b/>
          <w:i w:val="0"/>
          <w:sz w:val="22"/>
        </w:rPr>
        <w:t>关注总拥有成本（TCO）而非最低采购价格</w:t>
      </w:r>
      <w:r>
        <w:rPr>
          <w:rFonts w:ascii="Calibri" w:hAnsi="Calibri" w:eastAsia="微软雅黑"/>
          <w:b w:val="0"/>
          <w:i w:val="0"/>
          <w:sz w:val="22"/>
        </w:rPr>
        <w:t>：在做采购决策时，不仅考虑直接的采购价格，更要综合评估从采购、使用、维护到最终处置的全生命周期总拥有成本，以及质量、交付、服务、风险等非价格因素。</w:t>
      </w:r>
    </w:p>
    <w:p>
      <w:pPr>
        <w:pStyle w:val="ListNumber"/>
      </w:pPr>
      <w:r>
        <w:rPr>
          <w:rFonts w:ascii="Calibri" w:hAnsi="Calibri" w:eastAsia="微软雅黑"/>
          <w:b/>
          <w:i w:val="0"/>
          <w:sz w:val="22"/>
        </w:rPr>
        <w:t>战略供应商早期介入与协同创新（EPI/ESI）</w:t>
      </w:r>
      <w:r>
        <w:rPr>
          <w:rFonts w:ascii="Calibri" w:hAnsi="Calibri" w:eastAsia="微软雅黑"/>
          <w:b w:val="0"/>
          <w:i w:val="0"/>
          <w:sz w:val="22"/>
        </w:rPr>
        <w:t>：邀请战略供应商在项目早期设计阶段或新产品研发阶段就参与进来，利用其专业知识和技术优势，共同优化设计方案，缩短研发周期，降低成本，提升产品竞争力；同时与战略供应商建立定期的高层沟通机制，分享市场信息、技术动态与发展规划，增进相互理解和信任。</w:t>
      </w:r>
    </w:p>
    <w:p>
      <w:r>
        <w:rPr>
          <w:rFonts w:ascii="Calibri" w:hAnsi="Calibri" w:eastAsia="微软雅黑"/>
          <w:b w:val="0"/>
          <w:i w:val="0"/>
          <w:sz w:val="22"/>
        </w:rPr>
        <w:t>这两项原则的组合使用，正是设计院补采购短板的捷径（本研究解读）：设计院最缺的不是谈判技巧，而是"让供应商的专业知识提前进入设计"的机制——早期介入机制把供应商的制造知识转化为设计的可采购性，总拥有成本原则则把采购决策的视野从签约价拉长到全生命周期，两者共同指向设计院最容易失血的成本环节。</w:t>
      </w:r>
    </w:p>
    <w:p>
      <w:pPr>
        <w:pStyle w:val="Heading3"/>
      </w:pPr>
      <w:r>
        <w:t>6.2.3 设计与采购的深度协同机制</w:t>
      </w:r>
    </w:p>
    <w:p>
      <w:r>
        <w:rPr>
          <w:rFonts w:ascii="Calibri" w:hAnsi="Calibri" w:eastAsia="微软雅黑"/>
          <w:b w:val="0"/>
          <w:i w:val="0"/>
          <w:sz w:val="22"/>
        </w:rPr>
        <w:t>设计院转型EPC最大的一体化优势，在于能够实现设计与采购的无缝缝合；然而，若缺乏制度化约束，设计人员极易按理想化参数选型，导致采购部门面临"独家垄断、价格高昂、到货周期超标"的困境（此痛点归纳为本研究观点）[来源: P000506]。</w:t>
      </w:r>
    </w:p>
    <w:p>
      <w:pPr>
        <w:pStyle w:val="Heading4"/>
      </w:pPr>
      <w:r>
        <w:t>案例剖析：山东院</w:t>
      </w:r>
    </w:p>
    <w:p>
      <w:pPr>
        <w:pStyle w:val="ListBullet"/>
      </w:pPr>
      <w:r>
        <w:rPr>
          <w:rFonts w:ascii="Calibri" w:hAnsi="Calibri" w:eastAsia="微软雅黑"/>
          <w:b/>
          <w:i w:val="0"/>
          <w:sz w:val="22"/>
        </w:rPr>
        <w:t>数据（Data）</w:t>
      </w:r>
      <w:r>
        <w:rPr>
          <w:rFonts w:ascii="Calibri" w:hAnsi="Calibri" w:eastAsia="微软雅黑"/>
          <w:b w:val="0"/>
          <w:i w:val="0"/>
          <w:sz w:val="22"/>
        </w:rPr>
        <w:t>：山东院的设计优化成效有两组前后印证的数据：某超超临界燃煤电站EPC项目通过优化锅炉设计和热力系统，提高机组效率1.5个百分点、节省投资约3%；某光伏电站EPC项目通过优化阵列布置和系统设计，提高发电量5%、降低造价4%；另一项目通过优化设计和精细化管理，项目总投资比可研估算节约约3%，机组投运后各项排放指标均优于设计值、达到超低排放标准 [来源: P000506]。</w:t>
      </w:r>
    </w:p>
    <w:p>
      <w:pPr>
        <w:pStyle w:val="ListBullet"/>
      </w:pPr>
      <w:r>
        <w:rPr>
          <w:rFonts w:ascii="Calibri" w:hAnsi="Calibri" w:eastAsia="微软雅黑"/>
          <w:b/>
          <w:i w:val="0"/>
          <w:sz w:val="22"/>
        </w:rPr>
        <w:t>动作（Action）</w:t>
      </w:r>
      <w:r>
        <w:rPr>
          <w:rFonts w:ascii="Calibri" w:hAnsi="Calibri" w:eastAsia="微软雅黑"/>
          <w:b w:val="0"/>
          <w:i w:val="0"/>
          <w:sz w:val="22"/>
        </w:rPr>
        <w:t>：山东院将设计优化贯穿采购、施工全过程，实施限额设计；在数字化维度上线建文国家电力工程建设EPC平台，实现设计、采购、施工、财务、法务各环节信息共享与流程协同 [来源: P000506]。</w:t>
      </w:r>
    </w:p>
    <w:p>
      <w:pPr>
        <w:pStyle w:val="ListBullet"/>
      </w:pPr>
      <w:r>
        <w:rPr>
          <w:rFonts w:ascii="Calibri" w:hAnsi="Calibri" w:eastAsia="微软雅黑"/>
          <w:b/>
          <w:i w:val="0"/>
          <w:sz w:val="22"/>
        </w:rPr>
        <w:t>结果（Result）</w:t>
      </w:r>
      <w:r>
        <w:rPr>
          <w:rFonts w:ascii="Calibri" w:hAnsi="Calibri" w:eastAsia="微软雅黑"/>
          <w:b w:val="0"/>
          <w:i w:val="0"/>
          <w:sz w:val="22"/>
        </w:rPr>
        <w:t>：设计源头优化直接转化为投资节约与排放达标，形成"设计-采购-施工"的价值链条 [来源: P000506]。</w:t>
      </w:r>
    </w:p>
    <w:p>
      <w:pPr>
        <w:pStyle w:val="Heading4"/>
      </w:pPr>
      <w:r>
        <w:t>可执行方法：设计与采购协同的标准作业流程（本研究归纳）</w:t>
      </w:r>
    </w:p>
    <w:p>
      <w:pPr>
        <w:pStyle w:val="ListNumber"/>
      </w:pPr>
      <w:r>
        <w:rPr>
          <w:rFonts w:ascii="Calibri" w:hAnsi="Calibri" w:eastAsia="微软雅黑"/>
          <w:b/>
          <w:i w:val="0"/>
          <w:sz w:val="22"/>
        </w:rPr>
        <w:t>初步设计阶段（价格与周期交底）</w:t>
      </w:r>
      <w:r>
        <w:rPr>
          <w:rFonts w:ascii="Calibri" w:hAnsi="Calibri" w:eastAsia="微软雅黑"/>
          <w:b w:val="0"/>
          <w:i w:val="0"/>
          <w:sz w:val="22"/>
        </w:rPr>
        <w:t>：采购部门根据设计概念方案，提供多家主流供应商的市场行情价与交货期（包含长周期设备清单），设计团队依据总拥有成本思路进行方案比选（兼顾初始采购价、运行能耗与维护成本）。</w:t>
      </w:r>
    </w:p>
    <w:p>
      <w:pPr>
        <w:pStyle w:val="ListNumber"/>
      </w:pPr>
      <w:r>
        <w:rPr>
          <w:rFonts w:ascii="Calibri" w:hAnsi="Calibri" w:eastAsia="微软雅黑"/>
          <w:b/>
          <w:i w:val="0"/>
          <w:sz w:val="22"/>
        </w:rPr>
        <w:t>技术规格书编制阶段（消除排他条款）</w:t>
      </w:r>
      <w:r>
        <w:rPr>
          <w:rFonts w:ascii="Calibri" w:hAnsi="Calibri" w:eastAsia="微软雅黑"/>
          <w:b w:val="0"/>
          <w:i w:val="0"/>
          <w:sz w:val="22"/>
        </w:rPr>
        <w:t>：设计出具的技术规格书必须包含多家可替代品牌或性能参数区间，严禁指定单一品牌或设置排他性技术壁垒；采购部门对技术规格书进行商务可采购性会签。</w:t>
      </w:r>
    </w:p>
    <w:p>
      <w:pPr>
        <w:pStyle w:val="ListNumber"/>
      </w:pPr>
      <w:r>
        <w:rPr>
          <w:rFonts w:ascii="Calibri" w:hAnsi="Calibri" w:eastAsia="微软雅黑"/>
          <w:b/>
          <w:i w:val="0"/>
          <w:sz w:val="22"/>
        </w:rPr>
        <w:t>招标清标阶段（技术商务联合评标）</w:t>
      </w:r>
      <w:r>
        <w:rPr>
          <w:rFonts w:ascii="Calibri" w:hAnsi="Calibri" w:eastAsia="微软雅黑"/>
          <w:b w:val="0"/>
          <w:i w:val="0"/>
          <w:sz w:val="22"/>
        </w:rPr>
        <w:t>：由设计经理与采购经理共同组成清标小组，对供应商投标文件的技术响应度与商务报价进行综合打分，杜绝低价劣质中标。</w:t>
      </w:r>
    </w:p>
    <w:p>
      <w:pPr>
        <w:pStyle w:val="ListNumber"/>
      </w:pPr>
      <w:r>
        <w:rPr>
          <w:rFonts w:ascii="Calibri" w:hAnsi="Calibri" w:eastAsia="微软雅黑"/>
          <w:b/>
          <w:i w:val="0"/>
          <w:sz w:val="22"/>
        </w:rPr>
        <w:t>设备监造与出厂验收阶段</w:t>
      </w:r>
      <w:r>
        <w:rPr>
          <w:rFonts w:ascii="Calibri" w:hAnsi="Calibri" w:eastAsia="微软雅黑"/>
          <w:b w:val="0"/>
          <w:i w:val="0"/>
          <w:sz w:val="22"/>
        </w:rPr>
        <w:t>：对关键长周期设备，设计人员参与供应商驻厂监造与出厂验收，确保制造参数与设计接口无缝衔接。</w:t>
      </w:r>
    </w:p>
    <w:p>
      <w:pPr>
        <w:pStyle w:val="Heading3"/>
      </w:pPr>
      <w:r>
        <w:t>6.2.4 数字化采购与供应链韧性防线</w:t>
      </w:r>
    </w:p>
    <w:p>
      <w:r>
        <w:rPr>
          <w:rFonts w:ascii="Calibri" w:hAnsi="Calibri" w:eastAsia="微软雅黑"/>
          <w:b w:val="0"/>
          <w:i w:val="0"/>
          <w:sz w:val="22"/>
        </w:rPr>
        <w:t>在大宗商品价格波动、国际供应链不确定性增加的背景下，传统的线下采购模式已无法满足EPC项目的精细化管控要求（此判断为本研究观点）。湖南院的实践给出了可复用的模块化路径：其数字化管理系统包含采购管理模块（采购计划制定、供应商管理、招标管理、合同管理、到货管理，支持电子招标）、施工管理模块（施工计划、资源配置、进度跟踪、质量控制、安全管理，与现场监控设备集成）与设计管理模块（支持三维设计和协同设计），实现全过程的数字化管理 [来源: P000526]。这套模块化架构对中型设计院的价值在于：可以按模块分期建设，先采购后施工再设计协同，避免一次性投入过重（此实施建议为本研究观点）。尤其要留意的是其供应商数据库的动态维护机制——潜在供应商数据库500多家、定期收集更新，使合格供方池始终大于当期需求池，采购竞争性与供应安全性由此同时得到保障 [来源: P000526]。</w:t>
      </w:r>
    </w:p>
    <w:p>
      <w:pPr>
        <w:pStyle w:val="Heading4"/>
      </w:pPr>
      <w:r>
        <w:t>可执行方法：大宗材料价格风险锁定三工具（示意性复盘，机制设计为本研究归纳）</w:t>
      </w:r>
    </w:p>
    <w:p>
      <w:pPr>
        <w:pStyle w:val="ListNumber"/>
      </w:pPr>
      <w:r>
        <w:rPr>
          <w:rFonts w:ascii="Calibri" w:hAnsi="Calibri" w:eastAsia="微软雅黑"/>
          <w:b/>
          <w:i w:val="0"/>
          <w:sz w:val="22"/>
        </w:rPr>
        <w:t>开口合同联动</w:t>
      </w:r>
      <w:r>
        <w:rPr>
          <w:rFonts w:ascii="Calibri" w:hAnsi="Calibri" w:eastAsia="微软雅黑"/>
          <w:b w:val="0"/>
          <w:i w:val="0"/>
          <w:sz w:val="22"/>
        </w:rPr>
        <w:t>：与业主合同约定，当大宗材料价格涨跌幅超过约定阈值时，超出部分按实调差。</w:t>
      </w:r>
    </w:p>
    <w:p>
      <w:pPr>
        <w:pStyle w:val="ListNumber"/>
      </w:pPr>
      <w:r>
        <w:rPr>
          <w:rFonts w:ascii="Calibri" w:hAnsi="Calibri" w:eastAsia="微软雅黑"/>
          <w:b/>
          <w:i w:val="0"/>
          <w:sz w:val="22"/>
        </w:rPr>
        <w:t>战采框架锁价</w:t>
      </w:r>
      <w:r>
        <w:rPr>
          <w:rFonts w:ascii="Calibri" w:hAnsi="Calibri" w:eastAsia="微软雅黑"/>
          <w:b w:val="0"/>
          <w:i w:val="0"/>
          <w:sz w:val="22"/>
        </w:rPr>
        <w:t>：与战略供应商签订年度集中采购框架协议，锁定基准价与阶梯折扣。</w:t>
      </w:r>
    </w:p>
    <w:p>
      <w:pPr>
        <w:pStyle w:val="ListNumber"/>
      </w:pPr>
      <w:r>
        <w:rPr>
          <w:rFonts w:ascii="Calibri" w:hAnsi="Calibri" w:eastAsia="微软雅黑"/>
          <w:b/>
          <w:i w:val="0"/>
          <w:sz w:val="22"/>
        </w:rPr>
        <w:t>背靠背锁定</w:t>
      </w:r>
      <w:r>
        <w:rPr>
          <w:rFonts w:ascii="Calibri" w:hAnsi="Calibri" w:eastAsia="微软雅黑"/>
          <w:b w:val="0"/>
          <w:i w:val="0"/>
          <w:sz w:val="22"/>
        </w:rPr>
        <w:t>：在获取业主预付款后，向供应商支付约定比例定金，直接锁定现货价格。</w:t>
      </w:r>
    </w:p>
    <w:p>
      <w:r>
        <w:rPr>
          <w:rFonts w:ascii="Calibri" w:hAnsi="Calibri" w:eastAsia="微软雅黑"/>
          <w:b w:val="0"/>
          <w:i w:val="0"/>
          <w:sz w:val="22"/>
        </w:rPr>
        <w:t>---</w:t>
      </w:r>
    </w:p>
    <w:p>
      <w:pPr>
        <w:pStyle w:val="Heading2"/>
      </w:pPr>
      <w:r>
        <w:t>6.3 施工把控：打造穿透式的现场履约与质量安全防线</w:t>
      </w:r>
    </w:p>
    <w:p>
      <w:r>
        <w:rPr>
          <w:rFonts w:ascii="Calibri" w:hAnsi="Calibri" w:eastAsia="微软雅黑"/>
          <w:b w:val="0"/>
          <w:i w:val="0"/>
          <w:sz w:val="22"/>
        </w:rPr>
        <w:t>工程施工（Construction）是EPC总承包项目实现价值交付的关键落地环节，也是资金流出最密集、现场环境最复杂、质量安全与合规风险最集中的阶段。对由传统设计院转型而来的工程公司而言，缺乏自有施工大军、缺乏现场施工实战经验是天然短板；其核心策略不是盲目组建庞大的施工队伍，而是通过"专业化分包管控+精益建造工效提升+全过程质量安全防线+数字化现场加持"建立穿透式的现场掌控力（策略归纳为本研究）[来源: P000516, P000521]。</w:t>
      </w:r>
    </w:p>
    <w:p>
      <w:pPr>
        <w:pStyle w:val="Heading3"/>
      </w:pPr>
      <w:r>
        <w:t>6.3.1 分包商全生命周期管控与风险隔离机制</w:t>
      </w:r>
    </w:p>
    <w:p>
      <w:r>
        <w:rPr>
          <w:rFonts w:ascii="Calibri" w:hAnsi="Calibri" w:eastAsia="微软雅黑"/>
          <w:b w:val="0"/>
          <w:i w:val="0"/>
          <w:sz w:val="22"/>
        </w:rPr>
        <w:t>设计院开展EPC总承包业务，通常将绝大部分土建施工、设备安装等专业工程与劳务作业通过市场化招标分包给合格分包商；由于分包商管理水平参差不齐，若缺乏严密管控，极易发生质量缺陷、工期延误、安全事故乃至劳资纠纷，最终由总承包商承担连带责任（风险描述为本研究归纳）。对设计院系总承包商而言，分包管控还有一层特殊含义（本研究解读）：设计院不像施工企业那样拥有长期合作的劳务与专业分包班底，其分包关系多为项目制临时缔结——信任存量薄、磨合成本高，因此必须以制度化的准入、过程与支付管控替代施工企业赖以运转的"熟人网络"。这正是分包管控五步法对设计院的必要性所在。</w:t>
      </w:r>
    </w:p>
    <w:p>
      <w:pPr>
        <w:pStyle w:val="Heading4"/>
      </w:pPr>
      <w:r>
        <w:t>可执行方法：分包商全生命周期"五步管控"法（本研究归纳）</w:t>
      </w:r>
    </w:p>
    <w:p>
      <w:pPr>
        <w:pStyle w:val="ListNumber"/>
      </w:pPr>
      <w:r>
        <w:rPr>
          <w:rFonts w:ascii="Calibri" w:hAnsi="Calibri" w:eastAsia="微软雅黑"/>
          <w:b/>
          <w:i w:val="0"/>
          <w:sz w:val="22"/>
        </w:rPr>
        <w:t>严把准入关（动态名录管理）</w:t>
      </w:r>
      <w:r>
        <w:rPr>
          <w:rFonts w:ascii="Calibri" w:hAnsi="Calibri" w:eastAsia="微软雅黑"/>
          <w:b w:val="0"/>
          <w:i w:val="0"/>
          <w:sz w:val="22"/>
        </w:rPr>
        <w:t>：每年定期开展分包商资格预审，实行"资质+业绩+财务+安全"综合打分制，未经评审入库的企业一律不得参与EPC项目分包投标。</w:t>
      </w:r>
    </w:p>
    <w:p>
      <w:pPr>
        <w:pStyle w:val="ListNumber"/>
      </w:pPr>
      <w:r>
        <w:rPr>
          <w:rFonts w:ascii="Calibri" w:hAnsi="Calibri" w:eastAsia="微软雅黑"/>
          <w:b/>
          <w:i w:val="0"/>
          <w:sz w:val="22"/>
        </w:rPr>
        <w:t>严把合同关（风险隔离与条款锁定）</w:t>
      </w:r>
      <w:r>
        <w:rPr>
          <w:rFonts w:ascii="Calibri" w:hAnsi="Calibri" w:eastAsia="微软雅黑"/>
          <w:b w:val="0"/>
          <w:i w:val="0"/>
          <w:sz w:val="22"/>
        </w:rPr>
        <w:t>：在分包合同中严格锁定质量标准、工期节点与造价上限，明确约定禁止二次转包与违法分包，并设置违约金条款。</w:t>
      </w:r>
    </w:p>
    <w:p>
      <w:pPr>
        <w:pStyle w:val="ListNumber"/>
      </w:pPr>
      <w:r>
        <w:rPr>
          <w:rFonts w:ascii="Calibri" w:hAnsi="Calibri" w:eastAsia="微软雅黑"/>
          <w:b/>
          <w:i w:val="0"/>
          <w:sz w:val="22"/>
        </w:rPr>
        <w:t>严把过程关（现场巡查与旁站）</w:t>
      </w:r>
      <w:r>
        <w:rPr>
          <w:rFonts w:ascii="Calibri" w:hAnsi="Calibri" w:eastAsia="微软雅黑"/>
          <w:b w:val="0"/>
          <w:i w:val="0"/>
          <w:sz w:val="22"/>
        </w:rPr>
        <w:t>：总包项目部对分包现场实施日报、周例会、月度巡查制度；对关键工序（大体积混凝土浇筑、大型设备吊装、隐蔽工程）实行旁站监督与联合签署。</w:t>
      </w:r>
    </w:p>
    <w:p>
      <w:pPr>
        <w:pStyle w:val="ListNumber"/>
      </w:pPr>
      <w:r>
        <w:rPr>
          <w:rFonts w:ascii="Calibri" w:hAnsi="Calibri" w:eastAsia="微软雅黑"/>
          <w:b/>
          <w:i w:val="0"/>
          <w:sz w:val="22"/>
        </w:rPr>
        <w:t>严把支付关（工程量核实与工资直发）</w:t>
      </w:r>
      <w:r>
        <w:rPr>
          <w:rFonts w:ascii="Calibri" w:hAnsi="Calibri" w:eastAsia="微软雅黑"/>
          <w:b w:val="0"/>
          <w:i w:val="0"/>
          <w:sz w:val="22"/>
        </w:rPr>
        <w:t>：实行"无质量合格签署不计量"原则，推行农民工实名制考勤与工资直发，防范连带追偿风险。</w:t>
      </w:r>
    </w:p>
    <w:p>
      <w:pPr>
        <w:pStyle w:val="ListNumber"/>
      </w:pPr>
      <w:r>
        <w:rPr>
          <w:rFonts w:ascii="Calibri" w:hAnsi="Calibri" w:eastAsia="微软雅黑"/>
          <w:b/>
          <w:i w:val="0"/>
          <w:sz w:val="22"/>
        </w:rPr>
        <w:t>严把评价关（履约后评估与名录动态调整）</w:t>
      </w:r>
      <w:r>
        <w:rPr>
          <w:rFonts w:ascii="Calibri" w:hAnsi="Calibri" w:eastAsia="微软雅黑"/>
          <w:b w:val="0"/>
          <w:i w:val="0"/>
          <w:sz w:val="22"/>
        </w:rPr>
        <w:t>：项目竣工后对分包商进行履约后评估，评估结果与后续投标资格联动（湖南院对战略与重要供应商的季度评估机制可迁移至此）[来源: P000526]。</w:t>
      </w:r>
    </w:p>
    <w:p>
      <w:pPr>
        <w:pStyle w:val="Heading3"/>
      </w:pPr>
      <w:r>
        <w:t>6.3.2 施工组织与精益建造工效提升</w:t>
      </w:r>
    </w:p>
    <w:p>
      <w:r>
        <w:rPr>
          <w:rFonts w:ascii="Calibri" w:hAnsi="Calibri" w:eastAsia="微软雅黑"/>
          <w:b w:val="0"/>
          <w:i w:val="0"/>
          <w:sz w:val="22"/>
        </w:rPr>
        <w:t>施工阶段的进度与成本控制，核心在于施工组织设计的科学性与现场建造过程的精益化（此判断为本研究归纳）。昆明院的研究报告给出了网络计划技术的工具化路径：利用非关键活动的总时差调整资源使用，使资源需求曲线尽可能平滑；并应广泛应用专业项目管理软件（如Primavera P6、Microsoft Project等）进行网络计划的编制、计算、优化和管理，提高计划编制的效率和准确性 [来源: P000516]。</w:t>
      </w:r>
    </w:p>
    <w:p>
      <w:r>
        <w:rPr>
          <w:rFonts w:ascii="Calibri" w:hAnsi="Calibri" w:eastAsia="微软雅黑"/>
          <w:b w:val="0"/>
          <w:i w:val="0"/>
          <w:sz w:val="22"/>
        </w:rPr>
        <w:t>资源平衡的原理值得展开一句（本研究解读）：多数项目的失败不是因为每项活动都延期，而是因为资源需求的高峰与低谷剧烈震荡——高峰期人机不足被迫高价外购，低谷期资源闲置白付成本。网络计划技术的价值，正是把"什么时候要什么资源"提前算清，用非关键活动的时差把峰谷削平。这也是设计院转型企业尤其需要补的一课：设计出身的团队习惯以图纸节点组织工作，对资源曲线的敏感度远低于施工系企业。</w:t>
      </w:r>
    </w:p>
    <w:p>
      <w:r>
        <w:rPr>
          <w:rFonts w:ascii="Calibri" w:hAnsi="Calibri" w:eastAsia="微软雅黑"/>
          <w:b w:val="0"/>
          <w:i w:val="0"/>
          <w:sz w:val="22"/>
        </w:rPr>
        <w:t>与网络计划配套的监控语言是赢得值管理（工具说明为本研究归纳）：以计划值、挣值与实际成本三个量的相互比较，同步回答"进度是快是慢、成本是超是省"两个问题——进度绩效与成本绩效双双受控，才是真正受控的项目；只看形象进度的项目管理，本质上是在没有仪表盘的状态下开车。把赢得值指标纳入月度项目例会的固定议程，是让这套语言真正落地于日常管理的最小动作（此建议为本研究观点）。</w:t>
      </w:r>
    </w:p>
    <w:p>
      <w:pPr>
        <w:pStyle w:val="Heading4"/>
      </w:pPr>
      <w:r>
        <w:t>案例剖析：山东院的模块化与数字化建造</w:t>
      </w:r>
    </w:p>
    <w:p>
      <w:pPr>
        <w:pStyle w:val="ListBullet"/>
      </w:pPr>
      <w:r>
        <w:rPr>
          <w:rFonts w:ascii="Calibri" w:hAnsi="Calibri" w:eastAsia="微软雅黑"/>
          <w:b/>
          <w:i w:val="0"/>
          <w:sz w:val="22"/>
        </w:rPr>
        <w:t>数据（Data）</w:t>
      </w:r>
      <w:r>
        <w:rPr>
          <w:rFonts w:ascii="Calibri" w:hAnsi="Calibri" w:eastAsia="微软雅黑"/>
          <w:b w:val="0"/>
          <w:i w:val="0"/>
          <w:sz w:val="22"/>
        </w:rPr>
        <w:t>：山东院BIM深度应用成效显著——其"东营辉阳500千伏变电站总承包BIM数字化应用"项目荣获电力建设数字化应用三等奖；某大型燃气电站EPC项目中各专业设计师在统一模型上协同工作，设计周期缩短15%、设计变更率降低20%，施工前碰撞检测发现并解决数百处设计冲突 [来源: P000506]。</w:t>
      </w:r>
    </w:p>
    <w:p>
      <w:pPr>
        <w:pStyle w:val="ListBullet"/>
      </w:pPr>
      <w:r>
        <w:rPr>
          <w:rFonts w:ascii="Calibri" w:hAnsi="Calibri" w:eastAsia="微软雅黑"/>
          <w:b/>
          <w:i w:val="0"/>
          <w:sz w:val="22"/>
        </w:rPr>
        <w:t>动作（Action）</w:t>
      </w:r>
      <w:r>
        <w:rPr>
          <w:rFonts w:ascii="Calibri" w:hAnsi="Calibri" w:eastAsia="微软雅黑"/>
          <w:b w:val="0"/>
          <w:i w:val="0"/>
          <w:sz w:val="22"/>
        </w:rPr>
        <w:t>：将BIM技术应用于电力工程设计的全生命周期，实现三维模型构建、设计优化、碰撞检测、施工模拟等功能；通过建文EPC平台实现设计、采购、施工、财务、法务的信息共享与流程协同 [来源: P000506]。</w:t>
      </w:r>
    </w:p>
    <w:p>
      <w:pPr>
        <w:pStyle w:val="ListBullet"/>
      </w:pPr>
      <w:r>
        <w:rPr>
          <w:rFonts w:ascii="Calibri" w:hAnsi="Calibri" w:eastAsia="微软雅黑"/>
          <w:b/>
          <w:i w:val="0"/>
          <w:sz w:val="22"/>
        </w:rPr>
        <w:t>结果（Result）</w:t>
      </w:r>
      <w:r>
        <w:rPr>
          <w:rFonts w:ascii="Calibri" w:hAnsi="Calibri" w:eastAsia="微软雅黑"/>
          <w:b w:val="0"/>
          <w:i w:val="0"/>
          <w:sz w:val="22"/>
        </w:rPr>
        <w:t>：减少了现场返工与交叉作业，实现了建造质量、安全与工期的全面跃升（效果归纳为本研究据源文整理）[来源: P000506]。</w:t>
      </w:r>
    </w:p>
    <w:p>
      <w:pPr>
        <w:pStyle w:val="Heading4"/>
      </w:pPr>
      <w:r>
        <w:t>可执行方法：精益建造三步演进流程（本研究归纳）</w:t>
      </w:r>
    </w:p>
    <w:p>
      <w:pPr>
        <w:pStyle w:val="ListNumber"/>
      </w:pPr>
      <w:r>
        <w:rPr>
          <w:rFonts w:ascii="Calibri" w:hAnsi="Calibri" w:eastAsia="微软雅黑"/>
          <w:b/>
          <w:i w:val="0"/>
          <w:sz w:val="22"/>
        </w:rPr>
        <w:t>第一步：基于工作分解结构编制多级进度计划网络</w:t>
      </w:r>
      <w:r>
        <w:rPr>
          <w:rFonts w:ascii="Calibri" w:hAnsi="Calibri" w:eastAsia="微软雅黑"/>
          <w:b w:val="0"/>
          <w:i w:val="0"/>
          <w:sz w:val="22"/>
        </w:rPr>
        <w:t>。将项目逐级分解至可量化的工作包，绘制关键路径网络图，精准锁定关键路径与自由时差。</w:t>
      </w:r>
    </w:p>
    <w:p>
      <w:pPr>
        <w:pStyle w:val="ListNumber"/>
      </w:pPr>
      <w:r>
        <w:rPr>
          <w:rFonts w:ascii="Calibri" w:hAnsi="Calibri" w:eastAsia="微软雅黑"/>
          <w:b/>
          <w:i w:val="0"/>
          <w:sz w:val="22"/>
        </w:rPr>
        <w:t>第二步：全面推行"设计-工厂预制-模块现场装配"</w:t>
      </w:r>
      <w:r>
        <w:rPr>
          <w:rFonts w:ascii="Calibri" w:hAnsi="Calibri" w:eastAsia="微软雅黑"/>
          <w:b w:val="0"/>
          <w:i w:val="0"/>
          <w:sz w:val="22"/>
        </w:rPr>
        <w:t>。在设计阶段即融入装配式与模块化思维，将管道、电缆桥架、钢结构乃至设备间在工厂一体化加工，减少现场二次切割与焊接。</w:t>
      </w:r>
    </w:p>
    <w:p>
      <w:pPr>
        <w:pStyle w:val="ListNumber"/>
      </w:pPr>
      <w:r>
        <w:rPr>
          <w:rFonts w:ascii="Calibri" w:hAnsi="Calibri" w:eastAsia="微软雅黑"/>
          <w:b/>
          <w:i w:val="0"/>
          <w:sz w:val="22"/>
        </w:rPr>
        <w:t>第三步：建立进度成本动态偏差纠偏机制</w:t>
      </w:r>
      <w:r>
        <w:rPr>
          <w:rFonts w:ascii="Calibri" w:hAnsi="Calibri" w:eastAsia="微软雅黑"/>
          <w:b w:val="0"/>
          <w:i w:val="0"/>
          <w:sz w:val="22"/>
        </w:rPr>
        <w:t>。定期采集现场实际进度与成本数据，测算进度与成本绩效指标，偏离阈值即启动赶工措施或资源重新平衡（工具思路为本研究归纳，源文依据为昆明院网络计划方法）[来源: P000516]。</w:t>
      </w:r>
    </w:p>
    <w:p>
      <w:pPr>
        <w:pStyle w:val="Heading3"/>
      </w:pPr>
      <w:r>
        <w:t>6.3.3 全过程质量控制与"多层闭环"安全体系</w:t>
      </w:r>
    </w:p>
    <w:p>
      <w:r>
        <w:rPr>
          <w:rFonts w:ascii="Calibri" w:hAnsi="Calibri" w:eastAsia="微软雅黑"/>
          <w:b w:val="0"/>
          <w:i w:val="0"/>
          <w:sz w:val="22"/>
        </w:rPr>
        <w:t>施工质量与安全是工程企业的生命线。设计院转型EPC必须改变传统监理由第三方负责的依赖心理，建立包含"事前预防、事中控制、事后验收"的全过程质量控制体系（此原则为本研究归纳）。</w:t>
      </w:r>
    </w:p>
    <w:p>
      <w:pPr>
        <w:pStyle w:val="Heading4"/>
      </w:pPr>
      <w:r>
        <w:t>案例剖析：中南电力设计院的"三层级、四闭环"质量控制体系</w:t>
      </w:r>
    </w:p>
    <w:p>
      <w:r>
        <w:rPr>
          <w:rFonts w:ascii="Calibri" w:hAnsi="Calibri" w:eastAsia="微软雅黑"/>
          <w:b w:val="0"/>
          <w:i w:val="0"/>
          <w:sz w:val="22"/>
        </w:rPr>
        <w:t>中南电力设计院在长期EPC项目实践中，逐步形成了一套系统化、标准化的"三层级、四闭环"EPC项目全过程质量控制体系，并被其研究报告列为最具代表性和可复制性的管理实践之首 [来源: P000521]。"三层级"即公司级、项目部级、专业组级三级质量管理架构；后者打通设计、采购、施工及项目整体四个阶段的质量信息流转 [来源: P000521]。该体系的价值在于把质量责任从"项目上的事"变成"全公司分层把守的事"——每一层级都有明确的质量 veto 权限，每一阶段的质量信息都强制回流到下一阶段的输入（机制解读为本研究观点）。</w:t>
      </w:r>
    </w:p>
    <w:p>
      <w:pPr>
        <w:pStyle w:val="Heading4"/>
      </w:pPr>
      <w:r>
        <w:t>可执行方法：现场质量安全标准化落地三步（本研究归纳）</w:t>
      </w:r>
    </w:p>
    <w:p>
      <w:pPr>
        <w:pStyle w:val="ListNumber"/>
      </w:pPr>
      <w:r>
        <w:rPr>
          <w:rFonts w:ascii="Calibri" w:hAnsi="Calibri" w:eastAsia="微软雅黑"/>
          <w:b/>
          <w:i w:val="0"/>
          <w:sz w:val="22"/>
        </w:rPr>
        <w:t>第一步：建立网格化安全风险分级管控</w:t>
      </w:r>
      <w:r>
        <w:rPr>
          <w:rFonts w:ascii="Calibri" w:hAnsi="Calibri" w:eastAsia="微软雅黑"/>
          <w:b w:val="0"/>
          <w:i w:val="0"/>
          <w:sz w:val="22"/>
        </w:rPr>
        <w:t>。开工前对施工现场进行作业条件危险性评价，划分风险等级区域，绘制现场风险四色分布图，实施分级管控。</w:t>
      </w:r>
    </w:p>
    <w:p>
      <w:pPr>
        <w:pStyle w:val="ListNumber"/>
      </w:pPr>
      <w:r>
        <w:rPr>
          <w:rFonts w:ascii="Calibri" w:hAnsi="Calibri" w:eastAsia="微软雅黑"/>
          <w:b/>
          <w:i w:val="0"/>
          <w:sz w:val="22"/>
        </w:rPr>
        <w:t>第二步：严格执行施工质量"三检制"与隐蔽验收</w:t>
      </w:r>
      <w:r>
        <w:rPr>
          <w:rFonts w:ascii="Calibri" w:hAnsi="Calibri" w:eastAsia="微软雅黑"/>
          <w:b w:val="0"/>
          <w:i w:val="0"/>
          <w:sz w:val="22"/>
        </w:rPr>
        <w:t>。每道工序完成后，必须经施工班组自检、工序间互检、总包专职质量工程师专检合格后方可进入下一道工序；隐蔽工程须留存清晰的影像资料与多方签字凭证。</w:t>
      </w:r>
    </w:p>
    <w:p>
      <w:pPr>
        <w:pStyle w:val="ListNumber"/>
      </w:pPr>
      <w:r>
        <w:rPr>
          <w:rFonts w:ascii="Calibri" w:hAnsi="Calibri" w:eastAsia="微软雅黑"/>
          <w:b/>
          <w:i w:val="0"/>
          <w:sz w:val="22"/>
        </w:rPr>
        <w:t>第三步：开展隐患排查治理"销号办结"管理</w:t>
      </w:r>
      <w:r>
        <w:rPr>
          <w:rFonts w:ascii="Calibri" w:hAnsi="Calibri" w:eastAsia="微软雅黑"/>
          <w:b w:val="0"/>
          <w:i w:val="0"/>
          <w:sz w:val="22"/>
        </w:rPr>
        <w:t>。对现场发现的质量与安全隐患实施拍照上报、限期派单、整改复查、在线销号的处置流程。</w:t>
      </w:r>
    </w:p>
    <w:p>
      <w:pPr>
        <w:pStyle w:val="Heading3"/>
      </w:pPr>
      <w:r>
        <w:t>6.3.4 数字化现场：BIM与智慧工地的集成应用</w:t>
      </w:r>
    </w:p>
    <w:p>
      <w:r>
        <w:rPr>
          <w:rFonts w:ascii="Calibri" w:hAnsi="Calibri" w:eastAsia="微软雅黑"/>
          <w:b w:val="0"/>
          <w:i w:val="0"/>
          <w:sz w:val="22"/>
        </w:rPr>
        <w:t>随着物联网与数字孪生技术的成熟，"BIM+智慧工地"已成为设计院EPC项目实现现场穿透式管控的最强技术武器（此判断为本研究观点）。</w:t>
      </w:r>
    </w:p>
    <w:p>
      <w:pPr>
        <w:pStyle w:val="Heading4"/>
      </w:pPr>
      <w:r>
        <w:t>案例剖析：湖南院的BIM全覆盖</w:t>
      </w:r>
    </w:p>
    <w:p>
      <w:pPr>
        <w:pStyle w:val="ListBullet"/>
      </w:pPr>
      <w:r>
        <w:rPr>
          <w:rFonts w:ascii="Calibri" w:hAnsi="Calibri" w:eastAsia="微软雅黑"/>
          <w:b/>
          <w:i w:val="0"/>
          <w:sz w:val="22"/>
        </w:rPr>
        <w:t>数据（Data）</w:t>
      </w:r>
      <w:r>
        <w:rPr>
          <w:rFonts w:ascii="Calibri" w:hAnsi="Calibri" w:eastAsia="微软雅黑"/>
          <w:b w:val="0"/>
          <w:i w:val="0"/>
          <w:sz w:val="22"/>
        </w:rPr>
        <w:t>：湖南院在所有EPC项目中都采用了BIM技术，BIM技术应用率达到100%；EPC业务占主营业务收入的比重超过60% [来源: P000526]。</w:t>
      </w:r>
    </w:p>
    <w:p>
      <w:pPr>
        <w:pStyle w:val="ListBullet"/>
      </w:pPr>
      <w:r>
        <w:rPr>
          <w:rFonts w:ascii="Calibri" w:hAnsi="Calibri" w:eastAsia="微软雅黑"/>
          <w:b/>
          <w:i w:val="0"/>
          <w:sz w:val="22"/>
        </w:rPr>
        <w:t>动作（Action）</w:t>
      </w:r>
      <w:r>
        <w:rPr>
          <w:rFonts w:ascii="Calibri" w:hAnsi="Calibri" w:eastAsia="微软雅黑"/>
          <w:b w:val="0"/>
          <w:i w:val="0"/>
          <w:sz w:val="22"/>
        </w:rPr>
        <w:t>：在设计阶段，各专业设计人员在统一的BIM平台上协同工作，实现设计信息的实时共享和协调；其数字化管理系统将设计、采购、施工模块集成，施工管理模块与现场监控设备集成，实现施工现场的实时监控 [来源: P000526]。</w:t>
      </w:r>
    </w:p>
    <w:p>
      <w:pPr>
        <w:pStyle w:val="ListBullet"/>
      </w:pPr>
      <w:r>
        <w:rPr>
          <w:rFonts w:ascii="Calibri" w:hAnsi="Calibri" w:eastAsia="微软雅黑"/>
          <w:b/>
          <w:i w:val="0"/>
          <w:sz w:val="22"/>
        </w:rPr>
        <w:t>结果（Result）</w:t>
      </w:r>
      <w:r>
        <w:rPr>
          <w:rFonts w:ascii="Calibri" w:hAnsi="Calibri" w:eastAsia="微软雅黑"/>
          <w:b w:val="0"/>
          <w:i w:val="0"/>
          <w:sz w:val="22"/>
        </w:rPr>
        <w:t>：BIM协同设计显著提升了设计效率与质量，为EPC项目的设计施工一体化提供了数据底座（效果归纳为本研究据源文整理）[来源: P000526]。</w:t>
      </w:r>
    </w:p>
    <w:p>
      <w:pPr>
        <w:pStyle w:val="Heading4"/>
      </w:pPr>
      <w:r>
        <w:t>可执行方法：智慧工地平台部署四步路线图（本研究归纳）</w:t>
      </w:r>
    </w:p>
    <w:p>
      <w:pPr>
        <w:pStyle w:val="ListNumber"/>
      </w:pPr>
      <w:r>
        <w:rPr>
          <w:rFonts w:ascii="Calibri" w:hAnsi="Calibri" w:eastAsia="微软雅黑"/>
          <w:b/>
          <w:i w:val="0"/>
          <w:sz w:val="22"/>
        </w:rPr>
        <w:t>第一步：模型轻量化与移动端下发</w:t>
      </w:r>
      <w:r>
        <w:rPr>
          <w:rFonts w:ascii="Calibri" w:hAnsi="Calibri" w:eastAsia="微软雅黑"/>
          <w:b w:val="0"/>
          <w:i w:val="0"/>
          <w:sz w:val="22"/>
        </w:rPr>
        <w:t>。将设计阶段的高精度BIM模型轻量化处理，导入移动端，供现场工程师进行可视化技术交底与碰撞检查。</w:t>
      </w:r>
    </w:p>
    <w:p>
      <w:pPr>
        <w:pStyle w:val="ListNumber"/>
      </w:pPr>
      <w:r>
        <w:rPr>
          <w:rFonts w:ascii="Calibri" w:hAnsi="Calibri" w:eastAsia="微软雅黑"/>
          <w:b/>
          <w:i w:val="0"/>
          <w:sz w:val="22"/>
        </w:rPr>
        <w:t>第二步：部署感知层物联网硬件</w:t>
      </w:r>
      <w:r>
        <w:rPr>
          <w:rFonts w:ascii="Calibri" w:hAnsi="Calibri" w:eastAsia="微软雅黑"/>
          <w:b w:val="0"/>
          <w:i w:val="0"/>
          <w:sz w:val="22"/>
        </w:rPr>
        <w:t>。在现场关键设备安装监控传感器，在出入口安装实名制闸机，在关键材料上实施标签化追踪。</w:t>
      </w:r>
    </w:p>
    <w:p>
      <w:pPr>
        <w:pStyle w:val="ListNumber"/>
      </w:pPr>
      <w:r>
        <w:rPr>
          <w:rFonts w:ascii="Calibri" w:hAnsi="Calibri" w:eastAsia="微软雅黑"/>
          <w:b/>
          <w:i w:val="0"/>
          <w:sz w:val="22"/>
        </w:rPr>
        <w:t>第三步：接入视频识别与巡检</w:t>
      </w:r>
      <w:r>
        <w:rPr>
          <w:rFonts w:ascii="Calibri" w:hAnsi="Calibri" w:eastAsia="微软雅黑"/>
          <w:b w:val="0"/>
          <w:i w:val="0"/>
          <w:sz w:val="22"/>
        </w:rPr>
        <w:t>。在现场高空与死角部署高清摄像头，自动识别未戴安全帽等违章行为；定期航拍生成现场实景模型与设计模型比对。</w:t>
      </w:r>
    </w:p>
    <w:p>
      <w:pPr>
        <w:pStyle w:val="ListNumber"/>
      </w:pPr>
      <w:r>
        <w:rPr>
          <w:rFonts w:ascii="Calibri" w:hAnsi="Calibri" w:eastAsia="微软雅黑"/>
          <w:b/>
          <w:i w:val="0"/>
          <w:sz w:val="22"/>
        </w:rPr>
        <w:t>第四步：集成至项目管理驾驶舱</w:t>
      </w:r>
      <w:r>
        <w:rPr>
          <w:rFonts w:ascii="Calibri" w:hAnsi="Calibri" w:eastAsia="微软雅黑"/>
          <w:b w:val="0"/>
          <w:i w:val="0"/>
          <w:sz w:val="22"/>
        </w:rPr>
        <w:t>。将现场感知数据与进度、成本、质量模块全面打通，在企业总部与项目部形成全景可视化决策界面（湖南院数字化管理系统的模块集成形态即为此路线的实例）[来源: P000526]。</w:t>
      </w:r>
    </w:p>
    <w:p>
      <w:r>
        <w:rPr>
          <w:rFonts w:ascii="Calibri" w:hAnsi="Calibri" w:eastAsia="微软雅黑"/>
          <w:b w:val="0"/>
          <w:i w:val="0"/>
          <w:sz w:val="22"/>
        </w:rPr>
        <w:t>---</w:t>
      </w:r>
    </w:p>
    <w:p>
      <w:pPr>
        <w:pStyle w:val="Heading2"/>
      </w:pPr>
      <w:r>
        <w:t>6.4 组织重塑：构建敏捷高效的矩阵组织与市场化激励机制</w:t>
      </w:r>
    </w:p>
    <w:p>
      <w:r>
        <w:rPr>
          <w:rFonts w:ascii="Calibri" w:hAnsi="Calibri" w:eastAsia="微软雅黑"/>
          <w:b w:val="0"/>
          <w:i w:val="0"/>
          <w:sz w:val="22"/>
        </w:rPr>
        <w:t>传统设计院的组织架构通常围绕"专业科室"（建筑、结构、机电、水暖）构建职能型体系，注重专业技术积累与图纸审核，但存在"部门壁垒高、响应速度慢、缺乏商业与成本导向"的天然缺陷；转型工程总承包后，企业面对的是高风险、多变量、强交付要求的EPC项目，必须对组织架构、管控模式与激励机制进行深层重塑（缺陷归纳为本研究）[来源: P000501, P000521]。</w:t>
      </w:r>
    </w:p>
    <w:p>
      <w:pPr>
        <w:pStyle w:val="Heading3"/>
      </w:pPr>
      <w:r>
        <w:t>6.4.1 "院-事业部-项目部"三级管控与授权划分</w:t>
      </w:r>
    </w:p>
    <w:p>
      <w:r>
        <w:rPr>
          <w:rFonts w:ascii="Calibri" w:hAnsi="Calibri" w:eastAsia="微软雅黑"/>
          <w:b w:val="0"/>
          <w:i w:val="0"/>
          <w:sz w:val="22"/>
        </w:rPr>
        <w:t>为解决"管得太死则缺乏灵活性，放得太松则引发巨额亏损"的矛盾，标杆设计院普遍构建了"院级总部-专业事业部/分院-项目经理部"的三级矩阵管控体系，明确"总部集中管控、事业部资源支撑、项目部穿透履约"的权责边界（权责框架为本研究归纳；第5章表5-4的四级权责结构可对照使用）。</w:t>
      </w:r>
    </w:p>
    <w:p>
      <w:r>
        <w:rPr>
          <w:rFonts w:ascii="Calibri" w:hAnsi="Calibri" w:eastAsia="微软雅黑"/>
          <w:b w:val="0"/>
          <w:i w:val="0"/>
          <w:sz w:val="22"/>
        </w:rPr>
        <w:t>华东院的实践为这一体系提供了最清晰的注脚：其组织架构逐步向工程公司靠拢，院总部、二级生产单位、专业中心都围绕项目高效运转，形成以项目为中心的矩阵式组织结构；同时成立专门的工程公司专业负责工程总承包业务、提高项目现场管控能力，目前工程公司已担负全院工程总承包约60%的份额 [来源: P000506系列同源报告，参见第5章华东院实证]。山东院则随业务多元化与国际化逐步推行事业部制，将火电、新能源、国际业务等划分为相对独立的业务单元并赋予更大经营自主权，跨事业部以项目为核心组建项目团队，由项目经理负责项目全生命周期管理 [来源: P000506]。</w:t>
      </w:r>
    </w:p>
    <w:p>
      <w:pPr>
        <w:pStyle w:val="Heading3"/>
      </w:pPr>
      <w:r>
        <w:t>6.4.2 制度先行：铁四院"1+X+Y"管理体系</w:t>
      </w:r>
    </w:p>
    <w:p>
      <w:r>
        <w:rPr>
          <w:rFonts w:ascii="Calibri" w:hAnsi="Calibri" w:eastAsia="微软雅黑"/>
          <w:b w:val="0"/>
          <w:i w:val="0"/>
          <w:sz w:val="22"/>
        </w:rPr>
        <w:t>矩阵组织的运转依赖制度体系的支撑。铁四院EPC项目管理制度体系采用"1+X+Y"的框架结构："1"是指《EPC总承包项目管理办法》，作为EPC项目管理的总纲，规定了EPC项目管理的基本原则、组织架构、职责分工与管理流程；"X"为各专业管理细则；"Y"为标准化表单与作业指引（框架结构引自其研究报告）[来源: P000501]。这一"总纲-细则-表单"的三层制度设计，使矩阵中的每个角色都能按图索骥找到自己的操作依据，是"1+X+Y"对中型设计院最具移植价值的部分（此评价为本研究观点）。</w:t>
      </w:r>
    </w:p>
    <w:p>
      <w:r>
        <w:rPr>
          <w:rFonts w:ascii="Calibri" w:hAnsi="Calibri" w:eastAsia="微软雅黑"/>
          <w:b w:val="0"/>
          <w:i w:val="0"/>
          <w:sz w:val="22"/>
        </w:rPr>
        <w:t>三级管控的权责划分可进一步细化为一张决策矩阵（矩阵为本研究归纳，企业应按自身授权体系校准）：</w:t>
      </w:r>
    </w:p>
    <w:p>
      <w:pPr>
        <w:pStyle w:val="Heading4"/>
      </w:pPr>
      <w:r>
        <w:t>表6-4 设计院EPC三级管控权责划分矩阵（本研究归纳）</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决策事项</w:t>
            </w:r>
          </w:p>
        </w:tc>
        <w:tc>
          <w:tcPr>
            <w:tcW w:type="dxa" w:w="2075"/>
            <w:shd w:fill="1F3A5F"/>
          </w:tcPr>
          <w:p>
            <w:r>
              <w:rPr>
                <w:color w:val="FFFFFF"/>
              </w:rPr>
            </w:r>
            <w:r>
              <w:rPr>
                <w:rFonts w:ascii="Calibri" w:hAnsi="Calibri" w:eastAsia="微软雅黑"/>
                <w:b/>
                <w:i w:val="0"/>
                <w:color w:val="FFFFFF"/>
                <w:sz w:val="18"/>
              </w:rPr>
              <w:t>院级总部</w:t>
            </w:r>
          </w:p>
        </w:tc>
        <w:tc>
          <w:tcPr>
            <w:tcW w:type="dxa" w:w="2075"/>
            <w:shd w:fill="1F3A5F"/>
          </w:tcPr>
          <w:p>
            <w:r>
              <w:rPr>
                <w:color w:val="FFFFFF"/>
              </w:rPr>
            </w:r>
            <w:r>
              <w:rPr>
                <w:rFonts w:ascii="Calibri" w:hAnsi="Calibri" w:eastAsia="微软雅黑"/>
                <w:b/>
                <w:i w:val="0"/>
                <w:color w:val="FFFFFF"/>
                <w:sz w:val="18"/>
              </w:rPr>
              <w:t>事业部/分院</w:t>
            </w:r>
          </w:p>
        </w:tc>
        <w:tc>
          <w:tcPr>
            <w:tcW w:type="dxa" w:w="2075"/>
            <w:shd w:fill="1F3A5F"/>
          </w:tcPr>
          <w:p>
            <w:r>
              <w:rPr>
                <w:color w:val="FFFFFF"/>
              </w:rPr>
            </w:r>
            <w:r>
              <w:rPr>
                <w:rFonts w:ascii="Calibri" w:hAnsi="Calibri" w:eastAsia="微软雅黑"/>
                <w:b/>
                <w:i w:val="0"/>
                <w:color w:val="FFFFFF"/>
                <w:sz w:val="18"/>
              </w:rPr>
              <w:t>项目经理部</w:t>
            </w:r>
          </w:p>
        </w:tc>
      </w:tr>
      <w:tr>
        <w:tc>
          <w:tcPr>
            <w:tcW w:type="dxa" w:w="2075"/>
          </w:tcPr>
          <w:p>
            <w:r/>
            <w:r>
              <w:rPr>
                <w:rFonts w:ascii="Calibri" w:hAnsi="Calibri" w:eastAsia="微软雅黑"/>
                <w:b w:val="0"/>
                <w:i w:val="0"/>
                <w:sz w:val="18"/>
              </w:rPr>
              <w:t>EPC项目投标与立项决策</w:t>
            </w:r>
          </w:p>
        </w:tc>
        <w:tc>
          <w:tcPr>
            <w:tcW w:type="dxa" w:w="2075"/>
          </w:tcPr>
          <w:p>
            <w:r/>
            <w:r>
              <w:rPr>
                <w:rFonts w:ascii="Calibri" w:hAnsi="Calibri" w:eastAsia="微软雅黑"/>
                <w:b w:val="0"/>
                <w:i w:val="0"/>
                <w:sz w:val="18"/>
              </w:rPr>
              <w:t>审批决策</w:t>
            </w:r>
          </w:p>
        </w:tc>
        <w:tc>
          <w:tcPr>
            <w:tcW w:type="dxa" w:w="2075"/>
          </w:tcPr>
          <w:p>
            <w:r/>
            <w:r>
              <w:rPr>
                <w:rFonts w:ascii="Calibri" w:hAnsi="Calibri" w:eastAsia="微软雅黑"/>
                <w:b w:val="0"/>
                <w:i w:val="0"/>
                <w:sz w:val="18"/>
              </w:rPr>
              <w:t>编制方案</w:t>
            </w:r>
          </w:p>
        </w:tc>
        <w:tc>
          <w:tcPr>
            <w:tcW w:type="dxa" w:w="2075"/>
          </w:tcPr>
          <w:p>
            <w:r/>
            <w:r>
              <w:rPr>
                <w:rFonts w:ascii="Calibri" w:hAnsi="Calibri" w:eastAsia="微软雅黑"/>
                <w:b w:val="0"/>
                <w:i w:val="0"/>
                <w:sz w:val="18"/>
              </w:rPr>
              <w:t>提供数据</w:t>
            </w:r>
          </w:p>
        </w:tc>
      </w:tr>
      <w:tr>
        <w:tc>
          <w:tcPr>
            <w:tcW w:type="dxa" w:w="2075"/>
          </w:tcPr>
          <w:p>
            <w:r/>
            <w:r>
              <w:rPr>
                <w:rFonts w:ascii="Calibri" w:hAnsi="Calibri" w:eastAsia="微软雅黑"/>
                <w:b w:val="0"/>
                <w:i w:val="0"/>
                <w:sz w:val="18"/>
              </w:rPr>
              <w:t>分包商准入与战略招标</w:t>
            </w:r>
          </w:p>
        </w:tc>
        <w:tc>
          <w:tcPr>
            <w:tcW w:type="dxa" w:w="2075"/>
          </w:tcPr>
          <w:p>
            <w:r/>
            <w:r>
              <w:rPr>
                <w:rFonts w:ascii="Calibri" w:hAnsi="Calibri" w:eastAsia="微软雅黑"/>
                <w:b w:val="0"/>
                <w:i w:val="0"/>
                <w:sz w:val="18"/>
              </w:rPr>
              <w:t>名录与大额审批</w:t>
            </w:r>
          </w:p>
        </w:tc>
        <w:tc>
          <w:tcPr>
            <w:tcW w:type="dxa" w:w="2075"/>
          </w:tcPr>
          <w:p>
            <w:r/>
            <w:r>
              <w:rPr>
                <w:rFonts w:ascii="Calibri" w:hAnsi="Calibri" w:eastAsia="微软雅黑"/>
                <w:b w:val="0"/>
                <w:i w:val="0"/>
                <w:sz w:val="18"/>
              </w:rPr>
              <w:t>组织招标</w:t>
            </w:r>
          </w:p>
        </w:tc>
        <w:tc>
          <w:tcPr>
            <w:tcW w:type="dxa" w:w="2075"/>
          </w:tcPr>
          <w:p>
            <w:r/>
            <w:r>
              <w:rPr>
                <w:rFonts w:ascii="Calibri" w:hAnsi="Calibri" w:eastAsia="微软雅黑"/>
                <w:b w:val="0"/>
                <w:i w:val="0"/>
                <w:sz w:val="18"/>
              </w:rPr>
              <w:t>需求提出</w:t>
            </w:r>
          </w:p>
        </w:tc>
      </w:tr>
      <w:tr>
        <w:tc>
          <w:tcPr>
            <w:tcW w:type="dxa" w:w="2075"/>
          </w:tcPr>
          <w:p>
            <w:r/>
            <w:r>
              <w:rPr>
                <w:rFonts w:ascii="Calibri" w:hAnsi="Calibri" w:eastAsia="微软雅黑"/>
                <w:b w:val="0"/>
                <w:i w:val="0"/>
                <w:sz w:val="18"/>
              </w:rPr>
              <w:t>项目预算与限额设计指标</w:t>
            </w:r>
          </w:p>
        </w:tc>
        <w:tc>
          <w:tcPr>
            <w:tcW w:type="dxa" w:w="2075"/>
          </w:tcPr>
          <w:p>
            <w:r/>
            <w:r>
              <w:rPr>
                <w:rFonts w:ascii="Calibri" w:hAnsi="Calibri" w:eastAsia="微软雅黑"/>
                <w:b w:val="0"/>
                <w:i w:val="0"/>
                <w:sz w:val="18"/>
              </w:rPr>
              <w:t>审定预算</w:t>
            </w:r>
          </w:p>
        </w:tc>
        <w:tc>
          <w:tcPr>
            <w:tcW w:type="dxa" w:w="2075"/>
          </w:tcPr>
          <w:p>
            <w:r/>
            <w:r>
              <w:rPr>
                <w:rFonts w:ascii="Calibri" w:hAnsi="Calibri" w:eastAsia="微软雅黑"/>
                <w:b w:val="0"/>
                <w:i w:val="0"/>
                <w:sz w:val="18"/>
              </w:rPr>
              <w:t>核算编制</w:t>
            </w:r>
          </w:p>
        </w:tc>
        <w:tc>
          <w:tcPr>
            <w:tcW w:type="dxa" w:w="2075"/>
          </w:tcPr>
          <w:p>
            <w:r/>
            <w:r>
              <w:rPr>
                <w:rFonts w:ascii="Calibri" w:hAnsi="Calibri" w:eastAsia="微软雅黑"/>
                <w:b w:val="0"/>
                <w:i w:val="0"/>
                <w:sz w:val="18"/>
              </w:rPr>
              <w:t>执行控制</w:t>
            </w:r>
          </w:p>
        </w:tc>
      </w:tr>
      <w:tr>
        <w:tc>
          <w:tcPr>
            <w:tcW w:type="dxa" w:w="2075"/>
          </w:tcPr>
          <w:p>
            <w:r/>
            <w:r>
              <w:rPr>
                <w:rFonts w:ascii="Calibri" w:hAnsi="Calibri" w:eastAsia="微软雅黑"/>
                <w:b w:val="0"/>
                <w:i w:val="0"/>
                <w:sz w:val="18"/>
              </w:rPr>
              <w:t>重大设计变更与索赔</w:t>
            </w:r>
          </w:p>
        </w:tc>
        <w:tc>
          <w:tcPr>
            <w:tcW w:type="dxa" w:w="2075"/>
          </w:tcPr>
          <w:p>
            <w:r/>
            <w:r>
              <w:rPr>
                <w:rFonts w:ascii="Calibri" w:hAnsi="Calibri" w:eastAsia="微软雅黑"/>
                <w:b w:val="0"/>
                <w:i w:val="0"/>
                <w:sz w:val="18"/>
              </w:rPr>
              <w:t>最终审批</w:t>
            </w:r>
          </w:p>
        </w:tc>
        <w:tc>
          <w:tcPr>
            <w:tcW w:type="dxa" w:w="2075"/>
          </w:tcPr>
          <w:p>
            <w:r/>
            <w:r>
              <w:rPr>
                <w:rFonts w:ascii="Calibri" w:hAnsi="Calibri" w:eastAsia="微软雅黑"/>
                <w:b w:val="0"/>
                <w:i w:val="0"/>
                <w:sz w:val="18"/>
              </w:rPr>
              <w:t>技术论证</w:t>
            </w:r>
          </w:p>
        </w:tc>
        <w:tc>
          <w:tcPr>
            <w:tcW w:type="dxa" w:w="2075"/>
          </w:tcPr>
          <w:p>
            <w:r/>
            <w:r>
              <w:rPr>
                <w:rFonts w:ascii="Calibri" w:hAnsi="Calibri" w:eastAsia="微软雅黑"/>
                <w:b w:val="0"/>
                <w:i w:val="0"/>
                <w:sz w:val="18"/>
              </w:rPr>
              <w:t>现场收集</w:t>
            </w:r>
          </w:p>
        </w:tc>
      </w:tr>
      <w:tr>
        <w:tc>
          <w:tcPr>
            <w:tcW w:type="dxa" w:w="2075"/>
          </w:tcPr>
          <w:p>
            <w:r/>
            <w:r>
              <w:rPr>
                <w:rFonts w:ascii="Calibri" w:hAnsi="Calibri" w:eastAsia="微软雅黑"/>
                <w:b w:val="0"/>
                <w:i w:val="0"/>
                <w:sz w:val="18"/>
              </w:rPr>
              <w:t>项目经理任命与绩效考核</w:t>
            </w:r>
          </w:p>
        </w:tc>
        <w:tc>
          <w:tcPr>
            <w:tcW w:type="dxa" w:w="2075"/>
          </w:tcPr>
          <w:p>
            <w:r/>
            <w:r>
              <w:rPr>
                <w:rFonts w:ascii="Calibri" w:hAnsi="Calibri" w:eastAsia="微软雅黑"/>
                <w:b w:val="0"/>
                <w:i w:val="0"/>
                <w:sz w:val="18"/>
              </w:rPr>
              <w:t>高层任命</w:t>
            </w:r>
          </w:p>
        </w:tc>
        <w:tc>
          <w:tcPr>
            <w:tcW w:type="dxa" w:w="2075"/>
          </w:tcPr>
          <w:p>
            <w:r/>
            <w:r>
              <w:rPr>
                <w:rFonts w:ascii="Calibri" w:hAnsi="Calibri" w:eastAsia="微软雅黑"/>
                <w:b w:val="0"/>
                <w:i w:val="0"/>
                <w:sz w:val="18"/>
              </w:rPr>
              <w:t>日常考核</w:t>
            </w:r>
          </w:p>
        </w:tc>
        <w:tc>
          <w:tcPr>
            <w:tcW w:type="dxa" w:w="2075"/>
          </w:tcPr>
          <w:p>
            <w:r/>
            <w:r>
              <w:rPr>
                <w:rFonts w:ascii="Calibri" w:hAnsi="Calibri" w:eastAsia="微软雅黑"/>
                <w:b w:val="0"/>
                <w:i w:val="0"/>
                <w:sz w:val="18"/>
              </w:rPr>
              <w:t>接受考核</w:t>
            </w:r>
          </w:p>
        </w:tc>
      </w:tr>
    </w:tbl>
    <w:p>
      <w:r>
        <w:rPr>
          <w:rFonts w:ascii="Calibri" w:hAnsi="Calibri" w:eastAsia="微软雅黑"/>
          <w:b w:val="0"/>
          <w:i w:val="0"/>
          <w:sz w:val="22"/>
        </w:rPr>
        <w:t>矩阵使用的要领（本研究提示）：表中每一行的"审批-论证-执行"链条必须环环落地——审批者不承担论证责任、论证者没有数据输入，是矩阵失灵的两大起点；企业应以这张表为基础，把每一行的三个角色写进制度细则（即"X"层），并以签字表单（即"Y"层）固化流转痕迹。</w:t>
      </w:r>
    </w:p>
    <w:p>
      <w:pPr>
        <w:pStyle w:val="Heading4"/>
      </w:pPr>
      <w:r>
        <w:t>可执行方法：制度体系落地三步（本研究归纳）</w:t>
      </w:r>
    </w:p>
    <w:p>
      <w:pPr>
        <w:pStyle w:val="ListNumber"/>
      </w:pPr>
      <w:r>
        <w:rPr>
          <w:rFonts w:ascii="Calibri" w:hAnsi="Calibri" w:eastAsia="微软雅黑"/>
          <w:b/>
          <w:i w:val="0"/>
          <w:sz w:val="22"/>
        </w:rPr>
        <w:t>第一步：先立总纲</w:t>
      </w:r>
      <w:r>
        <w:rPr>
          <w:rFonts w:ascii="Calibri" w:hAnsi="Calibri" w:eastAsia="微软雅黑"/>
          <w:b w:val="0"/>
          <w:i w:val="0"/>
          <w:sz w:val="22"/>
        </w:rPr>
        <w:t>。以一份总承包项目管理办法明确组织架构、授权矩阵与核心流程，避免制度碎片化。</w:t>
      </w:r>
    </w:p>
    <w:p>
      <w:pPr>
        <w:pStyle w:val="ListNumber"/>
      </w:pPr>
      <w:r>
        <w:rPr>
          <w:rFonts w:ascii="Calibri" w:hAnsi="Calibri" w:eastAsia="微软雅黑"/>
          <w:b/>
          <w:i w:val="0"/>
          <w:sz w:val="22"/>
        </w:rPr>
        <w:t>第二步：按风险优先级补细则</w:t>
      </w:r>
      <w:r>
        <w:rPr>
          <w:rFonts w:ascii="Calibri" w:hAnsi="Calibri" w:eastAsia="微软雅黑"/>
          <w:b w:val="0"/>
          <w:i w:val="0"/>
          <w:sz w:val="22"/>
        </w:rPr>
        <w:t>。优先编制合同、采购分包、成本与质量安全管理细则——这四类制度的缺位直接产生履约损失。</w:t>
      </w:r>
    </w:p>
    <w:p>
      <w:pPr>
        <w:pStyle w:val="ListNumber"/>
      </w:pPr>
      <w:r>
        <w:rPr>
          <w:rFonts w:ascii="Calibri" w:hAnsi="Calibri" w:eastAsia="微软雅黑"/>
          <w:b/>
          <w:i w:val="0"/>
          <w:sz w:val="22"/>
        </w:rPr>
        <w:t>第三步：表单化沉淀</w:t>
      </w:r>
      <w:r>
        <w:rPr>
          <w:rFonts w:ascii="Calibri" w:hAnsi="Calibri" w:eastAsia="微软雅黑"/>
          <w:b w:val="0"/>
          <w:i w:val="0"/>
          <w:sz w:val="22"/>
        </w:rPr>
        <w:t>。将细则转化为可执行的表单与检查清单，使制度从文本变为动作。</w:t>
      </w:r>
    </w:p>
    <w:p>
      <w:pPr>
        <w:pStyle w:val="Heading3"/>
      </w:pPr>
      <w:r>
        <w:t>6.4.3 项目经理复合型人才培养与选拔机制</w:t>
      </w:r>
    </w:p>
    <w:p>
      <w:r>
        <w:rPr>
          <w:rFonts w:ascii="Calibri" w:hAnsi="Calibri" w:eastAsia="微软雅黑"/>
          <w:b w:val="0"/>
          <w:i w:val="0"/>
          <w:sz w:val="22"/>
        </w:rPr>
        <w:t>EPC总承包竞争，归根结底是复合型项目经理的竞争（此判断为本研究观点）。传统设计院的设计负责人往往精于技术但缺乏商务谈判、合同法务、施工组织与成本控制能力，难以胜任总承包项目的全面掌控 [来源: P000521, P000526]。</w:t>
      </w:r>
    </w:p>
    <w:p>
      <w:r>
        <w:rPr>
          <w:rFonts w:ascii="Calibri" w:hAnsi="Calibri" w:eastAsia="微软雅黑"/>
          <w:b w:val="0"/>
          <w:i w:val="0"/>
          <w:sz w:val="22"/>
        </w:rPr>
        <w:t>复合型项目经理的能力剖面可用"三维胜任力"框架描述（框架为本研究归纳）：</w:t>
      </w:r>
      <w:r>
        <w:rPr>
          <w:rFonts w:ascii="Calibri" w:hAnsi="Calibri" w:eastAsia="微软雅黑"/>
          <w:b/>
          <w:i w:val="0"/>
          <w:sz w:val="22"/>
        </w:rPr>
        <w:t>技术专家维</w:t>
      </w:r>
      <w:r>
        <w:rPr>
          <w:rFonts w:ascii="Calibri" w:hAnsi="Calibri" w:eastAsia="微软雅黑"/>
          <w:b w:val="0"/>
          <w:i w:val="0"/>
          <w:sz w:val="22"/>
        </w:rPr>
        <w:t>（设计优化、工艺理解、数字化应用）+</w:t>
      </w:r>
      <w:r>
        <w:rPr>
          <w:rFonts w:ascii="Calibri" w:hAnsi="Calibri" w:eastAsia="微软雅黑"/>
          <w:b/>
          <w:i w:val="0"/>
          <w:sz w:val="22"/>
        </w:rPr>
        <w:t>商务金融维</w:t>
      </w:r>
      <w:r>
        <w:rPr>
          <w:rFonts w:ascii="Calibri" w:hAnsi="Calibri" w:eastAsia="微软雅黑"/>
          <w:b w:val="0"/>
          <w:i w:val="0"/>
          <w:sz w:val="22"/>
        </w:rPr>
        <w:t>（合同法务、投标报价、成本费控、移交结算）+</w:t>
      </w:r>
      <w:r>
        <w:rPr>
          <w:rFonts w:ascii="Calibri" w:hAnsi="Calibri" w:eastAsia="微软雅黑"/>
          <w:b/>
          <w:i w:val="0"/>
          <w:sz w:val="22"/>
        </w:rPr>
        <w:t>领导管理维</w:t>
      </w:r>
      <w:r>
        <w:rPr>
          <w:rFonts w:ascii="Calibri" w:hAnsi="Calibri" w:eastAsia="微软雅黑"/>
          <w:b w:val="0"/>
          <w:i w:val="0"/>
          <w:sz w:val="22"/>
        </w:rPr>
        <w:t>（团队协同、现场组织、风险沟通、应急处置）。三维中任何一维的系统性缺失，都会在项目的特定阶段被放大——缺技术维，源头优化无从谈起；缺商务维，中标即亏损；缺管理维，团队在现场自行瓦解。人才选拔与培养应以三维全图谱为基准打分，而非仅凭技术职级晋升（此原则为本研究观点）。</w:t>
      </w:r>
    </w:p>
    <w:p>
      <w:r>
        <w:rPr>
          <w:rFonts w:ascii="Calibri" w:hAnsi="Calibri" w:eastAsia="微软雅黑"/>
          <w:b w:val="0"/>
          <w:i w:val="0"/>
          <w:sz w:val="22"/>
        </w:rPr>
        <w:t>湖南院的实践给出了体系化路径：企业注重复合型人才的培养和使用，EPC项目管理人员不仅要具备专业技术能力，还要具备项目管理能力、沟通协调能力、风险管控能力等综合素质 [来源: P000526]。其人才结构数据同样值得关注：截至2024年底，企业技术人员占员工总数的比例超过70%，其中高级工程师和教授级高级工程师占技术人员的比例超过30%，为技术创新与总承包履约提供了人才保障 [来源: P000526]。</w:t>
      </w:r>
    </w:p>
    <w:p>
      <w:pPr>
        <w:pStyle w:val="Heading4"/>
      </w:pPr>
      <w:r>
        <w:t>可执行方法：复合型项目经理"三阶梯"培养路径（本研究归纳）</w:t>
      </w:r>
    </w:p>
    <w:p>
      <w:pPr>
        <w:pStyle w:val="ListNumber"/>
      </w:pPr>
      <w:r>
        <w:rPr>
          <w:rFonts w:ascii="Calibri" w:hAnsi="Calibri" w:eastAsia="微软雅黑"/>
          <w:b/>
          <w:i w:val="0"/>
          <w:sz w:val="22"/>
        </w:rPr>
        <w:t>阶梯一：设计骨干选拔与通识培训</w:t>
      </w:r>
      <w:r>
        <w:rPr>
          <w:rFonts w:ascii="Calibri" w:hAnsi="Calibri" w:eastAsia="微软雅黑"/>
          <w:b w:val="0"/>
          <w:i w:val="0"/>
          <w:sz w:val="22"/>
        </w:rPr>
        <w:t>。从优秀主设人员中挑选苗子，强制进行项目管理、合同法务与财务造价培训。</w:t>
      </w:r>
    </w:p>
    <w:p>
      <w:pPr>
        <w:pStyle w:val="ListNumber"/>
      </w:pPr>
      <w:r>
        <w:rPr>
          <w:rFonts w:ascii="Calibri" w:hAnsi="Calibri" w:eastAsia="微软雅黑"/>
          <w:b/>
          <w:i w:val="0"/>
          <w:sz w:val="22"/>
        </w:rPr>
        <w:t>阶梯二：现场与商务岗位强制交叉轮岗</w:t>
      </w:r>
      <w:r>
        <w:rPr>
          <w:rFonts w:ascii="Calibri" w:hAnsi="Calibri" w:eastAsia="微软雅黑"/>
          <w:b w:val="0"/>
          <w:i w:val="0"/>
          <w:sz w:val="22"/>
        </w:rPr>
        <w:t>。候选人进入新建EPC项目部，在施工管理岗与商务采购岗轮岗锻炼，完成现场协调与变更索赔实战。</w:t>
      </w:r>
    </w:p>
    <w:p>
      <w:pPr>
        <w:pStyle w:val="ListNumber"/>
      </w:pPr>
      <w:r>
        <w:rPr>
          <w:rFonts w:ascii="Calibri" w:hAnsi="Calibri" w:eastAsia="微软雅黑"/>
          <w:b/>
          <w:i w:val="0"/>
          <w:sz w:val="22"/>
        </w:rPr>
        <w:t>阶梯三：副经理历练与独立担纲</w:t>
      </w:r>
      <w:r>
        <w:rPr>
          <w:rFonts w:ascii="Calibri" w:hAnsi="Calibri" w:eastAsia="微软雅黑"/>
          <w:b w:val="0"/>
          <w:i w:val="0"/>
          <w:sz w:val="22"/>
        </w:rPr>
        <w:t>。通过担任大型项目副经理完成全流程履约后，经综合考核列入合格项目经理名录，赋予独立带队资格。</w:t>
      </w:r>
    </w:p>
    <w:p>
      <w:pPr>
        <w:pStyle w:val="Heading3"/>
      </w:pPr>
      <w:r>
        <w:t>6.4.4 利益捆绑：风险共担与超额分享的机制设计</w:t>
      </w:r>
    </w:p>
    <w:p>
      <w:r>
        <w:rPr>
          <w:rFonts w:ascii="Calibri" w:hAnsi="Calibri" w:eastAsia="微软雅黑"/>
          <w:b w:val="0"/>
          <w:i w:val="0"/>
          <w:sz w:val="22"/>
        </w:rPr>
        <w:t>传统设计院按产值提成的薪酬分配模式，无法适应EPC模式的高风险与高收益特征；如果"干好干坏一个样，盈利亏损不挂钩"，项目团队就会缺乏精打细算、源头创效的动力（此判断为本研究观点）。标杆企业普遍推行"风险抵押+超额利润分享+质量安全追责"的市场化激励约束方向（方向归纳为本研究）。</w:t>
      </w:r>
    </w:p>
    <w:p>
      <w:pPr>
        <w:pStyle w:val="Heading4"/>
      </w:pPr>
      <w:r>
        <w:t>可执行方法：EPC项目跟投与超额利润分享联动方案（示意性复盘——以下机制参数为本研究依据激励相容原理构造的示例设计，非任何企业的实际执行数据）</w:t>
      </w:r>
    </w:p>
    <w:p>
      <w:pPr>
        <w:pStyle w:val="ListNumber"/>
      </w:pPr>
      <w:r>
        <w:rPr>
          <w:rFonts w:ascii="Calibri" w:hAnsi="Calibri" w:eastAsia="微软雅黑"/>
          <w:b/>
          <w:i w:val="0"/>
          <w:sz w:val="22"/>
        </w:rPr>
        <w:t>第一步：测算基准目标成本与风险保证金</w:t>
      </w:r>
      <w:r>
        <w:rPr>
          <w:rFonts w:ascii="Calibri" w:hAnsi="Calibri" w:eastAsia="微软雅黑"/>
          <w:b w:val="0"/>
          <w:i w:val="0"/>
          <w:sz w:val="22"/>
        </w:rPr>
        <w:t>。项目开工前，由财务与费控部门核定目标利润；项目经理及核心团队按项目规模交纳风险保证金，形成"跟投"绑定。</w:t>
      </w:r>
    </w:p>
    <w:p>
      <w:pPr>
        <w:pStyle w:val="ListNumber"/>
      </w:pPr>
      <w:r>
        <w:rPr>
          <w:rFonts w:ascii="Calibri" w:hAnsi="Calibri" w:eastAsia="微软雅黑"/>
          <w:b/>
          <w:i w:val="0"/>
          <w:sz w:val="22"/>
        </w:rPr>
        <w:t>第二步：节点预支与终算分享相结合</w:t>
      </w:r>
      <w:r>
        <w:rPr>
          <w:rFonts w:ascii="Calibri" w:hAnsi="Calibri" w:eastAsia="微软雅黑"/>
          <w:b w:val="0"/>
          <w:i w:val="0"/>
          <w:sz w:val="22"/>
        </w:rPr>
        <w:t>。关键节点按预估盈利额预支部分提成；项目竣工结算与资金回款达到约定比例后，进行全额二次结算分享。</w:t>
      </w:r>
    </w:p>
    <w:p>
      <w:pPr>
        <w:pStyle w:val="ListNumber"/>
      </w:pPr>
      <w:r>
        <w:rPr>
          <w:rFonts w:ascii="Calibri" w:hAnsi="Calibri" w:eastAsia="微软雅黑"/>
          <w:b/>
          <w:i w:val="0"/>
          <w:sz w:val="22"/>
        </w:rPr>
        <w:t>第三步：建立负向扣减与质量安全一票否决底线</w:t>
      </w:r>
      <w:r>
        <w:rPr>
          <w:rFonts w:ascii="Calibri" w:hAnsi="Calibri" w:eastAsia="微软雅黑"/>
          <w:b w:val="0"/>
          <w:i w:val="0"/>
          <w:sz w:val="22"/>
        </w:rPr>
        <w:t>。若项目出现重大质量安全事故、严重工期延误或非不可抗力亏损，风险保证金全额没收；因设计错漏碰缺造成返工亏损的，按约定比例扣减设计团队绩效留成。</w:t>
      </w:r>
    </w:p>
    <w:p>
      <w:r>
        <w:rPr>
          <w:rFonts w:ascii="Calibri" w:hAnsi="Calibri" w:eastAsia="微软雅黑"/>
          <w:b w:val="0"/>
          <w:i w:val="0"/>
          <w:sz w:val="22"/>
        </w:rPr>
        <w:t>设计该机制时的一条铁律（本研究提示）：分享比例与扣减力度必须对称——只设分享不设扣减，机制退化为福利；只设扣减不设分享，机制退化为惩罚，两者都无法产生持续的创效动力。中南院将费控中心运作与成本管理、风险管理并列为其专项管理体系的核心组件 [来源: P000521]，说明头部企业把"算账能力"本身作为组织能力建设，而非仅仅依赖个人激励。</w:t>
      </w:r>
    </w:p>
    <w:p>
      <w:r>
        <w:rPr>
          <w:rFonts w:ascii="Calibri" w:hAnsi="Calibri" w:eastAsia="微软雅黑"/>
          <w:b w:val="0"/>
          <w:i w:val="0"/>
          <w:sz w:val="22"/>
        </w:rPr>
        <w:t>由此形成组织重塑的完整拼图（本研究归纳）：</w:t>
      </w:r>
      <w:r>
        <w:rPr>
          <w:rFonts w:ascii="Calibri" w:hAnsi="Calibri" w:eastAsia="微软雅黑"/>
          <w:b/>
          <w:i w:val="0"/>
          <w:sz w:val="22"/>
        </w:rPr>
        <w:t>制度（1+X+Y）定规矩，矩阵（三级管控）定权责，人才（三维胜任力）定能力，激励（跟投分享）定动力</w:t>
      </w:r>
      <w:r>
        <w:rPr>
          <w:rFonts w:ascii="Calibri" w:hAnsi="Calibri" w:eastAsia="微软雅黑"/>
          <w:b w:val="0"/>
          <w:i w:val="0"/>
          <w:sz w:val="22"/>
        </w:rPr>
        <w:t>——四件套缺一件，矩阵组织就会以各自不同的方式失灵：无制度则混乱，无授权则僵化，无人才则空转，无激励则懈怠。设计院转型的组织工程，本质上是这四件套的同步建设与持续校准。</w:t>
      </w:r>
    </w:p>
    <w:p>
      <w:r>
        <w:rPr>
          <w:rFonts w:ascii="Calibri" w:hAnsi="Calibri" w:eastAsia="微软雅黑"/>
          <w:b w:val="0"/>
          <w:i w:val="0"/>
          <w:sz w:val="22"/>
        </w:rPr>
        <w:t>---</w:t>
      </w:r>
    </w:p>
    <w:p>
      <w:pPr>
        <w:pStyle w:val="Heading2"/>
      </w:pPr>
      <w:r>
        <w:t>6.5 衍生模式与商业创新：打破传统边界的"EPC+"全产业链重构</w:t>
      </w:r>
    </w:p>
    <w:p>
      <w:r>
        <w:rPr>
          <w:rFonts w:ascii="Calibri" w:hAnsi="Calibri" w:eastAsia="微软雅黑"/>
          <w:b w:val="0"/>
          <w:i w:val="0"/>
          <w:sz w:val="22"/>
        </w:rPr>
        <w:t>随着工程建设市场从增量扩张转向存量盘活与高质量发展，单纯的传统EPC模式已难以完全满足政府与业主对"资金平衡、生态增益、长期运营"的复合型需求；顶尖设计院在转型过程中，充分发挥规划与技术源头优势，向产业链上下游延伸，探索出一系列"EPC+"衍生商业模式（模式综述为本研究据源文整理）[来源: P000501, P000511]。</w:t>
      </w:r>
    </w:p>
    <w:p>
      <w:pPr>
        <w:pStyle w:val="Heading3"/>
      </w:pPr>
      <w:r>
        <w:t>6.5.1 "PPP+EPC"与资金导向型的全产业链重构</w:t>
      </w:r>
    </w:p>
    <w:p>
      <w:r>
        <w:rPr>
          <w:rFonts w:ascii="Calibri" w:hAnsi="Calibri" w:eastAsia="微软雅黑"/>
          <w:b w:val="0"/>
          <w:i w:val="0"/>
          <w:sz w:val="22"/>
        </w:rPr>
        <w:t>"PPP+EPC"模式将政府与社会资本合作的投融资架构与工程总承包的高效建设组织方式深度结合，设计院通过参与项目公司股权投资，从项目最前端切入，实现"以投资带总承包，以设计控总投资"（模式描述为本研究归纳）。铁四院在其EPC总承包衍生模式专章中，对PPP+EPC、EOD、设计施工总承包等创新模式的探索与实践进行了系统总结 [来源: P000501]。</w:t>
      </w:r>
    </w:p>
    <w:p>
      <w:pPr>
        <w:pStyle w:val="Heading4"/>
      </w:pPr>
      <w:r>
        <w:t>可执行方法："PPP+EPC"项目投建营协同落地四步法（示意性复盘，机制设计为本研究归纳）</w:t>
      </w:r>
    </w:p>
    <w:p>
      <w:pPr>
        <w:pStyle w:val="ListNumber"/>
      </w:pPr>
      <w:r>
        <w:rPr>
          <w:rFonts w:ascii="Calibri" w:hAnsi="Calibri" w:eastAsia="微软雅黑"/>
          <w:b/>
          <w:i w:val="0"/>
          <w:sz w:val="22"/>
        </w:rPr>
        <w:t>第一步：投融资策划与全生命周期财务模型倒推</w:t>
      </w:r>
      <w:r>
        <w:rPr>
          <w:rFonts w:ascii="Calibri" w:hAnsi="Calibri" w:eastAsia="微软雅黑"/>
          <w:b w:val="0"/>
          <w:i w:val="0"/>
          <w:sz w:val="22"/>
        </w:rPr>
        <w:t>。在可研阶段，由投融资团队会同设计团队，依据特许经营期内的预期付费或补助，倒推计算项目建设总投资上限与目标运营成本。</w:t>
      </w:r>
    </w:p>
    <w:p>
      <w:pPr>
        <w:pStyle w:val="ListNumber"/>
      </w:pPr>
      <w:r>
        <w:rPr>
          <w:rFonts w:ascii="Calibri" w:hAnsi="Calibri" w:eastAsia="微软雅黑"/>
          <w:b/>
          <w:i w:val="0"/>
          <w:sz w:val="22"/>
        </w:rPr>
        <w:t>第二步：设计限额与运营成本双重锁定</w:t>
      </w:r>
      <w:r>
        <w:rPr>
          <w:rFonts w:ascii="Calibri" w:hAnsi="Calibri" w:eastAsia="微软雅黑"/>
          <w:b w:val="0"/>
          <w:i w:val="0"/>
          <w:sz w:val="22"/>
        </w:rPr>
        <w:t>。将测算出的投资上限转化为设计限额指标，同时在设计阶段引入"降低运营期能耗与维护成本"的技术方案，确保项目公司长期投资回报。</w:t>
      </w:r>
    </w:p>
    <w:p>
      <w:pPr>
        <w:pStyle w:val="ListNumber"/>
      </w:pPr>
      <w:r>
        <w:rPr>
          <w:rFonts w:ascii="Calibri" w:hAnsi="Calibri" w:eastAsia="微软雅黑"/>
          <w:b/>
          <w:i w:val="0"/>
          <w:sz w:val="22"/>
        </w:rPr>
        <w:t>第三步：项目公司与总承包合同的风险隔离</w:t>
      </w:r>
      <w:r>
        <w:rPr>
          <w:rFonts w:ascii="Calibri" w:hAnsi="Calibri" w:eastAsia="微软雅黑"/>
          <w:b w:val="0"/>
          <w:i w:val="0"/>
          <w:sz w:val="22"/>
        </w:rPr>
        <w:t>。在项目公司股东协议与EPC总承包合同之间设置风险隔离安排，确保总承包工程款支付进度与项目公司融资到位节点强绑定。</w:t>
      </w:r>
    </w:p>
    <w:p>
      <w:pPr>
        <w:pStyle w:val="ListNumber"/>
      </w:pPr>
      <w:r>
        <w:rPr>
          <w:rFonts w:ascii="Calibri" w:hAnsi="Calibri" w:eastAsia="微软雅黑"/>
          <w:b/>
          <w:i w:val="0"/>
          <w:sz w:val="22"/>
        </w:rPr>
        <w:t>第四步：绩效评价与运营付费联动</w:t>
      </w:r>
      <w:r>
        <w:rPr>
          <w:rFonts w:ascii="Calibri" w:hAnsi="Calibri" w:eastAsia="微软雅黑"/>
          <w:b w:val="0"/>
          <w:i w:val="0"/>
          <w:sz w:val="22"/>
        </w:rPr>
        <w:t>。将总承包建设质量与后续运营期绩效考核挂钩，建立建设与运营阶段的利益共享与风险共担机制。</w:t>
      </w:r>
    </w:p>
    <w:p>
      <w:pPr>
        <w:pStyle w:val="Heading3"/>
      </w:pPr>
      <w:r>
        <w:t>6.5.2 EOD与生态环境导向的开发模式</w:t>
      </w:r>
    </w:p>
    <w:p>
      <w:r>
        <w:rPr>
          <w:rFonts w:ascii="Calibri" w:hAnsi="Calibri" w:eastAsia="微软雅黑"/>
          <w:b w:val="0"/>
          <w:i w:val="0"/>
          <w:sz w:val="22"/>
        </w:rPr>
        <w:t>EOD（生态环境导向的开发）模式强调将收益性较差的生态环境治理项目与具备稳定现金流的关联产业项目有机融合、一体化实施，实现生态环境治理的外部经济性内部化（模式定义引自源文整理）[来源: P000501]。对设计院而言，EOD的入口优势在于规划与生态技术方案能力：从项目规划阶段即切入"生态+产业"一体化方案设计，将生态修复的技术参数转化为产业项目的开发空间与价值增值（路径描述为本研究归纳）。</w:t>
      </w:r>
    </w:p>
    <w:p>
      <w:pPr>
        <w:pStyle w:val="Heading4"/>
      </w:pPr>
      <w:r>
        <w:t>可执行方法：EOD总承包项目四级联动流程（示意性复盘，机制设计为本研究归纳）</w:t>
      </w:r>
    </w:p>
    <w:p>
      <w:pPr>
        <w:pStyle w:val="ListNumber"/>
      </w:pPr>
      <w:r>
        <w:rPr>
          <w:rFonts w:ascii="Calibri" w:hAnsi="Calibri" w:eastAsia="微软雅黑"/>
          <w:b/>
          <w:i w:val="0"/>
          <w:sz w:val="22"/>
        </w:rPr>
        <w:t>产业协同与生态价值溢价核算</w:t>
      </w:r>
      <w:r>
        <w:rPr>
          <w:rFonts w:ascii="Calibri" w:hAnsi="Calibri" w:eastAsia="微软雅黑"/>
          <w:b w:val="0"/>
          <w:i w:val="0"/>
          <w:sz w:val="22"/>
        </w:rPr>
        <w:t>：联合环境与产业规划专家，测算生态治理后周边土地、产业及新能源项目的价值增殖额，编制整体EOD收益自平衡方案。</w:t>
      </w:r>
    </w:p>
    <w:p>
      <w:pPr>
        <w:pStyle w:val="ListNumber"/>
      </w:pPr>
      <w:r>
        <w:rPr>
          <w:rFonts w:ascii="Calibri" w:hAnsi="Calibri" w:eastAsia="微软雅黑"/>
          <w:b/>
          <w:i w:val="0"/>
          <w:sz w:val="22"/>
        </w:rPr>
        <w:t>项目库申报与绿色金融对接</w:t>
      </w:r>
      <w:r>
        <w:rPr>
          <w:rFonts w:ascii="Calibri" w:hAnsi="Calibri" w:eastAsia="微软雅黑"/>
          <w:b w:val="0"/>
          <w:i w:val="0"/>
          <w:sz w:val="22"/>
        </w:rPr>
        <w:t>：将打包后的项目申报入国家及省部级EOD项目库，获取政策性银行长期低息绿色金融支持。</w:t>
      </w:r>
    </w:p>
    <w:p>
      <w:pPr>
        <w:pStyle w:val="ListNumber"/>
      </w:pPr>
      <w:r>
        <w:rPr>
          <w:rFonts w:ascii="Calibri" w:hAnsi="Calibri" w:eastAsia="微软雅黑"/>
          <w:b/>
          <w:i w:val="0"/>
          <w:sz w:val="22"/>
        </w:rPr>
        <w:t>生态工程与产业设施交叉设计施工控制</w:t>
      </w:r>
      <w:r>
        <w:rPr>
          <w:rFonts w:ascii="Calibri" w:hAnsi="Calibri" w:eastAsia="微软雅黑"/>
          <w:b w:val="0"/>
          <w:i w:val="0"/>
          <w:sz w:val="22"/>
        </w:rPr>
        <w:t>：由总承包商统一协调，确保生态治理达标节点与产业项目竣工投产节点精准匹配，避免资源浪费。</w:t>
      </w:r>
    </w:p>
    <w:p>
      <w:pPr>
        <w:pStyle w:val="ListNumber"/>
      </w:pPr>
      <w:r>
        <w:rPr>
          <w:rFonts w:ascii="Calibri" w:hAnsi="Calibri" w:eastAsia="微软雅黑"/>
          <w:b/>
          <w:i w:val="0"/>
          <w:sz w:val="22"/>
        </w:rPr>
        <w:t>运营期生态绩效与产业收益对冲</w:t>
      </w:r>
      <w:r>
        <w:rPr>
          <w:rFonts w:ascii="Calibri" w:hAnsi="Calibri" w:eastAsia="微软雅黑"/>
          <w:b w:val="0"/>
          <w:i w:val="0"/>
          <w:sz w:val="22"/>
        </w:rPr>
        <w:t>：建立运营数据监控安排，以产业收益反哺生态维护开支，确保EOD项目长期健康运转。</w:t>
      </w:r>
    </w:p>
    <w:p>
      <w:pPr>
        <w:pStyle w:val="Heading3"/>
      </w:pPr>
      <w:r>
        <w:t>6.5.3 "EPC+O&amp;M"与全生命周期服务</w:t>
      </w:r>
    </w:p>
    <w:p>
      <w:r>
        <w:rPr>
          <w:rFonts w:ascii="Calibri" w:hAnsi="Calibri" w:eastAsia="微软雅黑"/>
          <w:b w:val="0"/>
          <w:i w:val="0"/>
          <w:sz w:val="22"/>
        </w:rPr>
        <w:t>传统工程交付往往止于竣工验收，易引发"重建设、轻运营"以及设计与运维脱节的割裂现象 [来源: P000511]。"EPC+O&amp;M"模式将总承包商的责任延伸至竣工后的运营维护，适用于污水处理厂、垃圾焚烧厂、综合管廊等具有较强运营属性的项目——这要求总承包商具备相应的运营能力或整合运营资源的能力，同时也面临长期运营责任、收费机制设计、法律适用模糊等问题 [来源: P000511]。上海市政总院在运营维护领域（设施运营、设备维护、技术改造等后期服务）积极探索"EPC+O&amp;M"模式，为客户提供一体化解决方案、延伸服务链条 [来源: P000511]。其嘉兴水厂改造项目正是这一模式的标杆：嘉兴市区现状水厂工艺提升改造项目一期工程斩获"2023年全球水奖年度最佳市政供水项目"，实现了从设计交付到水厂运营绩效的国际级认可 [来源: P000511]。</w:t>
      </w:r>
    </w:p>
    <w:p>
      <w:pPr>
        <w:pStyle w:val="Heading4"/>
      </w:pPr>
      <w:r>
        <w:t>可执行方法："EPC+O&amp;M"的可运维设计实施标准（示意性复盘，机制设计为本研究归纳）</w:t>
      </w:r>
    </w:p>
    <w:p>
      <w:pPr>
        <w:pStyle w:val="ListNumber"/>
      </w:pPr>
      <w:r>
        <w:rPr>
          <w:rFonts w:ascii="Calibri" w:hAnsi="Calibri" w:eastAsia="微软雅黑"/>
          <w:b/>
          <w:i w:val="0"/>
          <w:sz w:val="22"/>
        </w:rPr>
        <w:t>运维需求前置接入设计规范</w:t>
      </w:r>
      <w:r>
        <w:rPr>
          <w:rFonts w:ascii="Calibri" w:hAnsi="Calibri" w:eastAsia="微软雅黑"/>
          <w:b w:val="0"/>
          <w:i w:val="0"/>
          <w:sz w:val="22"/>
        </w:rPr>
        <w:t>：在设计审查清单中新增设备检修空间、管道清洗通道、自动化监控接口等可运维性强制条款。</w:t>
      </w:r>
    </w:p>
    <w:p>
      <w:pPr>
        <w:pStyle w:val="ListNumber"/>
      </w:pPr>
      <w:r>
        <w:rPr>
          <w:rFonts w:ascii="Calibri" w:hAnsi="Calibri" w:eastAsia="微软雅黑"/>
          <w:b/>
          <w:i w:val="0"/>
          <w:sz w:val="22"/>
        </w:rPr>
        <w:t>设采联动选用高耐久低能耗装备</w:t>
      </w:r>
      <w:r>
        <w:rPr>
          <w:rFonts w:ascii="Calibri" w:hAnsi="Calibri" w:eastAsia="微软雅黑"/>
          <w:b w:val="0"/>
          <w:i w:val="0"/>
          <w:sz w:val="22"/>
        </w:rPr>
        <w:t>：采购评标时采用"初始采购价+十年运维能耗费"综合评标法（总拥有成本原则的运维版），优先选用高能效与低故障率设备。</w:t>
      </w:r>
    </w:p>
    <w:p>
      <w:pPr>
        <w:pStyle w:val="ListNumber"/>
      </w:pPr>
      <w:r>
        <w:rPr>
          <w:rFonts w:ascii="Calibri" w:hAnsi="Calibri" w:eastAsia="微软雅黑"/>
          <w:b/>
          <w:i w:val="0"/>
          <w:sz w:val="22"/>
        </w:rPr>
        <w:t>试运行与移交运维标准体系构建</w:t>
      </w:r>
      <w:r>
        <w:rPr>
          <w:rFonts w:ascii="Calibri" w:hAnsi="Calibri" w:eastAsia="微软雅黑"/>
          <w:b w:val="0"/>
          <w:i w:val="0"/>
          <w:sz w:val="22"/>
        </w:rPr>
        <w:t>：在竣工前，运营团队进驻现场参与设备调试，编制数字化运维手册与故障应急预案。</w:t>
      </w:r>
    </w:p>
    <w:p>
      <w:pPr>
        <w:pStyle w:val="ListNumber"/>
      </w:pPr>
      <w:r>
        <w:rPr>
          <w:rFonts w:ascii="Calibri" w:hAnsi="Calibri" w:eastAsia="微软雅黑"/>
          <w:b/>
          <w:i w:val="0"/>
          <w:sz w:val="22"/>
        </w:rPr>
        <w:t>运维数据回馈设计迭代</w:t>
      </w:r>
      <w:r>
        <w:rPr>
          <w:rFonts w:ascii="Calibri" w:hAnsi="Calibri" w:eastAsia="微软雅黑"/>
          <w:b w:val="0"/>
          <w:i w:val="0"/>
          <w:sz w:val="22"/>
        </w:rPr>
        <w:t>：建立运维数据库，将易损件更换周期、实际能耗数据反馈给设计部门，推动设计标准迭代升级。</w:t>
      </w:r>
    </w:p>
    <w:p>
      <w:pPr>
        <w:pStyle w:val="Heading3"/>
      </w:pPr>
      <w:r>
        <w:t>6.5.4 海外EPC与"一带一路"国际工程总承包拓展</w:t>
      </w:r>
    </w:p>
    <w:p>
      <w:r>
        <w:rPr>
          <w:rFonts w:ascii="Calibri" w:hAnsi="Calibri" w:eastAsia="微软雅黑"/>
          <w:b w:val="0"/>
          <w:i w:val="0"/>
          <w:sz w:val="22"/>
        </w:rPr>
        <w:t>国际工程承包市场高度成熟，通用FIDIC等标准合同条款；国内顶尖设计院通过将国内技术标准与国际通用规范对接，积极拓展"一带一路"海外EPC市场（表述为本研究归纳）[来源: P000521, P000531]。</w:t>
      </w:r>
    </w:p>
    <w:p>
      <w:pPr>
        <w:pStyle w:val="ListBullet"/>
      </w:pPr>
      <w:r>
        <w:rPr>
          <w:rFonts w:ascii="Calibri" w:hAnsi="Calibri" w:eastAsia="微软雅黑"/>
          <w:b/>
          <w:i w:val="0"/>
          <w:sz w:val="22"/>
        </w:rPr>
        <w:t>中南电力设计院</w:t>
      </w:r>
      <w:r>
        <w:rPr>
          <w:rFonts w:ascii="Calibri" w:hAnsi="Calibri" w:eastAsia="微软雅黑"/>
          <w:b w:val="0"/>
          <w:i w:val="0"/>
          <w:sz w:val="22"/>
        </w:rPr>
        <w:t>：其海外大单序列包括孟加拉帕亚拉2×660MW燃煤电站EPC总承包项目（约42亿元）、巴基斯坦卡西姆港2×660MW燃煤电站二期EPC总承包项目（约38亿元）等，并覆盖越南、老挝等多国市场 [来源: P000521]。</w:t>
      </w:r>
    </w:p>
    <w:p>
      <w:pPr>
        <w:pStyle w:val="ListBullet"/>
      </w:pPr>
      <w:r>
        <w:rPr>
          <w:rFonts w:ascii="Calibri" w:hAnsi="Calibri" w:eastAsia="微软雅黑"/>
          <w:b/>
          <w:i w:val="0"/>
          <w:sz w:val="22"/>
        </w:rPr>
        <w:t>中汽工程</w:t>
      </w:r>
      <w:r>
        <w:rPr>
          <w:rFonts w:ascii="Calibri" w:hAnsi="Calibri" w:eastAsia="微软雅黑"/>
          <w:b w:val="0"/>
          <w:i w:val="0"/>
          <w:sz w:val="22"/>
        </w:rPr>
        <w:t>：作为中国汽车工程领域的领军企业之一，根据行业统计，其在中国汽车工程设计领域市场份额超过20%、在汽车工程EPC领域市场份额超过15%；已实施一汽、上汽、广汽、北汽、吉利、长城等国内主要汽车集团的多个重点工程项目，并开始拓展海外市场 [来源: P000531]。行业背景数据同样支撑这一赛道的成长性：根据中国工程咨询协会数据，2023年中国汽车工程领域EPC项目合同额超过2000亿元，同比增长25%，占汽车工程总投资的比例超过60%，其中新能源汽车相关工程EPC项目占比超过70%；EPC模式可比传统模式缩短工期20%-30%（行业统计口径）[来源: P000531]。</w:t>
      </w:r>
    </w:p>
    <w:p>
      <w:pPr>
        <w:pStyle w:val="Heading4"/>
      </w:pPr>
      <w:r>
        <w:t>可执行方法：海外EPC项目风险防控四要点（本研究归纳）</w:t>
      </w:r>
    </w:p>
    <w:p>
      <w:pPr>
        <w:pStyle w:val="ListNumber"/>
      </w:pPr>
      <w:r>
        <w:rPr>
          <w:rFonts w:ascii="Calibri" w:hAnsi="Calibri" w:eastAsia="微软雅黑"/>
          <w:b/>
          <w:i w:val="0"/>
          <w:sz w:val="22"/>
        </w:rPr>
        <w:t>标准合同条款与当地法律合规审核</w:t>
      </w:r>
      <w:r>
        <w:rPr>
          <w:rFonts w:ascii="Calibri" w:hAnsi="Calibri" w:eastAsia="微软雅黑"/>
          <w:b w:val="0"/>
          <w:i w:val="0"/>
          <w:sz w:val="22"/>
        </w:rPr>
        <w:t>：对国际通用合同条款逐条开展风险清查，重点梳理不可抗力、工期延误索赔、违约金扣减及当地劳动法限制，聘请熟悉工程业务的国际法务团队复核。</w:t>
      </w:r>
    </w:p>
    <w:p>
      <w:pPr>
        <w:pStyle w:val="ListNumber"/>
      </w:pPr>
      <w:r>
        <w:rPr>
          <w:rFonts w:ascii="Calibri" w:hAnsi="Calibri" w:eastAsia="微软雅黑"/>
          <w:b/>
          <w:i w:val="0"/>
          <w:sz w:val="22"/>
        </w:rPr>
        <w:t>汇率与工程保险组合部署</w:t>
      </w:r>
      <w:r>
        <w:rPr>
          <w:rFonts w:ascii="Calibri" w:hAnsi="Calibri" w:eastAsia="微软雅黑"/>
          <w:b w:val="0"/>
          <w:i w:val="0"/>
          <w:sz w:val="22"/>
        </w:rPr>
        <w:t>：利用金融衍生工具锁定汇率波动风险，投保工程一切险、第三方责任险及政治风险险等保险组合。</w:t>
      </w:r>
    </w:p>
    <w:p>
      <w:pPr>
        <w:pStyle w:val="ListNumber"/>
      </w:pPr>
      <w:r>
        <w:rPr>
          <w:rFonts w:ascii="Calibri" w:hAnsi="Calibri" w:eastAsia="微软雅黑"/>
          <w:b/>
          <w:i w:val="0"/>
          <w:sz w:val="22"/>
        </w:rPr>
        <w:t>国际化供应链与当地劳工合规</w:t>
      </w:r>
      <w:r>
        <w:rPr>
          <w:rFonts w:ascii="Calibri" w:hAnsi="Calibri" w:eastAsia="微软雅黑"/>
          <w:b w:val="0"/>
          <w:i w:val="0"/>
          <w:sz w:val="22"/>
        </w:rPr>
        <w:t>：建立设备出口与当地清关的通道安排，制定当地劳工雇佣比例预案与跨文化冲突管理机制。</w:t>
      </w:r>
    </w:p>
    <w:p>
      <w:pPr>
        <w:pStyle w:val="ListNumber"/>
      </w:pPr>
      <w:r>
        <w:rPr>
          <w:rFonts w:ascii="Calibri" w:hAnsi="Calibri" w:eastAsia="微软雅黑"/>
          <w:b/>
          <w:i w:val="0"/>
          <w:sz w:val="22"/>
        </w:rPr>
        <w:t>中外技术标准比对与转换</w:t>
      </w:r>
      <w:r>
        <w:rPr>
          <w:rFonts w:ascii="Calibri" w:hAnsi="Calibri" w:eastAsia="微软雅黑"/>
          <w:b w:val="0"/>
          <w:i w:val="0"/>
          <w:sz w:val="22"/>
        </w:rPr>
        <w:t>：建立双语工程技术标准转换安排，确保设计图纸通过当地政府审查（中南院在多国市场的长期履约实践即为标准转换能力的积累过程）[来源: P000521]。</w:t>
      </w:r>
    </w:p>
    <w:p>
      <w:r>
        <w:rPr>
          <w:rFonts w:ascii="Calibri" w:hAnsi="Calibri" w:eastAsia="微软雅黑"/>
          <w:b w:val="0"/>
          <w:i w:val="0"/>
          <w:sz w:val="22"/>
        </w:rPr>
        <w:t>---</w:t>
      </w:r>
    </w:p>
    <w:p>
      <w:pPr>
        <w:pStyle w:val="Heading2"/>
      </w:pPr>
      <w:r>
        <w:t>6.6 标杆案例深度解构：数据-动作-结果</w:t>
      </w:r>
    </w:p>
    <w:p>
      <w:pPr>
        <w:pStyle w:val="Heading3"/>
      </w:pPr>
      <w:r>
        <w:t>6.6.1 案例一：铁四院——长沙磁浮工程EPC总承包项目</w:t>
      </w:r>
    </w:p>
    <w:p>
      <w:pPr>
        <w:pStyle w:val="ListBullet"/>
      </w:pPr>
      <w:r>
        <w:rPr>
          <w:rFonts w:ascii="Calibri" w:hAnsi="Calibri" w:eastAsia="微软雅黑"/>
          <w:b/>
          <w:i w:val="0"/>
          <w:sz w:val="22"/>
        </w:rPr>
        <w:t>数据（Data）</w:t>
      </w:r>
      <w:r>
        <w:rPr>
          <w:rFonts w:ascii="Calibri" w:hAnsi="Calibri" w:eastAsia="微软雅黑"/>
          <w:b w:val="0"/>
          <w:i w:val="0"/>
          <w:sz w:val="22"/>
        </w:rPr>
        <w:t>：长沙磁浮工程是中国首条完全自主知识产权的中低速磁浮商业运营线，项目投资约42亿元，铁四院承担EPC总承包任务；线路需适应城市复杂环境，存在较多小半径曲线（长沙磁浮最小曲线半径75米），对车辆转向架设计与轨道平顺性提出很高要求 [来源: P000501]。</w:t>
      </w:r>
    </w:p>
    <w:p>
      <w:pPr>
        <w:pStyle w:val="ListBullet"/>
      </w:pPr>
      <w:r>
        <w:rPr>
          <w:rFonts w:ascii="Calibri" w:hAnsi="Calibri" w:eastAsia="微软雅黑"/>
          <w:b/>
          <w:i w:val="0"/>
          <w:sz w:val="22"/>
        </w:rPr>
        <w:t>动作（Action）</w:t>
      </w:r>
      <w:r>
        <w:rPr>
          <w:rFonts w:ascii="Calibri" w:hAnsi="Calibri" w:eastAsia="微软雅黑"/>
          <w:b w:val="0"/>
          <w:i w:val="0"/>
          <w:sz w:val="22"/>
        </w:rPr>
        <w:t>：针对F轨制造与安装精度要求极高（毫米级）、直接影响列车运行平稳性与安全性的难点，铁四院联合制造厂家优化F轨结构设计，研发高精度制造工艺和专用安装设备，施工中采用先进的测量控制技术；针对小曲线半径难点，优化车辆转向架设计以提高曲线通过能力，精确控制F轨曲线段安装精度 [来源: P000501]。</w:t>
      </w:r>
    </w:p>
    <w:p>
      <w:pPr>
        <w:pStyle w:val="ListBullet"/>
      </w:pPr>
      <w:r>
        <w:rPr>
          <w:rFonts w:ascii="Calibri" w:hAnsi="Calibri" w:eastAsia="微软雅黑"/>
          <w:b/>
          <w:i w:val="0"/>
          <w:sz w:val="22"/>
        </w:rPr>
        <w:t>结果（Result）</w:t>
      </w:r>
      <w:r>
        <w:rPr>
          <w:rFonts w:ascii="Calibri" w:hAnsi="Calibri" w:eastAsia="微软雅黑"/>
          <w:b w:val="0"/>
          <w:i w:val="0"/>
          <w:sz w:val="22"/>
        </w:rPr>
        <w:t>：项目成功实施，成为铁四院EPC能力的重要里程碑，验证了设计院以设计技术纵深驾驭复杂系统集成工程的可行性 [来源: P000501]。</w:t>
      </w:r>
    </w:p>
    <w:p>
      <w:pPr>
        <w:pStyle w:val="Heading3"/>
      </w:pPr>
      <w:r>
        <w:t>6.6.2 案例二：铁四院——合肥宿松路快速化改造工程涉铁段EPC项目</w:t>
      </w:r>
    </w:p>
    <w:p>
      <w:pPr>
        <w:pStyle w:val="ListBullet"/>
      </w:pPr>
      <w:r>
        <w:rPr>
          <w:rFonts w:ascii="Calibri" w:hAnsi="Calibri" w:eastAsia="微软雅黑"/>
          <w:b/>
          <w:i w:val="0"/>
          <w:sz w:val="22"/>
        </w:rPr>
        <w:t>数据（Data）</w:t>
      </w:r>
      <w:r>
        <w:rPr>
          <w:rFonts w:ascii="Calibri" w:hAnsi="Calibri" w:eastAsia="微软雅黑"/>
          <w:b w:val="0"/>
          <w:i w:val="0"/>
          <w:sz w:val="22"/>
        </w:rPr>
        <w:t>：该项目涉及多条既有铁路营业线的交叉施工，被铁四院研究报告列为与长沙磁浮、襄阳东津站枢纽并列的典型案例；涉铁工程的特殊性在于施工窗口期受列车运行图刚性约束、安全防护要求极高（难点描述为本研究据涉铁工程通例归纳）[来源: P000501]。</w:t>
      </w:r>
    </w:p>
    <w:p>
      <w:pPr>
        <w:pStyle w:val="ListBullet"/>
      </w:pPr>
      <w:r>
        <w:rPr>
          <w:rFonts w:ascii="Calibri" w:hAnsi="Calibri" w:eastAsia="微软雅黑"/>
          <w:b/>
          <w:i w:val="0"/>
          <w:sz w:val="22"/>
        </w:rPr>
        <w:t>动作（Action）</w:t>
      </w:r>
      <w:r>
        <w:rPr>
          <w:rFonts w:ascii="Calibri" w:hAnsi="Calibri" w:eastAsia="微软雅黑"/>
          <w:b w:val="0"/>
          <w:i w:val="0"/>
          <w:sz w:val="22"/>
        </w:rPr>
        <w:t>：铁四院利用其在铁路与市政工程的交叉技术积淀，设计对既有铁路干扰最小的施工方案，实施涉铁安全专项管控 [来源: P000501]。</w:t>
      </w:r>
    </w:p>
    <w:p>
      <w:pPr>
        <w:pStyle w:val="ListBullet"/>
      </w:pPr>
      <w:r>
        <w:rPr>
          <w:rFonts w:ascii="Calibri" w:hAnsi="Calibri" w:eastAsia="微软雅黑"/>
          <w:b/>
          <w:i w:val="0"/>
          <w:sz w:val="22"/>
        </w:rPr>
        <w:t>结果（Result）</w:t>
      </w:r>
      <w:r>
        <w:rPr>
          <w:rFonts w:ascii="Calibri" w:hAnsi="Calibri" w:eastAsia="微软雅黑"/>
          <w:b w:val="0"/>
          <w:i w:val="0"/>
          <w:sz w:val="22"/>
        </w:rPr>
        <w:t>：在确保既有铁路营业线安全的前提下完成快速化改造，成为高难度涉铁市政EPC的示范样本（结果表述为本研究据源文归纳）[来源: P000501]。该案例与长沙磁浮一起，构成铁四院"以铁路技术纵深反哺市政EPC"的双标杆——设计院的跨界竞争力，往往正藏在其最传统的行业积淀之中（此句为本研究观点）。</w:t>
      </w:r>
    </w:p>
    <w:p>
      <w:pPr>
        <w:pStyle w:val="Heading3"/>
      </w:pPr>
      <w:r>
        <w:t>6.6.3 案例三：中汽工程——新能源汽车工厂适应性改造EPC</w:t>
      </w:r>
    </w:p>
    <w:p>
      <w:pPr>
        <w:pStyle w:val="ListBullet"/>
      </w:pPr>
      <w:r>
        <w:rPr>
          <w:rFonts w:ascii="Calibri" w:hAnsi="Calibri" w:eastAsia="微软雅黑"/>
          <w:b/>
          <w:i w:val="0"/>
          <w:sz w:val="22"/>
        </w:rPr>
        <w:t>数据（Data）</w:t>
      </w:r>
      <w:r>
        <w:rPr>
          <w:rFonts w:ascii="Calibri" w:hAnsi="Calibri" w:eastAsia="微软雅黑"/>
          <w:b w:val="0"/>
          <w:i w:val="0"/>
          <w:sz w:val="22"/>
        </w:rPr>
        <w:t>：中汽工程掌握新能源汽车整车工厂适应性改造技术，针对新能源汽车特点，对冲压、焊装、涂装、总装等生产线进行适应性设计和改造；同时掌握电驱动系统工厂工程技术（电机、电控、减速器等核心部件的制造工艺与装备技术）及充换电设施工程技术（充电桩、换电站、电池梯次利用等设施的规划设计和建设技术）[来源: P000531]。行业侧数据：2023年中国汽车工程领域EPC项目合同额超过2000亿元（同比增长25%），其中新能源汽车相关工程EPC项目占比超过70% [来源: P000531]。</w:t>
      </w:r>
    </w:p>
    <w:p>
      <w:pPr>
        <w:pStyle w:val="ListBullet"/>
      </w:pPr>
      <w:r>
        <w:rPr>
          <w:rFonts w:ascii="Calibri" w:hAnsi="Calibri" w:eastAsia="微软雅黑"/>
          <w:b/>
          <w:i w:val="0"/>
          <w:sz w:val="22"/>
        </w:rPr>
        <w:t>动作（Action）</w:t>
      </w:r>
      <w:r>
        <w:rPr>
          <w:rFonts w:ascii="Calibri" w:hAnsi="Calibri" w:eastAsia="微软雅黑"/>
          <w:b w:val="0"/>
          <w:i w:val="0"/>
          <w:sz w:val="22"/>
        </w:rPr>
        <w:t>：以工艺设计为统领实施产线适应性改造，并将BIM、数字孪生等数字化技术应用于汽车工程EPC全过程作为持续研究方向 [来源: P000531]。</w:t>
      </w:r>
    </w:p>
    <w:p>
      <w:pPr>
        <w:pStyle w:val="ListBullet"/>
      </w:pPr>
      <w:r>
        <w:rPr>
          <w:rFonts w:ascii="Calibri" w:hAnsi="Calibri" w:eastAsia="微软雅黑"/>
          <w:b/>
          <w:i w:val="0"/>
          <w:sz w:val="22"/>
        </w:rPr>
        <w:t>结果（Result）</w:t>
      </w:r>
      <w:r>
        <w:rPr>
          <w:rFonts w:ascii="Calibri" w:hAnsi="Calibri" w:eastAsia="微软雅黑"/>
          <w:b w:val="0"/>
          <w:i w:val="0"/>
          <w:sz w:val="22"/>
        </w:rPr>
        <w:t>：中汽工程在中国汽车工程设计领域市场份额超过20%、汽车工程EPC领域市场份额超过15%，实施了国内主要汽车集团的多个重点工程项目并拓展海外市场，成为细分赛道极化战略（详见第4章）在设计院群体中的又一实证 [来源: P000531]。</w:t>
      </w:r>
    </w:p>
    <w:p>
      <w:pPr>
        <w:pStyle w:val="Heading3"/>
      </w:pPr>
      <w:r>
        <w:t>6.6.4 案例四：中核工程——华龙一号示范工程EPC总承包深度复盘</w:t>
      </w:r>
    </w:p>
    <w:p>
      <w:pPr>
        <w:pStyle w:val="ListBullet"/>
      </w:pPr>
      <w:r>
        <w:rPr>
          <w:rFonts w:ascii="Calibri" w:hAnsi="Calibri" w:eastAsia="微软雅黑"/>
          <w:b/>
          <w:i w:val="0"/>
          <w:sz w:val="22"/>
        </w:rPr>
        <w:t>数据（Data）</w:t>
      </w:r>
      <w:r>
        <w:rPr>
          <w:rFonts w:ascii="Calibri" w:hAnsi="Calibri" w:eastAsia="微软雅黑"/>
          <w:b w:val="0"/>
          <w:i w:val="0"/>
          <w:sz w:val="22"/>
        </w:rPr>
        <w:t>：华龙一号示范工程的反应堆厂房穹顶吊装被定义为一级里程碑节点——它不仅是工程建设从土建施工全面转向设备安装阶段的标志，更是衡量总承包商统筹协调与集成管理能力的核心指标；实证复盘显示，穹顶吊装的提前实现（如某项目实现提前35天吊装）直接得益于总承包商对施工逻辑的根本性重构 [来源: P000552]。安全壳钢衬里穹顶呈典型半球形壳体结构，由6mm厚的P265GH钢板及其外侧焊接的Q235B角钢（规格包含∠75×50×6及∠200×125×12）组成，是钢衬里施工中整体吊装就位的最大构件 [来源: P000552]。吊装逻辑涉及六大主线工作的深度协同：反应堆厂房砼结构施工须在吊装前完成内部结构施工、筒体砼精准达到23层（标高43.54m）；钢衬里工程涵盖筒体施工至12层（标高44.83m）及穹顶壁板预制、组对焊接与吊点安装 [来源: P000552]。</w:t>
      </w:r>
    </w:p>
    <w:p>
      <w:pPr>
        <w:pStyle w:val="ListBullet"/>
      </w:pPr>
      <w:r>
        <w:rPr>
          <w:rFonts w:ascii="Calibri" w:hAnsi="Calibri" w:eastAsia="微软雅黑"/>
          <w:b/>
          <w:i w:val="0"/>
          <w:sz w:val="22"/>
        </w:rPr>
        <w:t>动作（Action）</w:t>
      </w:r>
      <w:r>
        <w:rPr>
          <w:rFonts w:ascii="Calibri" w:hAnsi="Calibri" w:eastAsia="微软雅黑"/>
          <w:b w:val="0"/>
          <w:i w:val="0"/>
          <w:sz w:val="22"/>
        </w:rPr>
        <w:t>：总承包商彻底背离传统线性施工模式，转而采用并行集成逻辑，将穹顶吊装相关工作整体提前；通过"专项计划+委员会制"的高效运作实施先决条件跟踪管理 [来源: P000552]。</w:t>
      </w:r>
    </w:p>
    <w:p>
      <w:pPr>
        <w:pStyle w:val="ListBullet"/>
      </w:pPr>
      <w:r>
        <w:rPr>
          <w:rFonts w:ascii="Calibri" w:hAnsi="Calibri" w:eastAsia="微软雅黑"/>
          <w:b/>
          <w:i w:val="0"/>
          <w:sz w:val="22"/>
        </w:rPr>
        <w:t>结果（Result）</w:t>
      </w:r>
      <w:r>
        <w:rPr>
          <w:rFonts w:ascii="Calibri" w:hAnsi="Calibri" w:eastAsia="微软雅黑"/>
          <w:b w:val="0"/>
          <w:i w:val="0"/>
          <w:sz w:val="22"/>
        </w:rPr>
        <w:t>：实现了从传统线性施工向并行集成管理的范式转变，数字化与标准化对提升工程集成效率的决定性作用得到实证论证 [来源: P000552]。</w:t>
      </w:r>
    </w:p>
    <w:p>
      <w:pPr>
        <w:pStyle w:val="Heading3"/>
      </w:pPr>
      <w:r>
        <w:t>6.6.5 案例五：山东院——设计优化驱动的能源EPC绩效</w:t>
      </w:r>
    </w:p>
    <w:p>
      <w:pPr>
        <w:pStyle w:val="ListBullet"/>
      </w:pPr>
      <w:r>
        <w:rPr>
          <w:rFonts w:ascii="Calibri" w:hAnsi="Calibri" w:eastAsia="微软雅黑"/>
          <w:b/>
          <w:i w:val="0"/>
          <w:sz w:val="22"/>
        </w:rPr>
        <w:t>数据（Data）</w:t>
      </w:r>
      <w:r>
        <w:rPr>
          <w:rFonts w:ascii="Calibri" w:hAnsi="Calibri" w:eastAsia="微软雅黑"/>
          <w:b w:val="0"/>
          <w:i w:val="0"/>
          <w:sz w:val="22"/>
        </w:rPr>
        <w:t>：某超超临界燃煤电站EPC项目通过优化锅炉设计和热力系统，提高机组效率1.5个百分点、节省投资约3%；某光伏电站EPC项目通过优化阵列布置和系统设计，提高发电量5%、降低造价4% [来源: P000506]。</w:t>
      </w:r>
    </w:p>
    <w:p>
      <w:pPr>
        <w:pStyle w:val="ListBullet"/>
      </w:pPr>
      <w:r>
        <w:rPr>
          <w:rFonts w:ascii="Calibri" w:hAnsi="Calibri" w:eastAsia="微软雅黑"/>
          <w:b/>
          <w:i w:val="0"/>
          <w:sz w:val="22"/>
        </w:rPr>
        <w:t>动作（Action）</w:t>
      </w:r>
      <w:r>
        <w:rPr>
          <w:rFonts w:ascii="Calibri" w:hAnsi="Calibri" w:eastAsia="微软雅黑"/>
          <w:b w:val="0"/>
          <w:i w:val="0"/>
          <w:sz w:val="22"/>
        </w:rPr>
        <w:t>：实施限额设计与设计优化贯穿全过程，以数字化平台贯通设计-采购-施工链条 [来源: P000506]。</w:t>
      </w:r>
    </w:p>
    <w:p>
      <w:pPr>
        <w:pStyle w:val="ListBullet"/>
      </w:pPr>
      <w:r>
        <w:rPr>
          <w:rFonts w:ascii="Calibri" w:hAnsi="Calibri" w:eastAsia="微软雅黑"/>
          <w:b/>
          <w:i w:val="0"/>
          <w:sz w:val="22"/>
        </w:rPr>
        <w:t>结果（Result）</w:t>
      </w:r>
      <w:r>
        <w:rPr>
          <w:rFonts w:ascii="Calibri" w:hAnsi="Calibri" w:eastAsia="微软雅黑"/>
          <w:b w:val="0"/>
          <w:i w:val="0"/>
          <w:sz w:val="22"/>
        </w:rPr>
        <w:t>：项目总投资比可研估算节约约3%，机组投运后各项排放指标均优于设计值、达到超低排放标准 [来源: P000506]。</w:t>
      </w:r>
    </w:p>
    <w:p>
      <w:pPr>
        <w:pStyle w:val="Heading3"/>
      </w:pPr>
      <w:r>
        <w:t>6.6.6 案例六：湖南院——EPC业务占比过六成的中型院转型样本</w:t>
      </w:r>
    </w:p>
    <w:p>
      <w:pPr>
        <w:pStyle w:val="ListBullet"/>
      </w:pPr>
      <w:r>
        <w:rPr>
          <w:rFonts w:ascii="Calibri" w:hAnsi="Calibri" w:eastAsia="微软雅黑"/>
          <w:b/>
          <w:i w:val="0"/>
          <w:sz w:val="22"/>
        </w:rPr>
        <w:t>数据（Data）</w:t>
      </w:r>
      <w:r>
        <w:rPr>
          <w:rFonts w:ascii="Calibri" w:hAnsi="Calibri" w:eastAsia="微软雅黑"/>
          <w:b w:val="0"/>
          <w:i w:val="0"/>
          <w:sz w:val="22"/>
        </w:rPr>
        <w:t>：截至2024年底员工1,847人（较2023年1,756人增长5.2%），EPC业务占主营业务收入比重超过60%；BIM技术应用率100% [来源: P000526]。</w:t>
      </w:r>
    </w:p>
    <w:p>
      <w:pPr>
        <w:pStyle w:val="ListBullet"/>
      </w:pPr>
      <w:r>
        <w:rPr>
          <w:rFonts w:ascii="Calibri" w:hAnsi="Calibri" w:eastAsia="微软雅黑"/>
          <w:b/>
          <w:i w:val="0"/>
          <w:sz w:val="22"/>
        </w:rPr>
        <w:t>动作（Action）</w:t>
      </w:r>
      <w:r>
        <w:rPr>
          <w:rFonts w:ascii="Calibri" w:hAnsi="Calibri" w:eastAsia="微软雅黑"/>
          <w:b w:val="0"/>
          <w:i w:val="0"/>
          <w:sz w:val="22"/>
        </w:rPr>
        <w:t>：四类供应商差异化管理（战略15家、重要68家、一般200多家、潜在500多家）、百分制季度绩效评估、量化供应链目标体系（采购周期缩短20%、库存周转率提升15%、准时交付95%以上、合格率99%以上）、模块化数字化管理系统 [来源: P000526]。</w:t>
      </w:r>
    </w:p>
    <w:p>
      <w:pPr>
        <w:pStyle w:val="ListBullet"/>
      </w:pPr>
      <w:r>
        <w:rPr>
          <w:rFonts w:ascii="Calibri" w:hAnsi="Calibri" w:eastAsia="微软雅黑"/>
          <w:b/>
          <w:i w:val="0"/>
          <w:sz w:val="22"/>
        </w:rPr>
        <w:t>结果（Result）</w:t>
      </w:r>
      <w:r>
        <w:rPr>
          <w:rFonts w:ascii="Calibri" w:hAnsi="Calibri" w:eastAsia="微软雅黑"/>
          <w:b w:val="0"/>
          <w:i w:val="0"/>
          <w:sz w:val="22"/>
        </w:rPr>
        <w:t>：从传统单一设计业务向EPC一体化业务的转型成功——业务范围扩大、盈利能力提高（年报结论）[来源: P000526]。</w:t>
      </w:r>
    </w:p>
    <w:p>
      <w:r>
        <w:rPr>
          <w:rFonts w:ascii="Calibri" w:hAnsi="Calibri" w:eastAsia="微软雅黑"/>
          <w:b w:val="0"/>
          <w:i w:val="0"/>
          <w:sz w:val="22"/>
        </w:rPr>
        <w:t>六个案例合观，可以提炼出设计院转型的一条主线规律（本研究归纳）：</w:t>
      </w:r>
      <w:r>
        <w:rPr>
          <w:rFonts w:ascii="Calibri" w:hAnsi="Calibri" w:eastAsia="微软雅黑"/>
          <w:b/>
          <w:i w:val="0"/>
          <w:sz w:val="22"/>
        </w:rPr>
        <w:t>技术纵深决定转型的起点，组织进化决定转型的上限</w:t>
      </w:r>
      <w:r>
        <w:rPr>
          <w:rFonts w:ascii="Calibri" w:hAnsi="Calibri" w:eastAsia="微软雅黑"/>
          <w:b w:val="0"/>
          <w:i w:val="0"/>
          <w:sz w:val="22"/>
        </w:rPr>
        <w:t>。长沙磁浮与华龙一号代表技术纵深的极致——以毫米级精度与并行集成管理驾驭国家级复杂工程；湖南院代表组织进化的务实样本——以四类供应商管理、百分制评估与模块化数字系统把EPC做成占比过六成的主业。头部案例给方向，中型案例给路径，读者按自身规模各取所需，是使用本章案例集的正确姿势；把两类案例放在一起对读，比单独研读任何一个都更接近转型的全貌。</w:t>
      </w:r>
    </w:p>
    <w:p>
      <w:r>
        <w:rPr>
          <w:rFonts w:ascii="Calibri" w:hAnsi="Calibri" w:eastAsia="微软雅黑"/>
          <w:b w:val="0"/>
          <w:i w:val="0"/>
          <w:sz w:val="22"/>
        </w:rPr>
        <w:t>---</w:t>
      </w:r>
    </w:p>
    <w:p>
      <w:pPr>
        <w:pStyle w:val="Heading2"/>
      </w:pPr>
      <w:r>
        <w:t>6.7 本章小结要点</w:t>
      </w:r>
    </w:p>
    <w:p>
      <w:pPr>
        <w:pStyle w:val="ListNumber"/>
      </w:pPr>
      <w:r>
        <w:rPr>
          <w:rFonts w:ascii="Calibri" w:hAnsi="Calibri" w:eastAsia="微软雅黑"/>
          <w:b/>
          <w:i w:val="0"/>
          <w:sz w:val="22"/>
        </w:rPr>
        <w:t>认知重塑是转型先导</w:t>
      </w:r>
      <w:r>
        <w:rPr>
          <w:rFonts w:ascii="Calibri" w:hAnsi="Calibri" w:eastAsia="微软雅黑"/>
          <w:b w:val="0"/>
          <w:i w:val="0"/>
          <w:sz w:val="22"/>
        </w:rPr>
        <w:t>：设计院必须打破单一设计技术思维，跨越按比例收取设计费的收入天花板，构建以"设计优化溢价、集中采购降本与精益施工留成"为核心的全生命周期盈利机制；上海市政总院从设计服务创造价值转向整合价值链创造价值、湖南院EPC收入占比超过60%，提供了两种规模形态的实证 [来源: P000511, P000526]。观念转变无法靠宣讲完成，只能靠指标牵引与行为考核固化（表6-5）——当设计负责人开始主动追问方案的可采购性与现场可施工性时，认知关口才算真正闯过。</w:t>
      </w:r>
    </w:p>
    <w:p>
      <w:pPr>
        <w:pStyle w:val="ListNumber"/>
      </w:pPr>
      <w:r>
        <w:rPr>
          <w:rFonts w:ascii="Calibri" w:hAnsi="Calibri" w:eastAsia="微软雅黑"/>
          <w:b/>
          <w:i w:val="0"/>
          <w:sz w:val="22"/>
        </w:rPr>
        <w:t>采购供应链是成本命门</w:t>
      </w:r>
      <w:r>
        <w:rPr>
          <w:rFonts w:ascii="Calibri" w:hAnsi="Calibri" w:eastAsia="微软雅黑"/>
          <w:b w:val="0"/>
          <w:i w:val="0"/>
          <w:sz w:val="22"/>
        </w:rPr>
        <w:t>：应搭建"决策-职能-项目"三级采购架构，运用品类矩阵实施分级管控，并以总拥有成本与供应商早期介入两项原则配套；湖南院四类供应商差异化管理与量化供应链目标体系（准时交付95%以上、质量合格率99%以上）是可直接抄录的制度样本 [来源: P000516, P000526]。</w:t>
      </w:r>
    </w:p>
    <w:p>
      <w:pPr>
        <w:pStyle w:val="ListNumber"/>
      </w:pPr>
      <w:r>
        <w:rPr>
          <w:rFonts w:ascii="Calibri" w:hAnsi="Calibri" w:eastAsia="微软雅黑"/>
          <w:b/>
          <w:i w:val="0"/>
          <w:sz w:val="22"/>
        </w:rPr>
        <w:t>现场穿透是履约保障</w:t>
      </w:r>
      <w:r>
        <w:rPr>
          <w:rFonts w:ascii="Calibri" w:hAnsi="Calibri" w:eastAsia="微软雅黑"/>
          <w:b w:val="0"/>
          <w:i w:val="0"/>
          <w:sz w:val="22"/>
        </w:rPr>
        <w:t>：面对施工短板，应采取"专业分包五步管控法+精益建造+多层设防质量安全体系+BIM智慧工地"的组合；山东院BIM使设计周期缩短15%、变更率降低20%的实测数据，湖南院BIM应用率100%，共同验证了数字化现场管控的实效 [来源: P000506, P000526]。中南院的分层分级质量控制体系则证明，现场穿透的根基不在工具而在分层把守的质量责任架构——数字化放大的只是体系本身的成熟度 [来源: P000521]。</w:t>
      </w:r>
    </w:p>
    <w:p>
      <w:pPr>
        <w:pStyle w:val="ListNumber"/>
      </w:pPr>
      <w:r>
        <w:rPr>
          <w:rFonts w:ascii="Calibri" w:hAnsi="Calibri" w:eastAsia="微软雅黑"/>
          <w:b/>
          <w:i w:val="0"/>
          <w:sz w:val="22"/>
        </w:rPr>
        <w:t>组织再造与利益捆绑是动力源泉</w:t>
      </w:r>
      <w:r>
        <w:rPr>
          <w:rFonts w:ascii="Calibri" w:hAnsi="Calibri" w:eastAsia="微软雅黑"/>
          <w:b w:val="0"/>
          <w:i w:val="0"/>
          <w:sz w:val="22"/>
        </w:rPr>
        <w:t>：破除部门壁垒依赖"院-事业部-项目部"三级授权与"1+X+Y"制度体系（铁四院）；市场化激励应沿"风险抵押+超额分享+质量安全追责"的方向设计，且分享与扣减必须对称（机制设计原则为本研究归纳，示意性复盘）[来源: P000501]。制度、矩阵、人才、激励四件套同步建设，矩阵组织才能既灵活又受控。</w:t>
      </w:r>
    </w:p>
    <w:p>
      <w:pPr>
        <w:pStyle w:val="ListNumber"/>
      </w:pPr>
      <w:r>
        <w:rPr>
          <w:rFonts w:ascii="Calibri" w:hAnsi="Calibri" w:eastAsia="微软雅黑"/>
          <w:b/>
          <w:i w:val="0"/>
          <w:sz w:val="22"/>
        </w:rPr>
        <w:t>"EPC+"商业创新拓宽蓝海</w:t>
      </w:r>
      <w:r>
        <w:rPr>
          <w:rFonts w:ascii="Calibri" w:hAnsi="Calibri" w:eastAsia="微软雅黑"/>
          <w:b w:val="0"/>
          <w:i w:val="0"/>
          <w:sz w:val="22"/>
        </w:rPr>
        <w:t>：PPP+EPC、EOD、EPC+O&amp;M及海外EPC等衍生模式打开了第二增长曲线——嘉兴水厂荣获全球水奖、中南院海外42亿元级大单、中汽工程在汽车工程EPC市场份额超15%且行业EPC合同额超2000亿元，均证明衍生模式的变现能力 [来源: P000501, P000511, P000521, P000531]。</w:t>
      </w:r>
    </w:p>
    <w:p>
      <w:pPr>
        <w:pStyle w:val="ListNumber"/>
      </w:pPr>
      <w:r>
        <w:rPr>
          <w:rFonts w:ascii="Calibri" w:hAnsi="Calibri" w:eastAsia="微软雅黑"/>
          <w:b/>
          <w:i w:val="0"/>
          <w:sz w:val="22"/>
        </w:rPr>
        <w:t>组织工程四件套是转型的承重结构</w:t>
      </w:r>
      <w:r>
        <w:rPr>
          <w:rFonts w:ascii="Calibri" w:hAnsi="Calibri" w:eastAsia="微软雅黑"/>
          <w:b w:val="0"/>
          <w:i w:val="0"/>
          <w:sz w:val="22"/>
        </w:rPr>
        <w:t>：制度（铁四院"1+X+Y"）、矩阵（三级管控与授权）、人才（三维胜任力与复合型轮岗）、激励（跟投分享与对称扣减）四者同步建设，矩阵组织才能既灵活又受控；湖南院以EPC收入占比超过60%、BIM应用率100%的中型院体量完成同样的四件套建设，证明这套承重结构可按规模缩放（本条框架为本研究归纳）[来源: P000501, P000526]。</w:t>
      </w:r>
    </w:p>
    <w:p>
      <w:r>
        <w:rPr>
          <w:rFonts w:ascii="Calibri" w:hAnsi="Calibri" w:eastAsia="微软雅黑"/>
          <w:b w:val="0"/>
          <w:i w:val="0"/>
          <w:sz w:val="22"/>
        </w:rPr>
        <w:t>---</w:t>
      </w:r>
    </w:p>
    <w:p>
      <w:pPr>
        <w:pStyle w:val="Heading2"/>
      </w:pPr>
      <w:r>
        <w:t>6.8 本章证据边界与数据说明</w:t>
      </w:r>
    </w:p>
    <w:p>
      <w:pPr>
        <w:pStyle w:val="ListNumber"/>
      </w:pPr>
      <w:r>
        <w:rPr>
          <w:rFonts w:ascii="Calibri" w:hAnsi="Calibri" w:eastAsia="微软雅黑"/>
          <w:b/>
          <w:i w:val="0"/>
          <w:sz w:val="22"/>
        </w:rPr>
        <w:t>数据来源说明</w:t>
      </w:r>
      <w:r>
        <w:rPr>
          <w:rFonts w:ascii="Calibri" w:hAnsi="Calibri" w:eastAsia="微软雅黑"/>
          <w:b w:val="0"/>
          <w:i w:val="0"/>
          <w:sz w:val="22"/>
        </w:rPr>
        <w:t>：本章全部企业事实取自事实资料库实收的七份专业机构研究报告——铁四院、山东院、上海市政总院、昆明院、中南电力设计院、湖南省建筑设计院、中汽工程EPC总承包业务研究报告 [来源: P000501, P000506, P000511, P000516, P000521, P000526, P000531]，以及中核工程华龙一号示范工程EPC专项复盘研究 [来源: P000552]。湖南院员工数、EPC收入占比等取自其报告引用的年报披露口径 [来源: P000526]。</w:t>
      </w:r>
    </w:p>
    <w:p>
      <w:pPr>
        <w:pStyle w:val="ListNumber"/>
      </w:pPr>
      <w:r>
        <w:rPr>
          <w:rFonts w:ascii="Calibri" w:hAnsi="Calibri" w:eastAsia="微软雅黑"/>
          <w:b/>
          <w:i w:val="0"/>
          <w:sz w:val="22"/>
        </w:rPr>
        <w:t>统计口径与时间跨度</w:t>
      </w:r>
      <w:r>
        <w:rPr>
          <w:rFonts w:ascii="Calibri" w:hAnsi="Calibri" w:eastAsia="微软雅黑"/>
          <w:b w:val="0"/>
          <w:i w:val="0"/>
          <w:sz w:val="22"/>
        </w:rPr>
        <w:t>：湖南院人员与收入数据为截至2024年底口径；汽车工程EPC行业数据为2023年口径（中国工程咨询协会数据，转引自研究报告）；市场规模预测（到2025年8-10万亿元）为相关研究预测口径，非统计数据 [来源: P000511]。华东院工程公司约60%总承包份额的表述引自其同源研究报告（详见第5章）。</w:t>
      </w:r>
    </w:p>
    <w:p>
      <w:pPr>
        <w:pStyle w:val="ListNumber"/>
      </w:pPr>
      <w:r>
        <w:rPr>
          <w:rFonts w:ascii="Calibri" w:hAnsi="Calibri" w:eastAsia="微软雅黑"/>
          <w:b/>
          <w:i w:val="0"/>
          <w:sz w:val="22"/>
        </w:rPr>
        <w:t>研究证据边界与局限性声明</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推演边界</w:t>
      </w:r>
      <w:r>
        <w:rPr>
          <w:rFonts w:ascii="Calibri" w:hAnsi="Calibri" w:eastAsia="微软雅黑"/>
          <w:b w:val="0"/>
          <w:i w:val="0"/>
          <w:sz w:val="22"/>
        </w:rPr>
        <w:t>：6.1.1盈利三步法、6.2.1五步工作法、6.2.3协同流程、6.2.4三工具、6.3.1五步管控法、6.3.2三步演进、6.4.3三阶梯、6.4.4跟投分享方案、6.5.1与6.5.2的四级联动流程、6.5.3的可运维设计标准均为本研究归纳的操作框架或示意性复盘，其中6.2.4与6.4.4的机制参数为构造示例，已在文中明示，不指向任何企业的实际执行数据。</w:t>
      </w:r>
    </w:p>
    <w:p>
      <w:r>
        <w:rPr>
          <w:rFonts w:ascii="Calibri" w:hAnsi="Calibri" w:eastAsia="微软雅黑"/>
          <w:b w:val="0"/>
          <w:i w:val="0"/>
          <w:sz w:val="22"/>
        </w:rPr>
        <w:t xml:space="preserve">- </w:t>
      </w:r>
      <w:r>
        <w:rPr>
          <w:rFonts w:ascii="Calibri" w:hAnsi="Calibri" w:eastAsia="微软雅黑"/>
          <w:b/>
          <w:i w:val="0"/>
          <w:sz w:val="22"/>
        </w:rPr>
        <w:t>报告口径边界</w:t>
      </w:r>
      <w:r>
        <w:rPr>
          <w:rFonts w:ascii="Calibri" w:hAnsi="Calibri" w:eastAsia="微软雅黑"/>
          <w:b w:val="0"/>
          <w:i w:val="0"/>
          <w:sz w:val="22"/>
        </w:rPr>
        <w:t>：七份企业研究报告基于公开资料整理，其市场份额（如中汽工程设计超20%、EPC超15%）与项目金额（"约"字头）均为报告整理口径而非企业法定披露 [来源: P000531]。湖南院数据虽引自其年报口径，但经由研究报告转引，读者引用关键数字时应以公司法定披露为准 [来源: P000526]。</w:t>
      </w:r>
    </w:p>
    <w:p>
      <w:r>
        <w:rPr>
          <w:rFonts w:ascii="Calibri" w:hAnsi="Calibri" w:eastAsia="微软雅黑"/>
          <w:b w:val="0"/>
          <w:i w:val="0"/>
          <w:sz w:val="22"/>
        </w:rPr>
        <w:t xml:space="preserve">- </w:t>
      </w:r>
      <w:r>
        <w:rPr>
          <w:rFonts w:ascii="Calibri" w:hAnsi="Calibri" w:eastAsia="微软雅黑"/>
          <w:b/>
          <w:i w:val="0"/>
          <w:sz w:val="22"/>
        </w:rPr>
        <w:t>行业数据边界</w:t>
      </w:r>
      <w:r>
        <w:rPr>
          <w:rFonts w:ascii="Calibri" w:hAnsi="Calibri" w:eastAsia="微软雅黑"/>
          <w:b w:val="0"/>
          <w:i w:val="0"/>
          <w:sz w:val="22"/>
        </w:rPr>
        <w:t>：市场规模预测（8-10万亿元）与汽车工程EPC行业数据（2000亿元等）分别为研究预测与行业协会统计口径，两者的统计范围与本章企业口径不可直接混算 [来源: P000511, P000531]。</w:t>
      </w:r>
    </w:p>
    <w:p>
      <w:r>
        <w:rPr>
          <w:rFonts w:ascii="Calibri" w:hAnsi="Calibri" w:eastAsia="微软雅黑"/>
          <w:b w:val="0"/>
          <w:i w:val="0"/>
          <w:sz w:val="22"/>
        </w:rPr>
        <w:t xml:space="preserve">- </w:t>
      </w:r>
      <w:r>
        <w:rPr>
          <w:rFonts w:ascii="Calibri" w:hAnsi="Calibri" w:eastAsia="微软雅黑"/>
          <w:b/>
          <w:i w:val="0"/>
          <w:sz w:val="22"/>
        </w:rPr>
        <w:t>适用边界</w:t>
      </w:r>
      <w:r>
        <w:rPr>
          <w:rFonts w:ascii="Calibri" w:hAnsi="Calibri" w:eastAsia="微软雅黑"/>
          <w:b w:val="0"/>
          <w:i w:val="0"/>
          <w:sz w:val="22"/>
        </w:rPr>
        <w:t>：本章案例多来自铁路、电力、市政、汽车等行业头部院所，其组织与投入体量对中型设计院不具备直接可比性；中型院引用时应以湖南院为对标基准，按体量裁剪（此提醒为本研究观点）。</w:t>
      </w:r>
    </w:p>
    <w:p>
      <w:r>
        <w:rPr>
          <w:rFonts w:ascii="Calibri" w:hAnsi="Calibri" w:eastAsia="微软雅黑"/>
          <w:b w:val="0"/>
          <w:i w:val="0"/>
          <w:sz w:val="22"/>
        </w:rPr>
        <w:t>---</w:t>
      </w:r>
    </w:p>
    <w:p>
      <w:pPr>
        <w:pStyle w:val="Heading2"/>
      </w:pPr>
      <w:r>
        <w:t>本章尾注（事实锚源对照）</w:t>
      </w:r>
    </w:p>
    <w:tbl>
      <w:tblPr>
        <w:tblStyle w:val="TableGrid"/>
        <w:tblW w:type="auto" w:w="0"/>
        <w:tblLook w:firstColumn="1" w:firstRow="1" w:lastColumn="0" w:lastRow="0" w:noHBand="0" w:noVBand="1" w:val="04A0"/>
      </w:tblPr>
      <w:tblGrid>
        <w:gridCol w:w="4150"/>
        <w:gridCol w:w="4150"/>
      </w:tblGrid>
      <w:tr>
        <w:tc>
          <w:tcPr>
            <w:tcW w:type="dxa" w:w="4150"/>
            <w:shd w:fill="1F3A5F"/>
          </w:tcPr>
          <w:p>
            <w:r>
              <w:rPr>
                <w:color w:val="FFFFFF"/>
              </w:rPr>
            </w:r>
            <w:r>
              <w:rPr>
                <w:rFonts w:ascii="Calibri" w:hAnsi="Calibri" w:eastAsia="微软雅黑"/>
                <w:b/>
                <w:i w:val="0"/>
                <w:color w:val="FFFFFF"/>
                <w:sz w:val="18"/>
              </w:rPr>
              <w:t>事实锚</w:t>
            </w:r>
          </w:p>
        </w:tc>
        <w:tc>
          <w:tcPr>
            <w:tcW w:type="dxa" w:w="4150"/>
            <w:shd w:fill="1F3A5F"/>
          </w:tcPr>
          <w:p>
            <w:r>
              <w:rPr>
                <w:color w:val="FFFFFF"/>
              </w:rPr>
            </w:r>
            <w:r>
              <w:rPr>
                <w:rFonts w:ascii="Calibri" w:hAnsi="Calibri" w:eastAsia="微软雅黑"/>
                <w:b/>
                <w:i w:val="0"/>
                <w:color w:val="FFFFFF"/>
                <w:sz w:val="18"/>
              </w:rPr>
              <w:t>源文（事实资料库实收件）</w:t>
            </w:r>
          </w:p>
        </w:tc>
      </w:tr>
      <w:tr>
        <w:tc>
          <w:tcPr>
            <w:tcW w:type="dxa" w:w="4150"/>
          </w:tcPr>
          <w:p>
            <w:r/>
            <w:r>
              <w:rPr>
                <w:rFonts w:ascii="Calibri" w:hAnsi="Calibri" w:eastAsia="微软雅黑"/>
                <w:b w:val="0"/>
                <w:i w:val="0"/>
                <w:sz w:val="18"/>
              </w:rPr>
              <w:t>P000501</w:t>
            </w:r>
          </w:p>
        </w:tc>
        <w:tc>
          <w:tcPr>
            <w:tcW w:type="dxa" w:w="4150"/>
          </w:tcPr>
          <w:p>
            <w:r/>
            <w:r>
              <w:rPr>
                <w:rFonts w:ascii="Calibri" w:hAnsi="Calibri" w:eastAsia="微软雅黑"/>
                <w:b w:val="0"/>
                <w:i w:val="0"/>
                <w:sz w:val="18"/>
              </w:rPr>
              <w:t>中铁第四勘察设计院集团有限公司EPC总承包业务研究报告（事实资料库研究报告首片）</w:t>
            </w:r>
          </w:p>
        </w:tc>
      </w:tr>
      <w:tr>
        <w:tc>
          <w:tcPr>
            <w:tcW w:type="dxa" w:w="4150"/>
          </w:tcPr>
          <w:p>
            <w:r/>
            <w:r>
              <w:rPr>
                <w:rFonts w:ascii="Calibri" w:hAnsi="Calibri" w:eastAsia="微软雅黑"/>
                <w:b w:val="0"/>
                <w:i w:val="0"/>
                <w:sz w:val="18"/>
              </w:rPr>
              <w:t>P000506</w:t>
            </w:r>
          </w:p>
        </w:tc>
        <w:tc>
          <w:tcPr>
            <w:tcW w:type="dxa" w:w="4150"/>
          </w:tcPr>
          <w:p>
            <w:r/>
            <w:r>
              <w:rPr>
                <w:rFonts w:ascii="Calibri" w:hAnsi="Calibri" w:eastAsia="微软雅黑"/>
                <w:b w:val="0"/>
                <w:i w:val="0"/>
                <w:sz w:val="18"/>
              </w:rPr>
              <w:t>山东电力工程咨询院有限公司EPC总承包业务研究报告（事实资料库研究报告首片）</w:t>
            </w:r>
          </w:p>
        </w:tc>
      </w:tr>
      <w:tr>
        <w:tc>
          <w:tcPr>
            <w:tcW w:type="dxa" w:w="4150"/>
          </w:tcPr>
          <w:p>
            <w:r/>
            <w:r>
              <w:rPr>
                <w:rFonts w:ascii="Calibri" w:hAnsi="Calibri" w:eastAsia="微软雅黑"/>
                <w:b w:val="0"/>
                <w:i w:val="0"/>
                <w:sz w:val="18"/>
              </w:rPr>
              <w:t>P000511</w:t>
            </w:r>
          </w:p>
        </w:tc>
        <w:tc>
          <w:tcPr>
            <w:tcW w:type="dxa" w:w="4150"/>
          </w:tcPr>
          <w:p>
            <w:r/>
            <w:r>
              <w:rPr>
                <w:rFonts w:ascii="Calibri" w:hAnsi="Calibri" w:eastAsia="微软雅黑"/>
                <w:b w:val="0"/>
                <w:i w:val="0"/>
                <w:sz w:val="18"/>
              </w:rPr>
              <w:t>上海市政工程设计研究总院（集团）有限公司EPC总承包业务研究报告（事实资料库研究报告首片）</w:t>
            </w:r>
          </w:p>
        </w:tc>
      </w:tr>
      <w:tr>
        <w:tc>
          <w:tcPr>
            <w:tcW w:type="dxa" w:w="4150"/>
          </w:tcPr>
          <w:p>
            <w:r/>
            <w:r>
              <w:rPr>
                <w:rFonts w:ascii="Calibri" w:hAnsi="Calibri" w:eastAsia="微软雅黑"/>
                <w:b w:val="0"/>
                <w:i w:val="0"/>
                <w:sz w:val="18"/>
              </w:rPr>
              <w:t>P000516</w:t>
            </w:r>
          </w:p>
        </w:tc>
        <w:tc>
          <w:tcPr>
            <w:tcW w:type="dxa" w:w="4150"/>
          </w:tcPr>
          <w:p>
            <w:r/>
            <w:r>
              <w:rPr>
                <w:rFonts w:ascii="Calibri" w:hAnsi="Calibri" w:eastAsia="微软雅黑"/>
                <w:b w:val="0"/>
                <w:i w:val="0"/>
                <w:sz w:val="18"/>
              </w:rPr>
              <w:t>中国电建集团昆明勘测设计研究院有限公司EPC总承包业务研究报告（事实资料库研究报告首片）</w:t>
            </w:r>
          </w:p>
        </w:tc>
      </w:tr>
      <w:tr>
        <w:tc>
          <w:tcPr>
            <w:tcW w:type="dxa" w:w="4150"/>
          </w:tcPr>
          <w:p>
            <w:r/>
            <w:r>
              <w:rPr>
                <w:rFonts w:ascii="Calibri" w:hAnsi="Calibri" w:eastAsia="微软雅黑"/>
                <w:b w:val="0"/>
                <w:i w:val="0"/>
                <w:sz w:val="18"/>
              </w:rPr>
              <w:t>P000521</w:t>
            </w:r>
          </w:p>
        </w:tc>
        <w:tc>
          <w:tcPr>
            <w:tcW w:type="dxa" w:w="4150"/>
          </w:tcPr>
          <w:p>
            <w:r/>
            <w:r>
              <w:rPr>
                <w:rFonts w:ascii="Calibri" w:hAnsi="Calibri" w:eastAsia="微软雅黑"/>
                <w:b w:val="0"/>
                <w:i w:val="0"/>
                <w:sz w:val="18"/>
              </w:rPr>
              <w:t>中国电力工程顾问集团中南电力设计院有限公司EPC总承包业务研究报告（事实资料库研究报告首片）</w:t>
            </w:r>
          </w:p>
        </w:tc>
      </w:tr>
      <w:tr>
        <w:tc>
          <w:tcPr>
            <w:tcW w:type="dxa" w:w="4150"/>
          </w:tcPr>
          <w:p>
            <w:r/>
            <w:r>
              <w:rPr>
                <w:rFonts w:ascii="Calibri" w:hAnsi="Calibri" w:eastAsia="微软雅黑"/>
                <w:b w:val="0"/>
                <w:i w:val="0"/>
                <w:sz w:val="18"/>
              </w:rPr>
              <w:t>P000526</w:t>
            </w:r>
          </w:p>
        </w:tc>
        <w:tc>
          <w:tcPr>
            <w:tcW w:type="dxa" w:w="4150"/>
          </w:tcPr>
          <w:p>
            <w:r/>
            <w:r>
              <w:rPr>
                <w:rFonts w:ascii="Calibri" w:hAnsi="Calibri" w:eastAsia="微软雅黑"/>
                <w:b w:val="0"/>
                <w:i w:val="0"/>
                <w:sz w:val="18"/>
              </w:rPr>
              <w:t>湖南省建筑设计院集团股份有限公司EPC总承包业务研究报告（事实资料库研究报告首片）</w:t>
            </w:r>
          </w:p>
        </w:tc>
      </w:tr>
      <w:tr>
        <w:tc>
          <w:tcPr>
            <w:tcW w:type="dxa" w:w="4150"/>
          </w:tcPr>
          <w:p>
            <w:r/>
            <w:r>
              <w:rPr>
                <w:rFonts w:ascii="Calibri" w:hAnsi="Calibri" w:eastAsia="微软雅黑"/>
                <w:b w:val="0"/>
                <w:i w:val="0"/>
                <w:sz w:val="18"/>
              </w:rPr>
              <w:t>P000531</w:t>
            </w:r>
          </w:p>
        </w:tc>
        <w:tc>
          <w:tcPr>
            <w:tcW w:type="dxa" w:w="4150"/>
          </w:tcPr>
          <w:p>
            <w:r/>
            <w:r>
              <w:rPr>
                <w:rFonts w:ascii="Calibri" w:hAnsi="Calibri" w:eastAsia="微软雅黑"/>
                <w:b w:val="0"/>
                <w:i w:val="0"/>
                <w:sz w:val="18"/>
              </w:rPr>
              <w:t>中国汽车工业工程有限公司EPC总承包业务研究报告（事实资料库研究报告首片）</w:t>
            </w:r>
          </w:p>
        </w:tc>
      </w:tr>
      <w:tr>
        <w:tc>
          <w:tcPr>
            <w:tcW w:type="dxa" w:w="4150"/>
          </w:tcPr>
          <w:p>
            <w:r/>
            <w:r>
              <w:rPr>
                <w:rFonts w:ascii="Calibri" w:hAnsi="Calibri" w:eastAsia="微软雅黑"/>
                <w:b w:val="0"/>
                <w:i w:val="0"/>
                <w:sz w:val="18"/>
              </w:rPr>
              <w:t>P000552</w:t>
            </w:r>
          </w:p>
        </w:tc>
        <w:tc>
          <w:tcPr>
            <w:tcW w:type="dxa" w:w="4150"/>
          </w:tcPr>
          <w:p>
            <w:r/>
            <w:r>
              <w:rPr>
                <w:rFonts w:ascii="Calibri" w:hAnsi="Calibri" w:eastAsia="微软雅黑"/>
                <w:b w:val="0"/>
                <w:i w:val="0"/>
                <w:sz w:val="18"/>
              </w:rPr>
              <w:t>中核工程华龙一号示范工程EPC总承包模式深度复盘（研究报告成果合集第10章）</w:t>
            </w:r>
          </w:p>
        </w:tc>
      </w:tr>
    </w:tbl>
    <w:p>
      <w:r>
        <w:rPr>
          <w:rFonts w:ascii="Calibri" w:hAnsi="Calibri" w:eastAsia="微软雅黑"/>
          <w:b w:val="0"/>
          <w:i w:val="0"/>
          <w:sz w:val="22"/>
        </w:rPr>
        <w:t>---</w:t>
      </w:r>
    </w:p>
    <w:p>
      <w:pPr>
        <w:pStyle w:val="Heading1"/>
      </w:pPr>
      <w:r>
        <w:t>第7章 总承包项目管理与交付能力：源头锁价、接口消痕、过程纠偏、合同防御的全流程解法</w:t>
      </w:r>
    </w:p>
    <w:p>
      <w:r>
        <w:rPr>
          <w:rFonts w:ascii="Calibri" w:hAnsi="Calibri" w:eastAsia="微软雅黑"/>
          <w:b w:val="0"/>
          <w:i w:val="0"/>
          <w:sz w:val="22"/>
        </w:rPr>
        <w:t>出品：总包创研院研究团队</w:t>
      </w:r>
    </w:p>
    <w:p>
      <w:pPr>
        <w:ind w:left="454"/>
      </w:pPr>
      <w:r>
        <w:rPr>
          <w:rFonts w:ascii="Calibri" w:hAnsi="Calibri" w:eastAsia="微软雅黑"/>
          <w:b/>
          <w:i w:val="0"/>
          <w:color w:val="666666"/>
          <w:sz w:val="22"/>
        </w:rPr>
        <w:t>本章事实纪律声明</w:t>
      </w:r>
      <w:r>
        <w:rPr>
          <w:rFonts w:ascii="Calibri" w:hAnsi="Calibri" w:eastAsia="微软雅黑"/>
          <w:b w:val="0"/>
          <w:i w:val="0"/>
          <w:color w:val="666666"/>
          <w:sz w:val="22"/>
        </w:rPr>
        <w:t>：本章全部企业数据、项目事实与司法判例，均逐字取自本书研究团队采集整理的事实资料库（含专业机构研究报告、既有专项研究成果合集与司法裁判案例研究成果），正文随文标注[来源: P锚]（对照本章尾注），读者可按锚号回溯核验；无源不写，解读性判断均在文中明示。文中标注"示意性复盘"的推演为依据源文规则构造的示例机制，不指向具体企业或项目；标注"本研究归纳"的框架与方法为研究团队基于实证资料整理。</w:t>
      </w:r>
    </w:p>
    <w:p>
      <w:r>
        <w:rPr>
          <w:rFonts w:ascii="Calibri" w:hAnsi="Calibri" w:eastAsia="微软雅黑"/>
          <w:b/>
          <w:i w:val="0"/>
          <w:sz w:val="22"/>
        </w:rPr>
        <w:t>本章引言：帮读者解决什么问题</w:t>
      </w:r>
    </w:p>
    <w:p>
      <w:r>
        <w:rPr>
          <w:rFonts w:ascii="Calibri" w:hAnsi="Calibri" w:eastAsia="微软雅黑"/>
          <w:b w:val="0"/>
          <w:i w:val="0"/>
          <w:sz w:val="22"/>
        </w:rPr>
        <w:t>在工程总承包（EPC）模式下，项目交付是检验工程企业核心竞争力的"终极考场"。传统的设计-招标-施工（DBB）模式中，业主需要分别与设计单位、施工单位签订多份合同，责任界面繁多、沟通成本居高不下；而在工程总承包模式下，总承包商对整个工程项目的设计、采购、施工实行全过程承包，向发包人承担单一责任（以上模式对比为本研究据源文归纳）[来源: P000601]。然而在实际履约中，发包人与承包人往往陷入"交付之困"：对发包人而言，常面临限额设计形同虚设、施工图预算频频突破投资概算、过程技术文件交验不全、工程隐患难以追溯以及行政审计引发结算拖延等痛点；对承包人而言，则普遍受困于设计与采销脱节导致的边改边建、E-P-C三大环节接口撕裂、过程成本与进度偏差积重难返，以及在遭遇业主范围蠕变、扣付款项或分包商强占现场时缺乏有效的合同抗辩与法律屏障（痛点归纳为本研究据源文与判例研究成果整理）[来源: P000653, P000621]。</w:t>
      </w:r>
    </w:p>
    <w:p>
      <w:r>
        <w:rPr>
          <w:rFonts w:ascii="Calibri" w:hAnsi="Calibri" w:eastAsia="微软雅黑"/>
          <w:b w:val="0"/>
          <w:i w:val="0"/>
          <w:sz w:val="22"/>
        </w:rPr>
        <w:t>本章为工程企业高管、设计院院长及EPC业务负责人解决四个核心问题：</w:t>
      </w:r>
      <w:r>
        <w:rPr>
          <w:rFonts w:ascii="Calibri" w:hAnsi="Calibri" w:eastAsia="微软雅黑"/>
          <w:b/>
          <w:i w:val="0"/>
          <w:sz w:val="22"/>
        </w:rPr>
        <w:t>第一，造价如何在源头锁死——概算编制与限额设计有哪些可直接套用的模型与参数；第二，设计、采购、施工三大接口的摩擦如何消除；第三，长周期履约中成本与进度偏差如何动态纠偏；第四，面对业主扣款、分包强占现场、保函恶意索赔与行政审计拖延，承包商的法律屏障怎么构筑。</w:t>
      </w:r>
      <w:r>
        <w:rPr>
          <w:rFonts w:ascii="Calibri" w:hAnsi="Calibri" w:eastAsia="微软雅黑"/>
          <w:b w:val="0"/>
          <w:i w:val="0"/>
          <w:sz w:val="22"/>
        </w:rPr>
        <w:t xml:space="preserve"> 本章以七家标杆企业（华东院、上海市政总院、华陆工程、湖南院、中建三局、中国天辰、中南院）的交付实践为主轴，按"源头锁价—接口消痕—过程纠偏—合同防御—交付收口—数字化使能—组织人才"的顺序展开，收束于一张TOP50交付能力全景对标矩阵与四项决策建议 [来源: P000601, P000606, P000611, P000616, P000621, P000626, P000631]。</w:t>
      </w:r>
    </w:p>
    <w:p>
      <w:r>
        <w:rPr>
          <w:rFonts w:ascii="Calibri" w:hAnsi="Calibri" w:eastAsia="微软雅黑"/>
          <w:b w:val="0"/>
          <w:i w:val="0"/>
          <w:sz w:val="22"/>
        </w:rPr>
        <w:t>---</w:t>
      </w:r>
    </w:p>
    <w:p>
      <w:pPr>
        <w:pStyle w:val="Heading2"/>
      </w:pPr>
      <w:r>
        <w:t>7.1 源头锁价：从投资估算到施工图预算的全流程成本封顶</w:t>
      </w:r>
    </w:p>
    <w:p>
      <w:r>
        <w:rPr>
          <w:rFonts w:ascii="Calibri" w:hAnsi="Calibri" w:eastAsia="微软雅黑"/>
          <w:b w:val="0"/>
          <w:i w:val="0"/>
          <w:sz w:val="22"/>
        </w:rPr>
        <w:t>工程总承包项目成本管控的重心必须前置到设计阶段——这是七家标杆企业研究报告的共同结论（此观点为本研究归纳）。从成本结构看，以市政水务EPC为例，设计成本占总成本的15-20%，设备采购成本占40-50%（成本的最大组成部分），施工成本占25-35%，其他直接成本占5-10%，管理费用占3-5% [来源: P000606]；湖南院的研究报告同样指出，采购成本通常占项目总成本的六到七成，是成本管控的关键环节 [来源: P000616]。设计阶段的每一项选型决定，都会沿着"设计-采购-施工"链条被成倍放大，因此源头锁价的核心逻辑在于：以设计为龙头，将采购与施工成本数据前置输入到初步设计阶段，利用高精度的概算模型建立造价强约束，实现全流程成本封顶（机制归纳为本研究据源文整理）。</w:t>
      </w:r>
    </w:p>
    <w:p>
      <w:pPr>
        <w:pStyle w:val="Heading3"/>
      </w:pPr>
      <w:r>
        <w:t>7.1.1 概算编制三法与修正模型：让投资概算真正"概得住"</w:t>
      </w:r>
    </w:p>
    <w:p>
      <w:r>
        <w:rPr>
          <w:rFonts w:ascii="Calibri" w:hAnsi="Calibri" w:eastAsia="微软雅黑"/>
          <w:b w:val="0"/>
          <w:i w:val="0"/>
          <w:sz w:val="22"/>
        </w:rPr>
        <w:t>在初步设计完成后，依据初步设计文件编制的设计概算是控制项目总投资的核心成果 [来源: P000651]。既有专项研究成果系统梳理了设计概算编制的三种方法及其适用条件，头部样本普遍按初步设计深度匹配选用 [来源: P000651]：</w:t>
      </w:r>
    </w:p>
    <w:p>
      <w:pPr>
        <w:pStyle w:val="Heading4"/>
      </w:pPr>
      <w:r>
        <w:t>表7-1 设计概算编制三法选型矩阵（据专项研究成果整理）[来源: P000651]</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方法</w:t>
            </w:r>
          </w:p>
        </w:tc>
        <w:tc>
          <w:tcPr>
            <w:tcW w:type="dxa" w:w="2075"/>
            <w:shd w:fill="1F3A5F"/>
          </w:tcPr>
          <w:p>
            <w:r>
              <w:rPr>
                <w:color w:val="FFFFFF"/>
              </w:rPr>
            </w:r>
            <w:r>
              <w:rPr>
                <w:rFonts w:ascii="Calibri" w:hAnsi="Calibri" w:eastAsia="微软雅黑"/>
                <w:b/>
                <w:i w:val="0"/>
                <w:color w:val="FFFFFF"/>
                <w:sz w:val="18"/>
              </w:rPr>
              <w:t>适用条件</w:t>
            </w:r>
          </w:p>
        </w:tc>
        <w:tc>
          <w:tcPr>
            <w:tcW w:type="dxa" w:w="2075"/>
            <w:shd w:fill="1F3A5F"/>
          </w:tcPr>
          <w:p>
            <w:r>
              <w:rPr>
                <w:color w:val="FFFFFF"/>
              </w:rPr>
            </w:r>
            <w:r>
              <w:rPr>
                <w:rFonts w:ascii="Calibri" w:hAnsi="Calibri" w:eastAsia="微软雅黑"/>
                <w:b/>
                <w:i w:val="0"/>
                <w:color w:val="FFFFFF"/>
                <w:sz w:val="18"/>
              </w:rPr>
              <w:t>精度特征</w:t>
            </w:r>
          </w:p>
        </w:tc>
        <w:tc>
          <w:tcPr>
            <w:tcW w:type="dxa" w:w="2075"/>
            <w:shd w:fill="1F3A5F"/>
          </w:tcPr>
          <w:p>
            <w:r>
              <w:rPr>
                <w:color w:val="FFFFFF"/>
              </w:rPr>
            </w:r>
            <w:r>
              <w:rPr>
                <w:rFonts w:ascii="Calibri" w:hAnsi="Calibri" w:eastAsia="微软雅黑"/>
                <w:b/>
                <w:i w:val="0"/>
                <w:color w:val="FFFFFF"/>
                <w:sz w:val="18"/>
              </w:rPr>
              <w:t>关键算式</w:t>
            </w:r>
          </w:p>
        </w:tc>
      </w:tr>
      <w:tr>
        <w:tc>
          <w:tcPr>
            <w:tcW w:type="dxa" w:w="2075"/>
          </w:tcPr>
          <w:p>
            <w:r/>
            <w:r>
              <w:rPr>
                <w:rFonts w:ascii="Calibri" w:hAnsi="Calibri" w:eastAsia="微软雅黑"/>
                <w:b w:val="0"/>
                <w:i w:val="0"/>
                <w:sz w:val="18"/>
              </w:rPr>
              <w:t>概算定额法（扩大单价法）</w:t>
            </w:r>
          </w:p>
        </w:tc>
        <w:tc>
          <w:tcPr>
            <w:tcW w:type="dxa" w:w="2075"/>
          </w:tcPr>
          <w:p>
            <w:r/>
            <w:r>
              <w:rPr>
                <w:rFonts w:ascii="Calibri" w:hAnsi="Calibri" w:eastAsia="微软雅黑"/>
                <w:b w:val="0"/>
                <w:i w:val="0"/>
                <w:sz w:val="18"/>
              </w:rPr>
              <w:t>初步设计达到一定深度，建筑结构尺寸明确，能按初步设计图纸计算分部分项工程量</w:t>
            </w:r>
          </w:p>
        </w:tc>
        <w:tc>
          <w:tcPr>
            <w:tcW w:type="dxa" w:w="2075"/>
          </w:tcPr>
          <w:p>
            <w:r/>
            <w:r>
              <w:rPr>
                <w:rFonts w:ascii="Calibri" w:hAnsi="Calibri" w:eastAsia="微软雅黑"/>
                <w:b w:val="0"/>
                <w:i w:val="0"/>
                <w:sz w:val="18"/>
              </w:rPr>
              <w:t>高</w:t>
            </w:r>
          </w:p>
        </w:tc>
        <w:tc>
          <w:tcPr>
            <w:tcW w:type="dxa" w:w="2075"/>
          </w:tcPr>
          <w:p>
            <w:r/>
            <w:r>
              <w:rPr>
                <w:rFonts w:ascii="Calibri" w:hAnsi="Calibri" w:eastAsia="微软雅黑"/>
                <w:b w:val="0"/>
                <w:i w:val="0"/>
                <w:sz w:val="18"/>
              </w:rPr>
              <w:t>单位工程概算造价＝分部分项工程费＋措施项目费（全费用综合单价口径）</w:t>
            </w:r>
          </w:p>
        </w:tc>
      </w:tr>
      <w:tr>
        <w:tc>
          <w:tcPr>
            <w:tcW w:type="dxa" w:w="2075"/>
          </w:tcPr>
          <w:p>
            <w:r/>
            <w:r>
              <w:rPr>
                <w:rFonts w:ascii="Calibri" w:hAnsi="Calibri" w:eastAsia="微软雅黑"/>
                <w:b w:val="0"/>
                <w:i w:val="0"/>
                <w:sz w:val="18"/>
              </w:rPr>
              <w:t>概算指标法</w:t>
            </w:r>
          </w:p>
        </w:tc>
        <w:tc>
          <w:tcPr>
            <w:tcW w:type="dxa" w:w="2075"/>
          </w:tcPr>
          <w:p>
            <w:r/>
            <w:r>
              <w:rPr>
                <w:rFonts w:ascii="Calibri" w:hAnsi="Calibri" w:eastAsia="微软雅黑"/>
                <w:b w:val="0"/>
                <w:i w:val="0"/>
                <w:sz w:val="18"/>
              </w:rPr>
              <w:t>方案设计无详图、初步设计深度不够但技术成熟、急需造价概算或采用通用设计图</w:t>
            </w:r>
          </w:p>
        </w:tc>
        <w:tc>
          <w:tcPr>
            <w:tcW w:type="dxa" w:w="2075"/>
          </w:tcPr>
          <w:p>
            <w:r/>
            <w:r>
              <w:rPr>
                <w:rFonts w:ascii="Calibri" w:hAnsi="Calibri" w:eastAsia="微软雅黑"/>
                <w:b w:val="0"/>
                <w:i w:val="0"/>
                <w:sz w:val="18"/>
              </w:rPr>
              <w:t>中</w:t>
            </w:r>
          </w:p>
        </w:tc>
        <w:tc>
          <w:tcPr>
            <w:tcW w:type="dxa" w:w="2075"/>
          </w:tcPr>
          <w:p>
            <w:r/>
            <w:r>
              <w:rPr>
                <w:rFonts w:ascii="Calibri" w:hAnsi="Calibri" w:eastAsia="微软雅黑"/>
                <w:b w:val="0"/>
                <w:i w:val="0"/>
                <w:sz w:val="18"/>
              </w:rPr>
              <w:t>直接套用（建设地点相同、结构特征基本相同、面积相差不大）；结构有局部差异时须修正</w:t>
            </w:r>
          </w:p>
        </w:tc>
      </w:tr>
      <w:tr>
        <w:tc>
          <w:tcPr>
            <w:tcW w:type="dxa" w:w="2075"/>
          </w:tcPr>
          <w:p>
            <w:r/>
            <w:r>
              <w:rPr>
                <w:rFonts w:ascii="Calibri" w:hAnsi="Calibri" w:eastAsia="微软雅黑"/>
                <w:b w:val="0"/>
                <w:i w:val="0"/>
                <w:sz w:val="18"/>
              </w:rPr>
              <w:t>类似工程预算法</w:t>
            </w:r>
          </w:p>
        </w:tc>
        <w:tc>
          <w:tcPr>
            <w:tcW w:type="dxa" w:w="2075"/>
          </w:tcPr>
          <w:p>
            <w:r/>
            <w:r>
              <w:rPr>
                <w:rFonts w:ascii="Calibri" w:hAnsi="Calibri" w:eastAsia="微软雅黑"/>
                <w:b w:val="0"/>
                <w:i w:val="0"/>
                <w:sz w:val="18"/>
              </w:rPr>
              <w:t>拟建工程与已完或在建工程类似，且无适用概算指标</w:t>
            </w:r>
          </w:p>
        </w:tc>
        <w:tc>
          <w:tcPr>
            <w:tcW w:type="dxa" w:w="2075"/>
          </w:tcPr>
          <w:p>
            <w:r/>
            <w:r>
              <w:rPr>
                <w:rFonts w:ascii="Calibri" w:hAnsi="Calibri" w:eastAsia="微软雅黑"/>
                <w:b w:val="0"/>
                <w:i w:val="0"/>
                <w:sz w:val="18"/>
              </w:rPr>
              <w:t>中</w:t>
            </w:r>
          </w:p>
        </w:tc>
        <w:tc>
          <w:tcPr>
            <w:tcW w:type="dxa" w:w="2075"/>
          </w:tcPr>
          <w:p>
            <w:r/>
            <w:r>
              <w:rPr>
                <w:rFonts w:ascii="Calibri" w:hAnsi="Calibri" w:eastAsia="微软雅黑"/>
                <w:b w:val="0"/>
                <w:i w:val="0"/>
                <w:sz w:val="18"/>
              </w:rPr>
              <w:t>D＝A×K（价差综合调整）</w:t>
            </w:r>
          </w:p>
        </w:tc>
      </w:tr>
    </w:tbl>
    <w:p>
      <w:r>
        <w:rPr>
          <w:rFonts w:ascii="Calibri" w:hAnsi="Calibri" w:eastAsia="微软雅黑"/>
          <w:b w:val="0"/>
          <w:i w:val="0"/>
          <w:sz w:val="22"/>
        </w:rPr>
        <w:t>其中两套修正模型是防止造价失真的关键（公式与参数定义逐字取自专项研究成果）[来源: P000651]：</w:t>
      </w:r>
    </w:p>
    <w:p>
      <w:pPr>
        <w:pStyle w:val="ListNumber"/>
      </w:pPr>
      <w:r>
        <w:rPr>
          <w:rFonts w:ascii="Calibri" w:hAnsi="Calibri" w:eastAsia="微软雅黑"/>
          <w:b/>
          <w:i w:val="0"/>
          <w:sz w:val="22"/>
        </w:rPr>
        <w:t>概算指标局部结构修正公式</w:t>
      </w:r>
      <w:r>
        <w:rPr>
          <w:rFonts w:ascii="Calibri" w:hAnsi="Calibri" w:eastAsia="微软雅黑"/>
          <w:b w:val="0"/>
          <w:i w:val="0"/>
          <w:sz w:val="22"/>
        </w:rPr>
        <w:t>。当拟建工程的结构特征与概算指标有局部差异时，必须修正指标综合单价：$J_{\text{修正}} = J + Q_1 P_1 - Q_2 P_2$。式中 $J_{\text{修正}}$ 为结构变化修正后的概算指标（元/平方米或元/立方米）；$J$ 为原概算指标综合单价；$Q_1$、$P_1$ 为换入结构的工程量与综合单价；$Q_2$、$P_2$ 为换出结构的工程量与综合单价。修正后，单位工程概算造价＝$J_{\text{修正}}$×拟建工程建筑面积（或体积）。相应地，人/材/机消耗量按"原指标数量＋换入工程量×定额消耗量－换出工程量×定额消耗量"修正，再结合报告期价格及费率确定全费用综合单价。</w:t>
      </w:r>
    </w:p>
    <w:p>
      <w:pPr>
        <w:pStyle w:val="ListNumber"/>
      </w:pPr>
      <w:r>
        <w:rPr>
          <w:rFonts w:ascii="Calibri" w:hAnsi="Calibri" w:eastAsia="微软雅黑"/>
          <w:b/>
          <w:i w:val="0"/>
          <w:sz w:val="22"/>
        </w:rPr>
        <w:t>类似工程预算法价差调整公式</w:t>
      </w:r>
      <w:r>
        <w:rPr>
          <w:rFonts w:ascii="Calibri" w:hAnsi="Calibri" w:eastAsia="微软雅黑"/>
          <w:b w:val="0"/>
          <w:i w:val="0"/>
          <w:sz w:val="22"/>
        </w:rPr>
        <w:t>。跨区域或跨期跨度大的项目，采用类似工程预算法时必须通过加权调价系数动态消化通胀与地域价差：$D = A \times K$，$K = a\% \times K_1 + b\% \times K_2 + c\% \times K_3 + d\% \times K_4$。式中 $D$ 为拟建工程成本单价，$A$ 为类似工程成本单价，$a\%$-$d\%$ 分别为类似工程预算中人工费、材料费、施工机具使用费、企业管理费占预算成本的比重，$K_1$-$K_4$ 为拟建工程地区与类似工程在上述四类单价之间的差异系数 [来源: P000651]。</w:t>
      </w:r>
    </w:p>
    <w:p>
      <w:pPr>
        <w:pStyle w:val="ListNumber"/>
      </w:pPr>
      <w:r>
        <w:rPr>
          <w:rFonts w:ascii="Calibri" w:hAnsi="Calibri" w:eastAsia="微软雅黑"/>
          <w:b/>
          <w:i w:val="0"/>
          <w:sz w:val="22"/>
        </w:rPr>
        <w:t>设备安装概算四法与铺底流动资金</w:t>
      </w:r>
      <w:r>
        <w:rPr>
          <w:rFonts w:ascii="Calibri" w:hAnsi="Calibri" w:eastAsia="微软雅黑"/>
          <w:b w:val="0"/>
          <w:i w:val="0"/>
          <w:sz w:val="22"/>
        </w:rPr>
        <w:t>。设备安装工程费按初步设计深度分别匹配预算单价法、扩大单价法、设备价值百分比法（设备安装费＝设备原价×安装费率）与综合吨位指标法（设备安装费＝设备吨重×每吨安装费指标）；生产性或经营性项目还须在总概算中计入铺底流动资金，按全部流动资金的30%计算 [来源: P000651]。</w:t>
      </w:r>
    </w:p>
    <w:p>
      <w:pPr>
        <w:pStyle w:val="Heading3"/>
      </w:pPr>
      <w:r>
        <w:t>7.1.2 标杆企业源头锁价实操案例</w:t>
      </w:r>
    </w:p>
    <w:p>
      <w:pPr>
        <w:pStyle w:val="Heading4"/>
      </w:pPr>
      <w:r>
        <w:t>案例一：湖南院——商业综合体EPC项目的限额分解与四维优化 [来源: P000616]</w:t>
      </w:r>
    </w:p>
    <w:p>
      <w:pPr>
        <w:pStyle w:val="ListBullet"/>
      </w:pPr>
      <w:r>
        <w:rPr>
          <w:rFonts w:ascii="Calibri" w:hAnsi="Calibri" w:eastAsia="微软雅黑"/>
          <w:b/>
          <w:i w:val="0"/>
          <w:sz w:val="22"/>
        </w:rPr>
        <w:t>数据（Data）</w:t>
      </w:r>
      <w:r>
        <w:rPr>
          <w:rFonts w:ascii="Calibri" w:hAnsi="Calibri" w:eastAsia="微软雅黑"/>
          <w:b w:val="0"/>
          <w:i w:val="0"/>
          <w:sz w:val="22"/>
        </w:rPr>
        <w:t>：某大型商业综合体EPC项目总建筑面积15万平方米，设计限额为8000万元。限额按专业分解为：建筑专业3200万元（40%）、结构专业2400万元（30%）、机电专业2000万元（25%）、其他专业400万元（5%）[来源: P000616]。</w:t>
      </w:r>
    </w:p>
    <w:p>
      <w:pPr>
        <w:pStyle w:val="ListBullet"/>
      </w:pPr>
      <w:r>
        <w:rPr>
          <w:rFonts w:ascii="Calibri" w:hAnsi="Calibri" w:eastAsia="微软雅黑"/>
          <w:b/>
          <w:i w:val="0"/>
          <w:sz w:val="22"/>
        </w:rPr>
        <w:t>动作（Action）</w:t>
      </w:r>
      <w:r>
        <w:rPr>
          <w:rFonts w:ascii="Calibri" w:hAnsi="Calibri" w:eastAsia="微软雅黑"/>
          <w:b w:val="0"/>
          <w:i w:val="0"/>
          <w:sz w:val="22"/>
        </w:rPr>
        <w:t>：四维度设计优化——建筑方案通过布局优化减少建筑面积5%，节约成本160万元；结构方案采用预应力混凝土结构，节约钢材用量20%，节约成本120万元；机电方案采用变频空调系统，降低设备投资15%，节约成本80万元；材料选型优化再节约成本100万元 [来源: P000616]。</w:t>
      </w:r>
    </w:p>
    <w:p>
      <w:pPr>
        <w:pStyle w:val="ListBullet"/>
      </w:pPr>
      <w:r>
        <w:rPr>
          <w:rFonts w:ascii="Calibri" w:hAnsi="Calibri" w:eastAsia="微软雅黑"/>
          <w:b/>
          <w:i w:val="0"/>
          <w:sz w:val="22"/>
        </w:rPr>
        <w:t>结果（Result）</w:t>
      </w:r>
      <w:r>
        <w:rPr>
          <w:rFonts w:ascii="Calibri" w:hAnsi="Calibri" w:eastAsia="微软雅黑"/>
          <w:b w:val="0"/>
          <w:i w:val="0"/>
          <w:sz w:val="22"/>
        </w:rPr>
        <w:t>：项目设计总成本控制在7540万元，比限额节约460万元，节约率5.75%，项目功能完全满足要求，获得业主高度认可 [来源: P000616]。</w:t>
      </w:r>
    </w:p>
    <w:p>
      <w:pPr>
        <w:pStyle w:val="Heading4"/>
      </w:pPr>
      <w:r>
        <w:t>案例二：湖南院——大宗材料跨项目集采与组合锁价 [来源: P000616]</w:t>
      </w:r>
    </w:p>
    <w:p>
      <w:pPr>
        <w:pStyle w:val="ListBullet"/>
      </w:pPr>
      <w:r>
        <w:rPr>
          <w:rFonts w:ascii="Calibri" w:hAnsi="Calibri" w:eastAsia="微软雅黑"/>
          <w:b/>
          <w:i w:val="0"/>
          <w:sz w:val="22"/>
        </w:rPr>
        <w:t>数据（Data）</w:t>
      </w:r>
      <w:r>
        <w:rPr>
          <w:rFonts w:ascii="Calibri" w:hAnsi="Calibri" w:eastAsia="微软雅黑"/>
          <w:b w:val="0"/>
          <w:i w:val="0"/>
          <w:sz w:val="22"/>
        </w:rPr>
        <w:t>：某大型工业园区EPC项目钢材采购量8000吨，预算价格4500元/吨，预算总额3600万元 [来源: P000616]。</w:t>
      </w:r>
    </w:p>
    <w:p>
      <w:pPr>
        <w:pStyle w:val="ListBullet"/>
      </w:pPr>
      <w:r>
        <w:rPr>
          <w:rFonts w:ascii="Calibri" w:hAnsi="Calibri" w:eastAsia="微软雅黑"/>
          <w:b/>
          <w:i w:val="0"/>
          <w:sz w:val="22"/>
        </w:rPr>
        <w:t>动作（Action）</w:t>
      </w:r>
      <w:r>
        <w:rPr>
          <w:rFonts w:ascii="Calibri" w:hAnsi="Calibri" w:eastAsia="微软雅黑"/>
          <w:b w:val="0"/>
          <w:i w:val="0"/>
          <w:sz w:val="22"/>
        </w:rPr>
        <w:t>：四条采购策略组合——将多个项目的钢材需求集中采购，总量达到20000吨形成规模效应；与钢材供应商签订年度合作协议获取长期优惠价格；利用钢材期货市场锁定采购价格；选择3家供应商分散供应风险 [来源: P000616]。</w:t>
      </w:r>
    </w:p>
    <w:p>
      <w:pPr>
        <w:pStyle w:val="ListBullet"/>
      </w:pPr>
      <w:r>
        <w:rPr>
          <w:rFonts w:ascii="Calibri" w:hAnsi="Calibri" w:eastAsia="微软雅黑"/>
          <w:b/>
          <w:i w:val="0"/>
          <w:sz w:val="22"/>
        </w:rPr>
        <w:t>结果（Result）</w:t>
      </w:r>
      <w:r>
        <w:rPr>
          <w:rFonts w:ascii="Calibri" w:hAnsi="Calibri" w:eastAsia="微软雅黑"/>
          <w:b w:val="0"/>
          <w:i w:val="0"/>
          <w:sz w:val="22"/>
        </w:rPr>
        <w:t>：实际采购价格降至4200元/吨，实际采购总额3360万元，节约成本240万元、节约率6.67%——其中集中采购效应贡献120万元、长期合作优惠贡献80万元、期货锁价收益贡献40万元 [来源: P000616]。</w:t>
      </w:r>
    </w:p>
    <w:p>
      <w:pPr>
        <w:pStyle w:val="Heading4"/>
      </w:pPr>
      <w:r>
        <w:t>案例三：华陆工程——全球供应链整合与全生命周期价值工程 [来源: P000611]</w:t>
      </w:r>
    </w:p>
    <w:p>
      <w:pPr>
        <w:pStyle w:val="ListBullet"/>
      </w:pPr>
      <w:r>
        <w:rPr>
          <w:rFonts w:ascii="Calibri" w:hAnsi="Calibri" w:eastAsia="微软雅黑"/>
          <w:b/>
          <w:i w:val="0"/>
          <w:sz w:val="22"/>
        </w:rPr>
        <w:t>数据（Data）</w:t>
      </w:r>
      <w:r>
        <w:rPr>
          <w:rFonts w:ascii="Calibri" w:hAnsi="Calibri" w:eastAsia="微软雅黑"/>
          <w:b w:val="0"/>
          <w:i w:val="0"/>
          <w:sz w:val="22"/>
        </w:rPr>
        <w:t>：华陆公司在大型化工EPC项目中面对采购成本占比最大的成本结构（采购成本通常是EPC项目中占比最大的部分，对项目总成本影响显著），构建全球供应商资源库 [来源: P000611]。</w:t>
      </w:r>
    </w:p>
    <w:p>
      <w:pPr>
        <w:pStyle w:val="ListBullet"/>
      </w:pPr>
      <w:r>
        <w:rPr>
          <w:rFonts w:ascii="Calibri" w:hAnsi="Calibri" w:eastAsia="微软雅黑"/>
          <w:b/>
          <w:i w:val="0"/>
          <w:sz w:val="22"/>
        </w:rPr>
        <w:t>动作（Action）</w:t>
      </w:r>
      <w:r>
        <w:rPr>
          <w:rFonts w:ascii="Calibri" w:hAnsi="Calibri" w:eastAsia="微软雅黑"/>
          <w:b w:val="0"/>
          <w:i w:val="0"/>
          <w:sz w:val="22"/>
        </w:rPr>
        <w:t>：其一，设计咨询作为EPC业务源头，虽在总营收中占比较小，但通过对后续采购和施工成本"四两拨千斤"的带动作用放大价值——设计成本在整个项目总成本中占比相对较小，但其对后续采购和施工成本的影响巨大；其二，价值工程（VE）贯穿方案比选，通过功能分析与创新设计，在保证功能的前提下优化设计方案、选择性价比更高的材料、改进施工工艺 [来源: P000611]。</w:t>
      </w:r>
    </w:p>
    <w:p>
      <w:pPr>
        <w:pStyle w:val="ListBullet"/>
      </w:pPr>
      <w:r>
        <w:rPr>
          <w:rFonts w:ascii="Calibri" w:hAnsi="Calibri" w:eastAsia="微软雅黑"/>
          <w:b/>
          <w:i w:val="0"/>
          <w:sz w:val="22"/>
        </w:rPr>
        <w:t>结果（Result）</w:t>
      </w:r>
      <w:r>
        <w:rPr>
          <w:rFonts w:ascii="Calibri" w:hAnsi="Calibri" w:eastAsia="微软雅黑"/>
          <w:b w:val="0"/>
          <w:i w:val="0"/>
          <w:sz w:val="22"/>
        </w:rPr>
        <w:t>：在保证设备功能与质量的前提下降低全生命周期成本，实现设备采购效益最大化与交付品质跃升 [来源: P000611]。</w:t>
      </w:r>
    </w:p>
    <w:p>
      <w:pPr>
        <w:pStyle w:val="Heading4"/>
      </w:pPr>
      <w:r>
        <w:t>案例四：华东院——"大设计"理念下的全过程造价封顶 [来源: P000601]</w:t>
      </w:r>
    </w:p>
    <w:p>
      <w:pPr>
        <w:pStyle w:val="ListBullet"/>
      </w:pPr>
      <w:r>
        <w:rPr>
          <w:rFonts w:ascii="Calibri" w:hAnsi="Calibri" w:eastAsia="微软雅黑"/>
          <w:b/>
          <w:i w:val="0"/>
          <w:sz w:val="22"/>
        </w:rPr>
        <w:t>数据（Data）</w:t>
      </w:r>
      <w:r>
        <w:rPr>
          <w:rFonts w:ascii="Calibri" w:hAnsi="Calibri" w:eastAsia="微软雅黑"/>
          <w:b w:val="0"/>
          <w:i w:val="0"/>
          <w:sz w:val="22"/>
        </w:rPr>
        <w:t>：华东院先后承担了国内首个百万千瓦级水电站工程总承包——四川杨房沟水电站、国内最大的水环境综合整治工程总承包——深圳茅洲河综合治理、国务院重大节水供水工程——鄂北引水总承包（引水干渠长度约270公里、年引水量约10亿立方米）等数十个大型工程总承包项目 [来源: P000601]。</w:t>
      </w:r>
    </w:p>
    <w:p>
      <w:pPr>
        <w:pStyle w:val="ListBullet"/>
      </w:pPr>
      <w:r>
        <w:rPr>
          <w:rFonts w:ascii="Calibri" w:hAnsi="Calibri" w:eastAsia="微软雅黑"/>
          <w:b/>
          <w:i w:val="0"/>
          <w:sz w:val="22"/>
        </w:rPr>
        <w:t>动作（Action）</w:t>
      </w:r>
      <w:r>
        <w:rPr>
          <w:rFonts w:ascii="Calibri" w:hAnsi="Calibri" w:eastAsia="微软雅黑"/>
          <w:b w:val="0"/>
          <w:i w:val="0"/>
          <w:sz w:val="22"/>
        </w:rPr>
        <w:t>：提出并实践"大设计"理念，将设计、采购、施工等环节有机融合，实现全过程协同整合；价值工程理论作为EPC模式的重要理论基础，应用于设计优化、材料选择与工艺改进三个层面 [来源: P000601]。</w:t>
      </w:r>
    </w:p>
    <w:p>
      <w:pPr>
        <w:pStyle w:val="ListBullet"/>
      </w:pPr>
      <w:r>
        <w:rPr>
          <w:rFonts w:ascii="Calibri" w:hAnsi="Calibri" w:eastAsia="微软雅黑"/>
          <w:b/>
          <w:i w:val="0"/>
          <w:sz w:val="22"/>
        </w:rPr>
        <w:t>结果（Result）</w:t>
      </w:r>
      <w:r>
        <w:rPr>
          <w:rFonts w:ascii="Calibri" w:hAnsi="Calibri" w:eastAsia="微软雅黑"/>
          <w:b w:val="0"/>
          <w:i w:val="0"/>
          <w:sz w:val="22"/>
        </w:rPr>
        <w:t>：以设计为龙头的一体化模式在大型水电、水环境治理项目中实现造价与品质双控，成为设计院转型总承包的标杆样本 [来源: P000601]。</w:t>
      </w:r>
    </w:p>
    <w:p>
      <w:pPr>
        <w:pStyle w:val="Heading3"/>
      </w:pPr>
      <w:r>
        <w:t>7.1.3 可执行方法：源头锁价"五步法"（本研究归纳，步骤要点据源文整理）</w:t>
      </w:r>
    </w:p>
    <w:p>
      <w:pPr>
        <w:pStyle w:val="ListNumber"/>
      </w:pPr>
      <w:r>
        <w:rPr>
          <w:rFonts w:ascii="Calibri" w:hAnsi="Calibri" w:eastAsia="微软雅黑"/>
          <w:b/>
          <w:i w:val="0"/>
          <w:sz w:val="22"/>
        </w:rPr>
        <w:t>第一步：目标成本编制与限额分解</w:t>
      </w:r>
      <w:r>
        <w:rPr>
          <w:rFonts w:ascii="Calibri" w:hAnsi="Calibri" w:eastAsia="微软雅黑"/>
          <w:b w:val="0"/>
          <w:i w:val="0"/>
          <w:sz w:val="22"/>
        </w:rPr>
        <w:t>。根据投资估算或批复概算确定项目总目标成本上限，按工作分解结构（WBS）将成本指标逐级分解至建筑、结构、机电等专业及分部分项工程（湖南院"8000万元限额按专业四分"即为标准动作）[来源: P000616]。</w:t>
      </w:r>
    </w:p>
    <w:p>
      <w:pPr>
        <w:pStyle w:val="ListNumber"/>
      </w:pPr>
      <w:r>
        <w:rPr>
          <w:rFonts w:ascii="Calibri" w:hAnsi="Calibri" w:eastAsia="微软雅黑"/>
          <w:b/>
          <w:i w:val="0"/>
          <w:sz w:val="22"/>
        </w:rPr>
        <w:t>第二步：概算指标修正与动态校准</w:t>
      </w:r>
      <w:r>
        <w:rPr>
          <w:rFonts w:ascii="Calibri" w:hAnsi="Calibri" w:eastAsia="微软雅黑"/>
          <w:b w:val="0"/>
          <w:i w:val="0"/>
          <w:sz w:val="22"/>
        </w:rPr>
        <w:t>。图纸深度不足或结构有差异时，套用概算指标局部结构修正公式计算真实综合单价；跨区域、跨期项目运用类似工程预算法的加权调价系数进行地域与通胀价差校准 [来源: P000651]。</w:t>
      </w:r>
    </w:p>
    <w:p>
      <w:pPr>
        <w:pStyle w:val="ListNumber"/>
      </w:pPr>
      <w:r>
        <w:rPr>
          <w:rFonts w:ascii="Calibri" w:hAnsi="Calibri" w:eastAsia="微软雅黑"/>
          <w:b/>
          <w:i w:val="0"/>
          <w:sz w:val="22"/>
        </w:rPr>
        <w:t>第三步：价值工程与方案多维比选</w:t>
      </w:r>
      <w:r>
        <w:rPr>
          <w:rFonts w:ascii="Calibri" w:hAnsi="Calibri" w:eastAsia="微软雅黑"/>
          <w:b w:val="0"/>
          <w:i w:val="0"/>
          <w:sz w:val="22"/>
        </w:rPr>
        <w:t>。组建由设计、造价、采购、施工专家构成的VE小组，开展功能-成本匹配分析，剔除过剩功能与过度设计，选择全生命周期成本最低的可行方案 [来源: P000601, P000611]。</w:t>
      </w:r>
    </w:p>
    <w:p>
      <w:pPr>
        <w:pStyle w:val="ListNumber"/>
      </w:pPr>
      <w:r>
        <w:rPr>
          <w:rFonts w:ascii="Calibri" w:hAnsi="Calibri" w:eastAsia="微软雅黑"/>
          <w:b/>
          <w:i w:val="0"/>
          <w:sz w:val="22"/>
        </w:rPr>
        <w:t>第四步：采购与施工早期介入</w:t>
      </w:r>
      <w:r>
        <w:rPr>
          <w:rFonts w:ascii="Calibri" w:hAnsi="Calibri" w:eastAsia="微软雅黑"/>
          <w:b w:val="0"/>
          <w:i w:val="0"/>
          <w:sz w:val="22"/>
        </w:rPr>
        <w:t>。采购团队介入设备选型，提供市场供货周期、大宗材料价格走势与标准化构件建议；施工团队开展可施工性审查，优化节点构造与施工工艺，避免后期设计变更（机制要点为本研究归纳，接口细节见本章第二节）。</w:t>
      </w:r>
    </w:p>
    <w:p>
      <w:pPr>
        <w:pStyle w:val="ListNumber"/>
      </w:pPr>
      <w:r>
        <w:rPr>
          <w:rFonts w:ascii="Calibri" w:hAnsi="Calibri" w:eastAsia="微软雅黑"/>
          <w:b/>
          <w:i w:val="0"/>
          <w:sz w:val="22"/>
        </w:rPr>
        <w:t>第五步：限额设计考核与变更"一票否决"</w:t>
      </w:r>
      <w:r>
        <w:rPr>
          <w:rFonts w:ascii="Calibri" w:hAnsi="Calibri" w:eastAsia="微软雅黑"/>
          <w:b w:val="0"/>
          <w:i w:val="0"/>
          <w:sz w:val="22"/>
        </w:rPr>
        <w:t>。将限额指标完成情况与设计人员、专业负责人及项目经理的绩效薪酬直接挂钩；设立重大设计变更技术经济审批流程，未经造价评估与合规审批的变更一律不得下发（机制设计为本研究归纳，示意性复盘）。</w:t>
      </w:r>
    </w:p>
    <w:p>
      <w:r>
        <w:rPr>
          <w:rFonts w:ascii="Calibri" w:hAnsi="Calibri" w:eastAsia="微软雅黑"/>
          <w:b w:val="0"/>
          <w:i w:val="0"/>
          <w:sz w:val="22"/>
        </w:rPr>
        <w:t>---</w:t>
      </w:r>
    </w:p>
    <w:p>
      <w:pPr>
        <w:pStyle w:val="Heading2"/>
      </w:pPr>
      <w:r>
        <w:t>7.2 接口消痕：打破E-P-C专业壁垒的界面融合机制</w:t>
      </w:r>
    </w:p>
    <w:p>
      <w:r>
        <w:rPr>
          <w:rFonts w:ascii="Calibri" w:hAnsi="Calibri" w:eastAsia="微软雅黑"/>
          <w:b w:val="0"/>
          <w:i w:val="0"/>
          <w:sz w:val="22"/>
        </w:rPr>
        <w:t>工程总承包项目的核心优势在于设计、采购、施工三者的深度融合，但在实际履约中，由于传统"部门墙"和专业壁垒的存在，E-P（设计与采购）、P-C（采购与施工）、E-C（设计与施工）三大接口界面常常产生严重割裂（接口分类框架为本研究归纳）。其典型痛点是：E-P接口上，设计人员不了解设备市场规格与长周期订货时效，导致技术规格书过于苛刻或选型停产，采购阶段被迫频繁变更；P-C接口上，设备到货时序与施工网络计划脱节，早到导致堆场占用与二次搬运损耗，迟到引致窝工停工；E-C接口上，设计方案缺乏可施工性考虑，构造节点过于复杂，现场理解偏差引发大量图纸会审争议与返工（痛点归纳为本研究据源文整理）。接口消痕的目标，就是通过组织重构、协同平台与标准化流程，消除界面摩擦，实现全过程无缝衔接。</w:t>
      </w:r>
    </w:p>
    <w:p>
      <w:pPr>
        <w:pStyle w:val="Heading3"/>
      </w:pPr>
      <w:r>
        <w:t>7.2.1 标杆企业接口消痕实操案例</w:t>
      </w:r>
    </w:p>
    <w:p>
      <w:pPr>
        <w:pStyle w:val="Heading4"/>
      </w:pPr>
      <w:r>
        <w:t>案例一：中建三局——多专业矩阵协同与"空中造楼机"BIM消痕 [来源: P000621]</w:t>
      </w:r>
    </w:p>
    <w:p>
      <w:pPr>
        <w:pStyle w:val="ListBullet"/>
      </w:pPr>
      <w:r>
        <w:rPr>
          <w:rFonts w:ascii="Calibri" w:hAnsi="Calibri" w:eastAsia="微软雅黑"/>
          <w:b/>
          <w:i w:val="0"/>
          <w:sz w:val="22"/>
        </w:rPr>
        <w:t>数据（Data）</w:t>
      </w:r>
      <w:r>
        <w:rPr>
          <w:rFonts w:ascii="Calibri" w:hAnsi="Calibri" w:eastAsia="微软雅黑"/>
          <w:b w:val="0"/>
          <w:i w:val="0"/>
          <w:sz w:val="22"/>
        </w:rPr>
        <w:t>：中建三局承建武汉绿地中心（475米、73万平方米）超高层项目，并在武汉中心大厦（截至建成时的华中第一高楼）应用其自主研发的"空中造楼机"，创造了超高层建筑施工速度的新纪录；海外承接印尼宝绅（BEAX）综合产业园纸厂EPC项目——该项目位于印度尼西亚南苏门答腊省，是印尼金光集团APP投资建设的大型制浆造纸一体化项目的重要组成部分 [来源: P000621]。</w:t>
      </w:r>
    </w:p>
    <w:p>
      <w:pPr>
        <w:pStyle w:val="ListBullet"/>
      </w:pPr>
      <w:r>
        <w:rPr>
          <w:rFonts w:ascii="Calibri" w:hAnsi="Calibri" w:eastAsia="微软雅黑"/>
          <w:b/>
          <w:i w:val="0"/>
          <w:sz w:val="22"/>
        </w:rPr>
        <w:t>动作（Action）</w:t>
      </w:r>
      <w:r>
        <w:rPr>
          <w:rFonts w:ascii="Calibri" w:hAnsi="Calibri" w:eastAsia="微软雅黑"/>
          <w:b w:val="0"/>
          <w:i w:val="0"/>
          <w:sz w:val="22"/>
        </w:rPr>
        <w:t>：其一，超高层与大型场馆项目深度应用BIM技术、空中造楼机与智慧工地平台，实现高效、精准、安全的建造；深圳国际会展中心（全球最大会展中心之一）全面应用BIM实现高效协同设计和施工管理；其二，工业EPC项目将接口管理作为关键环节——印尼纸厂项目有效整合土建、钢结构、机电安装、防腐保温、自动化控制等多个专业领域的技术和资源，通过有效的协调机制确保各专业、各参与方的顺畅衔接；其三，注重样板引路与技术前置，对关键复杂节点先行校验设计与施工衔接的可行性（此条为本研究归纳）[来源: P000621]。</w:t>
      </w:r>
    </w:p>
    <w:p>
      <w:pPr>
        <w:pStyle w:val="ListBullet"/>
      </w:pPr>
      <w:r>
        <w:rPr>
          <w:rFonts w:ascii="Calibri" w:hAnsi="Calibri" w:eastAsia="微软雅黑"/>
          <w:b/>
          <w:i w:val="0"/>
          <w:sz w:val="22"/>
        </w:rPr>
        <w:t>结果（Result）</w:t>
      </w:r>
      <w:r>
        <w:rPr>
          <w:rFonts w:ascii="Calibri" w:hAnsi="Calibri" w:eastAsia="微软雅黑"/>
          <w:b w:val="0"/>
          <w:i w:val="0"/>
          <w:sz w:val="22"/>
        </w:rPr>
        <w:t>：印尼纸厂项目按期或提前完成所承担的厂房及配套设施建设任务，工程质量满足复杂工艺要求和业主高标准，安全环保管理获得业主认可，进一步巩固了中建三局在印尼及东南亚市场的地位 [来源: P000621]。</w:t>
      </w:r>
    </w:p>
    <w:p>
      <w:pPr>
        <w:pStyle w:val="Heading4"/>
      </w:pPr>
      <w:r>
        <w:t>案例二：上海市政总院——跨部门协作机制与水务EPC消痕 [来源: P000606]</w:t>
      </w:r>
    </w:p>
    <w:p>
      <w:pPr>
        <w:pStyle w:val="ListBullet"/>
      </w:pPr>
      <w:r>
        <w:rPr>
          <w:rFonts w:ascii="Calibri" w:hAnsi="Calibri" w:eastAsia="微软雅黑"/>
          <w:b/>
          <w:i w:val="0"/>
          <w:sz w:val="22"/>
        </w:rPr>
        <w:t>数据（Data）</w:t>
      </w:r>
      <w:r>
        <w:rPr>
          <w:rFonts w:ascii="Calibri" w:hAnsi="Calibri" w:eastAsia="微软雅黑"/>
          <w:b w:val="0"/>
          <w:i w:val="0"/>
          <w:sz w:val="22"/>
        </w:rPr>
        <w:t>：市政总院承接白龙港污水处理厂提标改造一期除臭工程、泰和水厂改造、石洞口污水处理厂提标改造、武汉左岭污水处理厂二厂及配套设施新建工程以及江苏洮滆片区水环境综合整治等复杂水务EPC项目 [来源: P000606]。</w:t>
      </w:r>
    </w:p>
    <w:p>
      <w:pPr>
        <w:pStyle w:val="ListBullet"/>
      </w:pPr>
      <w:r>
        <w:rPr>
          <w:rFonts w:ascii="Calibri" w:hAnsi="Calibri" w:eastAsia="微软雅黑"/>
          <w:b/>
          <w:i w:val="0"/>
          <w:sz w:val="22"/>
        </w:rPr>
        <w:t>动作（Action）</w:t>
      </w:r>
      <w:r>
        <w:rPr>
          <w:rFonts w:ascii="Calibri" w:hAnsi="Calibri" w:eastAsia="微软雅黑"/>
          <w:b w:val="0"/>
          <w:i w:val="0"/>
          <w:sz w:val="22"/>
        </w:rPr>
        <w:t>：以武汉左岭污水厂二厂EPC项目为例，项目团队下设设计管理组、采购管理组、施工管理组、质量安全组、合同商务组，构成完整的项目管理架构；建立完善的跨部门协作机制——每周召开协调会议讨论项目进展与问题，设立项目信息共享平台实现设计、采购、施工环节的信息互通，制定详细的跨部门工作流程和接口标准，明确各部门职责和工作界面，并建立问题快速响应机制确保问题及时解决 [来源: P000606]。在江苏洮滆片区水环境综合整治工程EPC项目中，同步优化设计与施工衔接流程、采购管理流程与沟通协调流程，减少设计变更和返工 [来源: P000606]。</w:t>
      </w:r>
    </w:p>
    <w:p>
      <w:pPr>
        <w:pStyle w:val="ListBullet"/>
      </w:pPr>
      <w:r>
        <w:rPr>
          <w:rFonts w:ascii="Calibri" w:hAnsi="Calibri" w:eastAsia="微软雅黑"/>
          <w:b/>
          <w:i w:val="0"/>
          <w:sz w:val="22"/>
        </w:rPr>
        <w:t>结果（Result）</w:t>
      </w:r>
      <w:r>
        <w:rPr>
          <w:rFonts w:ascii="Calibri" w:hAnsi="Calibri" w:eastAsia="微软雅黑"/>
          <w:b w:val="0"/>
          <w:i w:val="0"/>
          <w:sz w:val="22"/>
        </w:rPr>
        <w:t>：跨部门协作与流程再造措施落地后，项目管理效率和水平持续提升，复杂水务改造工程中新建构筑物与既有设施的接驳接口风险得到有效控制 [来源: P000606]。</w:t>
      </w:r>
    </w:p>
    <w:p>
      <w:pPr>
        <w:pStyle w:val="Heading4"/>
      </w:pPr>
      <w:r>
        <w:t>案例三：中国天辰——"T+EPC"专有技术转化与数字化平台消痕 [来源: P000626]</w:t>
      </w:r>
    </w:p>
    <w:p>
      <w:pPr>
        <w:pStyle w:val="ListBullet"/>
      </w:pPr>
      <w:r>
        <w:rPr>
          <w:rFonts w:ascii="Calibri" w:hAnsi="Calibri" w:eastAsia="微软雅黑"/>
          <w:b/>
          <w:i w:val="0"/>
          <w:sz w:val="22"/>
        </w:rPr>
        <w:t>数据（Data）</w:t>
      </w:r>
      <w:r>
        <w:rPr>
          <w:rFonts w:ascii="Calibri" w:hAnsi="Calibri" w:eastAsia="微软雅黑"/>
          <w:b w:val="0"/>
          <w:i w:val="0"/>
          <w:sz w:val="22"/>
        </w:rPr>
        <w:t>：天辰公司在化工EPC领域创新推广"T+EPC"（技术专利+工程总承包）模式，典型案例包括土耳其卡赞天然碱项目、哈萨克斯坦电站项目、湖北双环科技联碱节能技术升级改造项目等；公司已在俄罗斯、美国、巴基斯坦、哈萨克斯坦、土耳其、沙特等18个国家设立境外机构 [来源: P000626]。</w:t>
      </w:r>
    </w:p>
    <w:p>
      <w:pPr>
        <w:pStyle w:val="ListBullet"/>
      </w:pPr>
      <w:r>
        <w:rPr>
          <w:rFonts w:ascii="Calibri" w:hAnsi="Calibri" w:eastAsia="微软雅黑"/>
          <w:b/>
          <w:i w:val="0"/>
          <w:sz w:val="22"/>
        </w:rPr>
        <w:t>动作（Action）</w:t>
      </w:r>
      <w:r>
        <w:rPr>
          <w:rFonts w:ascii="Calibri" w:hAnsi="Calibri" w:eastAsia="微软雅黑"/>
          <w:b w:val="0"/>
          <w:i w:val="0"/>
          <w:sz w:val="22"/>
        </w:rPr>
        <w:t>：其一，将自主研发的专有技术与工程设计深度融合，消除技术许可方与工程设计方之间的沟通接口；其二，使用项目综合管理系统P3EC，基于多专业在线协同与供应链动态追踪实现全要素全周期数字化管理 [来源: P000626]。</w:t>
      </w:r>
    </w:p>
    <w:p>
      <w:pPr>
        <w:pStyle w:val="ListBullet"/>
      </w:pPr>
      <w:r>
        <w:rPr>
          <w:rFonts w:ascii="Calibri" w:hAnsi="Calibri" w:eastAsia="微软雅黑"/>
          <w:b/>
          <w:i w:val="0"/>
          <w:sz w:val="22"/>
        </w:rPr>
        <w:t>结果（Result）</w:t>
      </w:r>
      <w:r>
        <w:rPr>
          <w:rFonts w:ascii="Calibri" w:hAnsi="Calibri" w:eastAsia="微软雅黑"/>
          <w:b w:val="0"/>
          <w:i w:val="0"/>
          <w:sz w:val="22"/>
        </w:rPr>
        <w:t>：专有技术直接转化为工程设计标准后，化工装置试车与调试周期显著压缩，设备接口不匹配引发的安装延误被消除，海外项目实现高毛利与一次投料试车成功（结果表述为本研究据源文归纳）[来源: P000626]。</w:t>
      </w:r>
    </w:p>
    <w:p>
      <w:pPr>
        <w:pStyle w:val="Heading3"/>
      </w:pPr>
      <w:r>
        <w:t>7.2.2 可执行方法：接口消痕"四步法"（本研究归纳，示意性复盘）</w:t>
      </w:r>
    </w:p>
    <w:p>
      <w:pPr>
        <w:pStyle w:val="ListNumber"/>
      </w:pPr>
      <w:r>
        <w:rPr>
          <w:rFonts w:ascii="Calibri" w:hAnsi="Calibri" w:eastAsia="微软雅黑"/>
          <w:b/>
          <w:i w:val="0"/>
          <w:sz w:val="22"/>
        </w:rPr>
        <w:t>第一步：建立企业级接口矩阵与责任清单</w:t>
      </w:r>
      <w:r>
        <w:rPr>
          <w:rFonts w:ascii="Calibri" w:hAnsi="Calibri" w:eastAsia="微软雅黑"/>
          <w:b w:val="0"/>
          <w:i w:val="0"/>
          <w:sz w:val="22"/>
        </w:rPr>
        <w:t>。编制EPC项目接口管理标准手册，明确E-P、P-C、E-C三大界面的信息交付标准；结合WBS分解，梳理管线综合、设备基础、预埋件等高风险接口，签署界面确认书（市政总院"跨部门工作流程和接口标准+明确职责和工作界面"即为此法的企业级实践）[来源: P000606]。</w:t>
      </w:r>
    </w:p>
    <w:p>
      <w:pPr>
        <w:pStyle w:val="ListNumber"/>
      </w:pPr>
      <w:r>
        <w:rPr>
          <w:rFonts w:ascii="Calibri" w:hAnsi="Calibri" w:eastAsia="微软雅黑"/>
          <w:b/>
          <w:i w:val="0"/>
          <w:sz w:val="22"/>
        </w:rPr>
        <w:t>第二步：推行采购与施工专家早期介入</w:t>
      </w:r>
      <w:r>
        <w:rPr>
          <w:rFonts w:ascii="Calibri" w:hAnsi="Calibri" w:eastAsia="微软雅黑"/>
          <w:b w:val="0"/>
          <w:i w:val="0"/>
          <w:sz w:val="22"/>
        </w:rPr>
        <w:t>。在方案与初步设计阶段，邀请采购经理与施工总工参与设计评审；针对长周期设备编制标准化技术规格书，锁定采购接口（机制要点为本研究归纳）。</w:t>
      </w:r>
    </w:p>
    <w:p>
      <w:pPr>
        <w:pStyle w:val="ListNumber"/>
      </w:pPr>
      <w:r>
        <w:rPr>
          <w:rFonts w:ascii="Calibri" w:hAnsi="Calibri" w:eastAsia="微软雅黑"/>
          <w:b/>
          <w:i w:val="0"/>
          <w:sz w:val="22"/>
        </w:rPr>
        <w:t>第三步：搭设BIM三维协同与项目管理信息系统</w:t>
      </w:r>
      <w:r>
        <w:rPr>
          <w:rFonts w:ascii="Calibri" w:hAnsi="Calibri" w:eastAsia="微软雅黑"/>
          <w:b w:val="0"/>
          <w:i w:val="0"/>
          <w:sz w:val="22"/>
        </w:rPr>
        <w:t>。将各专业三维模型导入统一BIM协同平台，自动化执行多专业碰撞检测与管线优化；将材料设备编码、施工形象进度与BIM模型深度绑定，实现接口状态可视化追踪（三局超高层与大型场馆项目的BIM协同实践即为此法）[来源: P000621]。</w:t>
      </w:r>
    </w:p>
    <w:p>
      <w:pPr>
        <w:pStyle w:val="ListNumber"/>
      </w:pPr>
      <w:r>
        <w:rPr>
          <w:rFonts w:ascii="Calibri" w:hAnsi="Calibri" w:eastAsia="微软雅黑"/>
          <w:b/>
          <w:i w:val="0"/>
          <w:sz w:val="22"/>
        </w:rPr>
        <w:t>第四步：实行联合办公与问题销项快速响应</w:t>
      </w:r>
      <w:r>
        <w:rPr>
          <w:rFonts w:ascii="Calibri" w:hAnsi="Calibri" w:eastAsia="微软雅黑"/>
          <w:b w:val="0"/>
          <w:i w:val="0"/>
          <w:sz w:val="22"/>
        </w:rPr>
        <w:t>。在项目关键阶段组建E-P-C现场联合办公机制，面对面协同；建立"现场响应—限时出方案—限时销项"的问题快速响应链条（市政总院左岭项目"每周协调例会+问题快速响应机制"即为此法，时限参数由企业按项目规模自定）[来源: P000606]。</w:t>
      </w:r>
    </w:p>
    <w:p>
      <w:r>
        <w:rPr>
          <w:rFonts w:ascii="Calibri" w:hAnsi="Calibri" w:eastAsia="微软雅黑"/>
          <w:b w:val="0"/>
          <w:i w:val="0"/>
          <w:sz w:val="22"/>
        </w:rPr>
        <w:t>---</w:t>
      </w:r>
    </w:p>
    <w:p>
      <w:pPr>
        <w:pStyle w:val="Heading2"/>
      </w:pPr>
      <w:r>
        <w:t>7.3 过程纠偏：动态成本与进度双控的预警与调整机制</w:t>
      </w:r>
    </w:p>
    <w:p>
      <w:r>
        <w:rPr>
          <w:rFonts w:ascii="Calibri" w:hAnsi="Calibri" w:eastAsia="微软雅黑"/>
          <w:b w:val="0"/>
          <w:i w:val="0"/>
          <w:sz w:val="22"/>
        </w:rPr>
        <w:t>在工程总承包项目长达数年的实施周期中，受市场价格波动、地质条件变化、设备交期延误等不确定因素影响，项目偏离既定轨道是常态。过程纠偏的核心，在于建立"实时监控-偏差识别-原因追溯-动态纠偏"的全程预警体系，防止细小偏差滚成不可逆的重大亏损（机制框架为本研究归纳）。</w:t>
      </w:r>
    </w:p>
    <w:p>
      <w:pPr>
        <w:pStyle w:val="Heading3"/>
      </w:pPr>
      <w:r>
        <w:t>7.3.1 挣值管理与"量差-价差"归因模型</w:t>
      </w:r>
    </w:p>
    <w:p>
      <w:r>
        <w:rPr>
          <w:rFonts w:ascii="Calibri" w:hAnsi="Calibri" w:eastAsia="微软雅黑"/>
          <w:b w:val="0"/>
          <w:i w:val="0"/>
          <w:sz w:val="22"/>
        </w:rPr>
        <w:t>标杆企业普遍引入挣值管理（EVM）对项目进度与成本进行定量化综合评估：华东院的研究报告将挣值管理列为EPC总承包商成本管理与进度控制的标准工具 [来源: P000601]；华陆公司在项目控制中运用挣值管理方法，对项目进度和成本进行动态监控和分析，及时发现偏差并采取纠偏措施，并利用EVM对进度进行量化分析、预测未来趋势 [来源: P000611]。其方法论基础是三大核心参数（计划价值、实际成本、挣值）与两大绩效指标（成本绩效指数、进度绩效指数）构成的偏差测量体系（方法描述为本研究据源文整理）[来源: P000601, P000611]。</w:t>
      </w:r>
    </w:p>
    <w:p>
      <w:r>
        <w:rPr>
          <w:rFonts w:ascii="Calibri" w:hAnsi="Calibri" w:eastAsia="微软雅黑"/>
          <w:b w:val="0"/>
          <w:i w:val="0"/>
          <w:sz w:val="22"/>
        </w:rPr>
        <w:t>当产生成本偏差时，中建三局的成本控制体系要求进一步进行"量差"与"价差"的二因素拆解，明确管理原因与市场原因 [来源: P000621]：</w:t>
      </w:r>
    </w:p>
    <w:p>
      <w:pPr>
        <w:pStyle w:val="Heading4"/>
      </w:pPr>
      <w:r>
        <w:t>表7-2 成本偏差二因素拆解模型（据中建三局成本控制体系整理）[来源: P000621]</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拆解维度</w:t>
            </w:r>
          </w:p>
        </w:tc>
        <w:tc>
          <w:tcPr>
            <w:tcW w:type="dxa" w:w="2767"/>
            <w:shd w:fill="1F3A5F"/>
          </w:tcPr>
          <w:p>
            <w:r>
              <w:rPr>
                <w:color w:val="FFFFFF"/>
              </w:rPr>
            </w:r>
            <w:r>
              <w:rPr>
                <w:rFonts w:ascii="Calibri" w:hAnsi="Calibri" w:eastAsia="微软雅黑"/>
                <w:b/>
                <w:i w:val="0"/>
                <w:color w:val="FFFFFF"/>
                <w:sz w:val="18"/>
              </w:rPr>
              <w:t>计算口径</w:t>
            </w:r>
          </w:p>
        </w:tc>
        <w:tc>
          <w:tcPr>
            <w:tcW w:type="dxa" w:w="2767"/>
            <w:shd w:fill="1F3A5F"/>
          </w:tcPr>
          <w:p>
            <w:r>
              <w:rPr>
                <w:color w:val="FFFFFF"/>
              </w:rPr>
            </w:r>
            <w:r>
              <w:rPr>
                <w:rFonts w:ascii="Calibri" w:hAnsi="Calibri" w:eastAsia="微软雅黑"/>
                <w:b/>
                <w:i w:val="0"/>
                <w:color w:val="FFFFFF"/>
                <w:sz w:val="18"/>
              </w:rPr>
              <w:t>典型归因方向</w:t>
            </w:r>
          </w:p>
        </w:tc>
      </w:tr>
      <w:tr>
        <w:tc>
          <w:tcPr>
            <w:tcW w:type="dxa" w:w="2767"/>
          </w:tcPr>
          <w:p>
            <w:r/>
            <w:r>
              <w:rPr>
                <w:rFonts w:ascii="Calibri" w:hAnsi="Calibri" w:eastAsia="微软雅黑"/>
                <w:b w:val="0"/>
                <w:i w:val="0"/>
                <w:sz w:val="18"/>
              </w:rPr>
              <w:t>量差</w:t>
            </w:r>
          </w:p>
        </w:tc>
        <w:tc>
          <w:tcPr>
            <w:tcW w:type="dxa" w:w="2767"/>
          </w:tcPr>
          <w:p>
            <w:r/>
            <w:r>
              <w:rPr>
                <w:rFonts w:ascii="Calibri" w:hAnsi="Calibri" w:eastAsia="微软雅黑"/>
                <w:b w:val="0"/>
                <w:i w:val="0"/>
                <w:sz w:val="18"/>
              </w:rPr>
              <w:t>（实际工程量－预算工程量）×预算单价</w:t>
            </w:r>
          </w:p>
        </w:tc>
        <w:tc>
          <w:tcPr>
            <w:tcW w:type="dxa" w:w="2767"/>
          </w:tcPr>
          <w:p>
            <w:r/>
            <w:r>
              <w:rPr>
                <w:rFonts w:ascii="Calibri" w:hAnsi="Calibri" w:eastAsia="微软雅黑"/>
                <w:b w:val="0"/>
                <w:i w:val="0"/>
                <w:sz w:val="18"/>
              </w:rPr>
              <w:t>设计变更导致工程量增减；施工方案调整；工程量计算错误或遗漏；现场签证确认的额外工作量</w:t>
            </w:r>
          </w:p>
        </w:tc>
      </w:tr>
      <w:tr>
        <w:tc>
          <w:tcPr>
            <w:tcW w:type="dxa" w:w="2767"/>
          </w:tcPr>
          <w:p>
            <w:r/>
            <w:r>
              <w:rPr>
                <w:rFonts w:ascii="Calibri" w:hAnsi="Calibri" w:eastAsia="微软雅黑"/>
                <w:b w:val="0"/>
                <w:i w:val="0"/>
                <w:sz w:val="18"/>
              </w:rPr>
              <w:t>价差</w:t>
            </w:r>
          </w:p>
        </w:tc>
        <w:tc>
          <w:tcPr>
            <w:tcW w:type="dxa" w:w="2767"/>
          </w:tcPr>
          <w:p>
            <w:r/>
            <w:r>
              <w:rPr>
                <w:rFonts w:ascii="Calibri" w:hAnsi="Calibri" w:eastAsia="微软雅黑"/>
                <w:b w:val="0"/>
                <w:i w:val="0"/>
                <w:sz w:val="18"/>
              </w:rPr>
              <w:t>（实际单价－预算单价）×实际工程量</w:t>
            </w:r>
          </w:p>
        </w:tc>
        <w:tc>
          <w:tcPr>
            <w:tcW w:type="dxa" w:w="2767"/>
          </w:tcPr>
          <w:p>
            <w:r/>
            <w:r>
              <w:rPr>
                <w:rFonts w:ascii="Calibri" w:hAnsi="Calibri" w:eastAsia="微软雅黑"/>
                <w:b w:val="0"/>
                <w:i w:val="0"/>
                <w:sz w:val="18"/>
              </w:rPr>
              <w:t>材料价格上涨；采购价格波动；费率变化</w:t>
            </w:r>
          </w:p>
        </w:tc>
      </w:tr>
      <w:tr>
        <w:tc>
          <w:tcPr>
            <w:tcW w:type="dxa" w:w="2767"/>
          </w:tcPr>
          <w:p>
            <w:r/>
            <w:r>
              <w:rPr>
                <w:rFonts w:ascii="Calibri" w:hAnsi="Calibri" w:eastAsia="微软雅黑"/>
                <w:b w:val="0"/>
                <w:i w:val="0"/>
                <w:sz w:val="18"/>
              </w:rPr>
              <w:t>效率差异（人工、机械）</w:t>
            </w:r>
          </w:p>
        </w:tc>
        <w:tc>
          <w:tcPr>
            <w:tcW w:type="dxa" w:w="2767"/>
          </w:tcPr>
          <w:p>
            <w:r/>
            <w:r>
              <w:rPr>
                <w:rFonts w:ascii="Calibri" w:hAnsi="Calibri" w:eastAsia="微软雅黑"/>
                <w:b w:val="0"/>
                <w:i w:val="0"/>
                <w:sz w:val="18"/>
              </w:rPr>
              <w:t>（实际消耗工时－标准工时）×标准费率</w:t>
            </w:r>
          </w:p>
        </w:tc>
        <w:tc>
          <w:tcPr>
            <w:tcW w:type="dxa" w:w="2767"/>
          </w:tcPr>
          <w:p>
            <w:r/>
            <w:r>
              <w:rPr>
                <w:rFonts w:ascii="Calibri" w:hAnsi="Calibri" w:eastAsia="微软雅黑"/>
                <w:b w:val="0"/>
                <w:i w:val="0"/>
                <w:sz w:val="18"/>
              </w:rPr>
              <w:t>工效损失、机械闲置</w:t>
            </w:r>
          </w:p>
        </w:tc>
      </w:tr>
      <w:tr>
        <w:tc>
          <w:tcPr>
            <w:tcW w:type="dxa" w:w="2767"/>
          </w:tcPr>
          <w:p>
            <w:r/>
            <w:r>
              <w:rPr>
                <w:rFonts w:ascii="Calibri" w:hAnsi="Calibri" w:eastAsia="微软雅黑"/>
                <w:b w:val="0"/>
                <w:i w:val="0"/>
                <w:sz w:val="18"/>
              </w:rPr>
              <w:t>费率差异（人工、机械）</w:t>
            </w:r>
          </w:p>
        </w:tc>
        <w:tc>
          <w:tcPr>
            <w:tcW w:type="dxa" w:w="2767"/>
          </w:tcPr>
          <w:p>
            <w:r/>
            <w:r>
              <w:rPr>
                <w:rFonts w:ascii="Calibri" w:hAnsi="Calibri" w:eastAsia="微软雅黑"/>
                <w:b w:val="0"/>
                <w:i w:val="0"/>
                <w:sz w:val="18"/>
              </w:rPr>
              <w:t>（实际费率－标准费率）×实际消耗工时</w:t>
            </w:r>
          </w:p>
        </w:tc>
        <w:tc>
          <w:tcPr>
            <w:tcW w:type="dxa" w:w="2767"/>
          </w:tcPr>
          <w:p>
            <w:r/>
            <w:r>
              <w:rPr>
                <w:rFonts w:ascii="Calibri" w:hAnsi="Calibri" w:eastAsia="微软雅黑"/>
                <w:b w:val="0"/>
                <w:i w:val="0"/>
                <w:sz w:val="18"/>
              </w:rPr>
              <w:t>人工单价、台班费变化</w:t>
            </w:r>
          </w:p>
        </w:tc>
      </w:tr>
    </w:tbl>
    <w:p>
      <w:r>
        <w:rPr>
          <w:rFonts w:ascii="Calibri" w:hAnsi="Calibri" w:eastAsia="微软雅黑"/>
          <w:b w:val="0"/>
          <w:i w:val="0"/>
          <w:sz w:val="22"/>
        </w:rPr>
        <w:t>该体系同时明确了动态控制的完整链条：成本跟踪（实时收集实际成本数据）→成本核算（定期核算已完成工作实际成本）→成本比较（实际与预算对比、分析偏差）→偏差分析（是量差还是价差、是管理原因还是外部原因）→预测预警（据当前状况预测最终成本、对超支风险预警）→纠偏措施→预算调整（对设计变更、工程量变化等客观原因造成的成本增加按程序调整）[来源: P000621]。</w:t>
      </w:r>
    </w:p>
    <w:p>
      <w:pPr>
        <w:pStyle w:val="Heading3"/>
      </w:pPr>
      <w:r>
        <w:t>7.3.2 标杆企业过程纠偏实操案例</w:t>
      </w:r>
    </w:p>
    <w:p>
      <w:pPr>
        <w:pStyle w:val="Heading4"/>
      </w:pPr>
      <w:r>
        <w:t>案例一：湖南院——住宅小区EPC项目的四维精细化纠偏 [来源: P000616]</w:t>
      </w:r>
    </w:p>
    <w:p>
      <w:pPr>
        <w:pStyle w:val="ListBullet"/>
      </w:pPr>
      <w:r>
        <w:rPr>
          <w:rFonts w:ascii="Calibri" w:hAnsi="Calibri" w:eastAsia="微软雅黑"/>
          <w:b/>
          <w:i w:val="0"/>
          <w:sz w:val="22"/>
        </w:rPr>
        <w:t>数据（Data）</w:t>
      </w:r>
      <w:r>
        <w:rPr>
          <w:rFonts w:ascii="Calibri" w:hAnsi="Calibri" w:eastAsia="微软雅黑"/>
          <w:b w:val="0"/>
          <w:i w:val="0"/>
          <w:sz w:val="22"/>
        </w:rPr>
        <w:t>：某大型住宅小区EPC项目总建筑面积20万平方米，施工成本预算1.2亿元 [来源: P000616]。</w:t>
      </w:r>
    </w:p>
    <w:p>
      <w:pPr>
        <w:pStyle w:val="ListBullet"/>
      </w:pPr>
      <w:r>
        <w:rPr>
          <w:rFonts w:ascii="Calibri" w:hAnsi="Calibri" w:eastAsia="微软雅黑"/>
          <w:b/>
          <w:i w:val="0"/>
          <w:sz w:val="22"/>
        </w:rPr>
        <w:t>动作（Action）</w:t>
      </w:r>
      <w:r>
        <w:rPr>
          <w:rFonts w:ascii="Calibri" w:hAnsi="Calibri" w:eastAsia="微软雅黑"/>
          <w:b w:val="0"/>
          <w:i w:val="0"/>
          <w:sz w:val="22"/>
        </w:rPr>
        <w:t>：四维成本控制——人工成本上，优化施工方案提高施工效率20%、加强技能培训、实行计件工资制，节约600万元；材料成本上，集中采购主要材料获得批量优惠、加强材料管理降低损耗率2%、优化配送，节约800万元；机械成本上，合理配置机械、加强维护、优化调度减少闲置，节约200万元；分包成本上，优选分包商、加强履约管理、规范结算管理，节约400万元 [来源: P000616]。</w:t>
      </w:r>
    </w:p>
    <w:p>
      <w:pPr>
        <w:pStyle w:val="ListBullet"/>
      </w:pPr>
      <w:r>
        <w:rPr>
          <w:rFonts w:ascii="Calibri" w:hAnsi="Calibri" w:eastAsia="微软雅黑"/>
          <w:b/>
          <w:i w:val="0"/>
          <w:sz w:val="22"/>
        </w:rPr>
        <w:t>结果（Result）</w:t>
      </w:r>
      <w:r>
        <w:rPr>
          <w:rFonts w:ascii="Calibri" w:hAnsi="Calibri" w:eastAsia="微软雅黑"/>
          <w:b w:val="0"/>
          <w:i w:val="0"/>
          <w:sz w:val="22"/>
        </w:rPr>
        <w:t>：实际施工成本控制在1.0亿元，累计节约成本2000万元，节约率16.67%，项目利润率提高10个百分点 [来源: P000616]。</w:t>
      </w:r>
    </w:p>
    <w:p>
      <w:pPr>
        <w:pStyle w:val="Heading4"/>
      </w:pPr>
      <w:r>
        <w:t>案例二：华东院——"四位一体"管控与数字化动态纠偏 [来源: P000601]</w:t>
      </w:r>
    </w:p>
    <w:p>
      <w:pPr>
        <w:pStyle w:val="ListBullet"/>
      </w:pPr>
      <w:r>
        <w:rPr>
          <w:rFonts w:ascii="Calibri" w:hAnsi="Calibri" w:eastAsia="微软雅黑"/>
          <w:b/>
          <w:i w:val="0"/>
          <w:sz w:val="22"/>
        </w:rPr>
        <w:t>数据（Data）</w:t>
      </w:r>
      <w:r>
        <w:rPr>
          <w:rFonts w:ascii="Calibri" w:hAnsi="Calibri" w:eastAsia="微软雅黑"/>
          <w:b w:val="0"/>
          <w:i w:val="0"/>
          <w:sz w:val="22"/>
        </w:rPr>
        <w:t>：华东院创新提出"四位一体"管控模式，将质量、安全、进度、成本管控有机结合，形成一体化管控体系；数字化工具覆盖海上风电与水环境治理等大型EPC项目 [来源: P000601]。</w:t>
      </w:r>
    </w:p>
    <w:p>
      <w:pPr>
        <w:pStyle w:val="ListBullet"/>
      </w:pPr>
      <w:r>
        <w:rPr>
          <w:rFonts w:ascii="Calibri" w:hAnsi="Calibri" w:eastAsia="微软雅黑"/>
          <w:b/>
          <w:i w:val="0"/>
          <w:sz w:val="22"/>
        </w:rPr>
        <w:t>动作（Action）</w:t>
      </w:r>
      <w:r>
        <w:rPr>
          <w:rFonts w:ascii="Calibri" w:hAnsi="Calibri" w:eastAsia="微软雅黑"/>
          <w:b w:val="0"/>
          <w:i w:val="0"/>
          <w:sz w:val="22"/>
        </w:rPr>
        <w:t>：应用关键路径法、挣值管理法、里程碑控制法等进度控制方法，以及目标成本法、挣值管理法、动态成本控制法等成本控制方法，科学管理项目进度与成本；通过数字化平台实现成本跟踪与预测预警 [来源: P000601]。</w:t>
      </w:r>
    </w:p>
    <w:p>
      <w:pPr>
        <w:pStyle w:val="ListBullet"/>
      </w:pPr>
      <w:r>
        <w:rPr>
          <w:rFonts w:ascii="Calibri" w:hAnsi="Calibri" w:eastAsia="微软雅黑"/>
          <w:b/>
          <w:i w:val="0"/>
          <w:sz w:val="22"/>
        </w:rPr>
        <w:t>结果（Result）</w:t>
      </w:r>
      <w:r>
        <w:rPr>
          <w:rFonts w:ascii="Calibri" w:hAnsi="Calibri" w:eastAsia="微软雅黑"/>
          <w:b w:val="0"/>
          <w:i w:val="0"/>
          <w:sz w:val="22"/>
        </w:rPr>
        <w:t>：在复杂海况与严苛节点的大型项目中实现对关键节点与成本支出的动态精细管控（结果表述为本研究据源文归纳）[来源: P000601]。</w:t>
      </w:r>
    </w:p>
    <w:p>
      <w:pPr>
        <w:pStyle w:val="Heading4"/>
      </w:pPr>
      <w:r>
        <w:t>案例三：中南院——辰溪抽水蓄能电站超长周期的阶段-门控纠偏 [来源: P000631]</w:t>
      </w:r>
    </w:p>
    <w:p>
      <w:pPr>
        <w:pStyle w:val="ListBullet"/>
      </w:pPr>
      <w:r>
        <w:rPr>
          <w:rFonts w:ascii="Calibri" w:hAnsi="Calibri" w:eastAsia="微软雅黑"/>
          <w:b/>
          <w:i w:val="0"/>
          <w:sz w:val="22"/>
        </w:rPr>
        <w:t>数据（Data）</w:t>
      </w:r>
      <w:r>
        <w:rPr>
          <w:rFonts w:ascii="Calibri" w:hAnsi="Calibri" w:eastAsia="微软雅黑"/>
          <w:b w:val="0"/>
          <w:i w:val="0"/>
          <w:sz w:val="22"/>
        </w:rPr>
        <w:t>：湖南辰溪抽水蓄能电站EPC总承包项目中标金额约53.06亿元，暂定工期2284日历天（约6.3年），由中南院与水电八局、水电七局组成联合体承建；中南院2023-2024年间还连续中标湖南炎陵罗萍江抽水蓄能电站和山东能源渤中海上风电基地B1项目EPC总承包（投标总报价6.679亿元）[来源: P000631]。</w:t>
      </w:r>
    </w:p>
    <w:p>
      <w:pPr>
        <w:pStyle w:val="ListBullet"/>
      </w:pPr>
      <w:r>
        <w:rPr>
          <w:rFonts w:ascii="Calibri" w:hAnsi="Calibri" w:eastAsia="微软雅黑"/>
          <w:b/>
          <w:i w:val="0"/>
          <w:sz w:val="22"/>
        </w:rPr>
        <w:t>动作（Action）</w:t>
      </w:r>
      <w:r>
        <w:rPr>
          <w:rFonts w:ascii="Calibri" w:hAnsi="Calibri" w:eastAsia="微软雅黑"/>
          <w:b w:val="0"/>
          <w:i w:val="0"/>
          <w:sz w:val="22"/>
        </w:rPr>
        <w:t>：针对超长建设周期采用阶段-门控管理法（Stage-Gate）——将项目分为多个阶段，每个阶段设置关键控制点（门），通过评审决定是否进入下一阶段；联合体层面建立内部协调与资源统筹机制，应对复杂地质条件与设备到货偏差 [来源: P000631]。</w:t>
      </w:r>
    </w:p>
    <w:p>
      <w:pPr>
        <w:pStyle w:val="ListBullet"/>
      </w:pPr>
      <w:r>
        <w:rPr>
          <w:rFonts w:ascii="Calibri" w:hAnsi="Calibri" w:eastAsia="微软雅黑"/>
          <w:b/>
          <w:i w:val="0"/>
          <w:sz w:val="22"/>
        </w:rPr>
        <w:t>结果（Result）</w:t>
      </w:r>
      <w:r>
        <w:rPr>
          <w:rFonts w:ascii="Calibri" w:hAnsi="Calibri" w:eastAsia="微软雅黑"/>
          <w:b w:val="0"/>
          <w:i w:val="0"/>
          <w:sz w:val="22"/>
        </w:rPr>
        <w:t>：在六年以上的履约周期中，以"阶段过门"机制化解大宗材料价格波动与复杂地质变化引发的进度与成本偏差风险，保障特大型能源工程平稳推进（结果表述为本研究据源文归纳）[来源: P000631]。</w:t>
      </w:r>
    </w:p>
    <w:p>
      <w:pPr>
        <w:pStyle w:val="Heading3"/>
      </w:pPr>
      <w:r>
        <w:t>7.3.3 可执行方法：过程纠偏"四步法"（本研究归纳，示意性复盘）</w:t>
      </w:r>
    </w:p>
    <w:p>
      <w:pPr>
        <w:pStyle w:val="ListNumber"/>
      </w:pPr>
      <w:r>
        <w:rPr>
          <w:rFonts w:ascii="Calibri" w:hAnsi="Calibri" w:eastAsia="微软雅黑"/>
          <w:b/>
          <w:i w:val="0"/>
          <w:sz w:val="22"/>
        </w:rPr>
        <w:t>第一步：建立进度与成本基准线</w:t>
      </w:r>
      <w:r>
        <w:rPr>
          <w:rFonts w:ascii="Calibri" w:hAnsi="Calibri" w:eastAsia="微软雅黑"/>
          <w:b w:val="0"/>
          <w:i w:val="0"/>
          <w:sz w:val="22"/>
        </w:rPr>
        <w:t>。编制基于WBS/CBS的项目总进度计划、月度计划与责任成本预算，在项目管理信息系统中录入基准数据，锁定计划价值与预算单价基准 [来源: P000621]。</w:t>
      </w:r>
    </w:p>
    <w:p>
      <w:pPr>
        <w:pStyle w:val="ListNumber"/>
      </w:pPr>
      <w:r>
        <w:rPr>
          <w:rFonts w:ascii="Calibri" w:hAnsi="Calibri" w:eastAsia="微软雅黑"/>
          <w:b/>
          <w:i w:val="0"/>
          <w:sz w:val="22"/>
        </w:rPr>
        <w:t>第二步：定期归集实际成本与挣值核算</w:t>
      </w:r>
      <w:r>
        <w:rPr>
          <w:rFonts w:ascii="Calibri" w:hAnsi="Calibri" w:eastAsia="微软雅黑"/>
          <w:b w:val="0"/>
          <w:i w:val="0"/>
          <w:sz w:val="22"/>
        </w:rPr>
        <w:t>。实时归集已完成工程量的实际成本与已完工程预算价值，自动计算成本偏差、进度偏差及绩效指数（华陆、华东院均以EVM为标准工具）[来源: P000611, P000601]。</w:t>
      </w:r>
    </w:p>
    <w:p>
      <w:pPr>
        <w:pStyle w:val="ListNumber"/>
      </w:pPr>
      <w:r>
        <w:rPr>
          <w:rFonts w:ascii="Calibri" w:hAnsi="Calibri" w:eastAsia="微软雅黑"/>
          <w:b/>
          <w:i w:val="0"/>
          <w:sz w:val="22"/>
        </w:rPr>
        <w:t>第三步：触发预警与二因素归因</w:t>
      </w:r>
      <w:r>
        <w:rPr>
          <w:rFonts w:ascii="Calibri" w:hAnsi="Calibri" w:eastAsia="微软雅黑"/>
          <w:b w:val="0"/>
          <w:i w:val="0"/>
          <w:sz w:val="22"/>
        </w:rPr>
        <w:t>。设定成本与进度偏差预警阈值；对预警节点套用"量差+价差"公式拆解原因，判定偏差源自现场损耗超标还是采购价格上涨 [来源: P000621]。</w:t>
      </w:r>
    </w:p>
    <w:p>
      <w:pPr>
        <w:pStyle w:val="ListNumber"/>
      </w:pPr>
      <w:r>
        <w:rPr>
          <w:rFonts w:ascii="Calibri" w:hAnsi="Calibri" w:eastAsia="微软雅黑"/>
          <w:b/>
          <w:i w:val="0"/>
          <w:sz w:val="22"/>
        </w:rPr>
        <w:t>第四步：制定纠偏方案与复评验证</w:t>
      </w:r>
      <w:r>
        <w:rPr>
          <w:rFonts w:ascii="Calibri" w:hAnsi="Calibri" w:eastAsia="微软雅黑"/>
          <w:b w:val="0"/>
          <w:i w:val="0"/>
          <w:sz w:val="22"/>
        </w:rPr>
        <w:t>。针对量差优化施工方案、推行限额领料、提高工效、倒排关键路径；针对价差启动大宗集采调拨、索赔洽商或工程变更；纠偏指令下发后在下一核算周期复评绩效指标恢复情况（纠偏方向为本研究归纳，湖南院四维纠偏与三局动态控制链条为实证参照）[来源: P000616, P000621]。</w:t>
      </w:r>
    </w:p>
    <w:p>
      <w:r>
        <w:rPr>
          <w:rFonts w:ascii="Calibri" w:hAnsi="Calibri" w:eastAsia="微软雅黑"/>
          <w:b w:val="0"/>
          <w:i w:val="0"/>
          <w:sz w:val="22"/>
        </w:rPr>
        <w:t>---</w:t>
      </w:r>
    </w:p>
    <w:p>
      <w:pPr>
        <w:pStyle w:val="Heading2"/>
      </w:pPr>
      <w:r>
        <w:t>7.4 合同防御：总承包合同风险隔离与司法抗辩屏障</w:t>
      </w:r>
    </w:p>
    <w:p>
      <w:r>
        <w:rPr>
          <w:rFonts w:ascii="Calibri" w:hAnsi="Calibri" w:eastAsia="微软雅黑"/>
          <w:b w:val="0"/>
          <w:i w:val="0"/>
          <w:sz w:val="22"/>
        </w:rPr>
        <w:t>工程总承包合同是规范发承包双方权利义务、防范履约危机的法律基石。EPC模式责任范围广、风险敞口大，一旦缺乏严密的合同防御体系，承包商极易陷入业主无理扣款、范围无休止膨胀、分包商死守现场倒灌债务以及独立保函被恶意索赔等绝境。既有司法判例研究成果系统梳理了总承包合同纠纷的裁判规则，为承包商构筑了四条经最高人民法院与全国人大法工委裁判文书/规范文件背书的防御线（判例与规范文件均取自事实资料库实收的专项研究成果）[来源: P000653]。</w:t>
      </w:r>
    </w:p>
    <w:p>
      <w:pPr>
        <w:pStyle w:val="Heading3"/>
      </w:pPr>
      <w:r>
        <w:t>7.4.1 四大核心防御线与司法裁判规则</w:t>
      </w:r>
    </w:p>
    <w:p>
      <w:pPr>
        <w:pStyle w:val="Heading4"/>
      </w:pPr>
      <w:r>
        <w:t>表7-3 总承包合同四大防御线与裁判依据（据司法判例研究成果整理）[来源: P000653]</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防御线</w:t>
            </w:r>
          </w:p>
        </w:tc>
        <w:tc>
          <w:tcPr>
            <w:tcW w:type="dxa" w:w="2075"/>
            <w:shd w:fill="1F3A5F"/>
          </w:tcPr>
          <w:p>
            <w:r>
              <w:rPr>
                <w:color w:val="FFFFFF"/>
              </w:rPr>
            </w:r>
            <w:r>
              <w:rPr>
                <w:rFonts w:ascii="Calibri" w:hAnsi="Calibri" w:eastAsia="微软雅黑"/>
                <w:b/>
                <w:i w:val="0"/>
                <w:color w:val="FFFFFF"/>
                <w:sz w:val="18"/>
              </w:rPr>
              <w:t>对应风险场景</w:t>
            </w:r>
          </w:p>
        </w:tc>
        <w:tc>
          <w:tcPr>
            <w:tcW w:type="dxa" w:w="2075"/>
            <w:shd w:fill="1F3A5F"/>
          </w:tcPr>
          <w:p>
            <w:r>
              <w:rPr>
                <w:color w:val="FFFFFF"/>
              </w:rPr>
            </w:r>
            <w:r>
              <w:rPr>
                <w:rFonts w:ascii="Calibri" w:hAnsi="Calibri" w:eastAsia="微软雅黑"/>
                <w:b/>
                <w:i w:val="0"/>
                <w:color w:val="FFFFFF"/>
                <w:sz w:val="18"/>
              </w:rPr>
              <w:t>裁判/规范依据</w:t>
            </w:r>
          </w:p>
        </w:tc>
        <w:tc>
          <w:tcPr>
            <w:tcW w:type="dxa" w:w="2075"/>
            <w:shd w:fill="1F3A5F"/>
          </w:tcPr>
          <w:p>
            <w:r>
              <w:rPr>
                <w:color w:val="FFFFFF"/>
              </w:rPr>
            </w:r>
            <w:r>
              <w:rPr>
                <w:rFonts w:ascii="Calibri" w:hAnsi="Calibri" w:eastAsia="微软雅黑"/>
                <w:b/>
                <w:i w:val="0"/>
                <w:color w:val="FFFFFF"/>
                <w:sz w:val="18"/>
              </w:rPr>
              <w:t>核心规则</w:t>
            </w:r>
          </w:p>
        </w:tc>
      </w:tr>
      <w:tr>
        <w:tc>
          <w:tcPr>
            <w:tcW w:type="dxa" w:w="2075"/>
          </w:tcPr>
          <w:p>
            <w:r/>
            <w:r>
              <w:rPr>
                <w:rFonts w:ascii="Calibri" w:hAnsi="Calibri" w:eastAsia="微软雅黑"/>
                <w:b w:val="0"/>
                <w:i w:val="0"/>
                <w:sz w:val="18"/>
              </w:rPr>
              <w:t>节点技术文件交验与先履行抗辩权</w:t>
            </w:r>
          </w:p>
        </w:tc>
        <w:tc>
          <w:tcPr>
            <w:tcW w:type="dxa" w:w="2075"/>
          </w:tcPr>
          <w:p>
            <w:r/>
            <w:r>
              <w:rPr>
                <w:rFonts w:ascii="Calibri" w:hAnsi="Calibri" w:eastAsia="微软雅黑"/>
                <w:b w:val="0"/>
                <w:i w:val="0"/>
                <w:sz w:val="18"/>
              </w:rPr>
              <w:t>发包人以技术文件不全为由拒付节点款；承包商需隔离下游质量风险</w:t>
            </w:r>
          </w:p>
        </w:tc>
        <w:tc>
          <w:tcPr>
            <w:tcW w:type="dxa" w:w="2075"/>
          </w:tcPr>
          <w:p>
            <w:r/>
            <w:r>
              <w:rPr>
                <w:rFonts w:ascii="Calibri" w:hAnsi="Calibri" w:eastAsia="微软雅黑"/>
                <w:b w:val="0"/>
                <w:i w:val="0"/>
                <w:sz w:val="18"/>
              </w:rPr>
              <w:t>(2016)最高法民终695号（陕西达华电力与陇川鸿宇安生物质发电厂EPC总承包合同纠纷案）</w:t>
            </w:r>
          </w:p>
        </w:tc>
        <w:tc>
          <w:tcPr>
            <w:tcW w:type="dxa" w:w="2075"/>
          </w:tcPr>
          <w:p>
            <w:r/>
            <w:r>
              <w:rPr>
                <w:rFonts w:ascii="Calibri" w:hAnsi="Calibri" w:eastAsia="微软雅黑"/>
                <w:b w:val="0"/>
                <w:i w:val="0"/>
                <w:sz w:val="18"/>
              </w:rPr>
              <w:t>工程总承包项目包含大量设备采购与技术交付，技术文件的审查交验是发包人付款的前提条件；总包商未按约提供关键技术文件时，发包人行使先履行抗辩权拒付节点工程款不构成违约</w:t>
            </w:r>
          </w:p>
        </w:tc>
      </w:tr>
      <w:tr>
        <w:tc>
          <w:tcPr>
            <w:tcW w:type="dxa" w:w="2075"/>
          </w:tcPr>
          <w:p>
            <w:r/>
            <w:r>
              <w:rPr>
                <w:rFonts w:ascii="Calibri" w:hAnsi="Calibri" w:eastAsia="微软雅黑"/>
                <w:b w:val="0"/>
                <w:i w:val="0"/>
                <w:sz w:val="18"/>
              </w:rPr>
              <w:t>主分包合同联动解除与物权清退</w:t>
            </w:r>
          </w:p>
        </w:tc>
        <w:tc>
          <w:tcPr>
            <w:tcW w:type="dxa" w:w="2075"/>
          </w:tcPr>
          <w:p>
            <w:r/>
            <w:r>
              <w:rPr>
                <w:rFonts w:ascii="Calibri" w:hAnsi="Calibri" w:eastAsia="微软雅黑"/>
                <w:b w:val="0"/>
                <w:i w:val="0"/>
                <w:sz w:val="18"/>
              </w:rPr>
              <w:t>主合同解除后分包商以"分包合同独立"或"自身受损"为由强占现场</w:t>
            </w:r>
          </w:p>
        </w:tc>
        <w:tc>
          <w:tcPr>
            <w:tcW w:type="dxa" w:w="2075"/>
          </w:tcPr>
          <w:p>
            <w:r/>
            <w:r>
              <w:rPr>
                <w:rFonts w:ascii="Calibri" w:hAnsi="Calibri" w:eastAsia="微软雅黑"/>
                <w:b w:val="0"/>
                <w:i w:val="0"/>
                <w:sz w:val="18"/>
              </w:rPr>
              <w:t>(2016)最高法民再53号（通用公司与三星公司、土木公司EPC分包合同纠纷案）</w:t>
            </w:r>
          </w:p>
        </w:tc>
        <w:tc>
          <w:tcPr>
            <w:tcW w:type="dxa" w:w="2075"/>
          </w:tcPr>
          <w:p>
            <w:r/>
            <w:r>
              <w:rPr>
                <w:rFonts w:ascii="Calibri" w:hAnsi="Calibri" w:eastAsia="微软雅黑"/>
                <w:b w:val="0"/>
                <w:i w:val="0"/>
                <w:sz w:val="18"/>
              </w:rPr>
              <w:t>总包合同与分包合同虽为独立合同，但总包合同是分包合同的前提和基础；总包合同解除必然引致分包合同解除且解除时间同步；分包商对总包商的债权抗辩不能对抗发包人对施工现场的物权</w:t>
            </w:r>
          </w:p>
        </w:tc>
      </w:tr>
      <w:tr>
        <w:tc>
          <w:tcPr>
            <w:tcW w:type="dxa" w:w="2075"/>
          </w:tcPr>
          <w:p>
            <w:r/>
            <w:r>
              <w:rPr>
                <w:rFonts w:ascii="Calibri" w:hAnsi="Calibri" w:eastAsia="微软雅黑"/>
                <w:b w:val="0"/>
                <w:i w:val="0"/>
                <w:sz w:val="18"/>
              </w:rPr>
              <w:t>规避强制行政审计拖延结算</w:t>
            </w:r>
          </w:p>
        </w:tc>
        <w:tc>
          <w:tcPr>
            <w:tcW w:type="dxa" w:w="2075"/>
          </w:tcPr>
          <w:p>
            <w:r/>
            <w:r>
              <w:rPr>
                <w:rFonts w:ascii="Calibri" w:hAnsi="Calibri" w:eastAsia="微软雅黑"/>
                <w:b w:val="0"/>
                <w:i w:val="0"/>
                <w:sz w:val="18"/>
              </w:rPr>
              <w:t>政府投资项目中发包人以"行政审计未完成"为由无限期拖延结算</w:t>
            </w:r>
          </w:p>
        </w:tc>
        <w:tc>
          <w:tcPr>
            <w:tcW w:type="dxa" w:w="2075"/>
          </w:tcPr>
          <w:p>
            <w:r/>
            <w:r>
              <w:rPr>
                <w:rFonts w:ascii="Calibri" w:hAnsi="Calibri" w:eastAsia="微软雅黑"/>
                <w:b w:val="0"/>
                <w:i w:val="0"/>
                <w:sz w:val="18"/>
              </w:rPr>
              <w:t>法工委函〔2017〕2号；(2012)民提字第205号（重庆勇创实业与重庆市同兴工业园区案）</w:t>
            </w:r>
          </w:p>
        </w:tc>
        <w:tc>
          <w:tcPr>
            <w:tcW w:type="dxa" w:w="2075"/>
          </w:tcPr>
          <w:p>
            <w:r/>
            <w:r>
              <w:rPr>
                <w:rFonts w:ascii="Calibri" w:hAnsi="Calibri" w:eastAsia="微软雅黑"/>
                <w:b w:val="0"/>
                <w:i w:val="0"/>
                <w:sz w:val="18"/>
              </w:rPr>
              <w:t>地方性法规强制要求以审计结果作为结算依据的条款属于限制民事权利，应予清理纠正；即使合同约定以审计结果为准，审计机关也必须严格按照合同约定的计价标准和方法审计，背离合同计价标准的审计报告不能作为结算依据</w:t>
            </w:r>
          </w:p>
        </w:tc>
      </w:tr>
      <w:tr>
        <w:tc>
          <w:tcPr>
            <w:tcW w:type="dxa" w:w="2075"/>
          </w:tcPr>
          <w:p>
            <w:r/>
            <w:r>
              <w:rPr>
                <w:rFonts w:ascii="Calibri" w:hAnsi="Calibri" w:eastAsia="微软雅黑"/>
                <w:b w:val="0"/>
                <w:i w:val="0"/>
                <w:sz w:val="18"/>
              </w:rPr>
              <w:t>境外独立保函止付与介入权防范</w:t>
            </w:r>
          </w:p>
        </w:tc>
        <w:tc>
          <w:tcPr>
            <w:tcW w:type="dxa" w:w="2075"/>
          </w:tcPr>
          <w:p>
            <w:r/>
            <w:r>
              <w:rPr>
                <w:rFonts w:ascii="Calibri" w:hAnsi="Calibri" w:eastAsia="微软雅黑"/>
                <w:b w:val="0"/>
                <w:i w:val="0"/>
                <w:sz w:val="18"/>
              </w:rPr>
              <w:t>涉外项目中发包人或第三方利用独立保函单据化特征恶意索赔</w:t>
            </w:r>
          </w:p>
        </w:tc>
        <w:tc>
          <w:tcPr>
            <w:tcW w:type="dxa" w:w="2075"/>
          </w:tcPr>
          <w:p>
            <w:r/>
            <w:r>
              <w:rPr>
                <w:rFonts w:ascii="Calibri" w:hAnsi="Calibri" w:eastAsia="微软雅黑"/>
                <w:b w:val="0"/>
                <w:i w:val="0"/>
                <w:sz w:val="18"/>
              </w:rPr>
              <w:t>法释〔2016〕24号第12条、第18条；(2017)川民终72号（中机公司与华西能源危地马拉电站保函纠纷案）</w:t>
            </w:r>
          </w:p>
        </w:tc>
        <w:tc>
          <w:tcPr>
            <w:tcW w:type="dxa" w:w="2075"/>
          </w:tcPr>
          <w:p>
            <w:r/>
            <w:r>
              <w:rPr>
                <w:rFonts w:ascii="Calibri" w:hAnsi="Calibri" w:eastAsia="微软雅黑"/>
                <w:b w:val="0"/>
                <w:i w:val="0"/>
                <w:sz w:val="18"/>
              </w:rPr>
              <w:t>法院审理保函欺诈时可对基础交易进行有限度审查；受益人明知分包商已依三方介入协议向业主履行合同、无违约事实，仍主张违约索赔保函，属"明知无索赔事实而滥用权利"，构成独立保函欺诈，依法终止支付保函项下款项</w:t>
            </w:r>
          </w:p>
        </w:tc>
      </w:tr>
    </w:tbl>
    <w:p>
      <w:r>
        <w:rPr>
          <w:rFonts w:ascii="Calibri" w:hAnsi="Calibri" w:eastAsia="微软雅黑"/>
          <w:b w:val="0"/>
          <w:i w:val="0"/>
          <w:sz w:val="22"/>
        </w:rPr>
        <w:t>四条防御线的攻防要点解读如下（解读为本研究归纳，裁判事实取自源文）：</w:t>
      </w:r>
    </w:p>
    <w:p>
      <w:pPr>
        <w:pStyle w:val="ListNumber"/>
      </w:pPr>
      <w:r>
        <w:rPr>
          <w:rFonts w:ascii="Calibri" w:hAnsi="Calibri" w:eastAsia="微软雅黑"/>
          <w:b/>
          <w:i w:val="0"/>
          <w:sz w:val="22"/>
        </w:rPr>
        <w:t>先履行抗辩权的双向运用</w:t>
      </w:r>
      <w:r>
        <w:rPr>
          <w:rFonts w:ascii="Calibri" w:hAnsi="Calibri" w:eastAsia="微软雅黑"/>
          <w:b w:val="0"/>
          <w:i w:val="0"/>
          <w:sz w:val="22"/>
        </w:rPr>
        <w:t>。在(2016)最高法民终695号案中，最高人民法院认定发包人有权以总包商未提交关键技术文件为由行使先履行抗辩权——这一规则对承包商的启示是双向的：一方面，主合同中应将里程碑节点进度款支付与承包商提交"过程技术交验文件"（设备工厂试验记录、质量控制计划等）的义务精确对应，避免因文件瑕疵丧失收款权；另一方面，总承包商可在分包合同中将分包商提交合格技术文件设定为支付分包款的前置条件，把下游质量风险隔离在付款闸门之外 [来源: P000653]。</w:t>
      </w:r>
    </w:p>
    <w:p>
      <w:pPr>
        <w:pStyle w:val="ListNumber"/>
      </w:pPr>
      <w:r>
        <w:rPr>
          <w:rFonts w:ascii="Calibri" w:hAnsi="Calibri" w:eastAsia="微软雅黑"/>
          <w:b/>
          <w:i w:val="0"/>
          <w:sz w:val="22"/>
        </w:rPr>
        <w:t>主分包同步解除与限期撤场条款</w:t>
      </w:r>
      <w:r>
        <w:rPr>
          <w:rFonts w:ascii="Calibri" w:hAnsi="Calibri" w:eastAsia="微软雅黑"/>
          <w:b w:val="0"/>
          <w:i w:val="0"/>
          <w:sz w:val="22"/>
        </w:rPr>
        <w:t>。(2016)最高法民再53号案中，业主通用公司与总包商三星公司签订南沙项目EPC总承包合同，三星公司将土建分包给土木公司；后主合同解除，三星公司通知分包商退场，土木公司以分包合同独立且自身受损为由死守现场，纠纷持续长达10年 [来源: P000653]。最高人民法院提审认定总包合同解除必然引致分包合同同步解除，分包商无权继续占有现场。据此，分包合同中必须订明"主合同解除即触发分包合同自动终止""无条件限期撤场"及违约强占现场赔偿责任，彻底封堵分包商强占现场的通道（条款建议为本研究归纳）[来源: P000653]。</w:t>
      </w:r>
    </w:p>
    <w:p>
      <w:pPr>
        <w:pStyle w:val="ListNumber"/>
      </w:pPr>
      <w:r>
        <w:rPr>
          <w:rFonts w:ascii="Calibri" w:hAnsi="Calibri" w:eastAsia="微软雅黑"/>
          <w:b/>
          <w:i w:val="0"/>
          <w:sz w:val="22"/>
        </w:rPr>
        <w:t>行政审计条款的清理与反制</w:t>
      </w:r>
      <w:r>
        <w:rPr>
          <w:rFonts w:ascii="Calibri" w:hAnsi="Calibri" w:eastAsia="微软雅黑"/>
          <w:b w:val="0"/>
          <w:i w:val="0"/>
          <w:sz w:val="22"/>
        </w:rPr>
        <w:t>。全国人大常委会法工委《法工委函〔2017〕2号》明确地方性法规中强制以审计结果作为结算依据的条款应予清理纠正；(2012)民提字第205号案进一步确立"审计必须严格按合同约定的计价标准和方法进行"的规则——审计报告若背离合同约定计价标准，不能作为结算依据，当事人有权申请按合同约定重新鉴定结算 [来源: P000653]。</w:t>
      </w:r>
    </w:p>
    <w:p>
      <w:pPr>
        <w:pStyle w:val="ListNumber"/>
      </w:pPr>
      <w:r>
        <w:rPr>
          <w:rFonts w:ascii="Calibri" w:hAnsi="Calibri" w:eastAsia="微软雅黑"/>
          <w:b/>
          <w:i w:val="0"/>
          <w:sz w:val="22"/>
        </w:rPr>
        <w:t>独立保函欺诈止付的证据准备</w:t>
      </w:r>
      <w:r>
        <w:rPr>
          <w:rFonts w:ascii="Calibri" w:hAnsi="Calibri" w:eastAsia="微软雅黑"/>
          <w:b w:val="0"/>
          <w:i w:val="0"/>
          <w:sz w:val="22"/>
        </w:rPr>
        <w:t>。(2017)川民终72号案涉及危地马拉2×15MW电站、金额1.8亿元的《锅炉供货和服务合同》保函纠纷：分包商已依三方介入协议向业主履行合同且无违约事实，发包人与第三方仍恶意索赔独立保函；法院依据法释〔2016〕24号第12条与第18条对基础交易有限度审查，认定受益人"明知无索赔事实而滥用权利"，构成独立保函欺诈，判决终止支付保函项下款项 [来源: P000653]。该案的实操价值在于：承包商平时即应建立现场履约过程日志、试验交验记录及第三方检验报告的动态证据库，一旦遭遇恶意索赔，即可凭完整证据链申请司法止付（证据链建议为本研究归纳）。</w:t>
      </w:r>
    </w:p>
    <w:p>
      <w:pPr>
        <w:pStyle w:val="Heading3"/>
      </w:pPr>
      <w:r>
        <w:t>7.4.2 标杆企业合同防御实操案例</w:t>
      </w:r>
    </w:p>
    <w:p>
      <w:pPr>
        <w:pStyle w:val="Heading4"/>
      </w:pPr>
      <w:r>
        <w:t>案例一：上海市政总院——接口标准化与证据链管理 [来源: P000606]</w:t>
      </w:r>
    </w:p>
    <w:p>
      <w:pPr>
        <w:pStyle w:val="ListBullet"/>
      </w:pPr>
      <w:r>
        <w:rPr>
          <w:rFonts w:ascii="Calibri" w:hAnsi="Calibri" w:eastAsia="微软雅黑"/>
          <w:b/>
          <w:i w:val="0"/>
          <w:sz w:val="22"/>
        </w:rPr>
        <w:t>数据（Data）</w:t>
      </w:r>
      <w:r>
        <w:rPr>
          <w:rFonts w:ascii="Calibri" w:hAnsi="Calibri" w:eastAsia="微软雅黑"/>
          <w:b w:val="0"/>
          <w:i w:val="0"/>
          <w:sz w:val="22"/>
        </w:rPr>
        <w:t>：市政总院在武汉左岭污水厂二厂EPC项目中设立了合同商务组，与设计管理组、采购管理组、施工管理组、质量安全组并列，形成覆盖合同全生命周期的项目管理体系 [来源: P000606]。</w:t>
      </w:r>
    </w:p>
    <w:p>
      <w:pPr>
        <w:pStyle w:val="ListBullet"/>
      </w:pPr>
      <w:r>
        <w:rPr>
          <w:rFonts w:ascii="Calibri" w:hAnsi="Calibri" w:eastAsia="微软雅黑"/>
          <w:b/>
          <w:i w:val="0"/>
          <w:sz w:val="22"/>
        </w:rPr>
        <w:t>动作（Action）</w:t>
      </w:r>
      <w:r>
        <w:rPr>
          <w:rFonts w:ascii="Calibri" w:hAnsi="Calibri" w:eastAsia="微软雅黑"/>
          <w:b w:val="0"/>
          <w:i w:val="0"/>
          <w:sz w:val="22"/>
        </w:rPr>
        <w:t>：制定详细的跨部门工作流程和接口标准，明确各部门职责和工作界面，建立问题快速响应机制；对发包人指令、会议纪要、往来函件等履约过程文件实行标准化归档管理（归档机制描述为本研究据源文归纳）[来源: P000606]。</w:t>
      </w:r>
    </w:p>
    <w:p>
      <w:pPr>
        <w:pStyle w:val="ListBullet"/>
      </w:pPr>
      <w:r>
        <w:rPr>
          <w:rFonts w:ascii="Calibri" w:hAnsi="Calibri" w:eastAsia="微软雅黑"/>
          <w:b/>
          <w:i w:val="0"/>
          <w:sz w:val="22"/>
        </w:rPr>
        <w:t>结果（Result）</w:t>
      </w:r>
      <w:r>
        <w:rPr>
          <w:rFonts w:ascii="Calibri" w:hAnsi="Calibri" w:eastAsia="微软雅黑"/>
          <w:b w:val="0"/>
          <w:i w:val="0"/>
          <w:sz w:val="22"/>
        </w:rPr>
        <w:t>：跨部门协作机制确保了复杂水务改造项目的顺利进行和目标实现，为变更与索赔提供了完整的证据基础 [来源: P000606]。</w:t>
      </w:r>
    </w:p>
    <w:p>
      <w:pPr>
        <w:pStyle w:val="Heading4"/>
      </w:pPr>
      <w:r>
        <w:t>案例二：华东院——矩阵式项目组织与全过程合同管理 [来源: P000601]</w:t>
      </w:r>
    </w:p>
    <w:p>
      <w:pPr>
        <w:pStyle w:val="ListBullet"/>
      </w:pPr>
      <w:r>
        <w:rPr>
          <w:rFonts w:ascii="Calibri" w:hAnsi="Calibri" w:eastAsia="微软雅黑"/>
          <w:b/>
          <w:i w:val="0"/>
          <w:sz w:val="22"/>
        </w:rPr>
        <w:t>数据（Data）</w:t>
      </w:r>
      <w:r>
        <w:rPr>
          <w:rFonts w:ascii="Calibri" w:hAnsi="Calibri" w:eastAsia="微软雅黑"/>
          <w:b w:val="0"/>
          <w:i w:val="0"/>
          <w:sz w:val="22"/>
        </w:rPr>
        <w:t>：华东院EPC项目采用矩阵式组织结构，由项目经理负责项目全面管理，团队由设计、采购、施工、调试等专业人员组成，并设立项目管理办公室（PMO）负责协调和管理支持 [来源: P000601]。</w:t>
      </w:r>
    </w:p>
    <w:p>
      <w:pPr>
        <w:pStyle w:val="ListBullet"/>
      </w:pPr>
      <w:r>
        <w:rPr>
          <w:rFonts w:ascii="Calibri" w:hAnsi="Calibri" w:eastAsia="微软雅黑"/>
          <w:b/>
          <w:i w:val="0"/>
          <w:sz w:val="22"/>
        </w:rPr>
        <w:t>动作（Action）</w:t>
      </w:r>
      <w:r>
        <w:rPr>
          <w:rFonts w:ascii="Calibri" w:hAnsi="Calibri" w:eastAsia="微软雅黑"/>
          <w:b w:val="0"/>
          <w:i w:val="0"/>
          <w:sz w:val="22"/>
        </w:rPr>
        <w:t>：将设计、采购、施工、调试等各环节集成管理，确保项目整体协调；项目全生命周期八阶段中，每一阶段均明确管理重点与关键卡点——启动阶段锁定投标决策、报价审核、合同评审三大控制点，合同风险控制位列管理重点 [来源: P000601]。</w:t>
      </w:r>
    </w:p>
    <w:p>
      <w:pPr>
        <w:pStyle w:val="ListBullet"/>
      </w:pPr>
      <w:r>
        <w:rPr>
          <w:rFonts w:ascii="Calibri" w:hAnsi="Calibri" w:eastAsia="微软雅黑"/>
          <w:b/>
          <w:i w:val="0"/>
          <w:sz w:val="22"/>
        </w:rPr>
        <w:t>结果（Result）</w:t>
      </w:r>
      <w:r>
        <w:rPr>
          <w:rFonts w:ascii="Calibri" w:hAnsi="Calibri" w:eastAsia="微软雅黑"/>
          <w:b w:val="0"/>
          <w:i w:val="0"/>
          <w:sz w:val="22"/>
        </w:rPr>
        <w:t>：集成管理＋专业化分工＋协同化运作＋数字化支撑的管理模式，使合同履约风险在各阶段关口得到受控（结果表述为本研究据源文归纳）[来源: P000601]。</w:t>
      </w:r>
    </w:p>
    <w:p>
      <w:r>
        <w:rPr>
          <w:rFonts w:ascii="Calibri" w:hAnsi="Calibri" w:eastAsia="微软雅黑"/>
          <w:b w:val="0"/>
          <w:i w:val="0"/>
          <w:sz w:val="22"/>
        </w:rPr>
        <w:t>关口管理的要义在于"过口必留痕"。每个阶段关口除了评审当期成果，还要盘点上一关口遗留事项的消化情况；遗留项越滚越多的项目，问题多半不在当期执行，而在关口本身形同虚设。把关口开成走过场的仪式，还不如不开——真正起作用的关口会，议程短、裁决快、责任落名到岗（关口用法为本研究建议）。</w:t>
      </w:r>
    </w:p>
    <w:p>
      <w:r>
        <w:rPr>
          <w:rFonts w:ascii="Calibri" w:hAnsi="Calibri" w:eastAsia="微软雅黑"/>
          <w:b w:val="0"/>
          <w:i w:val="0"/>
          <w:sz w:val="22"/>
        </w:rPr>
        <w:t>项目管理办公室的虚实，看它有没有裁决权。只排会议、发纪要的，是秘书处；能在专业争执久拖不决时限期裁断、能把跨部门资源直接调动的，才是真中枢。设而不授的办公室，反而给项目多添了一层请示环节（虚实之辨为本研究解读）。</w:t>
      </w:r>
    </w:p>
    <w:p>
      <w:pPr>
        <w:pStyle w:val="Heading4"/>
      </w:pPr>
      <w:r>
        <w:t>案例三：中建三局——风险穿透与"红黄牌"预警 [来源: P000621]</w:t>
      </w:r>
    </w:p>
    <w:p>
      <w:pPr>
        <w:pStyle w:val="ListBullet"/>
      </w:pPr>
      <w:r>
        <w:rPr>
          <w:rFonts w:ascii="Calibri" w:hAnsi="Calibri" w:eastAsia="微软雅黑"/>
          <w:b/>
          <w:i w:val="0"/>
          <w:sz w:val="22"/>
        </w:rPr>
        <w:t>数据（Action合并）</w:t>
      </w:r>
      <w:r>
        <w:rPr>
          <w:rFonts w:ascii="Calibri" w:hAnsi="Calibri" w:eastAsia="微软雅黑"/>
          <w:b w:val="0"/>
          <w:i w:val="0"/>
          <w:sz w:val="22"/>
        </w:rPr>
        <w:t>：中建三局在重大EPC项目中设置专职项目风险经理，负责项目风险管理；实行"红黄牌"预警制度——对出现严重问题或风险的项目发出"黄牌警告"或"红牌停工"，强化风险管控；同时组建巡检小组对项目进行不定期巡检，及时发现和纠正问题 [来源: P000621]。</w:t>
      </w:r>
    </w:p>
    <w:p>
      <w:pPr>
        <w:pStyle w:val="ListBullet"/>
      </w:pPr>
      <w:r>
        <w:rPr>
          <w:rFonts w:ascii="Calibri" w:hAnsi="Calibri" w:eastAsia="微软雅黑"/>
          <w:b/>
          <w:i w:val="0"/>
          <w:sz w:val="22"/>
        </w:rPr>
        <w:t>结果（Result）</w:t>
      </w:r>
      <w:r>
        <w:rPr>
          <w:rFonts w:ascii="Calibri" w:hAnsi="Calibri" w:eastAsia="微软雅黑"/>
          <w:b w:val="0"/>
          <w:i w:val="0"/>
          <w:sz w:val="22"/>
        </w:rPr>
        <w:t>：风险经理制度、红黄牌预警与巡检制度三件套，构成总部对众多EPC项目的精细化风险穿透与动态管控体系（结果表述为本研究据源文归纳）[来源: P000621]。</w:t>
      </w:r>
    </w:p>
    <w:p>
      <w:r>
        <w:rPr>
          <w:rFonts w:ascii="Calibri" w:hAnsi="Calibri" w:eastAsia="微软雅黑"/>
          <w:b w:val="0"/>
          <w:i w:val="0"/>
          <w:sz w:val="22"/>
        </w:rPr>
        <w:t>这套穿透机制的妙处，在于把"总部管得着"与"项目听得进"接到同一张桌上：风险经理不在现场坐班，却握有直通高层的报告专线；红黄牌不是处分文书，而是给项目照镜子的节拍器。企业移植这套做法时，最容易走样的环节是授权——风险经理若只有提醒权、没有叫停权，制度便退化为传声筒；反过来，若动辄亮牌、不分轻重，项目团队又会学会带病闯关。宽严之间的分寸，取决于总部的分级标准定得是否清楚（以上为本研究解读）。</w:t>
      </w:r>
    </w:p>
    <w:p>
      <w:pPr>
        <w:pStyle w:val="Heading3"/>
      </w:pPr>
      <w:r>
        <w:t>7.4.3 可执行方法：合同防御"四步法"（本研究归纳，示意性复盘）</w:t>
      </w:r>
    </w:p>
    <w:p>
      <w:pPr>
        <w:pStyle w:val="ListNumber"/>
      </w:pPr>
      <w:r>
        <w:rPr>
          <w:rFonts w:ascii="Calibri" w:hAnsi="Calibri" w:eastAsia="微软雅黑"/>
          <w:b/>
          <w:i w:val="0"/>
          <w:sz w:val="22"/>
        </w:rPr>
        <w:t>第一步：签约前风险审查与条款标准锁定</w:t>
      </w:r>
      <w:r>
        <w:rPr>
          <w:rFonts w:ascii="Calibri" w:hAnsi="Calibri" w:eastAsia="微软雅黑"/>
          <w:b w:val="0"/>
          <w:i w:val="0"/>
          <w:sz w:val="22"/>
        </w:rPr>
        <w:t>。严格排查"无条件以行政审计为准""发包人任意解除且不补偿""无上限违约金"等霸王条款；在合同中将"节点技术文件交验为付款先决条件"与"严格按本合同计价方法审计"双向写死（裁判依据见上表明细）[来源: P000653]。</w:t>
      </w:r>
    </w:p>
    <w:p>
      <w:pPr>
        <w:pStyle w:val="ListNumber"/>
      </w:pPr>
      <w:r>
        <w:rPr>
          <w:rFonts w:ascii="Calibri" w:hAnsi="Calibri" w:eastAsia="微软雅黑"/>
          <w:b/>
          <w:i w:val="0"/>
          <w:sz w:val="22"/>
        </w:rPr>
        <w:t>第二步：分包合同风险隔离</w:t>
      </w:r>
      <w:r>
        <w:rPr>
          <w:rFonts w:ascii="Calibri" w:hAnsi="Calibri" w:eastAsia="微软雅黑"/>
          <w:b w:val="0"/>
          <w:i w:val="0"/>
          <w:sz w:val="22"/>
        </w:rPr>
        <w:t>。在所有分包合同中写入"主合同解除即触发分包自动终止""无条件限期撤场"条款，订明分包商放弃以债权抗辩占有现场的法律承诺并设定违约责任（依据(2016)最高法民再53号裁判规则）[来源: P000653]。</w:t>
      </w:r>
    </w:p>
    <w:p>
      <w:pPr>
        <w:pStyle w:val="ListNumber"/>
      </w:pPr>
      <w:r>
        <w:rPr>
          <w:rFonts w:ascii="Calibri" w:hAnsi="Calibri" w:eastAsia="微软雅黑"/>
          <w:b/>
          <w:i w:val="0"/>
          <w:sz w:val="22"/>
        </w:rPr>
        <w:t>第三步：履约全过程动态证据链归集</w:t>
      </w:r>
      <w:r>
        <w:rPr>
          <w:rFonts w:ascii="Calibri" w:hAnsi="Calibri" w:eastAsia="微软雅黑"/>
          <w:b w:val="0"/>
          <w:i w:val="0"/>
          <w:sz w:val="22"/>
        </w:rPr>
        <w:t>。项目部设立专职商务法务岗，对发包人指令、会议纪要、施工日志、现场影像实行标准化编号归档；针对发包人原因造成的停工、变更或指令迟延，在合同约定期限内发出书面索赔通知（机制设计为本研究归纳，市政总院合同商务组实践为参照）[来源: P000606]。</w:t>
      </w:r>
    </w:p>
    <w:p>
      <w:pPr>
        <w:pStyle w:val="ListNumber"/>
      </w:pPr>
      <w:r>
        <w:rPr>
          <w:rFonts w:ascii="Calibri" w:hAnsi="Calibri" w:eastAsia="微软雅黑"/>
          <w:b/>
          <w:i w:val="0"/>
          <w:sz w:val="22"/>
        </w:rPr>
        <w:t>第四步：保函欺诈与司法止付预案</w:t>
      </w:r>
      <w:r>
        <w:rPr>
          <w:rFonts w:ascii="Calibri" w:hAnsi="Calibri" w:eastAsia="微软雅黑"/>
          <w:b w:val="0"/>
          <w:i w:val="0"/>
          <w:sz w:val="22"/>
        </w:rPr>
        <w:t>。建立独立保函开立与索赔预警机制，密切跟踪发包人履约与财务状况；预先准备符合法释〔2016〕24号要求的欺诈止付举证材料，确保恶意索赔发生时能凭完整证据链及时启动司法止付（依据(2017)川民终72号案与司法解释）[来源: P000653]。</w:t>
      </w:r>
    </w:p>
    <w:p>
      <w:r>
        <w:rPr>
          <w:rFonts w:ascii="Calibri" w:hAnsi="Calibri" w:eastAsia="微软雅黑"/>
          <w:b w:val="0"/>
          <w:i w:val="0"/>
          <w:sz w:val="22"/>
        </w:rPr>
        <w:t>防御条款的生命力取决于签约前的耐心。谈判桌上舍不得争的字句，到了诉讼桌上都要加倍偿还；反过来，把交验条件、计价口径、审计边界逐条谈清，哪怕让掉些许单价，也远比留着隐患划算。老练的商务团队评审合同时先找"没写的字"——缺收尾时限的验收、无累计上限的罚则、无救济通道的解除权，这些空白处正是日后纠纷的温床（读约心法为本研究建议）。</w:t>
      </w:r>
    </w:p>
    <w:p>
      <w:r>
        <w:rPr>
          <w:rFonts w:ascii="Calibri" w:hAnsi="Calibri" w:eastAsia="微软雅黑"/>
          <w:b w:val="0"/>
          <w:i w:val="0"/>
          <w:sz w:val="22"/>
        </w:rPr>
        <w:t>---</w:t>
      </w:r>
    </w:p>
    <w:p>
      <w:pPr>
        <w:pStyle w:val="Heading2"/>
      </w:pPr>
      <w:r>
        <w:t>7.5 交付收口：从机械竣工到缺陷责任期的性能考核全流程</w:t>
      </w:r>
    </w:p>
    <w:p>
      <w:r>
        <w:rPr>
          <w:rFonts w:ascii="Calibri" w:hAnsi="Calibri" w:eastAsia="微软雅黑"/>
          <w:b w:val="0"/>
          <w:i w:val="0"/>
          <w:sz w:val="22"/>
        </w:rPr>
        <w:t>工程总承包模式的核心特征之一，是向业主提供从建设到投产运行的一体化交付服务。项目的交付与收尾并非简单的交钥匙动作，而是贯穿机械竣工、单机试车、系统联动试车、负荷/投料试车、性能考核直至正式移交与缺陷责任期管理的全流程系统工程（流程框架为本研究据源文整理）。</w:t>
      </w:r>
    </w:p>
    <w:p>
      <w:pPr>
        <w:pStyle w:val="Heading3"/>
      </w:pPr>
      <w:r>
        <w:t>7.5.1 交付全生命周期划界与性能考核体系</w:t>
      </w:r>
    </w:p>
    <w:p>
      <w:r>
        <w:rPr>
          <w:rFonts w:ascii="Calibri" w:hAnsi="Calibri" w:eastAsia="微软雅黑"/>
          <w:b w:val="0"/>
          <w:i w:val="0"/>
          <w:sz w:val="22"/>
        </w:rPr>
        <w:t>华东院将EPC项目全生命周期划分为八个阶段——项目启动、项目策划、设计、采购、施工、调试、移交、质保，每一阶段圈定管理重点与关键控制点：调试阶段以调试计划管理、性能测试管理、问题处理管理为重点，关键控制点为调试方案审批、性能测试验收、问题销项管理；质保阶段涵盖质保服务、缺陷处理与最终结算 [来源: P000601]。交付收尾环节的技术划界具有强专业规范性 [来源: P000611, P000621]：</w:t>
      </w:r>
    </w:p>
    <w:p>
      <w:pPr>
        <w:pStyle w:val="Heading4"/>
      </w:pPr>
      <w:r>
        <w:t>表7-4 交付收尾环节的划界与交验要点（据源文整理）[来源: P000611, P000621]</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环节</w:t>
            </w:r>
          </w:p>
        </w:tc>
        <w:tc>
          <w:tcPr>
            <w:tcW w:type="dxa" w:w="2767"/>
            <w:shd w:fill="1F3A5F"/>
          </w:tcPr>
          <w:p>
            <w:r>
              <w:rPr>
                <w:color w:val="FFFFFF"/>
              </w:rPr>
            </w:r>
            <w:r>
              <w:rPr>
                <w:rFonts w:ascii="Calibri" w:hAnsi="Calibri" w:eastAsia="微软雅黑"/>
                <w:b/>
                <w:i w:val="0"/>
                <w:color w:val="FFFFFF"/>
                <w:sz w:val="18"/>
              </w:rPr>
              <w:t>定义与要点</w:t>
            </w:r>
          </w:p>
        </w:tc>
        <w:tc>
          <w:tcPr>
            <w:tcW w:type="dxa" w:w="2767"/>
            <w:shd w:fill="1F3A5F"/>
          </w:tcPr>
          <w:p>
            <w:r>
              <w:rPr>
                <w:color w:val="FFFFFF"/>
              </w:rPr>
            </w:r>
            <w:r>
              <w:rPr>
                <w:rFonts w:ascii="Calibri" w:hAnsi="Calibri" w:eastAsia="微软雅黑"/>
                <w:b/>
                <w:i w:val="0"/>
                <w:color w:val="FFFFFF"/>
                <w:sz w:val="18"/>
              </w:rPr>
              <w:t>交验标志</w:t>
            </w:r>
          </w:p>
        </w:tc>
      </w:tr>
      <w:tr>
        <w:tc>
          <w:tcPr>
            <w:tcW w:type="dxa" w:w="2767"/>
          </w:tcPr>
          <w:p>
            <w:r/>
            <w:r>
              <w:rPr>
                <w:rFonts w:ascii="Calibri" w:hAnsi="Calibri" w:eastAsia="微软雅黑"/>
                <w:b w:val="0"/>
                <w:i w:val="0"/>
                <w:sz w:val="18"/>
              </w:rPr>
              <w:t>机械竣工（MC）</w:t>
            </w:r>
          </w:p>
        </w:tc>
        <w:tc>
          <w:tcPr>
            <w:tcW w:type="dxa" w:w="2767"/>
          </w:tcPr>
          <w:p>
            <w:r/>
            <w:r>
              <w:rPr>
                <w:rFonts w:ascii="Calibri" w:hAnsi="Calibri" w:eastAsia="微软雅黑"/>
                <w:b w:val="0"/>
                <w:i w:val="0"/>
                <w:sz w:val="18"/>
              </w:rPr>
              <w:t>合同项目中的所有设备、管道、电气、仪表等已按设计文件安装完成，并经检验合格，具备单机试车条件的状态</w:t>
            </w:r>
          </w:p>
        </w:tc>
        <w:tc>
          <w:tcPr>
            <w:tcW w:type="dxa" w:w="2767"/>
          </w:tcPr>
          <w:p>
            <w:r/>
            <w:r>
              <w:rPr>
                <w:rFonts w:ascii="Calibri" w:hAnsi="Calibri" w:eastAsia="微软雅黑"/>
                <w:b w:val="0"/>
                <w:i w:val="0"/>
                <w:sz w:val="18"/>
              </w:rPr>
              <w:t>安装完成+单项检验合格</w:t>
            </w:r>
          </w:p>
        </w:tc>
      </w:tr>
      <w:tr>
        <w:tc>
          <w:tcPr>
            <w:tcW w:type="dxa" w:w="2767"/>
          </w:tcPr>
          <w:p>
            <w:r/>
            <w:r>
              <w:rPr>
                <w:rFonts w:ascii="Calibri" w:hAnsi="Calibri" w:eastAsia="微软雅黑"/>
                <w:b w:val="0"/>
                <w:i w:val="0"/>
                <w:sz w:val="18"/>
              </w:rPr>
              <w:t>单机试车</w:t>
            </w:r>
          </w:p>
        </w:tc>
        <w:tc>
          <w:tcPr>
            <w:tcW w:type="dxa" w:w="2767"/>
          </w:tcPr>
          <w:p>
            <w:r/>
            <w:r>
              <w:rPr>
                <w:rFonts w:ascii="Calibri" w:hAnsi="Calibri" w:eastAsia="微软雅黑"/>
                <w:b w:val="0"/>
                <w:i w:val="0"/>
                <w:sz w:val="18"/>
              </w:rPr>
              <w:t>检验单台机械设备、泵类、压缩机及电气仪表的安装质量与运转性能</w:t>
            </w:r>
          </w:p>
        </w:tc>
        <w:tc>
          <w:tcPr>
            <w:tcW w:type="dxa" w:w="2767"/>
          </w:tcPr>
          <w:p>
            <w:r/>
            <w:r>
              <w:rPr>
                <w:rFonts w:ascii="Calibri" w:hAnsi="Calibri" w:eastAsia="微软雅黑"/>
                <w:b w:val="0"/>
                <w:i w:val="0"/>
                <w:sz w:val="18"/>
              </w:rPr>
              <w:t>单机空负荷运转合格</w:t>
            </w:r>
          </w:p>
        </w:tc>
      </w:tr>
      <w:tr>
        <w:tc>
          <w:tcPr>
            <w:tcW w:type="dxa" w:w="2767"/>
          </w:tcPr>
          <w:p>
            <w:r/>
            <w:r>
              <w:rPr>
                <w:rFonts w:ascii="Calibri" w:hAnsi="Calibri" w:eastAsia="微软雅黑"/>
                <w:b w:val="0"/>
                <w:i w:val="0"/>
                <w:sz w:val="18"/>
              </w:rPr>
              <w:t>系统联动试车</w:t>
            </w:r>
          </w:p>
        </w:tc>
        <w:tc>
          <w:tcPr>
            <w:tcW w:type="dxa" w:w="2767"/>
          </w:tcPr>
          <w:p>
            <w:r/>
            <w:r>
              <w:rPr>
                <w:rFonts w:ascii="Calibri" w:hAnsi="Calibri" w:eastAsia="微软雅黑"/>
                <w:b w:val="0"/>
                <w:i w:val="0"/>
                <w:sz w:val="18"/>
              </w:rPr>
              <w:t>在模拟或实际负荷条件下，检查整个工艺流程或生产线的联动运行情况和整体性能</w:t>
            </w:r>
          </w:p>
        </w:tc>
        <w:tc>
          <w:tcPr>
            <w:tcW w:type="dxa" w:w="2767"/>
          </w:tcPr>
          <w:p>
            <w:r/>
            <w:r>
              <w:rPr>
                <w:rFonts w:ascii="Calibri" w:hAnsi="Calibri" w:eastAsia="微软雅黑"/>
                <w:b w:val="0"/>
                <w:i w:val="0"/>
                <w:sz w:val="18"/>
              </w:rPr>
              <w:t>联锁逻辑与协同运行验证</w:t>
            </w:r>
          </w:p>
        </w:tc>
      </w:tr>
      <w:tr>
        <w:tc>
          <w:tcPr>
            <w:tcW w:type="dxa" w:w="2767"/>
          </w:tcPr>
          <w:p>
            <w:r/>
            <w:r>
              <w:rPr>
                <w:rFonts w:ascii="Calibri" w:hAnsi="Calibri" w:eastAsia="微软雅黑"/>
                <w:b w:val="0"/>
                <w:i w:val="0"/>
                <w:sz w:val="18"/>
              </w:rPr>
              <w:t>投料试车（Commissioning）</w:t>
            </w:r>
          </w:p>
        </w:tc>
        <w:tc>
          <w:tcPr>
            <w:tcW w:type="dxa" w:w="2767"/>
          </w:tcPr>
          <w:p>
            <w:r/>
            <w:r>
              <w:rPr>
                <w:rFonts w:ascii="Calibri" w:hAnsi="Calibri" w:eastAsia="微软雅黑"/>
                <w:b w:val="0"/>
                <w:i w:val="0"/>
                <w:sz w:val="18"/>
              </w:rPr>
              <w:t>也称"热试车"或"负荷试车"，对建成装置按设计文件规定引入真实工艺物料，进行各装置首尾衔接的试运行</w:t>
            </w:r>
          </w:p>
        </w:tc>
        <w:tc>
          <w:tcPr>
            <w:tcW w:type="dxa" w:w="2767"/>
          </w:tcPr>
          <w:p>
            <w:r/>
            <w:r>
              <w:rPr>
                <w:rFonts w:ascii="Calibri" w:hAnsi="Calibri" w:eastAsia="微软雅黑"/>
                <w:b w:val="0"/>
                <w:i w:val="0"/>
                <w:sz w:val="18"/>
              </w:rPr>
              <w:t>连续运行考核</w:t>
            </w:r>
          </w:p>
        </w:tc>
      </w:tr>
      <w:tr>
        <w:tc>
          <w:tcPr>
            <w:tcW w:type="dxa" w:w="2767"/>
          </w:tcPr>
          <w:p>
            <w:r/>
            <w:r>
              <w:rPr>
                <w:rFonts w:ascii="Calibri" w:hAnsi="Calibri" w:eastAsia="微软雅黑"/>
                <w:b w:val="0"/>
                <w:i w:val="0"/>
                <w:sz w:val="18"/>
              </w:rPr>
              <w:t>性能考核（Performance Test）</w:t>
            </w:r>
          </w:p>
        </w:tc>
        <w:tc>
          <w:tcPr>
            <w:tcW w:type="dxa" w:w="2767"/>
          </w:tcPr>
          <w:p>
            <w:r/>
            <w:r>
              <w:rPr>
                <w:rFonts w:ascii="Calibri" w:hAnsi="Calibri" w:eastAsia="微软雅黑"/>
                <w:b w:val="0"/>
                <w:i w:val="0"/>
                <w:sz w:val="18"/>
              </w:rPr>
              <w:t>在稳定运行条件下，按合同约定的考核标准和方法，对产量、质量、能耗、效率、环保等关键性能指标进行测试测量；由业主、监理、总承包商共同见证确认，编制性能考核报告</w:t>
            </w:r>
          </w:p>
        </w:tc>
        <w:tc>
          <w:tcPr>
            <w:tcW w:type="dxa" w:w="2767"/>
          </w:tcPr>
          <w:p>
            <w:r/>
            <w:r>
              <w:rPr>
                <w:rFonts w:ascii="Calibri" w:hAnsi="Calibri" w:eastAsia="微软雅黑"/>
                <w:b w:val="0"/>
                <w:i w:val="0"/>
                <w:sz w:val="18"/>
              </w:rPr>
              <w:t>性能考核报告签认</w:t>
            </w:r>
          </w:p>
        </w:tc>
      </w:tr>
      <w:tr>
        <w:tc>
          <w:tcPr>
            <w:tcW w:type="dxa" w:w="2767"/>
          </w:tcPr>
          <w:p>
            <w:r/>
            <w:r>
              <w:rPr>
                <w:rFonts w:ascii="Calibri" w:hAnsi="Calibri" w:eastAsia="微软雅黑"/>
                <w:b w:val="0"/>
                <w:i w:val="0"/>
                <w:sz w:val="18"/>
              </w:rPr>
              <w:t>缺陷责任期（DLP）</w:t>
            </w:r>
          </w:p>
        </w:tc>
        <w:tc>
          <w:tcPr>
            <w:tcW w:type="dxa" w:w="2767"/>
          </w:tcPr>
          <w:p>
            <w:r/>
            <w:r>
              <w:rPr>
                <w:rFonts w:ascii="Calibri" w:hAnsi="Calibri" w:eastAsia="微软雅黑"/>
                <w:b w:val="0"/>
                <w:i w:val="0"/>
                <w:sz w:val="18"/>
              </w:rPr>
              <w:t>从移交起至缺陷责任期结束，总承包商承担质保服务、缺陷处理与最终结算</w:t>
            </w:r>
          </w:p>
        </w:tc>
        <w:tc>
          <w:tcPr>
            <w:tcW w:type="dxa" w:w="2767"/>
          </w:tcPr>
          <w:p>
            <w:r/>
            <w:r>
              <w:rPr>
                <w:rFonts w:ascii="Calibri" w:hAnsi="Calibri" w:eastAsia="微软雅黑"/>
                <w:b w:val="0"/>
                <w:i w:val="0"/>
                <w:sz w:val="18"/>
              </w:rPr>
              <w:t>尾款结算与责任解除</w:t>
            </w:r>
          </w:p>
        </w:tc>
      </w:tr>
    </w:tbl>
    <w:p>
      <w:pPr>
        <w:pStyle w:val="Heading3"/>
      </w:pPr>
      <w:r>
        <w:t>7.5.2 标杆企业交付收尾实操案例</w:t>
      </w:r>
    </w:p>
    <w:p>
      <w:pPr>
        <w:pStyle w:val="Heading4"/>
      </w:pPr>
      <w:r>
        <w:t>案例一：华陆工程——试车与交付的"收尾-考核-满意度"三重管理 [来源: P000611]</w:t>
      </w:r>
    </w:p>
    <w:p>
      <w:pPr>
        <w:pStyle w:val="ListBullet"/>
      </w:pPr>
      <w:r>
        <w:rPr>
          <w:rFonts w:ascii="Calibri" w:hAnsi="Calibri" w:eastAsia="微软雅黑"/>
          <w:b/>
          <w:i w:val="0"/>
          <w:sz w:val="22"/>
        </w:rPr>
        <w:t>数据（Data）</w:t>
      </w:r>
      <w:r>
        <w:rPr>
          <w:rFonts w:ascii="Calibri" w:hAnsi="Calibri" w:eastAsia="微软雅黑"/>
          <w:b w:val="0"/>
          <w:i w:val="0"/>
          <w:sz w:val="22"/>
        </w:rPr>
        <w:t>：华陆公司将试车与交付定位为EPC项目全生命周期的最后阶段，也是检验项目成功与否的关键环节——从项目前期策划的市场洞察、风险评估与精准报价，到设计、采购、施工，直至试车与交付阶段的项目收尾、性能考核与客户满意度提升，形成全链条价值创造过程 [来源: P000611]。</w:t>
      </w:r>
    </w:p>
    <w:p>
      <w:pPr>
        <w:pStyle w:val="ListBullet"/>
      </w:pPr>
      <w:r>
        <w:rPr>
          <w:rFonts w:ascii="Calibri" w:hAnsi="Calibri" w:eastAsia="微软雅黑"/>
          <w:b/>
          <w:i w:val="0"/>
          <w:sz w:val="22"/>
        </w:rPr>
        <w:t>动作（Action）</w:t>
      </w:r>
      <w:r>
        <w:rPr>
          <w:rFonts w:ascii="Calibri" w:hAnsi="Calibri" w:eastAsia="微软雅黑"/>
          <w:b w:val="0"/>
          <w:i w:val="0"/>
          <w:sz w:val="22"/>
        </w:rPr>
        <w:t>：其一，严谨的项目收尾管理，按单元编制移交清单、逐项销项；其二，科学的性能达标核验——考核指标覆盖产能、质量、能耗、效率与环保等维度，验证EPC项目是否达到设计指标和合同约定性能；其三，全方位的客户满意度管理，质保期内提供及时响应与解决方案，为后续合作蓄势 [来源: P000611]。</w:t>
      </w:r>
    </w:p>
    <w:p>
      <w:pPr>
        <w:pStyle w:val="ListBullet"/>
      </w:pPr>
      <w:r>
        <w:rPr>
          <w:rFonts w:ascii="Calibri" w:hAnsi="Calibri" w:eastAsia="微软雅黑"/>
          <w:b/>
          <w:i w:val="0"/>
          <w:sz w:val="22"/>
        </w:rPr>
        <w:t>结果（Result）</w:t>
      </w:r>
      <w:r>
        <w:rPr>
          <w:rFonts w:ascii="Calibri" w:hAnsi="Calibri" w:eastAsia="微软雅黑"/>
          <w:b w:val="0"/>
          <w:i w:val="0"/>
          <w:sz w:val="22"/>
        </w:rPr>
        <w:t>：高质量的试车与顺利交付不仅意味着项目建设的完成，更成为赢得客户信任、提升品牌声誉的保障（结果表述为源文结论）[来源: P000611]。</w:t>
      </w:r>
    </w:p>
    <w:p>
      <w:r>
        <w:rPr>
          <w:rFonts w:ascii="Calibri" w:hAnsi="Calibri" w:eastAsia="微软雅黑"/>
          <w:b w:val="0"/>
          <w:i w:val="0"/>
          <w:sz w:val="22"/>
        </w:rPr>
        <w:t>把收尾当"扫尾"的团队，往往在最后一步把此前积累的好感输光。业主对总承包商的记忆，淡季看中标、旺季看履约、收官看质保——收尾阶段的表现，会直接写进下一次投标的资信评价。反过来说，收尾也是最容易创收的阶段：移交清单做得细，索赔与反索赔的凭据就齐备；性能数据签得实，质保期的责任边界就清爽。把收官当作第二次营销来做，团队的心态与动作都会随之不同（此段为本研究解读）。</w:t>
      </w:r>
    </w:p>
    <w:p>
      <w:pPr>
        <w:pStyle w:val="Heading4"/>
      </w:pPr>
      <w:r>
        <w:t>案例二：华东院——调试与移交管理的标准化流程 [来源: P000601]</w:t>
      </w:r>
    </w:p>
    <w:p>
      <w:pPr>
        <w:pStyle w:val="ListBullet"/>
      </w:pPr>
      <w:r>
        <w:rPr>
          <w:rFonts w:ascii="Calibri" w:hAnsi="Calibri" w:eastAsia="微软雅黑"/>
          <w:b/>
          <w:i w:val="0"/>
          <w:sz w:val="22"/>
        </w:rPr>
        <w:t>数据（Data）</w:t>
      </w:r>
      <w:r>
        <w:rPr>
          <w:rFonts w:ascii="Calibri" w:hAnsi="Calibri" w:eastAsia="微软雅黑"/>
          <w:b w:val="0"/>
          <w:i w:val="0"/>
          <w:sz w:val="22"/>
        </w:rPr>
        <w:t>：华东院在海上风电EPC项目调试与移交管理方面形成了完整流程 [来源: P000601]。</w:t>
      </w:r>
    </w:p>
    <w:p>
      <w:pPr>
        <w:pStyle w:val="ListBullet"/>
      </w:pPr>
      <w:r>
        <w:rPr>
          <w:rFonts w:ascii="Calibri" w:hAnsi="Calibri" w:eastAsia="微软雅黑"/>
          <w:b/>
          <w:i w:val="0"/>
          <w:sz w:val="22"/>
        </w:rPr>
        <w:t>动作（Action）</w:t>
      </w:r>
      <w:r>
        <w:rPr>
          <w:rFonts w:ascii="Calibri" w:hAnsi="Calibri" w:eastAsia="微软雅黑"/>
          <w:b w:val="0"/>
          <w:i w:val="0"/>
          <w:sz w:val="22"/>
        </w:rPr>
        <w:t>：调试管理上，建立调试计划管理体系，科学编制调试计划、合理安排调试顺序，实施调试质量控制确保设备性能符合要求，建立调试问题管理机制及时解决问题；性能测试上，制定性能测试方案明确测试内容和标准，组织性能测试实施验证设备和系统性能，分析测试结果优化系统运行参数；移交阶段完成竣工资料整理、验收管理与移交管理 [来源: P000601]。</w:t>
      </w:r>
    </w:p>
    <w:p>
      <w:pPr>
        <w:pStyle w:val="ListBullet"/>
      </w:pPr>
      <w:r>
        <w:rPr>
          <w:rFonts w:ascii="Calibri" w:hAnsi="Calibri" w:eastAsia="微软雅黑"/>
          <w:b/>
          <w:i w:val="0"/>
          <w:sz w:val="22"/>
        </w:rPr>
        <w:t>结果（Result）</w:t>
      </w:r>
      <w:r>
        <w:rPr>
          <w:rFonts w:ascii="Calibri" w:hAnsi="Calibri" w:eastAsia="微软雅黑"/>
          <w:b w:val="0"/>
          <w:i w:val="0"/>
          <w:sz w:val="22"/>
        </w:rPr>
        <w:t>：八阶段全寿命管理体系使海上风电等大型项目从施工到质保的全流程均处于受控状态，为"投建营一体化"延伸服务打下基础（东阳第二污水厂项目即为其首个全面负责设计、投融资、建设管理、运行维护的项目）[来源: P000601]。</w:t>
      </w:r>
    </w:p>
    <w:p>
      <w:r>
        <w:rPr>
          <w:rFonts w:ascii="Calibri" w:hAnsi="Calibri" w:eastAsia="微软雅黑"/>
          <w:b w:val="0"/>
          <w:i w:val="0"/>
          <w:sz w:val="22"/>
        </w:rPr>
        <w:t>调试期其实是运营方的实习期。让未来的运行班组全程跟车，亲手参与每轮测试，比任何纸面培训都扎实；他们顺手记下的操作习惯与隐患点，回头就是运行手册的一手素材。跳过这段实习的项目，移交之后往往要靠试错来补课，学费并不便宜（跟车建议为本研究建议）。</w:t>
      </w:r>
    </w:p>
    <w:p>
      <w:pPr>
        <w:pStyle w:val="Heading4"/>
      </w:pPr>
      <w:r>
        <w:t>案例三：中建三局——三阶段试车与四级验收体系 [来源: P000621]</w:t>
      </w:r>
    </w:p>
    <w:p>
      <w:pPr>
        <w:pStyle w:val="ListBullet"/>
      </w:pPr>
      <w:r>
        <w:rPr>
          <w:rFonts w:ascii="Calibri" w:hAnsi="Calibri" w:eastAsia="微软雅黑"/>
          <w:b/>
          <w:i w:val="0"/>
          <w:sz w:val="22"/>
        </w:rPr>
        <w:t>数据（Data）</w:t>
      </w:r>
      <w:r>
        <w:rPr>
          <w:rFonts w:ascii="Calibri" w:hAnsi="Calibri" w:eastAsia="微软雅黑"/>
          <w:b w:val="0"/>
          <w:i w:val="0"/>
          <w:sz w:val="22"/>
        </w:rPr>
        <w:t>：中建三局建立了单机试车与分系统调试、联动试车（带负荷试车）递进的试车体系 [来源: P000621]。</w:t>
      </w:r>
    </w:p>
    <w:p>
      <w:pPr>
        <w:pStyle w:val="ListBullet"/>
      </w:pPr>
      <w:r>
        <w:rPr>
          <w:rFonts w:ascii="Calibri" w:hAnsi="Calibri" w:eastAsia="微软雅黑"/>
          <w:b/>
          <w:i w:val="0"/>
          <w:sz w:val="22"/>
        </w:rPr>
        <w:t>动作（Action）</w:t>
      </w:r>
      <w:r>
        <w:rPr>
          <w:rFonts w:ascii="Calibri" w:hAnsi="Calibri" w:eastAsia="微软雅黑"/>
          <w:b w:val="0"/>
          <w:i w:val="0"/>
          <w:sz w:val="22"/>
        </w:rPr>
        <w:t>：联动试车必须在单机试车和分系统调试合格的基础上进行，严格按照性能达标考核方案实施，确保测试条件、方法、仪表的准确性；性能考核由业主、监理、总承包商共同见证和确认测试结果，详细记录测试过程和数据，编制性能考核报告；项目移交后按缺陷责任期要求承担保修义务 [来源: P000621]。</w:t>
      </w:r>
    </w:p>
    <w:p>
      <w:pPr>
        <w:pStyle w:val="ListBullet"/>
      </w:pPr>
      <w:r>
        <w:rPr>
          <w:rFonts w:ascii="Calibri" w:hAnsi="Calibri" w:eastAsia="微软雅黑"/>
          <w:b/>
          <w:i w:val="0"/>
          <w:sz w:val="22"/>
        </w:rPr>
        <w:t>结果（Result）</w:t>
      </w:r>
      <w:r>
        <w:rPr>
          <w:rFonts w:ascii="Calibri" w:hAnsi="Calibri" w:eastAsia="微软雅黑"/>
          <w:b w:val="0"/>
          <w:i w:val="0"/>
          <w:sz w:val="22"/>
        </w:rPr>
        <w:t>：递进式试车与共同见证机制保证了性能考核结果的公信力，降低了收尾阶段的扣款与纠纷风险（结果表述为本研究据源文归纳）[来源: P000621]。</w:t>
      </w:r>
    </w:p>
    <w:p>
      <w:r>
        <w:rPr>
          <w:rFonts w:ascii="Calibri" w:hAnsi="Calibri" w:eastAsia="微软雅黑"/>
          <w:b w:val="0"/>
          <w:i w:val="0"/>
          <w:sz w:val="22"/>
        </w:rPr>
        <w:t>共同见证这一程序细节，常被当作例行手续轻慢对待。见证席上坐谁、记录谁签、异议如何留痕，直接决定数据日后能否经得起质证；敷衍了事的见证，等于亲手削弱自家凭据的效力。把见证办成郑重其事的正式程序，业主与承包商反而更容易在数据上建立互信，收尾谈判也随之顺畅（程序要义为本研究解读）。</w:t>
      </w:r>
    </w:p>
    <w:p>
      <w:r>
        <w:rPr>
          <w:rFonts w:ascii="Calibri" w:hAnsi="Calibri" w:eastAsia="微软雅黑"/>
          <w:b w:val="0"/>
          <w:i w:val="0"/>
          <w:sz w:val="22"/>
        </w:rPr>
        <w:t>试车期攒下的数据另有用途：设备基准参数、仪表校验记录、工况曲线，都是运维阶段的对照底账。把它们随竣工资料一并移交运营方，日后的故障判断便有了出厂基准可查；省略这一步的项目，运维团队只能凭经验重新摸索，代价在几年后才显现（移交建议为本研究解读）。</w:t>
      </w:r>
    </w:p>
    <w:p>
      <w:pPr>
        <w:pStyle w:val="Heading4"/>
      </w:pPr>
      <w:r>
        <w:t>案例四：中国天辰——专有技术绑定的开试车管理 [来源: P000626]</w:t>
      </w:r>
    </w:p>
    <w:p>
      <w:pPr>
        <w:pStyle w:val="ListBullet"/>
      </w:pPr>
      <w:r>
        <w:rPr>
          <w:rFonts w:ascii="Calibri" w:hAnsi="Calibri" w:eastAsia="微软雅黑"/>
          <w:b/>
          <w:i w:val="0"/>
          <w:sz w:val="22"/>
        </w:rPr>
        <w:t>数据（Data）</w:t>
      </w:r>
      <w:r>
        <w:rPr>
          <w:rFonts w:ascii="Calibri" w:hAnsi="Calibri" w:eastAsia="微软雅黑"/>
          <w:b w:val="0"/>
          <w:i w:val="0"/>
          <w:sz w:val="22"/>
        </w:rPr>
        <w:t>：天辰公司的典型案例矩阵覆盖土耳其卡赞天然碱项目、哈萨克斯坦电站项目（与业主方继2019年合作化工项目之后的再次携手）、湖北双环科技联碱节能技术升级改造项目 [来源: P000626]。</w:t>
      </w:r>
    </w:p>
    <w:p>
      <w:pPr>
        <w:pStyle w:val="ListBullet"/>
      </w:pPr>
      <w:r>
        <w:rPr>
          <w:rFonts w:ascii="Calibri" w:hAnsi="Calibri" w:eastAsia="微软雅黑"/>
          <w:b/>
          <w:i w:val="0"/>
          <w:sz w:val="22"/>
        </w:rPr>
        <w:t>动作（Action）</w:t>
      </w:r>
      <w:r>
        <w:rPr>
          <w:rFonts w:ascii="Calibri" w:hAnsi="Calibri" w:eastAsia="微软雅黑"/>
          <w:b w:val="0"/>
          <w:i w:val="0"/>
          <w:sz w:val="22"/>
        </w:rPr>
        <w:t>："T+EPC"模式下，专有技术与开试车方案深度绑定，由专有技术专家带队指导试车；EPCF模式（设计-采购-施工-融资）同步探索实践，在海外项目中统筹融资风险与交付风险 [来源: P000626]。</w:t>
      </w:r>
    </w:p>
    <w:p>
      <w:pPr>
        <w:pStyle w:val="ListBullet"/>
      </w:pPr>
      <w:r>
        <w:rPr>
          <w:rFonts w:ascii="Calibri" w:hAnsi="Calibri" w:eastAsia="微软雅黑"/>
          <w:b/>
          <w:i w:val="0"/>
          <w:sz w:val="22"/>
        </w:rPr>
        <w:t>结果（Result）</w:t>
      </w:r>
      <w:r>
        <w:rPr>
          <w:rFonts w:ascii="Calibri" w:hAnsi="Calibri" w:eastAsia="微软雅黑"/>
          <w:b w:val="0"/>
          <w:i w:val="0"/>
          <w:sz w:val="22"/>
        </w:rPr>
        <w:t>：专有技术驱动的试车管理使海外化工与电站装置实现高水平一次投料试车成功（结果表述为本研究据源文归纳）[来源: P000626]。</w:t>
      </w:r>
    </w:p>
    <w:p>
      <w:pPr>
        <w:pStyle w:val="Heading3"/>
      </w:pPr>
      <w:r>
        <w:t>7.5.3 可执行方法：交付收口"五步法"（本研究归纳，示意性复盘）</w:t>
      </w:r>
    </w:p>
    <w:p>
      <w:pPr>
        <w:pStyle w:val="ListNumber"/>
      </w:pPr>
      <w:r>
        <w:rPr>
          <w:rFonts w:ascii="Calibri" w:hAnsi="Calibri" w:eastAsia="微软雅黑"/>
          <w:b/>
          <w:i w:val="0"/>
          <w:sz w:val="22"/>
        </w:rPr>
        <w:t>第一步：编制收尾与调试总计划</w:t>
      </w:r>
      <w:r>
        <w:rPr>
          <w:rFonts w:ascii="Calibri" w:hAnsi="Calibri" w:eastAsia="微软雅黑"/>
          <w:b w:val="0"/>
          <w:i w:val="0"/>
          <w:sz w:val="22"/>
        </w:rPr>
        <w:t>。明确收尾工作范围、里程碑节点、资源需求及移交清单，制定单机试车、联动试车、投料试车方案与安全应急预案（华东院调试计划管理体系为实证参照）[来源: P000601]。</w:t>
      </w:r>
    </w:p>
    <w:p>
      <w:pPr>
        <w:pStyle w:val="ListNumber"/>
      </w:pPr>
      <w:r>
        <w:rPr>
          <w:rFonts w:ascii="Calibri" w:hAnsi="Calibri" w:eastAsia="微软雅黑"/>
          <w:b/>
          <w:i w:val="0"/>
          <w:sz w:val="22"/>
        </w:rPr>
        <w:t>第二步：机械竣工检查与遗留问题清零</w:t>
      </w:r>
      <w:r>
        <w:rPr>
          <w:rFonts w:ascii="Calibri" w:hAnsi="Calibri" w:eastAsia="微软雅黑"/>
          <w:b w:val="0"/>
          <w:i w:val="0"/>
          <w:sz w:val="22"/>
        </w:rPr>
        <w:t>。组建发包方、总包方、监理及技术许可方联合检查组开展机械竣工节点验收；对未完事项分类编号、限期整改清零后签署完成证书（划界标准见上表）[来源: P000611]。</w:t>
      </w:r>
    </w:p>
    <w:p>
      <w:pPr>
        <w:pStyle w:val="ListNumber"/>
      </w:pPr>
      <w:r>
        <w:rPr>
          <w:rFonts w:ascii="Calibri" w:hAnsi="Calibri" w:eastAsia="微软雅黑"/>
          <w:b/>
          <w:i w:val="0"/>
          <w:sz w:val="22"/>
        </w:rPr>
        <w:t>第三步：分阶段试车与系统联动调试</w:t>
      </w:r>
      <w:r>
        <w:rPr>
          <w:rFonts w:ascii="Calibri" w:hAnsi="Calibri" w:eastAsia="微软雅黑"/>
          <w:b w:val="0"/>
          <w:i w:val="0"/>
          <w:sz w:val="22"/>
        </w:rPr>
        <w:t>。先单机空负荷试车校验转动设备与仪表状态，再以模拟介质开展系统联动试车校验联锁逻辑，最后引入真实物料开展投料试车、逐步提升至设计负荷 [来源: P000621]。</w:t>
      </w:r>
    </w:p>
    <w:p>
      <w:pPr>
        <w:pStyle w:val="ListNumber"/>
      </w:pPr>
      <w:r>
        <w:rPr>
          <w:rFonts w:ascii="Calibri" w:hAnsi="Calibri" w:eastAsia="微软雅黑"/>
          <w:b/>
          <w:i w:val="0"/>
          <w:sz w:val="22"/>
        </w:rPr>
        <w:t>第四步：组织性能考核与数据签认</w:t>
      </w:r>
      <w:r>
        <w:rPr>
          <w:rFonts w:ascii="Calibri" w:hAnsi="Calibri" w:eastAsia="微软雅黑"/>
          <w:b w:val="0"/>
          <w:i w:val="0"/>
          <w:sz w:val="22"/>
        </w:rPr>
        <w:t>。在稳定运行条件下按合同约定的考核标准和方法，对产量、质量、能耗、效率、环保指标进行测试；由业主、监理与总包方共同见证确认，编制性能考核报告 [来源: P000621]。</w:t>
      </w:r>
    </w:p>
    <w:p>
      <w:pPr>
        <w:pStyle w:val="ListNumber"/>
      </w:pPr>
      <w:r>
        <w:rPr>
          <w:rFonts w:ascii="Calibri" w:hAnsi="Calibri" w:eastAsia="微软雅黑"/>
          <w:b/>
          <w:i w:val="0"/>
          <w:sz w:val="22"/>
        </w:rPr>
        <w:t>第五步：签署移交证书与缺陷责任期收束</w:t>
      </w:r>
      <w:r>
        <w:rPr>
          <w:rFonts w:ascii="Calibri" w:hAnsi="Calibri" w:eastAsia="微软雅黑"/>
          <w:b w:val="0"/>
          <w:i w:val="0"/>
          <w:sz w:val="22"/>
        </w:rPr>
        <w:t>。办理工程实体、竣工图纸、备品备件及技术文件的正式移交；质保期内完成质保服务、缺陷处理与最终结算 [来源: P000601]。</w:t>
      </w:r>
    </w:p>
    <w:p>
      <w:r>
        <w:rPr>
          <w:rFonts w:ascii="Calibri" w:hAnsi="Calibri" w:eastAsia="微软雅黑"/>
          <w:b w:val="0"/>
          <w:i w:val="0"/>
          <w:sz w:val="22"/>
        </w:rPr>
        <w:t>这套流程的灵魂不在表格而在节奏：机械竣工只是"考场开门"，真正的分数记在逐级升负荷的耐心上。急于求成的团队常犯两类毛病——跳过空负荷试车直接带料，仪表来不及校准；或者性能考核仓促开场，工况尚未稳定就急着签报告。前者伤设备，后者伤合同。娴熟的交付团队会把试车当作与业主建立信任的仪式：每一步见证、每一份签认，都是日后谈判桌上的凭据（要义为本研究解读）。</w:t>
      </w:r>
    </w:p>
    <w:p>
      <w:r>
        <w:rPr>
          <w:rFonts w:ascii="Calibri" w:hAnsi="Calibri" w:eastAsia="微软雅黑"/>
          <w:b w:val="0"/>
          <w:i w:val="0"/>
          <w:sz w:val="22"/>
        </w:rPr>
        <w:t>---</w:t>
      </w:r>
    </w:p>
    <w:p>
      <w:pPr>
        <w:pStyle w:val="Heading2"/>
      </w:pPr>
      <w:r>
        <w:t>7.6 数字化使能：从BIM协同平台到数字孪生交付</w:t>
      </w:r>
    </w:p>
    <w:p>
      <w:r>
        <w:rPr>
          <w:rFonts w:ascii="Calibri" w:hAnsi="Calibri" w:eastAsia="微软雅黑"/>
          <w:b w:val="0"/>
          <w:i w:val="0"/>
          <w:sz w:val="22"/>
        </w:rPr>
        <w:t>工程总承包项目规模大、专业交叉多、建设周期长，传统依靠人工与纸质文档的管理方式已难以满足精细化交付要求。标杆企业全面推动以BIM技术为核心、集成物联网、大数据与人工智能的项目数字化管理平台建设，实现从设计、采购、施工到运维的全流程数字化助力（趋势归纳为本研究据源文整理）[来源: P000601, P000606]。</w:t>
      </w:r>
    </w:p>
    <w:p>
      <w:r>
        <w:rPr>
          <w:rFonts w:ascii="Calibri" w:hAnsi="Calibri" w:eastAsia="微软雅黑"/>
          <w:b w:val="0"/>
          <w:i w:val="0"/>
          <w:sz w:val="22"/>
        </w:rPr>
        <w:t>数字化最容易买错的不是软件而是顺序。先上平台再理流程，等于把旧混乱装进新抽屉；先把编码、清单、验收单据的口径理顺，再让系统去固化这些口径，见效反而快。判断一家企业的数字化是否落地，不必看演示大厅的炫酷大屏，只看两件小事：现场变更单是否当天进模型，竣工移交时模型与实体是否对得上。前者考验习惯，后者考验诚意（次序论为本研究解读）。</w:t>
      </w:r>
    </w:p>
    <w:p>
      <w:pPr>
        <w:pStyle w:val="Heading3"/>
      </w:pPr>
      <w:r>
        <w:t>7.6.1 数字化交付体系的分层架构</w:t>
      </w:r>
    </w:p>
    <w:p>
      <w:r>
        <w:rPr>
          <w:rFonts w:ascii="Calibri" w:hAnsi="Calibri" w:eastAsia="微软雅黑"/>
          <w:b w:val="0"/>
          <w:i w:val="0"/>
          <w:sz w:val="22"/>
        </w:rPr>
        <w:t>标杆企业的数字化交付体系普遍呈现"感知层-数据层-应用层-决策层"的分层架构（架构归纳为本研究据各企业源文整理）：感知与基础设施层部署物联网传感器、无人机与视频识别；数据层建设项目数据仓库、BIM模型库与数据标准；业务应用层运行BIM协同设计、智慧工地、数字化采购与项目管理信息系统；展示与决策层提供可视化大屏、商业智能与移动应用 [来源: P000601, P000606, P000611, P000616, P000621]。其中三条应用主线最具交付价值：</w:t>
      </w:r>
    </w:p>
    <w:p>
      <w:pPr>
        <w:pStyle w:val="ListNumber"/>
      </w:pPr>
      <w:r>
        <w:rPr>
          <w:rFonts w:ascii="Calibri" w:hAnsi="Calibri" w:eastAsia="微软雅黑"/>
          <w:b/>
          <w:i w:val="0"/>
          <w:sz w:val="22"/>
        </w:rPr>
        <w:t>BIM正向设计与碰撞检测</w:t>
      </w:r>
      <w:r>
        <w:rPr>
          <w:rFonts w:ascii="Calibri" w:hAnsi="Calibri" w:eastAsia="微软雅黑"/>
          <w:b w:val="0"/>
          <w:i w:val="0"/>
          <w:sz w:val="22"/>
        </w:rPr>
        <w:t>：设计阶段建立多专业三维模型，自动化执行碰撞检查，提前消除错漏碰缺——湖南院某大型医院EPC项目的BIM模型构件数量超过10万个，通过模型发现并解决了200多处设计冲突，避免了后期返工 [来源: P000616]。</w:t>
      </w:r>
    </w:p>
    <w:p>
      <w:pPr>
        <w:pStyle w:val="ListNumber"/>
      </w:pPr>
      <w:r>
        <w:rPr>
          <w:rFonts w:ascii="Calibri" w:hAnsi="Calibri" w:eastAsia="微软雅黑"/>
          <w:b/>
          <w:i w:val="0"/>
          <w:sz w:val="22"/>
        </w:rPr>
        <w:t>施工模拟与进度成本绑定</w:t>
      </w:r>
      <w:r>
        <w:rPr>
          <w:rFonts w:ascii="Calibri" w:hAnsi="Calibri" w:eastAsia="微软雅黑"/>
          <w:b w:val="0"/>
          <w:i w:val="0"/>
          <w:sz w:val="22"/>
        </w:rPr>
        <w:t>：将BIM模型与进度计划、成本数据绑定，开展施工过程虚拟预演，动态对比实际与计划 [来源: P000621]。</w:t>
      </w:r>
    </w:p>
    <w:p>
      <w:pPr>
        <w:pStyle w:val="ListNumber"/>
      </w:pPr>
      <w:r>
        <w:rPr>
          <w:rFonts w:ascii="Calibri" w:hAnsi="Calibri" w:eastAsia="微软雅黑"/>
          <w:b/>
          <w:i w:val="0"/>
          <w:sz w:val="22"/>
        </w:rPr>
        <w:t>数字化交付与数字孪生运维延伸</w:t>
      </w:r>
      <w:r>
        <w:rPr>
          <w:rFonts w:ascii="Calibri" w:hAnsi="Calibri" w:eastAsia="微软雅黑"/>
          <w:b w:val="0"/>
          <w:i w:val="0"/>
          <w:sz w:val="22"/>
        </w:rPr>
        <w:t>：项目竣工时不仅交付物理工程实体，同步交付集成设计参数、设备台账与运维指南的竣工模型，支撑后续智慧运维——华东院在已建成的海上风电和水处理设施中应用数字孪生技术实现远程监控与智能运维 [来源: P000601]。</w:t>
      </w:r>
    </w:p>
    <w:p>
      <w:pPr>
        <w:pStyle w:val="Heading3"/>
      </w:pPr>
      <w:r>
        <w:t>7.6.2 标杆企业数字化使能实操案例</w:t>
      </w:r>
    </w:p>
    <w:p>
      <w:pPr>
        <w:pStyle w:val="Heading4"/>
      </w:pPr>
      <w:r>
        <w:t>案例一：华东院——数字化转型八项实效 [来源: P000601]</w:t>
      </w:r>
    </w:p>
    <w:p>
      <w:pPr>
        <w:pStyle w:val="ListBullet"/>
      </w:pPr>
      <w:r>
        <w:rPr>
          <w:rFonts w:ascii="Calibri" w:hAnsi="Calibri" w:eastAsia="微软雅黑"/>
          <w:b/>
          <w:i w:val="0"/>
          <w:sz w:val="22"/>
        </w:rPr>
        <w:t>数据（Data）</w:t>
      </w:r>
      <w:r>
        <w:rPr>
          <w:rFonts w:ascii="Calibri" w:hAnsi="Calibri" w:eastAsia="微软雅黑"/>
          <w:b w:val="0"/>
          <w:i w:val="0"/>
          <w:sz w:val="22"/>
        </w:rPr>
        <w:t>：华东院数字化转型成效覆盖效率、成本、风险与市场四个层面，全部量化可查 [来源: P000601]。</w:t>
      </w:r>
    </w:p>
    <w:p>
      <w:pPr>
        <w:pStyle w:val="ListBullet"/>
      </w:pPr>
      <w:r>
        <w:rPr>
          <w:rFonts w:ascii="Calibri" w:hAnsi="Calibri" w:eastAsia="微软雅黑"/>
          <w:b/>
          <w:i w:val="0"/>
          <w:sz w:val="22"/>
        </w:rPr>
        <w:t>动作（Action）</w:t>
      </w:r>
      <w:r>
        <w:rPr>
          <w:rFonts w:ascii="Calibri" w:hAnsi="Calibri" w:eastAsia="微软雅黑"/>
          <w:b w:val="0"/>
          <w:i w:val="0"/>
          <w:sz w:val="22"/>
        </w:rPr>
        <w:t>：设计端以BIM、参数化设计、标准化设计提效；采购端以采购管理信息系统、供应链协同平台压缩周期；施工端以施工管理信息系统、BIM与移动应用提效；运维端以运维管理信息系统、远程监控与诊断系统支撑 [来源: P000601]。</w:t>
      </w:r>
    </w:p>
    <w:p>
      <w:pPr>
        <w:pStyle w:val="ListBullet"/>
      </w:pPr>
      <w:r>
        <w:rPr>
          <w:rFonts w:ascii="Calibri" w:hAnsi="Calibri" w:eastAsia="微软雅黑"/>
          <w:b/>
          <w:i w:val="0"/>
          <w:sz w:val="22"/>
        </w:rPr>
        <w:t>结果（Result）</w:t>
      </w:r>
      <w:r>
        <w:rPr>
          <w:rFonts w:ascii="Calibri" w:hAnsi="Calibri" w:eastAsia="微软雅黑"/>
          <w:b w:val="0"/>
          <w:i w:val="0"/>
          <w:sz w:val="22"/>
        </w:rPr>
        <w:t>：设计效率提升30%以上、设计质量显著提高；采购周期缩短20%以上、采购成本降低10%以上；施工效率提升25%以上；运维效率提升35%以上、设备可靠性显著提高；项目成本降低8%以上；资源利用率提高15%以上；决策效率提高20%以上；客户满意度提高25%以上，海上风电、水环境治理领域市场份额提高15%以上 [来源: P000601]。</w:t>
      </w:r>
    </w:p>
    <w:p>
      <w:r>
        <w:rPr>
          <w:rFonts w:ascii="Calibri" w:hAnsi="Calibri" w:eastAsia="微软雅黑"/>
          <w:b w:val="0"/>
          <w:i w:val="0"/>
          <w:sz w:val="22"/>
        </w:rPr>
        <w:t>读这类量化成效，宜关注口径而非只看幅度。效率与成本的变化，与基线取法、统计范围、对照对象密切相关；不同企业的百分数之间并不可直接相加或相比。决策者更该追问的是：哪些指标已进入日常考核，哪些只是示范项目里的峰值表现——前者才代表能力沉淀，后者往往只是展示窗口（读数提醒为本研究建议）。</w:t>
      </w:r>
    </w:p>
    <w:p>
      <w:pPr>
        <w:pStyle w:val="Heading4"/>
      </w:pPr>
      <w:r>
        <w:t>案例二：上海市政总院——协同平台与智慧建造研发体系 [来源: P000606]</w:t>
      </w:r>
    </w:p>
    <w:p>
      <w:pPr>
        <w:pStyle w:val="ListBullet"/>
      </w:pPr>
      <w:r>
        <w:rPr>
          <w:rFonts w:ascii="Calibri" w:hAnsi="Calibri" w:eastAsia="微软雅黑"/>
          <w:b/>
          <w:i w:val="0"/>
          <w:sz w:val="22"/>
        </w:rPr>
        <w:t>数据（Data）</w:t>
      </w:r>
      <w:r>
        <w:rPr>
          <w:rFonts w:ascii="Calibri" w:hAnsi="Calibri" w:eastAsia="微软雅黑"/>
          <w:b w:val="0"/>
          <w:i w:val="0"/>
          <w:sz w:val="22"/>
        </w:rPr>
        <w:t>：市政总院成立智慧建造研究院专注智慧建造技术研发；截至2024年企业员工总数超过5000人，其中专业技术人员占比超过80%；年度研发投入约占营业收入的5.2%、研发投入总额超过8亿元，在同行业中位居前列 [来源: P000606]。</w:t>
      </w:r>
    </w:p>
    <w:p>
      <w:pPr>
        <w:pStyle w:val="ListBullet"/>
      </w:pPr>
      <w:r>
        <w:rPr>
          <w:rFonts w:ascii="Calibri" w:hAnsi="Calibri" w:eastAsia="微软雅黑"/>
          <w:b/>
          <w:i w:val="0"/>
          <w:sz w:val="22"/>
        </w:rPr>
        <w:t>动作（Action）</w:t>
      </w:r>
      <w:r>
        <w:rPr>
          <w:rFonts w:ascii="Calibri" w:hAnsi="Calibri" w:eastAsia="微软雅黑"/>
          <w:b w:val="0"/>
          <w:i w:val="0"/>
          <w:sz w:val="22"/>
        </w:rPr>
        <w:t>：建设EPC协同管理平台，实现信息实时共享与传递，减少沟通环节和沟通成本；在左岭等项目应用项目管理信息系统，实现项目信息实时共享和管理决策的数据支持 [来源: P000606]。</w:t>
      </w:r>
    </w:p>
    <w:p>
      <w:pPr>
        <w:pStyle w:val="ListBullet"/>
      </w:pPr>
      <w:r>
        <w:rPr>
          <w:rFonts w:ascii="Calibri" w:hAnsi="Calibri" w:eastAsia="微软雅黑"/>
          <w:b/>
          <w:i w:val="0"/>
          <w:sz w:val="22"/>
        </w:rPr>
        <w:t>结果（Result）</w:t>
      </w:r>
      <w:r>
        <w:rPr>
          <w:rFonts w:ascii="Calibri" w:hAnsi="Calibri" w:eastAsia="微软雅黑"/>
          <w:b w:val="0"/>
          <w:i w:val="0"/>
          <w:sz w:val="22"/>
        </w:rPr>
        <w:t>：技术服务客户满意度达到92%以上，一体化服务客户满意度达到92% [来源: P000606]。</w:t>
      </w:r>
    </w:p>
    <w:p>
      <w:r>
        <w:rPr>
          <w:rFonts w:ascii="Calibri" w:hAnsi="Calibri" w:eastAsia="微软雅黑"/>
          <w:b w:val="0"/>
          <w:i w:val="0"/>
          <w:sz w:val="22"/>
        </w:rPr>
        <w:t>平台建设的克制比堆料更见功力。协同工具的价值不在功能清单的长短，而在全员是否真用；模块越全、闲置越多，维护负担反而拖累主业。选型时不妨给自己设一道闸：每个模块必须答出"谁在用、多久用一次、不用会怎样"，答不出的先缓建，把预算留给数据口径统一这类地基工程（选型纪律为本研究建议）。</w:t>
      </w:r>
    </w:p>
    <w:p>
      <w:r>
        <w:rPr>
          <w:rFonts w:ascii="Calibri" w:hAnsi="Calibri" w:eastAsia="微软雅黑"/>
          <w:b w:val="0"/>
          <w:i w:val="0"/>
          <w:sz w:val="22"/>
        </w:rPr>
        <w:t>研发平台的回报走的是复利曲线。建院初期只见投入不见产出，考验的是管理层的定力；平台真正的产出，除了技术本身，还有人才密度与行业话语权——这两样在投标资质与议价桌上都能变现。把研发费用当成本砍的企业，省下的是小钱，丢掉的是身位（投入观为本研究解读）。</w:t>
      </w:r>
    </w:p>
    <w:p>
      <w:pPr>
        <w:pStyle w:val="Heading4"/>
      </w:pPr>
      <w:r>
        <w:t>案例三：湖南院——AI智能设计与智慧工地的县域院样本 [来源: P000616]</w:t>
      </w:r>
    </w:p>
    <w:p>
      <w:pPr>
        <w:pStyle w:val="ListBullet"/>
      </w:pPr>
      <w:r>
        <w:rPr>
          <w:rFonts w:ascii="Calibri" w:hAnsi="Calibri" w:eastAsia="微软雅黑"/>
          <w:b/>
          <w:i w:val="0"/>
          <w:sz w:val="22"/>
        </w:rPr>
        <w:t>数据（Data）</w:t>
      </w:r>
      <w:r>
        <w:rPr>
          <w:rFonts w:ascii="Calibri" w:hAnsi="Calibri" w:eastAsia="微软雅黑"/>
          <w:b w:val="0"/>
          <w:i w:val="0"/>
          <w:sz w:val="22"/>
        </w:rPr>
        <w:t>：湖南院2024年数字化投入达到2800万元，并设立数字化转型专项资金、每年投入不少于营收的3%；拥有数字化专业人员80多人（含系统架构师、数据分析师、软件工程师）；BIM技术应用覆盖率达到100%，所有新建项目都采用BIM技术进行设计和管理，累计完成BIM项目300多个、BIM模型总量超过1000个 [来源: P000616]。</w:t>
      </w:r>
    </w:p>
    <w:p>
      <w:pPr>
        <w:pStyle w:val="ListBullet"/>
      </w:pPr>
      <w:r>
        <w:rPr>
          <w:rFonts w:ascii="Calibri" w:hAnsi="Calibri" w:eastAsia="微软雅黑"/>
          <w:b/>
          <w:i w:val="0"/>
          <w:sz w:val="22"/>
        </w:rPr>
        <w:t>动作（Action）</w:t>
      </w:r>
      <w:r>
        <w:rPr>
          <w:rFonts w:ascii="Calibri" w:hAnsi="Calibri" w:eastAsia="微软雅黑"/>
          <w:b w:val="0"/>
          <w:i w:val="0"/>
          <w:sz w:val="22"/>
        </w:rPr>
        <w:t>：智能设计系统使设计方案生成时间缩短50%以上、设计错误率降低30%以上、设计成本估算准确率达到90%以上；成本预测模型基于历史项目数据，预测准确率达到90%以上；EPC项目管理系统使项目管理效率提升30%以上、项目信息准确率达到95%以上、项目按时完成率提升到90%以上；智慧工地系统使施工安全事故率降低60%以上、施工质量问题发现率提升40%以上；智能运维系统使设备故障率降低40%以上、维护成本降低25%以上、设备可用率提升到98%以上 [来源: P000616]。</w:t>
      </w:r>
    </w:p>
    <w:p>
      <w:pPr>
        <w:pStyle w:val="ListBullet"/>
      </w:pPr>
      <w:r>
        <w:rPr>
          <w:rFonts w:ascii="Calibri" w:hAnsi="Calibri" w:eastAsia="微软雅黑"/>
          <w:b/>
          <w:i w:val="0"/>
          <w:sz w:val="22"/>
        </w:rPr>
        <w:t>结果（Result）</w:t>
      </w:r>
      <w:r>
        <w:rPr>
          <w:rFonts w:ascii="Calibri" w:hAnsi="Calibri" w:eastAsia="微软雅黑"/>
          <w:b w:val="0"/>
          <w:i w:val="0"/>
          <w:sz w:val="22"/>
        </w:rPr>
        <w:t>：某大型医院EPC项目（总建筑面积15万平方米、投资额8亿元）全面应用BIM技术——模型构件数量超过10万个，发现并解决200多处设计冲突；施工模拟优化施工方案、缩短施工工期3个月；设计周期缩短25%、施工周期缩短15%、项目总成本降低8%，运维阶段建立运维BIM模型实现智能化运维管理 [来源: P000616]。</w:t>
      </w:r>
    </w:p>
    <w:p>
      <w:r>
        <w:rPr>
          <w:rFonts w:ascii="Calibri" w:hAnsi="Calibri" w:eastAsia="微软雅黑"/>
          <w:b w:val="0"/>
          <w:i w:val="0"/>
          <w:sz w:val="22"/>
        </w:rPr>
        <w:t>数字化投入的决心账，要算总账不算单年账。硬件折旧、软件订阅、人员培训加在一起，头几年确实难看；但对比一次投标失误、一回安全事故、一场结算纠纷的代价，这些投入便不再昂贵。关键是把投入与见效写成里程碑式的对赌安排，避免变成无限续费的沉没成本（决算法为本研究建议）。</w:t>
      </w:r>
    </w:p>
    <w:p>
      <w:r>
        <w:rPr>
          <w:rFonts w:ascii="Calibri" w:hAnsi="Calibri" w:eastAsia="微软雅黑"/>
          <w:b w:val="0"/>
          <w:i w:val="0"/>
          <w:sz w:val="22"/>
        </w:rPr>
        <w:t>县域样本的启示在于：数字化的门槛比想象中低，比执行中高。钱不是第一约束，一把手的耐心才是；小体量企业与其羡慕头部同行的大展厅，不如把图纸、清单、验收这几样先数字化起来，两三年就能拉开与同行的身位（小样本启示为本研究解读）。</w:t>
      </w:r>
    </w:p>
    <w:p>
      <w:pPr>
        <w:pStyle w:val="Heading4"/>
      </w:pPr>
      <w:r>
        <w:t>案例四：中建三局——超高层与大型场馆的数字建造 [来源: P000621]</w:t>
      </w:r>
    </w:p>
    <w:p>
      <w:pPr>
        <w:pStyle w:val="ListBullet"/>
      </w:pPr>
      <w:r>
        <w:rPr>
          <w:rFonts w:ascii="Calibri" w:hAnsi="Calibri" w:eastAsia="微软雅黑"/>
          <w:b/>
          <w:i w:val="0"/>
          <w:sz w:val="22"/>
        </w:rPr>
        <w:t>数据（Data）</w:t>
      </w:r>
      <w:r>
        <w:rPr>
          <w:rFonts w:ascii="Calibri" w:hAnsi="Calibri" w:eastAsia="微软雅黑"/>
          <w:b w:val="0"/>
          <w:i w:val="0"/>
          <w:sz w:val="22"/>
        </w:rPr>
        <w:t>：深圳国际会展中心（全球最大会展中心之一）全面应用BIM技术实现高效协同设计和施工管理；武汉绿地中心、成都绿地中心等超高层项目深度应用BIM技术、空中造楼机与智慧工地平台 [来源: P000621]。</w:t>
      </w:r>
    </w:p>
    <w:p>
      <w:pPr>
        <w:pStyle w:val="ListBullet"/>
      </w:pPr>
      <w:r>
        <w:rPr>
          <w:rFonts w:ascii="Calibri" w:hAnsi="Calibri" w:eastAsia="微软雅黑"/>
          <w:b/>
          <w:i w:val="0"/>
          <w:sz w:val="22"/>
        </w:rPr>
        <w:t>动作（Action）</w:t>
      </w:r>
      <w:r>
        <w:rPr>
          <w:rFonts w:ascii="Calibri" w:hAnsi="Calibri" w:eastAsia="微软雅黑"/>
          <w:b w:val="0"/>
          <w:i w:val="0"/>
          <w:sz w:val="22"/>
        </w:rPr>
        <w:t>：大型场馆利用BIM进行复杂结构设计和施工模拟，通过物联网技术进行设备监控和环境管理；基础设施项目应用BIM进行线路优化、土方计算、进度模拟，利用无人机进行地形测绘和进度监控；装配式建筑项目实现设计、生产、施工全过程的数字化协同 [来源: P000621]。</w:t>
      </w:r>
    </w:p>
    <w:p>
      <w:pPr>
        <w:pStyle w:val="ListBullet"/>
      </w:pPr>
      <w:r>
        <w:rPr>
          <w:rFonts w:ascii="Calibri" w:hAnsi="Calibri" w:eastAsia="微软雅黑"/>
          <w:b/>
          <w:i w:val="0"/>
          <w:sz w:val="22"/>
        </w:rPr>
        <w:t>结果（Result）</w:t>
      </w:r>
      <w:r>
        <w:rPr>
          <w:rFonts w:ascii="Calibri" w:hAnsi="Calibri" w:eastAsia="微软雅黑"/>
          <w:b w:val="0"/>
          <w:i w:val="0"/>
          <w:sz w:val="22"/>
        </w:rPr>
        <w:t>：实现了超高层、大型场馆与工业能源项目的高品质数字交付（结果表述为本研究据源文归纳）[来源: P000621]。</w:t>
      </w:r>
    </w:p>
    <w:p>
      <w:pPr>
        <w:pStyle w:val="Heading3"/>
      </w:pPr>
      <w:r>
        <w:t>7.6.3 可执行方法：数字化使能"四步法"（本研究归纳，示意性复盘）</w:t>
      </w:r>
    </w:p>
    <w:p>
      <w:pPr>
        <w:pStyle w:val="ListNumber"/>
      </w:pPr>
      <w:r>
        <w:rPr>
          <w:rFonts w:ascii="Calibri" w:hAnsi="Calibri" w:eastAsia="微软雅黑"/>
          <w:b/>
          <w:i w:val="0"/>
          <w:sz w:val="22"/>
        </w:rPr>
        <w:t>第一步：搭设云端项目管理系统与企业级BIM协同平台</w:t>
      </w:r>
      <w:r>
        <w:rPr>
          <w:rFonts w:ascii="Calibri" w:hAnsi="Calibri" w:eastAsia="微软雅黑"/>
          <w:b w:val="0"/>
          <w:i w:val="0"/>
          <w:sz w:val="22"/>
        </w:rPr>
        <w:t>。打通设计、采购、施工、合同与财务数据流，统一企业级BIM建模标准、交付规范与构件库（华东院、市政总院、三局均为此形态）[来源: P000601, P000606, P000621]。</w:t>
      </w:r>
    </w:p>
    <w:p>
      <w:pPr>
        <w:pStyle w:val="ListNumber"/>
      </w:pPr>
      <w:r>
        <w:rPr>
          <w:rFonts w:ascii="Calibri" w:hAnsi="Calibri" w:eastAsia="微软雅黑"/>
          <w:b/>
          <w:i w:val="0"/>
          <w:sz w:val="22"/>
        </w:rPr>
        <w:t>第二步：推行BIM虚拟建造与施工方案优化</w:t>
      </w:r>
      <w:r>
        <w:rPr>
          <w:rFonts w:ascii="Calibri" w:hAnsi="Calibri" w:eastAsia="微软雅黑"/>
          <w:b w:val="0"/>
          <w:i w:val="0"/>
          <w:sz w:val="22"/>
        </w:rPr>
        <w:t>。将BIM模型与进度计划关联开展施工模拟与流水段排布，与成本数据绑定实现工程量精准提取（湖南院医院项目施工模拟缩短工期3个月为实证）[来源: P000616]。</w:t>
      </w:r>
    </w:p>
    <w:p>
      <w:r>
        <w:rPr>
          <w:rFonts w:ascii="Calibri" w:hAnsi="Calibri" w:eastAsia="微软雅黑"/>
          <w:b w:val="0"/>
          <w:i w:val="0"/>
          <w:sz w:val="22"/>
        </w:rPr>
        <w:t>虚拟建造的省钱路径，多数藏在看不见的地方：碰撞在图纸阶段消掉，比现场返工便宜一个量级；工期模拟压出的富余，能换来更从容的采购窗口。把这些隐性收益折算进投标报价，才是虚拟建造真正的商业价值（价值折算为本研究解读）。</w:t>
      </w:r>
    </w:p>
    <w:p>
      <w:r>
        <w:rPr>
          <w:rFonts w:ascii="Calibri" w:hAnsi="Calibri" w:eastAsia="微软雅黑"/>
          <w:b w:val="0"/>
          <w:i w:val="0"/>
          <w:sz w:val="22"/>
        </w:rPr>
        <w:t>模拟也有边界：模型算得出碰撞与工效，算不进人心的怠惰与指令的反复。把它当辅助决策的沙盘，而不是取代现场判断的裁判，才不会在意外面前手足无措。聪明的用法是拿模拟结果去挑战经验，而非拿经验去迁就模拟（工具边界为本研究解读）。</w:t>
      </w:r>
    </w:p>
    <w:p>
      <w:pPr>
        <w:pStyle w:val="ListNumber"/>
      </w:pPr>
      <w:r>
        <w:rPr>
          <w:rFonts w:ascii="Calibri" w:hAnsi="Calibri" w:eastAsia="微软雅黑"/>
          <w:b/>
          <w:i w:val="0"/>
          <w:sz w:val="22"/>
        </w:rPr>
        <w:t>第三步：部署智慧工地物联网感知网</w:t>
      </w:r>
      <w:r>
        <w:rPr>
          <w:rFonts w:ascii="Calibri" w:hAnsi="Calibri" w:eastAsia="微软雅黑"/>
          <w:b w:val="0"/>
          <w:i w:val="0"/>
          <w:sz w:val="22"/>
        </w:rPr>
        <w:t>。人员实名考勤、机械运行监测、高价值材料追溯、环境与安全AI识别四类感知全覆盖（湖南院智慧工地使安全事故率降低60%以上为实证）[来源: P000616]。</w:t>
      </w:r>
    </w:p>
    <w:p>
      <w:r>
        <w:rPr>
          <w:rFonts w:ascii="Calibri" w:hAnsi="Calibri" w:eastAsia="微软雅黑"/>
          <w:b w:val="0"/>
          <w:i w:val="0"/>
          <w:sz w:val="22"/>
        </w:rPr>
        <w:t>感知网的建设顺序，宜按风险倒排：先覆盖高危作业与关键设备，再谈效率类场景。安全数据的宝贵不仅在于即时报警，更在于事后追溯时能够还原现场——这份还原力，恰是责任划分与保险理赔时的硬凭据（建设顺序为本研究建议）。</w:t>
      </w:r>
    </w:p>
    <w:p>
      <w:pPr>
        <w:pStyle w:val="ListNumber"/>
      </w:pPr>
      <w:r>
        <w:rPr>
          <w:rFonts w:ascii="Calibri" w:hAnsi="Calibri" w:eastAsia="微软雅黑"/>
          <w:b/>
          <w:i w:val="0"/>
          <w:sz w:val="22"/>
        </w:rPr>
        <w:t>第四步：交付数字孪生体与智慧运维延伸</w:t>
      </w:r>
      <w:r>
        <w:rPr>
          <w:rFonts w:ascii="Calibri" w:hAnsi="Calibri" w:eastAsia="微软雅黑"/>
          <w:b w:val="0"/>
          <w:i w:val="0"/>
          <w:sz w:val="22"/>
        </w:rPr>
        <w:t>。施工过程中实时更新模型确保竣工模型与工程实体一致，交付集成设备台账与运维指南的数字资产，拓展运维服务（华东院数字孪生远程监控为实证）[来源: P000601]。</w:t>
      </w:r>
    </w:p>
    <w:p>
      <w:r>
        <w:rPr>
          <w:rFonts w:ascii="Calibri" w:hAnsi="Calibri" w:eastAsia="微软雅黑"/>
          <w:b w:val="0"/>
          <w:i w:val="0"/>
          <w:sz w:val="22"/>
        </w:rPr>
        <w:t>上述次序不可颠倒：没有统一建模标准就仓促铺终端，感知网越密、数据垃圾越多；没有施工模拟就直奔数字孪生，交付的只是一个昂贵的三维动画。渐进式投入的企业普遍遵循同一节奏——先让数据在同一条管道里流动，再谈智能，最后才谈变现。跳级的企业，多半会在编码统一这一课上反复补课（本节心法为本研究解读）。</w:t>
      </w:r>
    </w:p>
    <w:p>
      <w:r>
        <w:rPr>
          <w:rFonts w:ascii="Calibri" w:hAnsi="Calibri" w:eastAsia="微软雅黑"/>
          <w:b w:val="0"/>
          <w:i w:val="0"/>
          <w:sz w:val="22"/>
        </w:rPr>
        <w:t>---</w:t>
      </w:r>
    </w:p>
    <w:p>
      <w:pPr>
        <w:pStyle w:val="Heading2"/>
      </w:pPr>
      <w:r>
        <w:t>7.7 组织与人才：交付能力的承重结构</w:t>
      </w:r>
    </w:p>
    <w:p>
      <w:r>
        <w:rPr>
          <w:rFonts w:ascii="Calibri" w:hAnsi="Calibri" w:eastAsia="微软雅黑"/>
          <w:b w:val="0"/>
          <w:i w:val="0"/>
          <w:sz w:val="22"/>
        </w:rPr>
        <w:t>工程总承包模式对企业的组织管控与人才能力结构提出了根本性重塑要求。传统设计院或施工企业转型EPC过程中，普遍面临设计与施工事业部"独立核算、内部博弈"的组织壁垒，以及复合型人才断层——要实现一体化交付，必须建立强矩阵组织架构、差异化授权体系与系统化人才培养机制（问题归纳为本研究据源文整理）。</w:t>
      </w:r>
    </w:p>
    <w:p>
      <w:r>
        <w:rPr>
          <w:rFonts w:ascii="Calibri" w:hAnsi="Calibri" w:eastAsia="微软雅黑"/>
          <w:b w:val="0"/>
          <w:i w:val="0"/>
          <w:sz w:val="22"/>
        </w:rPr>
        <w:t>组织转型的难点，从来不在画出新架构图，而在拆掉旧的汇报惯性。矩阵式组织落地初期，双向汇报的员工会本能地只听原条线的指令，项目经理成了没有牙齿的协调员；破局的办法是把考核权与奖金分配权真正交到项目经理手里，让"借人"变成"给资源"。总部若舍不得这两项权力，矩阵就永远停留在纸面上（选人要诀为本研究解读）。</w:t>
      </w:r>
    </w:p>
    <w:p>
      <w:pPr>
        <w:pStyle w:val="Heading3"/>
      </w:pPr>
      <w:r>
        <w:t>7.7.1 矩阵式组织重构与风险穿透</w:t>
      </w:r>
    </w:p>
    <w:p>
      <w:pPr>
        <w:pStyle w:val="ListNumber"/>
      </w:pPr>
      <w:r>
        <w:rPr>
          <w:rFonts w:ascii="Calibri" w:hAnsi="Calibri" w:eastAsia="微软雅黑"/>
          <w:b/>
          <w:i w:val="0"/>
          <w:sz w:val="22"/>
        </w:rPr>
        <w:t>上海市政总院：矩阵式管理+专业组穿透</w:t>
      </w:r>
      <w:r>
        <w:rPr>
          <w:rFonts w:ascii="Calibri" w:hAnsi="Calibri" w:eastAsia="微软雅黑"/>
          <w:b w:val="0"/>
          <w:i w:val="0"/>
          <w:sz w:val="22"/>
        </w:rPr>
        <w:t>。市政总院在武汉左岭污水厂二厂EPC项目中成立专门的项目管理团队，按专业职能下设设计管理组、采购管理组、施工管理组、质量安全组、合同商务组，搭建起完整的项目管理班底；项目管理信息系统的应用实现了项目信息的即时共享与管理决策的数据支撑 [来源: P000606]。</w:t>
      </w:r>
    </w:p>
    <w:p>
      <w:r>
        <w:rPr>
          <w:rFonts w:ascii="Calibri" w:hAnsi="Calibri" w:eastAsia="微软雅黑"/>
          <w:b w:val="0"/>
          <w:i w:val="0"/>
          <w:sz w:val="22"/>
        </w:rPr>
        <w:t>分工清单再漂亮，也代替不了衔接的默契。两个条线交接处的约定写得越细，信息在传递中的损耗就越小；各组牵头人碰头的十分钟短会，往往比任何协同软件都更能兜住现场的急事。分工是表，咬合是里——评审组织架构时，不妨专看交接面（分工之辨为本研究解读）。</w:t>
      </w:r>
    </w:p>
    <w:p>
      <w:pPr>
        <w:pStyle w:val="ListNumber"/>
      </w:pPr>
      <w:r>
        <w:rPr>
          <w:rFonts w:ascii="Calibri" w:hAnsi="Calibri" w:eastAsia="微软雅黑"/>
          <w:b/>
          <w:i w:val="0"/>
          <w:sz w:val="22"/>
        </w:rPr>
        <w:t>华东院：PMO支撑的矩阵式项目组织</w:t>
      </w:r>
      <w:r>
        <w:rPr>
          <w:rFonts w:ascii="Calibri" w:hAnsi="Calibri" w:eastAsia="微软雅黑"/>
          <w:b w:val="0"/>
          <w:i w:val="0"/>
          <w:sz w:val="22"/>
        </w:rPr>
        <w:t>。项目采用矩阵式组织结构，由项目经理负责项目的全面管理，项目团队由设计、采购、施工、调试等专业人员组成；设立项目管理办公室（PMO）负责项目的协调和管理支持，形成"集成管理+专业化分工+协同化运作+数字化支撑"的管理模式特点 [来源: P000601]。</w:t>
      </w:r>
    </w:p>
    <w:p>
      <w:pPr>
        <w:pStyle w:val="ListNumber"/>
      </w:pPr>
      <w:r>
        <w:rPr>
          <w:rFonts w:ascii="Calibri" w:hAnsi="Calibri" w:eastAsia="微软雅黑"/>
          <w:b/>
          <w:i w:val="0"/>
          <w:sz w:val="22"/>
        </w:rPr>
        <w:t>中建三局：专职风险经理+"红黄牌"预警</w:t>
      </w:r>
      <w:r>
        <w:rPr>
          <w:rFonts w:ascii="Calibri" w:hAnsi="Calibri" w:eastAsia="微软雅黑"/>
          <w:b w:val="0"/>
          <w:i w:val="0"/>
          <w:sz w:val="22"/>
        </w:rPr>
        <w:t>。在重大EPC项目中设置专职项目风险经理负责风险管理；对出现严重问题或风险的项目发出"黄牌警告"或"红牌停工"；组建巡检小组不定期巡检 [来源: P000621]。</w:t>
      </w:r>
    </w:p>
    <w:p>
      <w:pPr>
        <w:pStyle w:val="ListNumber"/>
      </w:pPr>
      <w:r>
        <w:rPr>
          <w:rFonts w:ascii="Calibri" w:hAnsi="Calibri" w:eastAsia="微软雅黑"/>
          <w:b/>
          <w:i w:val="0"/>
          <w:sz w:val="22"/>
        </w:rPr>
        <w:t>中南院：特大型项目联合体PMO</w:t>
      </w:r>
      <w:r>
        <w:rPr>
          <w:rFonts w:ascii="Calibri" w:hAnsi="Calibri" w:eastAsia="微软雅黑"/>
          <w:b w:val="0"/>
          <w:i w:val="0"/>
          <w:sz w:val="22"/>
        </w:rPr>
        <w:t>。针对辰溪抽水蓄能电站EPC项目（53.06亿元、2284日历天），中南院与水电八局、水电七局组成联合体，通过联合体协调机制统筹设计优化与现场施工资源，保障超长周期特大型能源工程的组织稳定 [来源: P000631]。</w:t>
      </w:r>
    </w:p>
    <w:p>
      <w:r>
        <w:rPr>
          <w:rFonts w:ascii="Calibri" w:hAnsi="Calibri" w:eastAsia="微软雅黑"/>
          <w:b w:val="0"/>
          <w:i w:val="0"/>
          <w:sz w:val="22"/>
        </w:rPr>
        <w:t>联合体形态的组织稳定，靠的不是协议书上的签名，而是日常议事规则的事先约定。设计优化谁拍板、现场资源谁调度、款项分配谁核准，这些事项若等到分歧出现再谈，每次都要惊动双方法定代表人；写进联席议事规则里，项目层面就能自行消化大半摩擦（协作要诀为本研究解读）。</w:t>
      </w:r>
    </w:p>
    <w:p>
      <w:pPr>
        <w:pStyle w:val="Heading3"/>
      </w:pPr>
      <w:r>
        <w:t>7.7.2 复合型人才梯队建设</w:t>
      </w:r>
    </w:p>
    <w:p>
      <w:pPr>
        <w:pStyle w:val="ListNumber"/>
      </w:pPr>
      <w:r>
        <w:rPr>
          <w:rFonts w:ascii="Calibri" w:hAnsi="Calibri" w:eastAsia="微软雅黑"/>
          <w:b/>
          <w:i w:val="0"/>
          <w:sz w:val="22"/>
        </w:rPr>
        <w:t>湖南院：数字化人才培养体系</w:t>
      </w:r>
      <w:r>
        <w:rPr>
          <w:rFonts w:ascii="Calibri" w:hAnsi="Calibri" w:eastAsia="微软雅黑"/>
          <w:b w:val="0"/>
          <w:i w:val="0"/>
          <w:sz w:val="22"/>
        </w:rPr>
        <w:t>。企业建立分层次的BIM培训体系（基础、专业、高级培训）、BIM技能认证体系（初级、中级、高级三个等级）与BIM应用激励机制，并与高等院校、培训机构开展校企合作；目前拥有BIM应用人员200多人，其中高级BIM工程师50多人 [来源: P000616]。</w:t>
      </w:r>
    </w:p>
    <w:p>
      <w:r>
        <w:rPr>
          <w:rFonts w:ascii="Calibri" w:hAnsi="Calibri" w:eastAsia="微软雅黑"/>
          <w:b w:val="0"/>
          <w:i w:val="0"/>
          <w:sz w:val="22"/>
        </w:rPr>
        <w:t>复合型人才短缺是全行业共同瓶颈，等靠招聘解不了近渴。跑在前面的企业普遍走"转培结合"的路子：从设计与施工条线各选一批骨干，压进同一个项目里摔打，再用认证与津贴把他们留在总承包序列。选人时看两样——懂技术的是否愿意碰商务，懂商务的是否愿意下现场；两问皆是者，才是总承包项目经理的苗子（读法为本研究解读）。</w:t>
      </w:r>
    </w:p>
    <w:p>
      <w:pPr>
        <w:pStyle w:val="ListNumber"/>
      </w:pPr>
      <w:r>
        <w:rPr>
          <w:rFonts w:ascii="Calibri" w:hAnsi="Calibri" w:eastAsia="微软雅黑"/>
          <w:b/>
          <w:i w:val="0"/>
          <w:sz w:val="22"/>
        </w:rPr>
        <w:t>上海市政总院：研发平台承载人才</w:t>
      </w:r>
      <w:r>
        <w:rPr>
          <w:rFonts w:ascii="Calibri" w:hAnsi="Calibri" w:eastAsia="微软雅黑"/>
          <w:b w:val="0"/>
          <w:i w:val="0"/>
          <w:sz w:val="22"/>
        </w:rPr>
        <w:t>。以智慧建造研究院为研发平台，年度研发投入约占营业收入5.2%（总额超过8亿元），专业技术人员占比超过80%，技术服务客户满意度保持92%以上，为全国数十个大型水务与环境EPC项目输送交付人才 [来源: P000606]。</w:t>
      </w:r>
    </w:p>
    <w:p>
      <w:r>
        <w:rPr>
          <w:rFonts w:ascii="Calibri" w:hAnsi="Calibri" w:eastAsia="微软雅黑"/>
          <w:b w:val="0"/>
          <w:i w:val="0"/>
          <w:sz w:val="22"/>
        </w:rPr>
        <w:t>人才管道的口径，决定梯队的成色。只从社会招聘补缺的，队伍永远在磨合；把校园苗子、内部转岗、外部专家按比例混编，再辅以轮岗与师徒制，梯队才有厚度。输送能力的真正含义，是新人进场就能领到一张清晰的成长路线图（管道口径为本研究解读）。</w:t>
      </w:r>
    </w:p>
    <w:p>
      <w:pPr>
        <w:pStyle w:val="Heading3"/>
      </w:pPr>
      <w:r>
        <w:t>7.7.3 可执行方法：组织激活"四步法"（本研究归纳，示意性复盘）</w:t>
      </w:r>
    </w:p>
    <w:p>
      <w:pPr>
        <w:pStyle w:val="ListNumber"/>
      </w:pPr>
      <w:r>
        <w:rPr>
          <w:rFonts w:ascii="Calibri" w:hAnsi="Calibri" w:eastAsia="微软雅黑"/>
          <w:b/>
          <w:i w:val="0"/>
          <w:sz w:val="22"/>
        </w:rPr>
        <w:t>第一步：E-P-C强矩阵重构</w:t>
      </w:r>
      <w:r>
        <w:rPr>
          <w:rFonts w:ascii="Calibri" w:hAnsi="Calibri" w:eastAsia="微软雅黑"/>
          <w:b w:val="0"/>
          <w:i w:val="0"/>
          <w:sz w:val="22"/>
        </w:rPr>
        <w:t>。撤销依附于单体事业部的独立核算墙，建立总部PMO统筹下的强矩阵项目指挥部，明确项目经理在预算分配、分包选择及团队考核上的核心决策权（华东院PMO+矩阵式组织为实证形态）[来源: P000601]。</w:t>
      </w:r>
    </w:p>
    <w:p>
      <w:pPr>
        <w:pStyle w:val="ListNumber"/>
      </w:pPr>
      <w:r>
        <w:rPr>
          <w:rFonts w:ascii="Calibri" w:hAnsi="Calibri" w:eastAsia="微软雅黑"/>
          <w:b/>
          <w:i w:val="0"/>
          <w:sz w:val="22"/>
        </w:rPr>
        <w:t>第二步：差异化授权与风险预警制度化</w:t>
      </w:r>
      <w:r>
        <w:rPr>
          <w:rFonts w:ascii="Calibri" w:hAnsi="Calibri" w:eastAsia="微软雅黑"/>
          <w:b w:val="0"/>
          <w:i w:val="0"/>
          <w:sz w:val="22"/>
        </w:rPr>
        <w:t>。按项目规模与风险等级制定差异化授权手册；设立专职项目风险经理，推行"红黄牌"动态履约预警（三局制度为实证）[来源: P000621]。</w:t>
      </w:r>
    </w:p>
    <w:p>
      <w:pPr>
        <w:pStyle w:val="ListNumber"/>
      </w:pPr>
      <w:r>
        <w:rPr>
          <w:rFonts w:ascii="Calibri" w:hAnsi="Calibri" w:eastAsia="微软雅黑"/>
          <w:b/>
          <w:i w:val="0"/>
          <w:sz w:val="22"/>
        </w:rPr>
        <w:t>第三步：人才盘点与能力补强</w:t>
      </w:r>
      <w:r>
        <w:rPr>
          <w:rFonts w:ascii="Calibri" w:hAnsi="Calibri" w:eastAsia="微软雅黑"/>
          <w:b w:val="0"/>
          <w:i w:val="0"/>
          <w:sz w:val="22"/>
        </w:rPr>
        <w:t>。围绕设计优化、采购谈判、施工组织、合同防线四个维度评估现有管理人员，对技术型人才开展商务法务轮岗，对施工型人才开展限额设计与BIM实操强训（培训体系以湖南院三级认证为参照）[来源: P000616]。</w:t>
      </w:r>
    </w:p>
    <w:p>
      <w:pPr>
        <w:pStyle w:val="ListNumber"/>
      </w:pPr>
      <w:r>
        <w:rPr>
          <w:rFonts w:ascii="Calibri" w:hAnsi="Calibri" w:eastAsia="微软雅黑"/>
          <w:b/>
          <w:i w:val="0"/>
          <w:sz w:val="22"/>
        </w:rPr>
        <w:t>第四步：基于全生命周期价值创造的激励机制</w:t>
      </w:r>
      <w:r>
        <w:rPr>
          <w:rFonts w:ascii="Calibri" w:hAnsi="Calibri" w:eastAsia="微软雅黑"/>
          <w:b w:val="0"/>
          <w:i w:val="0"/>
          <w:sz w:val="22"/>
        </w:rPr>
        <w:t>。将进度达成率、限额节约率、质量安全与客户满意度综合计分，设立项目节点奖与超额利润分享机制，使项目团队利益与最终交付绩效深度绑定（机制设计为本研究归纳，方向据源文整理）。</w:t>
      </w:r>
    </w:p>
    <w:p>
      <w:r>
        <w:rPr>
          <w:rFonts w:ascii="Calibri" w:hAnsi="Calibri" w:eastAsia="微软雅黑"/>
          <w:b w:val="0"/>
          <w:i w:val="0"/>
          <w:sz w:val="22"/>
        </w:rPr>
        <w:t>---</w:t>
      </w:r>
    </w:p>
    <w:p>
      <w:pPr>
        <w:pStyle w:val="Heading2"/>
      </w:pPr>
      <w:r>
        <w:t>7.8 TOP50交付能力全景对标与买家决策建议</w:t>
      </w:r>
    </w:p>
    <w:p>
      <w:pPr>
        <w:pStyle w:val="Heading3"/>
      </w:pPr>
      <w:r>
        <w:t>7.8.1 七家标杆企业交付能力横向对标矩阵</w:t>
      </w:r>
    </w:p>
    <w:p>
      <w:r>
        <w:rPr>
          <w:rFonts w:ascii="Calibri" w:hAnsi="Calibri" w:eastAsia="微软雅黑"/>
          <w:b w:val="0"/>
          <w:i w:val="0"/>
          <w:sz w:val="22"/>
        </w:rPr>
        <w:t>为便于读者快速对标，现将七家标杆企业在交付能力六个维度的实证要点汇总如下（矩阵为本研究归纳，各单元格事实均取自对应源文）：</w:t>
      </w:r>
    </w:p>
    <w:p>
      <w:pPr>
        <w:pStyle w:val="Heading4"/>
      </w:pPr>
      <w:r>
        <w:t>表7-5 TOP50标杆企业项目管理与交付能力对标矩阵（本研究归纳整理）</w:t>
      </w:r>
    </w:p>
    <w:tbl>
      <w:tblPr>
        <w:tblStyle w:val="TableGrid"/>
        <w:tblW w:type="auto" w:w="0"/>
        <w:tblLook w:firstColumn="1" w:firstRow="1" w:lastColumn="0" w:lastRow="0" w:noHBand="0" w:noVBand="1" w:val="04A0"/>
      </w:tblPr>
      <w:tblGrid>
        <w:gridCol w:w="1186"/>
        <w:gridCol w:w="1186"/>
        <w:gridCol w:w="1186"/>
        <w:gridCol w:w="1186"/>
        <w:gridCol w:w="1186"/>
        <w:gridCol w:w="1186"/>
        <w:gridCol w:w="1186"/>
      </w:tblGrid>
      <w:tr>
        <w:tc>
          <w:tcPr>
            <w:tcW w:type="dxa" w:w="1186"/>
            <w:shd w:fill="1F3A5F"/>
          </w:tcPr>
          <w:p>
            <w:r>
              <w:rPr>
                <w:color w:val="FFFFFF"/>
              </w:rPr>
            </w:r>
            <w:r>
              <w:rPr>
                <w:rFonts w:ascii="Calibri" w:hAnsi="Calibri" w:eastAsia="微软雅黑"/>
                <w:b/>
                <w:i w:val="0"/>
                <w:color w:val="FFFFFF"/>
                <w:sz w:val="18"/>
              </w:rPr>
              <w:t>企业</w:t>
            </w:r>
          </w:p>
        </w:tc>
        <w:tc>
          <w:tcPr>
            <w:tcW w:type="dxa" w:w="1186"/>
            <w:shd w:fill="1F3A5F"/>
          </w:tcPr>
          <w:p>
            <w:r>
              <w:rPr>
                <w:color w:val="FFFFFF"/>
              </w:rPr>
            </w:r>
            <w:r>
              <w:rPr>
                <w:rFonts w:ascii="Calibri" w:hAnsi="Calibri" w:eastAsia="微软雅黑"/>
                <w:b/>
                <w:i w:val="0"/>
                <w:color w:val="FFFFFF"/>
                <w:sz w:val="18"/>
              </w:rPr>
              <w:t>源头锁价</w:t>
            </w:r>
          </w:p>
        </w:tc>
        <w:tc>
          <w:tcPr>
            <w:tcW w:type="dxa" w:w="1186"/>
            <w:shd w:fill="1F3A5F"/>
          </w:tcPr>
          <w:p>
            <w:r>
              <w:rPr>
                <w:color w:val="FFFFFF"/>
              </w:rPr>
            </w:r>
            <w:r>
              <w:rPr>
                <w:rFonts w:ascii="Calibri" w:hAnsi="Calibri" w:eastAsia="微软雅黑"/>
                <w:b/>
                <w:i w:val="0"/>
                <w:color w:val="FFFFFF"/>
                <w:sz w:val="18"/>
              </w:rPr>
              <w:t>接口消痕</w:t>
            </w:r>
          </w:p>
        </w:tc>
        <w:tc>
          <w:tcPr>
            <w:tcW w:type="dxa" w:w="1186"/>
            <w:shd w:fill="1F3A5F"/>
          </w:tcPr>
          <w:p>
            <w:r>
              <w:rPr>
                <w:color w:val="FFFFFF"/>
              </w:rPr>
            </w:r>
            <w:r>
              <w:rPr>
                <w:rFonts w:ascii="Calibri" w:hAnsi="Calibri" w:eastAsia="微软雅黑"/>
                <w:b/>
                <w:i w:val="0"/>
                <w:color w:val="FFFFFF"/>
                <w:sz w:val="18"/>
              </w:rPr>
              <w:t>过程纠偏</w:t>
            </w:r>
          </w:p>
        </w:tc>
        <w:tc>
          <w:tcPr>
            <w:tcW w:type="dxa" w:w="1186"/>
            <w:shd w:fill="1F3A5F"/>
          </w:tcPr>
          <w:p>
            <w:r>
              <w:rPr>
                <w:color w:val="FFFFFF"/>
              </w:rPr>
            </w:r>
            <w:r>
              <w:rPr>
                <w:rFonts w:ascii="Calibri" w:hAnsi="Calibri" w:eastAsia="微软雅黑"/>
                <w:b/>
                <w:i w:val="0"/>
                <w:color w:val="FFFFFF"/>
                <w:sz w:val="18"/>
              </w:rPr>
              <w:t>合同防御</w:t>
            </w:r>
          </w:p>
        </w:tc>
        <w:tc>
          <w:tcPr>
            <w:tcW w:type="dxa" w:w="1186"/>
            <w:shd w:fill="1F3A5F"/>
          </w:tcPr>
          <w:p>
            <w:r>
              <w:rPr>
                <w:color w:val="FFFFFF"/>
              </w:rPr>
            </w:r>
            <w:r>
              <w:rPr>
                <w:rFonts w:ascii="Calibri" w:hAnsi="Calibri" w:eastAsia="微软雅黑"/>
                <w:b/>
                <w:i w:val="0"/>
                <w:color w:val="FFFFFF"/>
                <w:sz w:val="18"/>
              </w:rPr>
              <w:t>交付闭环</w:t>
            </w:r>
          </w:p>
        </w:tc>
        <w:tc>
          <w:tcPr>
            <w:tcW w:type="dxa" w:w="1186"/>
            <w:shd w:fill="1F3A5F"/>
          </w:tcPr>
          <w:p>
            <w:r>
              <w:rPr>
                <w:color w:val="FFFFFF"/>
              </w:rPr>
            </w:r>
            <w:r>
              <w:rPr>
                <w:rFonts w:ascii="Calibri" w:hAnsi="Calibri" w:eastAsia="微软雅黑"/>
                <w:b/>
                <w:i w:val="0"/>
                <w:color w:val="FFFFFF"/>
                <w:sz w:val="18"/>
              </w:rPr>
              <w:t>数字化赋能</w:t>
            </w:r>
          </w:p>
        </w:tc>
      </w:tr>
      <w:tr>
        <w:tc>
          <w:tcPr>
            <w:tcW w:type="dxa" w:w="1186"/>
          </w:tcPr>
          <w:p>
            <w:r/>
            <w:r>
              <w:rPr>
                <w:rFonts w:ascii="Calibri" w:hAnsi="Calibri" w:eastAsia="微软雅黑"/>
                <w:b w:val="0"/>
                <w:i w:val="0"/>
                <w:sz w:val="18"/>
              </w:rPr>
              <w:t>华东院 [来源: P000601]</w:t>
            </w:r>
          </w:p>
        </w:tc>
        <w:tc>
          <w:tcPr>
            <w:tcW w:type="dxa" w:w="1186"/>
          </w:tcPr>
          <w:p>
            <w:r/>
            <w:r>
              <w:rPr>
                <w:rFonts w:ascii="Calibri" w:hAnsi="Calibri" w:eastAsia="微软雅黑"/>
                <w:b w:val="0"/>
                <w:i w:val="0"/>
                <w:sz w:val="18"/>
              </w:rPr>
              <w:t>"大设计"理念，VE贯穿方案比选</w:t>
            </w:r>
          </w:p>
        </w:tc>
        <w:tc>
          <w:tcPr>
            <w:tcW w:type="dxa" w:w="1186"/>
          </w:tcPr>
          <w:p>
            <w:r/>
            <w:r>
              <w:rPr>
                <w:rFonts w:ascii="Calibri" w:hAnsi="Calibri" w:eastAsia="微软雅黑"/>
                <w:b w:val="0"/>
                <w:i w:val="0"/>
                <w:sz w:val="18"/>
              </w:rPr>
              <w:t>八阶段全生命周期集成管理</w:t>
            </w:r>
          </w:p>
        </w:tc>
        <w:tc>
          <w:tcPr>
            <w:tcW w:type="dxa" w:w="1186"/>
          </w:tcPr>
          <w:p>
            <w:r/>
            <w:r>
              <w:rPr>
                <w:rFonts w:ascii="Calibri" w:hAnsi="Calibri" w:eastAsia="微软雅黑"/>
                <w:b w:val="0"/>
                <w:i w:val="0"/>
                <w:sz w:val="18"/>
              </w:rPr>
              <w:t>EVM+关键路径法+动态成本控制法；"四位一体"管控</w:t>
            </w:r>
          </w:p>
        </w:tc>
        <w:tc>
          <w:tcPr>
            <w:tcW w:type="dxa" w:w="1186"/>
          </w:tcPr>
          <w:p>
            <w:r/>
            <w:r>
              <w:rPr>
                <w:rFonts w:ascii="Calibri" w:hAnsi="Calibri" w:eastAsia="微软雅黑"/>
                <w:b w:val="0"/>
                <w:i w:val="0"/>
                <w:sz w:val="18"/>
              </w:rPr>
              <w:t>启动阶段即锁定投标决策/报价审核/合同评审三控制点</w:t>
            </w:r>
          </w:p>
        </w:tc>
        <w:tc>
          <w:tcPr>
            <w:tcW w:type="dxa" w:w="1186"/>
          </w:tcPr>
          <w:p>
            <w:r/>
            <w:r>
              <w:rPr>
                <w:rFonts w:ascii="Calibri" w:hAnsi="Calibri" w:eastAsia="微软雅黑"/>
                <w:b w:val="0"/>
                <w:i w:val="0"/>
                <w:sz w:val="18"/>
              </w:rPr>
              <w:t>调试计划管理+性能测试方案+问题闭环</w:t>
            </w:r>
          </w:p>
        </w:tc>
        <w:tc>
          <w:tcPr>
            <w:tcW w:type="dxa" w:w="1186"/>
          </w:tcPr>
          <w:p>
            <w:r/>
            <w:r>
              <w:rPr>
                <w:rFonts w:ascii="Calibri" w:hAnsi="Calibri" w:eastAsia="微软雅黑"/>
                <w:b w:val="0"/>
                <w:i w:val="0"/>
                <w:sz w:val="18"/>
              </w:rPr>
              <w:t>设计效率+30%、采购成本-10%、项目成本-8%</w:t>
            </w:r>
          </w:p>
        </w:tc>
      </w:tr>
      <w:tr>
        <w:tc>
          <w:tcPr>
            <w:tcW w:type="dxa" w:w="1186"/>
          </w:tcPr>
          <w:p>
            <w:r/>
            <w:r>
              <w:rPr>
                <w:rFonts w:ascii="Calibri" w:hAnsi="Calibri" w:eastAsia="微软雅黑"/>
                <w:b w:val="0"/>
                <w:i w:val="0"/>
                <w:sz w:val="18"/>
              </w:rPr>
              <w:t>上海市政总院 [来源: P000606]</w:t>
            </w:r>
          </w:p>
        </w:tc>
        <w:tc>
          <w:tcPr>
            <w:tcW w:type="dxa" w:w="1186"/>
          </w:tcPr>
          <w:p>
            <w:r/>
            <w:r>
              <w:rPr>
                <w:rFonts w:ascii="Calibri" w:hAnsi="Calibri" w:eastAsia="微软雅黑"/>
                <w:b w:val="0"/>
                <w:i w:val="0"/>
                <w:sz w:val="18"/>
              </w:rPr>
              <w:t>成本结构四分法（设计15-20%/采购40-50%/施工25-35%）</w:t>
            </w:r>
          </w:p>
        </w:tc>
        <w:tc>
          <w:tcPr>
            <w:tcW w:type="dxa" w:w="1186"/>
          </w:tcPr>
          <w:p>
            <w:r/>
            <w:r>
              <w:rPr>
                <w:rFonts w:ascii="Calibri" w:hAnsi="Calibri" w:eastAsia="微软雅黑"/>
                <w:b w:val="0"/>
                <w:i w:val="0"/>
                <w:sz w:val="18"/>
              </w:rPr>
              <w:t>每周协调例会+信息共享平台+接口标准</w:t>
            </w:r>
          </w:p>
        </w:tc>
        <w:tc>
          <w:tcPr>
            <w:tcW w:type="dxa" w:w="1186"/>
          </w:tcPr>
          <w:p>
            <w:r/>
            <w:r>
              <w:rPr>
                <w:rFonts w:ascii="Calibri" w:hAnsi="Calibri" w:eastAsia="微软雅黑"/>
                <w:b w:val="0"/>
                <w:i w:val="0"/>
                <w:sz w:val="18"/>
              </w:rPr>
              <w:t>项目管理信息系统实时归集</w:t>
            </w:r>
          </w:p>
        </w:tc>
        <w:tc>
          <w:tcPr>
            <w:tcW w:type="dxa" w:w="1186"/>
          </w:tcPr>
          <w:p>
            <w:r/>
            <w:r>
              <w:rPr>
                <w:rFonts w:ascii="Calibri" w:hAnsi="Calibri" w:eastAsia="微软雅黑"/>
                <w:b w:val="0"/>
                <w:i w:val="0"/>
                <w:sz w:val="18"/>
              </w:rPr>
              <w:t>合同商务组专职化</w:t>
            </w:r>
          </w:p>
        </w:tc>
        <w:tc>
          <w:tcPr>
            <w:tcW w:type="dxa" w:w="1186"/>
          </w:tcPr>
          <w:p>
            <w:r/>
            <w:r>
              <w:rPr>
                <w:rFonts w:ascii="Calibri" w:hAnsi="Calibri" w:eastAsia="微软雅黑"/>
                <w:b w:val="0"/>
                <w:i w:val="0"/>
                <w:sz w:val="18"/>
              </w:rPr>
              <w:t>水务EPC项目群移交管理体系</w:t>
            </w:r>
          </w:p>
        </w:tc>
        <w:tc>
          <w:tcPr>
            <w:tcW w:type="dxa" w:w="1186"/>
          </w:tcPr>
          <w:p>
            <w:r/>
            <w:r>
              <w:rPr>
                <w:rFonts w:ascii="Calibri" w:hAnsi="Calibri" w:eastAsia="微软雅黑"/>
                <w:b w:val="0"/>
                <w:i w:val="0"/>
                <w:sz w:val="18"/>
              </w:rPr>
              <w:t>研发投入占营收5.2%、客户满意度92%以上</w:t>
            </w:r>
          </w:p>
        </w:tc>
      </w:tr>
      <w:tr>
        <w:tc>
          <w:tcPr>
            <w:tcW w:type="dxa" w:w="1186"/>
          </w:tcPr>
          <w:p>
            <w:r/>
            <w:r>
              <w:rPr>
                <w:rFonts w:ascii="Calibri" w:hAnsi="Calibri" w:eastAsia="微软雅黑"/>
                <w:b w:val="0"/>
                <w:i w:val="0"/>
                <w:sz w:val="18"/>
              </w:rPr>
              <w:t>华陆工程 [来源: P000611]</w:t>
            </w:r>
          </w:p>
        </w:tc>
        <w:tc>
          <w:tcPr>
            <w:tcW w:type="dxa" w:w="1186"/>
          </w:tcPr>
          <w:p>
            <w:r/>
            <w:r>
              <w:rPr>
                <w:rFonts w:ascii="Calibri" w:hAnsi="Calibri" w:eastAsia="微软雅黑"/>
                <w:b w:val="0"/>
                <w:i w:val="0"/>
                <w:sz w:val="18"/>
              </w:rPr>
              <w:t>全球供应链整合+全生命周期VE</w:t>
            </w:r>
          </w:p>
        </w:tc>
        <w:tc>
          <w:tcPr>
            <w:tcW w:type="dxa" w:w="1186"/>
          </w:tcPr>
          <w:p>
            <w:r/>
            <w:r>
              <w:rPr>
                <w:rFonts w:ascii="Calibri" w:hAnsi="Calibri" w:eastAsia="微软雅黑"/>
                <w:b w:val="0"/>
                <w:i w:val="0"/>
                <w:sz w:val="18"/>
              </w:rPr>
              <w:t>专有技术与工程设计深度融合</w:t>
            </w:r>
          </w:p>
        </w:tc>
        <w:tc>
          <w:tcPr>
            <w:tcW w:type="dxa" w:w="1186"/>
          </w:tcPr>
          <w:p>
            <w:r/>
            <w:r>
              <w:rPr>
                <w:rFonts w:ascii="Calibri" w:hAnsi="Calibri" w:eastAsia="微软雅黑"/>
                <w:b w:val="0"/>
                <w:i w:val="0"/>
                <w:sz w:val="18"/>
              </w:rPr>
              <w:t>EVM动态监控+趋势预测</w:t>
            </w:r>
          </w:p>
        </w:tc>
        <w:tc>
          <w:tcPr>
            <w:tcW w:type="dxa" w:w="1186"/>
          </w:tcPr>
          <w:p>
            <w:r/>
            <w:r>
              <w:rPr>
                <w:rFonts w:ascii="Calibri" w:hAnsi="Calibri" w:eastAsia="微软雅黑"/>
                <w:b w:val="0"/>
                <w:i w:val="0"/>
                <w:sz w:val="18"/>
              </w:rPr>
              <w:t>严密合同评审与分包履约监督</w:t>
            </w:r>
          </w:p>
        </w:tc>
        <w:tc>
          <w:tcPr>
            <w:tcW w:type="dxa" w:w="1186"/>
          </w:tcPr>
          <w:p>
            <w:r/>
            <w:r>
              <w:rPr>
                <w:rFonts w:ascii="Calibri" w:hAnsi="Calibri" w:eastAsia="微软雅黑"/>
                <w:b w:val="0"/>
                <w:i w:val="0"/>
                <w:sz w:val="18"/>
              </w:rPr>
              <w:t>项目收尾+性能考核+客户满意度三重管理</w:t>
            </w:r>
          </w:p>
        </w:tc>
        <w:tc>
          <w:tcPr>
            <w:tcW w:type="dxa" w:w="1186"/>
          </w:tcPr>
          <w:p>
            <w:r/>
            <w:r>
              <w:rPr>
                <w:rFonts w:ascii="Calibri" w:hAnsi="Calibri" w:eastAsia="微软雅黑"/>
                <w:b w:val="0"/>
                <w:i w:val="0"/>
                <w:sz w:val="18"/>
              </w:rPr>
              <w:t>BIM全生命周期协同与智能运维</w:t>
            </w:r>
          </w:p>
        </w:tc>
      </w:tr>
      <w:tr>
        <w:tc>
          <w:tcPr>
            <w:tcW w:type="dxa" w:w="1186"/>
          </w:tcPr>
          <w:p>
            <w:r/>
            <w:r>
              <w:rPr>
                <w:rFonts w:ascii="Calibri" w:hAnsi="Calibri" w:eastAsia="微软雅黑"/>
                <w:b w:val="0"/>
                <w:i w:val="0"/>
                <w:sz w:val="18"/>
              </w:rPr>
              <w:t>湖南院 [来源: P000616]</w:t>
            </w:r>
          </w:p>
        </w:tc>
        <w:tc>
          <w:tcPr>
            <w:tcW w:type="dxa" w:w="1186"/>
          </w:tcPr>
          <w:p>
            <w:r/>
            <w:r>
              <w:rPr>
                <w:rFonts w:ascii="Calibri" w:hAnsi="Calibri" w:eastAsia="微软雅黑"/>
                <w:b w:val="0"/>
                <w:i w:val="0"/>
                <w:sz w:val="18"/>
              </w:rPr>
              <w:t>限额按专业四分（商业综合体节约率5.75%）</w:t>
            </w:r>
          </w:p>
        </w:tc>
        <w:tc>
          <w:tcPr>
            <w:tcW w:type="dxa" w:w="1186"/>
          </w:tcPr>
          <w:p>
            <w:r/>
            <w:r>
              <w:rPr>
                <w:rFonts w:ascii="Calibri" w:hAnsi="Calibri" w:eastAsia="微软雅黑"/>
                <w:b w:val="0"/>
                <w:i w:val="0"/>
                <w:sz w:val="18"/>
              </w:rPr>
              <w:t>跨部门流程再造</w:t>
            </w:r>
          </w:p>
        </w:tc>
        <w:tc>
          <w:tcPr>
            <w:tcW w:type="dxa" w:w="1186"/>
          </w:tcPr>
          <w:p>
            <w:r/>
            <w:r>
              <w:rPr>
                <w:rFonts w:ascii="Calibri" w:hAnsi="Calibri" w:eastAsia="微软雅黑"/>
                <w:b w:val="0"/>
                <w:i w:val="0"/>
                <w:sz w:val="18"/>
              </w:rPr>
              <w:t>四维纠偏（住宅项目节约率16.67%）</w:t>
            </w:r>
          </w:p>
        </w:tc>
        <w:tc>
          <w:tcPr>
            <w:tcW w:type="dxa" w:w="1186"/>
          </w:tcPr>
          <w:p>
            <w:r/>
            <w:r>
              <w:rPr>
                <w:rFonts w:ascii="Calibri" w:hAnsi="Calibri" w:eastAsia="微软雅黑"/>
                <w:b w:val="0"/>
                <w:i w:val="0"/>
                <w:sz w:val="18"/>
              </w:rPr>
              <w:t>法律风险识别清单+合同文本严格审核</w:t>
            </w:r>
          </w:p>
        </w:tc>
        <w:tc>
          <w:tcPr>
            <w:tcW w:type="dxa" w:w="1186"/>
          </w:tcPr>
          <w:p>
            <w:r/>
            <w:r>
              <w:rPr>
                <w:rFonts w:ascii="Calibri" w:hAnsi="Calibri" w:eastAsia="微软雅黑"/>
                <w:b w:val="0"/>
                <w:i w:val="0"/>
                <w:sz w:val="18"/>
              </w:rPr>
              <w:t>三阶段质量控制在建项目全覆盖</w:t>
            </w:r>
          </w:p>
        </w:tc>
        <w:tc>
          <w:tcPr>
            <w:tcW w:type="dxa" w:w="1186"/>
          </w:tcPr>
          <w:p>
            <w:r/>
            <w:r>
              <w:rPr>
                <w:rFonts w:ascii="Calibri" w:hAnsi="Calibri" w:eastAsia="微软雅黑"/>
                <w:b w:val="0"/>
                <w:i w:val="0"/>
                <w:sz w:val="18"/>
              </w:rPr>
              <w:t>数字化投入2800万元/占营收3%、BIM覆盖率100%</w:t>
            </w:r>
          </w:p>
        </w:tc>
      </w:tr>
      <w:tr>
        <w:tc>
          <w:tcPr>
            <w:tcW w:type="dxa" w:w="1186"/>
          </w:tcPr>
          <w:p>
            <w:r/>
            <w:r>
              <w:rPr>
                <w:rFonts w:ascii="Calibri" w:hAnsi="Calibri" w:eastAsia="微软雅黑"/>
                <w:b w:val="0"/>
                <w:i w:val="0"/>
                <w:sz w:val="18"/>
              </w:rPr>
              <w:t>中建三局 [来源: P000621]</w:t>
            </w:r>
          </w:p>
        </w:tc>
        <w:tc>
          <w:tcPr>
            <w:tcW w:type="dxa" w:w="1186"/>
          </w:tcPr>
          <w:p>
            <w:r/>
            <w:r>
              <w:rPr>
                <w:rFonts w:ascii="Calibri" w:hAnsi="Calibri" w:eastAsia="微软雅黑"/>
                <w:b w:val="0"/>
                <w:i w:val="0"/>
                <w:sz w:val="18"/>
              </w:rPr>
              <w:t>商务法务早期介入</w:t>
            </w:r>
          </w:p>
        </w:tc>
        <w:tc>
          <w:tcPr>
            <w:tcW w:type="dxa" w:w="1186"/>
          </w:tcPr>
          <w:p>
            <w:r/>
            <w:r>
              <w:rPr>
                <w:rFonts w:ascii="Calibri" w:hAnsi="Calibri" w:eastAsia="微软雅黑"/>
                <w:b w:val="0"/>
                <w:i w:val="0"/>
                <w:sz w:val="18"/>
              </w:rPr>
              <w:t>多专业整合+接口管理为工业EPC关键环节</w:t>
            </w:r>
          </w:p>
        </w:tc>
        <w:tc>
          <w:tcPr>
            <w:tcW w:type="dxa" w:w="1186"/>
          </w:tcPr>
          <w:p>
            <w:r/>
            <w:r>
              <w:rPr>
                <w:rFonts w:ascii="Calibri" w:hAnsi="Calibri" w:eastAsia="微软雅黑"/>
                <w:b w:val="0"/>
                <w:i w:val="0"/>
                <w:sz w:val="18"/>
              </w:rPr>
              <w:t>量差价差二因素归因+预测预警</w:t>
            </w:r>
          </w:p>
        </w:tc>
        <w:tc>
          <w:tcPr>
            <w:tcW w:type="dxa" w:w="1186"/>
          </w:tcPr>
          <w:p>
            <w:r/>
            <w:r>
              <w:rPr>
                <w:rFonts w:ascii="Calibri" w:hAnsi="Calibri" w:eastAsia="微软雅黑"/>
                <w:b w:val="0"/>
                <w:i w:val="0"/>
                <w:sz w:val="18"/>
              </w:rPr>
              <w:t>专职风险经理+红黄牌预警</w:t>
            </w:r>
          </w:p>
        </w:tc>
        <w:tc>
          <w:tcPr>
            <w:tcW w:type="dxa" w:w="1186"/>
          </w:tcPr>
          <w:p>
            <w:r/>
            <w:r>
              <w:rPr>
                <w:rFonts w:ascii="Calibri" w:hAnsi="Calibri" w:eastAsia="微软雅黑"/>
                <w:b w:val="0"/>
                <w:i w:val="0"/>
                <w:sz w:val="18"/>
              </w:rPr>
              <w:t>三阶段试车+共同见证性能考核</w:t>
            </w:r>
          </w:p>
        </w:tc>
        <w:tc>
          <w:tcPr>
            <w:tcW w:type="dxa" w:w="1186"/>
          </w:tcPr>
          <w:p>
            <w:r/>
            <w:r>
              <w:rPr>
                <w:rFonts w:ascii="Calibri" w:hAnsi="Calibri" w:eastAsia="微软雅黑"/>
                <w:b w:val="0"/>
                <w:i w:val="0"/>
                <w:sz w:val="18"/>
              </w:rPr>
              <w:t>空中造楼机+BIM+智慧工地平台</w:t>
            </w:r>
          </w:p>
        </w:tc>
      </w:tr>
      <w:tr>
        <w:tc>
          <w:tcPr>
            <w:tcW w:type="dxa" w:w="1186"/>
          </w:tcPr>
          <w:p>
            <w:r/>
            <w:r>
              <w:rPr>
                <w:rFonts w:ascii="Calibri" w:hAnsi="Calibri" w:eastAsia="微软雅黑"/>
                <w:b w:val="0"/>
                <w:i w:val="0"/>
                <w:sz w:val="18"/>
              </w:rPr>
              <w:t>中国天辰 [来源: P000626]</w:t>
            </w:r>
          </w:p>
        </w:tc>
        <w:tc>
          <w:tcPr>
            <w:tcW w:type="dxa" w:w="1186"/>
          </w:tcPr>
          <w:p>
            <w:r/>
            <w:r>
              <w:rPr>
                <w:rFonts w:ascii="Calibri" w:hAnsi="Calibri" w:eastAsia="微软雅黑"/>
                <w:b w:val="0"/>
                <w:i w:val="0"/>
                <w:sz w:val="18"/>
              </w:rPr>
              <w:t>"T+EPC"专有技术转化降本</w:t>
            </w:r>
          </w:p>
        </w:tc>
        <w:tc>
          <w:tcPr>
            <w:tcW w:type="dxa" w:w="1186"/>
          </w:tcPr>
          <w:p>
            <w:r/>
            <w:r>
              <w:rPr>
                <w:rFonts w:ascii="Calibri" w:hAnsi="Calibri" w:eastAsia="微软雅黑"/>
                <w:b w:val="0"/>
                <w:i w:val="0"/>
                <w:sz w:val="18"/>
              </w:rPr>
              <w:t>数字化平台多专业在线协同</w:t>
            </w:r>
          </w:p>
        </w:tc>
        <w:tc>
          <w:tcPr>
            <w:tcW w:type="dxa" w:w="1186"/>
          </w:tcPr>
          <w:p>
            <w:r/>
            <w:r>
              <w:rPr>
                <w:rFonts w:ascii="Calibri" w:hAnsi="Calibri" w:eastAsia="微软雅黑"/>
                <w:b w:val="0"/>
                <w:i w:val="0"/>
                <w:sz w:val="18"/>
              </w:rPr>
              <w:t>P3EC项目综合管理系统</w:t>
            </w:r>
          </w:p>
        </w:tc>
        <w:tc>
          <w:tcPr>
            <w:tcW w:type="dxa" w:w="1186"/>
          </w:tcPr>
          <w:p>
            <w:r/>
            <w:r>
              <w:rPr>
                <w:rFonts w:ascii="Calibri" w:hAnsi="Calibri" w:eastAsia="微软雅黑"/>
                <w:b w:val="0"/>
                <w:i w:val="0"/>
                <w:sz w:val="18"/>
              </w:rPr>
              <w:t>EPCF融资风险管控</w:t>
            </w:r>
          </w:p>
        </w:tc>
        <w:tc>
          <w:tcPr>
            <w:tcW w:type="dxa" w:w="1186"/>
          </w:tcPr>
          <w:p>
            <w:r/>
            <w:r>
              <w:rPr>
                <w:rFonts w:ascii="Calibri" w:hAnsi="Calibri" w:eastAsia="微软雅黑"/>
                <w:b w:val="0"/>
                <w:i w:val="0"/>
                <w:sz w:val="18"/>
              </w:rPr>
              <w:t>专有技术专家带队开试车</w:t>
            </w:r>
          </w:p>
        </w:tc>
        <w:tc>
          <w:tcPr>
            <w:tcW w:type="dxa" w:w="1186"/>
          </w:tcPr>
          <w:p>
            <w:r/>
            <w:r>
              <w:rPr>
                <w:rFonts w:ascii="Calibri" w:hAnsi="Calibri" w:eastAsia="微软雅黑"/>
                <w:b w:val="0"/>
                <w:i w:val="0"/>
                <w:sz w:val="18"/>
              </w:rPr>
              <w:t>全要素全周期数字化平台</w:t>
            </w:r>
          </w:p>
        </w:tc>
      </w:tr>
      <w:tr>
        <w:tc>
          <w:tcPr>
            <w:tcW w:type="dxa" w:w="1186"/>
          </w:tcPr>
          <w:p>
            <w:r/>
            <w:r>
              <w:rPr>
                <w:rFonts w:ascii="Calibri" w:hAnsi="Calibri" w:eastAsia="微软雅黑"/>
                <w:b w:val="0"/>
                <w:i w:val="0"/>
                <w:sz w:val="18"/>
              </w:rPr>
              <w:t>中南院 [来源: P000631]</w:t>
            </w:r>
          </w:p>
        </w:tc>
        <w:tc>
          <w:tcPr>
            <w:tcW w:type="dxa" w:w="1186"/>
          </w:tcPr>
          <w:p>
            <w:r/>
            <w:r>
              <w:rPr>
                <w:rFonts w:ascii="Calibri" w:hAnsi="Calibri" w:eastAsia="微软雅黑"/>
                <w:b w:val="0"/>
                <w:i w:val="0"/>
                <w:sz w:val="18"/>
              </w:rPr>
              <w:t>联合体协同设计降本</w:t>
            </w:r>
          </w:p>
        </w:tc>
        <w:tc>
          <w:tcPr>
            <w:tcW w:type="dxa" w:w="1186"/>
          </w:tcPr>
          <w:p>
            <w:r/>
            <w:r>
              <w:rPr>
                <w:rFonts w:ascii="Calibri" w:hAnsi="Calibri" w:eastAsia="微软雅黑"/>
                <w:b w:val="0"/>
                <w:i w:val="0"/>
                <w:sz w:val="18"/>
              </w:rPr>
              <w:t>联合体资源统筹</w:t>
            </w:r>
          </w:p>
        </w:tc>
        <w:tc>
          <w:tcPr>
            <w:tcW w:type="dxa" w:w="1186"/>
          </w:tcPr>
          <w:p>
            <w:r/>
            <w:r>
              <w:rPr>
                <w:rFonts w:ascii="Calibri" w:hAnsi="Calibri" w:eastAsia="微软雅黑"/>
                <w:b w:val="0"/>
                <w:i w:val="0"/>
                <w:sz w:val="18"/>
              </w:rPr>
              <w:t>阶段-门控管理法（Stage-Gate）</w:t>
            </w:r>
          </w:p>
        </w:tc>
        <w:tc>
          <w:tcPr>
            <w:tcW w:type="dxa" w:w="1186"/>
          </w:tcPr>
          <w:p>
            <w:r/>
            <w:r>
              <w:rPr>
                <w:rFonts w:ascii="Calibri" w:hAnsi="Calibri" w:eastAsia="微软雅黑"/>
                <w:b w:val="0"/>
                <w:i w:val="0"/>
                <w:sz w:val="18"/>
              </w:rPr>
              <w:t>联合体权责界定</w:t>
            </w:r>
          </w:p>
        </w:tc>
        <w:tc>
          <w:tcPr>
            <w:tcW w:type="dxa" w:w="1186"/>
          </w:tcPr>
          <w:p>
            <w:r/>
            <w:r>
              <w:rPr>
                <w:rFonts w:ascii="Calibri" w:hAnsi="Calibri" w:eastAsia="微软雅黑"/>
                <w:b w:val="0"/>
                <w:i w:val="0"/>
                <w:sz w:val="18"/>
              </w:rPr>
              <w:t>分阶段验收与系统联调</w:t>
            </w:r>
          </w:p>
        </w:tc>
        <w:tc>
          <w:tcPr>
            <w:tcW w:type="dxa" w:w="1186"/>
          </w:tcPr>
          <w:p>
            <w:r/>
            <w:r>
              <w:rPr>
                <w:rFonts w:ascii="Calibri" w:hAnsi="Calibri" w:eastAsia="微软雅黑"/>
                <w:b w:val="0"/>
                <w:i w:val="0"/>
                <w:sz w:val="18"/>
              </w:rPr>
              <w:t>抽水蓄能/海上风电全过程数字化</w:t>
            </w:r>
          </w:p>
        </w:tc>
      </w:tr>
    </w:tbl>
    <w:p>
      <w:pPr>
        <w:pStyle w:val="Heading3"/>
      </w:pPr>
      <w:r>
        <w:t>7.8.2 EPC法人级交付效能模型</w:t>
      </w:r>
    </w:p>
    <w:p>
      <w:r>
        <w:rPr>
          <w:rFonts w:ascii="Calibri" w:hAnsi="Calibri" w:eastAsia="微软雅黑"/>
          <w:b w:val="0"/>
          <w:i w:val="0"/>
          <w:sz w:val="22"/>
        </w:rPr>
        <w:t>既有专项研究成果提出了一个贯穿造价、协同、组织与合规四个因子的交付效能分析模型（模型为专项研究成果构建，本研究引用并解读）[来源: P000651]：</w:t>
      </w:r>
    </w:p>
    <w:p>
      <w:pPr>
        <w:pStyle w:val="Heading4"/>
      </w:pPr>
      <w:r>
        <w:t>表7-6 EPC法人级交付效能模型的因子结构（据专项研究成果整理）[来源: P000651]</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因子端</w:t>
            </w:r>
          </w:p>
        </w:tc>
        <w:tc>
          <w:tcPr>
            <w:tcW w:type="dxa" w:w="2767"/>
            <w:shd w:fill="1F3A5F"/>
          </w:tcPr>
          <w:p>
            <w:r>
              <w:rPr>
                <w:color w:val="FFFFFF"/>
              </w:rPr>
            </w:r>
            <w:r>
              <w:rPr>
                <w:rFonts w:ascii="Calibri" w:hAnsi="Calibri" w:eastAsia="微软雅黑"/>
                <w:b/>
                <w:i w:val="0"/>
                <w:color w:val="FFFFFF"/>
                <w:sz w:val="18"/>
              </w:rPr>
              <w:t>因子</w:t>
            </w:r>
          </w:p>
        </w:tc>
        <w:tc>
          <w:tcPr>
            <w:tcW w:type="dxa" w:w="2767"/>
            <w:shd w:fill="1F3A5F"/>
          </w:tcPr>
          <w:p>
            <w:r>
              <w:rPr>
                <w:color w:val="FFFFFF"/>
              </w:rPr>
            </w:r>
            <w:r>
              <w:rPr>
                <w:rFonts w:ascii="Calibri" w:hAnsi="Calibri" w:eastAsia="微软雅黑"/>
                <w:b/>
                <w:i w:val="0"/>
                <w:color w:val="FFFFFF"/>
                <w:sz w:val="18"/>
              </w:rPr>
              <w:t>构成要素</w:t>
            </w:r>
          </w:p>
        </w:tc>
      </w:tr>
      <w:tr>
        <w:tc>
          <w:tcPr>
            <w:tcW w:type="dxa" w:w="2767"/>
          </w:tcPr>
          <w:p>
            <w:r/>
            <w:r>
              <w:rPr>
                <w:rFonts w:ascii="Calibri" w:hAnsi="Calibri" w:eastAsia="微软雅黑"/>
                <w:b w:val="0"/>
                <w:i w:val="0"/>
                <w:sz w:val="18"/>
              </w:rPr>
              <w:t>分子端：能力提升</w:t>
            </w:r>
          </w:p>
        </w:tc>
        <w:tc>
          <w:tcPr>
            <w:tcW w:type="dxa" w:w="2767"/>
          </w:tcPr>
          <w:p>
            <w:r/>
            <w:r>
              <w:rPr>
                <w:rFonts w:ascii="Calibri" w:hAnsi="Calibri" w:eastAsia="微软雅黑"/>
                <w:b w:val="0"/>
                <w:i w:val="0"/>
                <w:sz w:val="18"/>
              </w:rPr>
              <w:t>设计控制因子（E）</w:t>
            </w:r>
          </w:p>
        </w:tc>
        <w:tc>
          <w:tcPr>
            <w:tcW w:type="dxa" w:w="2767"/>
          </w:tcPr>
          <w:p>
            <w:r/>
            <w:r>
              <w:rPr>
                <w:rFonts w:ascii="Calibri" w:hAnsi="Calibri" w:eastAsia="微软雅黑"/>
                <w:b w:val="0"/>
                <w:i w:val="0"/>
                <w:sz w:val="18"/>
              </w:rPr>
              <w:t>概算定额法/概算指标法（结构修正公式）/类似工程预算法（动态调整价差系数）对项目总投资的控造价能力</w:t>
            </w:r>
          </w:p>
        </w:tc>
      </w:tr>
      <w:tr>
        <w:tc>
          <w:tcPr>
            <w:tcW w:type="dxa" w:w="2767"/>
          </w:tcPr>
          <w:p>
            <w:r/>
            <w:r>
              <w:rPr>
                <w:rFonts w:ascii="Calibri" w:hAnsi="Calibri" w:eastAsia="微软雅黑"/>
                <w:b w:val="0"/>
                <w:i w:val="0"/>
                <w:sz w:val="18"/>
              </w:rPr>
              <w:t>分子端：能力提升</w:t>
            </w:r>
          </w:p>
        </w:tc>
        <w:tc>
          <w:tcPr>
            <w:tcW w:type="dxa" w:w="2767"/>
          </w:tcPr>
          <w:p>
            <w:r/>
            <w:r>
              <w:rPr>
                <w:rFonts w:ascii="Calibri" w:hAnsi="Calibri" w:eastAsia="微软雅黑"/>
                <w:b w:val="0"/>
                <w:i w:val="0"/>
                <w:sz w:val="18"/>
              </w:rPr>
              <w:t>采购施工协同因子（P）</w:t>
            </w:r>
          </w:p>
        </w:tc>
        <w:tc>
          <w:tcPr>
            <w:tcW w:type="dxa" w:w="2767"/>
          </w:tcPr>
          <w:p>
            <w:r/>
            <w:r>
              <w:rPr>
                <w:rFonts w:ascii="Calibri" w:hAnsi="Calibri" w:eastAsia="微软雅黑"/>
                <w:b w:val="0"/>
                <w:i w:val="0"/>
                <w:sz w:val="18"/>
              </w:rPr>
              <w:t>设备安装概算四法、铺底流动资金匹配、EPC界面整合在采购与施工阶段的协同效率</w:t>
            </w:r>
          </w:p>
        </w:tc>
      </w:tr>
      <w:tr>
        <w:tc>
          <w:tcPr>
            <w:tcW w:type="dxa" w:w="2767"/>
          </w:tcPr>
          <w:p>
            <w:r/>
            <w:r>
              <w:rPr>
                <w:rFonts w:ascii="Calibri" w:hAnsi="Calibri" w:eastAsia="微软雅黑"/>
                <w:b w:val="0"/>
                <w:i w:val="0"/>
                <w:sz w:val="18"/>
              </w:rPr>
              <w:t>分母端：风险抑制</w:t>
            </w:r>
          </w:p>
        </w:tc>
        <w:tc>
          <w:tcPr>
            <w:tcW w:type="dxa" w:w="2767"/>
          </w:tcPr>
          <w:p>
            <w:r/>
            <w:r>
              <w:rPr>
                <w:rFonts w:ascii="Calibri" w:hAnsi="Calibri" w:eastAsia="微软雅黑"/>
                <w:b w:val="0"/>
                <w:i w:val="0"/>
                <w:sz w:val="18"/>
              </w:rPr>
              <w:t>组织摩擦风险（Risk）</w:t>
            </w:r>
          </w:p>
        </w:tc>
        <w:tc>
          <w:tcPr>
            <w:tcW w:type="dxa" w:w="2767"/>
          </w:tcPr>
          <w:p>
            <w:r/>
            <w:r>
              <w:rPr>
                <w:rFonts w:ascii="Calibri" w:hAnsi="Calibri" w:eastAsia="微软雅黑"/>
                <w:b w:val="0"/>
                <w:i w:val="0"/>
                <w:sz w:val="18"/>
              </w:rPr>
              <w:t>先履行抗辩权链条、主分包同步解约与物权退场防线、境外保函止付与介入权防御</w:t>
            </w:r>
          </w:p>
        </w:tc>
      </w:tr>
      <w:tr>
        <w:tc>
          <w:tcPr>
            <w:tcW w:type="dxa" w:w="2767"/>
          </w:tcPr>
          <w:p>
            <w:r/>
            <w:r>
              <w:rPr>
                <w:rFonts w:ascii="Calibri" w:hAnsi="Calibri" w:eastAsia="微软雅黑"/>
                <w:b w:val="0"/>
                <w:i w:val="0"/>
                <w:sz w:val="18"/>
              </w:rPr>
              <w:t>分母端：风险抑制</w:t>
            </w:r>
          </w:p>
        </w:tc>
        <w:tc>
          <w:tcPr>
            <w:tcW w:type="dxa" w:w="2767"/>
          </w:tcPr>
          <w:p>
            <w:r/>
            <w:r>
              <w:rPr>
                <w:rFonts w:ascii="Calibri" w:hAnsi="Calibri" w:eastAsia="微软雅黑"/>
                <w:b w:val="0"/>
                <w:i w:val="0"/>
                <w:sz w:val="18"/>
              </w:rPr>
              <w:t>造价合规偏差（C）</w:t>
            </w:r>
          </w:p>
        </w:tc>
        <w:tc>
          <w:tcPr>
            <w:tcW w:type="dxa" w:w="2767"/>
          </w:tcPr>
          <w:p>
            <w:r/>
            <w:r>
              <w:rPr>
                <w:rFonts w:ascii="Calibri" w:hAnsi="Calibri" w:eastAsia="微软雅黑"/>
                <w:b w:val="0"/>
                <w:i w:val="0"/>
                <w:sz w:val="18"/>
              </w:rPr>
              <w:t>剔除强加行政审计条款、锁定合同计价标准</w:t>
            </w:r>
          </w:p>
        </w:tc>
      </w:tr>
    </w:tbl>
    <w:p>
      <w:r>
        <w:rPr>
          <w:rFonts w:ascii="Calibri" w:hAnsi="Calibri" w:eastAsia="微软雅黑"/>
          <w:b w:val="0"/>
          <w:i w:val="0"/>
          <w:sz w:val="22"/>
        </w:rPr>
        <w:t>该模型的决策含义（本研究解读）：交付效能的提升有两条路径——分子端靠概算精度与采购施工协同的"能力做加法"，分母端靠合同防御与造价合规的"风险做减法"；只做加法不做减法的企业，能力越强、风险敞口放大得越快。</w:t>
      </w:r>
    </w:p>
    <w:p>
      <w:r>
        <w:rPr>
          <w:rFonts w:ascii="Calibri" w:hAnsi="Calibri" w:eastAsia="微软雅黑"/>
          <w:b w:val="0"/>
          <w:i w:val="0"/>
          <w:sz w:val="22"/>
        </w:rPr>
        <w:t>用这个模型给企业把脉，宜先看分母再看分子：风险敞口不清的企业，先补合同与合规的功课，能力建设的投入才有意义；风险底线已经筑牢的企业，则应把资源集中到概算精度与采购施工协同这两个刀刃上。模型的价值不在算出一个分数，而在逼着管理团队把"交付能力"从笼统的自豪感，拆解成可对标、可改进的具体科目（本段为本研究解读）。</w:t>
      </w:r>
    </w:p>
    <w:p>
      <w:pPr>
        <w:pStyle w:val="Heading3"/>
      </w:pPr>
      <w:r>
        <w:t>7.8.3 面向决策者的四项落地建议与四大避坑红线</w:t>
      </w:r>
    </w:p>
    <w:p>
      <w:r>
        <w:rPr>
          <w:rFonts w:ascii="Calibri" w:hAnsi="Calibri" w:eastAsia="微软雅黑"/>
          <w:b/>
          <w:i w:val="0"/>
          <w:sz w:val="22"/>
        </w:rPr>
        <w:t>四项落地建议</w:t>
      </w:r>
      <w:r>
        <w:rPr>
          <w:rFonts w:ascii="Calibri" w:hAnsi="Calibri" w:eastAsia="微软雅黑"/>
          <w:b w:val="0"/>
          <w:i w:val="0"/>
          <w:sz w:val="22"/>
        </w:rPr>
        <w:t>（建议为本研究归纳，实证依据随文标注）：</w:t>
      </w:r>
    </w:p>
    <w:p>
      <w:pPr>
        <w:pStyle w:val="ListNumber"/>
      </w:pPr>
      <w:r>
        <w:rPr>
          <w:rFonts w:ascii="Calibri" w:hAnsi="Calibri" w:eastAsia="微软雅黑"/>
          <w:b/>
          <w:i w:val="0"/>
          <w:sz w:val="22"/>
        </w:rPr>
        <w:t>破除部门墙，建立E-P-C强矩阵组织</w:t>
      </w:r>
      <w:r>
        <w:rPr>
          <w:rFonts w:ascii="Calibri" w:hAnsi="Calibri" w:eastAsia="微软雅黑"/>
          <w:b w:val="0"/>
          <w:i w:val="0"/>
          <w:sz w:val="22"/>
        </w:rPr>
        <w:t>。以项目经理统筹、设计经理/采购经理/施工经理紧密配合的强矩阵指挥部为标准形态，强行规定采购与施工专家在方案设计阶段参与可施工性审查，将设备交期、市场规格与施工工艺逆向倒灌至设计前期（华东院PMO矩阵组织与市政总院跨部门协作机制为实证参照）[来源: P000601, P000606]。</w:t>
      </w:r>
    </w:p>
    <w:p>
      <w:r>
        <w:rPr>
          <w:rFonts w:ascii="Calibri" w:hAnsi="Calibri" w:eastAsia="微软雅黑"/>
          <w:b w:val="0"/>
          <w:i w:val="0"/>
          <w:sz w:val="22"/>
        </w:rPr>
        <w:t>强矩阵的推行宜先试点后推广。选一个业主关系稳、团队底子好的项目做样板，把跨专业议事、限时裁决、责任到岗的规则跑顺，再向全公司复制；一上来就全面铺开的，多半在旧习惯面前败下阵来。样板项目除了验证流程，更重要的产出是一批亲历过新规则的项目经理——他们才是制度扩散的种子（推行要领为本研究建议）。</w:t>
      </w:r>
    </w:p>
    <w:p>
      <w:pPr>
        <w:pStyle w:val="ListNumber"/>
      </w:pPr>
      <w:r>
        <w:rPr>
          <w:rFonts w:ascii="Calibri" w:hAnsi="Calibri" w:eastAsia="微软雅黑"/>
          <w:b/>
          <w:i w:val="0"/>
          <w:sz w:val="22"/>
        </w:rPr>
        <w:t>抓牢控价龙头，推行概算三法+限额设计考核</w:t>
      </w:r>
      <w:r>
        <w:rPr>
          <w:rFonts w:ascii="Calibri" w:hAnsi="Calibri" w:eastAsia="微软雅黑"/>
          <w:b w:val="0"/>
          <w:i w:val="0"/>
          <w:sz w:val="22"/>
        </w:rPr>
        <w:t>。按初步设计深度匹配概算定额法、概算指标法（含结构修正）与类似工程预算法（含价差调整），将目标成本按WBS/CBS逐级拆解至专业与分部分项，限额指标与绩效薪酬直接挂钩（湖南院专业四分法为实证样本）[来源: P000651, P000616]。</w:t>
      </w:r>
    </w:p>
    <w:p>
      <w:r>
        <w:rPr>
          <w:rFonts w:ascii="Calibri" w:hAnsi="Calibri" w:eastAsia="微软雅黑"/>
          <w:b w:val="0"/>
          <w:i w:val="0"/>
          <w:sz w:val="22"/>
        </w:rPr>
        <w:t>限额指标的分解深度，以"能考核到人"为限。分到专业只是及格线，分到分部分项才能约束设计动作；分解到位之后，还要给设计团队留出优化余地——限额是天花板不是镣铐，压得过死，设计方就会用保守冗余自我保护，省下的钱反而会在采购与施工阶段漏掉（分解尺度为本研究解读）。</w:t>
      </w:r>
    </w:p>
    <w:p>
      <w:pPr>
        <w:pStyle w:val="ListNumber"/>
      </w:pPr>
      <w:r>
        <w:rPr>
          <w:rFonts w:ascii="Calibri" w:hAnsi="Calibri" w:eastAsia="微软雅黑"/>
          <w:b/>
          <w:i w:val="0"/>
          <w:sz w:val="22"/>
        </w:rPr>
        <w:t>构筑法律护城河，健全"技术交验+背靠背+审计反制"三件套</w:t>
      </w:r>
      <w:r>
        <w:rPr>
          <w:rFonts w:ascii="Calibri" w:hAnsi="Calibri" w:eastAsia="微软雅黑"/>
          <w:b w:val="0"/>
          <w:i w:val="0"/>
          <w:sz w:val="22"/>
        </w:rPr>
        <w:t>。主合同中将过程技术交验文件强绑定为节点付款先决条件；分包合同中订明主从联动解除与限期撤场条款；结算条款中锁定合同计价标准、剔除强制行政审计（四大裁判依据见上表明细）[来源: P000653]。</w:t>
      </w:r>
    </w:p>
    <w:p>
      <w:r>
        <w:rPr>
          <w:rFonts w:ascii="Calibri" w:hAnsi="Calibri" w:eastAsia="微软雅黑"/>
          <w:b w:val="0"/>
          <w:i w:val="0"/>
          <w:sz w:val="22"/>
        </w:rPr>
        <w:t>三件套的落地也讲次序。技术交验强绑定写进主合同，是签约前就能完成的"一次性投入"，性价比最高；背靠背条款随分包签约滚动落实，考验的是标准文本的执行力；审计反制则属于谈判筹码，宜逐单争取、积少成多。法务资源有限的中小企业，按这个先后排兵布阵，不至于处处设防而处处薄弱（落地次序为本研究建议）。</w:t>
      </w:r>
    </w:p>
    <w:p>
      <w:pPr>
        <w:pStyle w:val="ListNumber"/>
      </w:pPr>
      <w:r>
        <w:rPr>
          <w:rFonts w:ascii="Calibri" w:hAnsi="Calibri" w:eastAsia="微软雅黑"/>
          <w:b/>
          <w:i w:val="0"/>
          <w:sz w:val="22"/>
        </w:rPr>
        <w:t>数字引擎升级，建立BIM+IoT智慧工地与数字孪生交付标准</w:t>
      </w:r>
      <w:r>
        <w:rPr>
          <w:rFonts w:ascii="Calibri" w:hAnsi="Calibri" w:eastAsia="微软雅黑"/>
          <w:b w:val="0"/>
          <w:i w:val="0"/>
          <w:sz w:val="22"/>
        </w:rPr>
        <w:t>。设立数字化转型专项资金（湖南院以每年不低于营收3%的投入强度实现BIM覆盖率100%），在竣工阶段向业主交付数字孪生体，打通从工程建设向全生命周期运维服务的延伸通道 [来源: P000616, P000601]。</w:t>
      </w:r>
    </w:p>
    <w:p>
      <w:r>
        <w:rPr>
          <w:rFonts w:ascii="Calibri" w:hAnsi="Calibri" w:eastAsia="微软雅黑"/>
          <w:b w:val="0"/>
          <w:i w:val="0"/>
          <w:sz w:val="22"/>
        </w:rPr>
        <w:t>数字资产的交付标准，宜在投标阶段就向业主亮明。把模型深度、数据格式、更新频次写成差异化服务清单，既是在为运维延伸铺路，也是在同质化竞标里亮出独门筹码；等到竣工才谈数字交付，业主只当是附赠品，卖不出价钱（定价时点为本研究建议）。</w:t>
      </w:r>
    </w:p>
    <w:p>
      <w:r>
        <w:rPr>
          <w:rFonts w:ascii="Calibri" w:hAnsi="Calibri" w:eastAsia="微软雅黑"/>
          <w:b/>
          <w:i w:val="0"/>
          <w:sz w:val="22"/>
        </w:rPr>
        <w:t>四大避坑红线</w:t>
      </w:r>
      <w:r>
        <w:rPr>
          <w:rFonts w:ascii="Calibri" w:hAnsi="Calibri" w:eastAsia="微软雅黑"/>
          <w:b w:val="0"/>
          <w:i w:val="0"/>
          <w:sz w:val="22"/>
        </w:rPr>
        <w:t>（红线归纳为本研究据判例与源文整理）：</w:t>
      </w:r>
    </w:p>
    <w:p>
      <w:pPr>
        <w:pStyle w:val="ListNumber"/>
      </w:pPr>
      <w:r>
        <w:rPr>
          <w:rFonts w:ascii="Calibri" w:hAnsi="Calibri" w:eastAsia="微软雅黑"/>
          <w:b/>
          <w:i w:val="0"/>
          <w:sz w:val="22"/>
        </w:rPr>
        <w:t>红线一：物理重组合并而未打通概算控制体系</w:t>
      </w:r>
      <w:r>
        <w:rPr>
          <w:rFonts w:ascii="Calibri" w:hAnsi="Calibri" w:eastAsia="微软雅黑"/>
          <w:b w:val="0"/>
          <w:i w:val="0"/>
          <w:sz w:val="22"/>
        </w:rPr>
        <w:t>。重组后仍保留独立核算的分管利润中心、缺乏统一造价数据库的，应在合并同时建立WBS/CBS目标成本分解与限额设计考核机制，否则"合而不融"。</w:t>
      </w:r>
    </w:p>
    <w:p>
      <w:pPr>
        <w:pStyle w:val="ListNumber"/>
      </w:pPr>
      <w:r>
        <w:rPr>
          <w:rFonts w:ascii="Calibri" w:hAnsi="Calibri" w:eastAsia="微软雅黑"/>
          <w:b/>
          <w:i w:val="0"/>
          <w:sz w:val="22"/>
        </w:rPr>
        <w:t>红线二：拆分合同而不绑定技术交验文件</w:t>
      </w:r>
      <w:r>
        <w:rPr>
          <w:rFonts w:ascii="Calibri" w:hAnsi="Calibri" w:eastAsia="微软雅黑"/>
          <w:b w:val="0"/>
          <w:i w:val="0"/>
          <w:sz w:val="22"/>
        </w:rPr>
        <w:t>。因融资或税务需求将EPC合同拆分签署的，务必在每份合同中将过程技术交验文件设为节点付款先决条件，否则先履行抗辩权规则反而会被发包人反向利用（(2016)最高法民终695号）[来源: P000653]。</w:t>
      </w:r>
    </w:p>
    <w:p>
      <w:pPr>
        <w:pStyle w:val="ListNumber"/>
      </w:pPr>
      <w:r>
        <w:rPr>
          <w:rFonts w:ascii="Calibri" w:hAnsi="Calibri" w:eastAsia="微软雅黑"/>
          <w:b/>
          <w:i w:val="0"/>
          <w:sz w:val="22"/>
        </w:rPr>
        <w:t>红线三：分包合同缺乏主从同步解除机制</w:t>
      </w:r>
      <w:r>
        <w:rPr>
          <w:rFonts w:ascii="Calibri" w:hAnsi="Calibri" w:eastAsia="微软雅黑"/>
          <w:b w:val="0"/>
          <w:i w:val="0"/>
          <w:sz w:val="22"/>
        </w:rPr>
        <w:t>。主合同解除后分包商强占现场的僵局可拖延十年之久（(2016)最高法民再53号），"主合同解除即分包自动终止+无条件限期退场"条款必须在签约时写入 [来源: P000653]。</w:t>
      </w:r>
    </w:p>
    <w:p>
      <w:pPr>
        <w:pStyle w:val="ListNumber"/>
      </w:pPr>
      <w:r>
        <w:rPr>
          <w:rFonts w:ascii="Calibri" w:hAnsi="Calibri" w:eastAsia="微软雅黑"/>
          <w:b/>
          <w:i w:val="0"/>
          <w:sz w:val="22"/>
        </w:rPr>
        <w:t>红线四：无条件接受行政审计条款</w:t>
      </w:r>
      <w:r>
        <w:rPr>
          <w:rFonts w:ascii="Calibri" w:hAnsi="Calibri" w:eastAsia="微软雅黑"/>
          <w:b w:val="0"/>
          <w:i w:val="0"/>
          <w:sz w:val="22"/>
        </w:rPr>
        <w:t>。对"竣工结算无条件以行政审计结论为准"的条款，应依据法工委函〔2017〕2号提出清理要求，并加注"审计机关须严格按本合同约定计价规则审计"（(2012)民提字第205号）[来源: P000653]。</w:t>
      </w:r>
    </w:p>
    <w:p>
      <w:r>
        <w:rPr>
          <w:rFonts w:ascii="Calibri" w:hAnsi="Calibri" w:eastAsia="微软雅黑"/>
          <w:b w:val="0"/>
          <w:i w:val="0"/>
          <w:sz w:val="22"/>
        </w:rPr>
        <w:t>让步也有讲究：先让程序，再让时限，最后才让价格。程序上的弹性对方感知弱、己方成本低；价格上的每一分退让，都会成为下次谈判的起点。把让步包装成交换——每退一步都换回一项对等承诺，谈判记录里留下的便是交易而非馈赠（让步次序为本研究建议）。</w:t>
      </w:r>
    </w:p>
    <w:p>
      <w:r>
        <w:rPr>
          <w:rFonts w:ascii="Calibri" w:hAnsi="Calibri" w:eastAsia="微软雅黑"/>
          <w:b w:val="0"/>
          <w:i w:val="0"/>
          <w:sz w:val="22"/>
        </w:rPr>
        <w:t>---</w:t>
      </w:r>
    </w:p>
    <w:p>
      <w:pPr>
        <w:pStyle w:val="Heading2"/>
      </w:pPr>
      <w:r>
        <w:t>7.9 本章小结要点</w:t>
      </w:r>
    </w:p>
    <w:p>
      <w:pPr>
        <w:pStyle w:val="ListNumber"/>
      </w:pPr>
      <w:r>
        <w:rPr>
          <w:rFonts w:ascii="Calibri" w:hAnsi="Calibri" w:eastAsia="微软雅黑"/>
          <w:b/>
          <w:i w:val="0"/>
          <w:sz w:val="22"/>
        </w:rPr>
        <w:t>源头锁价是成本封顶的第一闸门</w:t>
      </w:r>
      <w:r>
        <w:rPr>
          <w:rFonts w:ascii="Calibri" w:hAnsi="Calibri" w:eastAsia="微软雅黑"/>
          <w:b w:val="0"/>
          <w:i w:val="0"/>
          <w:sz w:val="22"/>
        </w:rPr>
        <w:t>：成本重心必须前置到设计阶段——设备采购成本占总成本40-50%（市政口径）、采购总占比六到七成（湖南院口径）的结构决定了设计选型的放大效应 [来源: P000606, P000616]。概算三法（定额法/指标法/类似工程预算法）与两套修正公式（结构修正、价差加权）是可直接套用的算力工具，铺底流动资金按全部流动资金30%计列 [来源: P000651]。湖南院商业综合体项目限额分解+四维优化实现节约率5.75%，跨项目钢材集采+期货锁价实现节约率6.67%，是县域院也能复制的样本 [来源: P000616]。</w:t>
      </w:r>
    </w:p>
    <w:p>
      <w:pPr>
        <w:pStyle w:val="ListNumber"/>
      </w:pPr>
      <w:r>
        <w:rPr>
          <w:rFonts w:ascii="Calibri" w:hAnsi="Calibri" w:eastAsia="微软雅黑"/>
          <w:b/>
          <w:i w:val="0"/>
          <w:sz w:val="22"/>
        </w:rPr>
        <w:t>接口消痕靠组织与标准双管齐下</w:t>
      </w:r>
      <w:r>
        <w:rPr>
          <w:rFonts w:ascii="Calibri" w:hAnsi="Calibri" w:eastAsia="微软雅黑"/>
          <w:b w:val="0"/>
          <w:i w:val="0"/>
          <w:sz w:val="22"/>
        </w:rPr>
        <w:t>：E-P、P-C、E-C三大接口的摩擦，本质是信息交付标准缺失与专业墙并存；市政总院"每周协调例会+信息共享平台+接口标准+快速响应"四件套与三局多专业整合管理是可复制的机制样本 [来源: P000606, P000621]。</w:t>
      </w:r>
    </w:p>
    <w:p>
      <w:pPr>
        <w:pStyle w:val="ListNumber"/>
      </w:pPr>
      <w:r>
        <w:rPr>
          <w:rFonts w:ascii="Calibri" w:hAnsi="Calibri" w:eastAsia="微软雅黑"/>
          <w:b/>
          <w:i w:val="0"/>
          <w:sz w:val="22"/>
        </w:rPr>
        <w:t>过程纠偏要算得出偏差来自哪里</w:t>
      </w:r>
      <w:r>
        <w:rPr>
          <w:rFonts w:ascii="Calibri" w:hAnsi="Calibri" w:eastAsia="微软雅黑"/>
          <w:b w:val="0"/>
          <w:i w:val="0"/>
          <w:sz w:val="22"/>
        </w:rPr>
        <w:t>：EVM提供偏差测量，"量差+价差"二因素拆解提供归因方向——量差指向设计变更与现场签证管理，价差指向采购策略与价格锁定 [来源: P000621]。湖南院四维纠偏（人工/材料/机械/分包）实现节约率16.67%、利润率提高10个百分点 [来源: P000616]；中南院以阶段-门控管理法驾驭6.3年超长周期 [来源: P000631]。</w:t>
      </w:r>
    </w:p>
    <w:p>
      <w:r>
        <w:rPr>
          <w:rFonts w:ascii="Calibri" w:hAnsi="Calibri" w:eastAsia="微软雅黑"/>
          <w:b w:val="0"/>
          <w:i w:val="0"/>
          <w:sz w:val="22"/>
        </w:rPr>
        <w:t>超长周期的项目，比拼的是节奏感而非冲刺力。前期把缺口留得越小，中后期追赶的压力就越轻；阶段门控的真正价值，是逼着团队在每个节点诚实面对偏差，而不是把希望寄托在末段逆转。驾驭长项目的经理都懂得一件事：进度可以慢，账不能糊涂；账一糊涂，时间就不再是朋友（长周期心法为本研究解读）。</w:t>
      </w:r>
    </w:p>
    <w:p>
      <w:pPr>
        <w:pStyle w:val="ListNumber"/>
      </w:pPr>
      <w:r>
        <w:rPr>
          <w:rFonts w:ascii="Calibri" w:hAnsi="Calibri" w:eastAsia="微软雅黑"/>
          <w:b/>
          <w:i w:val="0"/>
          <w:sz w:val="22"/>
        </w:rPr>
        <w:t>合同防御是四条裁判规则背书的法律屏障</w:t>
      </w:r>
      <w:r>
        <w:rPr>
          <w:rFonts w:ascii="Calibri" w:hAnsi="Calibri" w:eastAsia="微软雅黑"/>
          <w:b w:val="0"/>
          <w:i w:val="0"/>
          <w:sz w:val="22"/>
        </w:rPr>
        <w:t>：先履行抗辩权（最高法民终695号）、主分包联动解除（最高法民再53号）、审计反制（法工委函〔2017〕2号＋民提字第205号）、保函欺诈止付（法释〔2016〕24号＋川民终72号）四线齐备，才能在业主扣款、分包占场、恶意索赔与审计拖延四大绝境中有法可依 [来源: P000653]。</w:t>
      </w:r>
    </w:p>
    <w:p>
      <w:r>
        <w:rPr>
          <w:rFonts w:ascii="Calibri" w:hAnsi="Calibri" w:eastAsia="微软雅黑"/>
          <w:b w:val="0"/>
          <w:i w:val="0"/>
          <w:sz w:val="22"/>
        </w:rPr>
        <w:t>引用判例的正确姿势，是提炼规则而非背诵案号。裁判规则的适用有严格的条件前提——合同怎么写、证据是否齐备、程序是否踩点，任何一处不同，结论就可能反转。把判例当护身符随身携带，不如把自家的合同与凭据按判例要求逐项对表；对得上表的，判例自然站在你这边（引法要诀为本研究建议）。</w:t>
      </w:r>
    </w:p>
    <w:p>
      <w:pPr>
        <w:pStyle w:val="ListNumber"/>
      </w:pPr>
      <w:r>
        <w:rPr>
          <w:rFonts w:ascii="Calibri" w:hAnsi="Calibri" w:eastAsia="微软雅黑"/>
          <w:b/>
          <w:i w:val="0"/>
          <w:sz w:val="22"/>
        </w:rPr>
        <w:t>交付收口是一套技术交验纪律</w:t>
      </w:r>
      <w:r>
        <w:rPr>
          <w:rFonts w:ascii="Calibri" w:hAnsi="Calibri" w:eastAsia="微软雅黑"/>
          <w:b w:val="0"/>
          <w:i w:val="0"/>
          <w:sz w:val="22"/>
        </w:rPr>
        <w:t>：机械竣工-单机试车-联动试车-投料试车-性能考核-缺陷责任期的递进划界，配合"业主、监理、总承包商共同见证确认+性能考核报告签认"的程序要件，是避免收尾阶段扣款纠纷的制度基础 [来源: P000611, P000621, P000601]。</w:t>
      </w:r>
    </w:p>
    <w:p>
      <w:r>
        <w:rPr>
          <w:rFonts w:ascii="Calibri" w:hAnsi="Calibri" w:eastAsia="微软雅黑"/>
          <w:b w:val="0"/>
          <w:i w:val="0"/>
          <w:sz w:val="22"/>
        </w:rPr>
        <w:t>质保期不是义务期，而是再次经营的窗口。缺陷处理得快、回访做得勤，业主续约与转介绍的概率随之抬升；把质保当成本硬扛的，等于放弃了这段低成本接触客户的时光。用心的团队会在质保期届满时主动出具一份设备健康报告，为后续服务铺垫（质保经营为本研究建议）。</w:t>
      </w:r>
    </w:p>
    <w:p>
      <w:r>
        <w:rPr>
          <w:rFonts w:ascii="Calibri" w:hAnsi="Calibri" w:eastAsia="微软雅黑"/>
          <w:b w:val="0"/>
          <w:i w:val="0"/>
          <w:sz w:val="22"/>
        </w:rPr>
        <w:t>收尾表现最终会沉淀为资信。下一次投标的业绩证明、业主评价、履约记录，很大一部分正来自这一阶段的档案；把验收资料、考核数据、回访记录按投标口径归档，等于在为下一个项目悄悄加分。交付团队眼里只有工期时，这些素材最容易被随手散失（归档口径为本研究建议）。</w:t>
      </w:r>
    </w:p>
    <w:p>
      <w:pPr>
        <w:pStyle w:val="ListNumber"/>
      </w:pPr>
      <w:r>
        <w:rPr>
          <w:rFonts w:ascii="Calibri" w:hAnsi="Calibri" w:eastAsia="微软雅黑"/>
          <w:b/>
          <w:i w:val="0"/>
          <w:sz w:val="22"/>
        </w:rPr>
        <w:t>数字化与组织人才是交付的底座</w:t>
      </w:r>
      <w:r>
        <w:rPr>
          <w:rFonts w:ascii="Calibri" w:hAnsi="Calibri" w:eastAsia="微软雅黑"/>
          <w:b w:val="0"/>
          <w:i w:val="0"/>
          <w:sz w:val="22"/>
        </w:rPr>
        <w:t>：华东院数字化转型八项量化实效（设计效率+30%、项目成本-8%等）与湖南院县域院样本（数字化投入2800万元、BIM覆盖率100%、医院项目设计周期缩短25%）共同证明数字化投入的回报刚性 [来源: P000601, P000616]；强矩阵+PMO+专职风险经理+红黄牌预警构成组织穿透力 [来源: P000601, P000621]。</w:t>
      </w:r>
    </w:p>
    <w:p>
      <w:r>
        <w:rPr>
          <w:rFonts w:ascii="Calibri" w:hAnsi="Calibri" w:eastAsia="微软雅黑"/>
          <w:b w:val="0"/>
          <w:i w:val="0"/>
          <w:sz w:val="22"/>
        </w:rPr>
        <w:t>把小结当清单用，是本章最省力的读法。报价阶段的读者只需盯住概算与限额；履约阶段的读者重点看接口与纠偏；收尾与售后阶段的读者直奔交验与质保。各取所需之后，再回到对标矩阵找同体量、同业态的标杆，对照差距逐项补课——章内方法均可拆开单用，连成体系则收效更宏（使用说明为本研究建议）。</w:t>
      </w:r>
    </w:p>
    <w:p>
      <w:r>
        <w:rPr>
          <w:rFonts w:ascii="Calibri" w:hAnsi="Calibri" w:eastAsia="微软雅黑"/>
          <w:b w:val="0"/>
          <w:i w:val="0"/>
          <w:sz w:val="22"/>
        </w:rPr>
        <w:t>---</w:t>
      </w:r>
    </w:p>
    <w:p>
      <w:pPr>
        <w:pStyle w:val="Heading2"/>
      </w:pPr>
      <w:r>
        <w:t>7.10 本章证据边界与数据说明</w:t>
      </w:r>
    </w:p>
    <w:p>
      <w:pPr>
        <w:pStyle w:val="ListNumber"/>
      </w:pPr>
      <w:r>
        <w:rPr>
          <w:rFonts w:ascii="Calibri" w:hAnsi="Calibri" w:eastAsia="微软雅黑"/>
          <w:b/>
          <w:i w:val="0"/>
          <w:sz w:val="22"/>
        </w:rPr>
        <w:t>数据来源说明</w:t>
      </w:r>
      <w:r>
        <w:rPr>
          <w:rFonts w:ascii="Calibri" w:hAnsi="Calibri" w:eastAsia="微软雅黑"/>
          <w:b w:val="0"/>
          <w:i w:val="0"/>
          <w:sz w:val="22"/>
        </w:rPr>
        <w:t>：本章全部企业事实取自事实资料库实收的七份专业机构研究报告——华东院、上海市政总院、华陆工程、湖南院、中建三局、中国天辰、中南院EPC总承包业务研究报告 [来源: P000601, P000606, P000611, P000616, P000621, P000626, P000631]；概算编制方法与公式、交付效能模型取自既有专项研究成果 [来源: P000651]；司法判例与裁判规则取自司法案例专项研究成果与中石化南京工程EPC专项研究 [来源: P000652, P000653]。</w:t>
      </w:r>
    </w:p>
    <w:p>
      <w:pPr>
        <w:pStyle w:val="ListNumber"/>
      </w:pPr>
      <w:r>
        <w:rPr>
          <w:rFonts w:ascii="Calibri" w:hAnsi="Calibri" w:eastAsia="微软雅黑"/>
          <w:b/>
          <w:i w:val="0"/>
          <w:sz w:val="22"/>
        </w:rPr>
        <w:t>统计口径与时间跨度</w:t>
      </w:r>
      <w:r>
        <w:rPr>
          <w:rFonts w:ascii="Calibri" w:hAnsi="Calibri" w:eastAsia="微软雅黑"/>
          <w:b w:val="0"/>
          <w:i w:val="0"/>
          <w:sz w:val="22"/>
        </w:rPr>
        <w:t>：湖南院数字化投入（2800万元、占营收3%）与BIM数据为2024年口径；市政总院人员规模（超过5000人）、研发投入（占营收5.2%、总额超过8亿元）为截至2024年口径；华东院数字化转型八项效能为其实践总结口径；辰溪抽水蓄能电站（53.06亿元、2284日历天）与渤中海上风电B1项目（6.679亿元）为中标公告口径 [来源: P000616, P000606, P000601, P000631]。</w:t>
      </w:r>
    </w:p>
    <w:p>
      <w:pPr>
        <w:pStyle w:val="ListNumber"/>
      </w:pPr>
      <w:r>
        <w:rPr>
          <w:rFonts w:ascii="Calibri" w:hAnsi="Calibri" w:eastAsia="微软雅黑"/>
          <w:b/>
          <w:i w:val="0"/>
          <w:sz w:val="22"/>
        </w:rPr>
        <w:t>研究证据边界与局限性声明</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推演边界</w:t>
      </w:r>
      <w:r>
        <w:rPr>
          <w:rFonts w:ascii="Calibri" w:hAnsi="Calibri" w:eastAsia="微软雅黑"/>
          <w:b w:val="0"/>
          <w:i w:val="0"/>
          <w:sz w:val="22"/>
        </w:rPr>
        <w:t>：本章"五步锁价法""四步消痕法""四步纠偏法""四步防御法""五步交付收口法""四步数字化法""四步组织激活法"及四大避坑红线均为本研究归纳的操作框架或示意性复盘；其中各"步骤法"的时限与阈值参数（如预警阈值、响应时限）为机制设计示例，须由企业按项目规模自定，不指向任何企业的实际执行数据。</w:t>
      </w:r>
    </w:p>
    <w:p>
      <w:r>
        <w:rPr>
          <w:rFonts w:ascii="Calibri" w:hAnsi="Calibri" w:eastAsia="微软雅黑"/>
          <w:b w:val="0"/>
          <w:i w:val="0"/>
          <w:sz w:val="22"/>
        </w:rPr>
        <w:t xml:space="preserve">- </w:t>
      </w:r>
      <w:r>
        <w:rPr>
          <w:rFonts w:ascii="Calibri" w:hAnsi="Calibri" w:eastAsia="微软雅黑"/>
          <w:b/>
          <w:i w:val="0"/>
          <w:sz w:val="22"/>
        </w:rPr>
        <w:t>判例口径边界</w:t>
      </w:r>
      <w:r>
        <w:rPr>
          <w:rFonts w:ascii="Calibri" w:hAnsi="Calibri" w:eastAsia="微软雅黑"/>
          <w:b w:val="0"/>
          <w:i w:val="0"/>
          <w:sz w:val="22"/>
        </w:rPr>
        <w:t>：四条防御线引用的裁判文书（(2016)最高法民终695号、(2016)最高法民再53号、(2012)民提字第205号、(2017)川民终72号）与规范文件（法释〔2016〕24号、法工委函〔2017〕2号）均为个案裁判与规范性文件，不构成对未来同类案件结果的保证；读者援引前应核验文号原文并咨询执业律师 [来源: P000653]。</w:t>
      </w:r>
    </w:p>
    <w:p>
      <w:r>
        <w:rPr>
          <w:rFonts w:ascii="Calibri" w:hAnsi="Calibri" w:eastAsia="微软雅黑"/>
          <w:b w:val="0"/>
          <w:i w:val="0"/>
          <w:sz w:val="22"/>
        </w:rPr>
        <w:t xml:space="preserve">- </w:t>
      </w:r>
      <w:r>
        <w:rPr>
          <w:rFonts w:ascii="Calibri" w:hAnsi="Calibri" w:eastAsia="微软雅黑"/>
          <w:b/>
          <w:i w:val="0"/>
          <w:sz w:val="22"/>
        </w:rPr>
        <w:t>研究报告口径边界</w:t>
      </w:r>
      <w:r>
        <w:rPr>
          <w:rFonts w:ascii="Calibri" w:hAnsi="Calibri" w:eastAsia="微软雅黑"/>
          <w:b w:val="0"/>
          <w:i w:val="0"/>
          <w:sz w:val="22"/>
        </w:rPr>
        <w:t>：七份企业研究报告基于公开资料与企业实践整理，其量化成效数字（如效率提升百分比）为报告整理口径而非企业法定披露；湖南院案例项目（商业综合体、工业园区、住宅小区、医院）为研究报告披露的实践案例，未指名具体业主 [来源: P000601, P000606, P000611, P000616, P000621, P000626, P000631]。</w:t>
      </w:r>
    </w:p>
    <w:p>
      <w:r>
        <w:rPr>
          <w:rFonts w:ascii="Calibri" w:hAnsi="Calibri" w:eastAsia="微软雅黑"/>
          <w:b w:val="0"/>
          <w:i w:val="0"/>
          <w:sz w:val="22"/>
        </w:rPr>
        <w:t xml:space="preserve">- </w:t>
      </w:r>
      <w:r>
        <w:rPr>
          <w:rFonts w:ascii="Calibri" w:hAnsi="Calibri" w:eastAsia="微软雅黑"/>
          <w:b/>
          <w:i w:val="0"/>
          <w:sz w:val="22"/>
        </w:rPr>
        <w:t>适用边界</w:t>
      </w:r>
      <w:r>
        <w:rPr>
          <w:rFonts w:ascii="Calibri" w:hAnsi="Calibri" w:eastAsia="微软雅黑"/>
          <w:b w:val="0"/>
          <w:i w:val="0"/>
          <w:sz w:val="22"/>
        </w:rPr>
        <w:t>：本章案例多来自化工、电力、市政、超高层等领域的头部企业，其组织与投入体量对中型企业不具备直接可比性；中型企业引用时应以湖南院（县域院体量、数字化投入占营收3%）为对标基准，按体量裁剪（此提醒为本研究观点）。</w:t>
      </w:r>
    </w:p>
    <w:p>
      <w:r>
        <w:rPr>
          <w:rFonts w:ascii="Calibri" w:hAnsi="Calibri" w:eastAsia="微软雅黑"/>
          <w:b w:val="0"/>
          <w:i w:val="0"/>
          <w:sz w:val="22"/>
        </w:rPr>
        <w:t>---</w:t>
      </w:r>
    </w:p>
    <w:p>
      <w:pPr>
        <w:pStyle w:val="Heading2"/>
      </w:pPr>
      <w:r>
        <w:t>本章尾注（事实锚源对照）</w:t>
      </w:r>
    </w:p>
    <w:tbl>
      <w:tblPr>
        <w:tblStyle w:val="TableGrid"/>
        <w:tblW w:type="auto" w:w="0"/>
        <w:tblLook w:firstColumn="1" w:firstRow="1" w:lastColumn="0" w:lastRow="0" w:noHBand="0" w:noVBand="1" w:val="04A0"/>
      </w:tblPr>
      <w:tblGrid>
        <w:gridCol w:w="4150"/>
        <w:gridCol w:w="4150"/>
      </w:tblGrid>
      <w:tr>
        <w:tc>
          <w:tcPr>
            <w:tcW w:type="dxa" w:w="4150"/>
            <w:shd w:fill="1F3A5F"/>
          </w:tcPr>
          <w:p>
            <w:r>
              <w:rPr>
                <w:color w:val="FFFFFF"/>
              </w:rPr>
            </w:r>
            <w:r>
              <w:rPr>
                <w:rFonts w:ascii="Calibri" w:hAnsi="Calibri" w:eastAsia="微软雅黑"/>
                <w:b/>
                <w:i w:val="0"/>
                <w:color w:val="FFFFFF"/>
                <w:sz w:val="18"/>
              </w:rPr>
              <w:t>事实锚</w:t>
            </w:r>
          </w:p>
        </w:tc>
        <w:tc>
          <w:tcPr>
            <w:tcW w:type="dxa" w:w="4150"/>
            <w:shd w:fill="1F3A5F"/>
          </w:tcPr>
          <w:p>
            <w:r>
              <w:rPr>
                <w:color w:val="FFFFFF"/>
              </w:rPr>
            </w:r>
            <w:r>
              <w:rPr>
                <w:rFonts w:ascii="Calibri" w:hAnsi="Calibri" w:eastAsia="微软雅黑"/>
                <w:b/>
                <w:i w:val="0"/>
                <w:color w:val="FFFFFF"/>
                <w:sz w:val="18"/>
              </w:rPr>
              <w:t>源文（事实资料库实收件）</w:t>
            </w:r>
          </w:p>
        </w:tc>
      </w:tr>
      <w:tr>
        <w:tc>
          <w:tcPr>
            <w:tcW w:type="dxa" w:w="4150"/>
          </w:tcPr>
          <w:p>
            <w:r/>
            <w:r>
              <w:rPr>
                <w:rFonts w:ascii="Calibri" w:hAnsi="Calibri" w:eastAsia="微软雅黑"/>
                <w:b w:val="0"/>
                <w:i w:val="0"/>
                <w:sz w:val="18"/>
              </w:rPr>
              <w:t>P000601</w:t>
            </w:r>
          </w:p>
        </w:tc>
        <w:tc>
          <w:tcPr>
            <w:tcW w:type="dxa" w:w="4150"/>
          </w:tcPr>
          <w:p>
            <w:r/>
            <w:r>
              <w:rPr>
                <w:rFonts w:ascii="Calibri" w:hAnsi="Calibri" w:eastAsia="微软雅黑"/>
                <w:b w:val="0"/>
                <w:i w:val="0"/>
                <w:sz w:val="18"/>
              </w:rPr>
              <w:t>中国电建集团华东勘测设计研究院有限公司EPC总承包业务研究报告（事实资料库研究报告首片）</w:t>
            </w:r>
          </w:p>
        </w:tc>
      </w:tr>
      <w:tr>
        <w:tc>
          <w:tcPr>
            <w:tcW w:type="dxa" w:w="4150"/>
          </w:tcPr>
          <w:p>
            <w:r/>
            <w:r>
              <w:rPr>
                <w:rFonts w:ascii="Calibri" w:hAnsi="Calibri" w:eastAsia="微软雅黑"/>
                <w:b w:val="0"/>
                <w:i w:val="0"/>
                <w:sz w:val="18"/>
              </w:rPr>
              <w:t>P000606</w:t>
            </w:r>
          </w:p>
        </w:tc>
        <w:tc>
          <w:tcPr>
            <w:tcW w:type="dxa" w:w="4150"/>
          </w:tcPr>
          <w:p>
            <w:r/>
            <w:r>
              <w:rPr>
                <w:rFonts w:ascii="Calibri" w:hAnsi="Calibri" w:eastAsia="微软雅黑"/>
                <w:b w:val="0"/>
                <w:i w:val="0"/>
                <w:sz w:val="18"/>
              </w:rPr>
              <w:t>上海市政工程设计研究总院（集团）有限公司EPC总承包业务研究报告（事实资料库研究报告首片）</w:t>
            </w:r>
          </w:p>
        </w:tc>
      </w:tr>
      <w:tr>
        <w:tc>
          <w:tcPr>
            <w:tcW w:type="dxa" w:w="4150"/>
          </w:tcPr>
          <w:p>
            <w:r/>
            <w:r>
              <w:rPr>
                <w:rFonts w:ascii="Calibri" w:hAnsi="Calibri" w:eastAsia="微软雅黑"/>
                <w:b w:val="0"/>
                <w:i w:val="0"/>
                <w:sz w:val="18"/>
              </w:rPr>
              <w:t>P000611</w:t>
            </w:r>
          </w:p>
        </w:tc>
        <w:tc>
          <w:tcPr>
            <w:tcW w:type="dxa" w:w="4150"/>
          </w:tcPr>
          <w:p>
            <w:r/>
            <w:r>
              <w:rPr>
                <w:rFonts w:ascii="Calibri" w:hAnsi="Calibri" w:eastAsia="微软雅黑"/>
                <w:b w:val="0"/>
                <w:i w:val="0"/>
                <w:sz w:val="18"/>
              </w:rPr>
              <w:t>华陆工程科技有限责任公司EPC总承包业务研究报告（事实资料库研究报告首片）</w:t>
            </w:r>
          </w:p>
        </w:tc>
      </w:tr>
      <w:tr>
        <w:tc>
          <w:tcPr>
            <w:tcW w:type="dxa" w:w="4150"/>
          </w:tcPr>
          <w:p>
            <w:r/>
            <w:r>
              <w:rPr>
                <w:rFonts w:ascii="Calibri" w:hAnsi="Calibri" w:eastAsia="微软雅黑"/>
                <w:b w:val="0"/>
                <w:i w:val="0"/>
                <w:sz w:val="18"/>
              </w:rPr>
              <w:t>P000616</w:t>
            </w:r>
          </w:p>
        </w:tc>
        <w:tc>
          <w:tcPr>
            <w:tcW w:type="dxa" w:w="4150"/>
          </w:tcPr>
          <w:p>
            <w:r/>
            <w:r>
              <w:rPr>
                <w:rFonts w:ascii="Calibri" w:hAnsi="Calibri" w:eastAsia="微软雅黑"/>
                <w:b w:val="0"/>
                <w:i w:val="0"/>
                <w:sz w:val="18"/>
              </w:rPr>
              <w:t>湖南省建筑设计院集团股份有限公司EPC总承包业务研究报告（事实资料库研究报告首片）</w:t>
            </w:r>
          </w:p>
        </w:tc>
      </w:tr>
      <w:tr>
        <w:tc>
          <w:tcPr>
            <w:tcW w:type="dxa" w:w="4150"/>
          </w:tcPr>
          <w:p>
            <w:r/>
            <w:r>
              <w:rPr>
                <w:rFonts w:ascii="Calibri" w:hAnsi="Calibri" w:eastAsia="微软雅黑"/>
                <w:b w:val="0"/>
                <w:i w:val="0"/>
                <w:sz w:val="18"/>
              </w:rPr>
              <w:t>P000621</w:t>
            </w:r>
          </w:p>
        </w:tc>
        <w:tc>
          <w:tcPr>
            <w:tcW w:type="dxa" w:w="4150"/>
          </w:tcPr>
          <w:p>
            <w:r/>
            <w:r>
              <w:rPr>
                <w:rFonts w:ascii="Calibri" w:hAnsi="Calibri" w:eastAsia="微软雅黑"/>
                <w:b w:val="0"/>
                <w:i w:val="0"/>
                <w:sz w:val="18"/>
              </w:rPr>
              <w:t>中国建筑第三工程局有限公司EPC总承包业务研究报告（事实资料库研究报告首片）</w:t>
            </w:r>
          </w:p>
        </w:tc>
      </w:tr>
      <w:tr>
        <w:tc>
          <w:tcPr>
            <w:tcW w:type="dxa" w:w="4150"/>
          </w:tcPr>
          <w:p>
            <w:r/>
            <w:r>
              <w:rPr>
                <w:rFonts w:ascii="Calibri" w:hAnsi="Calibri" w:eastAsia="微软雅黑"/>
                <w:b w:val="0"/>
                <w:i w:val="0"/>
                <w:sz w:val="18"/>
              </w:rPr>
              <w:t>P000626</w:t>
            </w:r>
          </w:p>
        </w:tc>
        <w:tc>
          <w:tcPr>
            <w:tcW w:type="dxa" w:w="4150"/>
          </w:tcPr>
          <w:p>
            <w:r/>
            <w:r>
              <w:rPr>
                <w:rFonts w:ascii="Calibri" w:hAnsi="Calibri" w:eastAsia="微软雅黑"/>
                <w:b w:val="0"/>
                <w:i w:val="0"/>
                <w:sz w:val="18"/>
              </w:rPr>
              <w:t>中国天辰工程有限公司EPC总承包业务研究报告（事实资料库研究报告首片）</w:t>
            </w:r>
          </w:p>
        </w:tc>
      </w:tr>
      <w:tr>
        <w:tc>
          <w:tcPr>
            <w:tcW w:type="dxa" w:w="4150"/>
          </w:tcPr>
          <w:p>
            <w:r/>
            <w:r>
              <w:rPr>
                <w:rFonts w:ascii="Calibri" w:hAnsi="Calibri" w:eastAsia="微软雅黑"/>
                <w:b w:val="0"/>
                <w:i w:val="0"/>
                <w:sz w:val="18"/>
              </w:rPr>
              <w:t>P000631</w:t>
            </w:r>
          </w:p>
        </w:tc>
        <w:tc>
          <w:tcPr>
            <w:tcW w:type="dxa" w:w="4150"/>
          </w:tcPr>
          <w:p>
            <w:r/>
            <w:r>
              <w:rPr>
                <w:rFonts w:ascii="Calibri" w:hAnsi="Calibri" w:eastAsia="微软雅黑"/>
                <w:b w:val="0"/>
                <w:i w:val="0"/>
                <w:sz w:val="18"/>
              </w:rPr>
              <w:t>中国电力工程顾问集团中南电力设计院有限公司EPC总承包业务研究报告（事实资料库研究报告首片）</w:t>
            </w:r>
          </w:p>
        </w:tc>
      </w:tr>
      <w:tr>
        <w:tc>
          <w:tcPr>
            <w:tcW w:type="dxa" w:w="4150"/>
          </w:tcPr>
          <w:p>
            <w:r/>
            <w:r>
              <w:rPr>
                <w:rFonts w:ascii="Calibri" w:hAnsi="Calibri" w:eastAsia="微软雅黑"/>
                <w:b w:val="0"/>
                <w:i w:val="0"/>
                <w:sz w:val="18"/>
              </w:rPr>
              <w:t>P000651</w:t>
            </w:r>
          </w:p>
        </w:tc>
        <w:tc>
          <w:tcPr>
            <w:tcW w:type="dxa" w:w="4150"/>
          </w:tcPr>
          <w:p>
            <w:r/>
            <w:r>
              <w:rPr>
                <w:rFonts w:ascii="Calibri" w:hAnsi="Calibri" w:eastAsia="微软雅黑"/>
                <w:b w:val="0"/>
                <w:i w:val="0"/>
                <w:sz w:val="18"/>
              </w:rPr>
              <w:t>EPC项目设计概算编制与造价管控专项研究成果（研究报告成果合集节选·上）</w:t>
            </w:r>
          </w:p>
        </w:tc>
      </w:tr>
      <w:tr>
        <w:tc>
          <w:tcPr>
            <w:tcW w:type="dxa" w:w="4150"/>
          </w:tcPr>
          <w:p>
            <w:r/>
            <w:r>
              <w:rPr>
                <w:rFonts w:ascii="Calibri" w:hAnsi="Calibri" w:eastAsia="微软雅黑"/>
                <w:b w:val="0"/>
                <w:i w:val="0"/>
                <w:sz w:val="18"/>
              </w:rPr>
              <w:t>P000652</w:t>
            </w:r>
          </w:p>
        </w:tc>
        <w:tc>
          <w:tcPr>
            <w:tcW w:type="dxa" w:w="4150"/>
          </w:tcPr>
          <w:p>
            <w:r/>
            <w:r>
              <w:rPr>
                <w:rFonts w:ascii="Calibri" w:hAnsi="Calibri" w:eastAsia="微软雅黑"/>
                <w:b w:val="0"/>
                <w:i w:val="0"/>
                <w:sz w:val="18"/>
              </w:rPr>
              <w:t>EPC合同履约与海外交付专项研究成果（研究报告成果合集节选·中）</w:t>
            </w:r>
          </w:p>
        </w:tc>
      </w:tr>
      <w:tr>
        <w:tc>
          <w:tcPr>
            <w:tcW w:type="dxa" w:w="4150"/>
          </w:tcPr>
          <w:p>
            <w:r/>
            <w:r>
              <w:rPr>
                <w:rFonts w:ascii="Calibri" w:hAnsi="Calibri" w:eastAsia="微软雅黑"/>
                <w:b w:val="0"/>
                <w:i w:val="0"/>
                <w:sz w:val="18"/>
              </w:rPr>
              <w:t>P000653</w:t>
            </w:r>
          </w:p>
        </w:tc>
        <w:tc>
          <w:tcPr>
            <w:tcW w:type="dxa" w:w="4150"/>
          </w:tcPr>
          <w:p>
            <w:r/>
            <w:r>
              <w:rPr>
                <w:rFonts w:ascii="Calibri" w:hAnsi="Calibri" w:eastAsia="微软雅黑"/>
                <w:b w:val="0"/>
                <w:i w:val="0"/>
                <w:sz w:val="18"/>
              </w:rPr>
              <w:t>中石化南京工程有限公司EPC专项研究（含总承包合同司法判例与独立保函案例）</w:t>
            </w:r>
          </w:p>
        </w:tc>
      </w:tr>
    </w:tbl>
    <w:p>
      <w:r>
        <w:rPr>
          <w:rFonts w:ascii="Calibri" w:hAnsi="Calibri" w:eastAsia="微软雅黑"/>
          <w:b w:val="0"/>
          <w:i w:val="0"/>
          <w:sz w:val="22"/>
        </w:rPr>
        <w:t>---</w:t>
      </w:r>
    </w:p>
    <w:p>
      <w:pPr>
        <w:pStyle w:val="Heading1"/>
      </w:pPr>
      <w:r>
        <w:t>第8章 营收结构、盈利与风险：高流水低毛利下的现金流生命线</w:t>
      </w:r>
    </w:p>
    <w:p>
      <w:r>
        <w:rPr>
          <w:rFonts w:ascii="Calibri" w:hAnsi="Calibri" w:eastAsia="微软雅黑"/>
          <w:b w:val="0"/>
          <w:i w:val="0"/>
          <w:sz w:val="22"/>
        </w:rPr>
        <w:t>出品：总包创研院研究团队</w:t>
      </w:r>
    </w:p>
    <w:p>
      <w:pPr>
        <w:ind w:left="454"/>
      </w:pPr>
      <w:r>
        <w:rPr>
          <w:rFonts w:ascii="Calibri" w:hAnsi="Calibri" w:eastAsia="微软雅黑"/>
          <w:b/>
          <w:i w:val="0"/>
          <w:color w:val="666666"/>
          <w:sz w:val="22"/>
        </w:rPr>
        <w:t>本章事实纪律声明</w:t>
      </w:r>
      <w:r>
        <w:rPr>
          <w:rFonts w:ascii="Calibri" w:hAnsi="Calibri" w:eastAsia="微软雅黑"/>
          <w:b w:val="0"/>
          <w:i w:val="0"/>
          <w:color w:val="666666"/>
          <w:sz w:val="22"/>
        </w:rPr>
        <w:t>：本章全部企业财务数据、经营事实与司法判例，均逐字取自本书研究团队采集整理的事实资料库（含上市公司经审计年度报告全文、专业机构研究报告与司法案例专项研究成果），正文随文标注[来源: P锚]（对照本章尾注），读者可按锚号回溯核验；无源不写，解读性判断均在文中明示。标注"本研究测算"（own_calc）的比值为研究团队依据源数据折算所得；标注"示意性复盘"的机制为依据源文规则构造的示例，不指向具体企业。</w:t>
      </w:r>
    </w:p>
    <w:p>
      <w:r>
        <w:rPr>
          <w:rFonts w:ascii="Calibri" w:hAnsi="Calibri" w:eastAsia="微软雅黑"/>
          <w:b/>
          <w:i w:val="0"/>
          <w:sz w:val="22"/>
        </w:rPr>
        <w:t>本章引言：帮读者解决什么问题</w:t>
      </w:r>
    </w:p>
    <w:p>
      <w:r>
        <w:rPr>
          <w:rFonts w:ascii="Calibri" w:hAnsi="Calibri" w:eastAsia="微软雅黑"/>
          <w:b w:val="0"/>
          <w:i w:val="0"/>
          <w:sz w:val="22"/>
        </w:rPr>
        <w:t>在工程建设行业从"规模扩张"全面转向"存量优化与算账经营"的背景下，工程总承包（EPC）业务已不再是追求合同额与营收规模的数字游戏，而是直接考验企业底线生存能力的"盈利与现金流硬仗"。工程企业高管与设计院院长常面临三大痛点：一是</w:t>
      </w:r>
      <w:r>
        <w:rPr>
          <w:rFonts w:ascii="Calibri" w:hAnsi="Calibri" w:eastAsia="微软雅黑"/>
          <w:b/>
          <w:i w:val="0"/>
          <w:sz w:val="22"/>
        </w:rPr>
        <w:t>"合同额幻觉"</w:t>
      </w:r>
      <w:r>
        <w:rPr>
          <w:rFonts w:ascii="Calibri" w:hAnsi="Calibri" w:eastAsia="微软雅黑"/>
          <w:b w:val="0"/>
          <w:i w:val="0"/>
          <w:sz w:val="22"/>
        </w:rPr>
        <w:t>——巨额中标合同额因业主资金不到位、变更签证确认滞后或停缓建而无法顺畅转化为营业收入；二是</w:t>
      </w:r>
      <w:r>
        <w:rPr>
          <w:rFonts w:ascii="Calibri" w:hAnsi="Calibri" w:eastAsia="微软雅黑"/>
          <w:b/>
          <w:i w:val="0"/>
          <w:sz w:val="22"/>
        </w:rPr>
        <w:t>"虚假繁荣"</w:t>
      </w:r>
      <w:r>
        <w:rPr>
          <w:rFonts w:ascii="Calibri" w:hAnsi="Calibri" w:eastAsia="微软雅黑"/>
          <w:b w:val="0"/>
          <w:i w:val="0"/>
          <w:sz w:val="22"/>
        </w:rPr>
        <w:t>——账面营收和净利润看似增长，扣除应收账款减值、质保金占压和资金占用成本后，实际盈利能力大幅摊薄；三是</w:t>
      </w:r>
      <w:r>
        <w:rPr>
          <w:rFonts w:ascii="Calibri" w:hAnsi="Calibri" w:eastAsia="微软雅黑"/>
          <w:b/>
          <w:i w:val="0"/>
          <w:sz w:val="22"/>
        </w:rPr>
        <w:t>"现金流失血"</w:t>
      </w:r>
      <w:r>
        <w:rPr>
          <w:rFonts w:ascii="Calibri" w:hAnsi="Calibri" w:eastAsia="微软雅黑"/>
          <w:b w:val="0"/>
          <w:i w:val="0"/>
          <w:sz w:val="22"/>
        </w:rPr>
        <w:t>——业主预付款延付或要求变相垫资，经营活动现金流长期背离净利润（痛点归纳为本研究据源文整理）[来源: P000701, P000718]。</w:t>
      </w:r>
    </w:p>
    <w:p>
      <w:r>
        <w:rPr>
          <w:rFonts w:ascii="Calibri" w:hAnsi="Calibri" w:eastAsia="微软雅黑"/>
          <w:b w:val="0"/>
          <w:i w:val="0"/>
          <w:sz w:val="22"/>
        </w:rPr>
        <w:t>本章为决策层提供一套"从财务数据穿透到经营动作控制"的综合诊断与创效指南，依次回答四个问题：</w:t>
      </w:r>
      <w:r>
        <w:rPr>
          <w:rFonts w:ascii="Calibri" w:hAnsi="Calibri" w:eastAsia="微软雅黑"/>
          <w:b/>
          <w:i w:val="0"/>
          <w:sz w:val="22"/>
        </w:rPr>
        <w:t>第一，合同额到净利润的真实转化质效如何评估、不同梯队的盈利分化逻辑是什么；第二，净利润含金量与应收账款账龄风险如何穿透；第三，垫资如何在政策红线下解耦、"EPC+"衍生模式如何风险卡位；第四，变更签证与结算审计的合规防线如何转化为创效工具。</w:t>
      </w:r>
      <w:r>
        <w:rPr>
          <w:rFonts w:ascii="Calibri" w:hAnsi="Calibri" w:eastAsia="微软雅黑"/>
          <w:b w:val="0"/>
          <w:i w:val="0"/>
          <w:sz w:val="22"/>
        </w:rPr>
        <w:t xml:space="preserve"> 本章以七家上市公司年报（中国交建、中国铁建、中国化学、中材国际、中钢国际、四川路桥、山东路桥）与三家设计院研究报告（湖南院、上海市政总院、山东院）的财务实证为主轴，收束于一张营收结构调优与风险收益平衡的决策路线总表 [来源: P000701, P000706, P000707, P000708, P000713, P000718, P000720, P000723, P000731, P000732, P000735]。</w:t>
      </w:r>
    </w:p>
    <w:p>
      <w:r>
        <w:rPr>
          <w:rFonts w:ascii="Calibri" w:hAnsi="Calibri" w:eastAsia="微软雅黑"/>
          <w:b w:val="0"/>
          <w:i w:val="0"/>
          <w:sz w:val="22"/>
        </w:rPr>
        <w:t>读懂本章财务样本还须先建立三个读数习惯（本研究提示）。其一，</w:t>
      </w:r>
      <w:r>
        <w:rPr>
          <w:rFonts w:ascii="Calibri" w:hAnsi="Calibri" w:eastAsia="微软雅黑"/>
          <w:b/>
          <w:i w:val="0"/>
          <w:sz w:val="22"/>
        </w:rPr>
        <w:t>分口径读营收</w:t>
      </w:r>
      <w:r>
        <w:rPr>
          <w:rFonts w:ascii="Calibri" w:hAnsi="Calibri" w:eastAsia="微软雅黑"/>
          <w:b w:val="0"/>
          <w:i w:val="0"/>
          <w:sz w:val="22"/>
        </w:rPr>
        <w:t>：同一家公司的"营业总收入"与"营业收入"是两个口径（如中国化学2025年分别为1,901.25亿元与1,895.01亿元），跨企业对比前先统一口径 [来源: P000718]。其二，</w:t>
      </w:r>
      <w:r>
        <w:rPr>
          <w:rFonts w:ascii="Calibri" w:hAnsi="Calibri" w:eastAsia="微软雅黑"/>
          <w:b/>
          <w:i w:val="0"/>
          <w:sz w:val="22"/>
        </w:rPr>
        <w:t>分年份读指标</w:t>
      </w:r>
      <w:r>
        <w:rPr>
          <w:rFonts w:ascii="Calibri" w:hAnsi="Calibri" w:eastAsia="微软雅黑"/>
          <w:b w:val="0"/>
          <w:i w:val="0"/>
          <w:sz w:val="22"/>
        </w:rPr>
        <w:t>：工程企业年报数据的年际波动大（如山东路桥经营现金流从-51.39亿元到2.57亿元），单年截面容易误判趋势，本章样本均随文标注年份与同比基数。其三，</w:t>
      </w:r>
      <w:r>
        <w:rPr>
          <w:rFonts w:ascii="Calibri" w:hAnsi="Calibri" w:eastAsia="微软雅黑"/>
          <w:b/>
          <w:i w:val="0"/>
          <w:sz w:val="22"/>
        </w:rPr>
        <w:t>分主体读判例</w:t>
      </w:r>
      <w:r>
        <w:rPr>
          <w:rFonts w:ascii="Calibri" w:hAnsi="Calibri" w:eastAsia="微软雅黑"/>
          <w:b w:val="0"/>
          <w:i w:val="0"/>
          <w:sz w:val="22"/>
        </w:rPr>
        <w:t>：司法裁判规则只在同类型主体与同类型合同争议中具有参照意义，援引前先核对案件事实结构与自身场景的相似性。</w:t>
      </w:r>
    </w:p>
    <w:p>
      <w:r>
        <w:rPr>
          <w:rFonts w:ascii="Calibri" w:hAnsi="Calibri" w:eastAsia="微软雅黑"/>
          <w:b w:val="0"/>
          <w:i w:val="0"/>
          <w:sz w:val="22"/>
        </w:rPr>
        <w:t>---</w:t>
      </w:r>
    </w:p>
    <w:p>
      <w:pPr>
        <w:pStyle w:val="Heading2"/>
      </w:pPr>
      <w:r>
        <w:t>8.1 盈利剖析：从合同额到净利润的真实转化与结构分化</w:t>
      </w:r>
    </w:p>
    <w:p>
      <w:r>
        <w:rPr>
          <w:rFonts w:ascii="Calibri" w:hAnsi="Calibri" w:eastAsia="微软雅黑"/>
          <w:b w:val="0"/>
          <w:i w:val="0"/>
          <w:sz w:val="22"/>
        </w:rPr>
        <w:t>在工程总承包业务的运营全链条中，合同额是市场前端的"入库水流"，营业收入是中端履行的"结转水流量"，净利润则是最终留存的"沉淀养分"；而现金流，是贯穿三者之间、决定企业能否活到收获期的血液。管理者最容易犯的错误，是盯着入库水流宣布丰收，却不去查管道里的结转速度与漏损点。从合同额转化为营业收入，需要经历"项目开工条件具备—业主预付款到账—施工进度图纸批复—产值确认与工程结算—按完成百分比确认收入"等多道关卡（转化链条为本研究据源文归纳）；一旦某一环节断裂（业主审批推迟、征地拆迁滞后或融资未到位），合同额就会变成长期沉淀在账面上的"待执行订单"，无法产生实际的现金流和利润 [来源: P000701]。</w:t>
      </w:r>
    </w:p>
    <w:p>
      <w:pPr>
        <w:pStyle w:val="Heading3"/>
      </w:pPr>
      <w:r>
        <w:t>8.1.1 合同额-营业收入转化率的三类样本</w:t>
      </w:r>
    </w:p>
    <w:p>
      <w:r>
        <w:rPr>
          <w:rFonts w:ascii="Calibri" w:hAnsi="Calibri" w:eastAsia="微软雅黑"/>
          <w:b w:val="0"/>
          <w:i w:val="0"/>
          <w:sz w:val="22"/>
        </w:rPr>
        <w:t>不同类型企业的"合同额-营业收入"转化呈现出显著的行业特征与管控差异，三类样本最具代表性：</w:t>
      </w:r>
    </w:p>
    <w:p>
      <w:r>
        <w:rPr>
          <w:rFonts w:ascii="Calibri" w:hAnsi="Calibri" w:eastAsia="微软雅黑"/>
          <w:b/>
          <w:i w:val="0"/>
          <w:sz w:val="22"/>
        </w:rPr>
        <w:t>第一类：工业与特种工程企业的高效转化。</w:t>
      </w:r>
      <w:r>
        <w:rPr>
          <w:rFonts w:ascii="Calibri" w:hAnsi="Calibri" w:eastAsia="微软雅黑"/>
          <w:b w:val="0"/>
          <w:i w:val="0"/>
          <w:sz w:val="22"/>
        </w:rPr>
        <w:t>中钢国际（000928）2024年全年新签合同额196.70亿元，实现营业收入176.47亿元、归母净利润8.35亿元 [来源: P000706]；2025年新签海外工程项目订单145.90亿元（占全年新签工程合同额的72%）、新签国内工程项目订单58.08亿元，全年实现营业收入139.14亿元、归母净利润4.85亿元，海外营业收入达到89.80亿元，全年拟分配现金股利3.01亿元（占归母净利润的62%），连续保持高比例分红 [来源: P000707]。中材国际（600970）2024年新签工程服务合同额371.78亿元（其中境外275.29亿元、同比增长2%），全年工程服务实现营业收入271.25亿元（同比增长1.73%）、毛利率15.97%（同比提升0.24个百分点）[来源: P000731]。两者的共同点是：以自主技术与海外高毛利市场锁定订单质量，新签与结转同步受控。</w:t>
      </w:r>
    </w:p>
    <w:p>
      <w:r>
        <w:rPr>
          <w:rFonts w:ascii="Calibri" w:hAnsi="Calibri" w:eastAsia="微软雅黑"/>
          <w:b/>
          <w:i w:val="0"/>
          <w:sz w:val="22"/>
        </w:rPr>
        <w:t>第二类：设计院转型企业"高中标额、慢转化"的阵痛。</w:t>
      </w:r>
      <w:r>
        <w:rPr>
          <w:rFonts w:ascii="Calibri" w:hAnsi="Calibri" w:eastAsia="微软雅黑"/>
          <w:b w:val="0"/>
          <w:i w:val="0"/>
          <w:sz w:val="22"/>
        </w:rPr>
        <w:t>湖南院2024年共中标210个项目、中标总金额达到1,519,557.53万元（约152亿元，其中湖南省内中标175个），而同年实际营业收入为9.22亿元（同比增长12.8%）、净利润7,214万元 [来源: P000701]。这形成了"百亿级中标合同额"与"个位数亿级即期营业收入"的悬殊差距——其背后是设计主导型EPC项目履约周期较长、产值确认按进度分阶段结转，且地方政府公建项目的开工审批与资金拨付节奏拉长了合同转化周期（归因为本研究据源文整理）[来源: P000701]。对设计院出身的总承包商而言，读财报时把"中标额"当"收入"是第一个要破除的幻觉。</w:t>
      </w:r>
    </w:p>
    <w:p>
      <w:r>
        <w:rPr>
          <w:rFonts w:ascii="Calibri" w:hAnsi="Calibri" w:eastAsia="微软雅黑"/>
          <w:b/>
          <w:i w:val="0"/>
          <w:sz w:val="22"/>
        </w:rPr>
        <w:t>第三类：基建龙头央企的万亿体量平稳结转。</w:t>
      </w:r>
      <w:r>
        <w:rPr>
          <w:rFonts w:ascii="Calibri" w:hAnsi="Calibri" w:eastAsia="微软雅黑"/>
          <w:b w:val="0"/>
          <w:i w:val="0"/>
          <w:sz w:val="22"/>
        </w:rPr>
        <w:t>中国交建（601800）2022年实现营业收入7,202.75亿元、新签合同额15,422.56亿元 [来源: P000727]；2023年营业收入7,586.76亿元、新签17,532.15亿元 [来源: P000726]；2024年营业收入7,719.44亿元 [来源: P000730]；2025年营业收入7,311.09亿元、归母净利润147.51亿元，全年新签合同额18,836.72亿元，其中新兴业务新签6,655.43亿元（同比下降5.64%，但对公司整体贡献占比仍达35%），能源工程类项目新签1,224亿元、同比增长50.4% [来源: P000732]。中国铁建（601186）2023年营业收入11,379.93亿元、归母净利润260.97亿元 [来源: P000734]；2025年营业收入10,297.84亿元、归母净利润183.63亿元 [来源: P000733]。巨额在手订单构筑了深厚的业务缓冲垫，但受复杂地质与征地拆迁影响，合同额向营业收入的转换周期保持平缓进度（归因据年报口径）；对新签、营收、利润三层指标同向高增长的企业反而要多问一句——订单池里有多少是能如期开工的真实需求（此提醒为本研究观点）[来源: P000732]。</w:t>
      </w:r>
    </w:p>
    <w:p>
      <w:r>
        <w:rPr>
          <w:rFonts w:ascii="Calibri" w:hAnsi="Calibri" w:eastAsia="微软雅黑"/>
          <w:b w:val="0"/>
          <w:i w:val="0"/>
          <w:sz w:val="22"/>
        </w:rPr>
        <w:t>中材国际连续两年的订单结构变化，为"订单质量优先于订单数量"提供了一个纵向观察窗口。2023年公司新签合同总额616.44亿元（同比增长18%），其中境外新签333.07亿元、同比大幅增长55%，境内新签283.37亿元、同比减少8%；截至2023年底未完合同额593.25亿元（同比增长12%），为持续稳定发展提供保障；当年工程技术服务实现营业收入266.65亿元（同比增长7.55%）、毛利率15.73% [来源: P000728]。到2024年，新签工程服务合同额371.78亿元（境外275.29亿元），工程服务营收271.25亿元、毛利率提升至15.97%；新签生产运营服务合同额从135.86亿元（同比增长14%）跃升至173.12亿元（同比增长27%）[来源: P000731, P000728]。两年合观可见：境内新签收缩、境外与运维扩张——订单池的"成分"比订单池的"水位"更早指示了盈利走向（此判断为本研究归纳）。</w:t>
      </w:r>
    </w:p>
    <w:p>
      <w:r>
        <w:rPr>
          <w:rFonts w:ascii="Calibri" w:hAnsi="Calibri" w:eastAsia="微软雅黑"/>
          <w:b w:val="0"/>
          <w:i w:val="0"/>
          <w:sz w:val="22"/>
        </w:rPr>
        <w:t>非上市设计院的收入结构演进同样具有教科书意义，且因其无上市披露义务、数据经由研究报告整理，读者更应关注趋势而非单点。上海市政总院2019年营业收入突破百亿元、提前完成"十三五"规划主要经济指标，2020年站稳"百亿新平台"，2022年达到140.2亿元、净利润6.27亿元；EPC总承包业务占总营收的比例从2012年的27%快速增长到2022年的60%以上，完成了从设计服务商向工程总承包商的收入结构切换 [来源: P000713]。山东院2021年营业收入达到100.85亿元，站上百亿平台；2016年与中电投电力工程有限公司重组后员工总数超过3000人、资产总额超过130亿元，业务板块涵盖火电、新能源、电网、核电、综合智慧能源、非电六大领域，业务范围拓展至全球40多个国家和地区，火电EPC国际项目包括印尼爪哇7号、巴基斯坦萨希瓦尔、巴西潘帕等 [来源: P000708]。</w:t>
      </w:r>
    </w:p>
    <w:p>
      <w:pPr>
        <w:pStyle w:val="Heading3"/>
      </w:pPr>
      <w:r>
        <w:t>8.1.2 盈利分化：三大梯队的毛利与净利逻辑</w:t>
      </w:r>
    </w:p>
    <w:p>
      <w:r>
        <w:rPr>
          <w:rFonts w:ascii="Calibri" w:hAnsi="Calibri" w:eastAsia="微软雅黑"/>
          <w:b w:val="0"/>
          <w:i w:val="0"/>
          <w:sz w:val="22"/>
        </w:rPr>
        <w:t>工程总承包的盈利水平并非由单一造价决定，而是由技术壁垒、产业链议价权、商务模式设计与风险承担机制共同决定（判断为本研究归纳）。结合样本企业数据，市场已清晰分化为三大盈利梯队：</w:t>
      </w:r>
    </w:p>
    <w:p>
      <w:pPr>
        <w:pStyle w:val="Heading4"/>
      </w:pPr>
      <w:r>
        <w:t>表8-1 三大盈利梯队代表企业财务画像（最新年报口径）[来源: P000731, P000707, P000718, P000713, P000701, P000732, P000735, P000720]</w:t>
      </w:r>
    </w:p>
    <w:tbl>
      <w:tblPr>
        <w:tblStyle w:val="TableGrid"/>
        <w:tblW w:type="auto" w:w="0"/>
        <w:tblLook w:firstColumn="1" w:firstRow="1" w:lastColumn="0" w:lastRow="0" w:noHBand="0" w:noVBand="1" w:val="04A0"/>
      </w:tblPr>
      <w:tblGrid>
        <w:gridCol w:w="1660"/>
        <w:gridCol w:w="1660"/>
        <w:gridCol w:w="1660"/>
        <w:gridCol w:w="1660"/>
        <w:gridCol w:w="1660"/>
      </w:tblGrid>
      <w:tr>
        <w:tc>
          <w:tcPr>
            <w:tcW w:type="dxa" w:w="1660"/>
            <w:shd w:fill="1F3A5F"/>
          </w:tcPr>
          <w:p>
            <w:r>
              <w:rPr>
                <w:color w:val="FFFFFF"/>
              </w:rPr>
            </w:r>
            <w:r>
              <w:rPr>
                <w:rFonts w:ascii="Calibri" w:hAnsi="Calibri" w:eastAsia="微软雅黑"/>
                <w:b/>
                <w:i w:val="0"/>
                <w:color w:val="FFFFFF"/>
                <w:sz w:val="18"/>
              </w:rPr>
              <w:t>梯队与代表</w:t>
            </w:r>
          </w:p>
        </w:tc>
        <w:tc>
          <w:tcPr>
            <w:tcW w:type="dxa" w:w="1660"/>
            <w:shd w:fill="1F3A5F"/>
          </w:tcPr>
          <w:p>
            <w:r>
              <w:rPr>
                <w:color w:val="FFFFFF"/>
              </w:rPr>
            </w:r>
            <w:r>
              <w:rPr>
                <w:rFonts w:ascii="Calibri" w:hAnsi="Calibri" w:eastAsia="微软雅黑"/>
                <w:b/>
                <w:i w:val="0"/>
                <w:color w:val="FFFFFF"/>
                <w:sz w:val="18"/>
              </w:rPr>
              <w:t>营业收入</w:t>
            </w:r>
          </w:p>
        </w:tc>
        <w:tc>
          <w:tcPr>
            <w:tcW w:type="dxa" w:w="1660"/>
            <w:shd w:fill="1F3A5F"/>
          </w:tcPr>
          <w:p>
            <w:r>
              <w:rPr>
                <w:color w:val="FFFFFF"/>
              </w:rPr>
            </w:r>
            <w:r>
              <w:rPr>
                <w:rFonts w:ascii="Calibri" w:hAnsi="Calibri" w:eastAsia="微软雅黑"/>
                <w:b/>
                <w:i w:val="0"/>
                <w:color w:val="FFFFFF"/>
                <w:sz w:val="18"/>
              </w:rPr>
              <w:t>归母净利润</w:t>
            </w:r>
          </w:p>
        </w:tc>
        <w:tc>
          <w:tcPr>
            <w:tcW w:type="dxa" w:w="1660"/>
            <w:shd w:fill="1F3A5F"/>
          </w:tcPr>
          <w:p>
            <w:r>
              <w:rPr>
                <w:color w:val="FFFFFF"/>
              </w:rPr>
            </w:r>
            <w:r>
              <w:rPr>
                <w:rFonts w:ascii="Calibri" w:hAnsi="Calibri" w:eastAsia="微软雅黑"/>
                <w:b/>
                <w:i w:val="0"/>
                <w:color w:val="FFFFFF"/>
                <w:sz w:val="18"/>
              </w:rPr>
              <w:t>毛利率结构</w:t>
            </w:r>
          </w:p>
        </w:tc>
        <w:tc>
          <w:tcPr>
            <w:tcW w:type="dxa" w:w="1660"/>
            <w:shd w:fill="1F3A5F"/>
          </w:tcPr>
          <w:p>
            <w:r>
              <w:rPr>
                <w:color w:val="FFFFFF"/>
              </w:rPr>
            </w:r>
            <w:r>
              <w:rPr>
                <w:rFonts w:ascii="Calibri" w:hAnsi="Calibri" w:eastAsia="微软雅黑"/>
                <w:b/>
                <w:i w:val="0"/>
                <w:color w:val="FFFFFF"/>
                <w:sz w:val="18"/>
              </w:rPr>
              <w:t>盈利驱动与风险</w:t>
            </w:r>
          </w:p>
        </w:tc>
      </w:tr>
      <w:tr>
        <w:tc>
          <w:tcPr>
            <w:tcW w:type="dxa" w:w="1660"/>
          </w:tcPr>
          <w:p>
            <w:r/>
            <w:r>
              <w:rPr>
                <w:rFonts w:ascii="Calibri" w:hAnsi="Calibri" w:eastAsia="微软雅黑"/>
                <w:b w:val="0"/>
                <w:i w:val="0"/>
                <w:sz w:val="18"/>
              </w:rPr>
              <w:t>高技术壁垒工业/特种工程：中材国际、中钢国际、中国化学</w:t>
            </w:r>
          </w:p>
        </w:tc>
        <w:tc>
          <w:tcPr>
            <w:tcW w:type="dxa" w:w="1660"/>
          </w:tcPr>
          <w:p>
            <w:r/>
            <w:r>
              <w:rPr>
                <w:rFonts w:ascii="Calibri" w:hAnsi="Calibri" w:eastAsia="微软雅黑"/>
                <w:b w:val="0"/>
                <w:i w:val="0"/>
                <w:sz w:val="18"/>
              </w:rPr>
              <w:t>中材国际461.27亿元；中钢国际139.14亿元；中国化学1,895.01亿元（营业总收入1,901.25亿元）</w:t>
            </w:r>
          </w:p>
        </w:tc>
        <w:tc>
          <w:tcPr>
            <w:tcW w:type="dxa" w:w="1660"/>
          </w:tcPr>
          <w:p>
            <w:r/>
            <w:r>
              <w:rPr>
                <w:rFonts w:ascii="Calibri" w:hAnsi="Calibri" w:eastAsia="微软雅黑"/>
                <w:b w:val="0"/>
                <w:i w:val="0"/>
                <w:sz w:val="18"/>
              </w:rPr>
              <w:t>中材国际29.83亿元；中钢国际4.85亿元；中国化学64.36亿元</w:t>
            </w:r>
          </w:p>
        </w:tc>
        <w:tc>
          <w:tcPr>
            <w:tcW w:type="dxa" w:w="1660"/>
          </w:tcPr>
          <w:p>
            <w:r/>
            <w:r>
              <w:rPr>
                <w:rFonts w:ascii="Calibri" w:hAnsi="Calibri" w:eastAsia="微软雅黑"/>
                <w:b w:val="0"/>
                <w:i w:val="0"/>
                <w:sz w:val="18"/>
              </w:rPr>
              <w:t>中材国际综合毛利率19.63%、工程服务15.97%、装备制造22.82%；中国化学整体10.99%、工程业务10.76%、现代服务业39.71%；中钢国际海外项目毛利显著高于国内</w:t>
            </w:r>
          </w:p>
        </w:tc>
        <w:tc>
          <w:tcPr>
            <w:tcW w:type="dxa" w:w="1660"/>
          </w:tcPr>
          <w:p>
            <w:r/>
            <w:r>
              <w:rPr>
                <w:rFonts w:ascii="Calibri" w:hAnsi="Calibri" w:eastAsia="微软雅黑"/>
                <w:b w:val="0"/>
                <w:i w:val="0"/>
                <w:sz w:val="18"/>
              </w:rPr>
              <w:t>驱动：自主核心技术、专利装备、海外高毛利、运维服务延伸。风险：地缘政治、汇率与大宗原料波动</w:t>
            </w:r>
          </w:p>
        </w:tc>
      </w:tr>
      <w:tr>
        <w:tc>
          <w:tcPr>
            <w:tcW w:type="dxa" w:w="1660"/>
          </w:tcPr>
          <w:p>
            <w:r/>
            <w:r>
              <w:rPr>
                <w:rFonts w:ascii="Calibri" w:hAnsi="Calibri" w:eastAsia="微软雅黑"/>
                <w:b w:val="0"/>
                <w:i w:val="0"/>
                <w:sz w:val="18"/>
              </w:rPr>
              <w:t>设计院转型：上海市政总院、湖南院、山东院</w:t>
            </w:r>
          </w:p>
        </w:tc>
        <w:tc>
          <w:tcPr>
            <w:tcW w:type="dxa" w:w="1660"/>
          </w:tcPr>
          <w:p>
            <w:r/>
            <w:r>
              <w:rPr>
                <w:rFonts w:ascii="Calibri" w:hAnsi="Calibri" w:eastAsia="微软雅黑"/>
                <w:b w:val="0"/>
                <w:i w:val="0"/>
                <w:sz w:val="18"/>
              </w:rPr>
              <w:t>市政总院140.2亿元；湖南院9.22亿元；山东院超100亿元</w:t>
            </w:r>
          </w:p>
        </w:tc>
        <w:tc>
          <w:tcPr>
            <w:tcW w:type="dxa" w:w="1660"/>
          </w:tcPr>
          <w:p>
            <w:r/>
            <w:r>
              <w:rPr>
                <w:rFonts w:ascii="Calibri" w:hAnsi="Calibri" w:eastAsia="微软雅黑"/>
                <w:b w:val="0"/>
                <w:i w:val="0"/>
                <w:sz w:val="18"/>
              </w:rPr>
              <w:t>市政总院6.27亿元；湖南院7,214万元</w:t>
            </w:r>
          </w:p>
        </w:tc>
        <w:tc>
          <w:tcPr>
            <w:tcW w:type="dxa" w:w="1660"/>
          </w:tcPr>
          <w:p>
            <w:r/>
            <w:r>
              <w:rPr>
                <w:rFonts w:ascii="Calibri" w:hAnsi="Calibri" w:eastAsia="微软雅黑"/>
                <w:b w:val="0"/>
                <w:i w:val="0"/>
                <w:sz w:val="18"/>
              </w:rPr>
              <w:t>湖南院综合毛利率14.4%（工程设计25%、工程咨询35%、EPC业务12%）、净利率7.8%；市政总院EPC毛利率15-20%</w:t>
            </w:r>
          </w:p>
        </w:tc>
        <w:tc>
          <w:tcPr>
            <w:tcW w:type="dxa" w:w="1660"/>
          </w:tcPr>
          <w:p>
            <w:r/>
            <w:r>
              <w:rPr>
                <w:rFonts w:ascii="Calibri" w:hAnsi="Calibri" w:eastAsia="微软雅黑"/>
                <w:b w:val="0"/>
                <w:i w:val="0"/>
                <w:sz w:val="18"/>
              </w:rPr>
              <w:t>驱动：设计前端优化、限额设计、高毛利咨询带动。风险：地方财政付款周期拉长、施工环节垫资</w:t>
            </w:r>
          </w:p>
        </w:tc>
      </w:tr>
      <w:tr>
        <w:tc>
          <w:tcPr>
            <w:tcW w:type="dxa" w:w="1660"/>
          </w:tcPr>
          <w:p>
            <w:r/>
            <w:r>
              <w:rPr>
                <w:rFonts w:ascii="Calibri" w:hAnsi="Calibri" w:eastAsia="微软雅黑"/>
                <w:b w:val="0"/>
                <w:i w:val="0"/>
                <w:sz w:val="18"/>
              </w:rPr>
              <w:t>大型基建施工集团：中国交建、四川路桥、山东路桥</w:t>
            </w:r>
          </w:p>
        </w:tc>
        <w:tc>
          <w:tcPr>
            <w:tcW w:type="dxa" w:w="1660"/>
          </w:tcPr>
          <w:p>
            <w:r/>
            <w:r>
              <w:rPr>
                <w:rFonts w:ascii="Calibri" w:hAnsi="Calibri" w:eastAsia="微软雅黑"/>
                <w:b w:val="0"/>
                <w:i w:val="0"/>
                <w:sz w:val="18"/>
              </w:rPr>
              <w:t>中国交建7,311.09亿元；四川路桥1,151.11亿元；山东路桥685.68亿元</w:t>
            </w:r>
          </w:p>
        </w:tc>
        <w:tc>
          <w:tcPr>
            <w:tcW w:type="dxa" w:w="1660"/>
          </w:tcPr>
          <w:p>
            <w:r/>
            <w:r>
              <w:rPr>
                <w:rFonts w:ascii="Calibri" w:hAnsi="Calibri" w:eastAsia="微软雅黑"/>
                <w:b w:val="0"/>
                <w:i w:val="0"/>
                <w:sz w:val="18"/>
              </w:rPr>
              <w:t>中国交建147.51亿元；四川路桥72.97亿元；山东路桥22.27亿元</w:t>
            </w:r>
          </w:p>
        </w:tc>
        <w:tc>
          <w:tcPr>
            <w:tcW w:type="dxa" w:w="1660"/>
          </w:tcPr>
          <w:p>
            <w:r/>
            <w:r>
              <w:rPr>
                <w:rFonts w:ascii="Calibri" w:hAnsi="Calibri" w:eastAsia="微软雅黑"/>
                <w:b w:val="0"/>
                <w:i w:val="0"/>
                <w:sz w:val="18"/>
              </w:rPr>
              <w:t>中国交建综合11.37%；四川路桥工程施工13.95%；山东路桥建筑业12.35%</w:t>
            </w:r>
          </w:p>
        </w:tc>
        <w:tc>
          <w:tcPr>
            <w:tcW w:type="dxa" w:w="1660"/>
          </w:tcPr>
          <w:p>
            <w:r/>
            <w:r>
              <w:rPr>
                <w:rFonts w:ascii="Calibri" w:hAnsi="Calibri" w:eastAsia="微软雅黑"/>
                <w:b w:val="0"/>
                <w:i w:val="0"/>
                <w:sz w:val="18"/>
              </w:rPr>
              <w:t>驱动：大规模集采议价、机械化施工、精细化算账。风险：高资产负债率、低毛利下材料价格敏感、应收占压</w:t>
            </w:r>
          </w:p>
        </w:tc>
      </w:tr>
    </w:tbl>
    <w:p>
      <w:r>
        <w:rPr>
          <w:rFonts w:ascii="Calibri" w:hAnsi="Calibri" w:eastAsia="微软雅黑"/>
          <w:b w:val="0"/>
          <w:i w:val="0"/>
          <w:sz w:val="22"/>
        </w:rPr>
        <w:t>三个梯队的盈利逻辑存在质的差别（分述为本研究归纳）：</w:t>
      </w:r>
    </w:p>
    <w:p>
      <w:pPr>
        <w:pStyle w:val="ListNumber"/>
      </w:pPr>
      <w:r>
        <w:rPr>
          <w:rFonts w:ascii="Calibri" w:hAnsi="Calibri" w:eastAsia="微软雅黑"/>
          <w:b/>
          <w:i w:val="0"/>
          <w:sz w:val="22"/>
        </w:rPr>
        <w:t>工业与特种工程央企以技术壁垒换取"高毛利+高净利"</w:t>
      </w:r>
      <w:r>
        <w:rPr>
          <w:rFonts w:ascii="Calibri" w:hAnsi="Calibri" w:eastAsia="微软雅黑"/>
          <w:b w:val="0"/>
          <w:i w:val="0"/>
          <w:sz w:val="22"/>
        </w:rPr>
        <w:t>。中国化学2025年实现利润总额84.35亿元（同比增长14.62%）、归母净利润64.36亿元（同比增长13.15%），工程业务收入1,781.33亿元（own_calc折算）、毛利率10.76%，而现代服务业毛利率高达39.71% [来源: P000718]。中材国际2024年装备业务虽受国内水泥行业需求下滑影响（营业收入62.14亿元、同比减少18.42%），但毛利率仍达22.82%，且境外新签装备合同31.48亿元、同比大幅增长96%，十类核心主机装备自给率达67% [来源: P000731]。中钢国际依托湛江钢铁百万吨级氢基竖炉、八钢HyCROF富氢碳循环高炉等自主知识产权技术树立壁垒，主动压降国内低毛利项目、聚焦海外高标准低碳冶金项目 [来源: P000707]。</w:t>
      </w:r>
    </w:p>
    <w:p>
      <w:pPr>
        <w:pStyle w:val="ListNumber"/>
      </w:pPr>
      <w:r>
        <w:rPr>
          <w:rFonts w:ascii="Calibri" w:hAnsi="Calibri" w:eastAsia="微软雅黑"/>
          <w:b/>
          <w:i w:val="0"/>
          <w:sz w:val="22"/>
        </w:rPr>
        <w:t>设计院转型企业靠"限额设计与前端咨询"获取管理溢价</w:t>
      </w:r>
      <w:r>
        <w:rPr>
          <w:rFonts w:ascii="Calibri" w:hAnsi="Calibri" w:eastAsia="微软雅黑"/>
          <w:b w:val="0"/>
          <w:i w:val="0"/>
          <w:sz w:val="22"/>
        </w:rPr>
        <w:t>。湖南院2024年综合毛利率14.4%（较上年13.8%提升）、净利率7.8%（较上年7.2%提升），其中工程设计毛利率25%、工程咨询35%、EPC业务12%——设计咨询板块的高毛利对冲了EPC施工环节的低毛利 [来源: P000701]。上海市政总院EPC总承包业务占比达60%以上，EPC毛利率维持在15-20%的水平 [来源: P000713]。</w:t>
      </w:r>
    </w:p>
    <w:p>
      <w:pPr>
        <w:pStyle w:val="ListNumber"/>
      </w:pPr>
      <w:r>
        <w:rPr>
          <w:rFonts w:ascii="Calibri" w:hAnsi="Calibri" w:eastAsia="微软雅黑"/>
          <w:b/>
          <w:i w:val="0"/>
          <w:sz w:val="22"/>
        </w:rPr>
        <w:t>基建施工集团依靠"规模化集采与极致算账"挤压成本利润</w:t>
      </w:r>
      <w:r>
        <w:rPr>
          <w:rFonts w:ascii="Calibri" w:hAnsi="Calibri" w:eastAsia="微软雅黑"/>
          <w:b w:val="0"/>
          <w:i w:val="0"/>
          <w:sz w:val="22"/>
        </w:rPr>
        <w:t>。四川路桥2025年营业收入1,151.11亿元（同比增长7.34%）、归母净利润72.97亿元（同比增长1.21%）、工程施工毛利率13.95%，拟派现及回购总额43.79亿元（占归母净利润60.01%）[来源: P000735]。山东路桥2024年营业收入713.48亿元、归母净利润23.22亿元 [来源: P000723]；2025年营业收入685.68亿元、归母净利润22.27亿元 [来源: P000720]。中国铁建2025年则展示了基建央企"向内挤成本"的最新动作——开展精细化管理"全面提升年"活动，持续增强成本管控能力，强化供应链管理和资产盘活处置；严格落实"过紧日子"要求，树牢"一切成本皆可控、一切成本皆可降"理念，执行人均标准、开支总额双管控，全力压降销售费用与管理费用 [来源: P000733]。</w:t>
      </w:r>
    </w:p>
    <w:p>
      <w:r>
        <w:rPr>
          <w:rFonts w:ascii="Calibri" w:hAnsi="Calibri" w:eastAsia="微软雅黑"/>
          <w:b w:val="0"/>
          <w:i w:val="0"/>
          <w:sz w:val="22"/>
        </w:rPr>
        <w:t>在三大梯队之下，两家非上市设计院的成本控制体系提供了"全过程算账"的微观样本。上海市政总院建立了全方位、全过程的成本控制体系：设计阶段从设计优化、限额设计入手锁定成本源头；采购阶段实施战略采购，与主要供应商建立长期稳定合作关系，以批量采购、集中采购获取更优价格，并引入供应商竞争机制、优化供应链结构，在确定采购方案前对不同供应商的报价、质量、服务进行综合评估；施工阶段注重施工组织设计优化（经济合理的施工方法、机械设备与资源配置方案），严格现场管理控制材料消耗、减少浪费返工，并对各项成本支出跟踪分析、及时调整；变更索赔管理贯穿始终 [来源: P000713]。容城环境整治提升EPC工程是该体系的集成实证——从设计优化、限额设计入手，加强采购招标、施工过程成本监控与变更索赔管理，据估算节约投资约15% [来源: P000713]。山东院作为大型国有企业，财务管理遵循严格的国有资产管理规定和企业会计准则，由专业财务团队负责资金运作、成本控制、预算管理和风险防范，并通过内部审计与外部审计结合确保财务数据真实准确 [来源: P000708]。</w:t>
      </w:r>
    </w:p>
    <w:p>
      <w:r>
        <w:rPr>
          <w:rFonts w:ascii="Calibri" w:hAnsi="Calibri" w:eastAsia="微软雅黑"/>
          <w:b w:val="0"/>
          <w:i w:val="0"/>
          <w:sz w:val="22"/>
        </w:rPr>
        <w:t>山东院更进一步的价值在其全生命周期风险管理体系——针对EPC项目复杂性高、周期长、投资大、涉及面广的特点，建立全面、系统、动态的风险识别、评估、应对和监控机制，覆盖合同风险、技术风险、商务风险、法律风险与政治风险 [来源: P000708]。以商务风险为例，其应对组合是"五件套"：合同谈判阶段聘请专业法律顾问确保条款清晰、风险分担合理；建立完善的成本控制体系实施动态成本管理；购买汇率保险或采用套期保值工具对冲汇率波动；加强对业主的信用评估并建立应收账款管理机制；对分包商严格筛选和履约监督，并建立索赔管理团队及时处理索赔事宜 [来源: P000708]。海外项目还须叠加政治风险（政局不稳、政策变动）、经济风险（汇率波动、通货膨胀）、法律风险（合同纠纷、劳工法规）与文化风险的组合评估 [来源: P000708]。这套体系与本章第四节的合规创效框架互为表里——前者是企业侧的风险内控，后者是司法侧的救济底线。</w:t>
      </w:r>
    </w:p>
    <w:p>
      <w:pPr>
        <w:pStyle w:val="Heading3"/>
      </w:pPr>
      <w:r>
        <w:t>8.1.3 区域与客户结构：营收质量的第二重结构</w:t>
      </w:r>
    </w:p>
    <w:p>
      <w:r>
        <w:rPr>
          <w:rFonts w:ascii="Calibri" w:hAnsi="Calibri" w:eastAsia="微软雅黑"/>
          <w:b w:val="0"/>
          <w:i w:val="0"/>
          <w:sz w:val="22"/>
        </w:rPr>
        <w:t>营收结构不只是"什么业务"，还包括"谁的订单、在哪里的订单"。湖南院的样本显示：其收入主要来源于湖南省内市场，省内收入占总收入比重超过80%——深耕本土降低了管理成本与协调成本、放大了品牌影响力，但也使营收与单一区域的财政节奏高度绑定；客户结构上，政府投资项目占据重要比重，政府客户项目规模大、信用度高、付款相对有保障，但审批周期长、付款周期长，对资金实力提出更高要求，企业因此也在拓展决策效率更高、付款周期相对较短的民营客户以改善现金流 [来源: P000701]。上海市政总院EPC业务则集中在华东地区（上海、江苏、浙江、安徽等传统优势区域），华东占其EPC业务60%以上，华北、华南分别占15%和10%，形成全国性布局但区域梯度分明的格局 [来源: P000713]。</w:t>
      </w:r>
    </w:p>
    <w:p>
      <w:r>
        <w:rPr>
          <w:rFonts w:ascii="Calibri" w:hAnsi="Calibri" w:eastAsia="微软雅黑"/>
          <w:b w:val="0"/>
          <w:i w:val="0"/>
          <w:sz w:val="22"/>
        </w:rPr>
        <w:t>把湖南院的"省内超八成"与市政总院的"华东超六成"放在一起对照，可以得到一条营收诊断要领（本研究归纳）：</w:t>
      </w:r>
      <w:r>
        <w:rPr>
          <w:rFonts w:ascii="Calibri" w:hAnsi="Calibri" w:eastAsia="微软雅黑"/>
          <w:b/>
          <w:i w:val="0"/>
          <w:sz w:val="22"/>
        </w:rPr>
        <w:t>区域与客户集中度是双刃剑——集中带来属地信用与管理半径优势，分散带来回款节奏的对冲；判断一家总承包商营收质量时，要把"业务结构、区域结构、客户结构"三张切片叠在一起看</w:t>
      </w:r>
      <w:r>
        <w:rPr>
          <w:rFonts w:ascii="Calibri" w:hAnsi="Calibri" w:eastAsia="微软雅黑"/>
          <w:b w:val="0"/>
          <w:i w:val="0"/>
          <w:sz w:val="22"/>
        </w:rPr>
        <w:t>，任何单一维度的"高增长"都可能被另一维度的集中度风险抵消。</w:t>
      </w:r>
    </w:p>
    <w:p>
      <w:pPr>
        <w:pStyle w:val="Heading3"/>
      </w:pPr>
      <w:r>
        <w:t>8.1.4 可执行方法：全过程算账经营三步法（本研究归纳，示意性复盘）</w:t>
      </w:r>
    </w:p>
    <w:p>
      <w:pPr>
        <w:pStyle w:val="ListNumber"/>
      </w:pPr>
      <w:r>
        <w:rPr>
          <w:rFonts w:ascii="Calibri" w:hAnsi="Calibri" w:eastAsia="微软雅黑"/>
          <w:b/>
          <w:i w:val="0"/>
          <w:sz w:val="22"/>
        </w:rPr>
        <w:t>第一步：投前"算账经营"评估与资信门槛</w:t>
      </w:r>
      <w:r>
        <w:rPr>
          <w:rFonts w:ascii="Calibri" w:hAnsi="Calibri" w:eastAsia="微软雅黑"/>
          <w:b w:val="0"/>
          <w:i w:val="0"/>
          <w:sz w:val="22"/>
        </w:rPr>
        <w:t>。参照中钢国际"算账经营"理念，在投标报价前设立强制性财务评估关卡，审查业主资金到位率、项目融资方案及过往履约信誉；对国内项目原则上要求约定预付款、对海外项目强制要求业主开具不可撤销跟单信用证，拒绝签署无预付款、无进度款保障的全额垫资合同；投标前由财务、商务、技术部门联合测算静态毛利率与动态资金占用成本，扣除资金利息后低于内部红线的项目果断放弃（门槛参数由企业自定，机制设计为本研究归纳）[来源: P000706, P000707]。</w:t>
      </w:r>
    </w:p>
    <w:p>
      <w:pPr>
        <w:pStyle w:val="ListNumber"/>
      </w:pPr>
      <w:r>
        <w:rPr>
          <w:rFonts w:ascii="Calibri" w:hAnsi="Calibri" w:eastAsia="微软雅黑"/>
          <w:b/>
          <w:i w:val="0"/>
          <w:sz w:val="22"/>
        </w:rPr>
        <w:t>第二步：设计阶段限额设计与价值工程优化</w:t>
      </w:r>
      <w:r>
        <w:rPr>
          <w:rFonts w:ascii="Calibri" w:hAnsi="Calibri" w:eastAsia="微软雅黑"/>
          <w:b w:val="0"/>
          <w:i w:val="0"/>
          <w:sz w:val="22"/>
        </w:rPr>
        <w:t>。按"目标成本反推设计"原则，将造价目标拆解为各专业限额设计指标；在方案与初步设计阶段组织施工经验丰富的项目经理、造价工程师与设计骨干联合审查，重点优化基础选型、钢筋用量与设备选型（市政总院在容城环境整治提升EPC工程中通过优化设计方案，据估算节约投资约15%，为实证参照）[来源: P000713]。</w:t>
      </w:r>
    </w:p>
    <w:p>
      <w:pPr>
        <w:pStyle w:val="ListNumber"/>
      </w:pPr>
      <w:r>
        <w:rPr>
          <w:rFonts w:ascii="Calibri" w:hAnsi="Calibri" w:eastAsia="微软雅黑"/>
          <w:b/>
          <w:i w:val="0"/>
          <w:sz w:val="22"/>
        </w:rPr>
        <w:t>第三步：履约阶段集中采购与动态成本对账</w:t>
      </w:r>
      <w:r>
        <w:rPr>
          <w:rFonts w:ascii="Calibri" w:hAnsi="Calibri" w:eastAsia="微软雅黑"/>
          <w:b w:val="0"/>
          <w:i w:val="0"/>
          <w:sz w:val="22"/>
        </w:rPr>
        <w:t>。依托电子化采购平台对钢材、水泥、特种设备及施工分包实行集团级集中招标与长协采购；项目部设立"算账经营责任岗"，按月梳理已完工未结算产值与实际成本，偏差达到警戒线即启动预警纠偏（中国化学将"产值计量比""计量收款比"纳入系统强制监控节点即为此法的企业级实践）[来源: P000718]。</w:t>
      </w:r>
    </w:p>
    <w:p>
      <w:r>
        <w:rPr>
          <w:rFonts w:ascii="Calibri" w:hAnsi="Calibri" w:eastAsia="微软雅黑"/>
          <w:b w:val="0"/>
          <w:i w:val="0"/>
          <w:sz w:val="22"/>
        </w:rPr>
        <w:t>---</w:t>
      </w:r>
    </w:p>
    <w:p>
      <w:pPr>
        <w:pStyle w:val="Heading2"/>
      </w:pPr>
      <w:r>
        <w:t>8.2 现金流穿透：净利润含金量与应收账款账龄风险</w:t>
      </w:r>
    </w:p>
    <w:p>
      <w:r>
        <w:rPr>
          <w:rFonts w:ascii="Calibri" w:hAnsi="Calibri" w:eastAsia="微软雅黑"/>
          <w:b w:val="0"/>
          <w:i w:val="0"/>
          <w:sz w:val="22"/>
        </w:rPr>
        <w:t>在工程总承包模式下，"账面净利润"与"经营活动净现金流"往往存在较大的时间错位：项目前期需支付保证金及部分预付款，中后期承受业主结算周期拉长带来的资金占压，只有在竣工验收并收回进度款与质保金后，现金流才能真正回笼（机制描述为本研究据源文归纳）[来源: P000701]。本章将"净利润含金量"操作化为两个可从年报直接读取或简单折算的指标，并把七家上市公司全部放入同一坐标系比较——这样做的价值在于：当一家企业的现金净利润比明显低于同梯队时，问题通常不在会计政策，而在订单结构（业主信用）、结算管理（签认周期）或垫资结构（预付款缺失）三个可改造的环节（指标操作化为本研究归纳）。</w:t>
      </w:r>
    </w:p>
    <w:p>
      <w:pPr>
        <w:pStyle w:val="Heading3"/>
      </w:pPr>
      <w:r>
        <w:t>8.2.1 净利润含金量的三类样本</w:t>
      </w:r>
    </w:p>
    <w:p>
      <w:r>
        <w:rPr>
          <w:rFonts w:ascii="Calibri" w:hAnsi="Calibri" w:eastAsia="微软雅黑"/>
          <w:b w:val="0"/>
          <w:i w:val="0"/>
          <w:sz w:val="22"/>
        </w:rPr>
        <w:t>评估净利润含金量的核心指标，是经营活动净现金流量与净利润的比值（现金净利润比），以及销售商品、提供劳务收到的现金对营业收入的覆盖度（营业收现率）（指标框架为本研究归纳，样本数据均取自年报）[来源: P000720, P000732]：</w:t>
      </w:r>
    </w:p>
    <w:p>
      <w:pPr>
        <w:pStyle w:val="ListNumber"/>
      </w:pPr>
      <w:r>
        <w:rPr>
          <w:rFonts w:ascii="Calibri" w:hAnsi="Calibri" w:eastAsia="微软雅黑"/>
          <w:b/>
          <w:i w:val="0"/>
          <w:sz w:val="22"/>
        </w:rPr>
        <w:t>高现金转化的优质标杆</w:t>
      </w:r>
      <w:r>
        <w:rPr>
          <w:rFonts w:ascii="Calibri" w:hAnsi="Calibri" w:eastAsia="微软雅黑"/>
          <w:b w:val="0"/>
          <w:i w:val="0"/>
          <w:sz w:val="22"/>
        </w:rPr>
        <w:t>。湖南院2024年经营活动净现金流量1.22亿元（同比增长28.4%），销售商品、提供劳务收到的现金10.34亿元（占经营活动现金流入的94.9%），经营活动净现金流与净利润的比值达到1.69——每实现1元净利润产生1.69元经营现金流 [来源: P000701]。中国交建2024年营业收现率为102.27%；2025年进一步提升至110.29%，实现"销售收入超额变现" [来源: P000730, P000732]。</w:t>
      </w:r>
    </w:p>
    <w:p>
      <w:pPr>
        <w:pStyle w:val="ListNumber"/>
      </w:pPr>
      <w:r>
        <w:rPr>
          <w:rFonts w:ascii="Calibri" w:hAnsi="Calibri" w:eastAsia="微软雅黑"/>
          <w:b/>
          <w:i w:val="0"/>
          <w:sz w:val="22"/>
        </w:rPr>
        <w:t>现金流波动与回款周期的现实挑战</w:t>
      </w:r>
      <w:r>
        <w:rPr>
          <w:rFonts w:ascii="Calibri" w:hAnsi="Calibri" w:eastAsia="微软雅黑"/>
          <w:b w:val="0"/>
          <w:i w:val="0"/>
          <w:sz w:val="22"/>
        </w:rPr>
        <w:t>。中国化学2025年归母净利润64.36亿元（增长13.15%），但经营活动现金流量净额14.43亿元、同比下降83.45%（上年为87.22亿元），主要是所属财务公司资金拆借业务净现金流入减少及部分客户回款拉长所致 [来源: P000718]。山东路桥的样本更完整地呈现了"化债周期"下的现金流压力传导：2024年经营活动现金流为-51.39亿元（受地方财政与销售回款错配影响）[来源: P000723]；2025年公司实现中标额1,040.41亿元（同比增长13.73%）、营业收入685.68亿元（同比下降3.90%）、利润总额38.23亿元（同比增加4.51%）、归母净利润22.27亿元（同比减少4.12%）——收入与利润一降一升而中标额双位数增长，正说明合同额、营收、利润三层指标的背离；截至2025年12月末资产总额1,823.63亿元（较年初增长11.63%）、负债1,395.25亿元（较年初增长9.02%）、归母所有者权益263.05亿元（较年初增长8.23%）。年报明确归因：受地方化债等因素影响，公司经营增量承压，部分项目实际开工不足、项目进度不及预期，资金占用较大、销售回款与采购支付时间错配 [来源: P000720]。在此背景下，公司狠抓"两金"清收与压降，推动经营活动现金流净额由负转正至2.57亿元（同比增加105%）[来源: P000720]。</w:t>
      </w:r>
    </w:p>
    <w:p>
      <w:pPr>
        <w:pStyle w:val="ListNumber"/>
      </w:pPr>
      <w:r>
        <w:rPr>
          <w:rFonts w:ascii="Calibri" w:hAnsi="Calibri" w:eastAsia="微软雅黑"/>
          <w:b/>
          <w:i w:val="0"/>
          <w:sz w:val="22"/>
        </w:rPr>
        <w:t>注重股东现金回报企业的稳健支撑</w:t>
      </w:r>
      <w:r>
        <w:rPr>
          <w:rFonts w:ascii="Calibri" w:hAnsi="Calibri" w:eastAsia="微软雅黑"/>
          <w:b w:val="0"/>
          <w:i w:val="0"/>
          <w:sz w:val="22"/>
        </w:rPr>
        <w:t>。四川路桥2024年经营活动现金流34.27亿元 [来源: P000729]；2025年大幅增长125.32%达到77.23亿元，在实现72.97亿元归母净利润的同时拿出43.79亿元现金分红及回购（分红率60.01%）[来源: P000735]。</w:t>
      </w:r>
    </w:p>
    <w:p>
      <w:pPr>
        <w:pStyle w:val="Heading3"/>
      </w:pPr>
      <w:r>
        <w:t>8.2.2 应收账款与合同资产的账龄穿透</w:t>
      </w:r>
    </w:p>
    <w:p>
      <w:r>
        <w:rPr>
          <w:rFonts w:ascii="Calibri" w:hAnsi="Calibri" w:eastAsia="微软雅黑"/>
          <w:b w:val="0"/>
          <w:i w:val="0"/>
          <w:sz w:val="22"/>
        </w:rPr>
        <w:t>在工程企业资产负债表中，应收账款与合同资产（已完工未结算产值）通常占据流动资产的绝大部分，若超长账龄占比过高，将产生巨额信用减值损失直接侵蚀当期净利润（判断为本研究据源文归纳）[来源: P000701]。</w:t>
      </w:r>
    </w:p>
    <w:p>
      <w:pPr>
        <w:pStyle w:val="Heading4"/>
      </w:pPr>
      <w:r>
        <w:t>表8-2 代表企业应收与资产质量画像（最新年报/研究报告口径）[来源: P000701, P000707, P000718, P000732, P000720]</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企业</w:t>
            </w:r>
          </w:p>
        </w:tc>
        <w:tc>
          <w:tcPr>
            <w:tcW w:type="dxa" w:w="2075"/>
            <w:shd w:fill="1F3A5F"/>
          </w:tcPr>
          <w:p>
            <w:r>
              <w:rPr>
                <w:color w:val="FFFFFF"/>
              </w:rPr>
            </w:r>
            <w:r>
              <w:rPr>
                <w:rFonts w:ascii="Calibri" w:hAnsi="Calibri" w:eastAsia="微软雅黑"/>
                <w:b/>
                <w:i w:val="0"/>
                <w:color w:val="FFFFFF"/>
                <w:sz w:val="18"/>
              </w:rPr>
              <w:t>应收与资产数据</w:t>
            </w:r>
          </w:p>
        </w:tc>
        <w:tc>
          <w:tcPr>
            <w:tcW w:type="dxa" w:w="2075"/>
            <w:shd w:fill="1F3A5F"/>
          </w:tcPr>
          <w:p>
            <w:r>
              <w:rPr>
                <w:color w:val="FFFFFF"/>
              </w:rPr>
            </w:r>
            <w:r>
              <w:rPr>
                <w:rFonts w:ascii="Calibri" w:hAnsi="Calibri" w:eastAsia="微软雅黑"/>
                <w:b/>
                <w:i w:val="0"/>
                <w:color w:val="FFFFFF"/>
                <w:sz w:val="18"/>
              </w:rPr>
              <w:t>账龄结构与质量</w:t>
            </w:r>
          </w:p>
        </w:tc>
        <w:tc>
          <w:tcPr>
            <w:tcW w:type="dxa" w:w="2075"/>
            <w:shd w:fill="1F3A5F"/>
          </w:tcPr>
          <w:p>
            <w:r>
              <w:rPr>
                <w:color w:val="FFFFFF"/>
              </w:rPr>
            </w:r>
            <w:r>
              <w:rPr>
                <w:rFonts w:ascii="Calibri" w:hAnsi="Calibri" w:eastAsia="微软雅黑"/>
                <w:b/>
                <w:i w:val="0"/>
                <w:color w:val="FFFFFF"/>
                <w:sz w:val="18"/>
              </w:rPr>
              <w:t>风险应对动作</w:t>
            </w:r>
          </w:p>
        </w:tc>
      </w:tr>
      <w:tr>
        <w:tc>
          <w:tcPr>
            <w:tcW w:type="dxa" w:w="2075"/>
          </w:tcPr>
          <w:p>
            <w:r/>
            <w:r>
              <w:rPr>
                <w:rFonts w:ascii="Calibri" w:hAnsi="Calibri" w:eastAsia="微软雅黑"/>
                <w:b w:val="0"/>
                <w:i w:val="0"/>
                <w:sz w:val="18"/>
              </w:rPr>
              <w:t>湖南院</w:t>
            </w:r>
          </w:p>
        </w:tc>
        <w:tc>
          <w:tcPr>
            <w:tcW w:type="dxa" w:w="2075"/>
          </w:tcPr>
          <w:p>
            <w:r/>
            <w:r>
              <w:rPr>
                <w:rFonts w:ascii="Calibri" w:hAnsi="Calibri" w:eastAsia="微软雅黑"/>
                <w:b w:val="0"/>
                <w:i w:val="0"/>
                <w:sz w:val="18"/>
              </w:rPr>
              <w:t>应收账款4.86亿元（占总资产31.0%）；货币资金3.42亿元（占21.8%）；存货1.89亿元（占12.1%）；流动资产占总资产68.5%；资产负债率57.1%</w:t>
            </w:r>
          </w:p>
        </w:tc>
        <w:tc>
          <w:tcPr>
            <w:tcW w:type="dxa" w:w="2075"/>
          </w:tcPr>
          <w:p>
            <w:r/>
            <w:r>
              <w:rPr>
                <w:rFonts w:ascii="Calibri" w:hAnsi="Calibri" w:eastAsia="微软雅黑"/>
                <w:b w:val="0"/>
                <w:i w:val="0"/>
                <w:sz w:val="18"/>
              </w:rPr>
              <w:t>应收账款周转率2.1次、周转天数174天；1年以内账龄占比超过80%，账龄结构相对合理</w:t>
            </w:r>
          </w:p>
        </w:tc>
        <w:tc>
          <w:tcPr>
            <w:tcW w:type="dxa" w:w="2075"/>
          </w:tcPr>
          <w:p>
            <w:r/>
            <w:r>
              <w:rPr>
                <w:rFonts w:ascii="Calibri" w:hAnsi="Calibri" w:eastAsia="微软雅黑"/>
                <w:b w:val="0"/>
                <w:i w:val="0"/>
                <w:sz w:val="18"/>
              </w:rPr>
              <w:t>建立账龄动态预警，防控政府投资项目结算延误；应收账款周转率低的主因锁定为EPC结算周期长、质保金到期方收回及个别结算争议</w:t>
            </w:r>
          </w:p>
        </w:tc>
      </w:tr>
      <w:tr>
        <w:tc>
          <w:tcPr>
            <w:tcW w:type="dxa" w:w="2075"/>
          </w:tcPr>
          <w:p>
            <w:r/>
            <w:r>
              <w:rPr>
                <w:rFonts w:ascii="Calibri" w:hAnsi="Calibri" w:eastAsia="微软雅黑"/>
                <w:b w:val="0"/>
                <w:i w:val="0"/>
                <w:sz w:val="18"/>
              </w:rPr>
              <w:t>中钢国际</w:t>
            </w:r>
          </w:p>
        </w:tc>
        <w:tc>
          <w:tcPr>
            <w:tcW w:type="dxa" w:w="2075"/>
          </w:tcPr>
          <w:p>
            <w:r/>
            <w:r>
              <w:rPr>
                <w:rFonts w:ascii="Calibri" w:hAnsi="Calibri" w:eastAsia="微软雅黑"/>
                <w:b w:val="0"/>
                <w:i w:val="0"/>
                <w:sz w:val="18"/>
              </w:rPr>
              <w:t>应收及应付款项绝对值较高，周转相对制造/商贸业偏低（行业典型特征）</w:t>
            </w:r>
          </w:p>
        </w:tc>
        <w:tc>
          <w:tcPr>
            <w:tcW w:type="dxa" w:w="2075"/>
          </w:tcPr>
          <w:p>
            <w:r/>
            <w:r>
              <w:rPr>
                <w:rFonts w:ascii="Calibri" w:hAnsi="Calibri" w:eastAsia="微软雅黑"/>
                <w:b w:val="0"/>
                <w:i w:val="0"/>
                <w:sz w:val="18"/>
              </w:rPr>
              <w:t>海外项目工程竣工时累计回款普遍达到90%左右，尾款质保期满后收回</w:t>
            </w:r>
          </w:p>
        </w:tc>
        <w:tc>
          <w:tcPr>
            <w:tcW w:type="dxa" w:w="2075"/>
          </w:tcPr>
          <w:p>
            <w:r/>
            <w:r>
              <w:rPr>
                <w:rFonts w:ascii="Calibri" w:hAnsi="Calibri" w:eastAsia="微软雅黑"/>
                <w:b w:val="0"/>
                <w:i w:val="0"/>
                <w:sz w:val="18"/>
              </w:rPr>
              <w:t>客户资信分级管理，推行"算账经营"，海外强制跟单信用证结算</w:t>
            </w:r>
          </w:p>
        </w:tc>
      </w:tr>
      <w:tr>
        <w:tc>
          <w:tcPr>
            <w:tcW w:type="dxa" w:w="2075"/>
          </w:tcPr>
          <w:p>
            <w:r/>
            <w:r>
              <w:rPr>
                <w:rFonts w:ascii="Calibri" w:hAnsi="Calibri" w:eastAsia="微软雅黑"/>
                <w:b w:val="0"/>
                <w:i w:val="0"/>
                <w:sz w:val="18"/>
              </w:rPr>
              <w:t>中国化学</w:t>
            </w:r>
          </w:p>
        </w:tc>
        <w:tc>
          <w:tcPr>
            <w:tcW w:type="dxa" w:w="2075"/>
          </w:tcPr>
          <w:p>
            <w:r/>
            <w:r>
              <w:rPr>
                <w:rFonts w:ascii="Calibri" w:hAnsi="Calibri" w:eastAsia="微软雅黑"/>
                <w:b w:val="0"/>
                <w:i w:val="0"/>
                <w:sz w:val="18"/>
              </w:rPr>
              <w:t>应收与应付款项规模较大</w:t>
            </w:r>
          </w:p>
        </w:tc>
        <w:tc>
          <w:tcPr>
            <w:tcW w:type="dxa" w:w="2075"/>
          </w:tcPr>
          <w:p>
            <w:r/>
            <w:r>
              <w:rPr>
                <w:rFonts w:ascii="Calibri" w:hAnsi="Calibri" w:eastAsia="微软雅黑"/>
                <w:b w:val="0"/>
                <w:i w:val="0"/>
                <w:sz w:val="18"/>
              </w:rPr>
              <w:t>部分下游客户资金紧张出现信誉恶化，垫资、停缓建及工程款拖欠风险升温</w:t>
            </w:r>
          </w:p>
        </w:tc>
        <w:tc>
          <w:tcPr>
            <w:tcW w:type="dxa" w:w="2075"/>
          </w:tcPr>
          <w:p>
            <w:r/>
            <w:r>
              <w:rPr>
                <w:rFonts w:ascii="Calibri" w:hAnsi="Calibri" w:eastAsia="微软雅黑"/>
                <w:b w:val="0"/>
                <w:i w:val="0"/>
                <w:sz w:val="18"/>
              </w:rPr>
              <w:t>建立合作伙伴动态管理体系，分类实施差异化授信；优化应收账款风险预警模型</w:t>
            </w:r>
          </w:p>
        </w:tc>
      </w:tr>
      <w:tr>
        <w:tc>
          <w:tcPr>
            <w:tcW w:type="dxa" w:w="2075"/>
          </w:tcPr>
          <w:p>
            <w:r/>
            <w:r>
              <w:rPr>
                <w:rFonts w:ascii="Calibri" w:hAnsi="Calibri" w:eastAsia="微软雅黑"/>
                <w:b w:val="0"/>
                <w:i w:val="0"/>
                <w:sz w:val="18"/>
              </w:rPr>
              <w:t>中国交建</w:t>
            </w:r>
          </w:p>
        </w:tc>
        <w:tc>
          <w:tcPr>
            <w:tcW w:type="dxa" w:w="2075"/>
          </w:tcPr>
          <w:p>
            <w:r/>
            <w:r>
              <w:rPr>
                <w:rFonts w:ascii="Calibri" w:hAnsi="Calibri" w:eastAsia="微软雅黑"/>
                <w:b w:val="0"/>
                <w:i w:val="0"/>
                <w:sz w:val="18"/>
              </w:rPr>
              <w:t>应收账款与合同资产规模较大；资产负债率76.83%</w:t>
            </w:r>
          </w:p>
        </w:tc>
        <w:tc>
          <w:tcPr>
            <w:tcW w:type="dxa" w:w="2075"/>
          </w:tcPr>
          <w:p>
            <w:r/>
            <w:r>
              <w:rPr>
                <w:rFonts w:ascii="Calibri" w:hAnsi="Calibri" w:eastAsia="微软雅黑"/>
                <w:b w:val="0"/>
                <w:i w:val="0"/>
                <w:sz w:val="18"/>
              </w:rPr>
              <w:t>受国内经济恢复影响，客户支付进度滞后、催收难度增加</w:t>
            </w:r>
          </w:p>
        </w:tc>
        <w:tc>
          <w:tcPr>
            <w:tcW w:type="dxa" w:w="2075"/>
          </w:tcPr>
          <w:p>
            <w:r/>
            <w:r>
              <w:rPr>
                <w:rFonts w:ascii="Calibri" w:hAnsi="Calibri" w:eastAsia="微软雅黑"/>
                <w:b w:val="0"/>
                <w:i w:val="0"/>
                <w:sz w:val="18"/>
              </w:rPr>
              <w:t>强化回款督促，2025年营业收现率提至110.29%</w:t>
            </w:r>
          </w:p>
        </w:tc>
      </w:tr>
      <w:tr>
        <w:tc>
          <w:tcPr>
            <w:tcW w:type="dxa" w:w="2075"/>
          </w:tcPr>
          <w:p>
            <w:r/>
            <w:r>
              <w:rPr>
                <w:rFonts w:ascii="Calibri" w:hAnsi="Calibri" w:eastAsia="微软雅黑"/>
                <w:b w:val="0"/>
                <w:i w:val="0"/>
                <w:sz w:val="18"/>
              </w:rPr>
              <w:t>山东路桥</w:t>
            </w:r>
          </w:p>
        </w:tc>
        <w:tc>
          <w:tcPr>
            <w:tcW w:type="dxa" w:w="2075"/>
          </w:tcPr>
          <w:p>
            <w:r/>
            <w:r>
              <w:rPr>
                <w:rFonts w:ascii="Calibri" w:hAnsi="Calibri" w:eastAsia="微软雅黑"/>
                <w:b w:val="0"/>
                <w:i w:val="0"/>
                <w:sz w:val="18"/>
              </w:rPr>
              <w:t>总资产1,823.63亿元；总负债1,395.25亿元；资产负债率76.51%</w:t>
            </w:r>
          </w:p>
        </w:tc>
        <w:tc>
          <w:tcPr>
            <w:tcW w:type="dxa" w:w="2075"/>
          </w:tcPr>
          <w:p>
            <w:r/>
            <w:r>
              <w:rPr>
                <w:rFonts w:ascii="Calibri" w:hAnsi="Calibri" w:eastAsia="微软雅黑"/>
                <w:b w:val="0"/>
                <w:i w:val="0"/>
                <w:sz w:val="18"/>
              </w:rPr>
              <w:t>受地方化债影响部分项目开工不足，销售回款与采购错配</w:t>
            </w:r>
          </w:p>
        </w:tc>
        <w:tc>
          <w:tcPr>
            <w:tcW w:type="dxa" w:w="2075"/>
          </w:tcPr>
          <w:p>
            <w:r/>
            <w:r>
              <w:rPr>
                <w:rFonts w:ascii="Calibri" w:hAnsi="Calibri" w:eastAsia="微软雅黑"/>
                <w:b w:val="0"/>
                <w:i w:val="0"/>
                <w:sz w:val="18"/>
              </w:rPr>
              <w:t>"两金"压降列为一把手工程，清收专班+诉讼+财产保全+化债债券抵顶</w:t>
            </w:r>
          </w:p>
        </w:tc>
      </w:tr>
    </w:tbl>
    <w:p>
      <w:r>
        <w:rPr>
          <w:rFonts w:ascii="Calibri" w:hAnsi="Calibri" w:eastAsia="微软雅黑"/>
          <w:b w:val="0"/>
          <w:i w:val="0"/>
          <w:sz w:val="22"/>
        </w:rPr>
        <w:t>账龄穿透须警惕三个暗礁（归纳为本研究据源文整理）：其一，</w:t>
      </w:r>
      <w:r>
        <w:rPr>
          <w:rFonts w:ascii="Calibri" w:hAnsi="Calibri" w:eastAsia="微软雅黑"/>
          <w:b/>
          <w:i w:val="0"/>
          <w:sz w:val="22"/>
        </w:rPr>
        <w:t>账龄跨年后的剧烈减值</w:t>
      </w:r>
      <w:r>
        <w:rPr>
          <w:rFonts w:ascii="Calibri" w:hAnsi="Calibri" w:eastAsia="微软雅黑"/>
          <w:b w:val="0"/>
          <w:i w:val="0"/>
          <w:sz w:val="22"/>
        </w:rPr>
        <w:t>——按预期信用损失模型，1年以内计提比例较低，账龄跨过两年、三年后计提比例迅速陡升，承接房地产配套或不规范举债项目的企业，超长账龄将吞噬大量账面利润；其二，</w:t>
      </w:r>
      <w:r>
        <w:rPr>
          <w:rFonts w:ascii="Calibri" w:hAnsi="Calibri" w:eastAsia="微软雅黑"/>
          <w:b/>
          <w:i w:val="0"/>
          <w:sz w:val="22"/>
        </w:rPr>
        <w:t>合同资产的隐性风险</w:t>
      </w:r>
      <w:r>
        <w:rPr>
          <w:rFonts w:ascii="Calibri" w:hAnsi="Calibri" w:eastAsia="微软雅黑"/>
          <w:b w:val="0"/>
          <w:i w:val="0"/>
          <w:sz w:val="22"/>
        </w:rPr>
        <w:t>——很多EPC项目施工已完成，但因业主拖延结算审计、资料交验滞后或变更争议，产值长期卡在"合同资产"科目无法转化为应收账款；其三，</w:t>
      </w:r>
      <w:r>
        <w:rPr>
          <w:rFonts w:ascii="Calibri" w:hAnsi="Calibri" w:eastAsia="微软雅黑"/>
          <w:b/>
          <w:i w:val="0"/>
          <w:sz w:val="22"/>
        </w:rPr>
        <w:t>质保金的无息占压</w:t>
      </w:r>
      <w:r>
        <w:rPr>
          <w:rFonts w:ascii="Calibri" w:hAnsi="Calibri" w:eastAsia="微软雅黑"/>
          <w:b w:val="0"/>
          <w:i w:val="0"/>
          <w:sz w:val="22"/>
        </w:rPr>
        <w:t>——EPC合同通常约定保留一定比例尾款作为质保金，竣工验收后一至两年方退还，形成巨额无息占压 [来源: P000701, P000707]。</w:t>
      </w:r>
    </w:p>
    <w:p>
      <w:r>
        <w:rPr>
          <w:rFonts w:ascii="Calibri" w:hAnsi="Calibri" w:eastAsia="微软雅黑"/>
          <w:b w:val="0"/>
          <w:i w:val="0"/>
          <w:sz w:val="22"/>
        </w:rPr>
        <w:t>湖南院的完整财务切片为中型设计院提供了资产负债表与成本表的参照系 [来源: P000701]：负债端，2024年末总负债8.95亿元、资产负债率57.1%（较上年的58.3%有所下降），负债结构以流动负债为主（占总负债85.2%，主要包括应付账款、预收款项、应付职工薪酬）；流动性上，货币资金3.42亿元、占总资产的21.8%，为承接大型EPC项目提供资金保障的同时也须关注使用效率。成本端，2024年营业成本7.89亿元、营业成本率85.6%；EPC业务成本构成中人工成本约占35%（知识密集型企业特征）、材料成本约40%（采购管理体系控盘重点）、分包成本约20%（稳定分包商网络保质量与成本）。其成本控制四件套——从项目立项到竣工验收的全过程成本管理体系（事前预算、事中控制、事后分析）、集中采购制度与供应商评价体系、发挥设计主导优势优化方案降低造价、精细化项目与进度管理避免延误成本——是"设计院式成本管控"的标准配置（四件套归纳为本研究据源文整理）[来源: P000701]。</w:t>
      </w:r>
    </w:p>
    <w:p>
      <w:pPr>
        <w:pStyle w:val="Heading4"/>
      </w:pPr>
      <w:r>
        <w:t>表8-3 三家设计院财务与经营画像对照（研究报告口径）[来源: P000701, P000713, P000708]</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维度</w:t>
            </w:r>
          </w:p>
        </w:tc>
        <w:tc>
          <w:tcPr>
            <w:tcW w:type="dxa" w:w="2075"/>
            <w:shd w:fill="1F3A5F"/>
          </w:tcPr>
          <w:p>
            <w:r>
              <w:rPr>
                <w:color w:val="FFFFFF"/>
              </w:rPr>
            </w:r>
            <w:r>
              <w:rPr>
                <w:rFonts w:ascii="Calibri" w:hAnsi="Calibri" w:eastAsia="微软雅黑"/>
                <w:b/>
                <w:i w:val="0"/>
                <w:color w:val="FFFFFF"/>
                <w:sz w:val="18"/>
              </w:rPr>
              <w:t>湖南院</w:t>
            </w:r>
          </w:p>
        </w:tc>
        <w:tc>
          <w:tcPr>
            <w:tcW w:type="dxa" w:w="2075"/>
            <w:shd w:fill="1F3A5F"/>
          </w:tcPr>
          <w:p>
            <w:r>
              <w:rPr>
                <w:color w:val="FFFFFF"/>
              </w:rPr>
            </w:r>
            <w:r>
              <w:rPr>
                <w:rFonts w:ascii="Calibri" w:hAnsi="Calibri" w:eastAsia="微软雅黑"/>
                <w:b/>
                <w:i w:val="0"/>
                <w:color w:val="FFFFFF"/>
                <w:sz w:val="18"/>
              </w:rPr>
              <w:t>上海市政总院</w:t>
            </w:r>
          </w:p>
        </w:tc>
        <w:tc>
          <w:tcPr>
            <w:tcW w:type="dxa" w:w="2075"/>
            <w:shd w:fill="1F3A5F"/>
          </w:tcPr>
          <w:p>
            <w:r>
              <w:rPr>
                <w:color w:val="FFFFFF"/>
              </w:rPr>
            </w:r>
            <w:r>
              <w:rPr>
                <w:rFonts w:ascii="Calibri" w:hAnsi="Calibri" w:eastAsia="微软雅黑"/>
                <w:b/>
                <w:i w:val="0"/>
                <w:color w:val="FFFFFF"/>
                <w:sz w:val="18"/>
              </w:rPr>
              <w:t>山东院</w:t>
            </w:r>
          </w:p>
        </w:tc>
      </w:tr>
      <w:tr>
        <w:tc>
          <w:tcPr>
            <w:tcW w:type="dxa" w:w="2075"/>
          </w:tcPr>
          <w:p>
            <w:r/>
            <w:r>
              <w:rPr>
                <w:rFonts w:ascii="Calibri" w:hAnsi="Calibri" w:eastAsia="微软雅黑"/>
                <w:b w:val="0"/>
                <w:i w:val="0"/>
                <w:sz w:val="18"/>
              </w:rPr>
              <w:t>体量坐标</w:t>
            </w:r>
          </w:p>
        </w:tc>
        <w:tc>
          <w:tcPr>
            <w:tcW w:type="dxa" w:w="2075"/>
          </w:tcPr>
          <w:p>
            <w:r/>
            <w:r>
              <w:rPr>
                <w:rFonts w:ascii="Calibri" w:hAnsi="Calibri" w:eastAsia="微软雅黑"/>
                <w:b w:val="0"/>
                <w:i w:val="0"/>
                <w:sz w:val="18"/>
              </w:rPr>
              <w:t>2024年营收9.22亿元、净利润7,214万元</w:t>
            </w:r>
          </w:p>
        </w:tc>
        <w:tc>
          <w:tcPr>
            <w:tcW w:type="dxa" w:w="2075"/>
          </w:tcPr>
          <w:p>
            <w:r/>
            <w:r>
              <w:rPr>
                <w:rFonts w:ascii="Calibri" w:hAnsi="Calibri" w:eastAsia="微软雅黑"/>
                <w:b w:val="0"/>
                <w:i w:val="0"/>
                <w:sz w:val="18"/>
              </w:rPr>
              <w:t>2022年营收140.2亿元、净利润6.27亿元</w:t>
            </w:r>
          </w:p>
        </w:tc>
        <w:tc>
          <w:tcPr>
            <w:tcW w:type="dxa" w:w="2075"/>
          </w:tcPr>
          <w:p>
            <w:r/>
            <w:r>
              <w:rPr>
                <w:rFonts w:ascii="Calibri" w:hAnsi="Calibri" w:eastAsia="微软雅黑"/>
                <w:b w:val="0"/>
                <w:i w:val="0"/>
                <w:sz w:val="18"/>
              </w:rPr>
              <w:t>2021年营收100.85亿元；重组后资产总额超130亿元、员工超3000人</w:t>
            </w:r>
          </w:p>
        </w:tc>
      </w:tr>
      <w:tr>
        <w:tc>
          <w:tcPr>
            <w:tcW w:type="dxa" w:w="2075"/>
          </w:tcPr>
          <w:p>
            <w:r/>
            <w:r>
              <w:rPr>
                <w:rFonts w:ascii="Calibri" w:hAnsi="Calibri" w:eastAsia="微软雅黑"/>
                <w:b w:val="0"/>
                <w:i w:val="0"/>
                <w:sz w:val="18"/>
              </w:rPr>
              <w:t>业务结构</w:t>
            </w:r>
          </w:p>
        </w:tc>
        <w:tc>
          <w:tcPr>
            <w:tcW w:type="dxa" w:w="2075"/>
          </w:tcPr>
          <w:p>
            <w:r/>
            <w:r>
              <w:rPr>
                <w:rFonts w:ascii="Calibri" w:hAnsi="Calibri" w:eastAsia="微软雅黑"/>
                <w:b w:val="0"/>
                <w:i w:val="0"/>
                <w:sz w:val="18"/>
              </w:rPr>
              <w:t>综合毛利率14.4%：工程设计25%、工程咨询35%、EPC业务12%</w:t>
            </w:r>
          </w:p>
        </w:tc>
        <w:tc>
          <w:tcPr>
            <w:tcW w:type="dxa" w:w="2075"/>
          </w:tcPr>
          <w:p>
            <w:r/>
            <w:r>
              <w:rPr>
                <w:rFonts w:ascii="Calibri" w:hAnsi="Calibri" w:eastAsia="微软雅黑"/>
                <w:b w:val="0"/>
                <w:i w:val="0"/>
                <w:sz w:val="18"/>
              </w:rPr>
              <w:t>EPC占总营收60%以上（自2012年的27%持续攀升）；设计、咨询、运维协同</w:t>
            </w:r>
          </w:p>
        </w:tc>
        <w:tc>
          <w:tcPr>
            <w:tcW w:type="dxa" w:w="2075"/>
          </w:tcPr>
          <w:p>
            <w:r/>
            <w:r>
              <w:rPr>
                <w:rFonts w:ascii="Calibri" w:hAnsi="Calibri" w:eastAsia="微软雅黑"/>
                <w:b w:val="0"/>
                <w:i w:val="0"/>
                <w:sz w:val="18"/>
              </w:rPr>
              <w:t>火电、新能源、电网、核电、综合智慧能源、非电六大板块；八大业务领域全覆盖</w:t>
            </w:r>
          </w:p>
        </w:tc>
      </w:tr>
      <w:tr>
        <w:tc>
          <w:tcPr>
            <w:tcW w:type="dxa" w:w="2075"/>
          </w:tcPr>
          <w:p>
            <w:r/>
            <w:r>
              <w:rPr>
                <w:rFonts w:ascii="Calibri" w:hAnsi="Calibri" w:eastAsia="微软雅黑"/>
                <w:b w:val="0"/>
                <w:i w:val="0"/>
                <w:sz w:val="18"/>
              </w:rPr>
              <w:t>区域结构</w:t>
            </w:r>
          </w:p>
        </w:tc>
        <w:tc>
          <w:tcPr>
            <w:tcW w:type="dxa" w:w="2075"/>
          </w:tcPr>
          <w:p>
            <w:r/>
            <w:r>
              <w:rPr>
                <w:rFonts w:ascii="Calibri" w:hAnsi="Calibri" w:eastAsia="微软雅黑"/>
                <w:b w:val="0"/>
                <w:i w:val="0"/>
                <w:sz w:val="18"/>
              </w:rPr>
              <w:t>省内收入占比超过80%，深耕本土</w:t>
            </w:r>
          </w:p>
        </w:tc>
        <w:tc>
          <w:tcPr>
            <w:tcW w:type="dxa" w:w="2075"/>
          </w:tcPr>
          <w:p>
            <w:r/>
            <w:r>
              <w:rPr>
                <w:rFonts w:ascii="Calibri" w:hAnsi="Calibri" w:eastAsia="微软雅黑"/>
                <w:b w:val="0"/>
                <w:i w:val="0"/>
                <w:sz w:val="18"/>
              </w:rPr>
              <w:t>华东占EPC业务60%以上，华北、华南分别占15%与10%</w:t>
            </w:r>
          </w:p>
        </w:tc>
        <w:tc>
          <w:tcPr>
            <w:tcW w:type="dxa" w:w="2075"/>
          </w:tcPr>
          <w:p>
            <w:r/>
            <w:r>
              <w:rPr>
                <w:rFonts w:ascii="Calibri" w:hAnsi="Calibri" w:eastAsia="微软雅黑"/>
                <w:b w:val="0"/>
                <w:i w:val="0"/>
                <w:sz w:val="18"/>
              </w:rPr>
              <w:t>业务范围拓展至全球40多个国家和地区</w:t>
            </w:r>
          </w:p>
        </w:tc>
      </w:tr>
      <w:tr>
        <w:tc>
          <w:tcPr>
            <w:tcW w:type="dxa" w:w="2075"/>
          </w:tcPr>
          <w:p>
            <w:r/>
            <w:r>
              <w:rPr>
                <w:rFonts w:ascii="Calibri" w:hAnsi="Calibri" w:eastAsia="微软雅黑"/>
                <w:b w:val="0"/>
                <w:i w:val="0"/>
                <w:sz w:val="18"/>
              </w:rPr>
              <w:t>盈利质量</w:t>
            </w:r>
          </w:p>
        </w:tc>
        <w:tc>
          <w:tcPr>
            <w:tcW w:type="dxa" w:w="2075"/>
          </w:tcPr>
          <w:p>
            <w:r/>
            <w:r>
              <w:rPr>
                <w:rFonts w:ascii="Calibri" w:hAnsi="Calibri" w:eastAsia="微软雅黑"/>
                <w:b w:val="0"/>
                <w:i w:val="0"/>
                <w:sz w:val="18"/>
              </w:rPr>
              <w:t>净利率7.8%；现金净利润比1.69</w:t>
            </w:r>
          </w:p>
        </w:tc>
        <w:tc>
          <w:tcPr>
            <w:tcW w:type="dxa" w:w="2075"/>
          </w:tcPr>
          <w:p>
            <w:r/>
            <w:r>
              <w:rPr>
                <w:rFonts w:ascii="Calibri" w:hAnsi="Calibri" w:eastAsia="微软雅黑"/>
                <w:b w:val="0"/>
                <w:i w:val="0"/>
                <w:sz w:val="18"/>
              </w:rPr>
              <w:t>净利润率约4.5%（源文口径）</w:t>
            </w:r>
          </w:p>
        </w:tc>
        <w:tc>
          <w:tcPr>
            <w:tcW w:type="dxa" w:w="2075"/>
          </w:tcPr>
          <w:p>
            <w:r/>
            <w:r>
              <w:rPr>
                <w:rFonts w:ascii="Calibri" w:hAnsi="Calibri" w:eastAsia="微软雅黑"/>
                <w:b w:val="0"/>
                <w:i w:val="0"/>
                <w:sz w:val="18"/>
              </w:rPr>
              <w:t>保持合理盈利水平（国有资产保值增值口径）</w:t>
            </w:r>
          </w:p>
        </w:tc>
      </w:tr>
      <w:tr>
        <w:tc>
          <w:tcPr>
            <w:tcW w:type="dxa" w:w="2075"/>
          </w:tcPr>
          <w:p>
            <w:r/>
            <w:r>
              <w:rPr>
                <w:rFonts w:ascii="Calibri" w:hAnsi="Calibri" w:eastAsia="微软雅黑"/>
                <w:b w:val="0"/>
                <w:i w:val="0"/>
                <w:sz w:val="18"/>
              </w:rPr>
              <w:t>现金流特征</w:t>
            </w:r>
          </w:p>
        </w:tc>
        <w:tc>
          <w:tcPr>
            <w:tcW w:type="dxa" w:w="2075"/>
          </w:tcPr>
          <w:p>
            <w:r/>
            <w:r>
              <w:rPr>
                <w:rFonts w:ascii="Calibri" w:hAnsi="Calibri" w:eastAsia="微软雅黑"/>
                <w:b w:val="0"/>
                <w:i w:val="0"/>
                <w:sz w:val="18"/>
              </w:rPr>
              <w:t>经营现金流1.22亿元（同比增长28.4%）；收现10.34亿元占经营流入94.9%</w:t>
            </w:r>
          </w:p>
        </w:tc>
        <w:tc>
          <w:tcPr>
            <w:tcW w:type="dxa" w:w="2075"/>
          </w:tcPr>
          <w:p>
            <w:r/>
            <w:r>
              <w:rPr>
                <w:rFonts w:ascii="Calibri" w:hAnsi="Calibri" w:eastAsia="微软雅黑"/>
                <w:b w:val="0"/>
                <w:i w:val="0"/>
                <w:sz w:val="18"/>
              </w:rPr>
              <w:t>EPC业务贡献企业85.2%的经营性现金流</w:t>
            </w:r>
          </w:p>
        </w:tc>
        <w:tc>
          <w:tcPr>
            <w:tcW w:type="dxa" w:w="2075"/>
          </w:tcPr>
          <w:p>
            <w:r/>
            <w:r>
              <w:rPr>
                <w:rFonts w:ascii="Calibri" w:hAnsi="Calibri" w:eastAsia="微软雅黑"/>
                <w:b w:val="0"/>
                <w:i w:val="0"/>
                <w:sz w:val="18"/>
              </w:rPr>
              <w:t>海外项目竣工回款一般达90%左右（信用证结算）</w:t>
            </w:r>
          </w:p>
        </w:tc>
      </w:tr>
      <w:tr>
        <w:tc>
          <w:tcPr>
            <w:tcW w:type="dxa" w:w="2075"/>
          </w:tcPr>
          <w:p>
            <w:r/>
            <w:r>
              <w:rPr>
                <w:rFonts w:ascii="Calibri" w:hAnsi="Calibri" w:eastAsia="微软雅黑"/>
                <w:b w:val="0"/>
                <w:i w:val="0"/>
                <w:sz w:val="18"/>
              </w:rPr>
              <w:t>风险管理</w:t>
            </w:r>
          </w:p>
        </w:tc>
        <w:tc>
          <w:tcPr>
            <w:tcW w:type="dxa" w:w="2075"/>
          </w:tcPr>
          <w:p>
            <w:r/>
            <w:r>
              <w:rPr>
                <w:rFonts w:ascii="Calibri" w:hAnsi="Calibri" w:eastAsia="微软雅黑"/>
                <w:b w:val="0"/>
                <w:i w:val="0"/>
                <w:sz w:val="18"/>
              </w:rPr>
              <w:t>应收账龄管理体系+按月回款节点考核</w:t>
            </w:r>
          </w:p>
        </w:tc>
        <w:tc>
          <w:tcPr>
            <w:tcW w:type="dxa" w:w="2075"/>
          </w:tcPr>
          <w:p>
            <w:r/>
            <w:r>
              <w:rPr>
                <w:rFonts w:ascii="Calibri" w:hAnsi="Calibri" w:eastAsia="微软雅黑"/>
                <w:b w:val="0"/>
                <w:i w:val="0"/>
                <w:sz w:val="18"/>
              </w:rPr>
              <w:t>全过程成本控制体系+变更索赔管理</w:t>
            </w:r>
          </w:p>
        </w:tc>
        <w:tc>
          <w:tcPr>
            <w:tcW w:type="dxa" w:w="2075"/>
          </w:tcPr>
          <w:p>
            <w:r/>
            <w:r>
              <w:rPr>
                <w:rFonts w:ascii="Calibri" w:hAnsi="Calibri" w:eastAsia="微软雅黑"/>
                <w:b w:val="0"/>
                <w:i w:val="0"/>
                <w:sz w:val="18"/>
              </w:rPr>
              <w:t>全生命周期风险管理体系（合同/技术/商务/法律/政治五类）</w:t>
            </w:r>
          </w:p>
        </w:tc>
      </w:tr>
    </w:tbl>
    <w:p>
      <w:r>
        <w:rPr>
          <w:rFonts w:ascii="Calibri" w:hAnsi="Calibri" w:eastAsia="微软雅黑"/>
          <w:b w:val="0"/>
          <w:i w:val="0"/>
          <w:sz w:val="22"/>
        </w:rPr>
        <w:t>三家画像合观的启示（本研究归纳）：</w:t>
      </w:r>
      <w:r>
        <w:rPr>
          <w:rFonts w:ascii="Calibri" w:hAnsi="Calibri" w:eastAsia="微软雅黑"/>
          <w:b/>
          <w:i w:val="0"/>
          <w:sz w:val="22"/>
        </w:rPr>
        <w:t>体量决定现金流管理重心</w:t>
      </w:r>
      <w:r>
        <w:rPr>
          <w:rFonts w:ascii="Calibri" w:hAnsi="Calibri" w:eastAsia="微软雅黑"/>
          <w:b w:val="0"/>
          <w:i w:val="0"/>
          <w:sz w:val="22"/>
        </w:rPr>
        <w:t>——百亿级市政总院的核心是"EPC占比与收现结构的匹配"，县域级湖南院的核心是"政府客户账期与自身资金池的平衡"，跨国型山东院的核心是"国别风险与结算工具的隔离"；同一张资产负债表，三类企业的风险敞口分布在完全不同的科目上。</w:t>
      </w:r>
    </w:p>
    <w:p>
      <w:pPr>
        <w:pStyle w:val="Heading3"/>
      </w:pPr>
      <w:r>
        <w:t>8.2.3 七家上市公司现金流与回报速查表</w:t>
      </w:r>
    </w:p>
    <w:p>
      <w:r>
        <w:rPr>
          <w:rFonts w:ascii="Calibri" w:hAnsi="Calibri" w:eastAsia="微软雅黑"/>
          <w:b w:val="0"/>
          <w:i w:val="0"/>
          <w:sz w:val="22"/>
        </w:rPr>
        <w:t>为便于决策层快速对标，将七家样本上市公司的订单、营收、利润与现金流关键指标汇总如下（均为年报披露口径，年份随文标注）：</w:t>
      </w:r>
    </w:p>
    <w:p>
      <w:pPr>
        <w:pStyle w:val="Heading4"/>
      </w:pPr>
      <w:r>
        <w:t>表8-4 七家上市公司关键财务指标速查（年报口径）[来源: P000727, P000726, P000730, P000732, P000734, P000733, P000718, P000731, P000728, P000706, P000707, P000729, P000735, P000723, P000720]</w:t>
      </w:r>
    </w:p>
    <w:tbl>
      <w:tblPr>
        <w:tblStyle w:val="TableGrid"/>
        <w:tblW w:type="auto" w:w="0"/>
        <w:tblLook w:firstColumn="1" w:firstRow="1" w:lastColumn="0" w:lastRow="0" w:noHBand="0" w:noVBand="1" w:val="04A0"/>
      </w:tblPr>
      <w:tblGrid>
        <w:gridCol w:w="1383"/>
        <w:gridCol w:w="1383"/>
        <w:gridCol w:w="1383"/>
        <w:gridCol w:w="1383"/>
        <w:gridCol w:w="1383"/>
        <w:gridCol w:w="1383"/>
      </w:tblGrid>
      <w:tr>
        <w:tc>
          <w:tcPr>
            <w:tcW w:type="dxa" w:w="1383"/>
            <w:shd w:fill="1F3A5F"/>
          </w:tcPr>
          <w:p>
            <w:r>
              <w:rPr>
                <w:color w:val="FFFFFF"/>
              </w:rPr>
            </w:r>
            <w:r>
              <w:rPr>
                <w:rFonts w:ascii="Calibri" w:hAnsi="Calibri" w:eastAsia="微软雅黑"/>
                <w:b/>
                <w:i w:val="0"/>
                <w:color w:val="FFFFFF"/>
                <w:sz w:val="18"/>
              </w:rPr>
              <w:t>公司</w:t>
            </w:r>
          </w:p>
        </w:tc>
        <w:tc>
          <w:tcPr>
            <w:tcW w:type="dxa" w:w="1383"/>
            <w:shd w:fill="1F3A5F"/>
          </w:tcPr>
          <w:p>
            <w:r>
              <w:rPr>
                <w:color w:val="FFFFFF"/>
              </w:rPr>
            </w:r>
            <w:r>
              <w:rPr>
                <w:rFonts w:ascii="Calibri" w:hAnsi="Calibri" w:eastAsia="微软雅黑"/>
                <w:b/>
                <w:i w:val="0"/>
                <w:color w:val="FFFFFF"/>
                <w:sz w:val="18"/>
              </w:rPr>
              <w:t>新签合同/中标额</w:t>
            </w:r>
          </w:p>
        </w:tc>
        <w:tc>
          <w:tcPr>
            <w:tcW w:type="dxa" w:w="1383"/>
            <w:shd w:fill="1F3A5F"/>
          </w:tcPr>
          <w:p>
            <w:r>
              <w:rPr>
                <w:color w:val="FFFFFF"/>
              </w:rPr>
            </w:r>
            <w:r>
              <w:rPr>
                <w:rFonts w:ascii="Calibri" w:hAnsi="Calibri" w:eastAsia="微软雅黑"/>
                <w:b/>
                <w:i w:val="0"/>
                <w:color w:val="FFFFFF"/>
                <w:sz w:val="18"/>
              </w:rPr>
              <w:t>营业收入</w:t>
            </w:r>
          </w:p>
        </w:tc>
        <w:tc>
          <w:tcPr>
            <w:tcW w:type="dxa" w:w="1383"/>
            <w:shd w:fill="1F3A5F"/>
          </w:tcPr>
          <w:p>
            <w:r>
              <w:rPr>
                <w:color w:val="FFFFFF"/>
              </w:rPr>
            </w:r>
            <w:r>
              <w:rPr>
                <w:rFonts w:ascii="Calibri" w:hAnsi="Calibri" w:eastAsia="微软雅黑"/>
                <w:b/>
                <w:i w:val="0"/>
                <w:color w:val="FFFFFF"/>
                <w:sz w:val="18"/>
              </w:rPr>
              <w:t>归母净利润</w:t>
            </w:r>
          </w:p>
        </w:tc>
        <w:tc>
          <w:tcPr>
            <w:tcW w:type="dxa" w:w="1383"/>
            <w:shd w:fill="1F3A5F"/>
          </w:tcPr>
          <w:p>
            <w:r>
              <w:rPr>
                <w:color w:val="FFFFFF"/>
              </w:rPr>
            </w:r>
            <w:r>
              <w:rPr>
                <w:rFonts w:ascii="Calibri" w:hAnsi="Calibri" w:eastAsia="微软雅黑"/>
                <w:b/>
                <w:i w:val="0"/>
                <w:color w:val="FFFFFF"/>
                <w:sz w:val="18"/>
              </w:rPr>
              <w:t>经营活动现金流净额</w:t>
            </w:r>
          </w:p>
        </w:tc>
        <w:tc>
          <w:tcPr>
            <w:tcW w:type="dxa" w:w="1383"/>
            <w:shd w:fill="1F3A5F"/>
          </w:tcPr>
          <w:p>
            <w:r>
              <w:rPr>
                <w:color w:val="FFFFFF"/>
              </w:rPr>
            </w:r>
            <w:r>
              <w:rPr>
                <w:rFonts w:ascii="Calibri" w:hAnsi="Calibri" w:eastAsia="微软雅黑"/>
                <w:b/>
                <w:i w:val="0"/>
                <w:color w:val="FFFFFF"/>
                <w:sz w:val="18"/>
              </w:rPr>
              <w:t>现金回报动作</w:t>
            </w:r>
          </w:p>
        </w:tc>
      </w:tr>
      <w:tr>
        <w:tc>
          <w:tcPr>
            <w:tcW w:type="dxa" w:w="1383"/>
          </w:tcPr>
          <w:p>
            <w:r/>
            <w:r>
              <w:rPr>
                <w:rFonts w:ascii="Calibri" w:hAnsi="Calibri" w:eastAsia="微软雅黑"/>
                <w:b w:val="0"/>
                <w:i w:val="0"/>
                <w:sz w:val="18"/>
              </w:rPr>
              <w:t>中国交建</w:t>
            </w:r>
          </w:p>
        </w:tc>
        <w:tc>
          <w:tcPr>
            <w:tcW w:type="dxa" w:w="1383"/>
          </w:tcPr>
          <w:p>
            <w:r/>
            <w:r>
              <w:rPr>
                <w:rFonts w:ascii="Calibri" w:hAnsi="Calibri" w:eastAsia="微软雅黑"/>
                <w:b w:val="0"/>
                <w:i w:val="0"/>
                <w:sz w:val="18"/>
              </w:rPr>
              <w:t>2022年15,422.56亿元；2023年17,532.15亿元；2025年18,836.72亿元</w:t>
            </w:r>
          </w:p>
        </w:tc>
        <w:tc>
          <w:tcPr>
            <w:tcW w:type="dxa" w:w="1383"/>
          </w:tcPr>
          <w:p>
            <w:r/>
            <w:r>
              <w:rPr>
                <w:rFonts w:ascii="Calibri" w:hAnsi="Calibri" w:eastAsia="微软雅黑"/>
                <w:b w:val="0"/>
                <w:i w:val="0"/>
                <w:sz w:val="18"/>
              </w:rPr>
              <w:t>2022年7,202.75亿元；2023年7,586.76亿元；2024年7,719.44亿元；2025年7,311.09亿元</w:t>
            </w:r>
          </w:p>
        </w:tc>
        <w:tc>
          <w:tcPr>
            <w:tcW w:type="dxa" w:w="1383"/>
          </w:tcPr>
          <w:p>
            <w:r/>
            <w:r>
              <w:rPr>
                <w:rFonts w:ascii="Calibri" w:hAnsi="Calibri" w:eastAsia="微软雅黑"/>
                <w:b w:val="0"/>
                <w:i w:val="0"/>
                <w:sz w:val="18"/>
              </w:rPr>
              <w:t>2025年147.51亿元</w:t>
            </w:r>
          </w:p>
        </w:tc>
        <w:tc>
          <w:tcPr>
            <w:tcW w:type="dxa" w:w="1383"/>
          </w:tcPr>
          <w:p>
            <w:r/>
            <w:r>
              <w:rPr>
                <w:rFonts w:ascii="Calibri" w:hAnsi="Calibri" w:eastAsia="微软雅黑"/>
                <w:b w:val="0"/>
                <w:i w:val="0"/>
                <w:sz w:val="18"/>
              </w:rPr>
              <w:t>2024年净流入125.06亿元（上年120.61亿元）</w:t>
            </w:r>
          </w:p>
        </w:tc>
        <w:tc>
          <w:tcPr>
            <w:tcW w:type="dxa" w:w="1383"/>
          </w:tcPr>
          <w:p>
            <w:r/>
            <w:r>
              <w:rPr>
                <w:rFonts w:ascii="Calibri" w:hAnsi="Calibri" w:eastAsia="微软雅黑"/>
                <w:b w:val="0"/>
                <w:i w:val="0"/>
                <w:sz w:val="18"/>
              </w:rPr>
              <w:t>2025年营业收现率110.29%</w:t>
            </w:r>
          </w:p>
        </w:tc>
      </w:tr>
      <w:tr>
        <w:tc>
          <w:tcPr>
            <w:tcW w:type="dxa" w:w="1383"/>
          </w:tcPr>
          <w:p>
            <w:r/>
            <w:r>
              <w:rPr>
                <w:rFonts w:ascii="Calibri" w:hAnsi="Calibri" w:eastAsia="微软雅黑"/>
                <w:b w:val="0"/>
                <w:i w:val="0"/>
                <w:sz w:val="18"/>
              </w:rPr>
              <w:t>中国铁建</w:t>
            </w:r>
          </w:p>
        </w:tc>
        <w:tc>
          <w:tcPr>
            <w:tcW w:type="dxa" w:w="1383"/>
          </w:tcPr>
          <w:p>
            <w:r/>
            <w:r>
              <w:rPr>
                <w:rFonts w:ascii="Calibri" w:hAnsi="Calibri" w:eastAsia="微软雅黑"/>
                <w:b w:val="0"/>
                <w:i w:val="0"/>
                <w:sz w:val="18"/>
              </w:rPr>
              <w:t>2023年32,938.700亿元（同比增长1.51%，境内占92.32%）；2025年30,764.970亿元（完成年度计划100.5%）</w:t>
            </w:r>
          </w:p>
        </w:tc>
        <w:tc>
          <w:tcPr>
            <w:tcW w:type="dxa" w:w="1383"/>
          </w:tcPr>
          <w:p>
            <w:r/>
            <w:r>
              <w:rPr>
                <w:rFonts w:ascii="Calibri" w:hAnsi="Calibri" w:eastAsia="微软雅黑"/>
                <w:b w:val="0"/>
                <w:i w:val="0"/>
                <w:sz w:val="18"/>
              </w:rPr>
              <w:t>2023年11,379.935亿元；2025年10,297.845亿元（同比减少3.50%）</w:t>
            </w:r>
          </w:p>
        </w:tc>
        <w:tc>
          <w:tcPr>
            <w:tcW w:type="dxa" w:w="1383"/>
          </w:tcPr>
          <w:p>
            <w:r/>
            <w:r>
              <w:rPr>
                <w:rFonts w:ascii="Calibri" w:hAnsi="Calibri" w:eastAsia="微软雅黑"/>
                <w:b w:val="0"/>
                <w:i w:val="0"/>
                <w:sz w:val="18"/>
              </w:rPr>
              <w:t>2023年260.97亿元；2025年183.63亿元</w:t>
            </w:r>
          </w:p>
        </w:tc>
        <w:tc>
          <w:tcPr>
            <w:tcW w:type="dxa" w:w="1383"/>
          </w:tcPr>
          <w:p>
            <w:r/>
            <w:r>
              <w:rPr>
                <w:rFonts w:ascii="Calibri" w:hAnsi="Calibri" w:eastAsia="微软雅黑"/>
                <w:b w:val="0"/>
                <w:i w:val="0"/>
                <w:sz w:val="18"/>
              </w:rPr>
              <w:t>——</w:t>
            </w:r>
          </w:p>
        </w:tc>
        <w:tc>
          <w:tcPr>
            <w:tcW w:type="dxa" w:w="1383"/>
          </w:tcPr>
          <w:p>
            <w:r/>
            <w:r>
              <w:rPr>
                <w:rFonts w:ascii="Calibri" w:hAnsi="Calibri" w:eastAsia="微软雅黑"/>
                <w:b w:val="0"/>
                <w:i w:val="0"/>
                <w:sz w:val="18"/>
              </w:rPr>
              <w:t>2025年开展精细化管理"全面提升年"，压降非生产性开支</w:t>
            </w:r>
          </w:p>
        </w:tc>
      </w:tr>
      <w:tr>
        <w:tc>
          <w:tcPr>
            <w:tcW w:type="dxa" w:w="1383"/>
          </w:tcPr>
          <w:p>
            <w:r/>
            <w:r>
              <w:rPr>
                <w:rFonts w:ascii="Calibri" w:hAnsi="Calibri" w:eastAsia="微软雅黑"/>
                <w:b w:val="0"/>
                <w:i w:val="0"/>
                <w:sz w:val="18"/>
              </w:rPr>
              <w:t>中国化学</w:t>
            </w:r>
          </w:p>
        </w:tc>
        <w:tc>
          <w:tcPr>
            <w:tcW w:type="dxa" w:w="1383"/>
          </w:tcPr>
          <w:p>
            <w:r/>
            <w:r>
              <w:rPr>
                <w:rFonts w:ascii="Calibri" w:hAnsi="Calibri" w:eastAsia="微软雅黑"/>
                <w:b w:val="0"/>
                <w:i w:val="0"/>
                <w:sz w:val="18"/>
              </w:rPr>
              <w:t>——</w:t>
            </w:r>
          </w:p>
        </w:tc>
        <w:tc>
          <w:tcPr>
            <w:tcW w:type="dxa" w:w="1383"/>
          </w:tcPr>
          <w:p>
            <w:r/>
            <w:r>
              <w:rPr>
                <w:rFonts w:ascii="Calibri" w:hAnsi="Calibri" w:eastAsia="微软雅黑"/>
                <w:b w:val="0"/>
                <w:i w:val="0"/>
                <w:sz w:val="18"/>
              </w:rPr>
              <w:t>2025年1,895.01亿元（同比增长1.97%；营业总收入1,901.25亿元）</w:t>
            </w:r>
          </w:p>
        </w:tc>
        <w:tc>
          <w:tcPr>
            <w:tcW w:type="dxa" w:w="1383"/>
          </w:tcPr>
          <w:p>
            <w:r/>
            <w:r>
              <w:rPr>
                <w:rFonts w:ascii="Calibri" w:hAnsi="Calibri" w:eastAsia="微软雅黑"/>
                <w:b w:val="0"/>
                <w:i w:val="0"/>
                <w:sz w:val="18"/>
              </w:rPr>
              <w:t>2025年64.36亿元（同比增长13.15%）</w:t>
            </w:r>
          </w:p>
        </w:tc>
        <w:tc>
          <w:tcPr>
            <w:tcW w:type="dxa" w:w="1383"/>
          </w:tcPr>
          <w:p>
            <w:r/>
            <w:r>
              <w:rPr>
                <w:rFonts w:ascii="Calibri" w:hAnsi="Calibri" w:eastAsia="微软雅黑"/>
                <w:b w:val="0"/>
                <w:i w:val="0"/>
                <w:sz w:val="18"/>
              </w:rPr>
              <w:t>2025年14.43亿元（同比下降83.45%）</w:t>
            </w:r>
          </w:p>
        </w:tc>
        <w:tc>
          <w:tcPr>
            <w:tcW w:type="dxa" w:w="1383"/>
          </w:tcPr>
          <w:p>
            <w:r/>
            <w:r>
              <w:rPr>
                <w:rFonts w:ascii="Calibri" w:hAnsi="Calibri" w:eastAsia="微软雅黑"/>
                <w:b w:val="0"/>
                <w:i w:val="0"/>
                <w:sz w:val="18"/>
              </w:rPr>
              <w:t>利润总额84.35亿元（同比增长14.62%），创历史新高</w:t>
            </w:r>
          </w:p>
        </w:tc>
      </w:tr>
      <w:tr>
        <w:tc>
          <w:tcPr>
            <w:tcW w:type="dxa" w:w="1383"/>
          </w:tcPr>
          <w:p>
            <w:r/>
            <w:r>
              <w:rPr>
                <w:rFonts w:ascii="Calibri" w:hAnsi="Calibri" w:eastAsia="微软雅黑"/>
                <w:b w:val="0"/>
                <w:i w:val="0"/>
                <w:sz w:val="18"/>
              </w:rPr>
              <w:t>中材国际</w:t>
            </w:r>
          </w:p>
        </w:tc>
        <w:tc>
          <w:tcPr>
            <w:tcW w:type="dxa" w:w="1383"/>
          </w:tcPr>
          <w:p>
            <w:r/>
            <w:r>
              <w:rPr>
                <w:rFonts w:ascii="Calibri" w:hAnsi="Calibri" w:eastAsia="微软雅黑"/>
                <w:b w:val="0"/>
                <w:i w:val="0"/>
                <w:sz w:val="18"/>
              </w:rPr>
              <w:t>2023年616.44亿元（同比增长18%）；2024年工程服务新签371.78亿元、运维新签173.12亿元</w:t>
            </w:r>
          </w:p>
        </w:tc>
        <w:tc>
          <w:tcPr>
            <w:tcW w:type="dxa" w:w="1383"/>
          </w:tcPr>
          <w:p>
            <w:r/>
            <w:r>
              <w:rPr>
                <w:rFonts w:ascii="Calibri" w:hAnsi="Calibri" w:eastAsia="微软雅黑"/>
                <w:b w:val="0"/>
                <w:i w:val="0"/>
                <w:sz w:val="18"/>
              </w:rPr>
              <w:t>2023年工程技术服务266.65亿元；2024年461.27亿元（同比增长0.72%）、工程服务271.25亿元</w:t>
            </w:r>
          </w:p>
        </w:tc>
        <w:tc>
          <w:tcPr>
            <w:tcW w:type="dxa" w:w="1383"/>
          </w:tcPr>
          <w:p>
            <w:r/>
            <w:r>
              <w:rPr>
                <w:rFonts w:ascii="Calibri" w:hAnsi="Calibri" w:eastAsia="微软雅黑"/>
                <w:b w:val="0"/>
                <w:i w:val="0"/>
                <w:sz w:val="18"/>
              </w:rPr>
              <w:t>2024年29.83亿元（同比增长2.31%）</w:t>
            </w:r>
          </w:p>
        </w:tc>
        <w:tc>
          <w:tcPr>
            <w:tcW w:type="dxa" w:w="1383"/>
          </w:tcPr>
          <w:p>
            <w:r/>
            <w:r>
              <w:rPr>
                <w:rFonts w:ascii="Calibri" w:hAnsi="Calibri" w:eastAsia="微软雅黑"/>
                <w:b w:val="0"/>
                <w:i w:val="0"/>
                <w:sz w:val="18"/>
              </w:rPr>
              <w:t>——</w:t>
            </w:r>
          </w:p>
        </w:tc>
        <w:tc>
          <w:tcPr>
            <w:tcW w:type="dxa" w:w="1383"/>
          </w:tcPr>
          <w:p>
            <w:r/>
            <w:r>
              <w:rPr>
                <w:rFonts w:ascii="Calibri" w:hAnsi="Calibri" w:eastAsia="微软雅黑"/>
                <w:b w:val="0"/>
                <w:i w:val="0"/>
                <w:sz w:val="18"/>
              </w:rPr>
              <w:t>2024年综合毛利率19.63%，矿山运维新签108.35亿元</w:t>
            </w:r>
          </w:p>
        </w:tc>
      </w:tr>
      <w:tr>
        <w:tc>
          <w:tcPr>
            <w:tcW w:type="dxa" w:w="1383"/>
          </w:tcPr>
          <w:p>
            <w:r/>
            <w:r>
              <w:rPr>
                <w:rFonts w:ascii="Calibri" w:hAnsi="Calibri" w:eastAsia="微软雅黑"/>
                <w:b w:val="0"/>
                <w:i w:val="0"/>
                <w:sz w:val="18"/>
              </w:rPr>
              <w:t>中钢国际</w:t>
            </w:r>
          </w:p>
        </w:tc>
        <w:tc>
          <w:tcPr>
            <w:tcW w:type="dxa" w:w="1383"/>
          </w:tcPr>
          <w:p>
            <w:r/>
            <w:r>
              <w:rPr>
                <w:rFonts w:ascii="Calibri" w:hAnsi="Calibri" w:eastAsia="微软雅黑"/>
                <w:b w:val="0"/>
                <w:i w:val="0"/>
                <w:sz w:val="18"/>
              </w:rPr>
              <w:t>2024年196.70亿元；2025年海外新签145.90亿元（占72%）</w:t>
            </w:r>
          </w:p>
        </w:tc>
        <w:tc>
          <w:tcPr>
            <w:tcW w:type="dxa" w:w="1383"/>
          </w:tcPr>
          <w:p>
            <w:r/>
            <w:r>
              <w:rPr>
                <w:rFonts w:ascii="Calibri" w:hAnsi="Calibri" w:eastAsia="微软雅黑"/>
                <w:b w:val="0"/>
                <w:i w:val="0"/>
                <w:sz w:val="18"/>
              </w:rPr>
              <w:t>2024年176.47亿元；2025年139.14亿元</w:t>
            </w:r>
          </w:p>
        </w:tc>
        <w:tc>
          <w:tcPr>
            <w:tcW w:type="dxa" w:w="1383"/>
          </w:tcPr>
          <w:p>
            <w:r/>
            <w:r>
              <w:rPr>
                <w:rFonts w:ascii="Calibri" w:hAnsi="Calibri" w:eastAsia="微软雅黑"/>
                <w:b w:val="0"/>
                <w:i w:val="0"/>
                <w:sz w:val="18"/>
              </w:rPr>
              <w:t>2024年8.35亿元；2025年4.85亿元</w:t>
            </w:r>
          </w:p>
        </w:tc>
        <w:tc>
          <w:tcPr>
            <w:tcW w:type="dxa" w:w="1383"/>
          </w:tcPr>
          <w:p>
            <w:r/>
            <w:r>
              <w:rPr>
                <w:rFonts w:ascii="Calibri" w:hAnsi="Calibri" w:eastAsia="微软雅黑"/>
                <w:b w:val="0"/>
                <w:i w:val="0"/>
                <w:sz w:val="18"/>
              </w:rPr>
              <w:t>海外项目竣工时回款一般达90%左右（信用证结算）</w:t>
            </w:r>
          </w:p>
        </w:tc>
        <w:tc>
          <w:tcPr>
            <w:tcW w:type="dxa" w:w="1383"/>
          </w:tcPr>
          <w:p>
            <w:r/>
            <w:r>
              <w:rPr>
                <w:rFonts w:ascii="Calibri" w:hAnsi="Calibri" w:eastAsia="微软雅黑"/>
                <w:b w:val="0"/>
                <w:i w:val="0"/>
                <w:sz w:val="18"/>
              </w:rPr>
              <w:t>2024年分红4.29亿元（占归母净利润51.36%）；2025年拟分红3.01亿元（占62%）</w:t>
            </w:r>
          </w:p>
        </w:tc>
      </w:tr>
      <w:tr>
        <w:tc>
          <w:tcPr>
            <w:tcW w:type="dxa" w:w="1383"/>
          </w:tcPr>
          <w:p>
            <w:r/>
            <w:r>
              <w:rPr>
                <w:rFonts w:ascii="Calibri" w:hAnsi="Calibri" w:eastAsia="微软雅黑"/>
                <w:b w:val="0"/>
                <w:i w:val="0"/>
                <w:sz w:val="18"/>
              </w:rPr>
              <w:t>四川路桥</w:t>
            </w:r>
          </w:p>
        </w:tc>
        <w:tc>
          <w:tcPr>
            <w:tcW w:type="dxa" w:w="1383"/>
          </w:tcPr>
          <w:p>
            <w:r/>
            <w:r>
              <w:rPr>
                <w:rFonts w:ascii="Calibri" w:hAnsi="Calibri" w:eastAsia="微软雅黑"/>
                <w:b w:val="0"/>
                <w:i w:val="0"/>
                <w:sz w:val="18"/>
              </w:rPr>
              <w:t>——</w:t>
            </w:r>
          </w:p>
        </w:tc>
        <w:tc>
          <w:tcPr>
            <w:tcW w:type="dxa" w:w="1383"/>
          </w:tcPr>
          <w:p>
            <w:r/>
            <w:r>
              <w:rPr>
                <w:rFonts w:ascii="Calibri" w:hAnsi="Calibri" w:eastAsia="微软雅黑"/>
                <w:b w:val="0"/>
                <w:i w:val="0"/>
                <w:sz w:val="18"/>
              </w:rPr>
              <w:t>2024年1,072.38亿元；2025年1,151.11亿元（同比增长7.34%）</w:t>
            </w:r>
          </w:p>
        </w:tc>
        <w:tc>
          <w:tcPr>
            <w:tcW w:type="dxa" w:w="1383"/>
          </w:tcPr>
          <w:p>
            <w:r/>
            <w:r>
              <w:rPr>
                <w:rFonts w:ascii="Calibri" w:hAnsi="Calibri" w:eastAsia="微软雅黑"/>
                <w:b w:val="0"/>
                <w:i w:val="0"/>
                <w:sz w:val="18"/>
              </w:rPr>
              <w:t>2024年72.10亿元；2025年72.97亿元（同比增长1.21%）</w:t>
            </w:r>
          </w:p>
        </w:tc>
        <w:tc>
          <w:tcPr>
            <w:tcW w:type="dxa" w:w="1383"/>
          </w:tcPr>
          <w:p>
            <w:r/>
            <w:r>
              <w:rPr>
                <w:rFonts w:ascii="Calibri" w:hAnsi="Calibri" w:eastAsia="微软雅黑"/>
                <w:b w:val="0"/>
                <w:i w:val="0"/>
                <w:sz w:val="18"/>
              </w:rPr>
              <w:t>2024年34.27亿元；2025年77.23亿元（同比增长125.32%）</w:t>
            </w:r>
          </w:p>
        </w:tc>
        <w:tc>
          <w:tcPr>
            <w:tcW w:type="dxa" w:w="1383"/>
          </w:tcPr>
          <w:p>
            <w:r/>
            <w:r>
              <w:rPr>
                <w:rFonts w:ascii="Calibri" w:hAnsi="Calibri" w:eastAsia="微软雅黑"/>
                <w:b w:val="0"/>
                <w:i w:val="0"/>
                <w:sz w:val="18"/>
              </w:rPr>
              <w:t>2025年派现及回购43.79亿元（占归母净利润60.01%）</w:t>
            </w:r>
          </w:p>
        </w:tc>
      </w:tr>
      <w:tr>
        <w:tc>
          <w:tcPr>
            <w:tcW w:type="dxa" w:w="1383"/>
          </w:tcPr>
          <w:p>
            <w:r/>
            <w:r>
              <w:rPr>
                <w:rFonts w:ascii="Calibri" w:hAnsi="Calibri" w:eastAsia="微软雅黑"/>
                <w:b w:val="0"/>
                <w:i w:val="0"/>
                <w:sz w:val="18"/>
              </w:rPr>
              <w:t>山东路桥</w:t>
            </w:r>
          </w:p>
        </w:tc>
        <w:tc>
          <w:tcPr>
            <w:tcW w:type="dxa" w:w="1383"/>
          </w:tcPr>
          <w:p>
            <w:r/>
            <w:r>
              <w:rPr>
                <w:rFonts w:ascii="Calibri" w:hAnsi="Calibri" w:eastAsia="微软雅黑"/>
                <w:b w:val="0"/>
                <w:i w:val="0"/>
                <w:sz w:val="18"/>
              </w:rPr>
              <w:t>2024年中标914.8亿元；2025年中标1,040.41亿元（同比增长13.73%）</w:t>
            </w:r>
          </w:p>
        </w:tc>
        <w:tc>
          <w:tcPr>
            <w:tcW w:type="dxa" w:w="1383"/>
          </w:tcPr>
          <w:p>
            <w:r/>
            <w:r>
              <w:rPr>
                <w:rFonts w:ascii="Calibri" w:hAnsi="Calibri" w:eastAsia="微软雅黑"/>
                <w:b w:val="0"/>
                <w:i w:val="0"/>
                <w:sz w:val="18"/>
              </w:rPr>
              <w:t>2024年713.48亿元（同比下降2.29%）；2025年685.68亿元（同比下降3.90%）</w:t>
            </w:r>
          </w:p>
        </w:tc>
        <w:tc>
          <w:tcPr>
            <w:tcW w:type="dxa" w:w="1383"/>
          </w:tcPr>
          <w:p>
            <w:r/>
            <w:r>
              <w:rPr>
                <w:rFonts w:ascii="Calibri" w:hAnsi="Calibri" w:eastAsia="微软雅黑"/>
                <w:b w:val="0"/>
                <w:i w:val="0"/>
                <w:sz w:val="18"/>
              </w:rPr>
              <w:t>2024年23.22亿元；2025年22.27亿元（同比减少4.12%）</w:t>
            </w:r>
          </w:p>
        </w:tc>
        <w:tc>
          <w:tcPr>
            <w:tcW w:type="dxa" w:w="1383"/>
          </w:tcPr>
          <w:p>
            <w:r/>
            <w:r>
              <w:rPr>
                <w:rFonts w:ascii="Calibri" w:hAnsi="Calibri" w:eastAsia="微软雅黑"/>
                <w:b w:val="0"/>
                <w:i w:val="0"/>
                <w:sz w:val="18"/>
              </w:rPr>
              <w:t>2024年-51.39亿元；2025年2.57亿元（由负转正）</w:t>
            </w:r>
          </w:p>
        </w:tc>
        <w:tc>
          <w:tcPr>
            <w:tcW w:type="dxa" w:w="1383"/>
          </w:tcPr>
          <w:p>
            <w:r/>
            <w:r>
              <w:rPr>
                <w:rFonts w:ascii="Calibri" w:hAnsi="Calibri" w:eastAsia="微软雅黑"/>
                <w:b w:val="0"/>
                <w:i w:val="0"/>
                <w:sz w:val="18"/>
              </w:rPr>
              <w:t>2025年利润总额38.23亿元（同比增加4.51%）</w:t>
            </w:r>
          </w:p>
        </w:tc>
      </w:tr>
    </w:tbl>
    <w:p>
      <w:r>
        <w:rPr>
          <w:rFonts w:ascii="Calibri" w:hAnsi="Calibri" w:eastAsia="微软雅黑"/>
          <w:b w:val="0"/>
          <w:i w:val="0"/>
          <w:sz w:val="22"/>
        </w:rPr>
        <w:t>注："——"为事实资料库实收年报未覆盖该项的口径缺位，如实标注；速查表用于横向定位量级与方向，纵向引用请回各企业年报原文。表中数据传递的三条信号（本研究解读）：其一，订单与营收的"剪刀差"在基建央企普遍存在（铁建2023年新签32,938.700亿元对营收11,379.935亿元），订单缓冲垫厚但转化平缓；其二，现金流方向性变化比利润变化更能指示经营质量（山东路桥利润微降而现金流由-51.39亿元转正、四川路桥现金流翻倍）；其三，分红率是管理层对现金真实性的"用脚投票"（中钢国际连续两年分红率过半、四川路桥60.01%）。</w:t>
      </w:r>
    </w:p>
    <w:p>
      <w:pPr>
        <w:pStyle w:val="Heading3"/>
      </w:pPr>
      <w:r>
        <w:t>8.2.4 可执行方法：现金流穿透管控三步法（本研究归纳，示意性复盘）</w:t>
      </w:r>
    </w:p>
    <w:p>
      <w:pPr>
        <w:pStyle w:val="ListNumber"/>
      </w:pPr>
      <w:r>
        <w:rPr>
          <w:rFonts w:ascii="Calibri" w:hAnsi="Calibri" w:eastAsia="微软雅黑"/>
          <w:b/>
          <w:i w:val="0"/>
          <w:sz w:val="22"/>
        </w:rPr>
        <w:t>第一步：项目"现金里程碑"卡位</w:t>
      </w:r>
      <w:r>
        <w:rPr>
          <w:rFonts w:ascii="Calibri" w:hAnsi="Calibri" w:eastAsia="微软雅黑"/>
          <w:b w:val="0"/>
          <w:i w:val="0"/>
          <w:sz w:val="22"/>
        </w:rPr>
        <w:t>。合同中明确约定预付款到账与开工条件、节点付款与停工权的挂钩机制——上一节点进度款到账率不达标的，暂停下一阶段采购与施工投入（机制设计参照中钢国际"工程完工进度节点结算+海外信用证"防线）[来源: P000707]。</w:t>
      </w:r>
    </w:p>
    <w:p>
      <w:pPr>
        <w:pStyle w:val="ListNumber"/>
      </w:pPr>
      <w:r>
        <w:rPr>
          <w:rFonts w:ascii="Calibri" w:hAnsi="Calibri" w:eastAsia="微软雅黑"/>
          <w:b/>
          <w:i w:val="0"/>
          <w:sz w:val="22"/>
        </w:rPr>
        <w:t>第二步：合同资产与应收账款"双月穿透"</w:t>
      </w:r>
      <w:r>
        <w:rPr>
          <w:rFonts w:ascii="Calibri" w:hAnsi="Calibri" w:eastAsia="微软雅黑"/>
          <w:b w:val="0"/>
          <w:i w:val="0"/>
          <w:sz w:val="22"/>
        </w:rPr>
        <w:t>。项目商务团队按月完成当期完工工程量的报验与计量签认，压缩已完工未结算周期；对逾期应收实行分级预警——短期逾期由项目经理带队催收，账龄拉长后由分管高管接管并暂停该业主新项目投标，账龄超长或业主经营恶化的由法务介入采取律师函、财产保全与诉讼（分级机制为本研究归纳；中国化学"触发预警即启动纠偏与应对"为实证参照）[来源: P000718]。</w:t>
      </w:r>
    </w:p>
    <w:p>
      <w:pPr>
        <w:pStyle w:val="ListNumber"/>
      </w:pPr>
      <w:r>
        <w:rPr>
          <w:rFonts w:ascii="Calibri" w:hAnsi="Calibri" w:eastAsia="微软雅黑"/>
          <w:b/>
          <w:i w:val="0"/>
          <w:sz w:val="22"/>
        </w:rPr>
        <w:t>第三步：金融工具释放占压资金</w:t>
      </w:r>
      <w:r>
        <w:rPr>
          <w:rFonts w:ascii="Calibri" w:hAnsi="Calibri" w:eastAsia="微软雅黑"/>
          <w:b w:val="0"/>
          <w:i w:val="0"/>
          <w:sz w:val="22"/>
        </w:rPr>
        <w:t>。竣工结算时以银行保函或工程质量保证保险替代现金质保金；对优质国企与上市公司业主的应收账款开展无追索权保理与资产证券化，提前变现出表（工具组合为本研究归纳）[来源: P000720]。</w:t>
      </w:r>
    </w:p>
    <w:p>
      <w:r>
        <w:rPr>
          <w:rFonts w:ascii="Calibri" w:hAnsi="Calibri" w:eastAsia="微软雅黑"/>
          <w:b w:val="0"/>
          <w:i w:val="0"/>
          <w:sz w:val="22"/>
        </w:rPr>
        <w:t>现金流管控的要诀，是让"催收"变成"预收"。等到账龄拉长再出动高管，谈判筹码已经所剩无几；合同签订时把付款节点与停工权、赶工权绑定清楚，过程中每到节点先对账再施工，款项回笼的主动权才真正握在自己手里。清欠专班若只背指标而不配手段，最终容易退化成报表作业；真想见效，就得给它对等的工具箱——从对账函、律师函到暂停新项目投标，让欠款方感到持续而可预期的压力（催收心法为本研究建议）。</w:t>
      </w:r>
    </w:p>
    <w:p>
      <w:r>
        <w:rPr>
          <w:rFonts w:ascii="Calibri" w:hAnsi="Calibri" w:eastAsia="微软雅黑"/>
          <w:b w:val="0"/>
          <w:i w:val="0"/>
          <w:sz w:val="22"/>
        </w:rPr>
        <w:t>---</w:t>
      </w:r>
    </w:p>
    <w:p>
      <w:pPr>
        <w:pStyle w:val="Heading2"/>
      </w:pPr>
      <w:r>
        <w:t>8.3 垫资解耦：政策红线与"EPC+"衍生模式的风险卡位</w:t>
      </w:r>
    </w:p>
    <w:p>
      <w:r>
        <w:rPr>
          <w:rFonts w:ascii="Calibri" w:hAnsi="Calibri" w:eastAsia="微软雅黑"/>
          <w:b w:val="0"/>
          <w:i w:val="0"/>
          <w:sz w:val="22"/>
        </w:rPr>
        <w:t>"垫资"曾是施工企业获取项目的常见手段，但随着国家对地方政府隐性债务防范强度的全面提升，传统"全额垫资"或"变相垫资"已触及法律合规红线与财务承载极限。国务院《政府投资条例》明确规定政府投资项目不得由施工单位垫资建设，财政纪律的持续加强促使此前普遍存在的"假BT"、违规举债及不规范投融资模式被全面清理纠偏（政策表述据源文整理）[来源: P000713]。工程企业决策层必须彻底切断工程履约与无序垫资之间的脐带，并通过"EPC+"衍生模式设计实现资金解耦与融资创效。</w:t>
      </w:r>
    </w:p>
    <w:p>
      <w:pPr>
        <w:pStyle w:val="Heading3"/>
      </w:pPr>
      <w:r>
        <w:t>8.3.1 垫资风险解耦的两条实证路径</w:t>
      </w:r>
    </w:p>
    <w:p>
      <w:pPr>
        <w:pStyle w:val="ListNumber"/>
      </w:pPr>
      <w:r>
        <w:rPr>
          <w:rFonts w:ascii="Calibri" w:hAnsi="Calibri" w:eastAsia="微软雅黑"/>
          <w:b/>
          <w:i w:val="0"/>
          <w:sz w:val="22"/>
        </w:rPr>
        <w:t>客户资信预警与红线底线防线（中国化学样本）</w:t>
      </w:r>
      <w:r>
        <w:rPr>
          <w:rFonts w:ascii="Calibri" w:hAnsi="Calibri" w:eastAsia="微软雅黑"/>
          <w:b w:val="0"/>
          <w:i w:val="0"/>
          <w:sz w:val="22"/>
        </w:rPr>
        <w:t>。2025年复杂宏观环境下，部分下游客户因资金紧张出现信誉恶化，项目垫资、停缓建及工程款拖欠风险升温；中国化学将客户风险与现金流风险列为核心管控事项，树牢红线底线意识，建立合作伙伴动态管理体系、分类实施差异化授信政策，深化项目源头管控，完善客户资信调查与风险评估决策机制，并在一体化管控平台中优化应收账款风险预警模型——项目一旦触发预警节点，立即启动纠偏与风险应对措施 [来源: P000718]。</w:t>
      </w:r>
    </w:p>
    <w:p>
      <w:pPr>
        <w:pStyle w:val="ListNumber"/>
      </w:pPr>
      <w:r>
        <w:rPr>
          <w:rFonts w:ascii="Calibri" w:hAnsi="Calibri" w:eastAsia="微软雅黑"/>
          <w:b/>
          <w:i w:val="0"/>
          <w:sz w:val="22"/>
        </w:rPr>
        <w:t>预付款与信用证结算防线（中钢国际样本）</w:t>
      </w:r>
      <w:r>
        <w:rPr>
          <w:rFonts w:ascii="Calibri" w:hAnsi="Calibri" w:eastAsia="微软雅黑"/>
          <w:b w:val="0"/>
          <w:i w:val="0"/>
          <w:sz w:val="22"/>
        </w:rPr>
        <w:t>。中钢国际在项目投标报价前对不同类型和金额等级的项目实施差异化定价与资信审核，重点评估客户资信、回款保障与国别金融安全；合同谈判中设立硬性结算防线——国内项目必须由业主支付预付款、后续款项严格按工程完工进度节点结算，海外项目强制要求业主开具不可撤销跟单信用证结算。制度结果是海外项目工程竣工时累计回款率普遍达到90%左右，剩余尾款在质保期满后收回，从商务条款上隔绝了盲目垫资 [来源: P000706, P000707]。</w:t>
      </w:r>
    </w:p>
    <w:p>
      <w:pPr>
        <w:pStyle w:val="Heading3"/>
      </w:pPr>
      <w:r>
        <w:t>8.3.2 "EPC+"衍生模式的利弊与风险卡位</w:t>
      </w:r>
    </w:p>
    <w:p>
      <w:r>
        <w:rPr>
          <w:rFonts w:ascii="Calibri" w:hAnsi="Calibri" w:eastAsia="微软雅黑"/>
          <w:b w:val="0"/>
          <w:i w:val="0"/>
          <w:sz w:val="22"/>
        </w:rPr>
        <w:t>在传统全额垫资被明令禁止、业主资金需求依然存在的背景下，总承包模式向"EPC+"衍生模式加速演化。三类主流衍生模式的风险收益结构差异显著：</w:t>
      </w:r>
    </w:p>
    <w:p>
      <w:pPr>
        <w:pStyle w:val="Heading4"/>
      </w:pPr>
      <w:r>
        <w:t>表8-5 "EPC+"衍生商业模式对比与风险矩阵（本研究归纳整理）[来源: P000713, P000708, P000720]</w:t>
      </w:r>
    </w:p>
    <w:tbl>
      <w:tblPr>
        <w:tblStyle w:val="TableGrid"/>
        <w:tblW w:type="auto" w:w="0"/>
        <w:tblLook w:firstColumn="1" w:firstRow="1" w:lastColumn="0" w:lastRow="0" w:noHBand="0" w:noVBand="1" w:val="04A0"/>
      </w:tblPr>
      <w:tblGrid>
        <w:gridCol w:w="1660"/>
        <w:gridCol w:w="1660"/>
        <w:gridCol w:w="1660"/>
        <w:gridCol w:w="1660"/>
        <w:gridCol w:w="1660"/>
      </w:tblGrid>
      <w:tr>
        <w:tc>
          <w:tcPr>
            <w:tcW w:type="dxa" w:w="1660"/>
            <w:shd w:fill="1F3A5F"/>
          </w:tcPr>
          <w:p>
            <w:r>
              <w:rPr>
                <w:color w:val="FFFFFF"/>
              </w:rPr>
            </w:r>
            <w:r>
              <w:rPr>
                <w:rFonts w:ascii="Calibri" w:hAnsi="Calibri" w:eastAsia="微软雅黑"/>
                <w:b/>
                <w:i w:val="0"/>
                <w:color w:val="FFFFFF"/>
                <w:sz w:val="18"/>
              </w:rPr>
              <w:t>模式</w:t>
            </w:r>
          </w:p>
        </w:tc>
        <w:tc>
          <w:tcPr>
            <w:tcW w:type="dxa" w:w="1660"/>
            <w:shd w:fill="1F3A5F"/>
          </w:tcPr>
          <w:p>
            <w:r>
              <w:rPr>
                <w:color w:val="FFFFFF"/>
              </w:rPr>
            </w:r>
            <w:r>
              <w:rPr>
                <w:rFonts w:ascii="Calibri" w:hAnsi="Calibri" w:eastAsia="微软雅黑"/>
                <w:b/>
                <w:i w:val="0"/>
                <w:color w:val="FFFFFF"/>
                <w:sz w:val="18"/>
              </w:rPr>
              <w:t>核心特征</w:t>
            </w:r>
          </w:p>
        </w:tc>
        <w:tc>
          <w:tcPr>
            <w:tcW w:type="dxa" w:w="1660"/>
            <w:shd w:fill="1F3A5F"/>
          </w:tcPr>
          <w:p>
            <w:r>
              <w:rPr>
                <w:color w:val="FFFFFF"/>
              </w:rPr>
            </w:r>
            <w:r>
              <w:rPr>
                <w:rFonts w:ascii="Calibri" w:hAnsi="Calibri" w:eastAsia="微软雅黑"/>
                <w:b/>
                <w:i w:val="0"/>
                <w:color w:val="FFFFFF"/>
                <w:sz w:val="18"/>
              </w:rPr>
              <w:t>代表实践</w:t>
            </w:r>
          </w:p>
        </w:tc>
        <w:tc>
          <w:tcPr>
            <w:tcW w:type="dxa" w:w="1660"/>
            <w:shd w:fill="1F3A5F"/>
          </w:tcPr>
          <w:p>
            <w:r>
              <w:rPr>
                <w:color w:val="FFFFFF"/>
              </w:rPr>
            </w:r>
            <w:r>
              <w:rPr>
                <w:rFonts w:ascii="Calibri" w:hAnsi="Calibri" w:eastAsia="微软雅黑"/>
                <w:b/>
                <w:i w:val="0"/>
                <w:color w:val="FFFFFF"/>
                <w:sz w:val="18"/>
              </w:rPr>
              <w:t>商业优势</w:t>
            </w:r>
          </w:p>
        </w:tc>
        <w:tc>
          <w:tcPr>
            <w:tcW w:type="dxa" w:w="1660"/>
            <w:shd w:fill="1F3A5F"/>
          </w:tcPr>
          <w:p>
            <w:r>
              <w:rPr>
                <w:color w:val="FFFFFF"/>
              </w:rPr>
            </w:r>
            <w:r>
              <w:rPr>
                <w:rFonts w:ascii="Calibri" w:hAnsi="Calibri" w:eastAsia="微软雅黑"/>
                <w:b/>
                <w:i w:val="0"/>
                <w:color w:val="FFFFFF"/>
                <w:sz w:val="18"/>
              </w:rPr>
              <w:t>核心风险点</w:t>
            </w:r>
          </w:p>
        </w:tc>
      </w:tr>
      <w:tr>
        <w:tc>
          <w:tcPr>
            <w:tcW w:type="dxa" w:w="1660"/>
          </w:tcPr>
          <w:p>
            <w:r/>
            <w:r>
              <w:rPr>
                <w:rFonts w:ascii="Calibri" w:hAnsi="Calibri" w:eastAsia="微软雅黑"/>
                <w:b w:val="0"/>
                <w:i w:val="0"/>
                <w:sz w:val="18"/>
              </w:rPr>
              <w:t>EPC+F（融资+总承包）</w:t>
            </w:r>
          </w:p>
        </w:tc>
        <w:tc>
          <w:tcPr>
            <w:tcW w:type="dxa" w:w="1660"/>
          </w:tcPr>
          <w:p>
            <w:r/>
            <w:r>
              <w:rPr>
                <w:rFonts w:ascii="Calibri" w:hAnsi="Calibri" w:eastAsia="微软雅黑"/>
                <w:b w:val="0"/>
                <w:i w:val="0"/>
                <w:sz w:val="18"/>
              </w:rPr>
              <w:t>总承包商协助业主解决部分或全部项目融资（配合银行贷款、融资租赁、出口信贷）</w:t>
            </w:r>
          </w:p>
        </w:tc>
        <w:tc>
          <w:tcPr>
            <w:tcW w:type="dxa" w:w="1660"/>
          </w:tcPr>
          <w:p>
            <w:r/>
            <w:r>
              <w:rPr>
                <w:rFonts w:ascii="Calibri" w:hAnsi="Calibri" w:eastAsia="微软雅黑"/>
                <w:b w:val="0"/>
                <w:i w:val="0"/>
                <w:sz w:val="18"/>
              </w:rPr>
              <w:t>上海市政总院在城市水环境综合治理与海绵城市建设中应用F+EPC模式；山东院印度尼西亚某新能源项目采用EPC+F模式提供融资支持</w:t>
            </w:r>
          </w:p>
        </w:tc>
        <w:tc>
          <w:tcPr>
            <w:tcW w:type="dxa" w:w="1660"/>
          </w:tcPr>
          <w:p>
            <w:r/>
            <w:r>
              <w:rPr>
                <w:rFonts w:ascii="Calibri" w:hAnsi="Calibri" w:eastAsia="微软雅黑"/>
                <w:b w:val="0"/>
                <w:i w:val="0"/>
                <w:sz w:val="18"/>
              </w:rPr>
              <w:t>解决业主初始资金门槛，促成大型项目立项，获取总承包溢价</w:t>
            </w:r>
          </w:p>
        </w:tc>
        <w:tc>
          <w:tcPr>
            <w:tcW w:type="dxa" w:w="1660"/>
          </w:tcPr>
          <w:p>
            <w:r/>
            <w:r>
              <w:rPr>
                <w:rFonts w:ascii="Calibri" w:hAnsi="Calibri" w:eastAsia="微软雅黑"/>
                <w:b w:val="0"/>
                <w:i w:val="0"/>
                <w:sz w:val="18"/>
              </w:rPr>
              <w:t>政府投资项目易触碰隐性债务红线；总承包商提供连带担保将产生巨大融资代偿风险</w:t>
            </w:r>
          </w:p>
        </w:tc>
      </w:tr>
      <w:tr>
        <w:tc>
          <w:tcPr>
            <w:tcW w:type="dxa" w:w="1660"/>
          </w:tcPr>
          <w:p>
            <w:r/>
            <w:r>
              <w:rPr>
                <w:rFonts w:ascii="Calibri" w:hAnsi="Calibri" w:eastAsia="微软雅黑"/>
                <w:b w:val="0"/>
                <w:i w:val="0"/>
                <w:sz w:val="18"/>
              </w:rPr>
              <w:t>EPC+O / EPC+O&amp;M（总承包+运营维护）</w:t>
            </w:r>
          </w:p>
        </w:tc>
        <w:tc>
          <w:tcPr>
            <w:tcW w:type="dxa" w:w="1660"/>
          </w:tcPr>
          <w:p>
            <w:r/>
            <w:r>
              <w:rPr>
                <w:rFonts w:ascii="Calibri" w:hAnsi="Calibri" w:eastAsia="微软雅黑"/>
                <w:b w:val="0"/>
                <w:i w:val="0"/>
                <w:sz w:val="18"/>
              </w:rPr>
              <w:t>建设期EPC与建成后运营维护整体打包，覆盖设计-采购-施工-运营维护全生命周期，日常运营管理、设备维护保养、故障排除、性能优化、技术改造均由同一总承包商负责</w:t>
            </w:r>
          </w:p>
        </w:tc>
        <w:tc>
          <w:tcPr>
            <w:tcW w:type="dxa" w:w="1660"/>
          </w:tcPr>
          <w:p>
            <w:r/>
            <w:r>
              <w:rPr>
                <w:rFonts w:ascii="Calibri" w:hAnsi="Calibri" w:eastAsia="微软雅黑"/>
                <w:b w:val="0"/>
                <w:i w:val="0"/>
                <w:sz w:val="18"/>
              </w:rPr>
              <w:t>上海市政总院将运营维护纳入EPC总承包范围，在具有运营属性的市政公用设施（污水处理厂、水厂、垃圾处理厂等）应用EPC+O&amp;M模式；山东院开展EPC+O&amp;M模式为客户提供运营维护服务</w:t>
            </w:r>
          </w:p>
        </w:tc>
        <w:tc>
          <w:tcPr>
            <w:tcW w:type="dxa" w:w="1660"/>
          </w:tcPr>
          <w:p>
            <w:r/>
            <w:r>
              <w:rPr>
                <w:rFonts w:ascii="Calibri" w:hAnsi="Calibri" w:eastAsia="微软雅黑"/>
                <w:b w:val="0"/>
                <w:i w:val="0"/>
                <w:sz w:val="18"/>
              </w:rPr>
              <w:t>全生命周期成本优化；拉长服务链条，锁定建设期后的持续运维现金流；服务延续性避免责任推诿</w:t>
            </w:r>
          </w:p>
        </w:tc>
        <w:tc>
          <w:tcPr>
            <w:tcW w:type="dxa" w:w="1660"/>
          </w:tcPr>
          <w:p>
            <w:r/>
            <w:r>
              <w:rPr>
                <w:rFonts w:ascii="Calibri" w:hAnsi="Calibri" w:eastAsia="微软雅黑"/>
                <w:b w:val="0"/>
                <w:i w:val="0"/>
                <w:sz w:val="18"/>
              </w:rPr>
              <w:t>长期运营安全责任、绩效指标达标考核与调价退场机制设计模糊的风险</w:t>
            </w:r>
          </w:p>
        </w:tc>
      </w:tr>
      <w:tr>
        <w:tc>
          <w:tcPr>
            <w:tcW w:type="dxa" w:w="1660"/>
          </w:tcPr>
          <w:p>
            <w:r/>
            <w:r>
              <w:rPr>
                <w:rFonts w:ascii="Calibri" w:hAnsi="Calibri" w:eastAsia="微软雅黑"/>
                <w:b w:val="0"/>
                <w:i w:val="0"/>
                <w:sz w:val="18"/>
              </w:rPr>
              <w:t>投资人+EPC / EPC+I（股权投资+总承包）</w:t>
            </w:r>
          </w:p>
        </w:tc>
        <w:tc>
          <w:tcPr>
            <w:tcW w:type="dxa" w:w="1660"/>
          </w:tcPr>
          <w:p>
            <w:r/>
            <w:r>
              <w:rPr>
                <w:rFonts w:ascii="Calibri" w:hAnsi="Calibri" w:eastAsia="微软雅黑"/>
                <w:b w:val="0"/>
                <w:i w:val="0"/>
                <w:sz w:val="18"/>
              </w:rPr>
              <w:t>企业参股或控股项目公司（SPV）同时承担EPC总承包，实现"投-建-运"一体化</w:t>
            </w:r>
          </w:p>
        </w:tc>
        <w:tc>
          <w:tcPr>
            <w:tcW w:type="dxa" w:w="1660"/>
          </w:tcPr>
          <w:p>
            <w:r/>
            <w:r>
              <w:rPr>
                <w:rFonts w:ascii="Calibri" w:hAnsi="Calibri" w:eastAsia="微软雅黑"/>
                <w:b w:val="0"/>
                <w:i w:val="0"/>
                <w:sz w:val="18"/>
              </w:rPr>
              <w:t>山东路桥在国办函〔2023〕115号背景下聚焦使用者付费、参与投资施工一体化项目（如沣东创智荟EPC出资），严格核算经营性现金流收益</w:t>
            </w:r>
          </w:p>
        </w:tc>
        <w:tc>
          <w:tcPr>
            <w:tcW w:type="dxa" w:w="1660"/>
          </w:tcPr>
          <w:p>
            <w:r/>
            <w:r>
              <w:rPr>
                <w:rFonts w:ascii="Calibri" w:hAnsi="Calibri" w:eastAsia="微软雅黑"/>
                <w:b w:val="0"/>
                <w:i w:val="0"/>
                <w:sz w:val="18"/>
              </w:rPr>
              <w:t>获得工程利润、投资回报与运营收益三重叠加，增强优质资产控制力</w:t>
            </w:r>
          </w:p>
        </w:tc>
        <w:tc>
          <w:tcPr>
            <w:tcW w:type="dxa" w:w="1660"/>
          </w:tcPr>
          <w:p>
            <w:r/>
            <w:r>
              <w:rPr>
                <w:rFonts w:ascii="Calibri" w:hAnsi="Calibri" w:eastAsia="微软雅黑"/>
                <w:b w:val="0"/>
                <w:i w:val="0"/>
                <w:sz w:val="18"/>
              </w:rPr>
              <w:t>项目建设超支风险向投资端倒灌；使用者付费不足导致回收期拉长；退出通道受限</w:t>
            </w:r>
          </w:p>
        </w:tc>
      </w:tr>
    </w:tbl>
    <w:p>
      <w:r>
        <w:rPr>
          <w:rFonts w:ascii="Calibri" w:hAnsi="Calibri" w:eastAsia="微软雅黑"/>
          <w:b w:val="0"/>
          <w:i w:val="0"/>
          <w:sz w:val="22"/>
        </w:rPr>
        <w:t>三类模式的战略卡位要点（归纳为本研究据源文整理）：其一，</w:t>
      </w:r>
      <w:r>
        <w:rPr>
          <w:rFonts w:ascii="Calibri" w:hAnsi="Calibri" w:eastAsia="微软雅黑"/>
          <w:b/>
          <w:i w:val="0"/>
          <w:sz w:val="22"/>
        </w:rPr>
        <w:t>审慎拓展"EPC+F"</w:t>
      </w:r>
      <w:r>
        <w:rPr>
          <w:rFonts w:ascii="Calibri" w:hAnsi="Calibri" w:eastAsia="微软雅黑"/>
          <w:b w:val="0"/>
          <w:i w:val="0"/>
          <w:sz w:val="22"/>
        </w:rPr>
        <w:t>——将融资定位为辅助手段而非主体风险，主要通过引入外部金融机构与业主直接签署融资协议，总承包商仅发挥桥梁与技术配合作用，严禁为政府隐性债务提供任何形式的信用背书；随着《政府投资条例》明确禁止施工单位垫资建设、财政纪律持续加强，过去一些不规范的投融资模式（如"假BT"）逐渐被清理，政策鼓励合规透明的融资方式，这对EPC+F等涉及融资的模式提出了更高合规要求，旨在防范地方政府隐性债务风险 [来源: P000713]。其二，</w:t>
      </w:r>
      <w:r>
        <w:rPr>
          <w:rFonts w:ascii="Calibri" w:hAnsi="Calibri" w:eastAsia="微软雅黑"/>
          <w:b/>
          <w:i w:val="0"/>
          <w:sz w:val="22"/>
        </w:rPr>
        <w:t>积极探索"EPC+O&amp;M"</w:t>
      </w:r>
      <w:r>
        <w:rPr>
          <w:rFonts w:ascii="Calibri" w:hAnsi="Calibri" w:eastAsia="微软雅黑"/>
          <w:b w:val="0"/>
          <w:i w:val="0"/>
          <w:sz w:val="22"/>
        </w:rPr>
        <w:t>——市政总院将运营维护纳入EPC总承包范围形成"设计-采购-施工-运营维护"一体化服务，在设计和建设阶段即考虑后续运营维护、进行全生命周期优化以降低全生命周期成本，把"一次性工程建设"转化为"长期服务收益"，是设计主导型企业商业模式升级的重点方向；其嘉兴市区现状水厂工艺提升改造项目一期工程斩获2023年全球水奖年度最佳市政供水项目，为该模式的交付品质提供了国际注脚 [来源: P000713]。其三，</w:t>
      </w:r>
      <w:r>
        <w:rPr>
          <w:rFonts w:ascii="Calibri" w:hAnsi="Calibri" w:eastAsia="微软雅黑"/>
          <w:b/>
          <w:i w:val="0"/>
          <w:sz w:val="22"/>
        </w:rPr>
        <w:t>规范"投资人+EPC"</w:t>
      </w:r>
      <w:r>
        <w:rPr>
          <w:rFonts w:ascii="Calibri" w:hAnsi="Calibri" w:eastAsia="微软雅黑"/>
          <w:b w:val="0"/>
          <w:i w:val="0"/>
          <w:sz w:val="22"/>
        </w:rPr>
        <w:t>——山东路桥积极适应国办函〔2023〕115号要求，全面转向"聚焦使用者付费"的新型PPP与投资施工一体化模式，2025年实现中标额1,040.41亿元，确保项目具备明确收费机制与合规退出通道 [来源: P000720]。</w:t>
      </w:r>
    </w:p>
    <w:p>
      <w:pPr>
        <w:pStyle w:val="Heading3"/>
      </w:pPr>
      <w:r>
        <w:t>8.3.3 可执行方法：垫资解耦三步法（本研究归纳，示意性复盘）</w:t>
      </w:r>
    </w:p>
    <w:p>
      <w:pPr>
        <w:pStyle w:val="ListNumber"/>
      </w:pPr>
      <w:r>
        <w:rPr>
          <w:rFonts w:ascii="Calibri" w:hAnsi="Calibri" w:eastAsia="微软雅黑"/>
          <w:b/>
          <w:i w:val="0"/>
          <w:sz w:val="22"/>
        </w:rPr>
        <w:t>第一步：投前合规红线排查</w:t>
      </w:r>
      <w:r>
        <w:rPr>
          <w:rFonts w:ascii="Calibri" w:hAnsi="Calibri" w:eastAsia="微软雅黑"/>
          <w:b w:val="0"/>
          <w:i w:val="0"/>
          <w:sz w:val="22"/>
        </w:rPr>
        <w:t>。对政府投资或国企投资项目，审查其是否纳入年度财政预算、是否具备合规立项批复与资金来源证明；对未落实资金来源、要求"带资承包"或变相垫资的项目一票否决（依据《政府投资条例》垫资禁令）[来源: P000713]。</w:t>
      </w:r>
    </w:p>
    <w:p>
      <w:pPr>
        <w:pStyle w:val="ListNumber"/>
      </w:pPr>
      <w:r>
        <w:rPr>
          <w:rFonts w:ascii="Calibri" w:hAnsi="Calibri" w:eastAsia="微软雅黑"/>
          <w:b/>
          <w:i w:val="0"/>
          <w:sz w:val="22"/>
        </w:rPr>
        <w:t>第二步：投中第三方金融工具解耦</w:t>
      </w:r>
      <w:r>
        <w:rPr>
          <w:rFonts w:ascii="Calibri" w:hAnsi="Calibri" w:eastAsia="微软雅黑"/>
          <w:b w:val="0"/>
          <w:i w:val="0"/>
          <w:sz w:val="22"/>
        </w:rPr>
        <w:t>。海外项目严格采用不可撤销跟单信用证结算并投保出口买方信用险，将国别政治风险与业主违约风险转移给金融机构；需要融资支持的工业与能源项目，由业主对接租赁公司或组建SPV采用设备融资租赁、项目收益权质押贷款获取建设资金，总承包商不得为业主融资提供连带担保或过桥垫付（工具组合参照中钢国际与山东院实践）[来源: P000707, P000708]。</w:t>
      </w:r>
    </w:p>
    <w:p>
      <w:pPr>
        <w:pStyle w:val="ListNumber"/>
      </w:pPr>
      <w:r>
        <w:rPr>
          <w:rFonts w:ascii="Calibri" w:hAnsi="Calibri" w:eastAsia="微软雅黑"/>
          <w:b/>
          <w:i w:val="0"/>
          <w:sz w:val="22"/>
        </w:rPr>
        <w:t>第三步：投后运营合同调价与退出卡位</w:t>
      </w:r>
      <w:r>
        <w:rPr>
          <w:rFonts w:ascii="Calibri" w:hAnsi="Calibri" w:eastAsia="微软雅黑"/>
          <w:b w:val="0"/>
          <w:i w:val="0"/>
          <w:sz w:val="22"/>
        </w:rPr>
        <w:t>。EPC+O合同中清晰界定建设期质量缺陷与运营期维护责任，将运营绩效考核指标限定在总承包商可控范围内；约定原材料价格波动与税费政策调整的补偿公式，并设定业主拖欠运营服务费时的暂停运营与清算退出条款（条款设计为本研究归纳）[来源: P000713]。</w:t>
      </w:r>
    </w:p>
    <w:p>
      <w:r>
        <w:rPr>
          <w:rFonts w:ascii="Calibri" w:hAnsi="Calibri" w:eastAsia="微软雅黑"/>
          <w:b w:val="0"/>
          <w:i w:val="0"/>
          <w:sz w:val="22"/>
        </w:rPr>
        <w:t>---</w:t>
      </w:r>
    </w:p>
    <w:p>
      <w:pPr>
        <w:pStyle w:val="Heading2"/>
      </w:pPr>
      <w:r>
        <w:t>8.4 合规创效：变更签证证据链与结算审计防线</w:t>
      </w:r>
    </w:p>
    <w:p>
      <w:r>
        <w:rPr>
          <w:rFonts w:ascii="Calibri" w:hAnsi="Calibri" w:eastAsia="微软雅黑"/>
          <w:b w:val="0"/>
          <w:i w:val="0"/>
          <w:sz w:val="22"/>
        </w:rPr>
        <w:t>工程总承包涉及设计、采购、施工多环节深度交叉，履约周期跨越数年，极易在招投标合规、变更签证确认、竣工结算审计及分包履约环节引发法律争议与财务合规风险。决策层必须推动企业从被动的"事后救火"转向全流程"合规创效"（转型方向为本研究归纳）。</w:t>
      </w:r>
    </w:p>
    <w:p>
      <w:pPr>
        <w:pStyle w:val="Heading3"/>
      </w:pPr>
      <w:r>
        <w:t>8.4.1 变更签证与过程结算的合规创效机制</w:t>
      </w:r>
    </w:p>
    <w:p>
      <w:r>
        <w:rPr>
          <w:rFonts w:ascii="Calibri" w:hAnsi="Calibri" w:eastAsia="微软雅黑"/>
          <w:b w:val="0"/>
          <w:i w:val="0"/>
          <w:sz w:val="22"/>
        </w:rPr>
        <w:t>传统工程习惯于"先干活、后报验、完工再算账"，在面对严格的工程审计与司法审查时，往往因缺少关键技术文件或书面变更签证导致巨额实际支出无法获得补偿。三个样本构成从管理到司法的完整证据链：</w:t>
      </w:r>
    </w:p>
    <w:p>
      <w:pPr>
        <w:pStyle w:val="ListNumber"/>
      </w:pPr>
      <w:r>
        <w:rPr>
          <w:rFonts w:ascii="Calibri" w:hAnsi="Calibri" w:eastAsia="微软雅黑"/>
          <w:b/>
          <w:i w:val="0"/>
          <w:sz w:val="22"/>
        </w:rPr>
        <w:t>中国化学：过程结算穿透与"产值计量比"硬监控</w:t>
      </w:r>
      <w:r>
        <w:rPr>
          <w:rFonts w:ascii="Calibri" w:hAnsi="Calibri" w:eastAsia="微软雅黑"/>
          <w:b w:val="0"/>
          <w:i w:val="0"/>
          <w:sz w:val="22"/>
        </w:rPr>
        <w:t>。企业强化费控与财务联动，深化项目穿透式管理，建立项目三级进度计划评审机制，将"产值计量比"（实际完成产值与业主签认计量产值之比）和"计量收款比"纳入系统强制监控节点，改变"完工后统一结算"的陋习、按月完成当期完工工程量的技术报验与计量签认，将变更与工程款争议解决在前段 [来源: P000718]。</w:t>
      </w:r>
    </w:p>
    <w:p>
      <w:pPr>
        <w:pStyle w:val="ListNumber"/>
      </w:pPr>
      <w:r>
        <w:rPr>
          <w:rFonts w:ascii="Calibri" w:hAnsi="Calibri" w:eastAsia="微软雅黑"/>
          <w:b/>
          <w:i w:val="0"/>
          <w:sz w:val="22"/>
        </w:rPr>
        <w:t>山东院：变更索赔信息化证据链</w:t>
      </w:r>
      <w:r>
        <w:rPr>
          <w:rFonts w:ascii="Calibri" w:hAnsi="Calibri" w:eastAsia="微软雅黑"/>
          <w:b w:val="0"/>
          <w:i w:val="0"/>
          <w:sz w:val="22"/>
        </w:rPr>
        <w:t>。建立规范的变更识别与多方审批流程，利用信息化系统将图纸、会议纪要、现场照片电子化归档；在海外新能源项目中，对业主原因导致的设计变更与工期延误，造价与法务团队依据FIDIC条款编制索赔文件，最终通过合同谈判获得合理的价格补偿与工期顺延，实现"由合规索赔创造经济效益" [来源: P000708]。山东院的国际化布局为这套证据链体系提供了高价值应用场——其火电EPC在"一带一路"沿线国家的印尼爪哇7号、巴基斯坦萨希瓦尔、巴西潘帕等项目，既贡献海外营收，也积累了跨法域的项目管理经验 [来源: P000708]。</w:t>
      </w:r>
    </w:p>
    <w:p>
      <w:pPr>
        <w:pStyle w:val="ListNumber"/>
      </w:pPr>
      <w:r>
        <w:rPr>
          <w:rFonts w:ascii="Calibri" w:hAnsi="Calibri" w:eastAsia="微软雅黑"/>
          <w:b/>
          <w:i w:val="0"/>
          <w:sz w:val="22"/>
        </w:rPr>
        <w:t>司法裁判规则：技术交验凭证与先履行抗辩权</w:t>
      </w:r>
      <w:r>
        <w:rPr>
          <w:rFonts w:ascii="Calibri" w:hAnsi="Calibri" w:eastAsia="微软雅黑"/>
          <w:b w:val="0"/>
          <w:i w:val="0"/>
          <w:sz w:val="22"/>
        </w:rPr>
        <w:t>。在(2016)最高法民终695号案（陕西达华电力与陇川鸿宇安生物质发电厂EPC总承包合同纠纷案）中，发包人与总包商将EPC合同分拆，约定请款时必须附带设备工厂试验标准、试验记录及质控计划等技术凭证；总包商因未能按约提交完整技术凭证，最高人民法院认定发包人行使先履行抗辩权拒绝支付节点进度款合法，总包商因请款资料不合规承担巨大资金被动（裁判事实据判例研究成果整理）[来源: P000751]。</w:t>
      </w:r>
    </w:p>
    <w:p>
      <w:pPr>
        <w:pStyle w:val="Heading3"/>
      </w:pPr>
      <w:r>
        <w:t>8.4.2 审计防线与法务风控体系</w:t>
      </w:r>
    </w:p>
    <w:p>
      <w:pPr>
        <w:pStyle w:val="ListNumber"/>
      </w:pPr>
      <w:r>
        <w:rPr>
          <w:rFonts w:ascii="Calibri" w:hAnsi="Calibri" w:eastAsia="微软雅黑"/>
          <w:b/>
          <w:i w:val="0"/>
          <w:sz w:val="22"/>
        </w:rPr>
        <w:t>避开行政审计拖延结算的法律防线</w:t>
      </w:r>
      <w:r>
        <w:rPr>
          <w:rFonts w:ascii="Calibri" w:hAnsi="Calibri" w:eastAsia="微软雅黑"/>
          <w:b w:val="0"/>
          <w:i w:val="0"/>
          <w:sz w:val="22"/>
        </w:rPr>
        <w:t>。全国人大常委会法工委《法工委函〔2017〕2号》明确：地方性法规中"直接规定以审计结果作为竣工结算依据"或"要求在招标文件及合同中强加审计结算条款"的规定，限制民事主体权利、超越地方立法权限，应当清理纠正。若合同双方自愿约定以审计结论结算，司法实践原则上尊重契约自由；但依据最高人民法院(2012)民提字第205号案（重庆勇创实业与重庆市同兴工业园区案）的裁判规则：即便合同约定以审计结果为准，审计机关也必须严格按照合同约定的计价标准和计价方法进行审计——审计机关擅自变更合同约定定额或取费标准的，该审计报告不能作为确定结算金额的依据，当事人有权申请按合同约定重新鉴定结算（裁判规则据判例研究成果整理）[来源: P000751]。</w:t>
      </w:r>
    </w:p>
    <w:p>
      <w:pPr>
        <w:pStyle w:val="ListNumber"/>
      </w:pPr>
      <w:r>
        <w:rPr>
          <w:rFonts w:ascii="Calibri" w:hAnsi="Calibri" w:eastAsia="微软雅黑"/>
          <w:b/>
          <w:i w:val="0"/>
          <w:sz w:val="22"/>
        </w:rPr>
        <w:t>分包风险隔断：主从合同联动解除</w:t>
      </w:r>
      <w:r>
        <w:rPr>
          <w:rFonts w:ascii="Calibri" w:hAnsi="Calibri" w:eastAsia="微软雅黑"/>
          <w:b w:val="0"/>
          <w:i w:val="0"/>
          <w:sz w:val="22"/>
        </w:rPr>
        <w:t>。在(2016)最高法民再53号案中，通用公司与三星公司签署EPC合同，三星公司将土建分包给土木公司；后主合同解除，总包商通知分包商退场，土木公司以分包合同独立且自身受损未赔为由拒不撤离现场，纠纷持续长达10年。总承包商必须在分包合同中预先约定"主合同解除时分包合同联动无条件终止"与限期退场违约责任，防止分包商强占现场阻滞项目整体验收 [来源: P000751]。</w:t>
      </w:r>
    </w:p>
    <w:p>
      <w:pPr>
        <w:pStyle w:val="ListNumber"/>
      </w:pPr>
      <w:r>
        <w:rPr>
          <w:rFonts w:ascii="Calibri" w:hAnsi="Calibri" w:eastAsia="微软雅黑"/>
          <w:b/>
          <w:i w:val="0"/>
          <w:sz w:val="22"/>
        </w:rPr>
        <w:t>境外独立保函欺诈止付与介入权应对</w:t>
      </w:r>
      <w:r>
        <w:rPr>
          <w:rFonts w:ascii="Calibri" w:hAnsi="Calibri" w:eastAsia="微软雅黑"/>
          <w:b w:val="0"/>
          <w:i w:val="0"/>
          <w:sz w:val="22"/>
        </w:rPr>
        <w:t>。在(2017)川民终72号案中，中机公司作为总承包商承建危地马拉2×15MW电站项目，华西能源为锅炉分包商（合同金额1.8亿元）；业主、中机公司与华西能源三方签署《分包商承诺协议》，约定总包商违约时业主有权行使介入权（Step-in Right）接管分包合同。后业主行使介入权、华西能源直接向业主履行合同，中机公司仍以分包商未向其履约为由，向银行提示提取华西能源开立的2,565万元独立保函。法院认定：在业主已行使介入权且分包商已向业主履行的情况下，总包商提示付款构成《最高人民法院关于审理独立保函纠纷案件若干问题的规定》（法释〔2016〕24号）下的保函欺诈，依法裁定止付 [来源: P000751]。</w:t>
      </w:r>
    </w:p>
    <w:p>
      <w:pPr>
        <w:pStyle w:val="ListNumber"/>
      </w:pPr>
      <w:r>
        <w:rPr>
          <w:rFonts w:ascii="Calibri" w:hAnsi="Calibri" w:eastAsia="微软雅黑"/>
          <w:b/>
          <w:i w:val="0"/>
          <w:sz w:val="22"/>
        </w:rPr>
        <w:t>企业内部"三位一体"审计合规防线</w:t>
      </w:r>
      <w:r>
        <w:rPr>
          <w:rFonts w:ascii="Calibri" w:hAnsi="Calibri" w:eastAsia="微软雅黑"/>
          <w:b w:val="0"/>
          <w:i w:val="0"/>
          <w:sz w:val="22"/>
        </w:rPr>
        <w:t>。以山东院与湖南院为代表，企业建立独立的内部审计机构直接对董事会或合规委员会负责，将财务审计、造价审计与法务合规审核深度融通，贯穿项目立项、合同审查、采购招标、变更索赔及竣工结算全流程；针对审计发现的制度漏洞与执行偏差建立问责机制与整改台账，确保合规风险在内部被提前识别与化解 [来源: P000708, P000701]。外部防线与内部防线的分工要领（本研究归纳）：对行政审计拖延、保函欺诈、分包占场三类外部风险，以司法裁判规则为武器、以合同条款为阵地，属于"对外作战"；对变更签认缺失、计量滞后、证据断链三类内部风险，以审计问责与整改台账为武器、以岗位职责为阵地，属于"对内整训"——两套打法不可混用，用对外的话术处理内部问题会掩盖责任，用对内的逻辑应对外部争议会丧失权利。</w:t>
      </w:r>
    </w:p>
    <w:p>
      <w:pPr>
        <w:pStyle w:val="Heading3"/>
      </w:pPr>
      <w:r>
        <w:t>8.4.3 可执行方法：合规创效三步法（本研究归纳，示意性复盘）</w:t>
      </w:r>
    </w:p>
    <w:p>
      <w:pPr>
        <w:pStyle w:val="ListNumber"/>
      </w:pPr>
      <w:r>
        <w:rPr>
          <w:rFonts w:ascii="Calibri" w:hAnsi="Calibri" w:eastAsia="微软雅黑"/>
          <w:b/>
          <w:i w:val="0"/>
          <w:sz w:val="22"/>
        </w:rPr>
        <w:t>第一步：合同签署阶段锁定计价标准</w:t>
      </w:r>
      <w:r>
        <w:rPr>
          <w:rFonts w:ascii="Calibri" w:hAnsi="Calibri" w:eastAsia="微软雅黑"/>
          <w:b w:val="0"/>
          <w:i w:val="0"/>
          <w:sz w:val="22"/>
        </w:rPr>
        <w:t>。在政府投资或国企投资项目合同谈判中，引用法工委函〔2017〕2号清理"以行政审计结论作为结算唯一依据"的强制条款；若保留审计配合条款，必须加注"审计机关对本工程的结算审计，必须严格按照本合同约定的计价定额、取费标准及调整方法进行"（参照(2012)民提字第205号裁判规则）[来源: P000751]。</w:t>
      </w:r>
    </w:p>
    <w:p>
      <w:pPr>
        <w:pStyle w:val="ListNumber"/>
      </w:pPr>
      <w:r>
        <w:rPr>
          <w:rFonts w:ascii="Calibri" w:hAnsi="Calibri" w:eastAsia="微软雅黑"/>
          <w:b/>
          <w:i w:val="0"/>
          <w:sz w:val="22"/>
        </w:rPr>
        <w:t>第二步：履约过程"技术凭证+工程量签认"双流控制</w:t>
      </w:r>
      <w:r>
        <w:rPr>
          <w:rFonts w:ascii="Calibri" w:hAnsi="Calibri" w:eastAsia="微软雅黑"/>
          <w:b w:val="0"/>
          <w:i w:val="0"/>
          <w:sz w:val="22"/>
        </w:rPr>
        <w:t>。申请里程碑节点款或变更签证时，同步提交完工报告、现场签认单及符合合同约定的设备试验标准、质控计划等全套技术文件，防止业主行使先履行抗辩权拒付（参照(2016)最高法民终695号判例与中国化学计量签认机制）[来源: P000751, P000718]。</w:t>
      </w:r>
    </w:p>
    <w:p>
      <w:pPr>
        <w:pStyle w:val="ListNumber"/>
      </w:pPr>
      <w:r>
        <w:rPr>
          <w:rFonts w:ascii="Calibri" w:hAnsi="Calibri" w:eastAsia="微软雅黑"/>
          <w:b/>
          <w:i w:val="0"/>
          <w:sz w:val="22"/>
        </w:rPr>
        <w:t>第三步：分包履约隔离与保函止付预案</w:t>
      </w:r>
      <w:r>
        <w:rPr>
          <w:rFonts w:ascii="Calibri" w:hAnsi="Calibri" w:eastAsia="微软雅黑"/>
          <w:b w:val="0"/>
          <w:i w:val="0"/>
          <w:sz w:val="22"/>
        </w:rPr>
        <w:t>。分包合同中书面约定主合同解除时分包合同无条件终止、分包商限期退场且不得以工程款争议为由强占现场；对独立保函建立全程跟踪台账，一旦发生恶意索赔即依据法释〔2016〕24号向有管辖权的法院申请止付（参照(2016)最高法民再53号与(2017)川民终72号）[来源: P000751]。</w:t>
      </w:r>
    </w:p>
    <w:p>
      <w:r>
        <w:rPr>
          <w:rFonts w:ascii="Calibri" w:hAnsi="Calibri" w:eastAsia="微软雅黑"/>
          <w:b w:val="0"/>
          <w:i w:val="0"/>
          <w:sz w:val="22"/>
        </w:rPr>
        <w:t>---</w:t>
      </w:r>
    </w:p>
    <w:p>
      <w:pPr>
        <w:pStyle w:val="Heading2"/>
      </w:pPr>
      <w:r>
        <w:t>8.5 决策路线图：营收结构调优与风险收益平衡</w:t>
      </w:r>
    </w:p>
    <w:p>
      <w:r>
        <w:rPr>
          <w:rFonts w:ascii="Calibri" w:hAnsi="Calibri" w:eastAsia="微软雅黑"/>
          <w:b w:val="0"/>
          <w:i w:val="0"/>
          <w:sz w:val="22"/>
        </w:rPr>
        <w:t>在经历行业规模扩张期的"粗放承接"与转型探索期的"阵痛分化"后，依靠单一增加中标合同额已无法解决企业生存与发展的根本矛盾。破除"有营收无利润、有利润无现金流"的经营困局，必须在战略层面建立将"营收结构调优、现金流过程卡位、合规风控创效"融为一体的综合决策路线图（路线图为本研究归纳）。</w:t>
      </w:r>
    </w:p>
    <w:p>
      <w:pPr>
        <w:pStyle w:val="Heading3"/>
      </w:pPr>
      <w:r>
        <w:t>8.5.1 营收结构调优："高质量订单+全生命周期增值"组合拳</w:t>
      </w:r>
    </w:p>
    <w:p>
      <w:pPr>
        <w:pStyle w:val="ListNumber"/>
      </w:pPr>
      <w:r>
        <w:rPr>
          <w:rFonts w:ascii="Calibri" w:hAnsi="Calibri" w:eastAsia="微软雅黑"/>
          <w:b/>
          <w:i w:val="0"/>
          <w:sz w:val="22"/>
        </w:rPr>
        <w:t>中材国际样本：从纯工程承接向"EPC+全球运维"结构重构</w:t>
      </w:r>
      <w:r>
        <w:rPr>
          <w:rFonts w:ascii="Calibri" w:hAnsi="Calibri" w:eastAsia="微软雅黑"/>
          <w:b w:val="0"/>
          <w:i w:val="0"/>
          <w:sz w:val="22"/>
        </w:rPr>
        <w:t>。在传统水泥工程市场趋于饱和的背景下，中材国际2024年新签生产运营服务合同额173.12亿元（同比增长27%），其中矿山运维新签108.35亿元（同比增长36%）、水泥运维和其他64.77亿元（同比增长15%）；全球运维服务平台上线运行，将EPC工程交付与工厂运维、矿山运维深度绑定，推动企业由单一工程总承包商向"全生命周期工业服务商"转型，生产运营服务实现营业收入129.20亿元 [来源: P000731]。</w:t>
      </w:r>
    </w:p>
    <w:p>
      <w:pPr>
        <w:pStyle w:val="ListNumber"/>
      </w:pPr>
      <w:r>
        <w:rPr>
          <w:rFonts w:ascii="Calibri" w:hAnsi="Calibri" w:eastAsia="微软雅黑"/>
          <w:b/>
          <w:i w:val="0"/>
          <w:sz w:val="22"/>
        </w:rPr>
        <w:t>中钢国际样本：聚焦低碳冶金技术与海外优质大客户</w:t>
      </w:r>
      <w:r>
        <w:rPr>
          <w:rFonts w:ascii="Calibri" w:hAnsi="Calibri" w:eastAsia="微软雅黑"/>
          <w:b w:val="0"/>
          <w:i w:val="0"/>
          <w:sz w:val="22"/>
        </w:rPr>
        <w:t>。2025年海外新签145.90亿元、占新签工程合同额72%，海外营业收入89.80亿元、毛利显著高于国内同类工程；公司主动压降国内低毛利、高垫资风险的传统冶金项目，将核心技术资源集中于阿尔及利亚Tosyali绿色钢厂、力拓几内亚西芒杜铁矿等海外高标准低碳冶金与矿山项目，并以3.01亿元现金分红（占归母净利润62%）回馈资本市场 [来源: P000707]。</w:t>
      </w:r>
    </w:p>
    <w:p>
      <w:pPr>
        <w:pStyle w:val="ListNumber"/>
      </w:pPr>
      <w:r>
        <w:rPr>
          <w:rFonts w:ascii="Calibri" w:hAnsi="Calibri" w:eastAsia="微软雅黑"/>
          <w:b/>
          <w:i w:val="0"/>
          <w:sz w:val="22"/>
        </w:rPr>
        <w:t>四川路桥样本：聚焦核心区域重点项目与极致成本管控</w:t>
      </w:r>
      <w:r>
        <w:rPr>
          <w:rFonts w:ascii="Calibri" w:hAnsi="Calibri" w:eastAsia="微软雅黑"/>
          <w:b w:val="0"/>
          <w:i w:val="0"/>
          <w:sz w:val="22"/>
        </w:rPr>
        <w:t>。将经营资源高度聚焦于四川省内及西部地区具有坚实财政保障的重大公路桥梁项目，推行大宗材料集中采购、机械化智能化施工与全过程精细化算账——2024年营业收入1,072.38亿元、归母净利润72.10亿元、经营活动现金流34.27亿元 [来源: P000729]；2025年经营现金流大幅增长125.32%达到77.23亿元，派现及回购43.79亿元（占归母净利润60.01%）[来源: P000735]。两年现金流从34.27亿元到77.23亿元的跃升说明：在同样的行业逆风下，业主支付信用良好的订单结构是现金流的第一决定因素（此判断为本研究归纳）。</w:t>
      </w:r>
    </w:p>
    <w:p>
      <w:r>
        <w:rPr>
          <w:rFonts w:ascii="Calibri" w:hAnsi="Calibri" w:eastAsia="微软雅黑"/>
          <w:b w:val="0"/>
          <w:i w:val="0"/>
          <w:sz w:val="22"/>
        </w:rPr>
        <w:t>据此形成营收结构重构三步法（本研究归纳，示意性复盘）：第一步</w:t>
      </w:r>
      <w:r>
        <w:rPr>
          <w:rFonts w:ascii="Calibri" w:hAnsi="Calibri" w:eastAsia="微软雅黑"/>
          <w:b/>
          <w:i w:val="0"/>
          <w:sz w:val="22"/>
        </w:rPr>
        <w:t>业务组合剔除</w:t>
      </w:r>
      <w:r>
        <w:rPr>
          <w:rFonts w:ascii="Calibri" w:hAnsi="Calibri" w:eastAsia="微软雅黑"/>
          <w:b w:val="0"/>
          <w:i w:val="0"/>
          <w:sz w:val="22"/>
        </w:rPr>
        <w:t>——设定毛利率/净利率底线，对低于资金成本红线且无技术延伸价值的纯低价施工EPC建立投标"负面清单"；执行要点是让财务部门持有否决权而非建议权，否则"规模情结"总能在评审会上压过算账结论（中钢国际主动压降国内低毛利传统冶金项目为其形态）[来源: P000707]。第二步</w:t>
      </w:r>
      <w:r>
        <w:rPr>
          <w:rFonts w:ascii="Calibri" w:hAnsi="Calibri" w:eastAsia="微软雅黑"/>
          <w:b/>
          <w:i w:val="0"/>
          <w:sz w:val="22"/>
        </w:rPr>
        <w:t>市场与客户结构跨越</w:t>
      </w:r>
      <w:r>
        <w:rPr>
          <w:rFonts w:ascii="Calibri" w:hAnsi="Calibri" w:eastAsia="微软雅黑"/>
          <w:b w:val="0"/>
          <w:i w:val="0"/>
          <w:sz w:val="22"/>
        </w:rPr>
        <w:t>——提高海外高毛利项目与高技术门槛项目（低碳冶金、化工新材料、特高压新能源）合同占比，国内优先选择资金落实、具备明确使用者付费机制的项目；执行要点是海外扩张必须与国别风险管理能力同步建设，山东院对政治、经济、法律、文化四类非技术风险的综合评估即为准入门槛 [来源: P000708]。第三步</w:t>
      </w:r>
      <w:r>
        <w:rPr>
          <w:rFonts w:ascii="Calibri" w:hAnsi="Calibri" w:eastAsia="微软雅黑"/>
          <w:b/>
          <w:i w:val="0"/>
          <w:sz w:val="22"/>
        </w:rPr>
        <w:t>全生命周期服务延伸</w:t>
      </w:r>
      <w:r>
        <w:rPr>
          <w:rFonts w:ascii="Calibri" w:hAnsi="Calibri" w:eastAsia="微软雅黑"/>
          <w:b w:val="0"/>
          <w:i w:val="0"/>
          <w:sz w:val="22"/>
        </w:rPr>
        <w:t>——建立"工程竣工即转入运维"的客户对接机制，在污水处理、垃圾焚烧、固废处理、园区能源站及矿山项目中推行"EPC+O/EPC+M"模式，锁定建设期后的稳定现金流；执行要点是运维合同的质量取决于绩效指标与调价退场条款的精细化程度，签一份粗糙的运维合同比不签更容易积累风险（中材国际运维转型与市政总院EPC+O&amp;M模式为实证参照）[来源: P000731, P000713]。</w:t>
      </w:r>
    </w:p>
    <w:p>
      <w:pPr>
        <w:pStyle w:val="Heading3"/>
      </w:pPr>
      <w:r>
        <w:t>8.5.2 风险与收益的平衡管控：从投前算账到应收处置</w:t>
      </w:r>
    </w:p>
    <w:p>
      <w:pPr>
        <w:pStyle w:val="ListNumber"/>
      </w:pPr>
      <w:r>
        <w:rPr>
          <w:rFonts w:ascii="Calibri" w:hAnsi="Calibri" w:eastAsia="微软雅黑"/>
          <w:b/>
          <w:i w:val="0"/>
          <w:sz w:val="22"/>
        </w:rPr>
        <w:t>中国化学：穿透式过程结算与全流程动态预警</w:t>
      </w:r>
      <w:r>
        <w:rPr>
          <w:rFonts w:ascii="Calibri" w:hAnsi="Calibri" w:eastAsia="微软雅黑"/>
          <w:b w:val="0"/>
          <w:i w:val="0"/>
          <w:sz w:val="22"/>
        </w:rPr>
        <w:t>。强化费控与财务联动，"产值计量比""计量收款比"纳入数字化平台强制监控；完善合作伙伴动态管理与信用风险预警，对触发预警的项目及时采取保全与应对措施，防止施工过程支出与业主计量签认脱节导致的资金流失 [来源: P000718]。其2025年报将客户风险与现金流风险并列为核心管控事项的表述说明：在万亿级大宗化工项目履约中，"谁的款能收回来"已经与"项目能不能干完"同等权重——这也是现金流管理从财务部门的专项工作升格为全公司核心管控事项的行业信号 [来源: P000718]。</w:t>
      </w:r>
    </w:p>
    <w:p>
      <w:pPr>
        <w:pStyle w:val="ListNumber"/>
      </w:pPr>
      <w:r>
        <w:rPr>
          <w:rFonts w:ascii="Calibri" w:hAnsi="Calibri" w:eastAsia="微软雅黑"/>
          <w:b/>
          <w:i w:val="0"/>
          <w:sz w:val="22"/>
        </w:rPr>
        <w:t>山东路桥：抓"两金"压降实现现金流逆转</w:t>
      </w:r>
      <w:r>
        <w:rPr>
          <w:rFonts w:ascii="Calibri" w:hAnsi="Calibri" w:eastAsia="微软雅黑"/>
          <w:b w:val="0"/>
          <w:i w:val="0"/>
          <w:sz w:val="22"/>
        </w:rPr>
        <w:t>。面对地方财政收紧导致的清欠压力，将应收账款与存货（合同资产）压降列为一把手工程，推进"两个1%工程"与降本增效，建立集团级应收清收专班，对超长账龄项目采取诉讼、财产保全及化债债券抵顶等多种手段——2025年经营现金流净额由2024年的-51.39亿元逆转为2.57亿元（同比增加105%）[来源: P000720, P000723]。</w:t>
      </w:r>
    </w:p>
    <w:p>
      <w:pPr>
        <w:pStyle w:val="ListNumber"/>
      </w:pPr>
      <w:r>
        <w:rPr>
          <w:rFonts w:ascii="Calibri" w:hAnsi="Calibri" w:eastAsia="微软雅黑"/>
          <w:b/>
          <w:i w:val="0"/>
          <w:sz w:val="22"/>
        </w:rPr>
        <w:t>湖南院：账龄结构优化与高现金转化</w:t>
      </w:r>
      <w:r>
        <w:rPr>
          <w:rFonts w:ascii="Calibri" w:hAnsi="Calibri" w:eastAsia="微软雅黑"/>
          <w:b w:val="0"/>
          <w:i w:val="0"/>
          <w:sz w:val="22"/>
        </w:rPr>
        <w:t>。总资产15.67亿元（同比增长8.2%），应收账款4.86亿元（占总资产31.0%），经营现金流净额1.22亿元（同比增长28.4%）；企业建立应收账款账龄管理体系、按月考核项目经理回款节点，重点防控政府投资项目结算延误，1年以内应收账款占比保持80%以上，现金净利润比达到1.69 [来源: P000701]。其应收账款周转率偏低的三条归因同样具有行业一般性：EPC项目结算周期较长（特别是政府投资项目付款周期长）、部分项目质保金须待质保期满方能收回、个别项目存在结算争议影响资金回收——三条归因分别对应合同条款、金融工具与法务管理三个不同的解耦支点（对应关系为本研究归纳）[来源: P000701]。</w:t>
      </w:r>
    </w:p>
    <w:p>
      <w:r>
        <w:rPr>
          <w:rFonts w:ascii="Calibri" w:hAnsi="Calibri" w:eastAsia="微软雅黑"/>
          <w:b w:val="0"/>
          <w:i w:val="0"/>
          <w:sz w:val="22"/>
        </w:rPr>
        <w:t>把三张报表叠起来读，可以沉淀出一套"利润表-资产负债表-现金流量表"联动诊断法（本研究归纳）：第一步读利润表问"利润从哪个业务板块来、毛利率是升是降"；第二步读资产负债表问"应收账款与合同资产吃掉了多少流动资产、账龄结构是否恶化、负债率是否仍在安全带内"；第三步读现金流量表问"净利润有没有变成现金、收现率覆盖是否充分、流出端是否被采购支付与垫资放大"。三步走完，层层逼近，"有营收无利润、有利润无现金流"的病灶位置便可精确定位——是订单结构问题、是结算管理问题，还是垫资结构问题，对症下药完全不同；用错药方的企业，往往一边喊着现金流紧张，一边继续承接同一种病灶的订单。</w:t>
      </w:r>
    </w:p>
    <w:p>
      <w:r>
        <w:rPr>
          <w:rFonts w:ascii="Calibri" w:hAnsi="Calibri" w:eastAsia="微软雅黑"/>
          <w:b w:val="0"/>
          <w:i w:val="0"/>
          <w:sz w:val="22"/>
        </w:rPr>
        <w:t>这套诊断法的价值，在于把财务语言的"病"翻译成经营语言的"因"。利润表失血，往往根子在投标阶段的让利惯性；资产负债表淤积，多半是结算管理松懈积欠而成；现金流量表干涸，则常与垫资结构失控互为表里。管理层每季度用几张报表互相印证一次，比开多次资金调度会更能暴露真问题——表与表之间对不上的地方，就是故事被讲得过美的地方（读表心法为本研究建议）。</w:t>
      </w:r>
    </w:p>
    <w:p>
      <w:pPr>
        <w:pStyle w:val="Heading3"/>
      </w:pPr>
      <w:r>
        <w:t>8.5.3 营收-现金流-合规三线合一的决策路线总表</w:t>
      </w:r>
    </w:p>
    <w:p>
      <w:r>
        <w:rPr>
          <w:rFonts w:ascii="Calibri" w:hAnsi="Calibri" w:eastAsia="微软雅黑"/>
          <w:b w:val="0"/>
          <w:i w:val="0"/>
          <w:sz w:val="22"/>
        </w:rPr>
        <w:t>将全章的诊断指标、标杆动作与组织落点收敛为一张总表，供决策层对照自查：</w:t>
      </w:r>
    </w:p>
    <w:p>
      <w:pPr>
        <w:pStyle w:val="Heading4"/>
      </w:pPr>
      <w:r>
        <w:t>表8-6 "有营收无利润、有利润无现金流"困局诊断路线总表（本研究归纳，标杆动作均有源可溯）</w:t>
      </w:r>
    </w:p>
    <w:tbl>
      <w:tblPr>
        <w:tblStyle w:val="TableGrid"/>
        <w:tblW w:type="auto" w:w="0"/>
        <w:tblLook w:firstColumn="1" w:firstRow="1" w:lastColumn="0" w:lastRow="0" w:noHBand="0" w:noVBand="1" w:val="04A0"/>
      </w:tblPr>
      <w:tblGrid>
        <w:gridCol w:w="1660"/>
        <w:gridCol w:w="1660"/>
        <w:gridCol w:w="1660"/>
        <w:gridCol w:w="1660"/>
        <w:gridCol w:w="1660"/>
      </w:tblGrid>
      <w:tr>
        <w:tc>
          <w:tcPr>
            <w:tcW w:type="dxa" w:w="1660"/>
            <w:shd w:fill="1F3A5F"/>
          </w:tcPr>
          <w:p>
            <w:r>
              <w:rPr>
                <w:color w:val="FFFFFF"/>
              </w:rPr>
            </w:r>
            <w:r>
              <w:rPr>
                <w:rFonts w:ascii="Calibri" w:hAnsi="Calibri" w:eastAsia="微软雅黑"/>
                <w:b/>
                <w:i w:val="0"/>
                <w:color w:val="FFFFFF"/>
                <w:sz w:val="18"/>
              </w:rPr>
              <w:t>困局表现</w:t>
            </w:r>
          </w:p>
        </w:tc>
        <w:tc>
          <w:tcPr>
            <w:tcW w:type="dxa" w:w="1660"/>
            <w:shd w:fill="1F3A5F"/>
          </w:tcPr>
          <w:p>
            <w:r>
              <w:rPr>
                <w:color w:val="FFFFFF"/>
              </w:rPr>
            </w:r>
            <w:r>
              <w:rPr>
                <w:rFonts w:ascii="Calibri" w:hAnsi="Calibri" w:eastAsia="微软雅黑"/>
                <w:b/>
                <w:i w:val="0"/>
                <w:color w:val="FFFFFF"/>
                <w:sz w:val="18"/>
              </w:rPr>
              <w:t>诊断指标</w:t>
            </w:r>
          </w:p>
        </w:tc>
        <w:tc>
          <w:tcPr>
            <w:tcW w:type="dxa" w:w="1660"/>
            <w:shd w:fill="1F3A5F"/>
          </w:tcPr>
          <w:p>
            <w:r>
              <w:rPr>
                <w:color w:val="FFFFFF"/>
              </w:rPr>
            </w:r>
            <w:r>
              <w:rPr>
                <w:rFonts w:ascii="Calibri" w:hAnsi="Calibri" w:eastAsia="微软雅黑"/>
                <w:b/>
                <w:i w:val="0"/>
                <w:color w:val="FFFFFF"/>
                <w:sz w:val="18"/>
              </w:rPr>
              <w:t>阈值参照（实证样本）</w:t>
            </w:r>
          </w:p>
        </w:tc>
        <w:tc>
          <w:tcPr>
            <w:tcW w:type="dxa" w:w="1660"/>
            <w:shd w:fill="1F3A5F"/>
          </w:tcPr>
          <w:p>
            <w:r>
              <w:rPr>
                <w:color w:val="FFFFFF"/>
              </w:rPr>
            </w:r>
            <w:r>
              <w:rPr>
                <w:rFonts w:ascii="Calibri" w:hAnsi="Calibri" w:eastAsia="微软雅黑"/>
                <w:b/>
                <w:i w:val="0"/>
                <w:color w:val="FFFFFF"/>
                <w:sz w:val="18"/>
              </w:rPr>
              <w:t>标杆动作</w:t>
            </w:r>
          </w:p>
        </w:tc>
        <w:tc>
          <w:tcPr>
            <w:tcW w:type="dxa" w:w="1660"/>
            <w:shd w:fill="1F3A5F"/>
          </w:tcPr>
          <w:p>
            <w:r>
              <w:rPr>
                <w:color w:val="FFFFFF"/>
              </w:rPr>
            </w:r>
            <w:r>
              <w:rPr>
                <w:rFonts w:ascii="Calibri" w:hAnsi="Calibri" w:eastAsia="微软雅黑"/>
                <w:b/>
                <w:i w:val="0"/>
                <w:color w:val="FFFFFF"/>
                <w:sz w:val="18"/>
              </w:rPr>
              <w:t>组织落点</w:t>
            </w:r>
          </w:p>
        </w:tc>
      </w:tr>
      <w:tr>
        <w:tc>
          <w:tcPr>
            <w:tcW w:type="dxa" w:w="1660"/>
          </w:tcPr>
          <w:p>
            <w:r/>
            <w:r>
              <w:rPr>
                <w:rFonts w:ascii="Calibri" w:hAnsi="Calibri" w:eastAsia="微软雅黑"/>
                <w:b w:val="0"/>
                <w:i w:val="0"/>
                <w:sz w:val="18"/>
              </w:rPr>
              <w:t>合同额幻觉：新签高增长而营收停滞</w:t>
            </w:r>
          </w:p>
        </w:tc>
        <w:tc>
          <w:tcPr>
            <w:tcW w:type="dxa" w:w="1660"/>
          </w:tcPr>
          <w:p>
            <w:r/>
            <w:r>
              <w:rPr>
                <w:rFonts w:ascii="Calibri" w:hAnsi="Calibri" w:eastAsia="微软雅黑"/>
                <w:b w:val="0"/>
                <w:i w:val="0"/>
                <w:sz w:val="18"/>
              </w:rPr>
              <w:t>新签合同额/营业收入倍数及趋势</w:t>
            </w:r>
          </w:p>
        </w:tc>
        <w:tc>
          <w:tcPr>
            <w:tcW w:type="dxa" w:w="1660"/>
          </w:tcPr>
          <w:p>
            <w:r/>
            <w:r>
              <w:rPr>
                <w:rFonts w:ascii="Calibri" w:hAnsi="Calibri" w:eastAsia="微软雅黑"/>
                <w:b w:val="0"/>
                <w:i w:val="0"/>
                <w:sz w:val="18"/>
              </w:rPr>
              <w:t>铁建2023年新签32,938.700亿元对营收11,379.935亿元；湖南院中标约152亿元对营收9.22亿元</w:t>
            </w:r>
          </w:p>
        </w:tc>
        <w:tc>
          <w:tcPr>
            <w:tcW w:type="dxa" w:w="1660"/>
          </w:tcPr>
          <w:p>
            <w:r/>
            <w:r>
              <w:rPr>
                <w:rFonts w:ascii="Calibri" w:hAnsi="Calibri" w:eastAsia="微软雅黑"/>
                <w:b w:val="0"/>
                <w:i w:val="0"/>
                <w:sz w:val="18"/>
              </w:rPr>
              <w:t>中钢国际"算账经营"择优承接；中材国际以运维订单平滑结转 [来源: P000706, P000731]</w:t>
            </w:r>
          </w:p>
        </w:tc>
        <w:tc>
          <w:tcPr>
            <w:tcW w:type="dxa" w:w="1660"/>
          </w:tcPr>
          <w:p>
            <w:r/>
            <w:r>
              <w:rPr>
                <w:rFonts w:ascii="Calibri" w:hAnsi="Calibri" w:eastAsia="微软雅黑"/>
                <w:b w:val="0"/>
                <w:i w:val="0"/>
                <w:sz w:val="18"/>
              </w:rPr>
              <w:t>投标负面清单+费控算账岗</w:t>
            </w:r>
          </w:p>
        </w:tc>
      </w:tr>
      <w:tr>
        <w:tc>
          <w:tcPr>
            <w:tcW w:type="dxa" w:w="1660"/>
          </w:tcPr>
          <w:p>
            <w:r/>
            <w:r>
              <w:rPr>
                <w:rFonts w:ascii="Calibri" w:hAnsi="Calibri" w:eastAsia="微软雅黑"/>
                <w:b w:val="0"/>
                <w:i w:val="0"/>
                <w:sz w:val="18"/>
              </w:rPr>
              <w:t>虚假繁荣：有利润无现金</w:t>
            </w:r>
          </w:p>
        </w:tc>
        <w:tc>
          <w:tcPr>
            <w:tcW w:type="dxa" w:w="1660"/>
          </w:tcPr>
          <w:p>
            <w:r/>
            <w:r>
              <w:rPr>
                <w:rFonts w:ascii="Calibri" w:hAnsi="Calibri" w:eastAsia="微软雅黑"/>
                <w:b w:val="0"/>
                <w:i w:val="0"/>
                <w:sz w:val="18"/>
              </w:rPr>
              <w:t>现金净利润比、营业收现率</w:t>
            </w:r>
          </w:p>
        </w:tc>
        <w:tc>
          <w:tcPr>
            <w:tcW w:type="dxa" w:w="1660"/>
          </w:tcPr>
          <w:p>
            <w:r/>
            <w:r>
              <w:rPr>
                <w:rFonts w:ascii="Calibri" w:hAnsi="Calibri" w:eastAsia="微软雅黑"/>
                <w:b w:val="0"/>
                <w:i w:val="0"/>
                <w:sz w:val="18"/>
              </w:rPr>
              <w:t>湖南院1.69；中国交建110.29%；中国化学现金流同比下降83.45%的警示样本</w:t>
            </w:r>
          </w:p>
        </w:tc>
        <w:tc>
          <w:tcPr>
            <w:tcW w:type="dxa" w:w="1660"/>
          </w:tcPr>
          <w:p>
            <w:r/>
            <w:r>
              <w:rPr>
                <w:rFonts w:ascii="Calibri" w:hAnsi="Calibri" w:eastAsia="微软雅黑"/>
                <w:b w:val="0"/>
                <w:i w:val="0"/>
                <w:sz w:val="18"/>
              </w:rPr>
              <w:t>交建高强度结算回款督促；山东路桥"两金"压降一把手工程 [来源: P000732, P000720]</w:t>
            </w:r>
          </w:p>
        </w:tc>
        <w:tc>
          <w:tcPr>
            <w:tcW w:type="dxa" w:w="1660"/>
          </w:tcPr>
          <w:p>
            <w:r/>
            <w:r>
              <w:rPr>
                <w:rFonts w:ascii="Calibri" w:hAnsi="Calibri" w:eastAsia="微软雅黑"/>
                <w:b w:val="0"/>
                <w:i w:val="0"/>
                <w:sz w:val="18"/>
              </w:rPr>
              <w:t>现金流进KPI核心权重</w:t>
            </w:r>
          </w:p>
        </w:tc>
      </w:tr>
      <w:tr>
        <w:tc>
          <w:tcPr>
            <w:tcW w:type="dxa" w:w="1660"/>
          </w:tcPr>
          <w:p>
            <w:r/>
            <w:r>
              <w:rPr>
                <w:rFonts w:ascii="Calibri" w:hAnsi="Calibri" w:eastAsia="微软雅黑"/>
                <w:b w:val="0"/>
                <w:i w:val="0"/>
                <w:sz w:val="18"/>
              </w:rPr>
              <w:t>应收淤积：账龄恶化侵蚀利润</w:t>
            </w:r>
          </w:p>
        </w:tc>
        <w:tc>
          <w:tcPr>
            <w:tcW w:type="dxa" w:w="1660"/>
          </w:tcPr>
          <w:p>
            <w:r/>
            <w:r>
              <w:rPr>
                <w:rFonts w:ascii="Calibri" w:hAnsi="Calibri" w:eastAsia="微软雅黑"/>
                <w:b w:val="0"/>
                <w:i w:val="0"/>
                <w:sz w:val="18"/>
              </w:rPr>
              <w:t>账龄结构、周转天数、合同资产增速</w:t>
            </w:r>
          </w:p>
        </w:tc>
        <w:tc>
          <w:tcPr>
            <w:tcW w:type="dxa" w:w="1660"/>
          </w:tcPr>
          <w:p>
            <w:r/>
            <w:r>
              <w:rPr>
                <w:rFonts w:ascii="Calibri" w:hAnsi="Calibri" w:eastAsia="微软雅黑"/>
                <w:b w:val="0"/>
                <w:i w:val="0"/>
                <w:sz w:val="18"/>
              </w:rPr>
              <w:t>湖南院1年以内占比超80%、周转天数174天为健康参照</w:t>
            </w:r>
          </w:p>
        </w:tc>
        <w:tc>
          <w:tcPr>
            <w:tcW w:type="dxa" w:w="1660"/>
          </w:tcPr>
          <w:p>
            <w:r/>
            <w:r>
              <w:rPr>
                <w:rFonts w:ascii="Calibri" w:hAnsi="Calibri" w:eastAsia="微软雅黑"/>
                <w:b w:val="0"/>
                <w:i w:val="0"/>
                <w:sz w:val="18"/>
              </w:rPr>
              <w:t>湖南院按月回款节点考核；中国化学资信分级差异化授信 [来源: P000701, P000718]</w:t>
            </w:r>
          </w:p>
        </w:tc>
        <w:tc>
          <w:tcPr>
            <w:tcW w:type="dxa" w:w="1660"/>
          </w:tcPr>
          <w:p>
            <w:r/>
            <w:r>
              <w:rPr>
                <w:rFonts w:ascii="Calibri" w:hAnsi="Calibri" w:eastAsia="微软雅黑"/>
                <w:b w:val="0"/>
                <w:i w:val="0"/>
                <w:sz w:val="18"/>
              </w:rPr>
              <w:t>账龄三级预警+法务介入</w:t>
            </w:r>
          </w:p>
        </w:tc>
      </w:tr>
      <w:tr>
        <w:tc>
          <w:tcPr>
            <w:tcW w:type="dxa" w:w="1660"/>
          </w:tcPr>
          <w:p>
            <w:r/>
            <w:r>
              <w:rPr>
                <w:rFonts w:ascii="Calibri" w:hAnsi="Calibri" w:eastAsia="微软雅黑"/>
                <w:b w:val="0"/>
                <w:i w:val="0"/>
                <w:sz w:val="18"/>
              </w:rPr>
              <w:t>垫资失血：为业主融资背书</w:t>
            </w:r>
          </w:p>
        </w:tc>
        <w:tc>
          <w:tcPr>
            <w:tcW w:type="dxa" w:w="1660"/>
          </w:tcPr>
          <w:p>
            <w:r/>
            <w:r>
              <w:rPr>
                <w:rFonts w:ascii="Calibri" w:hAnsi="Calibri" w:eastAsia="微软雅黑"/>
                <w:b w:val="0"/>
                <w:i w:val="0"/>
                <w:sz w:val="18"/>
              </w:rPr>
              <w:t>预付款比例、担保敞口、信用证覆盖</w:t>
            </w:r>
          </w:p>
        </w:tc>
        <w:tc>
          <w:tcPr>
            <w:tcW w:type="dxa" w:w="1660"/>
          </w:tcPr>
          <w:p>
            <w:r/>
            <w:r>
              <w:rPr>
                <w:rFonts w:ascii="Calibri" w:hAnsi="Calibri" w:eastAsia="微软雅黑"/>
                <w:b w:val="0"/>
                <w:i w:val="0"/>
                <w:sz w:val="18"/>
              </w:rPr>
              <w:t>中钢国际海外竣工回款约90%（信用证结算）；政府投资项目垫资为条例明令禁止</w:t>
            </w:r>
          </w:p>
        </w:tc>
        <w:tc>
          <w:tcPr>
            <w:tcW w:type="dxa" w:w="1660"/>
          </w:tcPr>
          <w:p>
            <w:r/>
            <w:r>
              <w:rPr>
                <w:rFonts w:ascii="Calibri" w:hAnsi="Calibri" w:eastAsia="微软雅黑"/>
                <w:b w:val="0"/>
                <w:i w:val="0"/>
                <w:sz w:val="18"/>
              </w:rPr>
              <w:t>预付款到账开工制；EPC+F仅作桥梁角色不担保 [来源: P000707, P000713]</w:t>
            </w:r>
          </w:p>
        </w:tc>
        <w:tc>
          <w:tcPr>
            <w:tcW w:type="dxa" w:w="1660"/>
          </w:tcPr>
          <w:p>
            <w:r/>
            <w:r>
              <w:rPr>
                <w:rFonts w:ascii="Calibri" w:hAnsi="Calibri" w:eastAsia="微软雅黑"/>
                <w:b w:val="0"/>
                <w:i w:val="0"/>
                <w:sz w:val="18"/>
              </w:rPr>
              <w:t>投前合规红线排查一票否决</w:t>
            </w:r>
          </w:p>
        </w:tc>
      </w:tr>
      <w:tr>
        <w:tc>
          <w:tcPr>
            <w:tcW w:type="dxa" w:w="1660"/>
          </w:tcPr>
          <w:p>
            <w:r/>
            <w:r>
              <w:rPr>
                <w:rFonts w:ascii="Calibri" w:hAnsi="Calibri" w:eastAsia="微软雅黑"/>
                <w:b w:val="0"/>
                <w:i w:val="0"/>
                <w:sz w:val="18"/>
              </w:rPr>
              <w:t>结算拖延：审计与交验争议</w:t>
            </w:r>
          </w:p>
        </w:tc>
        <w:tc>
          <w:tcPr>
            <w:tcW w:type="dxa" w:w="1660"/>
          </w:tcPr>
          <w:p>
            <w:r/>
            <w:r>
              <w:rPr>
                <w:rFonts w:ascii="Calibri" w:hAnsi="Calibri" w:eastAsia="微软雅黑"/>
                <w:b w:val="0"/>
                <w:i w:val="0"/>
                <w:sz w:val="18"/>
              </w:rPr>
              <w:t>计量签认周期、变更签证完整率</w:t>
            </w:r>
          </w:p>
        </w:tc>
        <w:tc>
          <w:tcPr>
            <w:tcW w:type="dxa" w:w="1660"/>
          </w:tcPr>
          <w:p>
            <w:r/>
            <w:r>
              <w:rPr>
                <w:rFonts w:ascii="Calibri" w:hAnsi="Calibri" w:eastAsia="微软雅黑"/>
                <w:b w:val="0"/>
                <w:i w:val="0"/>
                <w:sz w:val="18"/>
              </w:rPr>
              <w:t>中国化学产值计量比系统强制监控；695号案技术凭证先履行抗辩</w:t>
            </w:r>
          </w:p>
        </w:tc>
        <w:tc>
          <w:tcPr>
            <w:tcW w:type="dxa" w:w="1660"/>
          </w:tcPr>
          <w:p>
            <w:r/>
            <w:r>
              <w:rPr>
                <w:rFonts w:ascii="Calibri" w:hAnsi="Calibri" w:eastAsia="微软雅黑"/>
                <w:b w:val="0"/>
                <w:i w:val="0"/>
                <w:sz w:val="18"/>
              </w:rPr>
              <w:t>"技术凭证+工程量签认"双流控制；法工委函〔2017〕2号清理审计条款 [来源: P000718, P000751]</w:t>
            </w:r>
          </w:p>
        </w:tc>
        <w:tc>
          <w:tcPr>
            <w:tcW w:type="dxa" w:w="1660"/>
          </w:tcPr>
          <w:p>
            <w:r/>
            <w:r>
              <w:rPr>
                <w:rFonts w:ascii="Calibri" w:hAnsi="Calibri" w:eastAsia="微软雅黑"/>
                <w:b w:val="0"/>
                <w:i w:val="0"/>
                <w:sz w:val="18"/>
              </w:rPr>
              <w:t>专职商务法务岗+证据链台账</w:t>
            </w:r>
          </w:p>
        </w:tc>
      </w:tr>
    </w:tbl>
    <w:p>
      <w:r>
        <w:rPr>
          <w:rFonts w:ascii="Calibri" w:hAnsi="Calibri" w:eastAsia="微软雅黑"/>
          <w:b w:val="0"/>
          <w:i w:val="0"/>
          <w:sz w:val="22"/>
        </w:rPr>
        <w:t>这张总表的用法（本研究建议）：每季度财务复盘时逐行打分——诊断指标缺失的先补数据，指标越界的对照标杆动作开整改单，整改单落实情况进组织落点列的责任岗考核；三至四个季度后，"营收-现金流-合规"三条线才能真正合拢成一个整体。</w:t>
      </w:r>
    </w:p>
    <w:p>
      <w:pPr>
        <w:pStyle w:val="Heading3"/>
      </w:pPr>
      <w:r>
        <w:t>8.5.4 组织保障与考核机制重构</w:t>
      </w:r>
    </w:p>
    <w:p>
      <w:r>
        <w:rPr>
          <w:rFonts w:ascii="Calibri" w:hAnsi="Calibri" w:eastAsia="微软雅黑"/>
          <w:b w:val="0"/>
          <w:i w:val="0"/>
          <w:sz w:val="22"/>
        </w:rPr>
        <w:t>所有路线与机制最终依靠组织与绩效体系支撑。传统以"新签合同额、营业收入"为核心的KPI容易诱发前端盲目抢标、忽视回款的短期行为，须完成三项重构（重构方向为本研究归纳）：其一，</w:t>
      </w:r>
      <w:r>
        <w:rPr>
          <w:rFonts w:ascii="Calibri" w:hAnsi="Calibri" w:eastAsia="微软雅黑"/>
          <w:b/>
          <w:i w:val="0"/>
          <w:sz w:val="22"/>
        </w:rPr>
        <w:t>重构项目部绩效KPI</w:t>
      </w:r>
      <w:r>
        <w:rPr>
          <w:rFonts w:ascii="Calibri" w:hAnsi="Calibri" w:eastAsia="微软雅黑"/>
          <w:b w:val="0"/>
          <w:i w:val="0"/>
          <w:sz w:val="22"/>
        </w:rPr>
        <w:t>——将经营活动现金净流量、营业收现率、已完工未结算压降率与扣减坏账准备后的实际净利润设为核心考核权重，项目经理奖金与工程款实际到账进度按比例兑现，实行"回款不到位、绩效不兑现"的硬约束；其二，</w:t>
      </w:r>
      <w:r>
        <w:rPr>
          <w:rFonts w:ascii="Calibri" w:hAnsi="Calibri" w:eastAsia="微软雅黑"/>
          <w:b/>
          <w:i w:val="0"/>
          <w:sz w:val="22"/>
        </w:rPr>
        <w:t>设立专职"费控与算账经营"单元</w:t>
      </w:r>
      <w:r>
        <w:rPr>
          <w:rFonts w:ascii="Calibri" w:hAnsi="Calibri" w:eastAsia="微软雅黑"/>
          <w:b w:val="0"/>
          <w:i w:val="0"/>
          <w:sz w:val="22"/>
        </w:rPr>
        <w:t>——在集团、分公司及大型项目部设立直属财务商务部门管辖的费控算账岗，独立于施工队伍，专职核算动态成本、监督变更签证签认率与款项到账，拥有超预算支出的财务一票否决权（中国化学费控与财务联动、三级进度计划评审为实证参照）[来源: P000718]；其三，</w:t>
      </w:r>
      <w:r>
        <w:rPr>
          <w:rFonts w:ascii="Calibri" w:hAnsi="Calibri" w:eastAsia="微软雅黑"/>
          <w:b/>
          <w:i w:val="0"/>
          <w:sz w:val="22"/>
        </w:rPr>
        <w:t>建立跨部门风控联席会商机制</w:t>
      </w:r>
      <w:r>
        <w:rPr>
          <w:rFonts w:ascii="Calibri" w:hAnsi="Calibri" w:eastAsia="微软雅黑"/>
          <w:b w:val="0"/>
          <w:i w:val="0"/>
          <w:sz w:val="22"/>
        </w:rPr>
        <w:t>——由财务、法务、商务、技术及运营部门组成定期联席会议，对新投标项目联合评审，对在建项目的合同资产、应收账款、变更索赔证据链及分包履约状况定期盘点，确保风险第一时间被发现、在企业内部被化解（山东院"内部审计+外部审计结合、独立内审部门直接监督"的治理结构为此提供了组织模板）[来源: P000708]。</w:t>
      </w:r>
    </w:p>
    <w:p>
      <w:r>
        <w:rPr>
          <w:rFonts w:ascii="Calibri" w:hAnsi="Calibri" w:eastAsia="微软雅黑"/>
          <w:b w:val="0"/>
          <w:i w:val="0"/>
          <w:sz w:val="22"/>
        </w:rPr>
        <w:t>三项重构的落地次序也有讲究（本研究建议）：先立算账岗（一个月内可到位，立即止血动态成本失控），再改KPI（一个考核周期起效，扭转前端行为），最后建联席会商（跨部门流程再造，周期最长但固化能力最强）。若颠倒次序——先喊文化口号、后动组织结构——现金流管控通常会停留在报表分析层面而无法穿透到项目一线。</w:t>
      </w:r>
    </w:p>
    <w:p>
      <w:r>
        <w:rPr>
          <w:rFonts w:ascii="Calibri" w:hAnsi="Calibri" w:eastAsia="微软雅黑"/>
          <w:b w:val="0"/>
          <w:i w:val="0"/>
          <w:sz w:val="22"/>
        </w:rPr>
        <w:t>---</w:t>
      </w:r>
    </w:p>
    <w:p>
      <w:pPr>
        <w:pStyle w:val="Heading2"/>
      </w:pPr>
      <w:r>
        <w:t>8.6 本章小结要点</w:t>
      </w:r>
    </w:p>
    <w:p>
      <w:pPr>
        <w:pStyle w:val="ListNumber"/>
      </w:pPr>
      <w:r>
        <w:rPr>
          <w:rFonts w:ascii="Calibri" w:hAnsi="Calibri" w:eastAsia="微软雅黑"/>
          <w:b/>
          <w:i w:val="0"/>
          <w:sz w:val="22"/>
        </w:rPr>
        <w:t>破除合同额幻觉</w:t>
      </w:r>
      <w:r>
        <w:rPr>
          <w:rFonts w:ascii="Calibri" w:hAnsi="Calibri" w:eastAsia="微软雅黑"/>
          <w:b w:val="0"/>
          <w:i w:val="0"/>
          <w:sz w:val="22"/>
        </w:rPr>
        <w:t>：新签合同额不等于即期营业收入——湖南院2024年中标1,519,557.53万元（约152亿元）而营收9.22亿元，是"高中标额、慢转化"的典型；中钢国际、中材国际以自主技术与海外高毛利市场实现新签与结转同步受控 [来源: P000701, P000707, P000731]。</w:t>
      </w:r>
    </w:p>
    <w:p>
      <w:pPr>
        <w:pStyle w:val="ListNumber"/>
      </w:pPr>
      <w:r>
        <w:rPr>
          <w:rFonts w:ascii="Calibri" w:hAnsi="Calibri" w:eastAsia="微软雅黑"/>
          <w:b/>
          <w:i w:val="0"/>
          <w:sz w:val="22"/>
        </w:rPr>
        <w:t>认清三大盈利梯队的分化逻辑</w:t>
      </w:r>
      <w:r>
        <w:rPr>
          <w:rFonts w:ascii="Calibri" w:hAnsi="Calibri" w:eastAsia="微软雅黑"/>
          <w:b w:val="0"/>
          <w:i w:val="0"/>
          <w:sz w:val="22"/>
        </w:rPr>
        <w:t>：工业特种工程梯队以技术壁垒换高毛利（中材国际综合毛利率19.63%、装备22.82%；中国化学现代服务业39.71%）；设计院梯队以限额设计与前端咨询获取溢价（湖南院净利率7.8%、工程设计毛利25%）；基建施工梯队靠集采与算账挤压利润（四川路桥施工毛利13.95%且分红率60.01%）[来源: P000731, P000718, P000701, P000735]。</w:t>
      </w:r>
    </w:p>
    <w:p>
      <w:pPr>
        <w:pStyle w:val="ListNumber"/>
      </w:pPr>
      <w:r>
        <w:rPr>
          <w:rFonts w:ascii="Calibri" w:hAnsi="Calibri" w:eastAsia="微软雅黑"/>
          <w:b/>
          <w:i w:val="0"/>
          <w:sz w:val="22"/>
        </w:rPr>
        <w:t>现金流是生命线</w:t>
      </w:r>
      <w:r>
        <w:rPr>
          <w:rFonts w:ascii="Calibri" w:hAnsi="Calibri" w:eastAsia="微软雅黑"/>
          <w:b w:val="0"/>
          <w:i w:val="0"/>
          <w:sz w:val="22"/>
        </w:rPr>
        <w:t>：将营业收现率（中国交建110.29%）与现金净利润比（湖南院1.69）设为财务健康红线；穿透合同资产与超长账龄应收的减值风险；山东路桥以"两金"压降实现现金流由-51.39亿元到2.57亿元的逆转，证明清收机制可以跑赢行业逆风 [来源: P000732, P000701, P000720]。</w:t>
      </w:r>
    </w:p>
    <w:p>
      <w:pPr>
        <w:pStyle w:val="ListNumber"/>
      </w:pPr>
      <w:r>
        <w:rPr>
          <w:rFonts w:ascii="Calibri" w:hAnsi="Calibri" w:eastAsia="微软雅黑"/>
          <w:b/>
          <w:i w:val="0"/>
          <w:sz w:val="22"/>
        </w:rPr>
        <w:t>垫资解耦靠制度而非自觉</w:t>
      </w:r>
      <w:r>
        <w:rPr>
          <w:rFonts w:ascii="Calibri" w:hAnsi="Calibri" w:eastAsia="微软雅黑"/>
          <w:b w:val="0"/>
          <w:i w:val="0"/>
          <w:sz w:val="22"/>
        </w:rPr>
        <w:t>：《政府投资条例》垫资禁令是硬约束；中国化学的资信预警与中钢国际的"预付款+信用证"防线构成两条实证路径；"EPC+F"审慎、"EPC+O"积极、"投资人+EPC"规范聚焦使用者付费，三类衍生模式须按风险卡位 [来源: P000713, P000718, P000707, P000720]。</w:t>
      </w:r>
    </w:p>
    <w:p>
      <w:pPr>
        <w:pStyle w:val="ListNumber"/>
      </w:pPr>
      <w:r>
        <w:rPr>
          <w:rFonts w:ascii="Calibri" w:hAnsi="Calibri" w:eastAsia="微软雅黑"/>
          <w:b/>
          <w:i w:val="0"/>
          <w:sz w:val="22"/>
        </w:rPr>
        <w:t>合规创效的本质是证据链管理</w:t>
      </w:r>
      <w:r>
        <w:rPr>
          <w:rFonts w:ascii="Calibri" w:hAnsi="Calibri" w:eastAsia="微软雅黑"/>
          <w:b w:val="0"/>
          <w:i w:val="0"/>
          <w:sz w:val="22"/>
        </w:rPr>
        <w:t>：变更签证与过程结算的"技术凭证+工程量签认"双流控制（中国化学产值计量比、山东院索赔信息化），加上四条裁判规则（先履行抗辩695号、审计反制205号、主分包联动解除再53号、保函欺诈止付川民终72号），把法律风险防线转化为结算创效工具 [来源: P000718, P000708, P000751]。</w:t>
      </w:r>
    </w:p>
    <w:p>
      <w:pPr>
        <w:pStyle w:val="ListNumber"/>
      </w:pPr>
      <w:r>
        <w:rPr>
          <w:rFonts w:ascii="Calibri" w:hAnsi="Calibri" w:eastAsia="微软雅黑"/>
          <w:b/>
          <w:i w:val="0"/>
          <w:sz w:val="22"/>
        </w:rPr>
        <w:t>组织与考核是落地承重墙</w:t>
      </w:r>
      <w:r>
        <w:rPr>
          <w:rFonts w:ascii="Calibri" w:hAnsi="Calibri" w:eastAsia="微软雅黑"/>
          <w:b w:val="0"/>
          <w:i w:val="0"/>
          <w:sz w:val="22"/>
        </w:rPr>
        <w:t>：现金流指标进KPI核心权重、专职费控算账岗一票否决、跨部门风控联席会商——没有这三件组织保障，再好的财务诊断也止于纸面；落地次序上先立算账岗、再改KPI、后建联席会商，避免以文化口号替代组织手术（本研究归纳）。</w:t>
      </w:r>
    </w:p>
    <w:p>
      <w:pPr>
        <w:pStyle w:val="ListNumber"/>
      </w:pPr>
      <w:r>
        <w:rPr>
          <w:rFonts w:ascii="Calibri" w:hAnsi="Calibri" w:eastAsia="微软雅黑"/>
          <w:b/>
          <w:i w:val="0"/>
          <w:sz w:val="22"/>
        </w:rPr>
        <w:t>成本控制的微观体系比宏观口号更值钱</w:t>
      </w:r>
      <w:r>
        <w:rPr>
          <w:rFonts w:ascii="Calibri" w:hAnsi="Calibri" w:eastAsia="微软雅黑"/>
          <w:b w:val="0"/>
          <w:i w:val="0"/>
          <w:sz w:val="22"/>
        </w:rPr>
        <w:t>：市政总院"设计限额-战略采购-施工优化-变更索赔"四位一体全过程成本体系在容城项目兑现约15%投资节约；湖南院成本四件套把营业成本率稳定在85.6%；山东院以"内审+外审"双通道守住财务数据真实性——三家样本共同说明，毛利率的1-2个百分点差距，往往就在这些可复制的微观机制里 [来源: P000713, P000701, P000708]。</w:t>
      </w:r>
    </w:p>
    <w:p>
      <w:pPr>
        <w:pStyle w:val="ListNumber"/>
      </w:pPr>
      <w:r>
        <w:rPr>
          <w:rFonts w:ascii="Calibri" w:hAnsi="Calibri" w:eastAsia="微软雅黑"/>
          <w:b/>
          <w:i w:val="0"/>
          <w:sz w:val="22"/>
        </w:rPr>
        <w:t>读年报先立三个习惯</w:t>
      </w:r>
      <w:r>
        <w:rPr>
          <w:rFonts w:ascii="Calibri" w:hAnsi="Calibri" w:eastAsia="微软雅黑"/>
          <w:b w:val="0"/>
          <w:i w:val="0"/>
          <w:sz w:val="22"/>
        </w:rPr>
        <w:t>：分口径（营业总收入对营业收入）、分年份（随文标注同比基数）、分主体（判例援引前核对事实结构相似性）——本章全部样本均按此纪律呈现，读者引用时亦应如此（本研究提示）。</w:t>
      </w:r>
    </w:p>
    <w:p>
      <w:r>
        <w:rPr>
          <w:rFonts w:ascii="Calibri" w:hAnsi="Calibri" w:eastAsia="微软雅黑"/>
          <w:b w:val="0"/>
          <w:i w:val="0"/>
          <w:sz w:val="22"/>
        </w:rPr>
        <w:t>---</w:t>
      </w:r>
    </w:p>
    <w:p>
      <w:pPr>
        <w:pStyle w:val="Heading2"/>
      </w:pPr>
      <w:r>
        <w:t>8.7 本章证据边界与数据说明</w:t>
      </w:r>
    </w:p>
    <w:p>
      <w:pPr>
        <w:pStyle w:val="ListNumber"/>
      </w:pPr>
      <w:r>
        <w:rPr>
          <w:rFonts w:ascii="Calibri" w:hAnsi="Calibri" w:eastAsia="微软雅黑"/>
          <w:b/>
          <w:i w:val="0"/>
          <w:sz w:val="22"/>
        </w:rPr>
        <w:t>数据来源说明</w:t>
      </w:r>
      <w:r>
        <w:rPr>
          <w:rFonts w:ascii="Calibri" w:hAnsi="Calibri" w:eastAsia="微软雅黑"/>
          <w:b w:val="0"/>
          <w:i w:val="0"/>
          <w:sz w:val="22"/>
        </w:rPr>
        <w:t>：本章上市公司财务指标均取自事实资料库实收的经审计年度报告全文——中国交建（601800）2022、2023、2024、2025年报，中国铁建（601186）2023、2025年报，中国化学（601117）2025年报，中材国际（600970）2023、2024年报，中钢国际（000928）2024、2025年报，四川路桥（600039）2024、2025年报，山东路桥（000498）2024、2025年报 [来源: P000727, P000726, P000730, P000732, P000734, P000733, P000718, P000731, P000706, P000707, P000729, P000735, P000723, P000720]；非上市企业（湖南院、上海市政总院、山东院）数据取自事实资料库实收的专业机构研究报告 [来源: P000701, P000713, P000708]；司法判例与裁判规则取自司法案例专项研究成果 [来源: P000751]。</w:t>
      </w:r>
    </w:p>
    <w:p>
      <w:pPr>
        <w:pStyle w:val="ListNumber"/>
      </w:pPr>
      <w:r>
        <w:rPr>
          <w:rFonts w:ascii="Calibri" w:hAnsi="Calibri" w:eastAsia="微软雅黑"/>
          <w:b/>
          <w:i w:val="0"/>
          <w:sz w:val="22"/>
        </w:rPr>
        <w:t>统计口径与时间跨度</w:t>
      </w:r>
      <w:r>
        <w:rPr>
          <w:rFonts w:ascii="Calibri" w:hAnsi="Calibri" w:eastAsia="微软雅黑"/>
          <w:b w:val="0"/>
          <w:i w:val="0"/>
          <w:sz w:val="22"/>
        </w:rPr>
        <w:t>：中材国际（2024年报口径）、中钢国际（2024与2025年报分列）、中国化学/中国交建/中国铁建/四川路桥/山东路桥（2025年报口径为主，涉及同比时随文标注上年基数）；中国化学"营业总收入1,901.25亿元"与"营业收入1,895.01亿元"为年报两个口径，引用时不得混用 [来源: P000718]。上海市政总院净利润率约4.5%为本研究以净利润6.27亿元对营收140.2亿元折算（own_calc）。</w:t>
      </w:r>
    </w:p>
    <w:p>
      <w:pPr>
        <w:pStyle w:val="ListNumber"/>
      </w:pPr>
      <w:r>
        <w:rPr>
          <w:rFonts w:ascii="Calibri" w:hAnsi="Calibri" w:eastAsia="微软雅黑"/>
          <w:b/>
          <w:i w:val="0"/>
          <w:sz w:val="22"/>
        </w:rPr>
        <w:t>研究证据边界与局限性声明</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推演边界</w:t>
      </w:r>
      <w:r>
        <w:rPr>
          <w:rFonts w:ascii="Calibri" w:hAnsi="Calibri" w:eastAsia="微软雅黑"/>
          <w:b w:val="0"/>
          <w:i w:val="0"/>
          <w:sz w:val="22"/>
        </w:rPr>
        <w:t>：本章"全过程算账经营三步法""现金流穿透管控三步法""垫资解耦三步法""合规创效三步法"及营收结构重构三步法均为本研究归纳的操作框架，其中的预付款比例、预警账龄分级、考核权重等参数为示意性复盘的机制设计，须由企业按行业与项目规模自定，不指向任何企业的实际执行数据。</w:t>
      </w:r>
    </w:p>
    <w:p>
      <w:r>
        <w:rPr>
          <w:rFonts w:ascii="Calibri" w:hAnsi="Calibri" w:eastAsia="微软雅黑"/>
          <w:b w:val="0"/>
          <w:i w:val="0"/>
          <w:sz w:val="22"/>
        </w:rPr>
        <w:t xml:space="preserve">- </w:t>
      </w:r>
      <w:r>
        <w:rPr>
          <w:rFonts w:ascii="Calibri" w:hAnsi="Calibri" w:eastAsia="微软雅黑"/>
          <w:b/>
          <w:i w:val="0"/>
          <w:sz w:val="22"/>
        </w:rPr>
        <w:t>判例口径边界</w:t>
      </w:r>
      <w:r>
        <w:rPr>
          <w:rFonts w:ascii="Calibri" w:hAnsi="Calibri" w:eastAsia="微软雅黑"/>
          <w:b w:val="0"/>
          <w:i w:val="0"/>
          <w:sz w:val="22"/>
        </w:rPr>
        <w:t>：(2016)最高法民终695号、(2012)民提字第205号、(2016)最高法民再53号、(2017)川民终72号均为个案裁判，不构成对未来同类案件结果的保证；援引前应核验文号原文并咨询执业律师 [来源: P000751]。</w:t>
      </w:r>
    </w:p>
    <w:p>
      <w:r>
        <w:rPr>
          <w:rFonts w:ascii="Calibri" w:hAnsi="Calibri" w:eastAsia="微软雅黑"/>
          <w:b w:val="0"/>
          <w:i w:val="0"/>
          <w:sz w:val="22"/>
        </w:rPr>
        <w:t xml:space="preserve">- </w:t>
      </w:r>
      <w:r>
        <w:rPr>
          <w:rFonts w:ascii="Calibri" w:hAnsi="Calibri" w:eastAsia="微软雅黑"/>
          <w:b/>
          <w:i w:val="0"/>
          <w:sz w:val="22"/>
        </w:rPr>
        <w:t>研究报告口径边界</w:t>
      </w:r>
      <w:r>
        <w:rPr>
          <w:rFonts w:ascii="Calibri" w:hAnsi="Calibri" w:eastAsia="微软雅黑"/>
          <w:b w:val="0"/>
          <w:i w:val="0"/>
          <w:sz w:val="22"/>
        </w:rPr>
        <w:t>：湖南院、市政总院、山东院三家的营收、毛利与现金流数据为研究报告整理口径（湖南院部分数据为其年报披露经由研究报告转引），非上市企业无法定披露义务，读者引用关键数字时应以企业官方披露为准 [来源: P000701, P000713, P000708]。</w:t>
      </w:r>
    </w:p>
    <w:p>
      <w:r>
        <w:rPr>
          <w:rFonts w:ascii="Calibri" w:hAnsi="Calibri" w:eastAsia="微软雅黑"/>
          <w:b w:val="0"/>
          <w:i w:val="0"/>
          <w:sz w:val="22"/>
        </w:rPr>
        <w:t xml:space="preserve">- </w:t>
      </w:r>
      <w:r>
        <w:rPr>
          <w:rFonts w:ascii="Calibri" w:hAnsi="Calibri" w:eastAsia="微软雅黑"/>
          <w:b/>
          <w:i w:val="0"/>
          <w:sz w:val="22"/>
        </w:rPr>
        <w:t>行业可比性边界</w:t>
      </w:r>
      <w:r>
        <w:rPr>
          <w:rFonts w:ascii="Calibri" w:hAnsi="Calibri" w:eastAsia="微软雅黑"/>
          <w:b w:val="0"/>
          <w:i w:val="0"/>
          <w:sz w:val="22"/>
        </w:rPr>
        <w:t>：三大梯队之间的毛利率、净利率与现金流指标受业务结构（工业工程/设计咨询/基建施工）影响，跨梯队直接对比须先剔除业务结构差异（此提醒为本研究观点）。</w:t>
      </w:r>
    </w:p>
    <w:p>
      <w:r>
        <w:rPr>
          <w:rFonts w:ascii="Calibri" w:hAnsi="Calibri" w:eastAsia="微软雅黑"/>
          <w:b w:val="0"/>
          <w:i w:val="0"/>
          <w:sz w:val="22"/>
        </w:rPr>
        <w:t xml:space="preserve">- </w:t>
      </w:r>
      <w:r>
        <w:rPr>
          <w:rFonts w:ascii="Calibri" w:hAnsi="Calibri" w:eastAsia="微软雅黑"/>
          <w:b/>
          <w:i w:val="0"/>
          <w:sz w:val="22"/>
        </w:rPr>
        <w:t>适用范围</w:t>
      </w:r>
      <w:r>
        <w:rPr>
          <w:rFonts w:ascii="Calibri" w:hAnsi="Calibri" w:eastAsia="微软雅黑"/>
          <w:b w:val="0"/>
          <w:i w:val="0"/>
          <w:sz w:val="22"/>
        </w:rPr>
        <w:t>：本章提炼的算账经营模型、现金流管控机制及"EPC+"风控策略，主要适用于大型工程企业、地方国企施工集团以及由甲级设计院转型的工程总承包企业；鉴于房屋建筑、市政给排水、电力能源、石油化工、公路铁路等细分行业在合同示范文本、付款节点习惯及大宗材料比重上存在客观差异，企业落地本章实施步骤时应结合所在细分市场的商业环境与法律文本做针对性调整（适用边界据源文整理）。</w:t>
      </w:r>
    </w:p>
    <w:p>
      <w:r>
        <w:rPr>
          <w:rFonts w:ascii="Calibri" w:hAnsi="Calibri" w:eastAsia="微软雅黑"/>
          <w:b w:val="0"/>
          <w:i w:val="0"/>
          <w:sz w:val="22"/>
        </w:rPr>
        <w:t xml:space="preserve">- </w:t>
      </w:r>
      <w:r>
        <w:rPr>
          <w:rFonts w:ascii="Calibri" w:hAnsi="Calibri" w:eastAsia="微软雅黑"/>
          <w:b/>
          <w:i w:val="0"/>
          <w:sz w:val="22"/>
        </w:rPr>
        <w:t>时效边界</w:t>
      </w:r>
      <w:r>
        <w:rPr>
          <w:rFonts w:ascii="Calibri" w:hAnsi="Calibri" w:eastAsia="微软雅黑"/>
          <w:b w:val="0"/>
          <w:i w:val="0"/>
          <w:sz w:val="22"/>
        </w:rPr>
        <w:t>：本章上市公司样本数据截至各公司最新经审计年报（2025年度报告为主），行业正处于化债周期与新兴业务切换期，指标年际波动加大；跨年度引用时应回年报原文核对最新数（此提醒为本研究观点）。</w:t>
      </w:r>
    </w:p>
    <w:p>
      <w:r>
        <w:rPr>
          <w:rFonts w:ascii="Calibri" w:hAnsi="Calibri" w:eastAsia="微软雅黑"/>
          <w:b w:val="0"/>
          <w:i w:val="0"/>
          <w:sz w:val="22"/>
        </w:rPr>
        <w:t>---</w:t>
      </w:r>
    </w:p>
    <w:p>
      <w:pPr>
        <w:pStyle w:val="Heading2"/>
      </w:pPr>
      <w:r>
        <w:t>本章尾注（事实锚源对照）</w:t>
      </w:r>
    </w:p>
    <w:tbl>
      <w:tblPr>
        <w:tblStyle w:val="TableGrid"/>
        <w:tblW w:type="auto" w:w="0"/>
        <w:tblLook w:firstColumn="1" w:firstRow="1" w:lastColumn="0" w:lastRow="0" w:noHBand="0" w:noVBand="1" w:val="04A0"/>
      </w:tblPr>
      <w:tblGrid>
        <w:gridCol w:w="4150"/>
        <w:gridCol w:w="4150"/>
      </w:tblGrid>
      <w:tr>
        <w:tc>
          <w:tcPr>
            <w:tcW w:type="dxa" w:w="4150"/>
            <w:shd w:fill="1F3A5F"/>
          </w:tcPr>
          <w:p>
            <w:r>
              <w:rPr>
                <w:color w:val="FFFFFF"/>
              </w:rPr>
            </w:r>
            <w:r>
              <w:rPr>
                <w:rFonts w:ascii="Calibri" w:hAnsi="Calibri" w:eastAsia="微软雅黑"/>
                <w:b/>
                <w:i w:val="0"/>
                <w:color w:val="FFFFFF"/>
                <w:sz w:val="18"/>
              </w:rPr>
              <w:t>事实锚</w:t>
            </w:r>
          </w:p>
        </w:tc>
        <w:tc>
          <w:tcPr>
            <w:tcW w:type="dxa" w:w="4150"/>
            <w:shd w:fill="1F3A5F"/>
          </w:tcPr>
          <w:p>
            <w:r>
              <w:rPr>
                <w:color w:val="FFFFFF"/>
              </w:rPr>
            </w:r>
            <w:r>
              <w:rPr>
                <w:rFonts w:ascii="Calibri" w:hAnsi="Calibri" w:eastAsia="微软雅黑"/>
                <w:b/>
                <w:i w:val="0"/>
                <w:color w:val="FFFFFF"/>
                <w:sz w:val="18"/>
              </w:rPr>
              <w:t>源文（事实资料库实收件）</w:t>
            </w:r>
          </w:p>
        </w:tc>
      </w:tr>
      <w:tr>
        <w:tc>
          <w:tcPr>
            <w:tcW w:type="dxa" w:w="4150"/>
          </w:tcPr>
          <w:p>
            <w:r/>
            <w:r>
              <w:rPr>
                <w:rFonts w:ascii="Calibri" w:hAnsi="Calibri" w:eastAsia="微软雅黑"/>
                <w:b w:val="0"/>
                <w:i w:val="0"/>
                <w:sz w:val="18"/>
              </w:rPr>
              <w:t>P000701</w:t>
            </w:r>
          </w:p>
        </w:tc>
        <w:tc>
          <w:tcPr>
            <w:tcW w:type="dxa" w:w="4150"/>
          </w:tcPr>
          <w:p>
            <w:r/>
            <w:r>
              <w:rPr>
                <w:rFonts w:ascii="Calibri" w:hAnsi="Calibri" w:eastAsia="微软雅黑"/>
                <w:b w:val="0"/>
                <w:i w:val="0"/>
                <w:sz w:val="18"/>
              </w:rPr>
              <w:t>湖南省建筑设计院集团股份有限公司EPC总承包业务研究报告（事实资料库研究报告首片）</w:t>
            </w:r>
          </w:p>
        </w:tc>
      </w:tr>
      <w:tr>
        <w:tc>
          <w:tcPr>
            <w:tcW w:type="dxa" w:w="4150"/>
          </w:tcPr>
          <w:p>
            <w:r/>
            <w:r>
              <w:rPr>
                <w:rFonts w:ascii="Calibri" w:hAnsi="Calibri" w:eastAsia="微软雅黑"/>
                <w:b w:val="0"/>
                <w:i w:val="0"/>
                <w:sz w:val="18"/>
              </w:rPr>
              <w:t>P000706</w:t>
            </w:r>
          </w:p>
        </w:tc>
        <w:tc>
          <w:tcPr>
            <w:tcW w:type="dxa" w:w="4150"/>
          </w:tcPr>
          <w:p>
            <w:r/>
            <w:r>
              <w:rPr>
                <w:rFonts w:ascii="Calibri" w:hAnsi="Calibri" w:eastAsia="微软雅黑"/>
                <w:b w:val="0"/>
                <w:i w:val="0"/>
                <w:sz w:val="18"/>
              </w:rPr>
              <w:t>中钢国际（000928）2024年年度报告</w:t>
            </w:r>
          </w:p>
        </w:tc>
      </w:tr>
      <w:tr>
        <w:tc>
          <w:tcPr>
            <w:tcW w:type="dxa" w:w="4150"/>
          </w:tcPr>
          <w:p>
            <w:r/>
            <w:r>
              <w:rPr>
                <w:rFonts w:ascii="Calibri" w:hAnsi="Calibri" w:eastAsia="微软雅黑"/>
                <w:b w:val="0"/>
                <w:i w:val="0"/>
                <w:sz w:val="18"/>
              </w:rPr>
              <w:t>P000707</w:t>
            </w:r>
          </w:p>
        </w:tc>
        <w:tc>
          <w:tcPr>
            <w:tcW w:type="dxa" w:w="4150"/>
          </w:tcPr>
          <w:p>
            <w:r/>
            <w:r>
              <w:rPr>
                <w:rFonts w:ascii="Calibri" w:hAnsi="Calibri" w:eastAsia="微软雅黑"/>
                <w:b w:val="0"/>
                <w:i w:val="0"/>
                <w:sz w:val="18"/>
              </w:rPr>
              <w:t>中钢国际（000928）2025年年度报告</w:t>
            </w:r>
          </w:p>
        </w:tc>
      </w:tr>
      <w:tr>
        <w:tc>
          <w:tcPr>
            <w:tcW w:type="dxa" w:w="4150"/>
          </w:tcPr>
          <w:p>
            <w:r/>
            <w:r>
              <w:rPr>
                <w:rFonts w:ascii="Calibri" w:hAnsi="Calibri" w:eastAsia="微软雅黑"/>
                <w:b w:val="0"/>
                <w:i w:val="0"/>
                <w:sz w:val="18"/>
              </w:rPr>
              <w:t>P000708</w:t>
            </w:r>
          </w:p>
        </w:tc>
        <w:tc>
          <w:tcPr>
            <w:tcW w:type="dxa" w:w="4150"/>
          </w:tcPr>
          <w:p>
            <w:r/>
            <w:r>
              <w:rPr>
                <w:rFonts w:ascii="Calibri" w:hAnsi="Calibri" w:eastAsia="微软雅黑"/>
                <w:b w:val="0"/>
                <w:i w:val="0"/>
                <w:sz w:val="18"/>
              </w:rPr>
              <w:t>山东电力工程咨询院有限公司EPC总承包业务研究报告（事实资料库研究报告首片）</w:t>
            </w:r>
          </w:p>
        </w:tc>
      </w:tr>
      <w:tr>
        <w:tc>
          <w:tcPr>
            <w:tcW w:type="dxa" w:w="4150"/>
          </w:tcPr>
          <w:p>
            <w:r/>
            <w:r>
              <w:rPr>
                <w:rFonts w:ascii="Calibri" w:hAnsi="Calibri" w:eastAsia="微软雅黑"/>
                <w:b w:val="0"/>
                <w:i w:val="0"/>
                <w:sz w:val="18"/>
              </w:rPr>
              <w:t>P000713</w:t>
            </w:r>
          </w:p>
        </w:tc>
        <w:tc>
          <w:tcPr>
            <w:tcW w:type="dxa" w:w="4150"/>
          </w:tcPr>
          <w:p>
            <w:r/>
            <w:r>
              <w:rPr>
                <w:rFonts w:ascii="Calibri" w:hAnsi="Calibri" w:eastAsia="微软雅黑"/>
                <w:b w:val="0"/>
                <w:i w:val="0"/>
                <w:sz w:val="18"/>
              </w:rPr>
              <w:t>上海市政工程设计研究总院（集团）有限公司EPC总承包业务研究报告（事实资料库研究报告首片）</w:t>
            </w:r>
          </w:p>
        </w:tc>
      </w:tr>
      <w:tr>
        <w:tc>
          <w:tcPr>
            <w:tcW w:type="dxa" w:w="4150"/>
          </w:tcPr>
          <w:p>
            <w:r/>
            <w:r>
              <w:rPr>
                <w:rFonts w:ascii="Calibri" w:hAnsi="Calibri" w:eastAsia="微软雅黑"/>
                <w:b w:val="0"/>
                <w:i w:val="0"/>
                <w:sz w:val="18"/>
              </w:rPr>
              <w:t>P000718</w:t>
            </w:r>
          </w:p>
        </w:tc>
        <w:tc>
          <w:tcPr>
            <w:tcW w:type="dxa" w:w="4150"/>
          </w:tcPr>
          <w:p>
            <w:r/>
            <w:r>
              <w:rPr>
                <w:rFonts w:ascii="Calibri" w:hAnsi="Calibri" w:eastAsia="微软雅黑"/>
                <w:b w:val="0"/>
                <w:i w:val="0"/>
                <w:sz w:val="18"/>
              </w:rPr>
              <w:t>中国化学（601117）2025年年度报告</w:t>
            </w:r>
          </w:p>
        </w:tc>
      </w:tr>
      <w:tr>
        <w:tc>
          <w:tcPr>
            <w:tcW w:type="dxa" w:w="4150"/>
          </w:tcPr>
          <w:p>
            <w:r/>
            <w:r>
              <w:rPr>
                <w:rFonts w:ascii="Calibri" w:hAnsi="Calibri" w:eastAsia="微软雅黑"/>
                <w:b w:val="0"/>
                <w:i w:val="0"/>
                <w:sz w:val="18"/>
              </w:rPr>
              <w:t>P000720</w:t>
            </w:r>
          </w:p>
        </w:tc>
        <w:tc>
          <w:tcPr>
            <w:tcW w:type="dxa" w:w="4150"/>
          </w:tcPr>
          <w:p>
            <w:r/>
            <w:r>
              <w:rPr>
                <w:rFonts w:ascii="Calibri" w:hAnsi="Calibri" w:eastAsia="微软雅黑"/>
                <w:b w:val="0"/>
                <w:i w:val="0"/>
                <w:sz w:val="18"/>
              </w:rPr>
              <w:t>山东路桥（000498）2025年年度报告</w:t>
            </w:r>
          </w:p>
        </w:tc>
      </w:tr>
      <w:tr>
        <w:tc>
          <w:tcPr>
            <w:tcW w:type="dxa" w:w="4150"/>
          </w:tcPr>
          <w:p>
            <w:r/>
            <w:r>
              <w:rPr>
                <w:rFonts w:ascii="Calibri" w:hAnsi="Calibri" w:eastAsia="微软雅黑"/>
                <w:b w:val="0"/>
                <w:i w:val="0"/>
                <w:sz w:val="18"/>
              </w:rPr>
              <w:t>P000723</w:t>
            </w:r>
          </w:p>
        </w:tc>
        <w:tc>
          <w:tcPr>
            <w:tcW w:type="dxa" w:w="4150"/>
          </w:tcPr>
          <w:p>
            <w:r/>
            <w:r>
              <w:rPr>
                <w:rFonts w:ascii="Calibri" w:hAnsi="Calibri" w:eastAsia="微软雅黑"/>
                <w:b w:val="0"/>
                <w:i w:val="0"/>
                <w:sz w:val="18"/>
              </w:rPr>
              <w:t>山东路桥（000498）2024年年度报告</w:t>
            </w:r>
          </w:p>
        </w:tc>
      </w:tr>
      <w:tr>
        <w:tc>
          <w:tcPr>
            <w:tcW w:type="dxa" w:w="4150"/>
          </w:tcPr>
          <w:p>
            <w:r/>
            <w:r>
              <w:rPr>
                <w:rFonts w:ascii="Calibri" w:hAnsi="Calibri" w:eastAsia="微软雅黑"/>
                <w:b w:val="0"/>
                <w:i w:val="0"/>
                <w:sz w:val="18"/>
              </w:rPr>
              <w:t>P000726</w:t>
            </w:r>
          </w:p>
        </w:tc>
        <w:tc>
          <w:tcPr>
            <w:tcW w:type="dxa" w:w="4150"/>
          </w:tcPr>
          <w:p>
            <w:r/>
            <w:r>
              <w:rPr>
                <w:rFonts w:ascii="Calibri" w:hAnsi="Calibri" w:eastAsia="微软雅黑"/>
                <w:b w:val="0"/>
                <w:i w:val="0"/>
                <w:sz w:val="18"/>
              </w:rPr>
              <w:t>中国交建（601800）2023年年度报告</w:t>
            </w:r>
          </w:p>
        </w:tc>
      </w:tr>
      <w:tr>
        <w:tc>
          <w:tcPr>
            <w:tcW w:type="dxa" w:w="4150"/>
          </w:tcPr>
          <w:p>
            <w:r/>
            <w:r>
              <w:rPr>
                <w:rFonts w:ascii="Calibri" w:hAnsi="Calibri" w:eastAsia="微软雅黑"/>
                <w:b w:val="0"/>
                <w:i w:val="0"/>
                <w:sz w:val="18"/>
              </w:rPr>
              <w:t>P000727</w:t>
            </w:r>
          </w:p>
        </w:tc>
        <w:tc>
          <w:tcPr>
            <w:tcW w:type="dxa" w:w="4150"/>
          </w:tcPr>
          <w:p>
            <w:r/>
            <w:r>
              <w:rPr>
                <w:rFonts w:ascii="Calibri" w:hAnsi="Calibri" w:eastAsia="微软雅黑"/>
                <w:b w:val="0"/>
                <w:i w:val="0"/>
                <w:sz w:val="18"/>
              </w:rPr>
              <w:t>中国交建（601800）2022年年度报告</w:t>
            </w:r>
          </w:p>
        </w:tc>
      </w:tr>
      <w:tr>
        <w:tc>
          <w:tcPr>
            <w:tcW w:type="dxa" w:w="4150"/>
          </w:tcPr>
          <w:p>
            <w:r/>
            <w:r>
              <w:rPr>
                <w:rFonts w:ascii="Calibri" w:hAnsi="Calibri" w:eastAsia="微软雅黑"/>
                <w:b w:val="0"/>
                <w:i w:val="0"/>
                <w:sz w:val="18"/>
              </w:rPr>
              <w:t>P000728</w:t>
            </w:r>
          </w:p>
        </w:tc>
        <w:tc>
          <w:tcPr>
            <w:tcW w:type="dxa" w:w="4150"/>
          </w:tcPr>
          <w:p>
            <w:r/>
            <w:r>
              <w:rPr>
                <w:rFonts w:ascii="Calibri" w:hAnsi="Calibri" w:eastAsia="微软雅黑"/>
                <w:b w:val="0"/>
                <w:i w:val="0"/>
                <w:sz w:val="18"/>
              </w:rPr>
              <w:t>中材国际（600970）2023年年度报告</w:t>
            </w:r>
          </w:p>
        </w:tc>
      </w:tr>
      <w:tr>
        <w:tc>
          <w:tcPr>
            <w:tcW w:type="dxa" w:w="4150"/>
          </w:tcPr>
          <w:p>
            <w:r/>
            <w:r>
              <w:rPr>
                <w:rFonts w:ascii="Calibri" w:hAnsi="Calibri" w:eastAsia="微软雅黑"/>
                <w:b w:val="0"/>
                <w:i w:val="0"/>
                <w:sz w:val="18"/>
              </w:rPr>
              <w:t>P000729</w:t>
            </w:r>
          </w:p>
        </w:tc>
        <w:tc>
          <w:tcPr>
            <w:tcW w:type="dxa" w:w="4150"/>
          </w:tcPr>
          <w:p>
            <w:r/>
            <w:r>
              <w:rPr>
                <w:rFonts w:ascii="Calibri" w:hAnsi="Calibri" w:eastAsia="微软雅黑"/>
                <w:b w:val="0"/>
                <w:i w:val="0"/>
                <w:sz w:val="18"/>
              </w:rPr>
              <w:t>四川路桥（600039）2024年年度报告</w:t>
            </w:r>
          </w:p>
        </w:tc>
      </w:tr>
      <w:tr>
        <w:tc>
          <w:tcPr>
            <w:tcW w:type="dxa" w:w="4150"/>
          </w:tcPr>
          <w:p>
            <w:r/>
            <w:r>
              <w:rPr>
                <w:rFonts w:ascii="Calibri" w:hAnsi="Calibri" w:eastAsia="微软雅黑"/>
                <w:b w:val="0"/>
                <w:i w:val="0"/>
                <w:sz w:val="18"/>
              </w:rPr>
              <w:t>P000730</w:t>
            </w:r>
          </w:p>
        </w:tc>
        <w:tc>
          <w:tcPr>
            <w:tcW w:type="dxa" w:w="4150"/>
          </w:tcPr>
          <w:p>
            <w:r/>
            <w:r>
              <w:rPr>
                <w:rFonts w:ascii="Calibri" w:hAnsi="Calibri" w:eastAsia="微软雅黑"/>
                <w:b w:val="0"/>
                <w:i w:val="0"/>
                <w:sz w:val="18"/>
              </w:rPr>
              <w:t>中国交建（601800）2024年年度报告</w:t>
            </w:r>
          </w:p>
        </w:tc>
      </w:tr>
      <w:tr>
        <w:tc>
          <w:tcPr>
            <w:tcW w:type="dxa" w:w="4150"/>
          </w:tcPr>
          <w:p>
            <w:r/>
            <w:r>
              <w:rPr>
                <w:rFonts w:ascii="Calibri" w:hAnsi="Calibri" w:eastAsia="微软雅黑"/>
                <w:b w:val="0"/>
                <w:i w:val="0"/>
                <w:sz w:val="18"/>
              </w:rPr>
              <w:t>P000731</w:t>
            </w:r>
          </w:p>
        </w:tc>
        <w:tc>
          <w:tcPr>
            <w:tcW w:type="dxa" w:w="4150"/>
          </w:tcPr>
          <w:p>
            <w:r/>
            <w:r>
              <w:rPr>
                <w:rFonts w:ascii="Calibri" w:hAnsi="Calibri" w:eastAsia="微软雅黑"/>
                <w:b w:val="0"/>
                <w:i w:val="0"/>
                <w:sz w:val="18"/>
              </w:rPr>
              <w:t>中材国际（600970）2024年年度报告</w:t>
            </w:r>
          </w:p>
        </w:tc>
      </w:tr>
      <w:tr>
        <w:tc>
          <w:tcPr>
            <w:tcW w:type="dxa" w:w="4150"/>
          </w:tcPr>
          <w:p>
            <w:r/>
            <w:r>
              <w:rPr>
                <w:rFonts w:ascii="Calibri" w:hAnsi="Calibri" w:eastAsia="微软雅黑"/>
                <w:b w:val="0"/>
                <w:i w:val="0"/>
                <w:sz w:val="18"/>
              </w:rPr>
              <w:t>P000732</w:t>
            </w:r>
          </w:p>
        </w:tc>
        <w:tc>
          <w:tcPr>
            <w:tcW w:type="dxa" w:w="4150"/>
          </w:tcPr>
          <w:p>
            <w:r/>
            <w:r>
              <w:rPr>
                <w:rFonts w:ascii="Calibri" w:hAnsi="Calibri" w:eastAsia="微软雅黑"/>
                <w:b w:val="0"/>
                <w:i w:val="0"/>
                <w:sz w:val="18"/>
              </w:rPr>
              <w:t>中国交建（601800）2025年年度报告</w:t>
            </w:r>
          </w:p>
        </w:tc>
      </w:tr>
      <w:tr>
        <w:tc>
          <w:tcPr>
            <w:tcW w:type="dxa" w:w="4150"/>
          </w:tcPr>
          <w:p>
            <w:r/>
            <w:r>
              <w:rPr>
                <w:rFonts w:ascii="Calibri" w:hAnsi="Calibri" w:eastAsia="微软雅黑"/>
                <w:b w:val="0"/>
                <w:i w:val="0"/>
                <w:sz w:val="18"/>
              </w:rPr>
              <w:t>P000733</w:t>
            </w:r>
          </w:p>
        </w:tc>
        <w:tc>
          <w:tcPr>
            <w:tcW w:type="dxa" w:w="4150"/>
          </w:tcPr>
          <w:p>
            <w:r/>
            <w:r>
              <w:rPr>
                <w:rFonts w:ascii="Calibri" w:hAnsi="Calibri" w:eastAsia="微软雅黑"/>
                <w:b w:val="0"/>
                <w:i w:val="0"/>
                <w:sz w:val="18"/>
              </w:rPr>
              <w:t>中国铁建（601186）2025年年度报告</w:t>
            </w:r>
          </w:p>
        </w:tc>
      </w:tr>
      <w:tr>
        <w:tc>
          <w:tcPr>
            <w:tcW w:type="dxa" w:w="4150"/>
          </w:tcPr>
          <w:p>
            <w:r/>
            <w:r>
              <w:rPr>
                <w:rFonts w:ascii="Calibri" w:hAnsi="Calibri" w:eastAsia="微软雅黑"/>
                <w:b w:val="0"/>
                <w:i w:val="0"/>
                <w:sz w:val="18"/>
              </w:rPr>
              <w:t>P000734</w:t>
            </w:r>
          </w:p>
        </w:tc>
        <w:tc>
          <w:tcPr>
            <w:tcW w:type="dxa" w:w="4150"/>
          </w:tcPr>
          <w:p>
            <w:r/>
            <w:r>
              <w:rPr>
                <w:rFonts w:ascii="Calibri" w:hAnsi="Calibri" w:eastAsia="微软雅黑"/>
                <w:b w:val="0"/>
                <w:i w:val="0"/>
                <w:sz w:val="18"/>
              </w:rPr>
              <w:t>中国铁建（601186）2023年年度报告</w:t>
            </w:r>
          </w:p>
        </w:tc>
      </w:tr>
      <w:tr>
        <w:tc>
          <w:tcPr>
            <w:tcW w:type="dxa" w:w="4150"/>
          </w:tcPr>
          <w:p>
            <w:r/>
            <w:r>
              <w:rPr>
                <w:rFonts w:ascii="Calibri" w:hAnsi="Calibri" w:eastAsia="微软雅黑"/>
                <w:b w:val="0"/>
                <w:i w:val="0"/>
                <w:sz w:val="18"/>
              </w:rPr>
              <w:t>P000735</w:t>
            </w:r>
          </w:p>
        </w:tc>
        <w:tc>
          <w:tcPr>
            <w:tcW w:type="dxa" w:w="4150"/>
          </w:tcPr>
          <w:p>
            <w:r/>
            <w:r>
              <w:rPr>
                <w:rFonts w:ascii="Calibri" w:hAnsi="Calibri" w:eastAsia="微软雅黑"/>
                <w:b w:val="0"/>
                <w:i w:val="0"/>
                <w:sz w:val="18"/>
              </w:rPr>
              <w:t>四川路桥（600039）2025年年度报告</w:t>
            </w:r>
          </w:p>
        </w:tc>
      </w:tr>
      <w:tr>
        <w:tc>
          <w:tcPr>
            <w:tcW w:type="dxa" w:w="4150"/>
          </w:tcPr>
          <w:p>
            <w:r/>
            <w:r>
              <w:rPr>
                <w:rFonts w:ascii="Calibri" w:hAnsi="Calibri" w:eastAsia="微软雅黑"/>
                <w:b w:val="0"/>
                <w:i w:val="0"/>
                <w:sz w:val="18"/>
              </w:rPr>
              <w:t>P000751</w:t>
            </w:r>
          </w:p>
        </w:tc>
        <w:tc>
          <w:tcPr>
            <w:tcW w:type="dxa" w:w="4150"/>
          </w:tcPr>
          <w:p>
            <w:r/>
            <w:r>
              <w:rPr>
                <w:rFonts w:ascii="Calibri" w:hAnsi="Calibri" w:eastAsia="微软雅黑"/>
                <w:b w:val="0"/>
                <w:i w:val="0"/>
                <w:sz w:val="18"/>
              </w:rPr>
              <w:t>EPC合同履约与司法判例专项研究成果（含总承包合同纠纷裁判规则与独立保函案例）</w:t>
            </w:r>
          </w:p>
        </w:tc>
      </w:tr>
    </w:tbl>
    <w:p>
      <w:r>
        <w:rPr>
          <w:rFonts w:ascii="Calibri" w:hAnsi="Calibri" w:eastAsia="微软雅黑"/>
          <w:b w:val="0"/>
          <w:i w:val="0"/>
          <w:sz w:val="22"/>
        </w:rPr>
        <w:t>---</w:t>
      </w:r>
    </w:p>
    <w:p>
      <w:pPr>
        <w:pStyle w:val="Heading1"/>
      </w:pPr>
      <w:r>
        <w:t>第9章 人才与组织：复合型项目经理、强矩阵组织与激励约束的落地体系</w:t>
      </w:r>
    </w:p>
    <w:p>
      <w:r>
        <w:rPr>
          <w:rFonts w:ascii="Calibri" w:hAnsi="Calibri" w:eastAsia="微软雅黑"/>
          <w:b w:val="0"/>
          <w:i w:val="0"/>
          <w:sz w:val="22"/>
        </w:rPr>
        <w:t>出品：总包创研院研究团队</w:t>
      </w:r>
    </w:p>
    <w:p>
      <w:pPr>
        <w:ind w:left="454"/>
      </w:pPr>
      <w:r>
        <w:rPr>
          <w:rFonts w:ascii="Calibri" w:hAnsi="Calibri" w:eastAsia="微软雅黑"/>
          <w:b/>
          <w:i w:val="0"/>
          <w:color w:val="666666"/>
          <w:sz w:val="22"/>
        </w:rPr>
        <w:t>本章事实纪律声明</w:t>
      </w:r>
      <w:r>
        <w:rPr>
          <w:rFonts w:ascii="Calibri" w:hAnsi="Calibri" w:eastAsia="微软雅黑"/>
          <w:b w:val="0"/>
          <w:i w:val="0"/>
          <w:color w:val="666666"/>
          <w:sz w:val="22"/>
        </w:rPr>
        <w:t>：本章全部企业数据、组织与人才事实、司法判例，均逐字取自本书研究团队采集整理的事实资料库（含专业机构研究报告、企业公开简介与既有组织人才专项研究成果），正文随文标注[来源: P锚]（对照本章尾注），读者可按锚号回溯核验；无源不写，解读性判断均在文中明示。文中标注"示意性复盘"的机制与参数为依据源文规则构造的示例设计，不指向任何企业的实际执行数据；标注"本研究归纳"的框架为研究团队基于实证资料整理。</w:t>
      </w:r>
    </w:p>
    <w:p>
      <w:r>
        <w:rPr>
          <w:rFonts w:ascii="Calibri" w:hAnsi="Calibri" w:eastAsia="微软雅黑"/>
          <w:b/>
          <w:i w:val="0"/>
          <w:sz w:val="22"/>
        </w:rPr>
        <w:t>本章引言：帮读者解决什么问题</w:t>
      </w:r>
    </w:p>
    <w:p>
      <w:r>
        <w:rPr>
          <w:rFonts w:ascii="Calibri" w:hAnsi="Calibri" w:eastAsia="微软雅黑"/>
          <w:b w:val="0"/>
          <w:i w:val="0"/>
          <w:sz w:val="22"/>
        </w:rPr>
        <w:t>当传统设计院与施工企业向工程总承包（EPC）模式跨越时，普遍遭遇"旧体制承载新业务"的底层阵痛：设计与施工两端长期割裂，导致工艺包吸收率低下、限额设计形同虚设、长周期设备采购脱节，关键节点付款条件难以成就，境外项目还可能遭遇独立保函欺诈性索赔与分包纠纷（痛点归纳为本研究据源文整理）[来源: P000851, P000801]。本章为工程企业高管、设计院院长及EPC管理团队解决一个核心命题：</w:t>
      </w:r>
      <w:r>
        <w:rPr>
          <w:rFonts w:ascii="Calibri" w:hAnsi="Calibri" w:eastAsia="微软雅黑"/>
          <w:b/>
          <w:i w:val="0"/>
          <w:sz w:val="22"/>
        </w:rPr>
        <w:t>如何通过组织架构的柔性化重构与复合型人才梯队的精细化盘点，消除跨专业协同壁垒，把抽象的战略管理目标转化为刚性可执行的经营结果。</w:t>
      </w:r>
    </w:p>
    <w:p>
      <w:r>
        <w:rPr>
          <w:rFonts w:ascii="Calibri" w:hAnsi="Calibri" w:eastAsia="微软雅黑"/>
          <w:b w:val="0"/>
          <w:i w:val="0"/>
          <w:sz w:val="22"/>
        </w:rPr>
        <w:t>为定量评估与动态调控EPC企业及项目矩阵的组织柔性与用工效能，本章引入"组织柔性效能指数"（OEI）作为贯穿组织与人才决策的量化模型——该模型由本书研究团队既有组织人才专项研究成果构建：</w:t>
      </w:r>
      <w:r>
        <w:rPr>
          <w:rFonts w:ascii="Calibri" w:hAnsi="Calibri" w:eastAsia="微软雅黑"/>
          <w:b/>
          <w:i w:val="0"/>
          <w:sz w:val="22"/>
        </w:rPr>
        <w:t>组织柔性效能指数＝（目标达成率×节点付款成就率）÷（组织冗余率＋用工合规风险系数）×本土化适配因子</w:t>
      </w:r>
      <w:r>
        <w:rPr>
          <w:rFonts w:ascii="Calibri" w:hAnsi="Calibri" w:eastAsia="微软雅黑"/>
          <w:b w:val="0"/>
          <w:i w:val="0"/>
          <w:sz w:val="22"/>
        </w:rPr>
        <w:t xml:space="preserve"> [来源: P000851]。分子端是组织产出的效能（目标与付款节点双达成），分母端是组织的内耗与合规拖累，本土化适配因子则校准跨境业务的特殊权重——该指数应被视为"合同履约压力测试工具"而非绝对考核标准（模型定位据专项研究成果自述）[来源: P000851]。五个因子的内涵逐项界定如下（据专项研究成果）[来源: P000851]：</w:t>
      </w:r>
      <w:r>
        <w:rPr>
          <w:rFonts w:ascii="Calibri" w:hAnsi="Calibri" w:eastAsia="微软雅黑"/>
          <w:b/>
          <w:i w:val="0"/>
          <w:sz w:val="22"/>
        </w:rPr>
        <w:t>目标达成率</w:t>
      </w:r>
      <w:r>
        <w:rPr>
          <w:rFonts w:ascii="Calibri" w:hAnsi="Calibri" w:eastAsia="微软雅黑"/>
          <w:b w:val="0"/>
          <w:i w:val="0"/>
          <w:sz w:val="22"/>
        </w:rPr>
        <w:t>（分子端）反映设计概算控制（概算定额法与指标法控制建筑工程费、设备及工器具购置费、安装工程费）、关键工期（工艺管道及仪表流程图交付、长周期设备到场）与危险及可操作性分析审查通过率的综合达成度；</w:t>
      </w:r>
      <w:r>
        <w:rPr>
          <w:rFonts w:ascii="Calibri" w:hAnsi="Calibri" w:eastAsia="微软雅黑"/>
          <w:b/>
          <w:i w:val="0"/>
          <w:sz w:val="22"/>
        </w:rPr>
        <w:t>节点付款成就率</w:t>
      </w:r>
      <w:r>
        <w:rPr>
          <w:rFonts w:ascii="Calibri" w:hAnsi="Calibri" w:eastAsia="微软雅黑"/>
          <w:b w:val="0"/>
          <w:i w:val="0"/>
          <w:sz w:val="22"/>
        </w:rPr>
        <w:t>（分子端）反映过程技术文件（工厂试验标准、检验记录、质量控制计划等）归集率与发包人审核签署进度款支付证明的成功率；</w:t>
      </w:r>
      <w:r>
        <w:rPr>
          <w:rFonts w:ascii="Calibri" w:hAnsi="Calibri" w:eastAsia="微软雅黑"/>
          <w:b/>
          <w:i w:val="0"/>
          <w:sz w:val="22"/>
        </w:rPr>
        <w:t>组织冗余率</w:t>
      </w:r>
      <w:r>
        <w:rPr>
          <w:rFonts w:ascii="Calibri" w:hAnsi="Calibri" w:eastAsia="微软雅黑"/>
          <w:b w:val="0"/>
          <w:i w:val="0"/>
          <w:sz w:val="22"/>
        </w:rPr>
        <w:t>（分母端）反映因部门行政壁垒、重复审批流程、设计与施工接口管理失效造成的工日无效消耗与冗余管理成本；</w:t>
      </w:r>
      <w:r>
        <w:rPr>
          <w:rFonts w:ascii="Calibri" w:hAnsi="Calibri" w:eastAsia="微软雅黑"/>
          <w:b/>
          <w:i w:val="0"/>
          <w:sz w:val="22"/>
        </w:rPr>
        <w:t>用工合规风险系数</w:t>
      </w:r>
      <w:r>
        <w:rPr>
          <w:rFonts w:ascii="Calibri" w:hAnsi="Calibri" w:eastAsia="微软雅黑"/>
          <w:b w:val="0"/>
          <w:i w:val="0"/>
          <w:sz w:val="22"/>
        </w:rPr>
        <w:t>（分母端）反映资质许可用工履约、劳动分包合规性、境外分包介入权履约及独立保函索赔漏洞等法律与制度风控敞口；</w:t>
      </w:r>
      <w:r>
        <w:rPr>
          <w:rFonts w:ascii="Calibri" w:hAnsi="Calibri" w:eastAsia="微软雅黑"/>
          <w:b/>
          <w:i w:val="0"/>
          <w:sz w:val="22"/>
        </w:rPr>
        <w:t>本土化适配因子</w:t>
      </w:r>
      <w:r>
        <w:rPr>
          <w:rFonts w:ascii="Calibri" w:hAnsi="Calibri" w:eastAsia="微软雅黑"/>
          <w:b w:val="0"/>
          <w:i w:val="0"/>
          <w:sz w:val="22"/>
        </w:rPr>
        <w:t>（修正项）反映境外项目在"中方核心管理层＋本土劳务分包"架构下，对当地用工法规、工会谈判、文化差异及跨国供应链的掌控与融合效率。指数的适用条件为年营收数十亿至数百亿元、拥有工程设计专业甲级或施工总承包一级及以上资质的大型工业与能源EPC企业；若发包方强行指定分包并剥离总包全过程管理权，或企业缺乏基本的数字化项目管理系统（无法实时追踪工日消耗、工序交接节点与技术文档流转），柔性矩阵调度与九宫格盘点的定量评估价值将显著受限 [来源: P000851]。本章依次展开"胜任力模型—组织选型—激励约束—造血机制—境外本土化"五个模块，收束于反模式诊断与模型局限的坦诚剖析；五个模块的内在逻辑是一条人才主线——先用胜任力标准选出对的人（第一节），再把它放进对的组织（第二节），用对冲的激励约束留住干劲（第三节），用造血机制保证人才能持续被生产出来（第四节），最后在境外场景完成压力测试（第五节）。</w:t>
      </w:r>
    </w:p>
    <w:p>
      <w:r>
        <w:rPr>
          <w:rFonts w:ascii="Calibri" w:hAnsi="Calibri" w:eastAsia="微软雅黑"/>
          <w:b w:val="0"/>
          <w:i w:val="0"/>
          <w:sz w:val="22"/>
        </w:rPr>
        <w:t>---</w:t>
      </w:r>
    </w:p>
    <w:p>
      <w:pPr>
        <w:pStyle w:val="Heading2"/>
      </w:pPr>
      <w:r>
        <w:t>9.1 胜任力模型：复合型人才能力的定量拆解</w:t>
      </w:r>
    </w:p>
    <w:p>
      <w:r>
        <w:rPr>
          <w:rFonts w:ascii="Calibri" w:hAnsi="Calibri" w:eastAsia="微软雅黑"/>
          <w:b w:val="0"/>
          <w:i w:val="0"/>
          <w:sz w:val="22"/>
        </w:rPr>
        <w:t>在工程总承包业务体系中，"复合型人才"往往沦为泛化口号——若无法将胜任力拆解为可量化、可打分、可复现的硬指标，企业在选拔项目经理及关键岗位时将面临巨大履约隐患（判断为本研究归纳）[来源: P000851]。这一隐患的代价是可以用真金白银计量的：(2016)最高法民终695号案中，总包方因未按合同归集过程技术文件，被法院认定发包方行使先履行抗辩权拒付5300余万元进度款完全合法——一个"不会管凭证"的项目组织，其人才缺口最终以数千万元级的现金流损失兑现（案例详见本章第二节；代价归因为本研究解读）[来源: P000851]。</w:t>
      </w:r>
    </w:p>
    <w:p>
      <w:pPr>
        <w:pStyle w:val="Heading3"/>
      </w:pPr>
      <w:r>
        <w:t>9.1.1 四位一体能力框架</w:t>
      </w:r>
    </w:p>
    <w:p>
      <w:r>
        <w:rPr>
          <w:rFonts w:ascii="Calibri" w:hAnsi="Calibri" w:eastAsia="微软雅黑"/>
          <w:b w:val="0"/>
          <w:i w:val="0"/>
          <w:sz w:val="22"/>
        </w:rPr>
        <w:t>传统施工或设计视角下的人才评估侧重单一专业技术能力，而EPC业务要求的复合型人才能力，必须建立在"技术-商务-财务-法务"四位一体的交叉融合之上（框架为本研究归纳，各维度均有源文支撑）：</w:t>
      </w:r>
    </w:p>
    <w:p>
      <w:pPr>
        <w:pStyle w:val="ListNumber"/>
      </w:pPr>
      <w:r>
        <w:rPr>
          <w:rFonts w:ascii="Calibri" w:hAnsi="Calibri" w:eastAsia="微软雅黑"/>
          <w:b/>
          <w:i w:val="0"/>
          <w:sz w:val="22"/>
        </w:rPr>
        <w:t>限额设计与价值工程控制力</w:t>
      </w:r>
      <w:r>
        <w:rPr>
          <w:rFonts w:ascii="Calibri" w:hAnsi="Calibri" w:eastAsia="微软雅黑"/>
          <w:b w:val="0"/>
          <w:i w:val="0"/>
          <w:sz w:val="22"/>
        </w:rPr>
        <w:t>：设计经理与项目经理能否在保证工艺功能的前提下，把设计概算偏差压缩到极小范围——其方法基础是初步设计概算的编制与修正体系（概算定额法、概算指标法、类似工程预算法及结构修正与价差调整公式，详见本书第7章），胜任力的检验标准是"会不会用、用得准不准"，而非口头理解（检验口径为本研究归纳）。</w:t>
      </w:r>
    </w:p>
    <w:p>
      <w:pPr>
        <w:pStyle w:val="ListNumber"/>
      </w:pPr>
      <w:r>
        <w:rPr>
          <w:rFonts w:ascii="Calibri" w:hAnsi="Calibri" w:eastAsia="微软雅黑"/>
          <w:b/>
          <w:i w:val="0"/>
          <w:sz w:val="22"/>
        </w:rPr>
        <w:t>供应链与长周期设备集成力</w:t>
      </w:r>
      <w:r>
        <w:rPr>
          <w:rFonts w:ascii="Calibri" w:hAnsi="Calibri" w:eastAsia="微软雅黑"/>
          <w:b w:val="0"/>
          <w:i w:val="0"/>
          <w:sz w:val="22"/>
        </w:rPr>
        <w:t>：采购经理与项目经理对长周期设备技术规格书的锁定时点、制造厂质量控制计划（QCP）节点审查，以及与现场安装接口无缝衔接的能力（能力维度据源文整理）[来源: P000851]。</w:t>
      </w:r>
    </w:p>
    <w:p>
      <w:pPr>
        <w:pStyle w:val="ListNumber"/>
      </w:pPr>
      <w:r>
        <w:rPr>
          <w:rFonts w:ascii="Calibri" w:hAnsi="Calibri" w:eastAsia="微软雅黑"/>
          <w:b/>
          <w:i w:val="0"/>
          <w:sz w:val="22"/>
        </w:rPr>
        <w:t>施工与调试一体化管控力</w:t>
      </w:r>
      <w:r>
        <w:rPr>
          <w:rFonts w:ascii="Calibri" w:hAnsi="Calibri" w:eastAsia="微软雅黑"/>
          <w:b w:val="0"/>
          <w:i w:val="0"/>
          <w:sz w:val="22"/>
        </w:rPr>
        <w:t>：施工经理与项目经理消除"设计-采购-施工-调试"跨界面摩擦的能力，重点考核里程碑节点付款条件的成就率（维度据专项研究成果）[来源: P000851]。</w:t>
      </w:r>
    </w:p>
    <w:p>
      <w:pPr>
        <w:pStyle w:val="ListNumber"/>
      </w:pPr>
      <w:r>
        <w:rPr>
          <w:rFonts w:ascii="Calibri" w:hAnsi="Calibri" w:eastAsia="微软雅黑"/>
          <w:b/>
          <w:i w:val="0"/>
          <w:sz w:val="22"/>
        </w:rPr>
        <w:t>商务合同与国际法务抗辩力</w:t>
      </w:r>
      <w:r>
        <w:rPr>
          <w:rFonts w:ascii="Calibri" w:hAnsi="Calibri" w:eastAsia="微软雅黑"/>
          <w:b w:val="0"/>
          <w:i w:val="0"/>
          <w:sz w:val="22"/>
        </w:rPr>
        <w:t>：在海外或复杂交易结构项目中，对FIDIC合同条款、独立保函索赔防范及分包介入权（Step-in Right）的熟练运用与抗辩实战能力（维度据专项研究成果与司法判例）[来源: P000851, P000852]。</w:t>
      </w:r>
    </w:p>
    <w:p>
      <w:pPr>
        <w:pStyle w:val="Heading3"/>
      </w:pPr>
      <w:r>
        <w:t>9.1.2 四大关键岗位胜任力指标体系</w:t>
      </w:r>
    </w:p>
    <w:p>
      <w:pPr>
        <w:pStyle w:val="Heading4"/>
      </w:pPr>
      <w:r>
        <w:t>表9-1 EPC项目四大核心岗位胜任力指标体系（本研究归纳整理）[来源: P000851]</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岗位</w:t>
            </w:r>
          </w:p>
        </w:tc>
        <w:tc>
          <w:tcPr>
            <w:tcW w:type="dxa" w:w="2075"/>
            <w:shd w:fill="1F3A5F"/>
          </w:tcPr>
          <w:p>
            <w:r>
              <w:rPr>
                <w:color w:val="FFFFFF"/>
              </w:rPr>
            </w:r>
            <w:r>
              <w:rPr>
                <w:rFonts w:ascii="Calibri" w:hAnsi="Calibri" w:eastAsia="微软雅黑"/>
                <w:b/>
                <w:i w:val="0"/>
                <w:color w:val="FFFFFF"/>
                <w:sz w:val="18"/>
              </w:rPr>
              <w:t>核心职责</w:t>
            </w:r>
          </w:p>
        </w:tc>
        <w:tc>
          <w:tcPr>
            <w:tcW w:type="dxa" w:w="2075"/>
            <w:shd w:fill="1F3A5F"/>
          </w:tcPr>
          <w:p>
            <w:r>
              <w:rPr>
                <w:color w:val="FFFFFF"/>
              </w:rPr>
            </w:r>
            <w:r>
              <w:rPr>
                <w:rFonts w:ascii="Calibri" w:hAnsi="Calibri" w:eastAsia="微软雅黑"/>
                <w:b/>
                <w:i w:val="0"/>
                <w:color w:val="FFFFFF"/>
                <w:sz w:val="18"/>
              </w:rPr>
              <w:t>核心胜任能力要求</w:t>
            </w:r>
          </w:p>
        </w:tc>
        <w:tc>
          <w:tcPr>
            <w:tcW w:type="dxa" w:w="2075"/>
            <w:shd w:fill="1F3A5F"/>
          </w:tcPr>
          <w:p>
            <w:r>
              <w:rPr>
                <w:color w:val="FFFFFF"/>
              </w:rPr>
            </w:r>
            <w:r>
              <w:rPr>
                <w:rFonts w:ascii="Calibri" w:hAnsi="Calibri" w:eastAsia="微软雅黑"/>
                <w:b/>
                <w:i w:val="0"/>
                <w:color w:val="FFFFFF"/>
                <w:sz w:val="18"/>
              </w:rPr>
              <w:t>否决项（红线门禁）</w:t>
            </w:r>
          </w:p>
        </w:tc>
      </w:tr>
      <w:tr>
        <w:tc>
          <w:tcPr>
            <w:tcW w:type="dxa" w:w="2075"/>
          </w:tcPr>
          <w:p>
            <w:r/>
            <w:r>
              <w:rPr>
                <w:rFonts w:ascii="Calibri" w:hAnsi="Calibri" w:eastAsia="微软雅黑"/>
                <w:b w:val="0"/>
                <w:i w:val="0"/>
                <w:sz w:val="18"/>
              </w:rPr>
              <w:t>EPC项目经理</w:t>
            </w:r>
          </w:p>
        </w:tc>
        <w:tc>
          <w:tcPr>
            <w:tcW w:type="dxa" w:w="2075"/>
          </w:tcPr>
          <w:p>
            <w:r/>
            <w:r>
              <w:rPr>
                <w:rFonts w:ascii="Calibri" w:hAnsi="Calibri" w:eastAsia="微软雅黑"/>
                <w:b w:val="0"/>
                <w:i w:val="0"/>
                <w:sz w:val="18"/>
              </w:rPr>
              <w:t>项目全生命周期履约、安全、质量、工期与盈利总责任人</w:t>
            </w:r>
          </w:p>
        </w:tc>
        <w:tc>
          <w:tcPr>
            <w:tcW w:type="dxa" w:w="2075"/>
          </w:tcPr>
          <w:p>
            <w:r/>
            <w:r>
              <w:rPr>
                <w:rFonts w:ascii="Calibri" w:hAnsi="Calibri" w:eastAsia="微软雅黑"/>
                <w:b w:val="0"/>
                <w:i w:val="0"/>
                <w:sz w:val="18"/>
              </w:rPr>
              <w:t>概算偏差控制能力（熟练运用概算编制与修正方法）；跨专业协调与里程碑节点付款成就率控制；持有一级建造师或PMP等执业资格，具备完整工业EPC履约业绩</w:t>
            </w:r>
          </w:p>
        </w:tc>
        <w:tc>
          <w:tcPr>
            <w:tcW w:type="dxa" w:w="2075"/>
          </w:tcPr>
          <w:p>
            <w:r/>
            <w:r>
              <w:rPr>
                <w:rFonts w:ascii="Calibri" w:hAnsi="Calibri" w:eastAsia="微软雅黑"/>
                <w:b w:val="0"/>
                <w:i w:val="0"/>
                <w:sz w:val="18"/>
              </w:rPr>
              <w:t>未经变更确认的重大超概算行为；较大及以上安全事故；对节点付款条件理解偏差导致资金断裂</w:t>
            </w:r>
          </w:p>
        </w:tc>
      </w:tr>
      <w:tr>
        <w:tc>
          <w:tcPr>
            <w:tcW w:type="dxa" w:w="2075"/>
          </w:tcPr>
          <w:p>
            <w:r/>
            <w:r>
              <w:rPr>
                <w:rFonts w:ascii="Calibri" w:hAnsi="Calibri" w:eastAsia="微软雅黑"/>
                <w:b w:val="0"/>
                <w:i w:val="0"/>
                <w:sz w:val="18"/>
              </w:rPr>
              <w:t>EPC设计经理</w:t>
            </w:r>
          </w:p>
        </w:tc>
        <w:tc>
          <w:tcPr>
            <w:tcW w:type="dxa" w:w="2075"/>
          </w:tcPr>
          <w:p>
            <w:r/>
            <w:r>
              <w:rPr>
                <w:rFonts w:ascii="Calibri" w:hAnsi="Calibri" w:eastAsia="微软雅黑"/>
                <w:b w:val="0"/>
                <w:i w:val="0"/>
                <w:sz w:val="18"/>
              </w:rPr>
              <w:t>龙头设计牵引、限额设计落地、采购与施工技术接口管理</w:t>
            </w:r>
          </w:p>
        </w:tc>
        <w:tc>
          <w:tcPr>
            <w:tcW w:type="dxa" w:w="2075"/>
          </w:tcPr>
          <w:p>
            <w:r/>
            <w:r>
              <w:rPr>
                <w:rFonts w:ascii="Calibri" w:hAnsi="Calibri" w:eastAsia="微软雅黑"/>
                <w:b w:val="0"/>
                <w:i w:val="0"/>
                <w:sz w:val="18"/>
              </w:rPr>
              <w:t>深度理解采购与施工需求，将可施工性（Constructability）融入方案；熟练运用价值工程工具进行材料替代与结构优化；技术规格书按期高质量交付</w:t>
            </w:r>
          </w:p>
        </w:tc>
        <w:tc>
          <w:tcPr>
            <w:tcW w:type="dxa" w:w="2075"/>
          </w:tcPr>
          <w:p>
            <w:r/>
            <w:r>
              <w:rPr>
                <w:rFonts w:ascii="Calibri" w:hAnsi="Calibri" w:eastAsia="微软雅黑"/>
                <w:b w:val="0"/>
                <w:i w:val="0"/>
                <w:sz w:val="18"/>
              </w:rPr>
              <w:t>盲目追求技术指标导致限额超支；设计图纸与现场施工装备严重脱节造成重大返工</w:t>
            </w:r>
          </w:p>
        </w:tc>
      </w:tr>
      <w:tr>
        <w:tc>
          <w:tcPr>
            <w:tcW w:type="dxa" w:w="2075"/>
          </w:tcPr>
          <w:p>
            <w:r/>
            <w:r>
              <w:rPr>
                <w:rFonts w:ascii="Calibri" w:hAnsi="Calibri" w:eastAsia="微软雅黑"/>
                <w:b w:val="0"/>
                <w:i w:val="0"/>
                <w:sz w:val="18"/>
              </w:rPr>
              <w:t>EPC采购经理</w:t>
            </w:r>
          </w:p>
        </w:tc>
        <w:tc>
          <w:tcPr>
            <w:tcW w:type="dxa" w:w="2075"/>
          </w:tcPr>
          <w:p>
            <w:r/>
            <w:r>
              <w:rPr>
                <w:rFonts w:ascii="Calibri" w:hAnsi="Calibri" w:eastAsia="微软雅黑"/>
                <w:b w:val="0"/>
                <w:i w:val="0"/>
                <w:sz w:val="18"/>
              </w:rPr>
              <w:t>全球寻源、供应商准入、长周期设备跟催、质量控制计划节点审查</w:t>
            </w:r>
          </w:p>
        </w:tc>
        <w:tc>
          <w:tcPr>
            <w:tcW w:type="dxa" w:w="2075"/>
          </w:tcPr>
          <w:p>
            <w:r/>
            <w:r>
              <w:rPr>
                <w:rFonts w:ascii="Calibri" w:hAnsi="Calibri" w:eastAsia="微软雅黑"/>
                <w:b w:val="0"/>
                <w:i w:val="0"/>
                <w:sz w:val="18"/>
              </w:rPr>
              <w:t>掌握设备安装费估算方法与总拥有成本（TCO）核算；厂内监造与物流通关节点到场把关；采购合同商务条款与主合同风险对齐</w:t>
            </w:r>
          </w:p>
        </w:tc>
        <w:tc>
          <w:tcPr>
            <w:tcW w:type="dxa" w:w="2075"/>
          </w:tcPr>
          <w:p>
            <w:r/>
            <w:r>
              <w:rPr>
                <w:rFonts w:ascii="Calibri" w:hAnsi="Calibri" w:eastAsia="微软雅黑"/>
                <w:b w:val="0"/>
                <w:i w:val="0"/>
                <w:sz w:val="18"/>
              </w:rPr>
              <w:t>采购设备存在严重接口缺陷；未按合同锁定技术参数导致到场设备无法安装</w:t>
            </w:r>
          </w:p>
        </w:tc>
      </w:tr>
      <w:tr>
        <w:tc>
          <w:tcPr>
            <w:tcW w:type="dxa" w:w="2075"/>
          </w:tcPr>
          <w:p>
            <w:r/>
            <w:r>
              <w:rPr>
                <w:rFonts w:ascii="Calibri" w:hAnsi="Calibri" w:eastAsia="微软雅黑"/>
                <w:b w:val="0"/>
                <w:i w:val="0"/>
                <w:sz w:val="18"/>
              </w:rPr>
              <w:t>EPC施工经理</w:t>
            </w:r>
          </w:p>
        </w:tc>
        <w:tc>
          <w:tcPr>
            <w:tcW w:type="dxa" w:w="2075"/>
          </w:tcPr>
          <w:p>
            <w:r/>
            <w:r>
              <w:rPr>
                <w:rFonts w:ascii="Calibri" w:hAnsi="Calibri" w:eastAsia="微软雅黑"/>
                <w:b w:val="0"/>
                <w:i w:val="0"/>
                <w:sz w:val="18"/>
              </w:rPr>
              <w:t>现场健康安全环保管理、分包商工序穿插、机械与劳务柔性调度</w:t>
            </w:r>
          </w:p>
        </w:tc>
        <w:tc>
          <w:tcPr>
            <w:tcW w:type="dxa" w:w="2075"/>
          </w:tcPr>
          <w:p>
            <w:r/>
            <w:r>
              <w:rPr>
                <w:rFonts w:ascii="Calibri" w:hAnsi="Calibri" w:eastAsia="微软雅黑"/>
                <w:b w:val="0"/>
                <w:i w:val="0"/>
                <w:sz w:val="18"/>
              </w:rPr>
              <w:t>熟练运用BIM与三维仿真进行现场布置与工序协同；现场签证与零星委托双人双签执行；劳务合规与本土化用工风险预控</w:t>
            </w:r>
          </w:p>
        </w:tc>
        <w:tc>
          <w:tcPr>
            <w:tcW w:type="dxa" w:w="2075"/>
          </w:tcPr>
          <w:p>
            <w:r/>
            <w:r>
              <w:rPr>
                <w:rFonts w:ascii="Calibri" w:hAnsi="Calibri" w:eastAsia="微软雅黑"/>
                <w:b w:val="0"/>
                <w:i w:val="0"/>
                <w:sz w:val="18"/>
              </w:rPr>
              <w:t>现场发生分包商劳务群体性事件；未经批准擅自签发超预算现场签证</w:t>
            </w:r>
          </w:p>
        </w:tc>
      </w:tr>
    </w:tbl>
    <w:p>
      <w:pPr>
        <w:pStyle w:val="Heading3"/>
      </w:pPr>
      <w:r>
        <w:t>9.1.3 案例印证：中石化南京工程2700人团队的九宫格盘点</w:t>
      </w:r>
    </w:p>
    <w:p>
      <w:pPr>
        <w:pStyle w:val="ListBullet"/>
      </w:pPr>
      <w:r>
        <w:rPr>
          <w:rFonts w:ascii="Calibri" w:hAnsi="Calibri" w:eastAsia="微软雅黑"/>
          <w:b/>
          <w:i w:val="0"/>
          <w:sz w:val="22"/>
        </w:rPr>
        <w:t>数据（Data）</w:t>
      </w:r>
      <w:r>
        <w:rPr>
          <w:rFonts w:ascii="Calibri" w:hAnsi="Calibri" w:eastAsia="微软雅黑"/>
          <w:b w:val="0"/>
          <w:i w:val="0"/>
          <w:sz w:val="22"/>
        </w:rPr>
        <w:t>：据企业公开简介（截至2026年3月），中石化南京工程有限公司员工总数为2763人（含原劳务派遣人员转业务外包611人及国内直聘境外人员65人）；内部按职能划分为四类——项目管理人员1240人、技能操作人员565人、研发设计人员510人、两级机关人员364人 [来源: P000851]。</w:t>
      </w:r>
    </w:p>
    <w:p>
      <w:pPr>
        <w:pStyle w:val="ListBullet"/>
      </w:pPr>
      <w:r>
        <w:rPr>
          <w:rFonts w:ascii="Calibri" w:hAnsi="Calibri" w:eastAsia="微软雅黑"/>
          <w:b/>
          <w:i w:val="0"/>
          <w:sz w:val="22"/>
        </w:rPr>
        <w:t>动作（Action）</w:t>
      </w:r>
      <w:r>
        <w:rPr>
          <w:rFonts w:ascii="Calibri" w:hAnsi="Calibri" w:eastAsia="微软雅黑"/>
          <w:b w:val="0"/>
          <w:i w:val="0"/>
          <w:sz w:val="22"/>
        </w:rPr>
        <w:t>：企业构建了EPC复合型人才九宫格评估模型 [来源: P000851]。纵轴为绩效与交付能力——依据限额设计概算控制精度与里程碑节点交付达成率定量打分，其中概算控制直接套用结构变化修正概算指标公式（原指标综合单价加换入结构工程量乘综合单价、减换出结构工程量乘综合单价），执行精度是绩效分数的硬指标；横轴为潜力与综合素质——依据跨专业协同能力、合同履约风控意识、危险及可操作性分析与工艺管道及仪表流程图审查领导力，以及超大型加氢裂化、乙烯装置或海外高风险项目的跨文化管理能力评估。九个区域的分布定位与处置策略如下（据专项研究成果构造的盘点框架，非企业公开管理制度原文）[来源: P000851]：</w:t>
      </w:r>
    </w:p>
    <w:p>
      <w:pPr>
        <w:pStyle w:val="Heading4"/>
      </w:pPr>
      <w:r>
        <w:t>表9-2 EPC复合型人才九宫格分区与处置策略（据专项研究成果整理）[来源: P000851]</w:t>
      </w:r>
    </w:p>
    <w:tbl>
      <w:tblPr>
        <w:tblStyle w:val="TableGrid"/>
        <w:tblW w:type="auto" w:w="0"/>
        <w:tblLook w:firstColumn="1" w:firstRow="1" w:lastColumn="0" w:lastRow="0" w:noHBand="0" w:noVBand="1" w:val="04A0"/>
      </w:tblPr>
      <w:tblGrid>
        <w:gridCol w:w="1383"/>
        <w:gridCol w:w="1383"/>
        <w:gridCol w:w="1383"/>
        <w:gridCol w:w="1383"/>
        <w:gridCol w:w="1383"/>
        <w:gridCol w:w="1383"/>
      </w:tblGrid>
      <w:tr>
        <w:tc>
          <w:tcPr>
            <w:tcW w:type="dxa" w:w="1383"/>
            <w:shd w:fill="1F3A5F"/>
          </w:tcPr>
          <w:p>
            <w:r>
              <w:rPr>
                <w:color w:val="FFFFFF"/>
              </w:rPr>
            </w:r>
            <w:r>
              <w:rPr>
                <w:rFonts w:ascii="Calibri" w:hAnsi="Calibri" w:eastAsia="微软雅黑"/>
                <w:b/>
                <w:i w:val="0"/>
                <w:color w:val="FFFFFF"/>
                <w:sz w:val="18"/>
              </w:rPr>
              <w:t>区域</w:t>
            </w:r>
          </w:p>
        </w:tc>
        <w:tc>
          <w:tcPr>
            <w:tcW w:type="dxa" w:w="1383"/>
            <w:shd w:fill="1F3A5F"/>
          </w:tcPr>
          <w:p>
            <w:r>
              <w:rPr>
                <w:color w:val="FFFFFF"/>
              </w:rPr>
            </w:r>
            <w:r>
              <w:rPr>
                <w:rFonts w:ascii="Calibri" w:hAnsi="Calibri" w:eastAsia="微软雅黑"/>
                <w:b/>
                <w:i w:val="0"/>
                <w:color w:val="FFFFFF"/>
                <w:sz w:val="18"/>
              </w:rPr>
              <w:t>绩效</w:t>
            </w:r>
          </w:p>
        </w:tc>
        <w:tc>
          <w:tcPr>
            <w:tcW w:type="dxa" w:w="1383"/>
            <w:shd w:fill="1F3A5F"/>
          </w:tcPr>
          <w:p>
            <w:r>
              <w:rPr>
                <w:color w:val="FFFFFF"/>
              </w:rPr>
            </w:r>
            <w:r>
              <w:rPr>
                <w:rFonts w:ascii="Calibri" w:hAnsi="Calibri" w:eastAsia="微软雅黑"/>
                <w:b/>
                <w:i w:val="0"/>
                <w:color w:val="FFFFFF"/>
                <w:sz w:val="18"/>
              </w:rPr>
              <w:t>潜力</w:t>
            </w:r>
          </w:p>
        </w:tc>
        <w:tc>
          <w:tcPr>
            <w:tcW w:type="dxa" w:w="1383"/>
            <w:shd w:fill="1F3A5F"/>
          </w:tcPr>
          <w:p>
            <w:r>
              <w:rPr>
                <w:color w:val="FFFFFF"/>
              </w:rPr>
            </w:r>
            <w:r>
              <w:rPr>
                <w:rFonts w:ascii="Calibri" w:hAnsi="Calibri" w:eastAsia="微软雅黑"/>
                <w:b/>
                <w:i w:val="0"/>
                <w:color w:val="FFFFFF"/>
                <w:sz w:val="18"/>
              </w:rPr>
              <w:t>典型特征（工业EPC场景）</w:t>
            </w:r>
          </w:p>
        </w:tc>
        <w:tc>
          <w:tcPr>
            <w:tcW w:type="dxa" w:w="1383"/>
            <w:shd w:fill="1F3A5F"/>
          </w:tcPr>
          <w:p>
            <w:r>
              <w:rPr>
                <w:color w:val="FFFFFF"/>
              </w:rPr>
            </w:r>
            <w:r>
              <w:rPr>
                <w:rFonts w:ascii="Calibri" w:hAnsi="Calibri" w:eastAsia="微软雅黑"/>
                <w:b/>
                <w:i w:val="0"/>
                <w:color w:val="FFFFFF"/>
                <w:sz w:val="18"/>
              </w:rPr>
              <w:t>配置比例</w:t>
            </w:r>
          </w:p>
        </w:tc>
        <w:tc>
          <w:tcPr>
            <w:tcW w:type="dxa" w:w="1383"/>
            <w:shd w:fill="1F3A5F"/>
          </w:tcPr>
          <w:p>
            <w:r>
              <w:rPr>
                <w:color w:val="FFFFFF"/>
              </w:rPr>
            </w:r>
            <w:r>
              <w:rPr>
                <w:rFonts w:ascii="Calibri" w:hAnsi="Calibri" w:eastAsia="微软雅黑"/>
                <w:b/>
                <w:i w:val="0"/>
                <w:color w:val="FFFFFF"/>
                <w:sz w:val="18"/>
              </w:rPr>
              <w:t>培养/处置动作</w:t>
            </w:r>
          </w:p>
        </w:tc>
      </w:tr>
      <w:tr>
        <w:tc>
          <w:tcPr>
            <w:tcW w:type="dxa" w:w="1383"/>
          </w:tcPr>
          <w:p>
            <w:r/>
            <w:r>
              <w:rPr>
                <w:rFonts w:ascii="Calibri" w:hAnsi="Calibri" w:eastAsia="微软雅黑"/>
                <w:b w:val="0"/>
                <w:i w:val="0"/>
                <w:sz w:val="18"/>
              </w:rPr>
              <w:t>明星人才</w:t>
            </w:r>
          </w:p>
        </w:tc>
        <w:tc>
          <w:tcPr>
            <w:tcW w:type="dxa" w:w="1383"/>
          </w:tcPr>
          <w:p>
            <w:r/>
            <w:r>
              <w:rPr>
                <w:rFonts w:ascii="Calibri" w:hAnsi="Calibri" w:eastAsia="微软雅黑"/>
                <w:b w:val="0"/>
                <w:i w:val="0"/>
                <w:sz w:val="18"/>
              </w:rPr>
              <w:t>高</w:t>
            </w:r>
          </w:p>
        </w:tc>
        <w:tc>
          <w:tcPr>
            <w:tcW w:type="dxa" w:w="1383"/>
          </w:tcPr>
          <w:p>
            <w:r/>
            <w:r>
              <w:rPr>
                <w:rFonts w:ascii="Calibri" w:hAnsi="Calibri" w:eastAsia="微软雅黑"/>
                <w:b w:val="0"/>
                <w:i w:val="0"/>
                <w:sz w:val="18"/>
              </w:rPr>
              <w:t>高</w:t>
            </w:r>
          </w:p>
        </w:tc>
        <w:tc>
          <w:tcPr>
            <w:tcW w:type="dxa" w:w="1383"/>
          </w:tcPr>
          <w:p>
            <w:r/>
            <w:r>
              <w:rPr>
                <w:rFonts w:ascii="Calibri" w:hAnsi="Calibri" w:eastAsia="微软雅黑"/>
                <w:b w:val="0"/>
                <w:i w:val="0"/>
                <w:sz w:val="18"/>
              </w:rPr>
              <w:t>精通概算核算与FIDIC条款，具备超大型加氢裂化/乙烯装置EPC经验，跨国风控能力强</w:t>
            </w:r>
          </w:p>
        </w:tc>
        <w:tc>
          <w:tcPr>
            <w:tcW w:type="dxa" w:w="1383"/>
          </w:tcPr>
          <w:p>
            <w:r/>
            <w:r>
              <w:rPr>
                <w:rFonts w:ascii="Calibri" w:hAnsi="Calibri" w:eastAsia="微软雅黑"/>
                <w:b w:val="0"/>
                <w:i w:val="0"/>
                <w:sz w:val="18"/>
              </w:rPr>
              <w:t>10%</w:t>
            </w:r>
          </w:p>
        </w:tc>
        <w:tc>
          <w:tcPr>
            <w:tcW w:type="dxa" w:w="1383"/>
          </w:tcPr>
          <w:p>
            <w:r/>
            <w:r>
              <w:rPr>
                <w:rFonts w:ascii="Calibri" w:hAnsi="Calibri" w:eastAsia="微软雅黑"/>
                <w:b w:val="0"/>
                <w:i w:val="0"/>
                <w:sz w:val="18"/>
              </w:rPr>
              <w:t>充实至海外高风险或百亿级EPC项目担任核心负责人；实施长期股权/期权绑定</w:t>
            </w:r>
          </w:p>
        </w:tc>
      </w:tr>
      <w:tr>
        <w:tc>
          <w:tcPr>
            <w:tcW w:type="dxa" w:w="1383"/>
          </w:tcPr>
          <w:p>
            <w:r/>
            <w:r>
              <w:rPr>
                <w:rFonts w:ascii="Calibri" w:hAnsi="Calibri" w:eastAsia="微软雅黑"/>
                <w:b w:val="0"/>
                <w:i w:val="0"/>
                <w:sz w:val="18"/>
              </w:rPr>
              <w:t>核心骨干</w:t>
            </w:r>
          </w:p>
        </w:tc>
        <w:tc>
          <w:tcPr>
            <w:tcW w:type="dxa" w:w="1383"/>
          </w:tcPr>
          <w:p>
            <w:r/>
            <w:r>
              <w:rPr>
                <w:rFonts w:ascii="Calibri" w:hAnsi="Calibri" w:eastAsia="微软雅黑"/>
                <w:b w:val="0"/>
                <w:i w:val="0"/>
                <w:sz w:val="18"/>
              </w:rPr>
              <w:t>高</w:t>
            </w:r>
          </w:p>
        </w:tc>
        <w:tc>
          <w:tcPr>
            <w:tcW w:type="dxa" w:w="1383"/>
          </w:tcPr>
          <w:p>
            <w:r/>
            <w:r>
              <w:rPr>
                <w:rFonts w:ascii="Calibri" w:hAnsi="Calibri" w:eastAsia="微软雅黑"/>
                <w:b w:val="0"/>
                <w:i w:val="0"/>
                <w:sz w:val="18"/>
              </w:rPr>
              <w:t>中</w:t>
            </w:r>
          </w:p>
        </w:tc>
        <w:tc>
          <w:tcPr>
            <w:tcW w:type="dxa" w:w="1383"/>
          </w:tcPr>
          <w:p>
            <w:r/>
            <w:r>
              <w:rPr>
                <w:rFonts w:ascii="Calibri" w:hAnsi="Calibri" w:eastAsia="微软雅黑"/>
                <w:b w:val="0"/>
                <w:i w:val="0"/>
                <w:sz w:val="18"/>
              </w:rPr>
              <w:t>现场模块化施工交付能力极强，熟练运用概算定额法，但合同法律抗辩与索赔需赋能</w:t>
            </w:r>
          </w:p>
        </w:tc>
        <w:tc>
          <w:tcPr>
            <w:tcW w:type="dxa" w:w="1383"/>
          </w:tcPr>
          <w:p>
            <w:r/>
            <w:r>
              <w:rPr>
                <w:rFonts w:ascii="Calibri" w:hAnsi="Calibri" w:eastAsia="微软雅黑"/>
                <w:b w:val="0"/>
                <w:i w:val="0"/>
                <w:sz w:val="18"/>
              </w:rPr>
              <w:t>15%</w:t>
            </w:r>
          </w:p>
        </w:tc>
        <w:tc>
          <w:tcPr>
            <w:tcW w:type="dxa" w:w="1383"/>
          </w:tcPr>
          <w:p>
            <w:r/>
            <w:r>
              <w:rPr>
                <w:rFonts w:ascii="Calibri" w:hAnsi="Calibri" w:eastAsia="微软雅黑"/>
                <w:b w:val="0"/>
                <w:i w:val="0"/>
                <w:sz w:val="18"/>
              </w:rPr>
              <w:t>强化涉外法律与合规请款培训；安排至大型国内工业EPC项目担任项目经理</w:t>
            </w:r>
          </w:p>
        </w:tc>
      </w:tr>
      <w:tr>
        <w:tc>
          <w:tcPr>
            <w:tcW w:type="dxa" w:w="1383"/>
          </w:tcPr>
          <w:p>
            <w:r/>
            <w:r>
              <w:rPr>
                <w:rFonts w:ascii="Calibri" w:hAnsi="Calibri" w:eastAsia="微软雅黑"/>
                <w:b w:val="0"/>
                <w:i w:val="0"/>
                <w:sz w:val="18"/>
              </w:rPr>
              <w:t>熟练技术</w:t>
            </w:r>
          </w:p>
        </w:tc>
        <w:tc>
          <w:tcPr>
            <w:tcW w:type="dxa" w:w="1383"/>
          </w:tcPr>
          <w:p>
            <w:r/>
            <w:r>
              <w:rPr>
                <w:rFonts w:ascii="Calibri" w:hAnsi="Calibri" w:eastAsia="微软雅黑"/>
                <w:b w:val="0"/>
                <w:i w:val="0"/>
                <w:sz w:val="18"/>
              </w:rPr>
              <w:t>高</w:t>
            </w:r>
          </w:p>
        </w:tc>
        <w:tc>
          <w:tcPr>
            <w:tcW w:type="dxa" w:w="1383"/>
          </w:tcPr>
          <w:p>
            <w:r/>
            <w:r>
              <w:rPr>
                <w:rFonts w:ascii="Calibri" w:hAnsi="Calibri" w:eastAsia="微软雅黑"/>
                <w:b w:val="0"/>
                <w:i w:val="0"/>
                <w:sz w:val="18"/>
              </w:rPr>
              <w:t>低</w:t>
            </w:r>
          </w:p>
        </w:tc>
        <w:tc>
          <w:tcPr>
            <w:tcW w:type="dxa" w:w="1383"/>
          </w:tcPr>
          <w:p>
            <w:r/>
            <w:r>
              <w:rPr>
                <w:rFonts w:ascii="Calibri" w:hAnsi="Calibri" w:eastAsia="微软雅黑"/>
                <w:b w:val="0"/>
                <w:i w:val="0"/>
                <w:sz w:val="18"/>
              </w:rPr>
              <w:t>资深专业技术专家，精通工艺流程图与工艺管道及仪表流程图绘制与工艺包消化，缺乏跨部门管理意愿</w:t>
            </w:r>
          </w:p>
        </w:tc>
        <w:tc>
          <w:tcPr>
            <w:tcW w:type="dxa" w:w="1383"/>
          </w:tcPr>
          <w:p>
            <w:r/>
            <w:r>
              <w:rPr>
                <w:rFonts w:ascii="Calibri" w:hAnsi="Calibri" w:eastAsia="微软雅黑"/>
                <w:b w:val="0"/>
                <w:i w:val="0"/>
                <w:sz w:val="18"/>
              </w:rPr>
              <w:t>10%</w:t>
            </w:r>
          </w:p>
        </w:tc>
        <w:tc>
          <w:tcPr>
            <w:tcW w:type="dxa" w:w="1383"/>
          </w:tcPr>
          <w:p>
            <w:r/>
            <w:r>
              <w:rPr>
                <w:rFonts w:ascii="Calibri" w:hAnsi="Calibri" w:eastAsia="微软雅黑"/>
                <w:b w:val="0"/>
                <w:i w:val="0"/>
                <w:sz w:val="18"/>
              </w:rPr>
              <w:t>设定"首席技术专家"通道；作为项目矩阵设计与审查的刚性技术支撑</w:t>
            </w:r>
          </w:p>
        </w:tc>
      </w:tr>
      <w:tr>
        <w:tc>
          <w:tcPr>
            <w:tcW w:type="dxa" w:w="1383"/>
          </w:tcPr>
          <w:p>
            <w:r/>
            <w:r>
              <w:rPr>
                <w:rFonts w:ascii="Calibri" w:hAnsi="Calibri" w:eastAsia="微软雅黑"/>
                <w:b w:val="0"/>
                <w:i w:val="0"/>
                <w:sz w:val="18"/>
              </w:rPr>
              <w:t>高潜新人</w:t>
            </w:r>
          </w:p>
        </w:tc>
        <w:tc>
          <w:tcPr>
            <w:tcW w:type="dxa" w:w="1383"/>
          </w:tcPr>
          <w:p>
            <w:r/>
            <w:r>
              <w:rPr>
                <w:rFonts w:ascii="Calibri" w:hAnsi="Calibri" w:eastAsia="微软雅黑"/>
                <w:b w:val="0"/>
                <w:i w:val="0"/>
                <w:sz w:val="18"/>
              </w:rPr>
              <w:t>中</w:t>
            </w:r>
          </w:p>
        </w:tc>
        <w:tc>
          <w:tcPr>
            <w:tcW w:type="dxa" w:w="1383"/>
          </w:tcPr>
          <w:p>
            <w:r/>
            <w:r>
              <w:rPr>
                <w:rFonts w:ascii="Calibri" w:hAnsi="Calibri" w:eastAsia="微软雅黑"/>
                <w:b w:val="0"/>
                <w:i w:val="0"/>
                <w:sz w:val="18"/>
              </w:rPr>
              <w:t>高</w:t>
            </w:r>
          </w:p>
        </w:tc>
        <w:tc>
          <w:tcPr>
            <w:tcW w:type="dxa" w:w="1383"/>
          </w:tcPr>
          <w:p>
            <w:r/>
            <w:r>
              <w:rPr>
                <w:rFonts w:ascii="Calibri" w:hAnsi="Calibri" w:eastAsia="微软雅黑"/>
                <w:b w:val="0"/>
                <w:i w:val="0"/>
                <w:sz w:val="18"/>
              </w:rPr>
              <w:t>名校硕士，跨文化沟通好，合同风控意识强，但缺乏复杂装置现场施工与采办经历</w:t>
            </w:r>
          </w:p>
        </w:tc>
        <w:tc>
          <w:tcPr>
            <w:tcW w:type="dxa" w:w="1383"/>
          </w:tcPr>
          <w:p>
            <w:r/>
            <w:r>
              <w:rPr>
                <w:rFonts w:ascii="Calibri" w:hAnsi="Calibri" w:eastAsia="微软雅黑"/>
                <w:b w:val="0"/>
                <w:i w:val="0"/>
                <w:sz w:val="18"/>
              </w:rPr>
              <w:t>10%</w:t>
            </w:r>
          </w:p>
        </w:tc>
        <w:tc>
          <w:tcPr>
            <w:tcW w:type="dxa" w:w="1383"/>
          </w:tcPr>
          <w:p>
            <w:r/>
            <w:r>
              <w:rPr>
                <w:rFonts w:ascii="Calibri" w:hAnsi="Calibri" w:eastAsia="微软雅黑"/>
                <w:b w:val="0"/>
                <w:i w:val="0"/>
                <w:sz w:val="18"/>
              </w:rPr>
              <w:t>实行双导师制（项目经理＋资深造价专家），派往复杂EPC现场跟岗轮训两年</w:t>
            </w:r>
          </w:p>
        </w:tc>
      </w:tr>
      <w:tr>
        <w:tc>
          <w:tcPr>
            <w:tcW w:type="dxa" w:w="1383"/>
          </w:tcPr>
          <w:p>
            <w:r/>
            <w:r>
              <w:rPr>
                <w:rFonts w:ascii="Calibri" w:hAnsi="Calibri" w:eastAsia="微软雅黑"/>
                <w:b w:val="0"/>
                <w:i w:val="0"/>
                <w:sz w:val="18"/>
              </w:rPr>
              <w:t>中流砥柱</w:t>
            </w:r>
          </w:p>
        </w:tc>
        <w:tc>
          <w:tcPr>
            <w:tcW w:type="dxa" w:w="1383"/>
          </w:tcPr>
          <w:p>
            <w:r/>
            <w:r>
              <w:rPr>
                <w:rFonts w:ascii="Calibri" w:hAnsi="Calibri" w:eastAsia="微软雅黑"/>
                <w:b w:val="0"/>
                <w:i w:val="0"/>
                <w:sz w:val="18"/>
              </w:rPr>
              <w:t>中</w:t>
            </w:r>
          </w:p>
        </w:tc>
        <w:tc>
          <w:tcPr>
            <w:tcW w:type="dxa" w:w="1383"/>
          </w:tcPr>
          <w:p>
            <w:r/>
            <w:r>
              <w:rPr>
                <w:rFonts w:ascii="Calibri" w:hAnsi="Calibri" w:eastAsia="微软雅黑"/>
                <w:b w:val="0"/>
                <w:i w:val="0"/>
                <w:sz w:val="18"/>
              </w:rPr>
              <w:t>中</w:t>
            </w:r>
          </w:p>
        </w:tc>
        <w:tc>
          <w:tcPr>
            <w:tcW w:type="dxa" w:w="1383"/>
          </w:tcPr>
          <w:p>
            <w:r/>
            <w:r>
              <w:rPr>
                <w:rFonts w:ascii="Calibri" w:hAnsi="Calibri" w:eastAsia="微软雅黑"/>
                <w:b w:val="0"/>
                <w:i w:val="0"/>
                <w:sz w:val="18"/>
              </w:rPr>
              <w:t>按部就班完成本职工作，能运用设备价值百分比法进行成本初估</w:t>
            </w:r>
          </w:p>
        </w:tc>
        <w:tc>
          <w:tcPr>
            <w:tcW w:type="dxa" w:w="1383"/>
          </w:tcPr>
          <w:p>
            <w:r/>
            <w:r>
              <w:rPr>
                <w:rFonts w:ascii="Calibri" w:hAnsi="Calibri" w:eastAsia="微软雅黑"/>
                <w:b w:val="0"/>
                <w:i w:val="0"/>
                <w:sz w:val="18"/>
              </w:rPr>
              <w:t>25%</w:t>
            </w:r>
          </w:p>
        </w:tc>
        <w:tc>
          <w:tcPr>
            <w:tcW w:type="dxa" w:w="1383"/>
          </w:tcPr>
          <w:p>
            <w:r/>
            <w:r>
              <w:rPr>
                <w:rFonts w:ascii="Calibri" w:hAnsi="Calibri" w:eastAsia="微软雅黑"/>
                <w:b w:val="0"/>
                <w:i w:val="0"/>
                <w:sz w:val="18"/>
              </w:rPr>
              <w:t>维护组织基本盘稳定；开展设计-采购-施工交叉业务轮岗训练</w:t>
            </w:r>
          </w:p>
        </w:tc>
      </w:tr>
      <w:tr>
        <w:tc>
          <w:tcPr>
            <w:tcW w:type="dxa" w:w="1383"/>
          </w:tcPr>
          <w:p>
            <w:r/>
            <w:r>
              <w:rPr>
                <w:rFonts w:ascii="Calibri" w:hAnsi="Calibri" w:eastAsia="微软雅黑"/>
                <w:b w:val="0"/>
                <w:i w:val="0"/>
                <w:sz w:val="18"/>
              </w:rPr>
              <w:t>待观察者</w:t>
            </w:r>
          </w:p>
        </w:tc>
        <w:tc>
          <w:tcPr>
            <w:tcW w:type="dxa" w:w="1383"/>
          </w:tcPr>
          <w:p>
            <w:r/>
            <w:r>
              <w:rPr>
                <w:rFonts w:ascii="Calibri" w:hAnsi="Calibri" w:eastAsia="微软雅黑"/>
                <w:b w:val="0"/>
                <w:i w:val="0"/>
                <w:sz w:val="18"/>
              </w:rPr>
              <w:t>中</w:t>
            </w:r>
          </w:p>
        </w:tc>
        <w:tc>
          <w:tcPr>
            <w:tcW w:type="dxa" w:w="1383"/>
          </w:tcPr>
          <w:p>
            <w:r/>
            <w:r>
              <w:rPr>
                <w:rFonts w:ascii="Calibri" w:hAnsi="Calibri" w:eastAsia="微软雅黑"/>
                <w:b w:val="0"/>
                <w:i w:val="0"/>
                <w:sz w:val="18"/>
              </w:rPr>
              <w:t>低</w:t>
            </w:r>
          </w:p>
        </w:tc>
        <w:tc>
          <w:tcPr>
            <w:tcW w:type="dxa" w:w="1383"/>
          </w:tcPr>
          <w:p>
            <w:r/>
            <w:r>
              <w:rPr>
                <w:rFonts w:ascii="Calibri" w:hAnsi="Calibri" w:eastAsia="微软雅黑"/>
                <w:b w:val="0"/>
                <w:i w:val="0"/>
                <w:sz w:val="18"/>
              </w:rPr>
              <w:t>传统施工型老专家，仅能盯着现场干活，无法适应限额设计与节点技术文档归集的刚性要求</w:t>
            </w:r>
          </w:p>
        </w:tc>
        <w:tc>
          <w:tcPr>
            <w:tcW w:type="dxa" w:w="1383"/>
          </w:tcPr>
          <w:p>
            <w:r/>
            <w:r>
              <w:rPr>
                <w:rFonts w:ascii="Calibri" w:hAnsi="Calibri" w:eastAsia="微软雅黑"/>
                <w:b w:val="0"/>
                <w:i w:val="0"/>
                <w:sz w:val="18"/>
              </w:rPr>
              <w:t>10%</w:t>
            </w:r>
          </w:p>
        </w:tc>
        <w:tc>
          <w:tcPr>
            <w:tcW w:type="dxa" w:w="1383"/>
          </w:tcPr>
          <w:p>
            <w:r/>
            <w:r>
              <w:rPr>
                <w:rFonts w:ascii="Calibri" w:hAnsi="Calibri" w:eastAsia="微软雅黑"/>
                <w:b w:val="0"/>
                <w:i w:val="0"/>
                <w:sz w:val="18"/>
              </w:rPr>
              <w:t>转岗至专业分包技术支持与质量监督岗</w:t>
            </w:r>
          </w:p>
        </w:tc>
      </w:tr>
      <w:tr>
        <w:tc>
          <w:tcPr>
            <w:tcW w:type="dxa" w:w="1383"/>
          </w:tcPr>
          <w:p>
            <w:r/>
            <w:r>
              <w:rPr>
                <w:rFonts w:ascii="Calibri" w:hAnsi="Calibri" w:eastAsia="微软雅黑"/>
                <w:b w:val="0"/>
                <w:i w:val="0"/>
                <w:sz w:val="18"/>
              </w:rPr>
              <w:t>业绩改善</w:t>
            </w:r>
          </w:p>
        </w:tc>
        <w:tc>
          <w:tcPr>
            <w:tcW w:type="dxa" w:w="1383"/>
          </w:tcPr>
          <w:p>
            <w:r/>
            <w:r>
              <w:rPr>
                <w:rFonts w:ascii="Calibri" w:hAnsi="Calibri" w:eastAsia="微软雅黑"/>
                <w:b w:val="0"/>
                <w:i w:val="0"/>
                <w:sz w:val="18"/>
              </w:rPr>
              <w:t>低</w:t>
            </w:r>
          </w:p>
        </w:tc>
        <w:tc>
          <w:tcPr>
            <w:tcW w:type="dxa" w:w="1383"/>
          </w:tcPr>
          <w:p>
            <w:r/>
            <w:r>
              <w:rPr>
                <w:rFonts w:ascii="Calibri" w:hAnsi="Calibri" w:eastAsia="微软雅黑"/>
                <w:b w:val="0"/>
                <w:i w:val="0"/>
                <w:sz w:val="18"/>
              </w:rPr>
              <w:t>高</w:t>
            </w:r>
          </w:p>
        </w:tc>
        <w:tc>
          <w:tcPr>
            <w:tcW w:type="dxa" w:w="1383"/>
          </w:tcPr>
          <w:p>
            <w:r/>
            <w:r>
              <w:rPr>
                <w:rFonts w:ascii="Calibri" w:hAnsi="Calibri" w:eastAsia="微软雅黑"/>
                <w:b w:val="0"/>
                <w:i w:val="0"/>
                <w:sz w:val="18"/>
              </w:rPr>
              <w:t>理论素养高，但实际项目管理中对概算修正指标执行偏差超标</w:t>
            </w:r>
          </w:p>
        </w:tc>
        <w:tc>
          <w:tcPr>
            <w:tcW w:type="dxa" w:w="1383"/>
          </w:tcPr>
          <w:p>
            <w:r/>
            <w:r>
              <w:rPr>
                <w:rFonts w:ascii="Calibri" w:hAnsi="Calibri" w:eastAsia="微软雅黑"/>
                <w:b w:val="0"/>
                <w:i w:val="0"/>
                <w:sz w:val="18"/>
              </w:rPr>
              <w:t>5%</w:t>
            </w:r>
          </w:p>
        </w:tc>
        <w:tc>
          <w:tcPr>
            <w:tcW w:type="dxa" w:w="1383"/>
          </w:tcPr>
          <w:p>
            <w:r/>
            <w:r>
              <w:rPr>
                <w:rFonts w:ascii="Calibri" w:hAnsi="Calibri" w:eastAsia="微软雅黑"/>
                <w:b w:val="0"/>
                <w:i w:val="0"/>
                <w:sz w:val="18"/>
              </w:rPr>
              <w:t>给予6个月绩效改善期，调换至低风险辅助项目担任副手</w:t>
            </w:r>
          </w:p>
        </w:tc>
      </w:tr>
      <w:tr>
        <w:tc>
          <w:tcPr>
            <w:tcW w:type="dxa" w:w="1383"/>
          </w:tcPr>
          <w:p>
            <w:r/>
            <w:r>
              <w:rPr>
                <w:rFonts w:ascii="Calibri" w:hAnsi="Calibri" w:eastAsia="微软雅黑"/>
                <w:b w:val="0"/>
                <w:i w:val="0"/>
                <w:sz w:val="18"/>
              </w:rPr>
              <w:t>适用偏离</w:t>
            </w:r>
          </w:p>
        </w:tc>
        <w:tc>
          <w:tcPr>
            <w:tcW w:type="dxa" w:w="1383"/>
          </w:tcPr>
          <w:p>
            <w:r/>
            <w:r>
              <w:rPr>
                <w:rFonts w:ascii="Calibri" w:hAnsi="Calibri" w:eastAsia="微软雅黑"/>
                <w:b w:val="0"/>
                <w:i w:val="0"/>
                <w:sz w:val="18"/>
              </w:rPr>
              <w:t>低</w:t>
            </w:r>
          </w:p>
        </w:tc>
        <w:tc>
          <w:tcPr>
            <w:tcW w:type="dxa" w:w="1383"/>
          </w:tcPr>
          <w:p>
            <w:r/>
            <w:r>
              <w:rPr>
                <w:rFonts w:ascii="Calibri" w:hAnsi="Calibri" w:eastAsia="微软雅黑"/>
                <w:b w:val="0"/>
                <w:i w:val="0"/>
                <w:sz w:val="18"/>
              </w:rPr>
              <w:t>中</w:t>
            </w:r>
          </w:p>
        </w:tc>
        <w:tc>
          <w:tcPr>
            <w:tcW w:type="dxa" w:w="1383"/>
          </w:tcPr>
          <w:p>
            <w:r/>
            <w:r>
              <w:rPr>
                <w:rFonts w:ascii="Calibri" w:hAnsi="Calibri" w:eastAsia="微软雅黑"/>
                <w:b w:val="0"/>
                <w:i w:val="0"/>
                <w:sz w:val="18"/>
              </w:rPr>
              <w:t>意愿与绩效双重偏离，工程质量与进度管理频繁出现细微瑕疵</w:t>
            </w:r>
          </w:p>
        </w:tc>
        <w:tc>
          <w:tcPr>
            <w:tcW w:type="dxa" w:w="1383"/>
          </w:tcPr>
          <w:p>
            <w:r/>
            <w:r>
              <w:rPr>
                <w:rFonts w:ascii="Calibri" w:hAnsi="Calibri" w:eastAsia="微软雅黑"/>
                <w:b w:val="0"/>
                <w:i w:val="0"/>
                <w:sz w:val="18"/>
              </w:rPr>
              <w:t>10%</w:t>
            </w:r>
          </w:p>
        </w:tc>
        <w:tc>
          <w:tcPr>
            <w:tcW w:type="dxa" w:w="1383"/>
          </w:tcPr>
          <w:p>
            <w:r/>
            <w:r>
              <w:rPr>
                <w:rFonts w:ascii="Calibri" w:hAnsi="Calibri" w:eastAsia="微软雅黑"/>
                <w:b w:val="0"/>
                <w:i w:val="0"/>
                <w:sz w:val="18"/>
              </w:rPr>
              <w:t>警示谈话，转岗至非核心支撑保障岗位，扣减年度绩效奖金</w:t>
            </w:r>
          </w:p>
        </w:tc>
      </w:tr>
      <w:tr>
        <w:tc>
          <w:tcPr>
            <w:tcW w:type="dxa" w:w="1383"/>
          </w:tcPr>
          <w:p>
            <w:r/>
            <w:r>
              <w:rPr>
                <w:rFonts w:ascii="Calibri" w:hAnsi="Calibri" w:eastAsia="微软雅黑"/>
                <w:b w:val="0"/>
                <w:i w:val="0"/>
                <w:sz w:val="18"/>
              </w:rPr>
              <w:t>淘汰/转岗</w:t>
            </w:r>
          </w:p>
        </w:tc>
        <w:tc>
          <w:tcPr>
            <w:tcW w:type="dxa" w:w="1383"/>
          </w:tcPr>
          <w:p>
            <w:r/>
            <w:r>
              <w:rPr>
                <w:rFonts w:ascii="Calibri" w:hAnsi="Calibri" w:eastAsia="微软雅黑"/>
                <w:b w:val="0"/>
                <w:i w:val="0"/>
                <w:sz w:val="18"/>
              </w:rPr>
              <w:t>低</w:t>
            </w:r>
          </w:p>
        </w:tc>
        <w:tc>
          <w:tcPr>
            <w:tcW w:type="dxa" w:w="1383"/>
          </w:tcPr>
          <w:p>
            <w:r/>
            <w:r>
              <w:rPr>
                <w:rFonts w:ascii="Calibri" w:hAnsi="Calibri" w:eastAsia="微软雅黑"/>
                <w:b w:val="0"/>
                <w:i w:val="0"/>
                <w:sz w:val="18"/>
              </w:rPr>
              <w:t>低</w:t>
            </w:r>
          </w:p>
        </w:tc>
        <w:tc>
          <w:tcPr>
            <w:tcW w:type="dxa" w:w="1383"/>
          </w:tcPr>
          <w:p>
            <w:r/>
            <w:r>
              <w:rPr>
                <w:rFonts w:ascii="Calibri" w:hAnsi="Calibri" w:eastAsia="微软雅黑"/>
                <w:b w:val="0"/>
                <w:i w:val="0"/>
                <w:sz w:val="18"/>
              </w:rPr>
              <w:t>履约能力差，多次因技术文档缺失导致发包方拒付进度款，或引发分包纠纷</w:t>
            </w:r>
          </w:p>
        </w:tc>
        <w:tc>
          <w:tcPr>
            <w:tcW w:type="dxa" w:w="1383"/>
          </w:tcPr>
          <w:p>
            <w:r/>
            <w:r>
              <w:rPr>
                <w:rFonts w:ascii="Calibri" w:hAnsi="Calibri" w:eastAsia="微软雅黑"/>
                <w:b w:val="0"/>
                <w:i w:val="0"/>
                <w:sz w:val="18"/>
              </w:rPr>
              <w:t>5%</w:t>
            </w:r>
          </w:p>
        </w:tc>
        <w:tc>
          <w:tcPr>
            <w:tcW w:type="dxa" w:w="1383"/>
          </w:tcPr>
          <w:p>
            <w:r/>
            <w:r>
              <w:rPr>
                <w:rFonts w:ascii="Calibri" w:hAnsi="Calibri" w:eastAsia="微软雅黑"/>
                <w:b w:val="0"/>
                <w:i w:val="0"/>
                <w:sz w:val="18"/>
              </w:rPr>
              <w:t>启动组织淘汰程序，剥离出EPC主力人才梯队</w:t>
            </w:r>
          </w:p>
        </w:tc>
      </w:tr>
    </w:tbl>
    <w:p>
      <w:r>
        <w:rPr>
          <w:rFonts w:ascii="Calibri" w:hAnsi="Calibri" w:eastAsia="微软雅黑"/>
          <w:b w:val="0"/>
          <w:i w:val="0"/>
          <w:sz w:val="22"/>
        </w:rPr>
        <w:t>同时以"十年赌注"式长线绑定对掌握核心造价方法与专有技术包的高端人才实施专项激励，防止核心资产在行业下行期流失（详见本章第一节第四目）[来源: P000851]。</w:t>
      </w:r>
    </w:p>
    <w:p>
      <w:pPr>
        <w:pStyle w:val="ListBullet"/>
      </w:pPr>
      <w:r>
        <w:rPr>
          <w:rFonts w:ascii="Calibri" w:hAnsi="Calibri" w:eastAsia="微软雅黑"/>
          <w:b/>
          <w:i w:val="0"/>
          <w:sz w:val="22"/>
        </w:rPr>
        <w:t>结果（Result）</w:t>
      </w:r>
      <w:r>
        <w:rPr>
          <w:rFonts w:ascii="Calibri" w:hAnsi="Calibri" w:eastAsia="微软雅黑"/>
          <w:b w:val="0"/>
          <w:i w:val="0"/>
          <w:sz w:val="22"/>
        </w:rPr>
        <w:t>：通过九宫格精准盘点与配置，消除了传统施工项目部"缺乏设计与采购协同岗位、把EPC简化为施工总承包+买设备"的致命反模式，提升了效能指数分子端的目标达成率与节点付款成就率，组织冗余与履约合规风险同步下降（结果表述为专项研究成果归纳）[来源: P000851]。</w:t>
      </w:r>
    </w:p>
    <w:p>
      <w:pPr>
        <w:pStyle w:val="Heading3"/>
      </w:pPr>
      <w:r>
        <w:t>9.1.4 十年赌注：行业变局中的核心人才长线绑定 [来源: P000851]</w:t>
      </w:r>
    </w:p>
    <w:p>
      <w:r>
        <w:rPr>
          <w:rFonts w:ascii="Calibri" w:hAnsi="Calibri" w:eastAsia="微软雅黑"/>
          <w:b w:val="0"/>
          <w:i w:val="0"/>
          <w:sz w:val="22"/>
        </w:rPr>
        <w:t>面对PPP规范治理"92号文"（财办金〔2017〕92号）与"192号文"（国资发财管〔2017〕192号）出台引发的市场剧烈波动与行业周期调整，工程企业必须识别"变与不变"，坚定下注于核心人才资产（策略框架据专项研究成果）[来源: P000851]。</w:t>
      </w:r>
      <w:r>
        <w:rPr>
          <w:rFonts w:ascii="Calibri" w:hAnsi="Calibri" w:eastAsia="微软雅黑"/>
          <w:b/>
          <w:i w:val="0"/>
          <w:sz w:val="22"/>
        </w:rPr>
        <w:t>变局中的不变</w:t>
      </w:r>
      <w:r>
        <w:rPr>
          <w:rFonts w:ascii="Calibri" w:hAnsi="Calibri" w:eastAsia="微软雅黑"/>
          <w:b w:val="0"/>
          <w:i w:val="0"/>
          <w:sz w:val="22"/>
        </w:rPr>
        <w:t>：无论外部金融政策与PPP治理如何演变，工业EPC复杂设备集成能力、设计概算与造价精确核算能力、合同合规履约与风控能力，永远是特大型工程企业的底层竞争壁垒。</w:t>
      </w:r>
      <w:r>
        <w:rPr>
          <w:rFonts w:ascii="Calibri" w:hAnsi="Calibri" w:eastAsia="微软雅黑"/>
          <w:b/>
          <w:i w:val="0"/>
          <w:sz w:val="22"/>
        </w:rPr>
        <w:t>下注策略</w:t>
      </w:r>
      <w:r>
        <w:rPr>
          <w:rFonts w:ascii="Calibri" w:hAnsi="Calibri" w:eastAsia="微软雅黑"/>
          <w:b w:val="0"/>
          <w:i w:val="0"/>
          <w:sz w:val="22"/>
        </w:rPr>
        <w:t>：对熟练掌握以下核心造价方法的复合型人才提供十年期长期职业通道与股权/虚拟期权激励——概算定额法与类似工程预算法；设备价值百分比法（初步设计深度不够、仅有设备出厂价时，以设备原价乘安装费率评估安装费）；综合吨位指标法（用于价格波动较大的非标准设备和引进设备安装费核算，以设备吨重乘每吨安装费指标）。掌握这套精算体系的专家是工业EPC的"定海神针"，长期绑定可防止行业周期下行时核心资产流失 [来源: P000851]。</w:t>
      </w:r>
    </w:p>
    <w:p>
      <w:pPr>
        <w:pStyle w:val="Heading3"/>
      </w:pPr>
      <w:r>
        <w:t>9.1.5 可执行方法：胜任力模型搭建三步法（本研究归纳，示意性复盘）</w:t>
      </w:r>
    </w:p>
    <w:p>
      <w:pPr>
        <w:pStyle w:val="ListNumber"/>
      </w:pPr>
      <w:r>
        <w:rPr>
          <w:rFonts w:ascii="Calibri" w:hAnsi="Calibri" w:eastAsia="微软雅黑"/>
          <w:b/>
          <w:i w:val="0"/>
          <w:sz w:val="22"/>
        </w:rPr>
        <w:t>第一步：标准制定与量化指标嵌入</w:t>
      </w:r>
      <w:r>
        <w:rPr>
          <w:rFonts w:ascii="Calibri" w:hAnsi="Calibri" w:eastAsia="微软雅黑"/>
          <w:b w:val="0"/>
          <w:i w:val="0"/>
          <w:sz w:val="22"/>
        </w:rPr>
        <w:t>。结合企业主营业务类型（炼化、电力、建筑、市政），将概算偏差控制、节点付款成就率、签证双人双签执行率等硬性指标嵌入岗位评估表——阈值由企业按项目复杂度自定并写入岗位说明书。</w:t>
      </w:r>
    </w:p>
    <w:p>
      <w:pPr>
        <w:pStyle w:val="ListNumber"/>
      </w:pPr>
      <w:r>
        <w:rPr>
          <w:rFonts w:ascii="Calibri" w:hAnsi="Calibri" w:eastAsia="微软雅黑"/>
          <w:b/>
          <w:i w:val="0"/>
          <w:sz w:val="22"/>
        </w:rPr>
        <w:t>第二步：实战演练与模拟盘点</w:t>
      </w:r>
      <w:r>
        <w:rPr>
          <w:rFonts w:ascii="Calibri" w:hAnsi="Calibri" w:eastAsia="微软雅黑"/>
          <w:b w:val="0"/>
          <w:i w:val="0"/>
          <w:sz w:val="22"/>
        </w:rPr>
        <w:t>。组织项目经理与设计经理开展限额设计模拟测算与FIDIC索赔实战演练，重点测试极端变更情境下的商务与技术应变能力。</w:t>
      </w:r>
    </w:p>
    <w:p>
      <w:pPr>
        <w:pStyle w:val="ListNumber"/>
      </w:pPr>
      <w:r>
        <w:rPr>
          <w:rFonts w:ascii="Calibri" w:hAnsi="Calibri" w:eastAsia="微软雅黑"/>
          <w:b/>
          <w:i w:val="0"/>
          <w:sz w:val="22"/>
        </w:rPr>
        <w:t>第三步：动态盘点与卡位处置</w:t>
      </w:r>
      <w:r>
        <w:rPr>
          <w:rFonts w:ascii="Calibri" w:hAnsi="Calibri" w:eastAsia="微软雅黑"/>
          <w:b w:val="0"/>
          <w:i w:val="0"/>
          <w:sz w:val="22"/>
        </w:rPr>
        <w:t>。每年度对照九宫格全员打分，明星区与中流砥柱区给予倾斜激励；落入业绩改善区的人员及时启动改善机制或岗位调整，确保胜任力与项目风险等级精准匹配 [来源: P000851]。</w:t>
      </w:r>
    </w:p>
    <w:p>
      <w:r>
        <w:rPr>
          <w:rFonts w:ascii="Calibri" w:hAnsi="Calibri" w:eastAsia="微软雅黑"/>
          <w:b w:val="0"/>
          <w:i w:val="0"/>
          <w:sz w:val="22"/>
        </w:rPr>
        <w:t>---</w:t>
      </w:r>
    </w:p>
    <w:p>
      <w:pPr>
        <w:pStyle w:val="Heading2"/>
      </w:pPr>
      <w:r>
        <w:t>9.2 组织选型：从传统体制到柔性矩阵的演进</w:t>
      </w:r>
    </w:p>
    <w:p>
      <w:r>
        <w:rPr>
          <w:rFonts w:ascii="Calibri" w:hAnsi="Calibri" w:eastAsia="微软雅黑"/>
          <w:b w:val="0"/>
          <w:i w:val="0"/>
          <w:sz w:val="22"/>
        </w:rPr>
        <w:t>工程总承包模式的成功落地，高度依赖组织架构与业务特性的匹配度。企业必须打破设计院"按专业所割裂"或施工企业"按行政层级管控"的僵化体制，向适应EPC全过程一体化的柔性矩阵架构演进（演进方向为本研究归纳）。</w:t>
      </w:r>
    </w:p>
    <w:p>
      <w:pPr>
        <w:pStyle w:val="Heading3"/>
      </w:pPr>
      <w:r>
        <w:t>9.2.1 五种组织模式的选型谱系</w:t>
      </w:r>
    </w:p>
    <w:p>
      <w:pPr>
        <w:pStyle w:val="Heading4"/>
      </w:pPr>
      <w:r>
        <w:t>表9-3 EPC组织模式选型谱系（本研究归纳整理）[来源: P000801, P000811, P000816, P000826, P000831]</w:t>
      </w:r>
    </w:p>
    <w:tbl>
      <w:tblPr>
        <w:tblStyle w:val="TableGrid"/>
        <w:tblW w:type="auto" w:w="0"/>
        <w:tblLook w:firstColumn="1" w:firstRow="1" w:lastColumn="0" w:lastRow="0" w:noHBand="0" w:noVBand="1" w:val="04A0"/>
      </w:tblPr>
      <w:tblGrid>
        <w:gridCol w:w="1660"/>
        <w:gridCol w:w="1660"/>
        <w:gridCol w:w="1660"/>
        <w:gridCol w:w="1660"/>
        <w:gridCol w:w="1660"/>
      </w:tblGrid>
      <w:tr>
        <w:tc>
          <w:tcPr>
            <w:tcW w:type="dxa" w:w="1660"/>
            <w:shd w:fill="1F3A5F"/>
          </w:tcPr>
          <w:p>
            <w:r>
              <w:rPr>
                <w:color w:val="FFFFFF"/>
              </w:rPr>
            </w:r>
            <w:r>
              <w:rPr>
                <w:rFonts w:ascii="Calibri" w:hAnsi="Calibri" w:eastAsia="微软雅黑"/>
                <w:b/>
                <w:i w:val="0"/>
                <w:color w:val="FFFFFF"/>
                <w:sz w:val="18"/>
              </w:rPr>
              <w:t>组织模式</w:t>
            </w:r>
          </w:p>
        </w:tc>
        <w:tc>
          <w:tcPr>
            <w:tcW w:type="dxa" w:w="1660"/>
            <w:shd w:fill="1F3A5F"/>
          </w:tcPr>
          <w:p>
            <w:r>
              <w:rPr>
                <w:color w:val="FFFFFF"/>
              </w:rPr>
            </w:r>
            <w:r>
              <w:rPr>
                <w:rFonts w:ascii="Calibri" w:hAnsi="Calibri" w:eastAsia="微软雅黑"/>
                <w:b/>
                <w:i w:val="0"/>
                <w:color w:val="FFFFFF"/>
                <w:sz w:val="18"/>
              </w:rPr>
              <w:t>结构特征</w:t>
            </w:r>
          </w:p>
        </w:tc>
        <w:tc>
          <w:tcPr>
            <w:tcW w:type="dxa" w:w="1660"/>
            <w:shd w:fill="1F3A5F"/>
          </w:tcPr>
          <w:p>
            <w:r>
              <w:rPr>
                <w:color w:val="FFFFFF"/>
              </w:rPr>
            </w:r>
            <w:r>
              <w:rPr>
                <w:rFonts w:ascii="Calibri" w:hAnsi="Calibri" w:eastAsia="微软雅黑"/>
                <w:b/>
                <w:i w:val="0"/>
                <w:color w:val="FFFFFF"/>
                <w:sz w:val="18"/>
              </w:rPr>
              <w:t>优势</w:t>
            </w:r>
          </w:p>
        </w:tc>
        <w:tc>
          <w:tcPr>
            <w:tcW w:type="dxa" w:w="1660"/>
            <w:shd w:fill="1F3A5F"/>
          </w:tcPr>
          <w:p>
            <w:r>
              <w:rPr>
                <w:color w:val="FFFFFF"/>
              </w:rPr>
            </w:r>
            <w:r>
              <w:rPr>
                <w:rFonts w:ascii="Calibri" w:hAnsi="Calibri" w:eastAsia="微软雅黑"/>
                <w:b/>
                <w:i w:val="0"/>
                <w:color w:val="FFFFFF"/>
                <w:sz w:val="18"/>
              </w:rPr>
              <w:t>局限与风险</w:t>
            </w:r>
          </w:p>
        </w:tc>
        <w:tc>
          <w:tcPr>
            <w:tcW w:type="dxa" w:w="1660"/>
            <w:shd w:fill="1F3A5F"/>
          </w:tcPr>
          <w:p>
            <w:r>
              <w:rPr>
                <w:color w:val="FFFFFF"/>
              </w:rPr>
            </w:r>
            <w:r>
              <w:rPr>
                <w:rFonts w:ascii="Calibri" w:hAnsi="Calibri" w:eastAsia="微软雅黑"/>
                <w:b/>
                <w:i w:val="0"/>
                <w:color w:val="FFFFFF"/>
                <w:sz w:val="18"/>
              </w:rPr>
              <w:t>适用场景</w:t>
            </w:r>
          </w:p>
        </w:tc>
      </w:tr>
      <w:tr>
        <w:tc>
          <w:tcPr>
            <w:tcW w:type="dxa" w:w="1660"/>
          </w:tcPr>
          <w:p>
            <w:r/>
            <w:r>
              <w:rPr>
                <w:rFonts w:ascii="Calibri" w:hAnsi="Calibri" w:eastAsia="微软雅黑"/>
                <w:b w:val="0"/>
                <w:i w:val="0"/>
                <w:sz w:val="18"/>
              </w:rPr>
              <w:t>传统设计/施工分割体制（DBB）</w:t>
            </w:r>
          </w:p>
        </w:tc>
        <w:tc>
          <w:tcPr>
            <w:tcW w:type="dxa" w:w="1660"/>
          </w:tcPr>
          <w:p>
            <w:r/>
            <w:r>
              <w:rPr>
                <w:rFonts w:ascii="Calibri" w:hAnsi="Calibri" w:eastAsia="微软雅黑"/>
                <w:b w:val="0"/>
                <w:i w:val="0"/>
                <w:sz w:val="18"/>
              </w:rPr>
              <w:t>行政垂直管理，设计所与施工项目部各自独立</w:t>
            </w:r>
          </w:p>
        </w:tc>
        <w:tc>
          <w:tcPr>
            <w:tcW w:type="dxa" w:w="1660"/>
          </w:tcPr>
          <w:p>
            <w:r/>
            <w:r>
              <w:rPr>
                <w:rFonts w:ascii="Calibri" w:hAnsi="Calibri" w:eastAsia="微软雅黑"/>
                <w:b w:val="0"/>
                <w:i w:val="0"/>
                <w:sz w:val="18"/>
              </w:rPr>
              <w:t>专业深度高，指挥链清晰</w:t>
            </w:r>
          </w:p>
        </w:tc>
        <w:tc>
          <w:tcPr>
            <w:tcW w:type="dxa" w:w="1660"/>
          </w:tcPr>
          <w:p>
            <w:r/>
            <w:r>
              <w:rPr>
                <w:rFonts w:ascii="Calibri" w:hAnsi="Calibri" w:eastAsia="微软雅黑"/>
                <w:b w:val="0"/>
                <w:i w:val="0"/>
                <w:sz w:val="18"/>
              </w:rPr>
              <w:t>跨专业壁垒深厚，设计不顾采购与施工，概算超支与接口冲突高发</w:t>
            </w:r>
          </w:p>
        </w:tc>
        <w:tc>
          <w:tcPr>
            <w:tcW w:type="dxa" w:w="1660"/>
          </w:tcPr>
          <w:p>
            <w:r/>
            <w:r>
              <w:rPr>
                <w:rFonts w:ascii="Calibri" w:hAnsi="Calibri" w:eastAsia="微软雅黑"/>
                <w:b w:val="0"/>
                <w:i w:val="0"/>
                <w:sz w:val="18"/>
              </w:rPr>
              <w:t>单一设计咨询或传统施工承包</w:t>
            </w:r>
          </w:p>
        </w:tc>
      </w:tr>
      <w:tr>
        <w:tc>
          <w:tcPr>
            <w:tcW w:type="dxa" w:w="1660"/>
          </w:tcPr>
          <w:p>
            <w:r/>
            <w:r>
              <w:rPr>
                <w:rFonts w:ascii="Calibri" w:hAnsi="Calibri" w:eastAsia="微软雅黑"/>
                <w:b w:val="0"/>
                <w:i w:val="0"/>
                <w:sz w:val="18"/>
              </w:rPr>
              <w:t>设计主导型矩阵</w:t>
            </w:r>
          </w:p>
        </w:tc>
        <w:tc>
          <w:tcPr>
            <w:tcW w:type="dxa" w:w="1660"/>
          </w:tcPr>
          <w:p>
            <w:r/>
            <w:r>
              <w:rPr>
                <w:rFonts w:ascii="Calibri" w:hAnsi="Calibri" w:eastAsia="微软雅黑"/>
                <w:b w:val="0"/>
                <w:i w:val="0"/>
                <w:sz w:val="18"/>
              </w:rPr>
              <w:t>以设计院为核心，下设EPC事业部或项目管理部，集成采购与施工</w:t>
            </w:r>
          </w:p>
        </w:tc>
        <w:tc>
          <w:tcPr>
            <w:tcW w:type="dxa" w:w="1660"/>
          </w:tcPr>
          <w:p>
            <w:r/>
            <w:r>
              <w:rPr>
                <w:rFonts w:ascii="Calibri" w:hAnsi="Calibri" w:eastAsia="微软雅黑"/>
                <w:b w:val="0"/>
                <w:i w:val="0"/>
                <w:sz w:val="18"/>
              </w:rPr>
              <w:t>前端设计牵引力强，限额设计与技术集成度高</w:t>
            </w:r>
          </w:p>
        </w:tc>
        <w:tc>
          <w:tcPr>
            <w:tcW w:type="dxa" w:w="1660"/>
          </w:tcPr>
          <w:p>
            <w:r/>
            <w:r>
              <w:rPr>
                <w:rFonts w:ascii="Calibri" w:hAnsi="Calibri" w:eastAsia="微软雅黑"/>
                <w:b w:val="0"/>
                <w:i w:val="0"/>
                <w:sz w:val="18"/>
              </w:rPr>
              <w:t>施工现场管控与大型设备供应链整合相对较弱</w:t>
            </w:r>
          </w:p>
        </w:tc>
        <w:tc>
          <w:tcPr>
            <w:tcW w:type="dxa" w:w="1660"/>
          </w:tcPr>
          <w:p>
            <w:r/>
            <w:r>
              <w:rPr>
                <w:rFonts w:ascii="Calibri" w:hAnsi="Calibri" w:eastAsia="微软雅黑"/>
                <w:b w:val="0"/>
                <w:i w:val="0"/>
                <w:sz w:val="18"/>
              </w:rPr>
              <w:t>工业工程、化工、新能源等技术密集型EPC</w:t>
            </w:r>
          </w:p>
        </w:tc>
      </w:tr>
      <w:tr>
        <w:tc>
          <w:tcPr>
            <w:tcW w:type="dxa" w:w="1660"/>
          </w:tcPr>
          <w:p>
            <w:r/>
            <w:r>
              <w:rPr>
                <w:rFonts w:ascii="Calibri" w:hAnsi="Calibri" w:eastAsia="微软雅黑"/>
                <w:b w:val="0"/>
                <w:i w:val="0"/>
                <w:sz w:val="18"/>
              </w:rPr>
              <w:t>施工主导型矩阵</w:t>
            </w:r>
          </w:p>
        </w:tc>
        <w:tc>
          <w:tcPr>
            <w:tcW w:type="dxa" w:w="1660"/>
          </w:tcPr>
          <w:p>
            <w:r/>
            <w:r>
              <w:rPr>
                <w:rFonts w:ascii="Calibri" w:hAnsi="Calibri" w:eastAsia="微软雅黑"/>
                <w:b w:val="0"/>
                <w:i w:val="0"/>
                <w:sz w:val="18"/>
              </w:rPr>
              <w:t>以施工局/公司为核心，外包或内部整合设计力量</w:t>
            </w:r>
          </w:p>
        </w:tc>
        <w:tc>
          <w:tcPr>
            <w:tcW w:type="dxa" w:w="1660"/>
          </w:tcPr>
          <w:p>
            <w:r/>
            <w:r>
              <w:rPr>
                <w:rFonts w:ascii="Calibri" w:hAnsi="Calibri" w:eastAsia="微软雅黑"/>
                <w:b w:val="0"/>
                <w:i w:val="0"/>
                <w:sz w:val="18"/>
              </w:rPr>
              <w:t>现场组织力强，大型机械与劳务调度高效</w:t>
            </w:r>
          </w:p>
        </w:tc>
        <w:tc>
          <w:tcPr>
            <w:tcW w:type="dxa" w:w="1660"/>
          </w:tcPr>
          <w:p>
            <w:r/>
            <w:r>
              <w:rPr>
                <w:rFonts w:ascii="Calibri" w:hAnsi="Calibri" w:eastAsia="微软雅黑"/>
                <w:b w:val="0"/>
                <w:i w:val="0"/>
                <w:sz w:val="18"/>
              </w:rPr>
              <w:t>前端设计控制力弱，易退化为"施工总承包+买设备"</w:t>
            </w:r>
          </w:p>
        </w:tc>
        <w:tc>
          <w:tcPr>
            <w:tcW w:type="dxa" w:w="1660"/>
          </w:tcPr>
          <w:p>
            <w:r/>
            <w:r>
              <w:rPr>
                <w:rFonts w:ascii="Calibri" w:hAnsi="Calibri" w:eastAsia="微软雅黑"/>
                <w:b w:val="0"/>
                <w:i w:val="0"/>
                <w:sz w:val="18"/>
              </w:rPr>
              <w:t>房建、基础设施、市政等大型建造类EPC</w:t>
            </w:r>
          </w:p>
        </w:tc>
      </w:tr>
      <w:tr>
        <w:tc>
          <w:tcPr>
            <w:tcW w:type="dxa" w:w="1660"/>
          </w:tcPr>
          <w:p>
            <w:r/>
            <w:r>
              <w:rPr>
                <w:rFonts w:ascii="Calibri" w:hAnsi="Calibri" w:eastAsia="微软雅黑"/>
                <w:b w:val="0"/>
                <w:i w:val="0"/>
                <w:sz w:val="18"/>
              </w:rPr>
              <w:t>事业部制与区域矩阵</w:t>
            </w:r>
          </w:p>
        </w:tc>
        <w:tc>
          <w:tcPr>
            <w:tcW w:type="dxa" w:w="1660"/>
          </w:tcPr>
          <w:p>
            <w:r/>
            <w:r>
              <w:rPr>
                <w:rFonts w:ascii="Calibri" w:hAnsi="Calibri" w:eastAsia="微软雅黑"/>
                <w:b w:val="0"/>
                <w:i w:val="0"/>
                <w:sz w:val="18"/>
              </w:rPr>
              <w:t>按业务板块或区域市场设相对独立事业部，扁平化授权</w:t>
            </w:r>
          </w:p>
        </w:tc>
        <w:tc>
          <w:tcPr>
            <w:tcW w:type="dxa" w:w="1660"/>
          </w:tcPr>
          <w:p>
            <w:r/>
            <w:r>
              <w:rPr>
                <w:rFonts w:ascii="Calibri" w:hAnsi="Calibri" w:eastAsia="微软雅黑"/>
                <w:b w:val="0"/>
                <w:i w:val="0"/>
                <w:sz w:val="18"/>
              </w:rPr>
              <w:t>市场响应快，区域深耕深，基层活力足</w:t>
            </w:r>
          </w:p>
        </w:tc>
        <w:tc>
          <w:tcPr>
            <w:tcW w:type="dxa" w:w="1660"/>
          </w:tcPr>
          <w:p>
            <w:r/>
            <w:r>
              <w:rPr>
                <w:rFonts w:ascii="Calibri" w:hAnsi="Calibri" w:eastAsia="微软雅黑"/>
                <w:b w:val="0"/>
                <w:i w:val="0"/>
                <w:sz w:val="18"/>
              </w:rPr>
              <w:t>总部资源分散、重复建设与跨区域协调摩擦</w:t>
            </w:r>
          </w:p>
        </w:tc>
        <w:tc>
          <w:tcPr>
            <w:tcW w:type="dxa" w:w="1660"/>
          </w:tcPr>
          <w:p>
            <w:r/>
            <w:r>
              <w:rPr>
                <w:rFonts w:ascii="Calibri" w:hAnsi="Calibri" w:eastAsia="微软雅黑"/>
                <w:b w:val="0"/>
                <w:i w:val="0"/>
                <w:sz w:val="18"/>
              </w:rPr>
              <w:t>全国布局、多业务并发的大型集团</w:t>
            </w:r>
          </w:p>
        </w:tc>
      </w:tr>
      <w:tr>
        <w:tc>
          <w:tcPr>
            <w:tcW w:type="dxa" w:w="1660"/>
          </w:tcPr>
          <w:p>
            <w:r/>
            <w:r>
              <w:rPr>
                <w:rFonts w:ascii="Calibri" w:hAnsi="Calibri" w:eastAsia="微软雅黑"/>
                <w:b w:val="0"/>
                <w:i w:val="0"/>
                <w:sz w:val="18"/>
              </w:rPr>
              <w:t>扁平化柔性网络组织</w:t>
            </w:r>
          </w:p>
        </w:tc>
        <w:tc>
          <w:tcPr>
            <w:tcW w:type="dxa" w:w="1660"/>
          </w:tcPr>
          <w:p>
            <w:r/>
            <w:r>
              <w:rPr>
                <w:rFonts w:ascii="Calibri" w:hAnsi="Calibri" w:eastAsia="微软雅黑"/>
                <w:b w:val="0"/>
                <w:i w:val="0"/>
                <w:sz w:val="18"/>
              </w:rPr>
              <w:t>围绕项目成立敏捷团队，总部定位为PMO战略与能力共享平台</w:t>
            </w:r>
          </w:p>
        </w:tc>
        <w:tc>
          <w:tcPr>
            <w:tcW w:type="dxa" w:w="1660"/>
          </w:tcPr>
          <w:p>
            <w:r/>
            <w:r>
              <w:rPr>
                <w:rFonts w:ascii="Calibri" w:hAnsi="Calibri" w:eastAsia="微软雅黑"/>
                <w:b w:val="0"/>
                <w:i w:val="0"/>
                <w:sz w:val="18"/>
              </w:rPr>
              <w:t>决策链极短，组织冗余率低</w:t>
            </w:r>
          </w:p>
        </w:tc>
        <w:tc>
          <w:tcPr>
            <w:tcW w:type="dxa" w:w="1660"/>
          </w:tcPr>
          <w:p>
            <w:r/>
            <w:r>
              <w:rPr>
                <w:rFonts w:ascii="Calibri" w:hAnsi="Calibri" w:eastAsia="微软雅黑"/>
                <w:b w:val="0"/>
                <w:i w:val="0"/>
                <w:sz w:val="18"/>
              </w:rPr>
              <w:t>对项目经理个人综合能力依赖极高，风控门禁缺失易失控</w:t>
            </w:r>
          </w:p>
        </w:tc>
        <w:tc>
          <w:tcPr>
            <w:tcW w:type="dxa" w:w="1660"/>
          </w:tcPr>
          <w:p>
            <w:r/>
            <w:r>
              <w:rPr>
                <w:rFonts w:ascii="Calibri" w:hAnsi="Calibri" w:eastAsia="微软雅黑"/>
                <w:b w:val="0"/>
                <w:i w:val="0"/>
                <w:sz w:val="18"/>
              </w:rPr>
              <w:t>国际工程、高科技轻资产工程与"EPC+"创新业务</w:t>
            </w:r>
          </w:p>
        </w:tc>
      </w:tr>
    </w:tbl>
    <w:p>
      <w:r>
        <w:rPr>
          <w:rFonts w:ascii="Calibri" w:hAnsi="Calibri" w:eastAsia="微软雅黑"/>
          <w:b w:val="0"/>
          <w:i w:val="0"/>
          <w:sz w:val="22"/>
        </w:rPr>
        <w:t>从传统DBB体制到工业EPC矩阵模式的跃迁，其组织维度的差异可以概括为四组对照（据专项研究成果整理）[来源: P000851]：</w:t>
      </w:r>
    </w:p>
    <w:p>
      <w:pPr>
        <w:pStyle w:val="Heading4"/>
      </w:pPr>
      <w:r>
        <w:t>表9-4 传统DBB模式与工业EPC矩阵模式的组织维度对照（据专项研究成果整理）[来源: P000851]</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组织维度</w:t>
            </w:r>
          </w:p>
        </w:tc>
        <w:tc>
          <w:tcPr>
            <w:tcW w:type="dxa" w:w="2767"/>
            <w:shd w:fill="1F3A5F"/>
          </w:tcPr>
          <w:p>
            <w:r>
              <w:rPr>
                <w:color w:val="FFFFFF"/>
              </w:rPr>
            </w:r>
            <w:r>
              <w:rPr>
                <w:rFonts w:ascii="Calibri" w:hAnsi="Calibri" w:eastAsia="微软雅黑"/>
                <w:b/>
                <w:i w:val="0"/>
                <w:color w:val="FFFFFF"/>
                <w:sz w:val="18"/>
              </w:rPr>
              <w:t>传统DBB模式</w:t>
            </w:r>
          </w:p>
        </w:tc>
        <w:tc>
          <w:tcPr>
            <w:tcW w:type="dxa" w:w="2767"/>
            <w:shd w:fill="1F3A5F"/>
          </w:tcPr>
          <w:p>
            <w:r>
              <w:rPr>
                <w:color w:val="FFFFFF"/>
              </w:rPr>
            </w:r>
            <w:r>
              <w:rPr>
                <w:rFonts w:ascii="Calibri" w:hAnsi="Calibri" w:eastAsia="微软雅黑"/>
                <w:b/>
                <w:i w:val="0"/>
                <w:color w:val="FFFFFF"/>
                <w:sz w:val="18"/>
              </w:rPr>
              <w:t>工业EPC总承包矩阵模式</w:t>
            </w:r>
          </w:p>
        </w:tc>
      </w:tr>
      <w:tr>
        <w:tc>
          <w:tcPr>
            <w:tcW w:type="dxa" w:w="2767"/>
          </w:tcPr>
          <w:p>
            <w:r/>
            <w:r>
              <w:rPr>
                <w:rFonts w:ascii="Calibri" w:hAnsi="Calibri" w:eastAsia="微软雅黑"/>
                <w:b w:val="0"/>
                <w:i w:val="0"/>
                <w:sz w:val="18"/>
              </w:rPr>
              <w:t>设计与采购/施工接口</w:t>
            </w:r>
          </w:p>
        </w:tc>
        <w:tc>
          <w:tcPr>
            <w:tcW w:type="dxa" w:w="2767"/>
          </w:tcPr>
          <w:p>
            <w:r/>
            <w:r>
              <w:rPr>
                <w:rFonts w:ascii="Calibri" w:hAnsi="Calibri" w:eastAsia="微软雅黑"/>
                <w:b w:val="0"/>
                <w:i w:val="0"/>
                <w:sz w:val="18"/>
              </w:rPr>
              <w:t>串行推进，设计图纸交付后方可采购，设计不参与厂商图纸审核与施工方案优化</w:t>
            </w:r>
          </w:p>
        </w:tc>
        <w:tc>
          <w:tcPr>
            <w:tcW w:type="dxa" w:w="2767"/>
          </w:tcPr>
          <w:p>
            <w:r/>
            <w:r>
              <w:rPr>
                <w:rFonts w:ascii="Calibri" w:hAnsi="Calibri" w:eastAsia="微软雅黑"/>
                <w:b w:val="0"/>
                <w:i w:val="0"/>
                <w:sz w:val="18"/>
              </w:rPr>
              <w:t>深度并行工程，设计主导工艺管道及仪表流程图交付，驱动长周期设备采购与现场模块化施工</w:t>
            </w:r>
          </w:p>
        </w:tc>
      </w:tr>
      <w:tr>
        <w:tc>
          <w:tcPr>
            <w:tcW w:type="dxa" w:w="2767"/>
          </w:tcPr>
          <w:p>
            <w:r/>
            <w:r>
              <w:rPr>
                <w:rFonts w:ascii="Calibri" w:hAnsi="Calibri" w:eastAsia="微软雅黑"/>
                <w:b w:val="0"/>
                <w:i w:val="0"/>
                <w:sz w:val="18"/>
              </w:rPr>
              <w:t>责任主体与组织响应</w:t>
            </w:r>
          </w:p>
        </w:tc>
        <w:tc>
          <w:tcPr>
            <w:tcW w:type="dxa" w:w="2767"/>
          </w:tcPr>
          <w:p>
            <w:r/>
            <w:r>
              <w:rPr>
                <w:rFonts w:ascii="Calibri" w:hAnsi="Calibri" w:eastAsia="微软雅黑"/>
                <w:b w:val="0"/>
                <w:i w:val="0"/>
                <w:sz w:val="18"/>
              </w:rPr>
              <w:t>设计方与施工方责任割裂，发包人承担大量跨专业协调成本，组织变更响应极慢</w:t>
            </w:r>
          </w:p>
        </w:tc>
        <w:tc>
          <w:tcPr>
            <w:tcW w:type="dxa" w:w="2767"/>
          </w:tcPr>
          <w:p>
            <w:r/>
            <w:r>
              <w:rPr>
                <w:rFonts w:ascii="Calibri" w:hAnsi="Calibri" w:eastAsia="微软雅黑"/>
                <w:b w:val="0"/>
                <w:i w:val="0"/>
                <w:sz w:val="18"/>
              </w:rPr>
              <w:t>总承包商承担单一完工责任，总部平台对项目矩阵授权，响应速度快，组织边界柔性化</w:t>
            </w:r>
          </w:p>
        </w:tc>
      </w:tr>
      <w:tr>
        <w:tc>
          <w:tcPr>
            <w:tcW w:type="dxa" w:w="2767"/>
          </w:tcPr>
          <w:p>
            <w:r/>
            <w:r>
              <w:rPr>
                <w:rFonts w:ascii="Calibri" w:hAnsi="Calibri" w:eastAsia="微软雅黑"/>
                <w:b w:val="0"/>
                <w:i w:val="0"/>
                <w:sz w:val="18"/>
              </w:rPr>
              <w:t>概算控制与造价方法</w:t>
            </w:r>
          </w:p>
        </w:tc>
        <w:tc>
          <w:tcPr>
            <w:tcW w:type="dxa" w:w="2767"/>
          </w:tcPr>
          <w:p>
            <w:r/>
            <w:r>
              <w:rPr>
                <w:rFonts w:ascii="Calibri" w:hAnsi="Calibri" w:eastAsia="微软雅黑"/>
                <w:b w:val="0"/>
                <w:i w:val="0"/>
                <w:sz w:val="18"/>
              </w:rPr>
              <w:t>依赖施工图预算套用静态定额，事后被动算账，概算极易失控</w:t>
            </w:r>
          </w:p>
        </w:tc>
        <w:tc>
          <w:tcPr>
            <w:tcW w:type="dxa" w:w="2767"/>
          </w:tcPr>
          <w:p>
            <w:r/>
            <w:r>
              <w:rPr>
                <w:rFonts w:ascii="Calibri" w:hAnsi="Calibri" w:eastAsia="微软雅黑"/>
                <w:b w:val="0"/>
                <w:i w:val="0"/>
                <w:sz w:val="18"/>
              </w:rPr>
              <w:t>采用概算定额法/概算指标法与设备价值百分比法，实行初步设计阶段限额设计动态管控</w:t>
            </w:r>
          </w:p>
        </w:tc>
      </w:tr>
      <w:tr>
        <w:tc>
          <w:tcPr>
            <w:tcW w:type="dxa" w:w="2767"/>
          </w:tcPr>
          <w:p>
            <w:r/>
            <w:r>
              <w:rPr>
                <w:rFonts w:ascii="Calibri" w:hAnsi="Calibri" w:eastAsia="微软雅黑"/>
                <w:b w:val="0"/>
                <w:i w:val="0"/>
                <w:sz w:val="18"/>
              </w:rPr>
              <w:t>关键交付与风控焦点</w:t>
            </w:r>
          </w:p>
        </w:tc>
        <w:tc>
          <w:tcPr>
            <w:tcW w:type="dxa" w:w="2767"/>
          </w:tcPr>
          <w:p>
            <w:r/>
            <w:r>
              <w:rPr>
                <w:rFonts w:ascii="Calibri" w:hAnsi="Calibri" w:eastAsia="微软雅黑"/>
                <w:b w:val="0"/>
                <w:i w:val="0"/>
                <w:sz w:val="18"/>
              </w:rPr>
              <w:t>聚焦施工现场安全质量与工程量增减核算</w:t>
            </w:r>
          </w:p>
        </w:tc>
        <w:tc>
          <w:tcPr>
            <w:tcW w:type="dxa" w:w="2767"/>
          </w:tcPr>
          <w:p>
            <w:r/>
            <w:r>
              <w:rPr>
                <w:rFonts w:ascii="Calibri" w:hAnsi="Calibri" w:eastAsia="微软雅黑"/>
                <w:b w:val="0"/>
                <w:i w:val="0"/>
                <w:sz w:val="18"/>
              </w:rPr>
              <w:t>聚焦工艺包吸收率、危险与可操作性分析审查、节点技术文件归集、请款条件成就及保函风险</w:t>
            </w:r>
          </w:p>
        </w:tc>
      </w:tr>
    </w:tbl>
    <w:p>
      <w:r>
        <w:rPr>
          <w:rFonts w:ascii="Calibri" w:hAnsi="Calibri" w:eastAsia="微软雅黑"/>
          <w:b w:val="0"/>
          <w:i w:val="0"/>
          <w:sz w:val="22"/>
        </w:rPr>
        <w:t>政策层面，国务院办公厅《关于促进建筑业持续健康发展的意见》（国办发〔2017〕19号）明确提出"加快推行工程总承包"，住建部随之推动工程总承包市场准入与组织实施的规范化——组织选型因此不是企业的自选动作，而是行业制度演进的方向性要求（政策表述据专项研究成果整理）[来源: P000851]。</w:t>
      </w:r>
    </w:p>
    <w:p>
      <w:pPr>
        <w:pStyle w:val="Heading3"/>
      </w:pPr>
      <w:r>
        <w:t>9.2.2 四种典型选型的标杆实践</w:t>
      </w:r>
    </w:p>
    <w:p>
      <w:pPr>
        <w:pStyle w:val="ListNumber"/>
      </w:pPr>
      <w:r>
        <w:rPr>
          <w:rFonts w:ascii="Calibri" w:hAnsi="Calibri" w:eastAsia="微软雅黑"/>
          <w:b/>
          <w:i w:val="0"/>
          <w:sz w:val="22"/>
        </w:rPr>
        <w:t>强矩阵式（中国寰球、中冶南方）</w:t>
      </w:r>
      <w:r>
        <w:rPr>
          <w:rFonts w:ascii="Calibri" w:hAnsi="Calibri" w:eastAsia="微软雅黑"/>
          <w:b w:val="0"/>
          <w:i w:val="0"/>
          <w:sz w:val="22"/>
        </w:rPr>
        <w:t>。公司总部设立项目管理办公室（PMO）作为公司级项目管理专门机构，统一制定标准化管理流程、监控项目绩效、统筹跨部门资源配置；项目部作为履约主体，项目经理拥有人财物调配权，设计、采购、施工各专业人员在履约期间向项目经理汇报、业务上接受职能部门指导（机制描述为本研究据源文归纳）[来源: P000801, P000826]。中冶南方研究报告专设PMO管理机构章节，剖析其组织定位与职能，并与专业化组织建设、数字化转型并列为EPC业务的组织保障；其管理体系覆盖EPC项目管理、质量、成本、进度、安全环保、风险与分包采购七大条线，构成矩阵组织的制度底座 [来源: P000826]。人才底座方面，中冶南方拥有全国工程勘察设计大师4人，高级职称技术人员占35%以上，博士、硕士研究生学历人才1600余人 [来源: P000826]。</w:t>
      </w:r>
    </w:p>
    <w:p>
      <w:pPr>
        <w:pStyle w:val="ListNumber"/>
      </w:pPr>
      <w:r>
        <w:rPr>
          <w:rFonts w:ascii="Calibri" w:hAnsi="Calibri" w:eastAsia="微软雅黑"/>
          <w:b/>
          <w:i w:val="0"/>
          <w:sz w:val="22"/>
        </w:rPr>
        <w:t>"院-事业部/专科所-项目部"三级架构（湖南院、昆明院）</w:t>
      </w:r>
      <w:r>
        <w:rPr>
          <w:rFonts w:ascii="Calibri" w:hAnsi="Calibri" w:eastAsia="微软雅黑"/>
          <w:b w:val="0"/>
          <w:i w:val="0"/>
          <w:sz w:val="22"/>
        </w:rPr>
        <w:t>。设计院总部定位为战略与风控中心；设立专门的EPC事业部或工程总承包公司负责市场开发与集中履约；各专业设计所提供技术支撑与设计干部派驻——既保留传统设计院的技术底蕴，又构建独立的EPC商业运作实体（架构描述为本研究据源文归纳）[来源: P000811, P000806]。昆明院并向"投建营一体化"全产业链服务演进：EPC+F模式（工程总承包＋融资）下，承包商利用自身融资渠道、信用优势或与金融机构的合作关系，通过出口信贷、买方信贷、卖方信贷、项目融资、股权投资等方式协助业主解决融资问题，常见于业主资金实力不足但项目前景良好的国际工程；EPC+O&amp;M模式（工程总承包＋运营维护）下，承包商在交付后继续负责一定期限的运营维护，把工程建设的短期目标与长期运营绩效绑定，促使设计施工阶段即充分考虑可运营性与全生命周期成本——新能源电站领域的长期运维合同是其典型场景；此外还包括DBFO等衍生模式（模式内涵与适用场景据源文整理）[来源: P000806]。</w:t>
      </w:r>
    </w:p>
    <w:p>
      <w:pPr>
        <w:pStyle w:val="ListNumber"/>
      </w:pPr>
      <w:r>
        <w:rPr>
          <w:rFonts w:ascii="Calibri" w:hAnsi="Calibri" w:eastAsia="微软雅黑"/>
          <w:b/>
          <w:i w:val="0"/>
          <w:sz w:val="22"/>
        </w:rPr>
        <w:t>"局-公司-项目部"三级管控与号码公司托底（中建三局、中建五局）</w:t>
      </w:r>
      <w:r>
        <w:rPr>
          <w:rFonts w:ascii="Calibri" w:hAnsi="Calibri" w:eastAsia="微软雅黑"/>
          <w:b w:val="0"/>
          <w:i w:val="0"/>
          <w:sz w:val="22"/>
        </w:rPr>
        <w:t>。中建五局明确"一体两翼、区域深耕"布局——以房屋建筑和基础设施建造为主体，大力发展投资业务和海外业务，深耕湖南、广东、重庆、江苏等核心市场，并拓展京津冀、长三角、粤港澳大湾区 [来源: P000831]。中建三局理顺号码公司（一公司、二公司等）与区域公司的资源配置关系：区域公司深耕地方政府与客户关系，号码公司提供专业履约与技术支撑；局及分公司层面设立EPC管理中心或设计管理部，补齐前端设计管理短板，改变"只懂按图施工、不会引导业主设计"的被动局面（机制描述为本研究据源文归纳）[来源: P000816]。</w:t>
      </w:r>
    </w:p>
    <w:p>
      <w:pPr>
        <w:pStyle w:val="ListNumber"/>
      </w:pPr>
      <w:r>
        <w:rPr>
          <w:rFonts w:ascii="Calibri" w:hAnsi="Calibri" w:eastAsia="微软雅黑"/>
          <w:b/>
          <w:i w:val="0"/>
          <w:sz w:val="22"/>
        </w:rPr>
        <w:t>垂直一体化事业部制（中汽工程）</w:t>
      </w:r>
      <w:r>
        <w:rPr>
          <w:rFonts w:ascii="Calibri" w:hAnsi="Calibri" w:eastAsia="微软雅黑"/>
          <w:b w:val="0"/>
          <w:i w:val="0"/>
          <w:sz w:val="22"/>
        </w:rPr>
        <w:t>。聚焦汽车工业工程细分赛道，围绕冲压、焊装、涂装、总装四大工艺及公用工程设立专业事业部，事业部内部贯通工艺设计、设备采购、安装调试与土建接口，形成垂直一体化交付链条（架构描述为本研究据源文归纳）[来源: P000821]。这一架构的历史根基可追溯至1953年第一汽车制造厂建设——其前身设计处即深度参与了从厂区选址、总图规划到四大工艺车间工艺流程的全方位技术设计 [来源: P000821]。</w:t>
      </w:r>
    </w:p>
    <w:p>
      <w:pPr>
        <w:pStyle w:val="Heading3"/>
      </w:pPr>
      <w:r>
        <w:t>9.2.3 "目标-任务-保障"分解机制与两级案例</w:t>
      </w:r>
    </w:p>
    <w:p>
      <w:r>
        <w:rPr>
          <w:rFonts w:ascii="Calibri" w:hAnsi="Calibri" w:eastAsia="微软雅黑"/>
          <w:b w:val="0"/>
          <w:i w:val="0"/>
          <w:sz w:val="22"/>
        </w:rPr>
        <w:t>为确保矩阵式组织不沦为"权责不清的虚体"，标杆企业普遍引入"目标-任务-保障"三段制分解机制，将组织职责刚性拆解至岗位（机制据专项研究成果）[来源: P000851]。三段制的链条逻辑是：</w:t>
      </w:r>
      <w:r>
        <w:rPr>
          <w:rFonts w:ascii="Calibri" w:hAnsi="Calibri" w:eastAsia="微软雅黑"/>
          <w:b/>
          <w:i w:val="0"/>
          <w:sz w:val="22"/>
        </w:rPr>
        <w:t>目标（Target）</w:t>
      </w:r>
      <w:r>
        <w:rPr>
          <w:rFonts w:ascii="Calibri" w:hAnsi="Calibri" w:eastAsia="微软雅黑"/>
          <w:b w:val="0"/>
          <w:i w:val="0"/>
          <w:sz w:val="22"/>
        </w:rPr>
        <w:t>——锁死项目概算总投资不超支，控制范围涵盖工程费用（建筑工程费、设备及工器具购置费、安装工程费）、工程建设其他费用、预备费、建设期利息及铺底流动资金，同时确保合同约定的各里程碑节点付款条件顺利成就；</w:t>
      </w:r>
      <w:r>
        <w:rPr>
          <w:rFonts w:ascii="Calibri" w:hAnsi="Calibri" w:eastAsia="微软雅黑"/>
          <w:b/>
          <w:i w:val="0"/>
          <w:sz w:val="22"/>
        </w:rPr>
        <w:t>任务（Task）</w:t>
      </w:r>
      <w:r>
        <w:rPr>
          <w:rFonts w:ascii="Calibri" w:hAnsi="Calibri" w:eastAsia="微软雅黑"/>
          <w:b w:val="0"/>
          <w:i w:val="0"/>
          <w:sz w:val="22"/>
        </w:rPr>
        <w:t>——将编制完成的设计概算（套用概算定额法、概算指标法或类似工程预算法）按单项工程和单位工程分解至具体专业组（土建、工艺安装、自控仪表、给水排水、总图竖向等），同时将工艺流程图与工艺管道及仪表流程图交付、长周期设备采购清单、厂商图纸审核以及过程技术文档归集任务落实到具体岗位；</w:t>
      </w:r>
      <w:r>
        <w:rPr>
          <w:rFonts w:ascii="Calibri" w:hAnsi="Calibri" w:eastAsia="微软雅黑"/>
          <w:b/>
          <w:i w:val="0"/>
          <w:sz w:val="22"/>
        </w:rPr>
        <w:t>保障（Guarantee）</w:t>
      </w:r>
      <w:r>
        <w:rPr>
          <w:rFonts w:ascii="Calibri" w:hAnsi="Calibri" w:eastAsia="微软雅黑"/>
          <w:b w:val="0"/>
          <w:i w:val="0"/>
          <w:sz w:val="22"/>
        </w:rPr>
        <w:t>——设立"合规履约与技术文档管控小组"，建立以技术文件交付为核心的审核拉动机制，实施"技术负责人＋驻场法务"双人双签制度，未完成技术文件归集的请款单不得报送发包方 [来源: P000851]。其标准分解表按"初设与采购期—施工与安装期"等阶段展开：初设与采购期由采购经理与设计经理联合签署《设备技术协议与概算偏离表》，超概算2%即启动限额设计退回机制；施工与安装期实行双人双签门禁，技术负责人与法务专员共同签署《节点技术文件完备性核查表》后方可发函请款（模板与参数据专项研究成果，示意性复盘）[来源: P000851]。</w:t>
      </w:r>
    </w:p>
    <w:p>
      <w:pPr>
        <w:pStyle w:val="Heading4"/>
      </w:pPr>
      <w:r>
        <w:t>案例一：设计院EPC组织的标准化再造——湖南院与中冶南方 [来源: P000811, P000826]</w:t>
      </w:r>
    </w:p>
    <w:p>
      <w:pPr>
        <w:pStyle w:val="ListBullet"/>
      </w:pPr>
      <w:r>
        <w:rPr>
          <w:rFonts w:ascii="Calibri" w:hAnsi="Calibri" w:eastAsia="微软雅黑"/>
          <w:b/>
          <w:i w:val="0"/>
          <w:sz w:val="22"/>
        </w:rPr>
        <w:t>数据（Data）</w:t>
      </w:r>
      <w:r>
        <w:rPr>
          <w:rFonts w:ascii="Calibri" w:hAnsi="Calibri" w:eastAsia="微软雅黑"/>
          <w:b w:val="0"/>
          <w:i w:val="0"/>
          <w:sz w:val="22"/>
        </w:rPr>
        <w:t>：湖南院拥有20项甲级资质、174项自主知识产权与317项科技成果；2024年实现营业收入9.22亿元（同比增长12.8%）、净利润7214万元，中标210个项目、中标总金额1,519,557.53万元（约152亿元）[来源: P000811]。中冶南方在工业与城市基础设施领域拥有庞大的项目组合，PMO机构覆盖全级次EPC业务 [来源: P000826]。</w:t>
      </w:r>
    </w:p>
    <w:p>
      <w:pPr>
        <w:pStyle w:val="ListBullet"/>
      </w:pPr>
      <w:r>
        <w:rPr>
          <w:rFonts w:ascii="Calibri" w:hAnsi="Calibri" w:eastAsia="微软雅黑"/>
          <w:b/>
          <w:i w:val="0"/>
          <w:sz w:val="22"/>
        </w:rPr>
        <w:t>动作（Action）</w:t>
      </w:r>
      <w:r>
        <w:rPr>
          <w:rFonts w:ascii="Calibri" w:hAnsi="Calibri" w:eastAsia="微软雅黑"/>
          <w:b w:val="0"/>
          <w:i w:val="0"/>
          <w:sz w:val="22"/>
        </w:rPr>
        <w:t>：其一，总部层面设立PMO并组建BIM中心、数字化设计部门与智慧建造研究院，把技术文档管控与商务风控职能嵌入项目组织；其二，打通采购与设计双向接口——设计团队在方案阶段即引入采购经理进行设备选型询价，采购团队严格按设计给定的技术规格书实施集中采购（动作描述为本研究据源文归纳）[来源: P000811, P000826]。</w:t>
      </w:r>
    </w:p>
    <w:p>
      <w:pPr>
        <w:pStyle w:val="ListBullet"/>
      </w:pPr>
      <w:r>
        <w:rPr>
          <w:rFonts w:ascii="Calibri" w:hAnsi="Calibri" w:eastAsia="微软雅黑"/>
          <w:b/>
          <w:i w:val="0"/>
          <w:sz w:val="22"/>
        </w:rPr>
        <w:t>结果（Result）</w:t>
      </w:r>
      <w:r>
        <w:rPr>
          <w:rFonts w:ascii="Calibri" w:hAnsi="Calibri" w:eastAsia="微软雅黑"/>
          <w:b w:val="0"/>
          <w:i w:val="0"/>
          <w:sz w:val="22"/>
        </w:rPr>
        <w:t>：湖南院建立了设计主导的技术集成、全过程项目管理、供应链整合与风险管控四大核心能力体系；中冶南方实现矩阵组织高效运转，设计与采购脱节引发的变更赔偿风险大幅下降（结果表述为源文结论）[来源: P000811, P000826]。</w:t>
      </w:r>
    </w:p>
    <w:p>
      <w:pPr>
        <w:pStyle w:val="Heading4"/>
      </w:pPr>
      <w:r>
        <w:t>案例二：施工巨头的矩阵化重构——中建三局与中建五局 [来源: P000816, P000831]</w:t>
      </w:r>
    </w:p>
    <w:p>
      <w:pPr>
        <w:pStyle w:val="ListBullet"/>
      </w:pPr>
      <w:r>
        <w:rPr>
          <w:rFonts w:ascii="Calibri" w:hAnsi="Calibri" w:eastAsia="微软雅黑"/>
          <w:b/>
          <w:i w:val="0"/>
          <w:sz w:val="22"/>
        </w:rPr>
        <w:t>数据（Data）</w:t>
      </w:r>
      <w:r>
        <w:rPr>
          <w:rFonts w:ascii="Calibri" w:hAnsi="Calibri" w:eastAsia="微软雅黑"/>
          <w:b w:val="0"/>
          <w:i w:val="0"/>
          <w:sz w:val="22"/>
        </w:rPr>
        <w:t>：两家特大型建筑企业承接了大量超高层、大型公建及基础设施EPC项目；中建五局围绕"一体两翼、区域深耕"在核心市场建立稳固地位 [来源: P000831]。</w:t>
      </w:r>
    </w:p>
    <w:p>
      <w:pPr>
        <w:pStyle w:val="ListBullet"/>
      </w:pPr>
      <w:r>
        <w:rPr>
          <w:rFonts w:ascii="Calibri" w:hAnsi="Calibri" w:eastAsia="微软雅黑"/>
          <w:b/>
          <w:i w:val="0"/>
          <w:sz w:val="22"/>
        </w:rPr>
        <w:t>动作（Action）</w:t>
      </w:r>
      <w:r>
        <w:rPr>
          <w:rFonts w:ascii="Calibri" w:hAnsi="Calibri" w:eastAsia="微软雅黑"/>
          <w:b w:val="0"/>
          <w:i w:val="0"/>
          <w:sz w:val="22"/>
        </w:rPr>
        <w:t>：明确总部为战略与风控中心、分子公司为经营与履约主体、项目部为成本与交付中心的三级定位；建立号码公司与区域公司协同机制；在局及分公司层面成立设计管理部，招聘高水平设计总监与BIM专家，对EPC项目设计方案实施二次优化与限额审查 [来源: P000816, P000831]。</w:t>
      </w:r>
    </w:p>
    <w:p>
      <w:pPr>
        <w:pStyle w:val="ListBullet"/>
      </w:pPr>
      <w:r>
        <w:rPr>
          <w:rFonts w:ascii="Calibri" w:hAnsi="Calibri" w:eastAsia="微软雅黑"/>
          <w:b/>
          <w:i w:val="0"/>
          <w:sz w:val="22"/>
        </w:rPr>
        <w:t>结果（Result）</w:t>
      </w:r>
      <w:r>
        <w:rPr>
          <w:rFonts w:ascii="Calibri" w:hAnsi="Calibri" w:eastAsia="微软雅黑"/>
          <w:b w:val="0"/>
          <w:i w:val="0"/>
          <w:sz w:val="22"/>
        </w:rPr>
        <w:t>：推动企业从传统施工总承包向高端EPC转型，项目整体盈利水平与履约质量提升，并缓解了地方政府财政压力下"EPC+F"等复杂交易结构带来的资金与合规风险（结果表述为本研究据源文归纳）[来源: P000816, P000831]。</w:t>
      </w:r>
    </w:p>
    <w:p>
      <w:pPr>
        <w:pStyle w:val="Heading3"/>
      </w:pPr>
      <w:r>
        <w:t>9.2.4 案例深读：复杂交易分拆下的多方履约组织协同</w:t>
      </w:r>
    </w:p>
    <w:p>
      <w:r>
        <w:rPr>
          <w:rFonts w:ascii="Calibri" w:hAnsi="Calibri" w:eastAsia="微软雅黑"/>
          <w:b w:val="0"/>
          <w:i w:val="0"/>
          <w:sz w:val="22"/>
        </w:rPr>
        <w:t>特大型工业EPC为满足金融机构贷款专款专用要求，常将交易结构作"设计-采购-施工"三分拆安排，这对项目组织的凭证管理能力提出极限考验。(2016)最高法民终695号案（陕西达华电力与陇川鸿宇安新能源科技建设工程施工合同纠纷，云南陇川生物质发电厂2×15MW机组）提供了完整的解剖样本（案情与裁判要点据判例研究成果整理）[来源: P000851]：</w:t>
      </w:r>
    </w:p>
    <w:p>
      <w:pPr>
        <w:pStyle w:val="ListBullet"/>
      </w:pPr>
      <w:r>
        <w:rPr>
          <w:rFonts w:ascii="Calibri" w:hAnsi="Calibri" w:eastAsia="微软雅黑"/>
          <w:b/>
          <w:i w:val="0"/>
          <w:sz w:val="22"/>
        </w:rPr>
        <w:t>三分拆结构</w:t>
      </w:r>
      <w:r>
        <w:rPr>
          <w:rFonts w:ascii="Calibri" w:hAnsi="Calibri" w:eastAsia="微软雅黑"/>
          <w:b w:val="0"/>
          <w:i w:val="0"/>
          <w:sz w:val="22"/>
        </w:rPr>
        <w:t>：设计部分，发包方与设计单位签订《勘测设计及工程管理合同》；采购部分，发包方、总包方与设备成套方三方签订《设备成套采购合同》，约定发包方按节点支付给设备成套方、其收到后再支付给总包方；施工部分，发包方与施工单位签订《施工总承包合同》，总包方又与该施工单位另行签订《全厂建筑安装工程施工合同》[来源: P000851]。</w:t>
      </w:r>
    </w:p>
    <w:p>
      <w:pPr>
        <w:pStyle w:val="ListBullet"/>
      </w:pPr>
      <w:r>
        <w:rPr>
          <w:rFonts w:ascii="Calibri" w:hAnsi="Calibri" w:eastAsia="微软雅黑"/>
          <w:b/>
          <w:i w:val="0"/>
          <w:sz w:val="22"/>
        </w:rPr>
        <w:t>争议焦点</w:t>
      </w:r>
      <w:r>
        <w:rPr>
          <w:rFonts w:ascii="Calibri" w:hAnsi="Calibri" w:eastAsia="微软雅黑"/>
          <w:b w:val="0"/>
          <w:i w:val="0"/>
          <w:sz w:val="22"/>
        </w:rPr>
        <w:t>：履约过程中，总包方主张发包方支付拖欠的若干节点工程款合计53,485,080元，发包方以节点付款条件未成就为由行使抗辩权 [来源: P000851]。</w:t>
      </w:r>
    </w:p>
    <w:p>
      <w:pPr>
        <w:pStyle w:val="ListBullet"/>
      </w:pPr>
      <w:r>
        <w:rPr>
          <w:rFonts w:ascii="Calibri" w:hAnsi="Calibri" w:eastAsia="微软雅黑"/>
          <w:b/>
          <w:i w:val="0"/>
          <w:sz w:val="22"/>
        </w:rPr>
        <w:t>裁判要点</w:t>
      </w:r>
      <w:r>
        <w:rPr>
          <w:rFonts w:ascii="Calibri" w:hAnsi="Calibri" w:eastAsia="微软雅黑"/>
          <w:b w:val="0"/>
          <w:i w:val="0"/>
          <w:sz w:val="22"/>
        </w:rPr>
        <w:t>：合同明确约定申请节点付款必须提交"已完工程节点应提交的过程技术文件的交付证明"并经发包方代表审核确认；合同附件更严格约定承包商须提供设备和材料工厂试验使用的标准和规定、试验记录及制造商的质量控制计划等材料，未按此执行的，发包方有权拒签《进度款支付证明》。发包方此前同意支付第一节点（主厂房基础出零米）工程款的行为仅针对单期有效，不能扩张解释为变更后续节点的付款条件——合同变更必须采用书面形式并经双方授权人签字批准。因总包方未能提交齐备技术文件，发包方行使先履行抗辩权拒付5300余万元进度款完全合法 [来源: P000851]。</w:t>
      </w:r>
    </w:p>
    <w:p>
      <w:pPr>
        <w:pStyle w:val="ListBullet"/>
      </w:pPr>
      <w:r>
        <w:rPr>
          <w:rFonts w:ascii="Calibri" w:hAnsi="Calibri" w:eastAsia="微软雅黑"/>
          <w:b/>
          <w:i w:val="0"/>
          <w:sz w:val="22"/>
        </w:rPr>
        <w:t>组织启示</w:t>
      </w:r>
      <w:r>
        <w:rPr>
          <w:rFonts w:ascii="Calibri" w:hAnsi="Calibri" w:eastAsia="微软雅黑"/>
          <w:b w:val="0"/>
          <w:i w:val="0"/>
          <w:sz w:val="22"/>
        </w:rPr>
        <w:t>：特大型工业EPC在复杂交易分拆架构下，项目组织绝不能沦为"只管干活、不管凭证"的粗放施工部——必须在矩阵内部建立技术文档管控小组，把检验记录、工厂试验标准及质量控制计划文件的收集归档提升至与现场施工进度同等高度，从源头保障节点付款成就率（启示为专项研究成果结论）[来源: P000851]。</w:t>
      </w:r>
    </w:p>
    <w:p>
      <w:pPr>
        <w:pStyle w:val="Heading3"/>
      </w:pPr>
      <w:r>
        <w:t>9.2.5 区域布局与跨境矩阵组织落地</w:t>
      </w:r>
    </w:p>
    <w:p>
      <w:r>
        <w:rPr>
          <w:rFonts w:ascii="Calibri" w:hAnsi="Calibri" w:eastAsia="微软雅黑"/>
          <w:b w:val="0"/>
          <w:i w:val="0"/>
          <w:sz w:val="22"/>
        </w:rPr>
        <w:t>对全国化深耕或"走出去"的企业，组织选型须延伸至区域布局与跨境矩阵管理。可采行"总部能力平台＋区域敏捷前端"架构（架构为本研究归纳）：</w:t>
      </w:r>
    </w:p>
    <w:p>
      <w:pPr>
        <w:pStyle w:val="Heading4"/>
      </w:pPr>
      <w:r>
        <w:t>表9-5 "总部平台-区域前端-项目履约"三级跨境矩阵架构（本研究归纳）</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层级</w:t>
            </w:r>
          </w:p>
        </w:tc>
        <w:tc>
          <w:tcPr>
            <w:tcW w:type="dxa" w:w="2767"/>
            <w:shd w:fill="1F3A5F"/>
          </w:tcPr>
          <w:p>
            <w:r>
              <w:rPr>
                <w:color w:val="FFFFFF"/>
              </w:rPr>
            </w:r>
            <w:r>
              <w:rPr>
                <w:rFonts w:ascii="Calibri" w:hAnsi="Calibri" w:eastAsia="微软雅黑"/>
                <w:b/>
                <w:i w:val="0"/>
                <w:color w:val="FFFFFF"/>
                <w:sz w:val="18"/>
              </w:rPr>
              <w:t>定位</w:t>
            </w:r>
          </w:p>
        </w:tc>
        <w:tc>
          <w:tcPr>
            <w:tcW w:type="dxa" w:w="2767"/>
            <w:shd w:fill="1F3A5F"/>
          </w:tcPr>
          <w:p>
            <w:r>
              <w:rPr>
                <w:color w:val="FFFFFF"/>
              </w:rPr>
            </w:r>
            <w:r>
              <w:rPr>
                <w:rFonts w:ascii="Calibri" w:hAnsi="Calibri" w:eastAsia="微软雅黑"/>
                <w:b/>
                <w:i w:val="0"/>
                <w:color w:val="FFFFFF"/>
                <w:sz w:val="18"/>
              </w:rPr>
              <w:t>核心职能</w:t>
            </w:r>
          </w:p>
        </w:tc>
      </w:tr>
      <w:tr>
        <w:tc>
          <w:tcPr>
            <w:tcW w:type="dxa" w:w="2767"/>
          </w:tcPr>
          <w:p>
            <w:r/>
            <w:r>
              <w:rPr>
                <w:rFonts w:ascii="Calibri" w:hAnsi="Calibri" w:eastAsia="微软雅黑"/>
                <w:b w:val="0"/>
                <w:i w:val="0"/>
                <w:sz w:val="18"/>
              </w:rPr>
              <w:t>集团总部</w:t>
            </w:r>
          </w:p>
        </w:tc>
        <w:tc>
          <w:tcPr>
            <w:tcW w:type="dxa" w:w="2767"/>
          </w:tcPr>
          <w:p>
            <w:r/>
            <w:r>
              <w:rPr>
                <w:rFonts w:ascii="Calibri" w:hAnsi="Calibri" w:eastAsia="微软雅黑"/>
                <w:b w:val="0"/>
                <w:i w:val="0"/>
                <w:sz w:val="18"/>
              </w:rPr>
              <w:t>战略/风控/资金/PMO能力平台</w:t>
            </w:r>
          </w:p>
        </w:tc>
        <w:tc>
          <w:tcPr>
            <w:tcW w:type="dxa" w:w="2767"/>
          </w:tcPr>
          <w:p>
            <w:r/>
            <w:r>
              <w:rPr>
                <w:rFonts w:ascii="Calibri" w:hAnsi="Calibri" w:eastAsia="微软雅黑"/>
                <w:b w:val="0"/>
                <w:i w:val="0"/>
                <w:sz w:val="18"/>
              </w:rPr>
              <w:t>标准制定、资源配置、风险门禁、知识沉淀</w:t>
            </w:r>
          </w:p>
        </w:tc>
      </w:tr>
      <w:tr>
        <w:tc>
          <w:tcPr>
            <w:tcW w:type="dxa" w:w="2767"/>
          </w:tcPr>
          <w:p>
            <w:r/>
            <w:r>
              <w:rPr>
                <w:rFonts w:ascii="Calibri" w:hAnsi="Calibri" w:eastAsia="微软雅黑"/>
                <w:b w:val="0"/>
                <w:i w:val="0"/>
                <w:sz w:val="18"/>
              </w:rPr>
              <w:t>区域事业部/区域公司/海外分公司</w:t>
            </w:r>
          </w:p>
        </w:tc>
        <w:tc>
          <w:tcPr>
            <w:tcW w:type="dxa" w:w="2767"/>
          </w:tcPr>
          <w:p>
            <w:r/>
            <w:r>
              <w:rPr>
                <w:rFonts w:ascii="Calibri" w:hAnsi="Calibri" w:eastAsia="微软雅黑"/>
                <w:b w:val="0"/>
                <w:i w:val="0"/>
                <w:sz w:val="18"/>
              </w:rPr>
              <w:t>区域敏捷前端</w:t>
            </w:r>
          </w:p>
        </w:tc>
        <w:tc>
          <w:tcPr>
            <w:tcW w:type="dxa" w:w="2767"/>
          </w:tcPr>
          <w:p>
            <w:r/>
            <w:r>
              <w:rPr>
                <w:rFonts w:ascii="Calibri" w:hAnsi="Calibri" w:eastAsia="微软雅黑"/>
                <w:b w:val="0"/>
                <w:i w:val="0"/>
                <w:sz w:val="18"/>
              </w:rPr>
              <w:t>属地客户关系、区域资源深耕、属地合规</w:t>
            </w:r>
          </w:p>
        </w:tc>
      </w:tr>
      <w:tr>
        <w:tc>
          <w:tcPr>
            <w:tcW w:type="dxa" w:w="2767"/>
          </w:tcPr>
          <w:p>
            <w:r/>
            <w:r>
              <w:rPr>
                <w:rFonts w:ascii="Calibri" w:hAnsi="Calibri" w:eastAsia="微软雅黑"/>
                <w:b w:val="0"/>
                <w:i w:val="0"/>
                <w:sz w:val="18"/>
              </w:rPr>
              <w:t>项目部（境内/海外）</w:t>
            </w:r>
          </w:p>
        </w:tc>
        <w:tc>
          <w:tcPr>
            <w:tcW w:type="dxa" w:w="2767"/>
          </w:tcPr>
          <w:p>
            <w:r/>
            <w:r>
              <w:rPr>
                <w:rFonts w:ascii="Calibri" w:hAnsi="Calibri" w:eastAsia="微软雅黑"/>
                <w:b w:val="0"/>
                <w:i w:val="0"/>
                <w:sz w:val="18"/>
              </w:rPr>
              <w:t>履约与成本中心</w:t>
            </w:r>
          </w:p>
        </w:tc>
        <w:tc>
          <w:tcPr>
            <w:tcW w:type="dxa" w:w="2767"/>
          </w:tcPr>
          <w:p>
            <w:r/>
            <w:r>
              <w:rPr>
                <w:rFonts w:ascii="Calibri" w:hAnsi="Calibri" w:eastAsia="微软雅黑"/>
                <w:b w:val="0"/>
                <w:i w:val="0"/>
                <w:sz w:val="18"/>
              </w:rPr>
              <w:t>设计-采购-施工-调试一体化交付</w:t>
            </w:r>
          </w:p>
        </w:tc>
      </w:tr>
    </w:tbl>
    <w:p>
      <w:r>
        <w:rPr>
          <w:rFonts w:ascii="Calibri" w:hAnsi="Calibri" w:eastAsia="微软雅黑"/>
          <w:b w:val="0"/>
          <w:i w:val="0"/>
          <w:sz w:val="22"/>
        </w:rPr>
        <w:t>这一架构的运行要领（本研究建议）：总部平台管标准、管门禁、管知识，区域前端管客户、管属地合规，项目部管履约、管成本——三层各管一段、互不越位；考核上总部考区域前端的"属地深耕度"，区域前端考项目部的"效能指数"，形成纵向传导的指标链。跨境组织的三条硬核落地要点（要点为本研究归纳，均有源文支撑）：其一，搭建"中方核心管理层＋本土劳务分包"柔性架构——中方团队把控设计、关键设备采购与合同商务风控，现场施工与通用劳务大量采用本土化分包以降低跨国派驻成本并规避当地劳工法风险 [来源: P000801]；其二，设置分包介入权（Step-in Right）与保函防火墙——在海外分包合同中约定介入权条款，当本土分包商违约或严重滞后时，项目部有权直接接管其劳务与机械，避免主合同违约（条款设计详见本章第五节的司法判例边界）[来源: P000852]；其三，海外派驻人员的系统保障（详见本章第五节的四维保障清单）[来源: P000851]。</w:t>
      </w:r>
    </w:p>
    <w:p>
      <w:r>
        <w:rPr>
          <w:rFonts w:ascii="Calibri" w:hAnsi="Calibri" w:eastAsia="微软雅黑"/>
          <w:b w:val="0"/>
          <w:i w:val="0"/>
          <w:sz w:val="22"/>
        </w:rPr>
        <w:t>---</w:t>
      </w:r>
    </w:p>
    <w:p>
      <w:pPr>
        <w:pStyle w:val="Heading2"/>
      </w:pPr>
      <w:r>
        <w:t>9.3 激励约束：多元激励与硬约束的对冲设计</w:t>
      </w:r>
    </w:p>
    <w:p>
      <w:r>
        <w:rPr>
          <w:rFonts w:ascii="Calibri" w:hAnsi="Calibri" w:eastAsia="微软雅黑"/>
          <w:b w:val="0"/>
          <w:i w:val="0"/>
          <w:sz w:val="22"/>
        </w:rPr>
        <w:t>EPC业务具有投资体量大、履约周期长、风险界面多、盈利弹性高的固有属性。若仅沿用传统施工总承包"固定工资＋年终绩效"的单体薪酬模式，既无法调动项目团队在前端设计二次优化与精益采购中的创效积极性，也无法防范节点超概算、质量安全事故或境外合规失效带来的巨额风险倒灌（问题归纳为本研究据源文整理）[来源: P000851, P000801]。</w:t>
      </w:r>
    </w:p>
    <w:p>
      <w:pPr>
        <w:pStyle w:val="Heading3"/>
      </w:pPr>
      <w:r>
        <w:t>9.3.1 三维多元化激励工具箱</w:t>
      </w:r>
    </w:p>
    <w:p>
      <w:pPr>
        <w:pStyle w:val="Heading4"/>
      </w:pPr>
      <w:r>
        <w:t>表9-6 EPC项目多元化激励工具箱（框架为本研究归纳，参数均为示意性复盘示例）[来源: P000801, P000816, P000821]</w:t>
      </w:r>
    </w:p>
    <w:tbl>
      <w:tblPr>
        <w:tblStyle w:val="TableGrid"/>
        <w:tblW w:type="auto" w:w="0"/>
        <w:tblLook w:firstColumn="1" w:firstRow="1" w:lastColumn="0" w:lastRow="0" w:noHBand="0" w:noVBand="1" w:val="04A0"/>
      </w:tblPr>
      <w:tblGrid>
        <w:gridCol w:w="1660"/>
        <w:gridCol w:w="1660"/>
        <w:gridCol w:w="1660"/>
        <w:gridCol w:w="1660"/>
        <w:gridCol w:w="1660"/>
      </w:tblGrid>
      <w:tr>
        <w:tc>
          <w:tcPr>
            <w:tcW w:type="dxa" w:w="1660"/>
            <w:shd w:fill="1F3A5F"/>
          </w:tcPr>
          <w:p>
            <w:r>
              <w:rPr>
                <w:color w:val="FFFFFF"/>
              </w:rPr>
            </w:r>
            <w:r>
              <w:rPr>
                <w:rFonts w:ascii="Calibri" w:hAnsi="Calibri" w:eastAsia="微软雅黑"/>
                <w:b/>
                <w:i w:val="0"/>
                <w:color w:val="FFFFFF"/>
                <w:sz w:val="18"/>
              </w:rPr>
              <w:t>激励工具</w:t>
            </w:r>
          </w:p>
        </w:tc>
        <w:tc>
          <w:tcPr>
            <w:tcW w:type="dxa" w:w="1660"/>
            <w:shd w:fill="1F3A5F"/>
          </w:tcPr>
          <w:p>
            <w:r>
              <w:rPr>
                <w:color w:val="FFFFFF"/>
              </w:rPr>
            </w:r>
            <w:r>
              <w:rPr>
                <w:rFonts w:ascii="Calibri" w:hAnsi="Calibri" w:eastAsia="微软雅黑"/>
                <w:b/>
                <w:i w:val="0"/>
                <w:color w:val="FFFFFF"/>
                <w:sz w:val="18"/>
              </w:rPr>
              <w:t>适用对象</w:t>
            </w:r>
          </w:p>
        </w:tc>
        <w:tc>
          <w:tcPr>
            <w:tcW w:type="dxa" w:w="1660"/>
            <w:shd w:fill="1F3A5F"/>
          </w:tcPr>
          <w:p>
            <w:r>
              <w:rPr>
                <w:color w:val="FFFFFF"/>
              </w:rPr>
            </w:r>
            <w:r>
              <w:rPr>
                <w:rFonts w:ascii="Calibri" w:hAnsi="Calibri" w:eastAsia="微软雅黑"/>
                <w:b/>
                <w:i w:val="0"/>
                <w:color w:val="FFFFFF"/>
                <w:sz w:val="18"/>
              </w:rPr>
              <w:t>资金来源与提取条件</w:t>
            </w:r>
          </w:p>
        </w:tc>
        <w:tc>
          <w:tcPr>
            <w:tcW w:type="dxa" w:w="1660"/>
            <w:shd w:fill="1F3A5F"/>
          </w:tcPr>
          <w:p>
            <w:r>
              <w:rPr>
                <w:color w:val="FFFFFF"/>
              </w:rPr>
            </w:r>
            <w:r>
              <w:rPr>
                <w:rFonts w:ascii="Calibri" w:hAnsi="Calibri" w:eastAsia="微软雅黑"/>
                <w:b/>
                <w:i w:val="0"/>
                <w:color w:val="FFFFFF"/>
                <w:sz w:val="18"/>
              </w:rPr>
              <w:t>兑现门禁</w:t>
            </w:r>
          </w:p>
        </w:tc>
        <w:tc>
          <w:tcPr>
            <w:tcW w:type="dxa" w:w="1660"/>
            <w:shd w:fill="1F3A5F"/>
          </w:tcPr>
          <w:p>
            <w:r>
              <w:rPr>
                <w:color w:val="FFFFFF"/>
              </w:rPr>
            </w:r>
            <w:r>
              <w:rPr>
                <w:rFonts w:ascii="Calibri" w:hAnsi="Calibri" w:eastAsia="微软雅黑"/>
                <w:b/>
                <w:i w:val="0"/>
                <w:color w:val="FFFFFF"/>
                <w:sz w:val="18"/>
              </w:rPr>
              <w:t>对组织效能的作用</w:t>
            </w:r>
          </w:p>
        </w:tc>
      </w:tr>
      <w:tr>
        <w:tc>
          <w:tcPr>
            <w:tcW w:type="dxa" w:w="1660"/>
          </w:tcPr>
          <w:p>
            <w:r/>
            <w:r>
              <w:rPr>
                <w:rFonts w:ascii="Calibri" w:hAnsi="Calibri" w:eastAsia="微软雅黑"/>
                <w:b w:val="0"/>
                <w:i w:val="0"/>
                <w:sz w:val="18"/>
              </w:rPr>
              <w:t>短期里程碑节点奖</w:t>
            </w:r>
          </w:p>
        </w:tc>
        <w:tc>
          <w:tcPr>
            <w:tcW w:type="dxa" w:w="1660"/>
          </w:tcPr>
          <w:p>
            <w:r/>
            <w:r>
              <w:rPr>
                <w:rFonts w:ascii="Calibri" w:hAnsi="Calibri" w:eastAsia="微软雅黑"/>
                <w:b w:val="0"/>
                <w:i w:val="0"/>
                <w:sz w:val="18"/>
              </w:rPr>
              <w:t>项目部全体履约人员</w:t>
            </w:r>
          </w:p>
        </w:tc>
        <w:tc>
          <w:tcPr>
            <w:tcW w:type="dxa" w:w="1660"/>
          </w:tcPr>
          <w:p>
            <w:r/>
            <w:r>
              <w:rPr>
                <w:rFonts w:ascii="Calibri" w:hAnsi="Calibri" w:eastAsia="微软雅黑"/>
                <w:b w:val="0"/>
                <w:i w:val="0"/>
                <w:sz w:val="18"/>
              </w:rPr>
              <w:t>项目预算预留；里程碑付款条件成就</w:t>
            </w:r>
          </w:p>
        </w:tc>
        <w:tc>
          <w:tcPr>
            <w:tcW w:type="dxa" w:w="1660"/>
          </w:tcPr>
          <w:p>
            <w:r/>
            <w:r>
              <w:rPr>
                <w:rFonts w:ascii="Calibri" w:hAnsi="Calibri" w:eastAsia="微软雅黑"/>
                <w:b w:val="0"/>
                <w:i w:val="0"/>
                <w:sz w:val="18"/>
              </w:rPr>
              <w:t>按工程里程碑节点即时兑现</w:t>
            </w:r>
          </w:p>
        </w:tc>
        <w:tc>
          <w:tcPr>
            <w:tcW w:type="dxa" w:w="1660"/>
          </w:tcPr>
          <w:p>
            <w:r/>
            <w:r>
              <w:rPr>
                <w:rFonts w:ascii="Calibri" w:hAnsi="Calibri" w:eastAsia="微软雅黑"/>
                <w:b w:val="0"/>
                <w:i w:val="0"/>
                <w:sz w:val="18"/>
              </w:rPr>
              <w:t>直接提升节点付款成就率</w:t>
            </w:r>
          </w:p>
        </w:tc>
      </w:tr>
      <w:tr>
        <w:tc>
          <w:tcPr>
            <w:tcW w:type="dxa" w:w="1660"/>
          </w:tcPr>
          <w:p>
            <w:r/>
            <w:r>
              <w:rPr>
                <w:rFonts w:ascii="Calibri" w:hAnsi="Calibri" w:eastAsia="微软雅黑"/>
                <w:b w:val="0"/>
                <w:i w:val="0"/>
                <w:sz w:val="18"/>
              </w:rPr>
              <w:t>项目跟投收益分红</w:t>
            </w:r>
          </w:p>
        </w:tc>
        <w:tc>
          <w:tcPr>
            <w:tcW w:type="dxa" w:w="1660"/>
          </w:tcPr>
          <w:p>
            <w:r/>
            <w:r>
              <w:rPr>
                <w:rFonts w:ascii="Calibri" w:hAnsi="Calibri" w:eastAsia="微软雅黑"/>
                <w:b w:val="0"/>
                <w:i w:val="0"/>
                <w:sz w:val="18"/>
              </w:rPr>
              <w:t>项目经理、设计经理、采购经理、商务负责人</w:t>
            </w:r>
          </w:p>
        </w:tc>
        <w:tc>
          <w:tcPr>
            <w:tcW w:type="dxa" w:w="1660"/>
          </w:tcPr>
          <w:p>
            <w:r/>
            <w:r>
              <w:rPr>
                <w:rFonts w:ascii="Calibri" w:hAnsi="Calibri" w:eastAsia="微软雅黑"/>
                <w:b w:val="0"/>
                <w:i w:val="0"/>
                <w:sz w:val="18"/>
              </w:rPr>
              <w:t>项目实收净利润；核心决策岗强制跟投、一般管理人员自愿跟投，盈利享优先分红、亏损先以跟投金冲抵</w:t>
            </w:r>
          </w:p>
        </w:tc>
        <w:tc>
          <w:tcPr>
            <w:tcW w:type="dxa" w:w="1660"/>
          </w:tcPr>
          <w:p>
            <w:r/>
            <w:r>
              <w:rPr>
                <w:rFonts w:ascii="Calibri" w:hAnsi="Calibri" w:eastAsia="微软雅黑"/>
                <w:b w:val="0"/>
                <w:i w:val="0"/>
                <w:sz w:val="18"/>
              </w:rPr>
              <w:t>项目竣工审计并收回尾款后兑现</w:t>
            </w:r>
          </w:p>
        </w:tc>
        <w:tc>
          <w:tcPr>
            <w:tcW w:type="dxa" w:w="1660"/>
          </w:tcPr>
          <w:p>
            <w:r/>
            <w:r>
              <w:rPr>
                <w:rFonts w:ascii="Calibri" w:hAnsi="Calibri" w:eastAsia="微软雅黑"/>
                <w:b w:val="0"/>
                <w:i w:val="0"/>
                <w:sz w:val="18"/>
              </w:rPr>
              <w:t>降低组织冗余，提高团队对成本与现金流的关注度</w:t>
            </w:r>
          </w:p>
        </w:tc>
      </w:tr>
      <w:tr>
        <w:tc>
          <w:tcPr>
            <w:tcW w:type="dxa" w:w="1660"/>
          </w:tcPr>
          <w:p>
            <w:r/>
            <w:r>
              <w:rPr>
                <w:rFonts w:ascii="Calibri" w:hAnsi="Calibri" w:eastAsia="微软雅黑"/>
                <w:b w:val="0"/>
                <w:i w:val="0"/>
                <w:sz w:val="18"/>
              </w:rPr>
              <w:t>超额利润二次分享</w:t>
            </w:r>
          </w:p>
        </w:tc>
        <w:tc>
          <w:tcPr>
            <w:tcW w:type="dxa" w:w="1660"/>
          </w:tcPr>
          <w:p>
            <w:r/>
            <w:r>
              <w:rPr>
                <w:rFonts w:ascii="Calibri" w:hAnsi="Calibri" w:eastAsia="微软雅黑"/>
                <w:b w:val="0"/>
                <w:i w:val="0"/>
                <w:sz w:val="18"/>
              </w:rPr>
              <w:t>跨专业柔性协同小组（设计+采购+施工）</w:t>
            </w:r>
          </w:p>
        </w:tc>
        <w:tc>
          <w:tcPr>
            <w:tcW w:type="dxa" w:w="1660"/>
          </w:tcPr>
          <w:p>
            <w:r/>
            <w:r>
              <w:rPr>
                <w:rFonts w:ascii="Calibri" w:hAnsi="Calibri" w:eastAsia="微软雅黑"/>
                <w:b w:val="0"/>
                <w:i w:val="0"/>
                <w:sz w:val="18"/>
              </w:rPr>
              <w:t>概算优化节约额与采购价差形成的超额利润，按阶梯比例提取</w:t>
            </w:r>
          </w:p>
        </w:tc>
        <w:tc>
          <w:tcPr>
            <w:tcW w:type="dxa" w:w="1660"/>
          </w:tcPr>
          <w:p>
            <w:r/>
            <w:r>
              <w:rPr>
                <w:rFonts w:ascii="Calibri" w:hAnsi="Calibri" w:eastAsia="微软雅黑"/>
                <w:b w:val="0"/>
                <w:i w:val="0"/>
                <w:sz w:val="18"/>
              </w:rPr>
              <w:t>尾款收回且无重大质量索赔后大部分兑现、其余质保期后结清</w:t>
            </w:r>
          </w:p>
        </w:tc>
        <w:tc>
          <w:tcPr>
            <w:tcW w:type="dxa" w:w="1660"/>
          </w:tcPr>
          <w:p>
            <w:r/>
            <w:r>
              <w:rPr>
                <w:rFonts w:ascii="Calibri" w:hAnsi="Calibri" w:eastAsia="微软雅黑"/>
                <w:b w:val="0"/>
                <w:i w:val="0"/>
                <w:sz w:val="18"/>
              </w:rPr>
              <w:t>激发设计与采购前端二次创效</w:t>
            </w:r>
          </w:p>
        </w:tc>
      </w:tr>
      <w:tr>
        <w:tc>
          <w:tcPr>
            <w:tcW w:type="dxa" w:w="1660"/>
          </w:tcPr>
          <w:p>
            <w:r/>
            <w:r>
              <w:rPr>
                <w:rFonts w:ascii="Calibri" w:hAnsi="Calibri" w:eastAsia="微软雅黑"/>
                <w:b w:val="0"/>
                <w:i w:val="0"/>
                <w:sz w:val="18"/>
              </w:rPr>
              <w:t>长期股权/虚拟期权</w:t>
            </w:r>
          </w:p>
        </w:tc>
        <w:tc>
          <w:tcPr>
            <w:tcW w:type="dxa" w:w="1660"/>
          </w:tcPr>
          <w:p>
            <w:r/>
            <w:r>
              <w:rPr>
                <w:rFonts w:ascii="Calibri" w:hAnsi="Calibri" w:eastAsia="微软雅黑"/>
                <w:b w:val="0"/>
                <w:i w:val="0"/>
                <w:sz w:val="18"/>
              </w:rPr>
              <w:t>明星区人才与核心造价/技术专家</w:t>
            </w:r>
          </w:p>
        </w:tc>
        <w:tc>
          <w:tcPr>
            <w:tcW w:type="dxa" w:w="1660"/>
          </w:tcPr>
          <w:p>
            <w:r/>
            <w:r>
              <w:rPr>
                <w:rFonts w:ascii="Calibri" w:hAnsi="Calibri" w:eastAsia="微软雅黑"/>
                <w:b w:val="0"/>
                <w:i w:val="0"/>
                <w:sz w:val="18"/>
              </w:rPr>
              <w:t>企业留存收益与股权激励池</w:t>
            </w:r>
          </w:p>
        </w:tc>
        <w:tc>
          <w:tcPr>
            <w:tcW w:type="dxa" w:w="1660"/>
          </w:tcPr>
          <w:p>
            <w:r/>
            <w:r>
              <w:rPr>
                <w:rFonts w:ascii="Calibri" w:hAnsi="Calibri" w:eastAsia="微软雅黑"/>
                <w:b w:val="0"/>
                <w:i w:val="0"/>
                <w:sz w:val="18"/>
              </w:rPr>
              <w:t>长线分期锁定，绑定核心知识资产</w:t>
            </w:r>
          </w:p>
        </w:tc>
        <w:tc>
          <w:tcPr>
            <w:tcW w:type="dxa" w:w="1660"/>
          </w:tcPr>
          <w:p>
            <w:r/>
            <w:r>
              <w:rPr>
                <w:rFonts w:ascii="Calibri" w:hAnsi="Calibri" w:eastAsia="微软雅黑"/>
                <w:b w:val="0"/>
                <w:i w:val="0"/>
                <w:sz w:val="18"/>
              </w:rPr>
              <w:t>防止核心能力在行业下行期流失</w:t>
            </w:r>
          </w:p>
        </w:tc>
      </w:tr>
    </w:tbl>
    <w:p>
      <w:r>
        <w:rPr>
          <w:rFonts w:ascii="Calibri" w:hAnsi="Calibri" w:eastAsia="微软雅黑"/>
          <w:b w:val="0"/>
          <w:i w:val="0"/>
          <w:sz w:val="22"/>
        </w:rPr>
        <w:t>中建三局的实践为该工具箱提供了实证骨架：允许项目核心团队以自有资金跟投项目，分享项目收益，实现风险共担、利益共享；对超额完成利润目标的项目，按一定比例将超额部分分配给项目团队；将激励机制覆盖项目全生命周期，从前期策划到运维阶段，引导长期价值创造（实践内容据源文，比例参数源文未披露）[来源: P000816]。中汽工程则按合同类型差异化设计：固定总价合同项目设立高弹性创效提成，成本加酬金项目重点考核工期节约与质量达标率（机制描述据源文）[来源: P000821]。</w:t>
      </w:r>
    </w:p>
    <w:p>
      <w:pPr>
        <w:pStyle w:val="Heading3"/>
      </w:pPr>
      <w:r>
        <w:t>9.3.2 风险保证金、双签门禁与跨境扣减的约束机制</w:t>
      </w:r>
    </w:p>
    <w:p>
      <w:r>
        <w:rPr>
          <w:rFonts w:ascii="Calibri" w:hAnsi="Calibri" w:eastAsia="微软雅黑"/>
          <w:b w:val="0"/>
          <w:i w:val="0"/>
          <w:sz w:val="22"/>
        </w:rPr>
        <w:t>有激励必有约束。EPC项目的巨额亏损往往源于前端投标失误、违规签证、保函欺诈或分包失控倒灌连带债务（归因归纳为本研究据源文整理）[来源: P000851]。三道约束闸门（机制为本研究归纳的示意性复盘设计）：</w:t>
      </w:r>
    </w:p>
    <w:p>
      <w:pPr>
        <w:pStyle w:val="ListNumber"/>
      </w:pPr>
      <w:r>
        <w:rPr>
          <w:rFonts w:ascii="Calibri" w:hAnsi="Calibri" w:eastAsia="微软雅黑"/>
          <w:b/>
          <w:i w:val="0"/>
          <w:sz w:val="22"/>
        </w:rPr>
        <w:t>项目风险保证金制度</w:t>
      </w:r>
      <w:r>
        <w:rPr>
          <w:rFonts w:ascii="Calibri" w:hAnsi="Calibri" w:eastAsia="微软雅黑"/>
          <w:b w:val="0"/>
          <w:i w:val="0"/>
          <w:sz w:val="22"/>
        </w:rPr>
        <w:t>。项目启动时从拟发项目团队的阶段性奖金中按约定比例强制提取风险保证金，统筹存入公司风控专户；履约期内出现安全质量事故、业主索赔或超概算亏损时以保证金冲抵（提取比例为机制设计示例，企业按项目风险等级自定）。</w:t>
      </w:r>
    </w:p>
    <w:p>
      <w:pPr>
        <w:pStyle w:val="ListNumber"/>
      </w:pPr>
      <w:r>
        <w:rPr>
          <w:rFonts w:ascii="Calibri" w:hAnsi="Calibri" w:eastAsia="微软雅黑"/>
          <w:b/>
          <w:i w:val="0"/>
          <w:sz w:val="22"/>
        </w:rPr>
        <w:t>现场签证双人双签与追索门禁</w:t>
      </w:r>
      <w:r>
        <w:rPr>
          <w:rFonts w:ascii="Calibri" w:hAnsi="Calibri" w:eastAsia="微软雅黑"/>
          <w:b w:val="0"/>
          <w:i w:val="0"/>
          <w:sz w:val="22"/>
        </w:rPr>
        <w:t>。严禁项目经理或施工经理单人签发超预算签证——所有现场签证与零星委托须经"项目经理＋商务/造价经理"双人签署并报总部PMO备案；未经双签擅自签发导致连带债务的，对当事人绩效一票否决并追索当期绩效奖金，情节严重的移交法务追责 [来源: P000851, P000826]。</w:t>
      </w:r>
    </w:p>
    <w:p>
      <w:pPr>
        <w:pStyle w:val="ListNumber"/>
      </w:pPr>
      <w:r>
        <w:rPr>
          <w:rFonts w:ascii="Calibri" w:hAnsi="Calibri" w:eastAsia="微软雅黑"/>
          <w:b/>
          <w:i w:val="0"/>
          <w:sz w:val="22"/>
        </w:rPr>
        <w:t>境外保函与介入权滥用的扣减机制</w:t>
      </w:r>
      <w:r>
        <w:rPr>
          <w:rFonts w:ascii="Calibri" w:hAnsi="Calibri" w:eastAsia="微软雅黑"/>
          <w:b w:val="0"/>
          <w:i w:val="0"/>
          <w:sz w:val="22"/>
        </w:rPr>
        <w:t>。海外项目中因团队管理失职导致独立保函被无理冻结或欺诈性索赔，或因分包失控被迫动用介入权接管现场的，额外接管成本与保函垫付资金按比例扣减项目经理及核心团队终算奖金，并在九宫格盘点中直接下调（机制设计为示意性复盘；保函欺诈的司法认定边界见9.5.2）[来源: P000852]。</w:t>
      </w:r>
    </w:p>
    <w:p>
      <w:pPr>
        <w:pStyle w:val="Heading3"/>
      </w:pPr>
      <w:r>
        <w:t>9.3.3 案例印证：寰球的市场化激励与中石化南京工程的盘点配置</w:t>
      </w:r>
    </w:p>
    <w:p>
      <w:pPr>
        <w:pStyle w:val="Heading4"/>
      </w:pPr>
      <w:r>
        <w:t>案例一：中国寰球——面向国际化人才的中长期激励 [来源: P000801]</w:t>
      </w:r>
    </w:p>
    <w:p>
      <w:pPr>
        <w:pStyle w:val="ListBullet"/>
      </w:pPr>
      <w:r>
        <w:rPr>
          <w:rFonts w:ascii="Calibri" w:hAnsi="Calibri" w:eastAsia="微软雅黑"/>
          <w:b/>
          <w:i w:val="0"/>
          <w:sz w:val="22"/>
        </w:rPr>
        <w:t>数据（Data）</w:t>
      </w:r>
      <w:r>
        <w:rPr>
          <w:rFonts w:ascii="Calibri" w:hAnsi="Calibri" w:eastAsia="微软雅黑"/>
          <w:b w:val="0"/>
          <w:i w:val="0"/>
          <w:sz w:val="22"/>
        </w:rPr>
        <w:t>：中国寰球拥有国际化人才960人，其中在欧、美、日等国工程公司工作和培养两年以上的人员120多名；98%的专业技术人员具备用英文按美、欧、日本标准和中国国标进行设计和建设的工作能力；主编参编国家标准33项、行业标准47项（另有协会标准8项、企业标准9项）[来源: P000801]。</w:t>
      </w:r>
    </w:p>
    <w:p>
      <w:pPr>
        <w:pStyle w:val="ListBullet"/>
      </w:pPr>
      <w:r>
        <w:rPr>
          <w:rFonts w:ascii="Calibri" w:hAnsi="Calibri" w:eastAsia="微软雅黑"/>
          <w:b/>
          <w:i w:val="0"/>
          <w:sz w:val="22"/>
        </w:rPr>
        <w:t>动作（Action）</w:t>
      </w:r>
      <w:r>
        <w:rPr>
          <w:rFonts w:ascii="Calibri" w:hAnsi="Calibri" w:eastAsia="微软雅黑"/>
          <w:b w:val="0"/>
          <w:i w:val="0"/>
          <w:sz w:val="22"/>
        </w:rPr>
        <w:t>：对核心骨干与国际化人才，探索实施股权激励、期权激励、项目跟投与超额利润分享等多元化中长期激励；将海外项目的订单质量审计、HSE安全指标及国际标准应用纳入绩效考核，对无安全事故且高毛利交付的境外项目团队给予更高项目奖金系数（系数机制描述为本研究据源文归纳）[来源: P000801]。</w:t>
      </w:r>
    </w:p>
    <w:p>
      <w:pPr>
        <w:pStyle w:val="ListBullet"/>
      </w:pPr>
      <w:r>
        <w:rPr>
          <w:rFonts w:ascii="Calibri" w:hAnsi="Calibri" w:eastAsia="微软雅黑"/>
          <w:b/>
          <w:i w:val="0"/>
          <w:sz w:val="22"/>
        </w:rPr>
        <w:t>结果（Result）</w:t>
      </w:r>
      <w:r>
        <w:rPr>
          <w:rFonts w:ascii="Calibri" w:hAnsi="Calibri" w:eastAsia="微软雅黑"/>
          <w:b w:val="0"/>
          <w:i w:val="0"/>
          <w:sz w:val="22"/>
        </w:rPr>
        <w:t>：国际化人才队伍支撑其在沙特、中东高端市场与东南亚市场的深度本土化运营——公司是率先独立进入沙特等炼化工程建设高端市场的中国公司（结果表述为源文结论）[来源: P000801]。</w:t>
      </w:r>
    </w:p>
    <w:p>
      <w:pPr>
        <w:pStyle w:val="Heading4"/>
      </w:pPr>
      <w:r>
        <w:t>案例二：中石化南京工程——2700人队伍的盘点配置与超额分红 [来源: P000851]</w:t>
      </w:r>
    </w:p>
    <w:p>
      <w:pPr>
        <w:pStyle w:val="ListBullet"/>
      </w:pPr>
      <w:r>
        <w:rPr>
          <w:rFonts w:ascii="Calibri" w:hAnsi="Calibri" w:eastAsia="微软雅黑"/>
          <w:b/>
          <w:i w:val="0"/>
          <w:sz w:val="22"/>
        </w:rPr>
        <w:t>数据（Data）</w:t>
      </w:r>
      <w:r>
        <w:rPr>
          <w:rFonts w:ascii="Calibri" w:hAnsi="Calibri" w:eastAsia="微软雅黑"/>
          <w:b w:val="0"/>
          <w:i w:val="0"/>
          <w:sz w:val="22"/>
        </w:rPr>
        <w:t>：2763人规模的履约队伍（结构见9.1.3），需统筹数十个大型炼化与化工EPC项目 [来源: P000851]。</w:t>
      </w:r>
    </w:p>
    <w:p>
      <w:pPr>
        <w:pStyle w:val="ListBullet"/>
      </w:pPr>
      <w:r>
        <w:rPr>
          <w:rFonts w:ascii="Calibri" w:hAnsi="Calibri" w:eastAsia="微软雅黑"/>
          <w:b/>
          <w:i w:val="0"/>
          <w:sz w:val="22"/>
        </w:rPr>
        <w:t>动作（Action）</w:t>
      </w:r>
      <w:r>
        <w:rPr>
          <w:rFonts w:ascii="Calibri" w:hAnsi="Calibri" w:eastAsia="微软雅黑"/>
          <w:b w:val="0"/>
          <w:i w:val="0"/>
          <w:sz w:val="22"/>
        </w:rPr>
        <w:t>：对落入明星区（约前10%）的项目经理及造价专家，按项目预估超额利润的一定比例缴纳跟投风险金；严格考核概算修正指标执行精度，将采购节约额按约定比例注入项目超额利润池（比例为专项研究成果构造的机制参数，示意性复盘）[来源: P000851]。</w:t>
      </w:r>
    </w:p>
    <w:p>
      <w:pPr>
        <w:pStyle w:val="ListBullet"/>
      </w:pPr>
      <w:r>
        <w:rPr>
          <w:rFonts w:ascii="Calibri" w:hAnsi="Calibri" w:eastAsia="微软雅黑"/>
          <w:b/>
          <w:i w:val="0"/>
          <w:sz w:val="22"/>
        </w:rPr>
        <w:t>结果（Result）</w:t>
      </w:r>
      <w:r>
        <w:rPr>
          <w:rFonts w:ascii="Calibri" w:hAnsi="Calibri" w:eastAsia="微软雅黑"/>
          <w:b w:val="0"/>
          <w:i w:val="0"/>
          <w:sz w:val="22"/>
        </w:rPr>
        <w:t>：项目团队主动通过限额设计与采购优化降低工程造价，设备安装超支率显著下降，直接拉动效能指数分子端目标达成率的提升；同时，把"概算偏离表+技术文件完备性核查表"的双签门禁嵌入请款流程后，节点付款成就率的改善直接缓解了过程资金压力（结果表述为专项研究成果归纳）[来源: P000851]。</w:t>
      </w:r>
    </w:p>
    <w:p>
      <w:pPr>
        <w:pStyle w:val="Heading3"/>
      </w:pPr>
      <w:r>
        <w:t>9.3.4 可执行方法：激励约束落地四步法（本研究归纳，示意性复盘）</w:t>
      </w:r>
    </w:p>
    <w:p>
      <w:pPr>
        <w:pStyle w:val="ListNumber"/>
      </w:pPr>
      <w:r>
        <w:rPr>
          <w:rFonts w:ascii="Calibri" w:hAnsi="Calibri" w:eastAsia="微软雅黑"/>
          <w:b/>
          <w:i w:val="0"/>
          <w:sz w:val="22"/>
        </w:rPr>
        <w:t>第一步：测算基准利润率与风险红线</w:t>
      </w:r>
      <w:r>
        <w:rPr>
          <w:rFonts w:ascii="Calibri" w:hAnsi="Calibri" w:eastAsia="微软雅黑"/>
          <w:b w:val="0"/>
          <w:i w:val="0"/>
          <w:sz w:val="22"/>
        </w:rPr>
        <w:t>。按项目类型（固定总价或成本加酬金），由总部PMO与财务部门共同测算合同基准利润率与限额设计概算红线 [来源: P000821]。</w:t>
      </w:r>
    </w:p>
    <w:p>
      <w:pPr>
        <w:pStyle w:val="ListNumber"/>
      </w:pPr>
      <w:r>
        <w:rPr>
          <w:rFonts w:ascii="Calibri" w:hAnsi="Calibri" w:eastAsia="微软雅黑"/>
          <w:b/>
          <w:i w:val="0"/>
          <w:sz w:val="22"/>
        </w:rPr>
        <w:t>第二步：构建跟投资金池与风险保证金</w:t>
      </w:r>
      <w:r>
        <w:rPr>
          <w:rFonts w:ascii="Calibri" w:hAnsi="Calibri" w:eastAsia="微软雅黑"/>
          <w:b w:val="0"/>
          <w:i w:val="0"/>
          <w:sz w:val="22"/>
        </w:rPr>
        <w:t>。项目签订后限期完成项目经理与核心岗位跟投金缴存，并从阶段性绩效中扣留约定比例风险保证金注入专户 [来源: P000816]。</w:t>
      </w:r>
    </w:p>
    <w:p>
      <w:pPr>
        <w:pStyle w:val="ListNumber"/>
      </w:pPr>
      <w:r>
        <w:rPr>
          <w:rFonts w:ascii="Calibri" w:hAnsi="Calibri" w:eastAsia="微软雅黑"/>
          <w:b/>
          <w:i w:val="0"/>
          <w:sz w:val="22"/>
        </w:rPr>
        <w:t>第三步：过程节点考核与双签门禁审查</w:t>
      </w:r>
      <w:r>
        <w:rPr>
          <w:rFonts w:ascii="Calibri" w:hAnsi="Calibri" w:eastAsia="微软雅黑"/>
          <w:b w:val="0"/>
          <w:i w:val="0"/>
          <w:sz w:val="22"/>
        </w:rPr>
        <w:t>。按里程碑节点审查付款成就率与限额设计执行情况；严格核查现场签证双人双签记录，未过合规审查的不得预支阶段性奖金 [来源: P000851]。</w:t>
      </w:r>
    </w:p>
    <w:p>
      <w:pPr>
        <w:pStyle w:val="ListNumber"/>
      </w:pPr>
      <w:r>
        <w:rPr>
          <w:rFonts w:ascii="Calibri" w:hAnsi="Calibri" w:eastAsia="微软雅黑"/>
          <w:b/>
          <w:i w:val="0"/>
          <w:sz w:val="22"/>
        </w:rPr>
        <w:t>第四步：竣工终算兑现与追索</w:t>
      </w:r>
      <w:r>
        <w:rPr>
          <w:rFonts w:ascii="Calibri" w:hAnsi="Calibri" w:eastAsia="微软雅黑"/>
          <w:b w:val="0"/>
          <w:i w:val="0"/>
          <w:sz w:val="22"/>
        </w:rPr>
        <w:t>。竣工验收、审计结束且尾款回收达标后激活超额利润分享结算；发生违约亏损的严格执行跟投金冲抵与保证金扣减 [来源: P000816]。</w:t>
      </w:r>
    </w:p>
    <w:p>
      <w:r>
        <w:rPr>
          <w:rFonts w:ascii="Calibri" w:hAnsi="Calibri" w:eastAsia="微软雅黑"/>
          <w:b w:val="0"/>
          <w:i w:val="0"/>
          <w:sz w:val="22"/>
        </w:rPr>
        <w:t>---</w:t>
      </w:r>
    </w:p>
    <w:p>
      <w:pPr>
        <w:pStyle w:val="Heading2"/>
      </w:pPr>
      <w:r>
        <w:t>9.4 造血机制：梯队培养、轮岗淬炼与知识沉淀</w:t>
      </w:r>
    </w:p>
    <w:p>
      <w:r>
        <w:rPr>
          <w:rFonts w:ascii="Calibri" w:hAnsi="Calibri" w:eastAsia="微软雅黑"/>
          <w:b w:val="0"/>
          <w:i w:val="0"/>
          <w:sz w:val="22"/>
        </w:rPr>
        <w:t>传统的"临时招募、边干边学"模式，在面对动辄数亿元甚至上百亿元的复杂EPC项目时极易失控——项目可以等市场，人才等不起项目（判断为本研究归纳）[来源: P000811]。企业必须构建常态化、标准化、可持续的自主造血机制，源源不断孵化符合胜任力模型的复合型人才。</w:t>
      </w:r>
    </w:p>
    <w:p>
      <w:pPr>
        <w:pStyle w:val="Heading3"/>
      </w:pPr>
      <w:r>
        <w:t>9.4.1 双导师制、跨专业轮岗与实战沙盘</w:t>
      </w:r>
    </w:p>
    <w:p>
      <w:r>
        <w:rPr>
          <w:rFonts w:ascii="Calibri" w:hAnsi="Calibri" w:eastAsia="微软雅黑"/>
          <w:b w:val="0"/>
          <w:i w:val="0"/>
          <w:sz w:val="22"/>
        </w:rPr>
        <w:t>复合型人才无法仅在教室里培养，必须在真实的"设计-采购-施工"全流程交叉实战中淬炼——寰球让员工在遍及全球55个国家和地区的项目平台上历练国际化能力，五局把轮岗从福利变成晋升的前置条件，都是对这条规律的服从（判断为本研究归纳，实例随文标注）。三项造血机制在标杆企业中已成标配：</w:t>
      </w:r>
    </w:p>
    <w:p>
      <w:pPr>
        <w:pStyle w:val="ListNumber"/>
      </w:pPr>
      <w:r>
        <w:rPr>
          <w:rFonts w:ascii="Calibri" w:hAnsi="Calibri" w:eastAsia="微软雅黑"/>
          <w:b/>
          <w:i w:val="0"/>
          <w:sz w:val="22"/>
        </w:rPr>
        <w:t>双导师制（管理导师＋技术导师）</w:t>
      </w:r>
      <w:r>
        <w:rPr>
          <w:rFonts w:ascii="Calibri" w:hAnsi="Calibri" w:eastAsia="微软雅黑"/>
          <w:b w:val="0"/>
          <w:i w:val="0"/>
          <w:sz w:val="22"/>
        </w:rPr>
        <w:t>。对青年骨干配备两名资深导师：一名由资深EPC项目经理担任管理导师，指导商务谈判、合同履约与跨部门协调；另一名由总工程师或资深设计主管担任技术导师，指导限额设计与技术风控。中建五局建立了多层次、模块化的EPC人才培训体系——涵盖新员工入职培训、专业技能培训、管理能力提升培训与国际化专项培训，采用课堂授课、案例研讨、项目观摩、在线学习、导师带徒等多种方式；并有计划地安排员工在不同岗位、不同类型EPC项目中轮岗锻炼，丰富经验、拓展视野（机制描述据源文）[来源: P000831]。</w:t>
      </w:r>
    </w:p>
    <w:p>
      <w:pPr>
        <w:pStyle w:val="ListNumber"/>
      </w:pPr>
      <w:r>
        <w:rPr>
          <w:rFonts w:ascii="Calibri" w:hAnsi="Calibri" w:eastAsia="微软雅黑"/>
          <w:b/>
          <w:i w:val="0"/>
          <w:sz w:val="22"/>
        </w:rPr>
        <w:t>跨专业强制轮岗</w:t>
      </w:r>
      <w:r>
        <w:rPr>
          <w:rFonts w:ascii="Calibri" w:hAnsi="Calibri" w:eastAsia="微软雅黑"/>
          <w:b w:val="0"/>
          <w:i w:val="0"/>
          <w:sz w:val="22"/>
        </w:rPr>
        <w:t>。培养对象晋升EPC项目副经理或项目经理前，完成"设计所＋集中采购部门＋施工现场项目部"的强制性轮岗履历：设计人员下沉现场补齐可施工性短板，施工管理人员轮岗采购部门熟悉设备技术规格书与供应商管理（轮岗组合为本研究归纳，各环节均有源文支撑）[来源: P000801, P000826, P000831]。</w:t>
      </w:r>
    </w:p>
    <w:p>
      <w:pPr>
        <w:pStyle w:val="ListNumber"/>
      </w:pPr>
      <w:r>
        <w:rPr>
          <w:rFonts w:ascii="Calibri" w:hAnsi="Calibri" w:eastAsia="微软雅黑"/>
          <w:b/>
          <w:i w:val="0"/>
          <w:sz w:val="22"/>
        </w:rPr>
        <w:t>实战沙盘孵化</w:t>
      </w:r>
      <w:r>
        <w:rPr>
          <w:rFonts w:ascii="Calibri" w:hAnsi="Calibri" w:eastAsia="微软雅黑"/>
          <w:b w:val="0"/>
          <w:i w:val="0"/>
          <w:sz w:val="22"/>
        </w:rPr>
        <w:t>。设立虚拟EPC项目沙盘，模拟极端变更索赔、长周期设备供货迟延、海外独立保函无理索赔及现场群体性事件；学员须在模拟情境中完成动态调偏与索赔预案编制，考核过关方可下沉真实项目（沙盘机制为本研究归纳的示意性复盘）[来源: P000851]。</w:t>
      </w:r>
    </w:p>
    <w:p>
      <w:pPr>
        <w:pStyle w:val="Heading3"/>
      </w:pPr>
      <w:r>
        <w:t>9.4.2 知识管理与标准化经验沉淀</w:t>
      </w:r>
    </w:p>
    <w:p>
      <w:r>
        <w:rPr>
          <w:rFonts w:ascii="Calibri" w:hAnsi="Calibri" w:eastAsia="微软雅黑"/>
          <w:b w:val="0"/>
          <w:i w:val="0"/>
          <w:sz w:val="22"/>
        </w:rPr>
        <w:t>造血机制的另一核心，是把个别优秀项目经理的"隐性经验"转化为企业可复现、可传承的"显性知识资产"（转化表述为本研究归纳）：</w:t>
      </w:r>
    </w:p>
    <w:p>
      <w:pPr>
        <w:pStyle w:val="ListNumber"/>
      </w:pPr>
      <w:r>
        <w:rPr>
          <w:rFonts w:ascii="Calibri" w:hAnsi="Calibri" w:eastAsia="微软雅黑"/>
          <w:b/>
          <w:i w:val="0"/>
          <w:sz w:val="22"/>
        </w:rPr>
        <w:t>标准化案例库与避坑清单</w:t>
      </w:r>
      <w:r>
        <w:rPr>
          <w:rFonts w:ascii="Calibri" w:hAnsi="Calibri" w:eastAsia="微软雅黑"/>
          <w:b w:val="0"/>
          <w:i w:val="0"/>
          <w:sz w:val="22"/>
        </w:rPr>
        <w:t>。建立统一的EPC知识管理平台，要求每个完工项目限期提交《全生命周期避坑与复盘清单》，归纳设计接口错漏碰缺、采购技术参数失控、现场签证纠纷及海外法律适用等典型案例，供全员在线检索学习（机制为本研究归纳）[来源: P000801, P000826]。</w:t>
      </w:r>
    </w:p>
    <w:p>
      <w:pPr>
        <w:pStyle w:val="ListNumber"/>
      </w:pPr>
      <w:r>
        <w:rPr>
          <w:rFonts w:ascii="Calibri" w:hAnsi="Calibri" w:eastAsia="微软雅黑"/>
          <w:b/>
          <w:i w:val="0"/>
          <w:sz w:val="22"/>
        </w:rPr>
        <w:t>数字化工具与国际标准双培训</w:t>
      </w:r>
      <w:r>
        <w:rPr>
          <w:rFonts w:ascii="Calibri" w:hAnsi="Calibri" w:eastAsia="微软雅黑"/>
          <w:b w:val="0"/>
          <w:i w:val="0"/>
          <w:sz w:val="22"/>
        </w:rPr>
        <w:t>。推进BIM、VR/AR施工模拟与项目管理信息系统全员应用培训，培养既懂工程又懂数据的数字化复合型人才；针对海外拓展，系统开展美标（ASME/ASTM）、欧标（EN）、日标（JIS）与中国国标（GB）的双标多标对照培训——中国寰球98%专业技术人员具备按多国标准设计建设能力的实证，证明了这类培训的可达成性；配套的跨文化管理培训（文化差异、商业习惯与法律法规）则保证标准能力能在属地现场真正落地 [来源: P000801]。知识沉淀的检验标准很简单（本研究归纳）：一名新任项目经理能否在两周内通过知识库检索，还原其前任在同类项目上踩过的全部坑——做不到，说明隐性经验仍未转化为组织资产。</w:t>
      </w:r>
    </w:p>
    <w:p>
      <w:pPr>
        <w:pStyle w:val="Heading3"/>
      </w:pPr>
      <w:r>
        <w:t>9.4.3 案例印证：寰球的国际化造血与五局、湖南院的梯队培育</w:t>
      </w:r>
    </w:p>
    <w:p>
      <w:pPr>
        <w:pStyle w:val="Heading4"/>
      </w:pPr>
      <w:r>
        <w:t>案例一：中国寰球——全方位国际化人才造血 [来源: P000801]</w:t>
      </w:r>
    </w:p>
    <w:p>
      <w:pPr>
        <w:pStyle w:val="ListBullet"/>
      </w:pPr>
      <w:r>
        <w:rPr>
          <w:rFonts w:ascii="Calibri" w:hAnsi="Calibri" w:eastAsia="微软雅黑"/>
          <w:b/>
          <w:i w:val="0"/>
          <w:sz w:val="22"/>
        </w:rPr>
        <w:t>数据（Data）</w:t>
      </w:r>
      <w:r>
        <w:rPr>
          <w:rFonts w:ascii="Calibri" w:hAnsi="Calibri" w:eastAsia="微软雅黑"/>
          <w:b w:val="0"/>
          <w:i w:val="0"/>
          <w:sz w:val="22"/>
        </w:rPr>
        <w:t>：960名国际化人才、120多名欧美日工程公司培养的高级专家、33项国标与47项行标的主编参编（见9.3.3）[来源: P000801]。</w:t>
      </w:r>
    </w:p>
    <w:p>
      <w:pPr>
        <w:pStyle w:val="ListBullet"/>
      </w:pPr>
      <w:r>
        <w:rPr>
          <w:rFonts w:ascii="Calibri" w:hAnsi="Calibri" w:eastAsia="微软雅黑"/>
          <w:b/>
          <w:i w:val="0"/>
          <w:sz w:val="22"/>
        </w:rPr>
        <w:t>动作（Action）</w:t>
      </w:r>
      <w:r>
        <w:rPr>
          <w:rFonts w:ascii="Calibri" w:hAnsi="Calibri" w:eastAsia="微软雅黑"/>
          <w:b w:val="0"/>
          <w:i w:val="0"/>
          <w:sz w:val="22"/>
        </w:rPr>
        <w:t>：构建系统的国际化人才培养体系——语言能力上定期组织英语等多语种培训；国际交流上选送优秀员工赴国外工程公司学习工作（120多名员工在欧美日工程公司培养两年以上）；国际项目实践上依托遍及全球55个国家和地区的业务平台安排员工参与国际项目实施；跨文化管理上组织专门培训帮助员工了解不同国家的文化差异、商业习惯与法律法规；在东南亚与中东项目部推进资源、制度与工作标准三维本土化——东南亚公司项目管理人员与施工作业人员本土化比例分别达到81%和90%以上 [来源: P000801]。</w:t>
      </w:r>
    </w:p>
    <w:p>
      <w:pPr>
        <w:pStyle w:val="ListBullet"/>
      </w:pPr>
      <w:r>
        <w:rPr>
          <w:rFonts w:ascii="Calibri" w:hAnsi="Calibri" w:eastAsia="微软雅黑"/>
          <w:b/>
          <w:i w:val="0"/>
          <w:sz w:val="22"/>
        </w:rPr>
        <w:t>结果（Result）</w:t>
      </w:r>
      <w:r>
        <w:rPr>
          <w:rFonts w:ascii="Calibri" w:hAnsi="Calibri" w:eastAsia="微软雅黑"/>
          <w:b w:val="0"/>
          <w:i w:val="0"/>
          <w:sz w:val="22"/>
        </w:rPr>
        <w:t>：打破国际工程领域的技术与标准壁垒，支撑其在沙特、伊拉克、土库曼斯坦等复杂国别高效交付大型炼化与LNG项目，显著抬升效能指数中的本土化适配因子（结果表述为本研究据源文归纳）[来源: P000801]。</w:t>
      </w:r>
    </w:p>
    <w:p>
      <w:pPr>
        <w:pStyle w:val="Heading4"/>
      </w:pPr>
      <w:r>
        <w:t>案例二：中建五局与湖南院——梯队培育与多通道发展 [来源: P000831, P000811]</w:t>
      </w:r>
    </w:p>
    <w:p>
      <w:pPr>
        <w:pStyle w:val="ListBullet"/>
      </w:pPr>
      <w:r>
        <w:rPr>
          <w:rFonts w:ascii="Calibri" w:hAnsi="Calibri" w:eastAsia="微软雅黑"/>
          <w:b/>
          <w:i w:val="0"/>
          <w:sz w:val="22"/>
        </w:rPr>
        <w:t>数据（Action）</w:t>
      </w:r>
      <w:r>
        <w:rPr>
          <w:rFonts w:ascii="Calibri" w:hAnsi="Calibri" w:eastAsia="微软雅黑"/>
          <w:b w:val="0"/>
          <w:i w:val="0"/>
          <w:sz w:val="22"/>
        </w:rPr>
        <w:t>：中建五局打造"导师带徒＋多通道职业发展"——设计管理序列、技术序列、项目经理序列等多元通道并行，搭建线上学习平台与知识库推动项目经验沉淀 [来源: P000831]。湖南院实施技术与管理双轮造血：建立了多层次培训体系（新员工培训、在职培训、高级研修），在职培训覆盖专业技术、管理技能与外语，每年投入培训费用超过500万元、人均培训时间超过40小时；依托174项自主知识产权开展"设计+采购"一体化培训，组织设计人员深入项目施工现场开展二次优化实战，培养既懂设计又懂现场造价的复合型人才（培养机制与投入数据据源文）[来源: P000811]。</w:t>
      </w:r>
    </w:p>
    <w:p>
      <w:r>
        <w:rPr>
          <w:rFonts w:ascii="Calibri" w:hAnsi="Calibri" w:eastAsia="微软雅黑"/>
          <w:b w:val="0"/>
          <w:i w:val="0"/>
          <w:sz w:val="22"/>
        </w:rPr>
        <w:t>中冶南方则全面实施"人才兴企"战略，设有管理、设计、研发、项目运作等多条职业发展通道，提供工程咨询、规划、设计、研发、项目管理、职能管理等各类岗位发展平台，并通过多种形式的培训和实践锻炼持续提升专业能力（发展通道描述据源文）[来源: P000826]。</w:t>
      </w:r>
    </w:p>
    <w:p>
      <w:pPr>
        <w:pStyle w:val="ListBullet"/>
      </w:pPr>
      <w:r>
        <w:rPr>
          <w:rFonts w:ascii="Calibri" w:hAnsi="Calibri" w:eastAsia="微软雅黑"/>
          <w:b/>
          <w:i w:val="0"/>
          <w:sz w:val="22"/>
        </w:rPr>
        <w:t>结果（Result）</w:t>
      </w:r>
      <w:r>
        <w:rPr>
          <w:rFonts w:ascii="Calibri" w:hAnsi="Calibri" w:eastAsia="微软雅黑"/>
          <w:b w:val="0"/>
          <w:i w:val="0"/>
          <w:sz w:val="22"/>
        </w:rPr>
        <w:t>：五局形成结构合理、素质优良的梯队，为"一体两翼、区域深耕"提供人才支撑；湖南院实现EPC业务收入与净利润稳步增长，设计主导的技术集成能力持续增强；中冶南方以多通道职业发展体系构成其"专业结构合理、技术水平高、实践经验丰富"人才队伍的制度支撑（结果表述为源文结论）[来源: P000831, P000811, P000826]。</w:t>
      </w:r>
    </w:p>
    <w:p>
      <w:pPr>
        <w:pStyle w:val="Heading3"/>
      </w:pPr>
      <w:r>
        <w:t>9.4.4 可执行方法：造血机制五阶段推进（本研究归纳，示意性复盘）</w:t>
      </w:r>
    </w:p>
    <w:p>
      <w:pPr>
        <w:pStyle w:val="ListNumber"/>
      </w:pPr>
      <w:r>
        <w:rPr>
          <w:rFonts w:ascii="Calibri" w:hAnsi="Calibri" w:eastAsia="微软雅黑"/>
          <w:b/>
          <w:i w:val="0"/>
          <w:sz w:val="22"/>
        </w:rPr>
        <w:t>第一阶段：入职与基础淬炼</w:t>
      </w:r>
      <w:r>
        <w:rPr>
          <w:rFonts w:ascii="Calibri" w:hAnsi="Calibri" w:eastAsia="微软雅黑"/>
          <w:b w:val="0"/>
          <w:i w:val="0"/>
          <w:sz w:val="22"/>
        </w:rPr>
        <w:t>。新员工或转型人员集中培训，覆盖公司质量健康安全环保体系、BIM应用、EPC合同法务与财务通识。</w:t>
      </w:r>
    </w:p>
    <w:p>
      <w:pPr>
        <w:pStyle w:val="ListNumber"/>
      </w:pPr>
      <w:r>
        <w:rPr>
          <w:rFonts w:ascii="Calibri" w:hAnsi="Calibri" w:eastAsia="微软雅黑"/>
          <w:b/>
          <w:i w:val="0"/>
          <w:sz w:val="22"/>
        </w:rPr>
        <w:t>第二阶段：双导师结对带徒</w:t>
      </w:r>
      <w:r>
        <w:rPr>
          <w:rFonts w:ascii="Calibri" w:hAnsi="Calibri" w:eastAsia="微软雅黑"/>
          <w:b w:val="0"/>
          <w:i w:val="0"/>
          <w:sz w:val="22"/>
        </w:rPr>
        <w:t>。签订师徒带教协议，明确带教期内须达成的定量硬指标（如独立完成一份限额设计测算或采购规格书编制）[来源: P000831]。</w:t>
      </w:r>
    </w:p>
    <w:p>
      <w:pPr>
        <w:pStyle w:val="ListNumber"/>
      </w:pPr>
      <w:r>
        <w:rPr>
          <w:rFonts w:ascii="Calibri" w:hAnsi="Calibri" w:eastAsia="微软雅黑"/>
          <w:b/>
          <w:i w:val="0"/>
          <w:sz w:val="22"/>
        </w:rPr>
        <w:t>第三阶段：跨专业强制轮岗</w:t>
      </w:r>
      <w:r>
        <w:rPr>
          <w:rFonts w:ascii="Calibri" w:hAnsi="Calibri" w:eastAsia="微软雅黑"/>
          <w:b w:val="0"/>
          <w:i w:val="0"/>
          <w:sz w:val="22"/>
        </w:rPr>
        <w:t>。先后进入设计部门、集中采购中心与现场项目部实操，打通"设计-采购-施工"全链条视野 [来源: P000801, P000831]。</w:t>
      </w:r>
    </w:p>
    <w:p>
      <w:pPr>
        <w:pStyle w:val="ListNumber"/>
      </w:pPr>
      <w:r>
        <w:rPr>
          <w:rFonts w:ascii="Calibri" w:hAnsi="Calibri" w:eastAsia="微软雅黑"/>
          <w:b/>
          <w:i w:val="0"/>
          <w:sz w:val="22"/>
        </w:rPr>
        <w:t>第四阶段：实战沙盘与抗辩考核</w:t>
      </w:r>
      <w:r>
        <w:rPr>
          <w:rFonts w:ascii="Calibri" w:hAnsi="Calibri" w:eastAsia="微软雅黑"/>
          <w:b w:val="0"/>
          <w:i w:val="0"/>
          <w:sz w:val="22"/>
        </w:rPr>
        <w:t>。极限情境模拟考核概算控制、FIDIC索赔条款应用与独立保函抗辩能力 [来源: P000851]。</w:t>
      </w:r>
    </w:p>
    <w:p>
      <w:pPr>
        <w:pStyle w:val="ListNumber"/>
      </w:pPr>
      <w:r>
        <w:rPr>
          <w:rFonts w:ascii="Calibri" w:hAnsi="Calibri" w:eastAsia="微软雅黑"/>
          <w:b/>
          <w:i w:val="0"/>
          <w:sz w:val="22"/>
        </w:rPr>
        <w:t>第五阶段：动态盘点与经验入库</w:t>
      </w:r>
      <w:r>
        <w:rPr>
          <w:rFonts w:ascii="Calibri" w:hAnsi="Calibri" w:eastAsia="微软雅黑"/>
          <w:b w:val="0"/>
          <w:i w:val="0"/>
          <w:sz w:val="22"/>
        </w:rPr>
        <w:t>。考核通过者纳入项目经理储备库；完工后向企业知识库提交复盘清单，实现知识沉淀回流 [来源: P000851]。</w:t>
      </w:r>
    </w:p>
    <w:p>
      <w:r>
        <w:rPr>
          <w:rFonts w:ascii="Calibri" w:hAnsi="Calibri" w:eastAsia="微软雅黑"/>
          <w:b w:val="0"/>
          <w:i w:val="0"/>
          <w:sz w:val="22"/>
        </w:rPr>
        <w:t>---</w:t>
      </w:r>
    </w:p>
    <w:p>
      <w:pPr>
        <w:pStyle w:val="Heading2"/>
      </w:pPr>
      <w:r>
        <w:t>9.5 境外本土化用工与跨境风险管控</w:t>
      </w:r>
    </w:p>
    <w:p>
      <w:r>
        <w:rPr>
          <w:rFonts w:ascii="Calibri" w:hAnsi="Calibri" w:eastAsia="微软雅黑"/>
          <w:b w:val="0"/>
          <w:i w:val="0"/>
          <w:sz w:val="22"/>
        </w:rPr>
        <w:t>随着国内市场增速放缓与"一带一路"倡议推进，TOP50工程企业向海外拓展EPC业务已从"可选项"变为"必选项"（判断为本研究归纳）。境外工程面临跨国法律环境差异、劳工法保护严苛、政治经济波动与文化差异等复杂挑战；传统"全套中方队伍输出"模式不仅派驻与后勤成本高昂，还极易引发当地劳工诉讼与合规危机 [来源: P000801, P000806]。构建"中方核心管理层＋本土化劳务与分包"的柔性跨境矩阵，是优化效能指数本土化适配因子、抑制用工合规风险系数的根本出路。</w:t>
      </w:r>
    </w:p>
    <w:p>
      <w:pPr>
        <w:pStyle w:val="Heading3"/>
      </w:pPr>
      <w:r>
        <w:t>9.5.1 三维本土化策略与实证</w:t>
      </w:r>
    </w:p>
    <w:p>
      <w:r>
        <w:rPr>
          <w:rFonts w:ascii="Calibri" w:hAnsi="Calibri" w:eastAsia="微软雅黑"/>
          <w:b w:val="0"/>
          <w:i w:val="0"/>
          <w:sz w:val="22"/>
        </w:rPr>
        <w:t>商务部统计数据显示，2017年我国对外承包工程完成营业额1685.9亿美元、新签合同额2652.8亿美元，其中在"一带一路"沿线国家占比均超过50%（统计数据据专项研究成果转引）[来源: P000851]。随着国务院取消对外承包工程资格制度与投（议）标核准制度（国务院令第676号），境外工程准入门槛大幅降低、参与主体更加多元，但市场门槛降低在推动业务增长的同时也加剧了境外恶性竞争与履约风险（政策背景据专项研究成果整理）[来源: P000851]。企业应推行"资源本土化、制度本土化、工作标准本土化"的三维策略 [来源: P000801]：</w:t>
      </w:r>
    </w:p>
    <w:p>
      <w:pPr>
        <w:pStyle w:val="ListNumber"/>
      </w:pPr>
      <w:r>
        <w:rPr>
          <w:rFonts w:ascii="Calibri" w:hAnsi="Calibri" w:eastAsia="微软雅黑"/>
          <w:b/>
          <w:i w:val="0"/>
          <w:sz w:val="22"/>
        </w:rPr>
        <w:t>管理架构分层解耦</w:t>
      </w:r>
      <w:r>
        <w:rPr>
          <w:rFonts w:ascii="Calibri" w:hAnsi="Calibri" w:eastAsia="微软雅黑"/>
          <w:b w:val="0"/>
          <w:i w:val="0"/>
          <w:sz w:val="22"/>
        </w:rPr>
        <w:t>。中方团队把控设计（E）、关键设备采购（P）、总体进度计划与合同商务风控；现场施工（C）与通用劳务大量采用项目所在国本土分包商与劳务人员 [来源: P000801]。</w:t>
      </w:r>
    </w:p>
    <w:p>
      <w:pPr>
        <w:pStyle w:val="ListNumber"/>
      </w:pPr>
      <w:r>
        <w:rPr>
          <w:rFonts w:ascii="Calibri" w:hAnsi="Calibri" w:eastAsia="微软雅黑"/>
          <w:b/>
          <w:i w:val="0"/>
          <w:sz w:val="22"/>
        </w:rPr>
        <w:t>本土化用工比例硬指标</w:t>
      </w:r>
      <w:r>
        <w:rPr>
          <w:rFonts w:ascii="Calibri" w:hAnsi="Calibri" w:eastAsia="微软雅黑"/>
          <w:b w:val="0"/>
          <w:i w:val="0"/>
          <w:sz w:val="22"/>
        </w:rPr>
        <w:t>。中国寰球在东南亚公司将项目管理人员与施工作业人员本土化比例分别提升至81%和90%以上，并在中东高端市场同步推行三维本土化 [来源: P000801]。</w:t>
      </w:r>
    </w:p>
    <w:p>
      <w:pPr>
        <w:pStyle w:val="ListNumber"/>
      </w:pPr>
      <w:r>
        <w:rPr>
          <w:rFonts w:ascii="Calibri" w:hAnsi="Calibri" w:eastAsia="微软雅黑"/>
          <w:b/>
          <w:i w:val="0"/>
          <w:sz w:val="22"/>
        </w:rPr>
        <w:t>"国内技术后方＋海外柔性矩阵"配置</w:t>
      </w:r>
      <w:r>
        <w:rPr>
          <w:rFonts w:ascii="Calibri" w:hAnsi="Calibri" w:eastAsia="微软雅黑"/>
          <w:b w:val="0"/>
          <w:i w:val="0"/>
          <w:sz w:val="22"/>
        </w:rPr>
        <w:t>。中石化南京工程以65名国内直聘境外人员为核心组建海外项目部，现场大宗土建与安装工程全面发包给当地资质健全的分包商，中方专家专注接口监督与质量把关（配置描述据专项研究成果）[来源: P000851]。</w:t>
      </w:r>
    </w:p>
    <w:p>
      <w:r>
        <w:rPr>
          <w:rFonts w:ascii="Calibri" w:hAnsi="Calibri" w:eastAsia="微软雅黑"/>
          <w:b w:val="0"/>
          <w:i w:val="0"/>
          <w:sz w:val="22"/>
        </w:rPr>
        <w:t>三维本土化的推进次序（本研究建议）：先资源本土化（劳务与材料属地化，立竿见影降成本），再制度本土化（用工、财税、合规制度属地嵌入，防诉讼风险），最后工作标准本土化（把中国标准与美欧日标准的转换能力沉淀为属地团队自己的能力）——跳过前两步直接推标准输出，往往遭遇"指令穿透阻尼"而返工（次序建议为本研究归纳，阻尼风险据专项研究成果）[来源: P000851, P000801]。</w:t>
      </w:r>
    </w:p>
    <w:p>
      <w:pPr>
        <w:pStyle w:val="Heading3"/>
      </w:pPr>
      <w:r>
        <w:t>9.5.2 司法判例：分包介入权与独立保函欺诈止付</w:t>
      </w:r>
    </w:p>
    <w:p>
      <w:r>
        <w:rPr>
          <w:rFonts w:ascii="Calibri" w:hAnsi="Calibri" w:eastAsia="微软雅黑"/>
          <w:b w:val="0"/>
          <w:i w:val="0"/>
          <w:sz w:val="22"/>
        </w:rPr>
        <w:t>在境外EPC项目中，本土分包商技术能力不足或财务恶化常导致施工中断；总承包商若缺乏合同救济手段或盲目索赔保函，极易卷入跨境诉讼与保函欺诈认定危机 [来源: P000851]。</w:t>
      </w:r>
    </w:p>
    <w:p>
      <w:pPr>
        <w:pStyle w:val="Heading4"/>
      </w:pPr>
      <w:r>
        <w:t>典型案例：危地马拉电站EPC项目分包介入与保函欺诈纠纷 [来源: P000851, P000852]</w:t>
      </w:r>
    </w:p>
    <w:p>
      <w:pPr>
        <w:pStyle w:val="ListBullet"/>
      </w:pPr>
      <w:r>
        <w:rPr>
          <w:rFonts w:ascii="Calibri" w:hAnsi="Calibri" w:eastAsia="微软雅黑"/>
          <w:b/>
          <w:i w:val="0"/>
          <w:sz w:val="22"/>
        </w:rPr>
        <w:t>数据（Data）</w:t>
      </w:r>
      <w:r>
        <w:rPr>
          <w:rFonts w:ascii="Calibri" w:hAnsi="Calibri" w:eastAsia="微软雅黑"/>
          <w:b w:val="0"/>
          <w:i w:val="0"/>
          <w:sz w:val="22"/>
        </w:rPr>
        <w:t>：中机公司作为总承包商承建危地马拉2×15MW电站EPC项目（涉及合同金额1.8亿元），华西能源为锅炉分包商，通过银行向中机公司开立了金额2565万元的独立保函 [来源: P000851]。</w:t>
      </w:r>
    </w:p>
    <w:p>
      <w:pPr>
        <w:pStyle w:val="ListBullet"/>
      </w:pPr>
      <w:r>
        <w:rPr>
          <w:rFonts w:ascii="Calibri" w:hAnsi="Calibri" w:eastAsia="微软雅黑"/>
          <w:b/>
          <w:i w:val="0"/>
          <w:sz w:val="22"/>
        </w:rPr>
        <w:t>动作（Action）</w:t>
      </w:r>
      <w:r>
        <w:rPr>
          <w:rFonts w:ascii="Calibri" w:hAnsi="Calibri" w:eastAsia="微软雅黑"/>
          <w:b w:val="0"/>
          <w:i w:val="0"/>
          <w:sz w:val="22"/>
        </w:rPr>
        <w:t>：业主、总包商与分包商三方签署《分包商承诺协议》，约定业主享有介入权（Step-in Right）——总包商违约导致主合同终止时，业主有权直接介入分包合同，分包商应直接向业主继续履约。后业主终止主合同并行使介入权，华西能源依约直接向业主履约；但中机公司仍以华西能源未向其履约为由，向开立行强行申请索赔2565万元独立保函，华西能源遂诉请终止支付 [来源: P000851]。</w:t>
      </w:r>
    </w:p>
    <w:p>
      <w:pPr>
        <w:pStyle w:val="ListBullet"/>
      </w:pPr>
      <w:r>
        <w:rPr>
          <w:rFonts w:ascii="Calibri" w:hAnsi="Calibri" w:eastAsia="微软雅黑"/>
          <w:b/>
          <w:i w:val="0"/>
          <w:sz w:val="22"/>
        </w:rPr>
        <w:t>结果（Result）</w:t>
      </w:r>
      <w:r>
        <w:rPr>
          <w:rFonts w:ascii="Calibri" w:hAnsi="Calibri" w:eastAsia="微软雅黑"/>
          <w:b w:val="0"/>
          <w:i w:val="0"/>
          <w:sz w:val="22"/>
        </w:rPr>
        <w:t>：四川省高级人民法院（(2017)川民终72号）援引《最高人民法院关于审理独立保函纠纷案件若干问题的规定》（法释〔2016〕24号）认定：涉案保函具有独立效力，但审查保函欺诈时法院有权对基础交易进行有限审查；总包商明知三方协议约定了业主介入权且分包商向业主履约完全符合协议，仍强行主张违约并索赔保函，构成独立保函欺诈，判令终止支付保函款项 [来源: P000851]。</w:t>
      </w:r>
    </w:p>
    <w:p>
      <w:r>
        <w:rPr>
          <w:rFonts w:ascii="Calibri" w:hAnsi="Calibri" w:eastAsia="微软雅黑"/>
          <w:b/>
          <w:i w:val="0"/>
          <w:sz w:val="22"/>
        </w:rPr>
        <w:t>组织风控要则</w:t>
      </w:r>
      <w:r>
        <w:rPr>
          <w:rFonts w:ascii="Calibri" w:hAnsi="Calibri" w:eastAsia="微软雅黑"/>
          <w:b w:val="0"/>
          <w:i w:val="0"/>
          <w:sz w:val="22"/>
        </w:rPr>
        <w:t>（本研究归纳）：总承包商在引入介入权条款时，法务与商务部门必须建立"保函与分包合同协同审核"的联动作业流程——严禁在业主合法行使介入权接管分包商后盲目向开立行索赔分包保函，否则不仅败诉，还将触发企业信用受损与保函资金冻结的双重代价。该案与本章第二节剖析的695号案共同构成"凭证与条款两条线"的完整教材：695号案输在"该交的凭证没交"，川民终72号案输在"不该碰的保函硬碰"——一进一出之间，正是EPC项目组织的法务素养水位线。</w:t>
      </w:r>
    </w:p>
    <w:p>
      <w:pPr>
        <w:pStyle w:val="Heading3"/>
      </w:pPr>
      <w:r>
        <w:t>9.5.3 涉外合同管辖与法律适用的应变</w:t>
      </w:r>
    </w:p>
    <w:p>
      <w:r>
        <w:rPr>
          <w:rFonts w:ascii="Calibri" w:hAnsi="Calibri" w:eastAsia="微软雅黑"/>
          <w:b w:val="0"/>
          <w:i w:val="0"/>
          <w:sz w:val="22"/>
        </w:rPr>
        <w:t>在涉外工程合同纠纷中，管辖权与准据法的确定直接关系企业能否有效维权。最高人民法院(2017)最高法民申629号案（福贡腾鸿外贸公司与李某建设工程施工合同纠纷，双方就缅甸境内林区公路施工签订合同）确立了两条规则：其一，建设工程施工合同纠纷并非不动产物权纠纷，中国民事诉讼法关于不动产专属管辖的规定不排除中国法院对涉外建设工程合同纠纷的管辖权；其二，当事人未协议选择合同准据法时，依《涉外民事关系法律适用法》最密切联系原则——当事人均为中国法人或公民且合同缔结地在中国——裁定适用中国法律（裁判规则据判例研究成果整理）[来源: P000852]。据此，涉外商务与现场组织的两条应变动作（本研究归纳）：合同谈判期优先约定中国境内仲裁机构（如贸仲）管辖并明确适用中国法律；现场履约实施中英文双语全过程留痕，确保签署文件满足中国法与项目所在国法的双重举证要求。</w:t>
      </w:r>
    </w:p>
    <w:p>
      <w:pPr>
        <w:pStyle w:val="Heading3"/>
      </w:pPr>
      <w:r>
        <w:t>9.5.4 海外派驻人员的四维保障清单</w:t>
      </w:r>
    </w:p>
    <w:p>
      <w:r>
        <w:rPr>
          <w:rFonts w:ascii="Calibri" w:hAnsi="Calibri" w:eastAsia="微软雅黑"/>
          <w:b w:val="0"/>
          <w:i w:val="0"/>
          <w:sz w:val="22"/>
        </w:rPr>
        <w:t>针对海外艰苦及高风险地区派驻人员易发的离职率高、心理焦虑与履约失误问题，既有专项研究成果以"Eudaimonia（自我实现与幸福感）人生审计"框架构建了四维保障体系 [来源: P000851]：</w:t>
      </w:r>
    </w:p>
    <w:p>
      <w:pPr>
        <w:pStyle w:val="Heading4"/>
      </w:pPr>
      <w:r>
        <w:t>表9-7 海外派驻人员四维保障清单（据专项研究成果整理）[来源: P000851]</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维度</w:t>
            </w:r>
          </w:p>
        </w:tc>
        <w:tc>
          <w:tcPr>
            <w:tcW w:type="dxa" w:w="2075"/>
            <w:shd w:fill="1F3A5F"/>
          </w:tcPr>
          <w:p>
            <w:r>
              <w:rPr>
                <w:color w:val="FFFFFF"/>
              </w:rPr>
            </w:r>
            <w:r>
              <w:rPr>
                <w:rFonts w:ascii="Calibri" w:hAnsi="Calibri" w:eastAsia="微软雅黑"/>
                <w:b/>
                <w:i w:val="0"/>
                <w:color w:val="FFFFFF"/>
                <w:sz w:val="18"/>
              </w:rPr>
              <w:t>评估核心</w:t>
            </w:r>
          </w:p>
        </w:tc>
        <w:tc>
          <w:tcPr>
            <w:tcW w:type="dxa" w:w="2075"/>
            <w:shd w:fill="1F3A5F"/>
          </w:tcPr>
          <w:p>
            <w:r>
              <w:rPr>
                <w:color w:val="FFFFFF"/>
              </w:rPr>
            </w:r>
            <w:r>
              <w:rPr>
                <w:rFonts w:ascii="Calibri" w:hAnsi="Calibri" w:eastAsia="微软雅黑"/>
                <w:b/>
                <w:i w:val="0"/>
                <w:color w:val="FFFFFF"/>
                <w:sz w:val="18"/>
              </w:rPr>
              <w:t>组织保障刚性动作</w:t>
            </w:r>
          </w:p>
        </w:tc>
        <w:tc>
          <w:tcPr>
            <w:tcW w:type="dxa" w:w="2075"/>
            <w:shd w:fill="1F3A5F"/>
          </w:tcPr>
          <w:p>
            <w:r>
              <w:rPr>
                <w:color w:val="FFFFFF"/>
              </w:rPr>
            </w:r>
            <w:r>
              <w:rPr>
                <w:rFonts w:ascii="Calibri" w:hAnsi="Calibri" w:eastAsia="微软雅黑"/>
                <w:b/>
                <w:i w:val="0"/>
                <w:color w:val="FFFFFF"/>
                <w:sz w:val="18"/>
              </w:rPr>
              <w:t>控制线（示例参数）</w:t>
            </w:r>
          </w:p>
        </w:tc>
      </w:tr>
      <w:tr>
        <w:tc>
          <w:tcPr>
            <w:tcW w:type="dxa" w:w="2075"/>
          </w:tcPr>
          <w:p>
            <w:r/>
            <w:r>
              <w:rPr>
                <w:rFonts w:ascii="Calibri" w:hAnsi="Calibri" w:eastAsia="微软雅黑"/>
                <w:b w:val="0"/>
                <w:i w:val="0"/>
                <w:sz w:val="18"/>
              </w:rPr>
              <w:t>意义感（Meaning）</w:t>
            </w:r>
          </w:p>
        </w:tc>
        <w:tc>
          <w:tcPr>
            <w:tcW w:type="dxa" w:w="2075"/>
          </w:tcPr>
          <w:p>
            <w:r/>
            <w:r>
              <w:rPr>
                <w:rFonts w:ascii="Calibri" w:hAnsi="Calibri" w:eastAsia="微软雅黑"/>
                <w:b w:val="0"/>
                <w:i w:val="0"/>
                <w:sz w:val="18"/>
              </w:rPr>
              <w:t>职业通道与标杆荣誉</w:t>
            </w:r>
          </w:p>
        </w:tc>
        <w:tc>
          <w:tcPr>
            <w:tcW w:type="dxa" w:w="2075"/>
          </w:tcPr>
          <w:p>
            <w:r/>
            <w:r>
              <w:rPr>
                <w:rFonts w:ascii="Calibri" w:hAnsi="Calibri" w:eastAsia="微软雅黑"/>
                <w:b w:val="0"/>
                <w:i w:val="0"/>
                <w:sz w:val="18"/>
              </w:rPr>
              <w:t>海外履约满两年者在盘点中潜力项加分，优先推荐参评国家级工程奖项</w:t>
            </w:r>
          </w:p>
        </w:tc>
        <w:tc>
          <w:tcPr>
            <w:tcW w:type="dxa" w:w="2075"/>
          </w:tcPr>
          <w:p>
            <w:r/>
            <w:r>
              <w:rPr>
                <w:rFonts w:ascii="Calibri" w:hAnsi="Calibri" w:eastAsia="微软雅黑"/>
                <w:b w:val="0"/>
                <w:i w:val="0"/>
                <w:sz w:val="18"/>
              </w:rPr>
              <w:t>海外经历在资深专家晋升中权重占30%</w:t>
            </w:r>
          </w:p>
        </w:tc>
      </w:tr>
      <w:tr>
        <w:tc>
          <w:tcPr>
            <w:tcW w:type="dxa" w:w="2075"/>
          </w:tcPr>
          <w:p>
            <w:r/>
            <w:r>
              <w:rPr>
                <w:rFonts w:ascii="Calibri" w:hAnsi="Calibri" w:eastAsia="微软雅黑"/>
                <w:b w:val="0"/>
                <w:i w:val="0"/>
                <w:sz w:val="18"/>
              </w:rPr>
              <w:t>自主性（Autonomy）</w:t>
            </w:r>
          </w:p>
        </w:tc>
        <w:tc>
          <w:tcPr>
            <w:tcW w:type="dxa" w:w="2075"/>
          </w:tcPr>
          <w:p>
            <w:r/>
            <w:r>
              <w:rPr>
                <w:rFonts w:ascii="Calibri" w:hAnsi="Calibri" w:eastAsia="微软雅黑"/>
                <w:b w:val="0"/>
                <w:i w:val="0"/>
                <w:sz w:val="18"/>
              </w:rPr>
              <w:t>现场本土化资源调度权</w:t>
            </w:r>
          </w:p>
        </w:tc>
        <w:tc>
          <w:tcPr>
            <w:tcW w:type="dxa" w:w="2075"/>
          </w:tcPr>
          <w:p>
            <w:r/>
            <w:r>
              <w:rPr>
                <w:rFonts w:ascii="Calibri" w:hAnsi="Calibri" w:eastAsia="微软雅黑"/>
                <w:b w:val="0"/>
                <w:i w:val="0"/>
                <w:sz w:val="18"/>
              </w:rPr>
              <w:t>授予现场项目部本土小额分包与急需物资采购审批权</w:t>
            </w:r>
          </w:p>
        </w:tc>
        <w:tc>
          <w:tcPr>
            <w:tcW w:type="dxa" w:w="2075"/>
          </w:tcPr>
          <w:p>
            <w:r/>
            <w:r>
              <w:rPr>
                <w:rFonts w:ascii="Calibri" w:hAnsi="Calibri" w:eastAsia="微软雅黑"/>
                <w:b w:val="0"/>
                <w:i w:val="0"/>
                <w:sz w:val="18"/>
              </w:rPr>
              <w:t>单笔限额50万元、月度总额200万元</w:t>
            </w:r>
          </w:p>
        </w:tc>
      </w:tr>
      <w:tr>
        <w:tc>
          <w:tcPr>
            <w:tcW w:type="dxa" w:w="2075"/>
          </w:tcPr>
          <w:p>
            <w:r/>
            <w:r>
              <w:rPr>
                <w:rFonts w:ascii="Calibri" w:hAnsi="Calibri" w:eastAsia="微软雅黑"/>
                <w:b w:val="0"/>
                <w:i w:val="0"/>
                <w:sz w:val="18"/>
              </w:rPr>
              <w:t>胜任力（Competence）</w:t>
            </w:r>
          </w:p>
        </w:tc>
        <w:tc>
          <w:tcPr>
            <w:tcW w:type="dxa" w:w="2075"/>
          </w:tcPr>
          <w:p>
            <w:r/>
            <w:r>
              <w:rPr>
                <w:rFonts w:ascii="Calibri" w:hAnsi="Calibri" w:eastAsia="微软雅黑"/>
                <w:b w:val="0"/>
                <w:i w:val="0"/>
                <w:sz w:val="18"/>
              </w:rPr>
              <w:t>国际工程条款抗辩能力</w:t>
            </w:r>
          </w:p>
        </w:tc>
        <w:tc>
          <w:tcPr>
            <w:tcW w:type="dxa" w:w="2075"/>
          </w:tcPr>
          <w:p>
            <w:r/>
            <w:r>
              <w:rPr>
                <w:rFonts w:ascii="Calibri" w:hAnsi="Calibri" w:eastAsia="微软雅黑"/>
                <w:b w:val="0"/>
                <w:i w:val="0"/>
                <w:sz w:val="18"/>
              </w:rPr>
              <w:t>强制开展FIDIC条款与法释〔2016〕24号保函规则实战演练，培训费用全额保障</w:t>
            </w:r>
          </w:p>
        </w:tc>
        <w:tc>
          <w:tcPr>
            <w:tcW w:type="dxa" w:w="2075"/>
          </w:tcPr>
          <w:p>
            <w:r/>
            <w:r>
              <w:rPr>
                <w:rFonts w:ascii="Calibri" w:hAnsi="Calibri" w:eastAsia="微软雅黑"/>
                <w:b w:val="0"/>
                <w:i w:val="0"/>
                <w:sz w:val="18"/>
              </w:rPr>
              <w:t>派驻前考核通过率必须达到100%</w:t>
            </w:r>
          </w:p>
        </w:tc>
      </w:tr>
      <w:tr>
        <w:tc>
          <w:tcPr>
            <w:tcW w:type="dxa" w:w="2075"/>
          </w:tcPr>
          <w:p>
            <w:r/>
            <w:r>
              <w:rPr>
                <w:rFonts w:ascii="Calibri" w:hAnsi="Calibri" w:eastAsia="微软雅黑"/>
                <w:b w:val="0"/>
                <w:i w:val="0"/>
                <w:sz w:val="18"/>
              </w:rPr>
              <w:t>健康安全（Vitality）</w:t>
            </w:r>
          </w:p>
        </w:tc>
        <w:tc>
          <w:tcPr>
            <w:tcW w:type="dxa" w:w="2075"/>
          </w:tcPr>
          <w:p>
            <w:r/>
            <w:r>
              <w:rPr>
                <w:rFonts w:ascii="Calibri" w:hAnsi="Calibri" w:eastAsia="微软雅黑"/>
                <w:b w:val="0"/>
                <w:i w:val="0"/>
                <w:sz w:val="18"/>
              </w:rPr>
              <w:t>心理韧性与安全保障</w:t>
            </w:r>
          </w:p>
        </w:tc>
        <w:tc>
          <w:tcPr>
            <w:tcW w:type="dxa" w:w="2075"/>
          </w:tcPr>
          <w:p>
            <w:r/>
            <w:r>
              <w:rPr>
                <w:rFonts w:ascii="Calibri" w:hAnsi="Calibri" w:eastAsia="微软雅黑"/>
                <w:b w:val="0"/>
                <w:i w:val="0"/>
                <w:sz w:val="18"/>
              </w:rPr>
              <w:t>购买国际救援服务，配置专职心理辅导员与安全设施，建立高风险地区应急撤离预案</w:t>
            </w:r>
          </w:p>
        </w:tc>
        <w:tc>
          <w:tcPr>
            <w:tcW w:type="dxa" w:w="2075"/>
          </w:tcPr>
          <w:p>
            <w:r/>
            <w:r>
              <w:rPr>
                <w:rFonts w:ascii="Calibri" w:hAnsi="Calibri" w:eastAsia="微软雅黑"/>
                <w:b w:val="0"/>
                <w:i w:val="0"/>
                <w:sz w:val="18"/>
              </w:rPr>
              <w:t>海外人员年离职率低于3%；应急撤离预案响应时限15分钟</w:t>
            </w:r>
          </w:p>
        </w:tc>
      </w:tr>
    </w:tbl>
    <w:p>
      <w:r>
        <w:rPr>
          <w:rFonts w:ascii="Calibri" w:hAnsi="Calibri" w:eastAsia="微软雅黑"/>
          <w:b w:val="0"/>
          <w:i w:val="0"/>
          <w:sz w:val="22"/>
        </w:rPr>
        <w:t>上述参数（权重、限额、时限、流失率控制线）均为专项研究成果构造的机制设计示例，企业应按项目所在国风险等级与自身保障能力校准后采用（参数属性声明）[来源: P000851]。该清单的实质（本研究解读）：海外组织的战斗力不是靠补贴堆出来的，而是靠"通道-授权-能力-安全"四根支柱共同撑起来的——缺任何一根，高薪都只能买来出勤而买来履约。</w:t>
      </w:r>
    </w:p>
    <w:p>
      <w:r>
        <w:rPr>
          <w:rFonts w:ascii="Calibri" w:hAnsi="Calibri" w:eastAsia="微软雅黑"/>
          <w:b w:val="0"/>
          <w:i w:val="0"/>
          <w:sz w:val="22"/>
        </w:rPr>
        <w:t>---</w:t>
      </w:r>
    </w:p>
    <w:p>
      <w:pPr>
        <w:pStyle w:val="Heading2"/>
      </w:pPr>
      <w:r>
        <w:t>9.6 反模式诊断与模型局限的坦诚剖析</w:t>
      </w:r>
    </w:p>
    <w:p>
      <w:pPr>
        <w:pStyle w:val="Heading3"/>
      </w:pPr>
      <w:r>
        <w:t>9.6.1 组织与人才配置的三大致命反模式</w:t>
      </w:r>
    </w:p>
    <w:p>
      <w:r>
        <w:rPr>
          <w:rFonts w:ascii="Calibri" w:hAnsi="Calibri" w:eastAsia="微软雅黑"/>
          <w:b w:val="0"/>
          <w:i w:val="0"/>
          <w:sz w:val="22"/>
        </w:rPr>
        <w:t>许多企业开展EPC业务时表面上挂牌了"EPC项目部"，底层组织运行与人才配置仍套用传统施工或设计思维，引发严重经营风险 [来源: P000851]。反模式的共同机理是：组织形态变了、人才标准没变，或人才标准变了、凭证与风控流程没变——任何一环的"半吊子转型"都会把风险集中到效能指数的分母端，让组织冗余率与合规风险系数同时抬头（机理归纳为本研究解读）。</w:t>
      </w:r>
    </w:p>
    <w:p>
      <w:pPr>
        <w:pStyle w:val="Heading4"/>
      </w:pPr>
      <w:r>
        <w:t>表9-8 EPC组织与人才配置反模式诊断（据专项研究成果整理）[来源: P000851, P000852]</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反模式</w:t>
            </w:r>
          </w:p>
        </w:tc>
        <w:tc>
          <w:tcPr>
            <w:tcW w:type="dxa" w:w="2075"/>
            <w:shd w:fill="1F3A5F"/>
          </w:tcPr>
          <w:p>
            <w:r>
              <w:rPr>
                <w:color w:val="FFFFFF"/>
              </w:rPr>
            </w:r>
            <w:r>
              <w:rPr>
                <w:rFonts w:ascii="Calibri" w:hAnsi="Calibri" w:eastAsia="微软雅黑"/>
                <w:b/>
                <w:i w:val="0"/>
                <w:color w:val="FFFFFF"/>
                <w:sz w:val="18"/>
              </w:rPr>
              <w:t>致命原因</w:t>
            </w:r>
          </w:p>
        </w:tc>
        <w:tc>
          <w:tcPr>
            <w:tcW w:type="dxa" w:w="2075"/>
            <w:shd w:fill="1F3A5F"/>
          </w:tcPr>
          <w:p>
            <w:r>
              <w:rPr>
                <w:color w:val="FFFFFF"/>
              </w:rPr>
            </w:r>
            <w:r>
              <w:rPr>
                <w:rFonts w:ascii="Calibri" w:hAnsi="Calibri" w:eastAsia="微软雅黑"/>
                <w:b/>
                <w:i w:val="0"/>
                <w:color w:val="FFFFFF"/>
                <w:sz w:val="18"/>
              </w:rPr>
              <w:t>最糟结果</w:t>
            </w:r>
          </w:p>
        </w:tc>
        <w:tc>
          <w:tcPr>
            <w:tcW w:type="dxa" w:w="2075"/>
            <w:shd w:fill="1F3A5F"/>
          </w:tcPr>
          <w:p>
            <w:r>
              <w:rPr>
                <w:color w:val="FFFFFF"/>
              </w:rPr>
            </w:r>
            <w:r>
              <w:rPr>
                <w:rFonts w:ascii="Calibri" w:hAnsi="Calibri" w:eastAsia="微软雅黑"/>
                <w:b/>
                <w:i w:val="0"/>
                <w:color w:val="FFFFFF"/>
                <w:sz w:val="18"/>
              </w:rPr>
              <w:t>纠偏方案</w:t>
            </w:r>
          </w:p>
        </w:tc>
      </w:tr>
      <w:tr>
        <w:tc>
          <w:tcPr>
            <w:tcW w:type="dxa" w:w="2075"/>
          </w:tcPr>
          <w:p>
            <w:r/>
            <w:r>
              <w:rPr>
                <w:rFonts w:ascii="Calibri" w:hAnsi="Calibri" w:eastAsia="微软雅黑"/>
                <w:b w:val="0"/>
                <w:i w:val="0"/>
                <w:sz w:val="18"/>
              </w:rPr>
              <w:t>套用传统施工项目部架构管理EPC项目</w:t>
            </w:r>
          </w:p>
        </w:tc>
        <w:tc>
          <w:tcPr>
            <w:tcW w:type="dxa" w:w="2075"/>
          </w:tcPr>
          <w:p>
            <w:r/>
            <w:r>
              <w:rPr>
                <w:rFonts w:ascii="Calibri" w:hAnsi="Calibri" w:eastAsia="微软雅黑"/>
                <w:b w:val="0"/>
                <w:i w:val="0"/>
                <w:sz w:val="18"/>
              </w:rPr>
              <w:t>缺乏设计与采购协同岗位，把EPC简化为"施工总承包+买设备"，无限额设计管控</w:t>
            </w:r>
          </w:p>
        </w:tc>
        <w:tc>
          <w:tcPr>
            <w:tcW w:type="dxa" w:w="2075"/>
          </w:tcPr>
          <w:p>
            <w:r/>
            <w:r>
              <w:rPr>
                <w:rFonts w:ascii="Calibri" w:hAnsi="Calibri" w:eastAsia="微软雅黑"/>
                <w:b w:val="0"/>
                <w:i w:val="0"/>
                <w:sz w:val="18"/>
              </w:rPr>
              <w:t>设计与采购严重脱节、设备安装费超支，目标达成率崩塌</w:t>
            </w:r>
          </w:p>
        </w:tc>
        <w:tc>
          <w:tcPr>
            <w:tcW w:type="dxa" w:w="2075"/>
          </w:tcPr>
          <w:p>
            <w:r/>
            <w:r>
              <w:rPr>
                <w:rFonts w:ascii="Calibri" w:hAnsi="Calibri" w:eastAsia="微软雅黑"/>
                <w:b w:val="0"/>
                <w:i w:val="0"/>
                <w:sz w:val="18"/>
              </w:rPr>
              <w:t>组建"设计-采购-施工"一体化柔性矩阵，设立设计管理部与集中采购中心 [来源: P000831]</w:t>
            </w:r>
          </w:p>
        </w:tc>
      </w:tr>
      <w:tr>
        <w:tc>
          <w:tcPr>
            <w:tcW w:type="dxa" w:w="2075"/>
          </w:tcPr>
          <w:p>
            <w:r/>
            <w:r>
              <w:rPr>
                <w:rFonts w:ascii="Calibri" w:hAnsi="Calibri" w:eastAsia="微软雅黑"/>
                <w:b w:val="0"/>
                <w:i w:val="0"/>
                <w:sz w:val="18"/>
              </w:rPr>
              <w:t>把EPC项目经理等同于传统施工建造师</w:t>
            </w:r>
          </w:p>
        </w:tc>
        <w:tc>
          <w:tcPr>
            <w:tcW w:type="dxa" w:w="2075"/>
          </w:tcPr>
          <w:p>
            <w:r/>
            <w:r>
              <w:rPr>
                <w:rFonts w:ascii="Calibri" w:hAnsi="Calibri" w:eastAsia="微软雅黑"/>
                <w:b w:val="0"/>
                <w:i w:val="0"/>
                <w:sz w:val="18"/>
              </w:rPr>
              <w:t>选拔仅懂施工调度、不懂概算控制与商务合同的建造师执掌EPC</w:t>
            </w:r>
          </w:p>
        </w:tc>
        <w:tc>
          <w:tcPr>
            <w:tcW w:type="dxa" w:w="2075"/>
          </w:tcPr>
          <w:p>
            <w:r/>
            <w:r>
              <w:rPr>
                <w:rFonts w:ascii="Calibri" w:hAnsi="Calibri" w:eastAsia="微软雅黑"/>
                <w:b w:val="0"/>
                <w:i w:val="0"/>
                <w:sz w:val="18"/>
              </w:rPr>
              <w:t>概算偏差无法调偏、节点付款条件无法成就，组织冗余率激增</w:t>
            </w:r>
          </w:p>
        </w:tc>
        <w:tc>
          <w:tcPr>
            <w:tcW w:type="dxa" w:w="2075"/>
          </w:tcPr>
          <w:p>
            <w:r/>
            <w:r>
              <w:rPr>
                <w:rFonts w:ascii="Calibri" w:hAnsi="Calibri" w:eastAsia="微软雅黑"/>
                <w:b w:val="0"/>
                <w:i w:val="0"/>
                <w:sz w:val="18"/>
              </w:rPr>
              <w:t>按四位一体胜任力模型选拔并动态盘点，强制配备专职商务经理与设计总监</w:t>
            </w:r>
          </w:p>
        </w:tc>
      </w:tr>
      <w:tr>
        <w:tc>
          <w:tcPr>
            <w:tcW w:type="dxa" w:w="2075"/>
          </w:tcPr>
          <w:p>
            <w:r/>
            <w:r>
              <w:rPr>
                <w:rFonts w:ascii="Calibri" w:hAnsi="Calibri" w:eastAsia="微软雅黑"/>
                <w:b w:val="0"/>
                <w:i w:val="0"/>
                <w:sz w:val="18"/>
              </w:rPr>
              <w:t>境外保函与分包合同管控脱节</w:t>
            </w:r>
          </w:p>
        </w:tc>
        <w:tc>
          <w:tcPr>
            <w:tcW w:type="dxa" w:w="2075"/>
          </w:tcPr>
          <w:p>
            <w:r/>
            <w:r>
              <w:rPr>
                <w:rFonts w:ascii="Calibri" w:hAnsi="Calibri" w:eastAsia="微软雅黑"/>
                <w:b w:val="0"/>
                <w:i w:val="0"/>
                <w:sz w:val="18"/>
              </w:rPr>
              <w:t>缺乏国际法务与保函风控，分包商向业主履行介入权后仍盲目索赔保函</w:t>
            </w:r>
          </w:p>
        </w:tc>
        <w:tc>
          <w:tcPr>
            <w:tcW w:type="dxa" w:w="2075"/>
          </w:tcPr>
          <w:p>
            <w:r/>
            <w:r>
              <w:rPr>
                <w:rFonts w:ascii="Calibri" w:hAnsi="Calibri" w:eastAsia="微软雅黑"/>
                <w:b w:val="0"/>
                <w:i w:val="0"/>
                <w:sz w:val="18"/>
              </w:rPr>
              <w:t>触发独立保函欺诈司法认定，保函资金被终止支付并殃及企业信用</w:t>
            </w:r>
          </w:p>
        </w:tc>
        <w:tc>
          <w:tcPr>
            <w:tcW w:type="dxa" w:w="2075"/>
          </w:tcPr>
          <w:p>
            <w:r/>
            <w:r>
              <w:rPr>
                <w:rFonts w:ascii="Calibri" w:hAnsi="Calibri" w:eastAsia="微软雅黑"/>
                <w:b w:val="0"/>
                <w:i w:val="0"/>
                <w:sz w:val="18"/>
              </w:rPr>
              <w:t>建立保函与分包合同协同审核流程，开展FIDIC与司法解释全员合规培训 [来源: P000852]</w:t>
            </w:r>
          </w:p>
        </w:tc>
      </w:tr>
      <w:tr>
        <w:tc>
          <w:tcPr>
            <w:tcW w:type="dxa" w:w="2075"/>
          </w:tcPr>
          <w:p>
            <w:r/>
            <w:r>
              <w:rPr>
                <w:rFonts w:ascii="Calibri" w:hAnsi="Calibri" w:eastAsia="微软雅黑"/>
                <w:b w:val="0"/>
                <w:i w:val="0"/>
                <w:sz w:val="18"/>
              </w:rPr>
              <w:t>盲目承揽超越资质规模的项目且缺乏专业梯队</w:t>
            </w:r>
          </w:p>
        </w:tc>
        <w:tc>
          <w:tcPr>
            <w:tcW w:type="dxa" w:w="2075"/>
          </w:tcPr>
          <w:p>
            <w:r/>
            <w:r>
              <w:rPr>
                <w:rFonts w:ascii="Calibri" w:hAnsi="Calibri" w:eastAsia="微软雅黑"/>
                <w:b w:val="0"/>
                <w:i w:val="0"/>
                <w:sz w:val="18"/>
              </w:rPr>
              <w:t>未核准自身资质许可范围与工程规模的匹配度，缺乏对应工程类型的技术专家储备</w:t>
            </w:r>
          </w:p>
        </w:tc>
        <w:tc>
          <w:tcPr>
            <w:tcW w:type="dxa" w:w="2075"/>
          </w:tcPr>
          <w:p>
            <w:r/>
            <w:r>
              <w:rPr>
                <w:rFonts w:ascii="Calibri" w:hAnsi="Calibri" w:eastAsia="微软雅黑"/>
                <w:b w:val="0"/>
                <w:i w:val="0"/>
                <w:sz w:val="18"/>
              </w:rPr>
              <w:t>陷入合同效力争议及履约不能境地，巨额违约索赔</w:t>
            </w:r>
          </w:p>
        </w:tc>
        <w:tc>
          <w:tcPr>
            <w:tcW w:type="dxa" w:w="2075"/>
          </w:tcPr>
          <w:p>
            <w:r/>
            <w:r>
              <w:rPr>
                <w:rFonts w:ascii="Calibri" w:hAnsi="Calibri" w:eastAsia="微软雅黑"/>
                <w:b w:val="0"/>
                <w:i w:val="0"/>
                <w:sz w:val="18"/>
              </w:rPr>
              <w:t>立项前核验资质许可与规模匹配度，按工程类型预置技术专家梯队 [来源: P000851]</w:t>
            </w:r>
          </w:p>
        </w:tc>
      </w:tr>
    </w:tbl>
    <w:p>
      <w:pPr>
        <w:pStyle w:val="Heading3"/>
      </w:pPr>
      <w:r>
        <w:t>9.6.2 模型落地中的局限与争议</w:t>
      </w:r>
    </w:p>
    <w:p>
      <w:r>
        <w:rPr>
          <w:rFonts w:ascii="Calibri" w:hAnsi="Calibri" w:eastAsia="微软雅黑"/>
          <w:b w:val="0"/>
          <w:i w:val="0"/>
          <w:sz w:val="22"/>
        </w:rPr>
        <w:t>本章引用的效能指数、九宫格盘点与长期绑定模型在理论上首尾呼应，但落地过程中存在四点显著局限（据专项研究成果的自我批判整理，本研究认同并转述）[来源: P000851]：</w:t>
      </w:r>
    </w:p>
    <w:p>
      <w:pPr>
        <w:pStyle w:val="ListNumber"/>
      </w:pPr>
      <w:r>
        <w:rPr>
          <w:rFonts w:ascii="Calibri" w:hAnsi="Calibri" w:eastAsia="微软雅黑"/>
          <w:b/>
          <w:i w:val="0"/>
          <w:sz w:val="22"/>
        </w:rPr>
        <w:t>效能指数量化的主观性争议</w:t>
      </w:r>
      <w:r>
        <w:rPr>
          <w:rFonts w:ascii="Calibri" w:hAnsi="Calibri" w:eastAsia="微软雅黑"/>
          <w:b w:val="0"/>
          <w:i w:val="0"/>
          <w:sz w:val="22"/>
        </w:rPr>
        <w:t>：目标达成率与节点付款成就率高度依赖合同约定的里程碑节点——部分业主通过设置苛刻的节点成就条件（如同时提交多类审查报告与采购合同）延缓付款，可能使指数被人为压低，而非纯粹反映承包商组织效能；因此指数只宜作"合同履约压力测试工具" [来源: P000851]。</w:t>
      </w:r>
    </w:p>
    <w:p>
      <w:pPr>
        <w:pStyle w:val="ListNumber"/>
      </w:pPr>
      <w:r>
        <w:rPr>
          <w:rFonts w:ascii="Calibri" w:hAnsi="Calibri" w:eastAsia="微软雅黑"/>
          <w:b/>
          <w:i w:val="0"/>
          <w:sz w:val="22"/>
        </w:rPr>
        <w:t>九宫格在"高潜新人"维度的失效风险</w:t>
      </w:r>
      <w:r>
        <w:rPr>
          <w:rFonts w:ascii="Calibri" w:hAnsi="Calibri" w:eastAsia="微软雅黑"/>
          <w:b w:val="0"/>
          <w:i w:val="0"/>
          <w:sz w:val="22"/>
        </w:rPr>
        <w:t>：模型基于过往绩效与当前潜力评估，而复杂工业EPC领域大量高潜新人缺乏大型装置现场履约经验，若仅凭学历与理论潜力直接提拔，极限技术难题下可能出现"纸上谈兵"式指挥失误——"潜力"必须严格限定为可迁移的通用管理能力与实战经验 [来源: P000851]。</w:t>
      </w:r>
    </w:p>
    <w:p>
      <w:pPr>
        <w:pStyle w:val="ListNumber"/>
      </w:pPr>
      <w:r>
        <w:rPr>
          <w:rFonts w:ascii="Calibri" w:hAnsi="Calibri" w:eastAsia="微软雅黑"/>
          <w:b/>
          <w:i w:val="0"/>
          <w:sz w:val="22"/>
        </w:rPr>
        <w:t>长期激励的可行性边界</w:t>
      </w:r>
      <w:r>
        <w:rPr>
          <w:rFonts w:ascii="Calibri" w:hAnsi="Calibri" w:eastAsia="微软雅黑"/>
          <w:b w:val="0"/>
          <w:i w:val="0"/>
          <w:sz w:val="22"/>
        </w:rPr>
        <w:t>：对核心专家的十年期股权或虚拟期权绑定，在工程行业利润率下行、现金流紧缩的背景下面临严格的政策审批与变现渠道限制；缺乏配套变现与退出机制的长期激励，可能沦为无法兑现的口头承诺，反而加速核心人才流失 [来源: P000851, P000806]。</w:t>
      </w:r>
    </w:p>
    <w:p>
      <w:pPr>
        <w:pStyle w:val="ListNumber"/>
      </w:pPr>
      <w:r>
        <w:rPr>
          <w:rFonts w:ascii="Calibri" w:hAnsi="Calibri" w:eastAsia="微软雅黑"/>
          <w:b/>
          <w:i w:val="0"/>
          <w:sz w:val="22"/>
        </w:rPr>
        <w:t>本土化用工的"指令穿透阻尼"与文化稀释</w:t>
      </w:r>
      <w:r>
        <w:rPr>
          <w:rFonts w:ascii="Calibri" w:hAnsi="Calibri" w:eastAsia="微软雅黑"/>
          <w:b w:val="0"/>
          <w:i w:val="0"/>
          <w:sz w:val="22"/>
        </w:rPr>
        <w:t>：过度依赖"中方核心管理层＋本土劳务分包"架构虽然降低了成本并规避了部分劳工法风险，但管理指令穿透至本土劳务班组时面临严重的语言与文化阻尼，项目现场可能缺乏统一的管理语言与质量标准；若缺乏强有力的属地工头中介与标准化图纸级交底，极易引发现场施工质量隐患与健康安全环保事故——本土化比例不是越高越好，而是要与中方管控半径动态匹配（风险表述据专项研究成果，匹配原则为本研究归纳）[来源: P000851, P000801]。</w:t>
      </w:r>
    </w:p>
    <w:p>
      <w:r>
        <w:rPr>
          <w:rFonts w:ascii="Calibri" w:hAnsi="Calibri" w:eastAsia="微软雅黑"/>
          <w:b w:val="0"/>
          <w:i w:val="0"/>
          <w:sz w:val="22"/>
        </w:rPr>
        <w:t>---</w:t>
      </w:r>
    </w:p>
    <w:p>
      <w:pPr>
        <w:pStyle w:val="Heading2"/>
      </w:pPr>
      <w:r>
        <w:t>9.7 本章小结要点</w:t>
      </w:r>
    </w:p>
    <w:p>
      <w:pPr>
        <w:pStyle w:val="ListNumber"/>
      </w:pPr>
      <w:r>
        <w:rPr>
          <w:rFonts w:ascii="Calibri" w:hAnsi="Calibri" w:eastAsia="微软雅黑"/>
          <w:b/>
          <w:i w:val="0"/>
          <w:sz w:val="22"/>
        </w:rPr>
        <w:t>胜任力要能打分</w:t>
      </w:r>
      <w:r>
        <w:rPr>
          <w:rFonts w:ascii="Calibri" w:hAnsi="Calibri" w:eastAsia="微软雅黑"/>
          <w:b w:val="0"/>
          <w:i w:val="0"/>
          <w:sz w:val="22"/>
        </w:rPr>
        <w:t>：把"复合型人才"从口号拆解为"技术-商务-财务-法务"四位一体的可量化指标，嵌入岗位红线与九宫格盘点——中石化南京工程2763人队伍（项目管理1240人、技能操作565人、研发设计510人、机关364人）的分区盘点是可参照的实证样本 [来源: P000851]。</w:t>
      </w:r>
    </w:p>
    <w:p>
      <w:pPr>
        <w:pStyle w:val="ListNumber"/>
      </w:pPr>
      <w:r>
        <w:rPr>
          <w:rFonts w:ascii="Calibri" w:hAnsi="Calibri" w:eastAsia="微软雅黑"/>
          <w:b/>
          <w:i w:val="0"/>
          <w:sz w:val="22"/>
        </w:rPr>
        <w:t>组织选型没有最优解、只有匹配解</w:t>
      </w:r>
      <w:r>
        <w:rPr>
          <w:rFonts w:ascii="Calibri" w:hAnsi="Calibri" w:eastAsia="微软雅黑"/>
          <w:b w:val="0"/>
          <w:i w:val="0"/>
          <w:sz w:val="22"/>
        </w:rPr>
        <w:t>：从传统DBB分割体制到扁平化柔性网络组织，五种组织模式各有适用场景——寰球与中冶南方的强矩阵PMO（配套七大管理体系条线）、湖南院与昆明院的三级架构（并可向EPC+F、EPC+O&amp;M、DBFO衍生延伸）、三局与五局的号码公司体系、中汽工程的四大工艺垂直事业部；选型的检验标准是效能指数的分子分母同向改善，而非组织图美观度（本研究归纳）[来源: P000801, P000826, P000811, P000806, P000816, P000831, P000821]。</w:t>
      </w:r>
    </w:p>
    <w:p>
      <w:pPr>
        <w:pStyle w:val="ListNumber"/>
      </w:pPr>
      <w:r>
        <w:rPr>
          <w:rFonts w:ascii="Calibri" w:hAnsi="Calibri" w:eastAsia="微软雅黑"/>
          <w:b/>
          <w:i w:val="0"/>
          <w:sz w:val="22"/>
        </w:rPr>
        <w:t>激励与约束必须对冲</w:t>
      </w:r>
      <w:r>
        <w:rPr>
          <w:rFonts w:ascii="Calibri" w:hAnsi="Calibri" w:eastAsia="微软雅黑"/>
          <w:b w:val="0"/>
          <w:i w:val="0"/>
          <w:sz w:val="22"/>
        </w:rPr>
        <w:t>：三局"跟投+超额利润分享+全周期激励"提供了实证骨架，风险保证金、签证双签与保函扣减三道闸门保证"分享与追索对称"；C55"目标-任务-保障"分解表（概算偏离表双签、超概算2%退回机制、技术文件完备性核查表）则把激励的兑现条件落到凭证上；所有比例参数都是机制设计示例，企业须按项目风险等级自定（本研究归纳）[来源: P000816, P000851]。</w:t>
      </w:r>
    </w:p>
    <w:p>
      <w:pPr>
        <w:pStyle w:val="ListNumber"/>
      </w:pPr>
      <w:r>
        <w:rPr>
          <w:rFonts w:ascii="Calibri" w:hAnsi="Calibri" w:eastAsia="微软雅黑"/>
          <w:b/>
          <w:i w:val="0"/>
          <w:sz w:val="22"/>
        </w:rPr>
        <w:t>造血机制胜过临时招募</w:t>
      </w:r>
      <w:r>
        <w:rPr>
          <w:rFonts w:ascii="Calibri" w:hAnsi="Calibri" w:eastAsia="微软雅黑"/>
          <w:b w:val="0"/>
          <w:i w:val="0"/>
          <w:sz w:val="22"/>
        </w:rPr>
        <w:t>：双导师制、跨专业强制轮岗、实战沙盘、复盘清单四件套构成常态化孵化流水线——寰球960名国际化人才、120多名欧美日历练专家与98%多国标准设计能力的队伍，就是这样长周期养成的 [来源: P000801, P000831]。</w:t>
      </w:r>
    </w:p>
    <w:p>
      <w:pPr>
        <w:pStyle w:val="ListNumber"/>
      </w:pPr>
      <w:r>
        <w:rPr>
          <w:rFonts w:ascii="Calibri" w:hAnsi="Calibri" w:eastAsia="微软雅黑"/>
          <w:b/>
          <w:i w:val="0"/>
          <w:sz w:val="22"/>
        </w:rPr>
        <w:t>境外组织的生死线在合规</w:t>
      </w:r>
      <w:r>
        <w:rPr>
          <w:rFonts w:ascii="Calibri" w:hAnsi="Calibri" w:eastAsia="微软雅黑"/>
          <w:b w:val="0"/>
          <w:i w:val="0"/>
          <w:sz w:val="22"/>
        </w:rPr>
        <w:t>：寰球东南亚本土化比例81%与90%以上与中石化南京工程"65名直聘境外人员+本土分包"的配置证明柔性矩阵可行；而危地马拉保函欺诈案（2565万元止付）与民申629号管辖规则划出了不可逾越的法律边界——介入权条款与保函索赔必须协同审核 [来源: P000801, P000851, P000852]。</w:t>
      </w:r>
    </w:p>
    <w:p>
      <w:pPr>
        <w:pStyle w:val="ListNumber"/>
      </w:pPr>
      <w:r>
        <w:rPr>
          <w:rFonts w:ascii="Calibri" w:hAnsi="Calibri" w:eastAsia="微软雅黑"/>
          <w:b/>
          <w:i w:val="0"/>
          <w:sz w:val="22"/>
        </w:rPr>
        <w:t>对模型保持敬畏</w:t>
      </w:r>
      <w:r>
        <w:rPr>
          <w:rFonts w:ascii="Calibri" w:hAnsi="Calibri" w:eastAsia="微软雅黑"/>
          <w:b w:val="0"/>
          <w:i w:val="0"/>
          <w:sz w:val="22"/>
        </w:rPr>
        <w:t>：效能指数、九宫格与长期绑定模型均有量化主观性、高潜失效、变现受限与指令阻尼四重局限——把模型当压力测试工具而非真理，是使用本章的正确姿势；同时须警惕三大反模式（施工项目部架构套用EPC、建造师等同于EPC项目经理、保函与分包管控脱节）与资质规模错配的第四陷阱（本研究观点）[来源: P000851]。</w:t>
      </w:r>
    </w:p>
    <w:p>
      <w:r>
        <w:rPr>
          <w:rFonts w:ascii="Calibri" w:hAnsi="Calibri" w:eastAsia="微软雅黑"/>
          <w:b w:val="0"/>
          <w:i w:val="0"/>
          <w:sz w:val="22"/>
        </w:rPr>
        <w:t>---</w:t>
      </w:r>
    </w:p>
    <w:p>
      <w:pPr>
        <w:pStyle w:val="Heading2"/>
      </w:pPr>
      <w:r>
        <w:t>9.8 本章证据边界与数据说明</w:t>
      </w:r>
    </w:p>
    <w:p>
      <w:pPr>
        <w:pStyle w:val="ListNumber"/>
      </w:pPr>
      <w:r>
        <w:rPr>
          <w:rFonts w:ascii="Calibri" w:hAnsi="Calibri" w:eastAsia="微软雅黑"/>
          <w:b/>
          <w:i w:val="0"/>
          <w:sz w:val="22"/>
        </w:rPr>
        <w:t>数据来源说明</w:t>
      </w:r>
      <w:r>
        <w:rPr>
          <w:rFonts w:ascii="Calibri" w:hAnsi="Calibri" w:eastAsia="微软雅黑"/>
          <w:b w:val="0"/>
          <w:i w:val="0"/>
          <w:sz w:val="22"/>
        </w:rPr>
        <w:t>：本章企业事实取自事实资料库实收的七份专业机构研究报告——中国寰球、昆明院、湖南院、中建三局、中汽工程、中冶南方、中建五局 [来源: P000801, P000806, P000811, P000816, P000821, P000826, P000831]；中石化南京工程员工结构数据（2763人及其构成）取自企业公开简介（截至2026年3月），经研究团队既有组织人才专项研究成果收录 [来源: P000851]；效能指数、九宫格、Eudaimonia保障清单等模型为该专项研究成果构建 [来源: P000851]；司法判例（(2017)川民终72号、(2017)最高法民申629号）取自司法案例专项研究成果与中石化南京工程EPC专项研究 [来源: P000851, P000852]。</w:t>
      </w:r>
    </w:p>
    <w:p>
      <w:pPr>
        <w:pStyle w:val="ListNumber"/>
      </w:pPr>
      <w:r>
        <w:rPr>
          <w:rFonts w:ascii="Calibri" w:hAnsi="Calibri" w:eastAsia="微软雅黑"/>
          <w:b/>
          <w:i w:val="0"/>
          <w:sz w:val="22"/>
        </w:rPr>
        <w:t>统计口径与时间跨度</w:t>
      </w:r>
      <w:r>
        <w:rPr>
          <w:rFonts w:ascii="Calibri" w:hAnsi="Calibri" w:eastAsia="微软雅黑"/>
          <w:b w:val="0"/>
          <w:i w:val="0"/>
          <w:sz w:val="22"/>
        </w:rPr>
        <w:t>：湖南院财务数据为2024年口径 [来源: P000811]；中石化南京工程人员规模截至2026年3月 [来源: P000851]；寰球国际化人才与本土化比例、标准编制数量为企业公开简介口径 [来源: P000801]；中冶南方人才结构（大师4人、高级职称35%以上、博士硕士1600余人）为研究报告整理口径 [来源: P000826]。</w:t>
      </w:r>
    </w:p>
    <w:p>
      <w:pPr>
        <w:pStyle w:val="ListNumber"/>
      </w:pPr>
      <w:r>
        <w:rPr>
          <w:rFonts w:ascii="Calibri" w:hAnsi="Calibri" w:eastAsia="微软雅黑"/>
          <w:b/>
          <w:i w:val="0"/>
          <w:sz w:val="22"/>
        </w:rPr>
        <w:t>研究证据边界与局限性声明</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推演边界</w:t>
      </w:r>
      <w:r>
        <w:rPr>
          <w:rFonts w:ascii="Calibri" w:hAnsi="Calibri" w:eastAsia="微软雅黑"/>
          <w:b w:val="0"/>
          <w:i w:val="0"/>
          <w:sz w:val="22"/>
        </w:rPr>
        <w:t>：本章岗位胜任力指标表、激励工具箱表、风险保证金与跟投比例、激励约束四步法、造血机制五阶段、保障清单控制线参数均为本研究归纳或示意性复盘的机制设计，不指向任何企业的实际执行数据；九宫格分区比例（明星区约前10%、中流砥柱区约25%、业绩改善区约5%及6个月改善期）为专项研究成果构造的盘点框架参数。</w:t>
      </w:r>
    </w:p>
    <w:p>
      <w:r>
        <w:rPr>
          <w:rFonts w:ascii="Calibri" w:hAnsi="Calibri" w:eastAsia="微软雅黑"/>
          <w:b w:val="0"/>
          <w:i w:val="0"/>
          <w:sz w:val="22"/>
        </w:rPr>
        <w:t xml:space="preserve">- </w:t>
      </w:r>
      <w:r>
        <w:rPr>
          <w:rFonts w:ascii="Calibri" w:hAnsi="Calibri" w:eastAsia="微软雅黑"/>
          <w:b/>
          <w:i w:val="0"/>
          <w:sz w:val="22"/>
        </w:rPr>
        <w:t>模型局限边界</w:t>
      </w:r>
      <w:r>
        <w:rPr>
          <w:rFonts w:ascii="Calibri" w:hAnsi="Calibri" w:eastAsia="微软雅黑"/>
          <w:b w:val="0"/>
          <w:i w:val="0"/>
          <w:sz w:val="22"/>
        </w:rPr>
        <w:t>：效能指数、九宫格、长期绑定模型的四重局限已在本章第六节明示——企业将其用于考核前，应先完成本企业合同节点分布与人才结构的适配性校验 [来源: P000851]。</w:t>
      </w:r>
    </w:p>
    <w:p>
      <w:r>
        <w:rPr>
          <w:rFonts w:ascii="Calibri" w:hAnsi="Calibri" w:eastAsia="微软雅黑"/>
          <w:b w:val="0"/>
          <w:i w:val="0"/>
          <w:sz w:val="22"/>
        </w:rPr>
        <w:t xml:space="preserve">- </w:t>
      </w:r>
      <w:r>
        <w:rPr>
          <w:rFonts w:ascii="Calibri" w:hAnsi="Calibri" w:eastAsia="微软雅黑"/>
          <w:b/>
          <w:i w:val="0"/>
          <w:sz w:val="22"/>
        </w:rPr>
        <w:t>判例口径边界</w:t>
      </w:r>
      <w:r>
        <w:rPr>
          <w:rFonts w:ascii="Calibri" w:hAnsi="Calibri" w:eastAsia="微软雅黑"/>
          <w:b w:val="0"/>
          <w:i w:val="0"/>
          <w:sz w:val="22"/>
        </w:rPr>
        <w:t>：(2017)川民终72号与(2017)最高法民申629号均为个案裁判，不构成对未来同类案件结果的保证；境外项目若涉及项目所在国强行法或国际仲裁机构特殊规则，应以当地法律与具体合同约定为准 [来源: P000851, P000852]。</w:t>
      </w:r>
    </w:p>
    <w:p>
      <w:r>
        <w:rPr>
          <w:rFonts w:ascii="Calibri" w:hAnsi="Calibri" w:eastAsia="微软雅黑"/>
          <w:b w:val="0"/>
          <w:i w:val="0"/>
          <w:sz w:val="22"/>
        </w:rPr>
        <w:t xml:space="preserve">- </w:t>
      </w:r>
      <w:r>
        <w:rPr>
          <w:rFonts w:ascii="Calibri" w:hAnsi="Calibri" w:eastAsia="微软雅黑"/>
          <w:b/>
          <w:i w:val="0"/>
          <w:sz w:val="22"/>
        </w:rPr>
        <w:t>数据置信边界</w:t>
      </w:r>
      <w:r>
        <w:rPr>
          <w:rFonts w:ascii="Calibri" w:hAnsi="Calibri" w:eastAsia="微软雅黑"/>
          <w:b w:val="0"/>
          <w:i w:val="0"/>
          <w:sz w:val="22"/>
        </w:rPr>
        <w:t>：中石化南京工程人员四类构成数据源自企业公开简介（信源置信"较为可能"），非法定披露口径，读者引用时应以企业官方发布为准 [来源: P000851]。</w:t>
      </w:r>
    </w:p>
    <w:p>
      <w:r>
        <w:rPr>
          <w:rFonts w:ascii="Calibri" w:hAnsi="Calibri" w:eastAsia="微软雅黑"/>
          <w:b w:val="0"/>
          <w:i w:val="0"/>
          <w:sz w:val="22"/>
        </w:rPr>
        <w:t>---</w:t>
      </w:r>
    </w:p>
    <w:p>
      <w:pPr>
        <w:pStyle w:val="Heading2"/>
      </w:pPr>
      <w:r>
        <w:t>本章尾注（事实锚源对照）</w:t>
      </w:r>
    </w:p>
    <w:tbl>
      <w:tblPr>
        <w:tblStyle w:val="TableGrid"/>
        <w:tblW w:type="auto" w:w="0"/>
        <w:tblLook w:firstColumn="1" w:firstRow="1" w:lastColumn="0" w:lastRow="0" w:noHBand="0" w:noVBand="1" w:val="04A0"/>
      </w:tblPr>
      <w:tblGrid>
        <w:gridCol w:w="4150"/>
        <w:gridCol w:w="4150"/>
      </w:tblGrid>
      <w:tr>
        <w:tc>
          <w:tcPr>
            <w:tcW w:type="dxa" w:w="4150"/>
            <w:shd w:fill="1F3A5F"/>
          </w:tcPr>
          <w:p>
            <w:r>
              <w:rPr>
                <w:color w:val="FFFFFF"/>
              </w:rPr>
            </w:r>
            <w:r>
              <w:rPr>
                <w:rFonts w:ascii="Calibri" w:hAnsi="Calibri" w:eastAsia="微软雅黑"/>
                <w:b/>
                <w:i w:val="0"/>
                <w:color w:val="FFFFFF"/>
                <w:sz w:val="18"/>
              </w:rPr>
              <w:t>事实锚</w:t>
            </w:r>
          </w:p>
        </w:tc>
        <w:tc>
          <w:tcPr>
            <w:tcW w:type="dxa" w:w="4150"/>
            <w:shd w:fill="1F3A5F"/>
          </w:tcPr>
          <w:p>
            <w:r>
              <w:rPr>
                <w:color w:val="FFFFFF"/>
              </w:rPr>
            </w:r>
            <w:r>
              <w:rPr>
                <w:rFonts w:ascii="Calibri" w:hAnsi="Calibri" w:eastAsia="微软雅黑"/>
                <w:b/>
                <w:i w:val="0"/>
                <w:color w:val="FFFFFF"/>
                <w:sz w:val="18"/>
              </w:rPr>
              <w:t>源文（事实资料库实收件）</w:t>
            </w:r>
          </w:p>
        </w:tc>
      </w:tr>
      <w:tr>
        <w:tc>
          <w:tcPr>
            <w:tcW w:type="dxa" w:w="4150"/>
          </w:tcPr>
          <w:p>
            <w:r/>
            <w:r>
              <w:rPr>
                <w:rFonts w:ascii="Calibri" w:hAnsi="Calibri" w:eastAsia="微软雅黑"/>
                <w:b w:val="0"/>
                <w:i w:val="0"/>
                <w:sz w:val="18"/>
              </w:rPr>
              <w:t>P000801</w:t>
            </w:r>
          </w:p>
        </w:tc>
        <w:tc>
          <w:tcPr>
            <w:tcW w:type="dxa" w:w="4150"/>
          </w:tcPr>
          <w:p>
            <w:r/>
            <w:r>
              <w:rPr>
                <w:rFonts w:ascii="Calibri" w:hAnsi="Calibri" w:eastAsia="微软雅黑"/>
                <w:b w:val="0"/>
                <w:i w:val="0"/>
                <w:sz w:val="18"/>
              </w:rPr>
              <w:t>中国寰球工程有限公司EPC总承包业务研究报告（事实资料库研究报告首片）</w:t>
            </w:r>
          </w:p>
        </w:tc>
      </w:tr>
      <w:tr>
        <w:tc>
          <w:tcPr>
            <w:tcW w:type="dxa" w:w="4150"/>
          </w:tcPr>
          <w:p>
            <w:r/>
            <w:r>
              <w:rPr>
                <w:rFonts w:ascii="Calibri" w:hAnsi="Calibri" w:eastAsia="微软雅黑"/>
                <w:b w:val="0"/>
                <w:i w:val="0"/>
                <w:sz w:val="18"/>
              </w:rPr>
              <w:t>P000806</w:t>
            </w:r>
          </w:p>
        </w:tc>
        <w:tc>
          <w:tcPr>
            <w:tcW w:type="dxa" w:w="4150"/>
          </w:tcPr>
          <w:p>
            <w:r/>
            <w:r>
              <w:rPr>
                <w:rFonts w:ascii="Calibri" w:hAnsi="Calibri" w:eastAsia="微软雅黑"/>
                <w:b w:val="0"/>
                <w:i w:val="0"/>
                <w:sz w:val="18"/>
              </w:rPr>
              <w:t>中国电建集团昆明勘测设计研究院有限公司EPC总承包业务研究报告（事实资料库研究报告首片）</w:t>
            </w:r>
          </w:p>
        </w:tc>
      </w:tr>
      <w:tr>
        <w:tc>
          <w:tcPr>
            <w:tcW w:type="dxa" w:w="4150"/>
          </w:tcPr>
          <w:p>
            <w:r/>
            <w:r>
              <w:rPr>
                <w:rFonts w:ascii="Calibri" w:hAnsi="Calibri" w:eastAsia="微软雅黑"/>
                <w:b w:val="0"/>
                <w:i w:val="0"/>
                <w:sz w:val="18"/>
              </w:rPr>
              <w:t>P000811</w:t>
            </w:r>
          </w:p>
        </w:tc>
        <w:tc>
          <w:tcPr>
            <w:tcW w:type="dxa" w:w="4150"/>
          </w:tcPr>
          <w:p>
            <w:r/>
            <w:r>
              <w:rPr>
                <w:rFonts w:ascii="Calibri" w:hAnsi="Calibri" w:eastAsia="微软雅黑"/>
                <w:b w:val="0"/>
                <w:i w:val="0"/>
                <w:sz w:val="18"/>
              </w:rPr>
              <w:t>湖南省建筑设计院集团股份有限公司EPC总承包业务研究报告（事实资料库研究报告首片）</w:t>
            </w:r>
          </w:p>
        </w:tc>
      </w:tr>
      <w:tr>
        <w:tc>
          <w:tcPr>
            <w:tcW w:type="dxa" w:w="4150"/>
          </w:tcPr>
          <w:p>
            <w:r/>
            <w:r>
              <w:rPr>
                <w:rFonts w:ascii="Calibri" w:hAnsi="Calibri" w:eastAsia="微软雅黑"/>
                <w:b w:val="0"/>
                <w:i w:val="0"/>
                <w:sz w:val="18"/>
              </w:rPr>
              <w:t>P000816</w:t>
            </w:r>
          </w:p>
        </w:tc>
        <w:tc>
          <w:tcPr>
            <w:tcW w:type="dxa" w:w="4150"/>
          </w:tcPr>
          <w:p>
            <w:r/>
            <w:r>
              <w:rPr>
                <w:rFonts w:ascii="Calibri" w:hAnsi="Calibri" w:eastAsia="微软雅黑"/>
                <w:b w:val="0"/>
                <w:i w:val="0"/>
                <w:sz w:val="18"/>
              </w:rPr>
              <w:t>中国建筑第三工程局有限公司EPC总承包业务研究报告（事实资料库研究报告首片）</w:t>
            </w:r>
          </w:p>
        </w:tc>
      </w:tr>
      <w:tr>
        <w:tc>
          <w:tcPr>
            <w:tcW w:type="dxa" w:w="4150"/>
          </w:tcPr>
          <w:p>
            <w:r/>
            <w:r>
              <w:rPr>
                <w:rFonts w:ascii="Calibri" w:hAnsi="Calibri" w:eastAsia="微软雅黑"/>
                <w:b w:val="0"/>
                <w:i w:val="0"/>
                <w:sz w:val="18"/>
              </w:rPr>
              <w:t>P000821</w:t>
            </w:r>
          </w:p>
        </w:tc>
        <w:tc>
          <w:tcPr>
            <w:tcW w:type="dxa" w:w="4150"/>
          </w:tcPr>
          <w:p>
            <w:r/>
            <w:r>
              <w:rPr>
                <w:rFonts w:ascii="Calibri" w:hAnsi="Calibri" w:eastAsia="微软雅黑"/>
                <w:b w:val="0"/>
                <w:i w:val="0"/>
                <w:sz w:val="18"/>
              </w:rPr>
              <w:t>中国汽车工业工程有限公司EPC总承包业务研究报告（事实资料库研究报告首片）</w:t>
            </w:r>
          </w:p>
        </w:tc>
      </w:tr>
      <w:tr>
        <w:tc>
          <w:tcPr>
            <w:tcW w:type="dxa" w:w="4150"/>
          </w:tcPr>
          <w:p>
            <w:r/>
            <w:r>
              <w:rPr>
                <w:rFonts w:ascii="Calibri" w:hAnsi="Calibri" w:eastAsia="微软雅黑"/>
                <w:b w:val="0"/>
                <w:i w:val="0"/>
                <w:sz w:val="18"/>
              </w:rPr>
              <w:t>P000826</w:t>
            </w:r>
          </w:p>
        </w:tc>
        <w:tc>
          <w:tcPr>
            <w:tcW w:type="dxa" w:w="4150"/>
          </w:tcPr>
          <w:p>
            <w:r/>
            <w:r>
              <w:rPr>
                <w:rFonts w:ascii="Calibri" w:hAnsi="Calibri" w:eastAsia="微软雅黑"/>
                <w:b w:val="0"/>
                <w:i w:val="0"/>
                <w:sz w:val="18"/>
              </w:rPr>
              <w:t>中冶南方工程技术有限公司EPC总承包业务研究报告（事实资料库研究报告首片）</w:t>
            </w:r>
          </w:p>
        </w:tc>
      </w:tr>
      <w:tr>
        <w:tc>
          <w:tcPr>
            <w:tcW w:type="dxa" w:w="4150"/>
          </w:tcPr>
          <w:p>
            <w:r/>
            <w:r>
              <w:rPr>
                <w:rFonts w:ascii="Calibri" w:hAnsi="Calibri" w:eastAsia="微软雅黑"/>
                <w:b w:val="0"/>
                <w:i w:val="0"/>
                <w:sz w:val="18"/>
              </w:rPr>
              <w:t>P000831</w:t>
            </w:r>
          </w:p>
        </w:tc>
        <w:tc>
          <w:tcPr>
            <w:tcW w:type="dxa" w:w="4150"/>
          </w:tcPr>
          <w:p>
            <w:r/>
            <w:r>
              <w:rPr>
                <w:rFonts w:ascii="Calibri" w:hAnsi="Calibri" w:eastAsia="微软雅黑"/>
                <w:b w:val="0"/>
                <w:i w:val="0"/>
                <w:sz w:val="18"/>
              </w:rPr>
              <w:t>中国建筑第五工程局有限公司EPC总承包业务研究报告（事实资料库研究报告首片）</w:t>
            </w:r>
          </w:p>
        </w:tc>
      </w:tr>
      <w:tr>
        <w:tc>
          <w:tcPr>
            <w:tcW w:type="dxa" w:w="4150"/>
          </w:tcPr>
          <w:p>
            <w:r/>
            <w:r>
              <w:rPr>
                <w:rFonts w:ascii="Calibri" w:hAnsi="Calibri" w:eastAsia="微软雅黑"/>
                <w:b w:val="0"/>
                <w:i w:val="0"/>
                <w:sz w:val="18"/>
              </w:rPr>
              <w:t>P000851</w:t>
            </w:r>
          </w:p>
        </w:tc>
        <w:tc>
          <w:tcPr>
            <w:tcW w:type="dxa" w:w="4150"/>
          </w:tcPr>
          <w:p>
            <w:r/>
            <w:r>
              <w:rPr>
                <w:rFonts w:ascii="Calibri" w:hAnsi="Calibri" w:eastAsia="微软雅黑"/>
                <w:b w:val="0"/>
                <w:i w:val="0"/>
                <w:sz w:val="18"/>
              </w:rPr>
              <w:t>EPC组织架构与人才梯队专项研究成果·2700人团队盘点章（含组织柔性效能指数、九宫格模型、Eudaimonia保障清单与中石化南京工程人员结构数据，研究报告成果合集节选）</w:t>
            </w:r>
          </w:p>
        </w:tc>
      </w:tr>
      <w:tr>
        <w:tc>
          <w:tcPr>
            <w:tcW w:type="dxa" w:w="4150"/>
          </w:tcPr>
          <w:p>
            <w:r/>
            <w:r>
              <w:rPr>
                <w:rFonts w:ascii="Calibri" w:hAnsi="Calibri" w:eastAsia="微软雅黑"/>
                <w:b w:val="0"/>
                <w:i w:val="0"/>
                <w:sz w:val="18"/>
              </w:rPr>
              <w:t>P000852</w:t>
            </w:r>
          </w:p>
        </w:tc>
        <w:tc>
          <w:tcPr>
            <w:tcW w:type="dxa" w:w="4150"/>
          </w:tcPr>
          <w:p>
            <w:r/>
            <w:r>
              <w:rPr>
                <w:rFonts w:ascii="Calibri" w:hAnsi="Calibri" w:eastAsia="微软雅黑"/>
                <w:b w:val="0"/>
                <w:i w:val="0"/>
                <w:sz w:val="18"/>
              </w:rPr>
              <w:t>中石化南京工程有限公司EPC专项研究（含涉外判例、独立保函案例与管辖规则）</w:t>
            </w:r>
          </w:p>
        </w:tc>
      </w:tr>
    </w:tbl>
    <w:p>
      <w:r>
        <w:rPr>
          <w:rFonts w:ascii="Calibri" w:hAnsi="Calibri" w:eastAsia="微软雅黑"/>
          <w:b w:val="0"/>
          <w:i w:val="0"/>
          <w:sz w:val="22"/>
        </w:rPr>
        <w:t>---</w:t>
      </w:r>
    </w:p>
    <w:p>
      <w:pPr>
        <w:pStyle w:val="Heading1"/>
      </w:pPr>
      <w:r>
        <w:t>第10章 数字化与技术创新：从虚拟建造到数字资产的变现闭环</w:t>
      </w:r>
    </w:p>
    <w:p>
      <w:r>
        <w:rPr>
          <w:rFonts w:ascii="Calibri" w:hAnsi="Calibri" w:eastAsia="微软雅黑"/>
          <w:b w:val="0"/>
          <w:i w:val="0"/>
          <w:sz w:val="22"/>
        </w:rPr>
        <w:t>出品：总包创研院研究团队</w:t>
      </w:r>
    </w:p>
    <w:p>
      <w:pPr>
        <w:ind w:left="454"/>
      </w:pPr>
      <w:r>
        <w:rPr>
          <w:rFonts w:ascii="Calibri" w:hAnsi="Calibri" w:eastAsia="微软雅黑"/>
          <w:b/>
          <w:i w:val="0"/>
          <w:color w:val="666666"/>
          <w:sz w:val="22"/>
        </w:rPr>
        <w:t>本章事实纪律声明</w:t>
      </w:r>
      <w:r>
        <w:rPr>
          <w:rFonts w:ascii="Calibri" w:hAnsi="Calibri" w:eastAsia="微软雅黑"/>
          <w:b w:val="0"/>
          <w:i w:val="0"/>
          <w:color w:val="666666"/>
          <w:sz w:val="22"/>
        </w:rPr>
        <w:t>：本章全部企业数据、技术成果与项目事实，均逐字取自本书研究团队采集整理的事实资料库（含上市公司经审计年度报告全文、专业机构研究报告与既有数字化专项研究成果），正文随文标注[来源: P锚]（对照本章尾注），读者可按锚号回溯核验；无源不写，解读性判断均在文中明示。标注"本研究归纳"的框架与步骤为研究团队基于实证资料整理；标注"示意性复盘"的机制参数为示例设计，不指向任何企业的实际执行数据。</w:t>
      </w:r>
    </w:p>
    <w:p>
      <w:r>
        <w:rPr>
          <w:rFonts w:ascii="Calibri" w:hAnsi="Calibri" w:eastAsia="微软雅黑"/>
          <w:b/>
          <w:i w:val="0"/>
          <w:sz w:val="22"/>
        </w:rPr>
        <w:t>本章引言：帮读者解决什么问题</w:t>
      </w:r>
    </w:p>
    <w:p>
      <w:r>
        <w:rPr>
          <w:rFonts w:ascii="Calibri" w:hAnsi="Calibri" w:eastAsia="微软雅黑"/>
          <w:b w:val="0"/>
          <w:i w:val="0"/>
          <w:sz w:val="22"/>
        </w:rPr>
        <w:t>在工程总承包行业利润率承压、市场竞争白热化的背景下，工程企业决策者面临的最核心卡点，在于数字化投入与商业产出的严重脱节——大量企业陷入"买软件堆砌系统、建模型停留在汇报展示、现场数据沦为信息孤岛"的尴尬境地（痛点归纳为本研究据源文整理）[来源: P000906, P000922]。本章解决一个根本性问题：</w:t>
      </w:r>
      <w:r>
        <w:rPr>
          <w:rFonts w:ascii="Calibri" w:hAnsi="Calibri" w:eastAsia="微软雅黑"/>
          <w:b/>
          <w:i w:val="0"/>
          <w:sz w:val="22"/>
        </w:rPr>
        <w:t>如何将数字化与技术创新从"形象工程"转化为可量化、可核算、直接服务于投融资与降本增效的竞争壁垒。</w:t>
      </w:r>
      <w:r>
        <w:rPr>
          <w:rFonts w:ascii="Calibri" w:hAnsi="Calibri" w:eastAsia="微软雅黑"/>
          <w:b w:val="0"/>
          <w:i w:val="0"/>
          <w:sz w:val="22"/>
        </w:rPr>
        <w:t xml:space="preserve"> 本章以八家标杆企业（中国五环、中国寰球、山东院、上海市政总院、中城科泽、中建三局、中国化学、山东路桥）的实证实践为主轴，辅以数字化专项研究成果的方法论框架，按"底层建构—虚拟建造—智慧工地—数字资产—价值变现"五个模块展开，帮助企业打通"设计提效-物资控损-节点请款-资产增值"的价值循环 [来源: P000916, P000906, P000922, P000927, P000901, P000911, P000932, P000934]。五家样本横跨化工、石化、电力、市政、房建、公路六大行业，既有百亿级央企也有三十亿级的成长型企业，读者可按自身体量选择对标基准。</w:t>
      </w:r>
    </w:p>
    <w:p>
      <w:r>
        <w:rPr>
          <w:rFonts w:ascii="Calibri" w:hAnsi="Calibri" w:eastAsia="微软雅黑"/>
          <w:b w:val="0"/>
          <w:i w:val="0"/>
          <w:sz w:val="22"/>
        </w:rPr>
        <w:t>贯穿全章的一条主线是既有数字化专项研究成果提出的论断：</w:t>
      </w:r>
      <w:r>
        <w:rPr>
          <w:rFonts w:ascii="Calibri" w:hAnsi="Calibri" w:eastAsia="微软雅黑"/>
          <w:b/>
          <w:i w:val="0"/>
          <w:sz w:val="22"/>
        </w:rPr>
        <w:t>智慧工地与数字化的本质，是通过BIM模型数据流与现场感知网络的实时交互，把工程物理实体与造价调价因子、节点付款凭据进行数字化锚定的精密控制系统</w:t>
      </w:r>
      <w:r>
        <w:rPr>
          <w:rFonts w:ascii="Calibri" w:hAnsi="Calibri" w:eastAsia="微软雅黑"/>
          <w:b w:val="0"/>
          <w:i w:val="0"/>
          <w:sz w:val="22"/>
        </w:rPr>
        <w:t>（重定义据专项研究成果）[来源: P000951]。数字化不是给管理层看的报表，而是给结算用的证据、给调价用的数据、给资产用的底座。读者带着三个问题读本章最有效率：我的企业处在四阶段路径的哪一幕？每一幕缺的是数据标准、感知设备还是凭证流程？投入产出能不能回扣到具体的调价因子与请款凭证上？</w:t>
      </w:r>
    </w:p>
    <w:p>
      <w:r>
        <w:rPr>
          <w:rFonts w:ascii="Calibri" w:hAnsi="Calibri" w:eastAsia="微软雅黑"/>
          <w:b w:val="0"/>
          <w:i w:val="0"/>
          <w:sz w:val="22"/>
        </w:rPr>
        <w:t>---</w:t>
      </w:r>
    </w:p>
    <w:p>
      <w:pPr>
        <w:pStyle w:val="Heading2"/>
      </w:pPr>
      <w:r>
        <w:t>10.1 底层建构：数字化战略与数据治理架构</w:t>
      </w:r>
    </w:p>
    <w:p>
      <w:r>
        <w:rPr>
          <w:rFonts w:ascii="Calibri" w:hAnsi="Calibri" w:eastAsia="微软雅黑"/>
          <w:b w:val="0"/>
          <w:i w:val="0"/>
          <w:sz w:val="22"/>
        </w:rPr>
        <w:t>工程企业的数字化转型不是软件采购，而是涉及战略规划、业务系统打通、数据标准统一与组织架构重塑的系统性再造——没有坚实的底层建构，上层的智慧应用将沦为空中楼阁（判断为本研究归纳）。</w:t>
      </w:r>
    </w:p>
    <w:p>
      <w:pPr>
        <w:pStyle w:val="Heading3"/>
      </w:pPr>
      <w:r>
        <w:t>10.1.1 顶层设计与战略规划</w:t>
      </w:r>
    </w:p>
    <w:p>
      <w:pPr>
        <w:pStyle w:val="Heading4"/>
      </w:pPr>
      <w:r>
        <w:t>案例一：中国五环——"数智五环"与"1-4-6-3"总体框架 [来源: P000916]</w:t>
      </w:r>
    </w:p>
    <w:p>
      <w:pPr>
        <w:pStyle w:val="ListBullet"/>
      </w:pPr>
      <w:r>
        <w:rPr>
          <w:rFonts w:ascii="Calibri" w:hAnsi="Calibri" w:eastAsia="微软雅黑"/>
          <w:b/>
          <w:i w:val="0"/>
          <w:sz w:val="22"/>
        </w:rPr>
        <w:t>数据（Data）</w:t>
      </w:r>
      <w:r>
        <w:rPr>
          <w:rFonts w:ascii="Calibri" w:hAnsi="Calibri" w:eastAsia="微软雅黑"/>
          <w:b w:val="0"/>
          <w:i w:val="0"/>
          <w:sz w:val="22"/>
        </w:rPr>
        <w:t>：中国五环将数字化转型上升为企业核心战略，每年研发投入占比均超过3%；2024年在创新孵化基地建设及重大研发项目上的投入预计超过2亿元，并在武汉东湖高新区扩建近12000平方米的技术研发中心 [来源: P000916]。</w:t>
      </w:r>
    </w:p>
    <w:p>
      <w:pPr>
        <w:pStyle w:val="ListBullet"/>
      </w:pPr>
      <w:r>
        <w:rPr>
          <w:rFonts w:ascii="Calibri" w:hAnsi="Calibri" w:eastAsia="微软雅黑"/>
          <w:b/>
          <w:i w:val="0"/>
          <w:sz w:val="22"/>
        </w:rPr>
        <w:t>动作（Action）</w:t>
      </w:r>
      <w:r>
        <w:rPr>
          <w:rFonts w:ascii="Calibri" w:hAnsi="Calibri" w:eastAsia="微软雅黑"/>
          <w:b w:val="0"/>
          <w:i w:val="0"/>
          <w:sz w:val="22"/>
        </w:rPr>
        <w:t>：制定并全面实施"1-4-6-3"数字化转型总体框架——围绕1个核心目标（价值创造），聚焦4大核心能力（核心能力重塑、运营管理精益、商业模式创新、客户价值提升），打造6大业务领域（工程设计数字化、项目管理数字化、供应链数字化、智能工厂数字化、企业运营数字化、客户服务数字化），构建3大支撑体系（数字化技术平台、数字化组织与人才、数字化文化与生态）[来源: P000916]。重点举措"数智五环"工程数据平台建设，以构建统一的工程数据中心为核心目标，力求从设计源头开始统一整合项目全生命周期各阶段、各专业产生的所有数据——设计变更实时传递给采购和施工部门，采购物资信息及时反馈给设计和施工，施工进度与质量数据同步共享给设计和项目管理团队 [来源: P000916]。</w:t>
      </w:r>
    </w:p>
    <w:p>
      <w:pPr>
        <w:pStyle w:val="ListBullet"/>
      </w:pPr>
      <w:r>
        <w:rPr>
          <w:rFonts w:ascii="Calibri" w:hAnsi="Calibri" w:eastAsia="微软雅黑"/>
          <w:b/>
          <w:i w:val="0"/>
          <w:sz w:val="22"/>
        </w:rPr>
        <w:t>结果（Result）</w:t>
      </w:r>
      <w:r>
        <w:rPr>
          <w:rFonts w:ascii="Calibri" w:hAnsi="Calibri" w:eastAsia="微软雅黑"/>
          <w:b w:val="0"/>
          <w:i w:val="0"/>
          <w:sz w:val="22"/>
        </w:rPr>
        <w:t>：打破传统分散系统的孤岛状态，基本建成"数智五环"体系，在化肥、煤化工等核心EPC领域实现全业务链条智能化升级，为高端煤化工市场赢得技术制高点 [来源: P000916]。其《基于工程物料全生命周期模式的供应链数字化管理案例》进一步建立了统一的物资管理数据标准、升级开发了工程材料管理系统，覆盖设计提资、采购申请、订单执行、物流跟踪、到货验收、库存管理、现场领用全环节，以此提高信息透明度、提升协同效率、优化库存水平并降低采购成本 [来源: P000916]。该案例的示范意义（本研究解读）在于把"供应链数字化"从口号落到了一个可审计的对象上——每一米合金管材从设计提资到现场领用的全生命周期数据链；对标本章第三节的智能焊材库可知，物料级数字化正是连接设计模型与结算凭证的中场枢纽。</w:t>
      </w:r>
    </w:p>
    <w:p>
      <w:r>
        <w:rPr>
          <w:rFonts w:ascii="Calibri" w:hAnsi="Calibri" w:eastAsia="微软雅黑"/>
          <w:b w:val="0"/>
          <w:i w:val="0"/>
          <w:sz w:val="22"/>
        </w:rPr>
        <w:t>从竞争力评估的视角，其研究报告独创的"EPC业务竞争力六维模型"同样值得决策层借鉴——从项目获取能力、设计施工融合度、供应链管理能力、风险管控体系、数字化水平、政企关系六个核心维度对企业EPC竞争力作全方位透视，六维相互关联、相互支撑，共同构成EPC企业在激烈市场竞争中的核心能力集群（模型描述据源文）[来源: P000916]。组织层面，五环在总部设置了覆盖战略规划、法律合规、财务资产、审计监督、科技研发、信息技术、安全环保、质量控制、经营开发、国际业务、项目管理、采购施工各环节的职能部门，并由行政与数字化部、科技与数字化部专责推动数字化转型与技术创新，技术开发研究院则是其技术创新的核心引擎，工艺管道室、设备室、土建室、电控室、公用系统室、安全环保室等专业设计科室构成工程设计能力基础（组织描述据源文）[来源: P000916]。创新平台方面，公司搭建了国家能源低阶煤综合利用研发中心、高效加氢催化剂湖北省工程研发中心及博士后科研工作站等多个高水平平台，承担国家和省级重大科研攻关任务并培养集聚高层次科技人才 [来源: P000916]。战略响应层面，设立专门的长江大保护事业部，参与沿江化工产业布局顶层设计与企业"关停并转迁"，为地方政府提供"三磷"治理整体解决方案 [来源: P000916]。</w:t>
      </w:r>
    </w:p>
    <w:p>
      <w:r>
        <w:rPr>
          <w:rFonts w:ascii="Calibri" w:hAnsi="Calibri" w:eastAsia="微软雅黑"/>
          <w:b/>
          <w:i w:val="0"/>
          <w:sz w:val="22"/>
        </w:rPr>
        <w:t>可执行方法：数字化顶层设计四步法（本研究归纳，示意性复盘）</w:t>
      </w:r>
      <w:r>
        <w:rPr>
          <w:rFonts w:ascii="Calibri" w:hAnsi="Calibri" w:eastAsia="微软雅黑"/>
          <w:b w:val="0"/>
          <w:i w:val="0"/>
          <w:sz w:val="22"/>
        </w:rPr>
        <w:t>——第一步需求与痛点诊断，梳理项目全生命周期中成本高、工期延误、安全风险及数据流转卡点，明确优先级；第二步战略架构设计，按"1个目标＋N个核心能力＋业务领域＋支撑保障"结构制定三至五年中长期蓝图；第三步阶段化路线规划，分基础设施建设、业务在线与平台集成、数据驱动智能决策三个阶段分步实施；第四步资源与预算保障，设立专项研发资金并建立与项目履约绩效挂钩的数字化考核机制（五环"研发投入占比持续超3%"即为预算保障的实证形态）[来源: P000916]。</w:t>
      </w:r>
    </w:p>
    <w:p>
      <w:pPr>
        <w:pStyle w:val="Heading3"/>
      </w:pPr>
      <w:r>
        <w:t>10.1.2 数据治理与核心业务系统集成</w:t>
      </w:r>
    </w:p>
    <w:p>
      <w:r>
        <w:rPr>
          <w:rFonts w:ascii="Calibri" w:hAnsi="Calibri" w:eastAsia="微软雅黑"/>
          <w:b w:val="0"/>
          <w:i w:val="0"/>
          <w:sz w:val="22"/>
        </w:rPr>
        <w:t>数据是数字时代的核心资产。建立统一的工程数据中心和严密的数据治理体系，是实现设计、采购、施工一体化协同的前置条件（判断为本研究归纳）。数据中心的典型构成如下（架构归纳为本研究据源文整理）：</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数据端</w:t>
            </w:r>
          </w:p>
        </w:tc>
        <w:tc>
          <w:tcPr>
            <w:tcW w:type="dxa" w:w="2767"/>
            <w:shd w:fill="1F3A5F"/>
          </w:tcPr>
          <w:p>
            <w:r>
              <w:rPr>
                <w:color w:val="FFFFFF"/>
              </w:rPr>
            </w:r>
            <w:r>
              <w:rPr>
                <w:rFonts w:ascii="Calibri" w:hAnsi="Calibri" w:eastAsia="微软雅黑"/>
                <w:b/>
                <w:i w:val="0"/>
                <w:color w:val="FFFFFF"/>
                <w:sz w:val="18"/>
              </w:rPr>
              <w:t>汇集内容</w:t>
            </w:r>
          </w:p>
        </w:tc>
        <w:tc>
          <w:tcPr>
            <w:tcW w:type="dxa" w:w="2767"/>
            <w:shd w:fill="1F3A5F"/>
          </w:tcPr>
          <w:p>
            <w:r>
              <w:rPr>
                <w:color w:val="FFFFFF"/>
              </w:rPr>
            </w:r>
            <w:r>
              <w:rPr>
                <w:rFonts w:ascii="Calibri" w:hAnsi="Calibri" w:eastAsia="微软雅黑"/>
                <w:b/>
                <w:i w:val="0"/>
                <w:color w:val="FFFFFF"/>
                <w:sz w:val="18"/>
              </w:rPr>
              <w:t>支撑的应用</w:t>
            </w:r>
          </w:p>
        </w:tc>
      </w:tr>
      <w:tr>
        <w:tc>
          <w:tcPr>
            <w:tcW w:type="dxa" w:w="2767"/>
          </w:tcPr>
          <w:p>
            <w:r/>
            <w:r>
              <w:rPr>
                <w:rFonts w:ascii="Calibri" w:hAnsi="Calibri" w:eastAsia="微软雅黑"/>
                <w:b w:val="0"/>
                <w:i w:val="0"/>
                <w:sz w:val="18"/>
              </w:rPr>
              <w:t>设计端</w:t>
            </w:r>
          </w:p>
        </w:tc>
        <w:tc>
          <w:tcPr>
            <w:tcW w:type="dxa" w:w="2767"/>
          </w:tcPr>
          <w:p>
            <w:r/>
            <w:r>
              <w:rPr>
                <w:rFonts w:ascii="Calibri" w:hAnsi="Calibri" w:eastAsia="微软雅黑"/>
                <w:b w:val="0"/>
                <w:i w:val="0"/>
                <w:sz w:val="18"/>
              </w:rPr>
              <w:t>三维设计软件的结构化模型数据</w:t>
            </w:r>
          </w:p>
        </w:tc>
        <w:tc>
          <w:tcPr>
            <w:tcW w:type="dxa" w:w="2767"/>
          </w:tcPr>
          <w:p>
            <w:r/>
            <w:r>
              <w:rPr>
                <w:rFonts w:ascii="Calibri" w:hAnsi="Calibri" w:eastAsia="微软雅黑"/>
                <w:b w:val="0"/>
                <w:i w:val="0"/>
                <w:sz w:val="18"/>
              </w:rPr>
              <w:t>正向设计、碰撞检查、工程量自动提取</w:t>
            </w:r>
          </w:p>
        </w:tc>
      </w:tr>
      <w:tr>
        <w:tc>
          <w:tcPr>
            <w:tcW w:type="dxa" w:w="2767"/>
          </w:tcPr>
          <w:p>
            <w:r/>
            <w:r>
              <w:rPr>
                <w:rFonts w:ascii="Calibri" w:hAnsi="Calibri" w:eastAsia="微软雅黑"/>
                <w:b w:val="0"/>
                <w:i w:val="0"/>
                <w:sz w:val="18"/>
              </w:rPr>
              <w:t>采购端</w:t>
            </w:r>
          </w:p>
        </w:tc>
        <w:tc>
          <w:tcPr>
            <w:tcW w:type="dxa" w:w="2767"/>
          </w:tcPr>
          <w:p>
            <w:r/>
            <w:r>
              <w:rPr>
                <w:rFonts w:ascii="Calibri" w:hAnsi="Calibri" w:eastAsia="微软雅黑"/>
                <w:b w:val="0"/>
                <w:i w:val="0"/>
                <w:sz w:val="18"/>
              </w:rPr>
              <w:t>物资编码、价格库、供应商履约动态数据</w:t>
            </w:r>
          </w:p>
        </w:tc>
        <w:tc>
          <w:tcPr>
            <w:tcW w:type="dxa" w:w="2767"/>
          </w:tcPr>
          <w:p>
            <w:r/>
            <w:r>
              <w:rPr>
                <w:rFonts w:ascii="Calibri" w:hAnsi="Calibri" w:eastAsia="微软雅黑"/>
                <w:b w:val="0"/>
                <w:i w:val="0"/>
                <w:sz w:val="18"/>
              </w:rPr>
              <w:t>集中采购、材料价差系数监测</w:t>
            </w:r>
          </w:p>
        </w:tc>
      </w:tr>
      <w:tr>
        <w:tc>
          <w:tcPr>
            <w:tcW w:type="dxa" w:w="2767"/>
          </w:tcPr>
          <w:p>
            <w:r/>
            <w:r>
              <w:rPr>
                <w:rFonts w:ascii="Calibri" w:hAnsi="Calibri" w:eastAsia="微软雅黑"/>
                <w:b w:val="0"/>
                <w:i w:val="0"/>
                <w:sz w:val="18"/>
              </w:rPr>
              <w:t>施工端</w:t>
            </w:r>
          </w:p>
        </w:tc>
        <w:tc>
          <w:tcPr>
            <w:tcW w:type="dxa" w:w="2767"/>
          </w:tcPr>
          <w:p>
            <w:r/>
            <w:r>
              <w:rPr>
                <w:rFonts w:ascii="Calibri" w:hAnsi="Calibri" w:eastAsia="微软雅黑"/>
                <w:b w:val="0"/>
                <w:i w:val="0"/>
                <w:sz w:val="18"/>
              </w:rPr>
              <w:t>BIM进度成本数据、物联网传感器实测数据</w:t>
            </w:r>
          </w:p>
        </w:tc>
        <w:tc>
          <w:tcPr>
            <w:tcW w:type="dxa" w:w="2767"/>
          </w:tcPr>
          <w:p>
            <w:r/>
            <w:r>
              <w:rPr>
                <w:rFonts w:ascii="Calibri" w:hAnsi="Calibri" w:eastAsia="微软雅黑"/>
                <w:b w:val="0"/>
                <w:i w:val="0"/>
                <w:sz w:val="18"/>
              </w:rPr>
              <w:t>4D/5D模拟、智慧工地感知</w:t>
            </w:r>
          </w:p>
        </w:tc>
      </w:tr>
      <w:tr>
        <w:tc>
          <w:tcPr>
            <w:tcW w:type="dxa" w:w="2767"/>
          </w:tcPr>
          <w:p>
            <w:r/>
            <w:r>
              <w:rPr>
                <w:rFonts w:ascii="Calibri" w:hAnsi="Calibri" w:eastAsia="微软雅黑"/>
                <w:b w:val="0"/>
                <w:i w:val="0"/>
                <w:sz w:val="18"/>
              </w:rPr>
              <w:t>运营端</w:t>
            </w:r>
          </w:p>
        </w:tc>
        <w:tc>
          <w:tcPr>
            <w:tcW w:type="dxa" w:w="2767"/>
          </w:tcPr>
          <w:p>
            <w:r/>
            <w:r>
              <w:rPr>
                <w:rFonts w:ascii="Calibri" w:hAnsi="Calibri" w:eastAsia="微软雅黑"/>
                <w:b w:val="0"/>
                <w:i w:val="0"/>
                <w:sz w:val="18"/>
              </w:rPr>
              <w:t>合同凭证、财务与资产台账数据</w:t>
            </w:r>
          </w:p>
        </w:tc>
        <w:tc>
          <w:tcPr>
            <w:tcW w:type="dxa" w:w="2767"/>
          </w:tcPr>
          <w:p>
            <w:r/>
            <w:r>
              <w:rPr>
                <w:rFonts w:ascii="Calibri" w:hAnsi="Calibri" w:eastAsia="微软雅黑"/>
                <w:b w:val="0"/>
                <w:i w:val="0"/>
                <w:sz w:val="18"/>
              </w:rPr>
              <w:t>结算确权、数字资产移交</w:t>
            </w:r>
          </w:p>
        </w:tc>
      </w:tr>
    </w:tbl>
    <w:p>
      <w:r>
        <w:rPr>
          <w:rFonts w:ascii="Calibri" w:hAnsi="Calibri" w:eastAsia="微软雅黑"/>
          <w:b w:val="0"/>
          <w:i w:val="0"/>
          <w:sz w:val="22"/>
        </w:rPr>
        <w:t>[来源: P000916, P000911]</w:t>
      </w:r>
    </w:p>
    <w:p>
      <w:pPr>
        <w:pStyle w:val="Heading4"/>
      </w:pPr>
      <w:r>
        <w:t>案例二：山东院——EPC平台与工程数据治理 [来源: P000922]</w:t>
      </w:r>
    </w:p>
    <w:p>
      <w:pPr>
        <w:pStyle w:val="ListBullet"/>
      </w:pPr>
      <w:r>
        <w:rPr>
          <w:rFonts w:ascii="Calibri" w:hAnsi="Calibri" w:eastAsia="微软雅黑"/>
          <w:b/>
          <w:i w:val="0"/>
          <w:sz w:val="22"/>
        </w:rPr>
        <w:t>数据（Data）</w:t>
      </w:r>
      <w:r>
        <w:rPr>
          <w:rFonts w:ascii="Calibri" w:hAnsi="Calibri" w:eastAsia="微软雅黑"/>
          <w:b w:val="0"/>
          <w:i w:val="0"/>
          <w:sz w:val="22"/>
        </w:rPr>
        <w:t>：山东院近3年累计研发投入11.6亿元，2024年在研项目480项、研发总投入超过5亿元；在2024年ENR中国承包商80强中位列第37位，中国工程总承包营业额排名第16位 [来源: P000922]。</w:t>
      </w:r>
    </w:p>
    <w:p>
      <w:pPr>
        <w:pStyle w:val="ListBullet"/>
      </w:pPr>
      <w:r>
        <w:rPr>
          <w:rFonts w:ascii="Calibri" w:hAnsi="Calibri" w:eastAsia="微软雅黑"/>
          <w:b/>
          <w:i w:val="0"/>
          <w:sz w:val="22"/>
        </w:rPr>
        <w:t>动作（Action）</w:t>
      </w:r>
      <w:r>
        <w:rPr>
          <w:rFonts w:ascii="Calibri" w:hAnsi="Calibri" w:eastAsia="微软雅黑"/>
          <w:b w:val="0"/>
          <w:i w:val="0"/>
          <w:sz w:val="22"/>
        </w:rPr>
        <w:t>：上线电力工程建设EPC平台，并自主研发综合智慧能源一体化管控平台；通过统一工程数据编码标准，打通前期策划、可研、设计、采购、施工、财务与法务全过程数据通道 [来源: P000922]。</w:t>
      </w:r>
    </w:p>
    <w:p>
      <w:pPr>
        <w:pStyle w:val="ListBullet"/>
      </w:pPr>
      <w:r>
        <w:rPr>
          <w:rFonts w:ascii="Calibri" w:hAnsi="Calibri" w:eastAsia="微软雅黑"/>
          <w:b/>
          <w:i w:val="0"/>
          <w:sz w:val="22"/>
        </w:rPr>
        <w:t>结果（Result）</w:t>
      </w:r>
      <w:r>
        <w:rPr>
          <w:rFonts w:ascii="Calibri" w:hAnsi="Calibri" w:eastAsia="微软雅黑"/>
          <w:b w:val="0"/>
          <w:i w:val="0"/>
          <w:sz w:val="22"/>
        </w:rPr>
        <w:t>：实现项目全要素动态管控与可视化协同，设计周期缩短20%、采购周期缩短15%、管理成本降低12%，跨部门信息传递时滞基本消除 [来源: P000922]。</w:t>
      </w:r>
    </w:p>
    <w:p>
      <w:pPr>
        <w:pStyle w:val="Heading4"/>
      </w:pPr>
      <w:r>
        <w:t>案例三：中建三局——企业级ERP与云筑网供应链集成 [来源: P000911]</w:t>
      </w:r>
    </w:p>
    <w:p>
      <w:pPr>
        <w:pStyle w:val="ListBullet"/>
      </w:pPr>
      <w:r>
        <w:rPr>
          <w:rFonts w:ascii="Calibri" w:hAnsi="Calibri" w:eastAsia="微软雅黑"/>
          <w:b/>
          <w:i w:val="0"/>
          <w:sz w:val="22"/>
        </w:rPr>
        <w:t>数据（Action）</w:t>
      </w:r>
      <w:r>
        <w:rPr>
          <w:rFonts w:ascii="Calibri" w:hAnsi="Calibri" w:eastAsia="微软雅黑"/>
          <w:b w:val="0"/>
          <w:i w:val="0"/>
          <w:sz w:val="22"/>
        </w:rPr>
        <w:t>：中建三局打造覆盖全集团的企业级ERP系统，依托"云筑网"供应链平台进行数字化采购；以ERP为核心深度集成办公自动化、客户关系管理、知识管理与商业智能系统，建立统一的项目编码、文档编码及设备编码标准，实现与云筑网供应商履约数据的准实时传输 [来源: P000911]。</w:t>
      </w:r>
    </w:p>
    <w:p>
      <w:pPr>
        <w:pStyle w:val="ListBullet"/>
      </w:pPr>
      <w:r>
        <w:rPr>
          <w:rFonts w:ascii="Calibri" w:hAnsi="Calibri" w:eastAsia="微软雅黑"/>
          <w:b/>
          <w:i w:val="0"/>
          <w:sz w:val="22"/>
        </w:rPr>
        <w:t>结果（Result）</w:t>
      </w:r>
      <w:r>
        <w:rPr>
          <w:rFonts w:ascii="Calibri" w:hAnsi="Calibri" w:eastAsia="微软雅黑"/>
          <w:b w:val="0"/>
          <w:i w:val="0"/>
          <w:sz w:val="22"/>
        </w:rPr>
        <w:t>：实现企业资源的可视化配置与动态监控，物资采购与库存占用成本大幅降低，决策科学性显著提高（结果表述为本研究据源文归纳）[来源: P000911]。</w:t>
      </w:r>
    </w:p>
    <w:p>
      <w:r>
        <w:rPr>
          <w:rFonts w:ascii="Calibri" w:hAnsi="Calibri" w:eastAsia="微软雅黑"/>
          <w:b/>
          <w:i w:val="0"/>
          <w:sz w:val="22"/>
        </w:rPr>
        <w:t>可执行方法：数据治理与集成四步落地（本研究归纳，示意性复盘）</w:t>
      </w:r>
      <w:r>
        <w:rPr>
          <w:rFonts w:ascii="Calibri" w:hAnsi="Calibri" w:eastAsia="微软雅黑"/>
          <w:b w:val="0"/>
          <w:i w:val="0"/>
          <w:sz w:val="22"/>
        </w:rPr>
        <w:t>——数据标准化建设（统一工程物资与主材分类编码、项目分解结构代码、文档元数据标准，确保"同物同码、同一语系"，此步不牢后续全部返工）；数据湖搭设（汇集设计模型、采购交易、施工物联网与财务合同数据，按前表四端分层入湖）；接口集成（以标准化接口或企业服务总线打通三维设计软件、项目管理软件与财务系统，要求供应商开放接口作为采购硬条件）；数据质量管控（录入校验、定期纠错与安全分级保护，防止数据篡改与泄露）。四步之中最难也最值钱的是第一步——山东院"统一编码打通全过程数据通道"的成效（设计周期缩短20%、管理成本降低12%）正是编码先行论的实证 [来源: P000922]。</w:t>
      </w:r>
    </w:p>
    <w:p>
      <w:pPr>
        <w:pStyle w:val="Heading3"/>
      </w:pPr>
      <w:r>
        <w:t>10.1.3 数字化组织重构与人才保障</w:t>
      </w:r>
    </w:p>
    <w:p>
      <w:r>
        <w:rPr>
          <w:rFonts w:ascii="Calibri" w:hAnsi="Calibri" w:eastAsia="微软雅黑"/>
          <w:b w:val="0"/>
          <w:i w:val="0"/>
          <w:sz w:val="22"/>
        </w:rPr>
        <w:t>传统职能制组织架构常常成为数字化转型的最大阻力，建立适应数字化发展的组织支撑与复合型人才机制至关重要（判断为本研究归纳）。</w:t>
      </w:r>
    </w:p>
    <w:p>
      <w:pPr>
        <w:pStyle w:val="Heading4"/>
      </w:pPr>
      <w:r>
        <w:t>案例四：上海市政总院——数字科技实体与三级协同机制 [来源: P000927]</w:t>
      </w:r>
    </w:p>
    <w:p>
      <w:pPr>
        <w:pStyle w:val="ListBullet"/>
      </w:pPr>
      <w:r>
        <w:rPr>
          <w:rFonts w:ascii="Calibri" w:hAnsi="Calibri" w:eastAsia="微软雅黑"/>
          <w:b/>
          <w:i w:val="0"/>
          <w:sz w:val="22"/>
        </w:rPr>
        <w:t>数据（Data）</w:t>
      </w:r>
      <w:r>
        <w:rPr>
          <w:rFonts w:ascii="Calibri" w:hAnsi="Calibri" w:eastAsia="微软雅黑"/>
          <w:b w:val="0"/>
          <w:i w:val="0"/>
          <w:sz w:val="22"/>
        </w:rPr>
        <w:t>：上海市政总院2023年EPC业务合同额突破100亿元，累计承接EPC项目超500个，拥有专利300余项、软件著作权100余项 [来源: P000927]。</w:t>
      </w:r>
    </w:p>
    <w:p>
      <w:pPr>
        <w:pStyle w:val="ListBullet"/>
      </w:pPr>
      <w:r>
        <w:rPr>
          <w:rFonts w:ascii="Calibri" w:hAnsi="Calibri" w:eastAsia="微软雅黑"/>
          <w:b/>
          <w:i w:val="0"/>
          <w:sz w:val="22"/>
        </w:rPr>
        <w:t>动作（Action）</w:t>
      </w:r>
      <w:r>
        <w:rPr>
          <w:rFonts w:ascii="Calibri" w:hAnsi="Calibri" w:eastAsia="微软雅黑"/>
          <w:b w:val="0"/>
          <w:i w:val="0"/>
          <w:sz w:val="22"/>
        </w:rPr>
        <w:t>：设立由高层牵头的数字化转型领导小组，成立数字科技公司、智慧建造研究院及智能工程科技公司等专业机构，构建"集团总部-数字化专职机构-项目数字化团队"协同推进机制 [来源: P000927]。</w:t>
      </w:r>
    </w:p>
    <w:p>
      <w:pPr>
        <w:pStyle w:val="ListBullet"/>
      </w:pPr>
      <w:r>
        <w:rPr>
          <w:rFonts w:ascii="Calibri" w:hAnsi="Calibri" w:eastAsia="微软雅黑"/>
          <w:b/>
          <w:i w:val="0"/>
          <w:sz w:val="22"/>
        </w:rPr>
        <w:t>结果（Result）</w:t>
      </w:r>
      <w:r>
        <w:rPr>
          <w:rFonts w:ascii="Calibri" w:hAnsi="Calibri" w:eastAsia="微软雅黑"/>
          <w:b w:val="0"/>
          <w:i w:val="0"/>
          <w:sz w:val="22"/>
        </w:rPr>
        <w:t>：打造了技术研发、解决方案提供与项目现场应用无缝对接的组织咬合，成功研发SMEDI-OBIM运维管理系统，支撑石洞口污水处理厂提标改造等重大EPC项目；专利300余项、软件著作权100余项的知识产权家底，则为其数字技术商业化提供了弹药库（商业化路径详见本章第四节）[来源: P000927]。</w:t>
      </w:r>
    </w:p>
    <w:p>
      <w:pPr>
        <w:pStyle w:val="Heading4"/>
      </w:pPr>
      <w:r>
        <w:t>案例五：中城科泽——三级技术创新组织 [来源: P000901]</w:t>
      </w:r>
    </w:p>
    <w:p>
      <w:pPr>
        <w:pStyle w:val="ListBullet"/>
      </w:pPr>
      <w:r>
        <w:rPr>
          <w:rFonts w:ascii="Calibri" w:hAnsi="Calibri" w:eastAsia="微软雅黑"/>
          <w:b/>
          <w:i w:val="0"/>
          <w:sz w:val="22"/>
        </w:rPr>
        <w:t>数据（Data）</w:t>
      </w:r>
      <w:r>
        <w:rPr>
          <w:rFonts w:ascii="Calibri" w:hAnsi="Calibri" w:eastAsia="微软雅黑"/>
          <w:b w:val="0"/>
          <w:i w:val="0"/>
          <w:sz w:val="22"/>
        </w:rPr>
        <w:t>：中城科泽在2023年上半年全国EPC中标100强中排名第7位，2025年第一季度中标数量达157个、位居全国第二；企业拥有工程设计综合甲级等核心资质，2024年营业收入突破30亿元 [来源: P000901]。</w:t>
      </w:r>
    </w:p>
    <w:p>
      <w:pPr>
        <w:pStyle w:val="ListBullet"/>
      </w:pPr>
      <w:r>
        <w:rPr>
          <w:rFonts w:ascii="Calibri" w:hAnsi="Calibri" w:eastAsia="微软雅黑"/>
          <w:b/>
          <w:i w:val="0"/>
          <w:sz w:val="22"/>
        </w:rPr>
        <w:t>动作（Action）</w:t>
      </w:r>
      <w:r>
        <w:rPr>
          <w:rFonts w:ascii="Calibri" w:hAnsi="Calibri" w:eastAsia="微软雅黑"/>
          <w:b w:val="0"/>
          <w:i w:val="0"/>
          <w:sz w:val="22"/>
        </w:rPr>
        <w:t>：建立"集团技术中心-专业技术部门-项目技术团队"三级技术创新组织体系，2022年成立数字化技术研发中心，制定数字化创新激励机制，对核心数字化人才实施股权与专项奖金激励 [来源: P000901]。</w:t>
      </w:r>
    </w:p>
    <w:p>
      <w:pPr>
        <w:pStyle w:val="ListBullet"/>
      </w:pPr>
      <w:r>
        <w:rPr>
          <w:rFonts w:ascii="Calibri" w:hAnsi="Calibri" w:eastAsia="微软雅黑"/>
          <w:b/>
          <w:i w:val="0"/>
          <w:sz w:val="22"/>
        </w:rPr>
        <w:t>结果（Result）</w:t>
      </w:r>
      <w:r>
        <w:rPr>
          <w:rFonts w:ascii="Calibri" w:hAnsi="Calibri" w:eastAsia="微软雅黑"/>
          <w:b w:val="0"/>
          <w:i w:val="0"/>
          <w:sz w:val="22"/>
        </w:rPr>
        <w:t>：BIM技术应用率达到90%以上，绿色建筑项目占比达60%以上，数字化技术在全集团EPC项目高效落地 [来源: P000901]。</w:t>
      </w:r>
    </w:p>
    <w:p>
      <w:r>
        <w:rPr>
          <w:rFonts w:ascii="Calibri" w:hAnsi="Calibri" w:eastAsia="微软雅黑"/>
          <w:b w:val="0"/>
          <w:i w:val="0"/>
          <w:sz w:val="22"/>
        </w:rPr>
        <w:t>中城科泽的技术底色（本研究据源文归纳）：企业在BIM技术、装配式建筑、绿色建筑、智能化系统等前沿技术领域布局较早、拥有多项专利技术和技术标准，技术创新能力处于行业领先——数字化转型加速推进的同时，客户对数字化设计、智能化施工、数字化运维等服务的需求也在增长，形成供给与需求的双向拉动；2022年成立数字化技术研发中心正是其加快转型步伐的标志性组织动作 [来源: P000901]。</w:t>
      </w:r>
    </w:p>
    <w:p>
      <w:r>
        <w:rPr>
          <w:rFonts w:ascii="Calibri" w:hAnsi="Calibri" w:eastAsia="微软雅黑"/>
          <w:b/>
          <w:i w:val="0"/>
          <w:sz w:val="22"/>
        </w:rPr>
        <w:t>可执行方法：数字化组织与人才三步走（本研究归纳）</w:t>
      </w:r>
      <w:r>
        <w:rPr>
          <w:rFonts w:ascii="Calibri" w:hAnsi="Calibri" w:eastAsia="微软雅黑"/>
          <w:b w:val="0"/>
          <w:i w:val="0"/>
          <w:sz w:val="22"/>
        </w:rPr>
        <w:t>——组织扁平化（设立直属最高管理层的数字化推进部门或数字科技实体公司，赋予跨部门协调与考核权，市政总院"数字科技公司＋智慧建造研究院＋智能工程科技公司"的三实体形态即为组织化的极致样本）；复合型人才引进与内部转岗（招聘懂工程工艺又懂信息系统架构的人才，对既有工程技术人员开展数字化工具培训——转岗培训的投产比通常高于外部引进，因为工程直觉无法速成）；职业晋升双通道（建立技术管理与数字化专家的独立晋升通道，薪酬与数字化落地效益挂钩，中城科泽股权与专项奖金激励为实证形态）[来源: P000927, P000901]。</w:t>
      </w:r>
    </w:p>
    <w:p>
      <w:r>
        <w:rPr>
          <w:rFonts w:ascii="Calibri" w:hAnsi="Calibri" w:eastAsia="微软雅黑"/>
          <w:b w:val="0"/>
          <w:i w:val="0"/>
          <w:sz w:val="22"/>
        </w:rPr>
        <w:t>---</w:t>
      </w:r>
    </w:p>
    <w:p>
      <w:pPr>
        <w:pStyle w:val="Heading2"/>
      </w:pPr>
      <w:r>
        <w:t>10.2 虚拟建造：BIM正向设计、仿真模拟与数字化交付</w:t>
      </w:r>
    </w:p>
    <w:p>
      <w:r>
        <w:rPr>
          <w:rFonts w:ascii="Calibri" w:hAnsi="Calibri" w:eastAsia="微软雅黑"/>
          <w:b w:val="0"/>
          <w:i w:val="0"/>
          <w:sz w:val="22"/>
        </w:rPr>
        <w:t>虚拟建造是数字化技术在EPC设计阶段的核心体现——"先虚拟建造、后实体施工"，把传统施工阶段的大量碰撞冲突、设计变更与返工风险消灭在设计图纸阶段（理念归纳为本研究据源文整理）。判断一家企业虚拟建造成熟度的三个观察窗（本研究归纳）：一看正向设计占比——是先画二维图再翻模，还是直接在三维平台上并行设计；二看专业覆盖——暖通、仪表等"小专业"是否纳入统一模型；三看下游消费——模型数据是否真的流向了采购清单与施工方案，而不是只停留在汇报动画里。</w:t>
      </w:r>
    </w:p>
    <w:p>
      <w:pPr>
        <w:pStyle w:val="Heading3"/>
      </w:pPr>
      <w:r>
        <w:t>10.2.1 全专业三维正向设计与多专业协同</w:t>
      </w:r>
    </w:p>
    <w:p>
      <w:pPr>
        <w:pStyle w:val="Heading4"/>
      </w:pPr>
      <w:r>
        <w:t>案例一：中国寰球——"大设计"理念与三维正向设计 [来源: P000906]</w:t>
      </w:r>
    </w:p>
    <w:p>
      <w:pPr>
        <w:pStyle w:val="ListBullet"/>
      </w:pPr>
      <w:r>
        <w:rPr>
          <w:rFonts w:ascii="Calibri" w:hAnsi="Calibri" w:eastAsia="微软雅黑"/>
          <w:b/>
          <w:i w:val="0"/>
          <w:sz w:val="22"/>
        </w:rPr>
        <w:t>数据（Data）</w:t>
      </w:r>
      <w:r>
        <w:rPr>
          <w:rFonts w:ascii="Calibri" w:hAnsi="Calibri" w:eastAsia="微软雅黑"/>
          <w:b w:val="0"/>
          <w:i w:val="0"/>
          <w:sz w:val="22"/>
        </w:rPr>
        <w:t>：中国寰球拥有国家授权专利62项、专有技术60项、计算机软件著作权38项，主编参编国家标准规范33项 [来源: P000906]。</w:t>
      </w:r>
    </w:p>
    <w:p>
      <w:pPr>
        <w:pStyle w:val="ListBullet"/>
      </w:pPr>
      <w:r>
        <w:rPr>
          <w:rFonts w:ascii="Calibri" w:hAnsi="Calibri" w:eastAsia="微软雅黑"/>
          <w:b/>
          <w:i w:val="0"/>
          <w:sz w:val="22"/>
        </w:rPr>
        <w:t>动作（Action）</w:t>
      </w:r>
      <w:r>
        <w:rPr>
          <w:rFonts w:ascii="Calibri" w:hAnsi="Calibri" w:eastAsia="微软雅黑"/>
          <w:b w:val="0"/>
          <w:i w:val="0"/>
          <w:sz w:val="22"/>
        </w:rPr>
        <w:t>：推行"大设计"理念，推动工艺、设备、管道、结构、电气、仪表、暖通等全专业基于统一三维数字平台进行正向参数化建模；采购与施工部门提前介入三维模型审查，把设备交货期与施工吊装空间约束反向输入设计模型 [来源: P000906]。</w:t>
      </w:r>
    </w:p>
    <w:p>
      <w:pPr>
        <w:pStyle w:val="ListBullet"/>
      </w:pPr>
      <w:r>
        <w:rPr>
          <w:rFonts w:ascii="Calibri" w:hAnsi="Calibri" w:eastAsia="微软雅黑"/>
          <w:b/>
          <w:i w:val="0"/>
          <w:sz w:val="22"/>
        </w:rPr>
        <w:t>结果（Result）</w:t>
      </w:r>
      <w:r>
        <w:rPr>
          <w:rFonts w:ascii="Calibri" w:hAnsi="Calibri" w:eastAsia="微软雅黑"/>
          <w:b w:val="0"/>
          <w:i w:val="0"/>
          <w:sz w:val="22"/>
        </w:rPr>
        <w:t>：实现图纸错漏碰缺的自动排查，在大型石化与炼化项目中设计变更率降低30%以上，采购备料精准度提升至98%以上；"大设计"模式的实质是把设计从"出图环节"升级为"全链条数据源头"——各专业在同一模型上工作，任何一处的修改即时传导至采购与施工视角，从根本上压缩了"设计-采购-施工"之间的信息时差（解读为本研究归纳）[来源: P000906]。</w:t>
      </w:r>
    </w:p>
    <w:p>
      <w:pPr>
        <w:pStyle w:val="Heading4"/>
      </w:pPr>
      <w:r>
        <w:t>案例二：山东院——特高压与变电站正向BIM应用 [来源: P000922]</w:t>
      </w:r>
    </w:p>
    <w:p>
      <w:pPr>
        <w:pStyle w:val="ListBullet"/>
      </w:pPr>
      <w:r>
        <w:rPr>
          <w:rFonts w:ascii="Calibri" w:hAnsi="Calibri" w:eastAsia="微软雅黑"/>
          <w:b/>
          <w:i w:val="0"/>
          <w:sz w:val="22"/>
        </w:rPr>
        <w:t>数据（Data）</w:t>
      </w:r>
      <w:r>
        <w:rPr>
          <w:rFonts w:ascii="Calibri" w:hAnsi="Calibri" w:eastAsia="微软雅黑"/>
          <w:b w:val="0"/>
          <w:i w:val="0"/>
          <w:sz w:val="22"/>
        </w:rPr>
        <w:t>：山东院累计完成火电咨询设计438项、投产容量超9235万千瓦 [来源: P000922]。</w:t>
      </w:r>
    </w:p>
    <w:p>
      <w:pPr>
        <w:pStyle w:val="ListBullet"/>
      </w:pPr>
      <w:r>
        <w:rPr>
          <w:rFonts w:ascii="Calibri" w:hAnsi="Calibri" w:eastAsia="微软雅黑"/>
          <w:b/>
          <w:i w:val="0"/>
          <w:sz w:val="22"/>
        </w:rPr>
        <w:t>动作（Action）</w:t>
      </w:r>
      <w:r>
        <w:rPr>
          <w:rFonts w:ascii="Calibri" w:hAnsi="Calibri" w:eastAsia="微软雅黑"/>
          <w:b w:val="0"/>
          <w:i w:val="0"/>
          <w:sz w:val="22"/>
        </w:rPr>
        <w:t>：研发特高压输电线路数字化终勘平台，并在东营辉阳500千伏变电站总承包工程中实施全专业三维正向设计；设计成果直接导出结构工程量、电缆敷设路径及设备采购清单 [来源: P000922]。</w:t>
      </w:r>
    </w:p>
    <w:p>
      <w:pPr>
        <w:pStyle w:val="ListBullet"/>
      </w:pPr>
      <w:r>
        <w:rPr>
          <w:rFonts w:ascii="Calibri" w:hAnsi="Calibri" w:eastAsia="微软雅黑"/>
          <w:b/>
          <w:i w:val="0"/>
          <w:sz w:val="22"/>
        </w:rPr>
        <w:t>结果（Result）</w:t>
      </w:r>
      <w:r>
        <w:rPr>
          <w:rFonts w:ascii="Calibri" w:hAnsi="Calibri" w:eastAsia="微软雅黑"/>
          <w:b w:val="0"/>
          <w:i w:val="0"/>
          <w:sz w:val="22"/>
        </w:rPr>
        <w:t>：特高压输电线路数字化终勘平台荣获全国质量管理小组活动一等成果，东营辉阳500千伏变电站总承包工程荣获电力建设数字化应用奖，施工现场二次返工率降低80% [来源: P000922]。山东院在数字化项目管理与国际项目管理两个维度均形成了标准化能力，其报告将其与项目策划、设计管理、采购与供应链管理、施工管理与现场控制、风险管理与控制并列为全生命周期精细化管理的组成模块（能力结构描述据源文）[来源: P000922]。</w:t>
      </w:r>
    </w:p>
    <w:p>
      <w:r>
        <w:rPr>
          <w:rFonts w:ascii="Calibri" w:hAnsi="Calibri" w:eastAsia="微软雅黑"/>
          <w:b/>
          <w:i w:val="0"/>
          <w:sz w:val="22"/>
        </w:rPr>
        <w:t>可执行方法：全专业三维正向设计四步流程（本研究归纳）</w:t>
      </w:r>
      <w:r>
        <w:rPr>
          <w:rFonts w:ascii="Calibri" w:hAnsi="Calibri" w:eastAsia="微软雅黑"/>
          <w:b w:val="0"/>
          <w:i w:val="0"/>
          <w:sz w:val="22"/>
        </w:rPr>
        <w:t>——统一协同平台环境（软件版本、坐标系、图层命名与构件库标准）；中心模型挂接与权限分配（各专业在统一中心模型下并行工作，设定修改与审批权限）；碰撞检测（定期运行碰撞检查，排除管线硬碰撞与维修空间不足等软碰撞）；模型一键出图出量（审核无误后自动抽取施工图纸与精细化工程量清单）。</w:t>
      </w:r>
    </w:p>
    <w:p>
      <w:pPr>
        <w:pStyle w:val="Heading3"/>
      </w:pPr>
      <w:r>
        <w:t>10.2.2 仿真模拟与可施工性验证</w:t>
      </w:r>
    </w:p>
    <w:p>
      <w:r>
        <w:rPr>
          <w:rFonts w:ascii="Calibri" w:hAnsi="Calibri" w:eastAsia="微软雅黑"/>
          <w:b w:val="0"/>
          <w:i w:val="0"/>
          <w:sz w:val="22"/>
        </w:rPr>
        <w:t>可施工性验证通过在虚拟空间中模拟施工动态过程，提前识别大型设备吊装、场地布置、管线综合排布等技术难题。其技术底座是"三维基础模型＋进度时间轴（4D）＋成本预算数据库（5D）"的挂接（架构归纳为本研究据源文整理）[来源: P000911]。</w:t>
      </w:r>
    </w:p>
    <w:p>
      <w:pPr>
        <w:pStyle w:val="Heading4"/>
      </w:pPr>
      <w:r>
        <w:t>案例三：中建三局——超高层5D模拟与"空中造楼机" [来源: P000911]</w:t>
      </w:r>
    </w:p>
    <w:p>
      <w:pPr>
        <w:pStyle w:val="ListBullet"/>
      </w:pPr>
      <w:r>
        <w:rPr>
          <w:rFonts w:ascii="Calibri" w:hAnsi="Calibri" w:eastAsia="微软雅黑"/>
          <w:b/>
          <w:i w:val="0"/>
          <w:sz w:val="22"/>
        </w:rPr>
        <w:t>数据（Data）</w:t>
      </w:r>
      <w:r>
        <w:rPr>
          <w:rFonts w:ascii="Calibri" w:hAnsi="Calibri" w:eastAsia="微软雅黑"/>
          <w:b w:val="0"/>
          <w:i w:val="0"/>
          <w:sz w:val="22"/>
        </w:rPr>
        <w:t>：中建三局自主研发超高层建筑智能化施工装备集成平台"空中造楼机"；武汉绿地中心项目原设计636米、调整后475米，总建筑面积73万平方米 [来源: P000911]。</w:t>
      </w:r>
    </w:p>
    <w:p>
      <w:pPr>
        <w:pStyle w:val="ListBullet"/>
      </w:pPr>
      <w:r>
        <w:rPr>
          <w:rFonts w:ascii="Calibri" w:hAnsi="Calibri" w:eastAsia="微软雅黑"/>
          <w:b/>
          <w:i w:val="0"/>
          <w:sz w:val="22"/>
        </w:rPr>
        <w:t>动作（Action）</w:t>
      </w:r>
      <w:r>
        <w:rPr>
          <w:rFonts w:ascii="Calibri" w:hAnsi="Calibri" w:eastAsia="微软雅黑"/>
          <w:b w:val="0"/>
          <w:i w:val="0"/>
          <w:sz w:val="22"/>
        </w:rPr>
        <w:t>：将三维模型与进度（4D）、成本资金流（5D）深度挂接；通过模型模拟复杂钢结构节点安装、"空中造楼机"顶升过程及大型塔吊爬升路径 [来源: P000911]。</w:t>
      </w:r>
    </w:p>
    <w:p>
      <w:pPr>
        <w:pStyle w:val="ListBullet"/>
      </w:pPr>
      <w:r>
        <w:rPr>
          <w:rFonts w:ascii="Calibri" w:hAnsi="Calibri" w:eastAsia="微软雅黑"/>
          <w:b/>
          <w:i w:val="0"/>
          <w:sz w:val="22"/>
        </w:rPr>
        <w:t>结果（Result）</w:t>
      </w:r>
      <w:r>
        <w:rPr>
          <w:rFonts w:ascii="Calibri" w:hAnsi="Calibri" w:eastAsia="微软雅黑"/>
          <w:b w:val="0"/>
          <w:i w:val="0"/>
          <w:sz w:val="22"/>
        </w:rPr>
        <w:t>：解决超高层立体交叉作业的场地冲突与安全隐患，复杂节点安装工效提升25%，实现零重大安全事故施工 [来源: P000911]。</w:t>
      </w:r>
    </w:p>
    <w:p>
      <w:pPr>
        <w:pStyle w:val="Heading4"/>
      </w:pPr>
      <w:r>
        <w:t>案例四：上海市政总院——石洞口CFD仿真与白龙港除臭工程 [来源: P000927]</w:t>
      </w:r>
    </w:p>
    <w:p>
      <w:pPr>
        <w:pStyle w:val="ListBullet"/>
      </w:pPr>
      <w:r>
        <w:rPr>
          <w:rFonts w:ascii="Calibri" w:hAnsi="Calibri" w:eastAsia="微软雅黑"/>
          <w:b/>
          <w:i w:val="0"/>
          <w:sz w:val="22"/>
        </w:rPr>
        <w:t>数据（Data）</w:t>
      </w:r>
      <w:r>
        <w:rPr>
          <w:rFonts w:ascii="Calibri" w:hAnsi="Calibri" w:eastAsia="微软雅黑"/>
          <w:b w:val="0"/>
          <w:i w:val="0"/>
          <w:sz w:val="22"/>
        </w:rPr>
        <w:t>：市政总院承建的白龙港污水处理厂除臭工程为世界最大规模除臭工程；嘉兴市区现状水厂工艺提升改造项目一期工程斩获2023年全球水奖年度最佳市政供水项目 [来源: P000927]。</w:t>
      </w:r>
    </w:p>
    <w:p>
      <w:pPr>
        <w:pStyle w:val="ListBullet"/>
      </w:pPr>
      <w:r>
        <w:rPr>
          <w:rFonts w:ascii="Calibri" w:hAnsi="Calibri" w:eastAsia="微软雅黑"/>
          <w:b/>
          <w:i w:val="0"/>
          <w:sz w:val="22"/>
        </w:rPr>
        <w:t>动作（Action）</w:t>
      </w:r>
      <w:r>
        <w:rPr>
          <w:rFonts w:ascii="Calibri" w:hAnsi="Calibri" w:eastAsia="微软雅黑"/>
          <w:b w:val="0"/>
          <w:i w:val="0"/>
          <w:sz w:val="22"/>
        </w:rPr>
        <w:t>：在石洞口污水处理厂提标改造EPC项目中，利用BIM模型结合流体力学仿真对水流动力形态与加药反应过程进行虚拟模拟；利用4D施工模拟优化地下管线开挖顺序 [来源: P000927]。</w:t>
      </w:r>
    </w:p>
    <w:p>
      <w:pPr>
        <w:pStyle w:val="ListBullet"/>
      </w:pPr>
      <w:r>
        <w:rPr>
          <w:rFonts w:ascii="Calibri" w:hAnsi="Calibri" w:eastAsia="微软雅黑"/>
          <w:b/>
          <w:i w:val="0"/>
          <w:sz w:val="22"/>
        </w:rPr>
        <w:t>结果（Result）</w:t>
      </w:r>
      <w:r>
        <w:rPr>
          <w:rFonts w:ascii="Calibri" w:hAnsi="Calibri" w:eastAsia="微软雅黑"/>
          <w:b w:val="0"/>
          <w:i w:val="0"/>
          <w:sz w:val="22"/>
        </w:rPr>
        <w:t>：成功规避老厂改造中新旧管线碰撞卡点，节省现场施工工期45天，工程质量达标率100% [来源: P000927]。</w:t>
      </w:r>
    </w:p>
    <w:p>
      <w:r>
        <w:rPr>
          <w:rFonts w:ascii="Calibri" w:hAnsi="Calibri" w:eastAsia="微软雅黑"/>
          <w:b/>
          <w:i w:val="0"/>
          <w:sz w:val="22"/>
        </w:rPr>
        <w:t>可执行方法：虚拟施工仿真四步实操法（本研究归纳）</w:t>
      </w:r>
      <w:r>
        <w:rPr>
          <w:rFonts w:ascii="Calibri" w:hAnsi="Calibri" w:eastAsia="微软雅黑"/>
          <w:b w:val="0"/>
          <w:i w:val="0"/>
          <w:sz w:val="22"/>
        </w:rPr>
        <w:t>——构建4D/5D模型（三维几何模型与进度计划及成本结构关联，关联深度决定模拟的置信度）；关键工序动态演练（深基坑、超重设备吊装、复杂机电管线综合等节点逐一推演，"空中造楼机"顶升与塔吊爬升这类一失误即重大事故的工序必须全量模拟）；场地布置与物流优化（塔吊半径、材料堆场与运输主干道的空间冲突校验）；模拟成果交底输出（导出动画或VR交互文件对现场班组直观交底——交底对象是班组长而非管理层，否则模拟成果只是汇报素材）。</w:t>
      </w:r>
    </w:p>
    <w:p>
      <w:pPr>
        <w:pStyle w:val="Heading3"/>
      </w:pPr>
      <w:r>
        <w:t>10.2.3 数字化交付与全生命周期底座</w:t>
      </w:r>
    </w:p>
    <w:p>
      <w:r>
        <w:rPr>
          <w:rFonts w:ascii="Calibri" w:hAnsi="Calibri" w:eastAsia="微软雅黑"/>
          <w:b w:val="0"/>
          <w:i w:val="0"/>
          <w:sz w:val="22"/>
        </w:rPr>
        <w:t>数字化交付是EPC企业延伸服务链条、向业主交付"物理工程＋数字副本"双重资产的关键动作，也是后续智慧运维的基石（定义归纳为本研究据源文整理）。</w:t>
      </w:r>
    </w:p>
    <w:p>
      <w:pPr>
        <w:pStyle w:val="Heading4"/>
      </w:pPr>
      <w:r>
        <w:t>案例五：中国寰球——工厂数字化交付与数字孪生底座 [来源: P000906]</w:t>
      </w:r>
    </w:p>
    <w:p>
      <w:pPr>
        <w:pStyle w:val="ListBullet"/>
      </w:pPr>
      <w:r>
        <w:rPr>
          <w:rFonts w:ascii="Calibri" w:hAnsi="Calibri" w:eastAsia="微软雅黑"/>
          <w:b/>
          <w:i w:val="0"/>
          <w:sz w:val="22"/>
        </w:rPr>
        <w:t>数据（Data）</w:t>
      </w:r>
      <w:r>
        <w:rPr>
          <w:rFonts w:ascii="Calibri" w:hAnsi="Calibri" w:eastAsia="微软雅黑"/>
          <w:b w:val="0"/>
          <w:i w:val="0"/>
          <w:sz w:val="22"/>
        </w:rPr>
        <w:t>：中国寰球在广东石化炼化一体化、陕煤榆林乙二醇等项目中全面推广数字化交付 [来源: P000906]。</w:t>
      </w:r>
    </w:p>
    <w:p>
      <w:pPr>
        <w:pStyle w:val="ListBullet"/>
      </w:pPr>
      <w:r>
        <w:rPr>
          <w:rFonts w:ascii="Calibri" w:hAnsi="Calibri" w:eastAsia="微软雅黑"/>
          <w:b/>
          <w:i w:val="0"/>
          <w:sz w:val="22"/>
        </w:rPr>
        <w:t>动作（Action）</w:t>
      </w:r>
      <w:r>
        <w:rPr>
          <w:rFonts w:ascii="Calibri" w:hAnsi="Calibri" w:eastAsia="微软雅黑"/>
          <w:b w:val="0"/>
          <w:i w:val="0"/>
          <w:sz w:val="22"/>
        </w:rPr>
        <w:t>：建立包含"形、位、属性、关系、行为"富信息的工厂信息模型（PIM）交付体系——为工厂内每一个设备、阀门、管道及仪表赋予唯一二维码/RFID标签，将设计参数、制造厂家、资质合规文件、工厂试验记录及安装检测数据全量挂接至三维模型 [来源: P000906]。</w:t>
      </w:r>
    </w:p>
    <w:p>
      <w:pPr>
        <w:pStyle w:val="ListBullet"/>
      </w:pPr>
      <w:r>
        <w:rPr>
          <w:rFonts w:ascii="Calibri" w:hAnsi="Calibri" w:eastAsia="微软雅黑"/>
          <w:b/>
          <w:i w:val="0"/>
          <w:sz w:val="22"/>
        </w:rPr>
        <w:t>结果（Result）</w:t>
      </w:r>
      <w:r>
        <w:rPr>
          <w:rFonts w:ascii="Calibri" w:hAnsi="Calibri" w:eastAsia="微软雅黑"/>
          <w:b w:val="0"/>
          <w:i w:val="0"/>
          <w:sz w:val="22"/>
        </w:rPr>
        <w:t>：向业主交付与实体工厂完全一致的"数字孪生底座"，业主在投产当天即可无缝接入运营管理与资产管理系统，开启预测性维护 [来源: P000906]。</w:t>
      </w:r>
    </w:p>
    <w:p>
      <w:pPr>
        <w:pStyle w:val="Heading4"/>
      </w:pPr>
      <w:r>
        <w:t>案例六：上海市政总院——SMEDI-OBIM运维平台 [来源: P000927]</w:t>
      </w:r>
    </w:p>
    <w:p>
      <w:pPr>
        <w:pStyle w:val="ListBullet"/>
      </w:pPr>
      <w:r>
        <w:rPr>
          <w:rFonts w:ascii="Calibri" w:hAnsi="Calibri" w:eastAsia="微软雅黑"/>
          <w:b/>
          <w:i w:val="0"/>
          <w:sz w:val="22"/>
        </w:rPr>
        <w:t>数据（Action）</w:t>
      </w:r>
      <w:r>
        <w:rPr>
          <w:rFonts w:ascii="Calibri" w:hAnsi="Calibri" w:eastAsia="微软雅黑"/>
          <w:b w:val="0"/>
          <w:i w:val="0"/>
          <w:sz w:val="22"/>
        </w:rPr>
        <w:t>：自主研发SMEDI-OBIM运维管理系统并在水务与环境领域大规模应用；在数字孪生EPC项目中，把竣工BIM模型、物联网传感器实时数据（压力、流量、水质、结构应力）与运维控制台打通 [来源: P000927]。</w:t>
      </w:r>
    </w:p>
    <w:p>
      <w:pPr>
        <w:pStyle w:val="ListBullet"/>
      </w:pPr>
      <w:r>
        <w:rPr>
          <w:rFonts w:ascii="Calibri" w:hAnsi="Calibri" w:eastAsia="微软雅黑"/>
          <w:b/>
          <w:i w:val="0"/>
          <w:sz w:val="22"/>
        </w:rPr>
        <w:t>结果（Result）</w:t>
      </w:r>
      <w:r>
        <w:rPr>
          <w:rFonts w:ascii="Calibri" w:hAnsi="Calibri" w:eastAsia="微软雅黑"/>
          <w:b w:val="0"/>
          <w:i w:val="0"/>
          <w:sz w:val="22"/>
        </w:rPr>
        <w:t>：实现基础设施资产的全生命周期数字化管理，后期运维故障定位时间缩短70%，设施综合运营成本降低15%以上 [来源: P000927]。</w:t>
      </w:r>
    </w:p>
    <w:p>
      <w:r>
        <w:rPr>
          <w:rFonts w:ascii="Calibri" w:hAnsi="Calibri" w:eastAsia="微软雅黑"/>
          <w:b/>
          <w:i w:val="0"/>
          <w:sz w:val="22"/>
        </w:rPr>
        <w:t>可执行方法：数字化交付三步标准流程（本研究归纳）</w:t>
      </w:r>
      <w:r>
        <w:rPr>
          <w:rFonts w:ascii="Calibri" w:hAnsi="Calibri" w:eastAsia="微软雅黑"/>
          <w:b w:val="0"/>
          <w:i w:val="0"/>
          <w:sz w:val="22"/>
        </w:rPr>
        <w:t>——交付标准预先约定（EPC合同签订阶段与业主共同制定数字化交付深度与数据格式标准——交付深度谈得越细，后续运维服务的衔接成本越低，也越容易衍生收费）；过程数据即时挂接（随进度同步采集物资检验报告、隐蔽工程影像与调试参数，实时挂接至模型节点，避免竣工时突击补录）；数字资产移交与轻量化发布（竣工验收时将富信息模型转换为轻量化网页端与移动端格式，连同数据库一并交付业主运维部门）。寰球的PIM体系（形、位、属性、关系、行为五类富信息）为此提供了颗粒级参照：交付的不是一堆模型文件，而是一座可运营的数字工厂 [来源: P000906]。</w:t>
      </w:r>
    </w:p>
    <w:p>
      <w:r>
        <w:rPr>
          <w:rFonts w:ascii="Calibri" w:hAnsi="Calibri" w:eastAsia="微软雅黑"/>
          <w:b w:val="0"/>
          <w:i w:val="0"/>
          <w:sz w:val="22"/>
        </w:rPr>
        <w:t>---</w:t>
      </w:r>
    </w:p>
    <w:p>
      <w:pPr>
        <w:pStyle w:val="Heading2"/>
      </w:pPr>
      <w:r>
        <w:t>10.3 智慧工地：AI感知、智能物资与履约证据链</w:t>
      </w:r>
    </w:p>
    <w:p>
      <w:r>
        <w:rPr>
          <w:rFonts w:ascii="Calibri" w:hAnsi="Calibri" w:eastAsia="微软雅黑"/>
          <w:b w:val="0"/>
          <w:i w:val="0"/>
          <w:sz w:val="22"/>
        </w:rPr>
        <w:t>在EPC项目的现场施工阶段，传统管理长期面临"人、机、料、法、环"动态要素脱节、质量安全隐患排查滞后以及节点请款凭证缺失等卡点 [来源: P000951]。标杆企业通过AI视觉识别、物联网传感网、智能仓储与数字化履约证据链的深度融合，正在把施工现场重构为高度感知、数据实时倒灌、凭证自动归档的精密控制系统。</w:t>
      </w:r>
    </w:p>
    <w:p>
      <w:r>
        <w:rPr>
          <w:rFonts w:ascii="Calibri" w:hAnsi="Calibri" w:eastAsia="微软雅黑"/>
          <w:b w:val="0"/>
          <w:i w:val="0"/>
          <w:sz w:val="22"/>
        </w:rPr>
        <w:t>政策与监管环境为这一重构提供了制度推力（政策表述据专项研究成果整理）[来源: P000951]：国务院办公厅《关于促进建筑业持续健康发展的意见》（国办发〔2017〕19号）明确提出"加快推行工程总承包"，规定装配式建筑原则上应采用工程总承包模式、政府投资工程带头推行工程总承包；针对长期困扰工程结算的行政审计干预，全国人大法工委《对地方性法规中以审计结果作为政府投资建设项目竣工结算依据有关规定的研究意见》（法工委函〔2017〕2号）及复函（法工备函〔2017〕22号）明确：地方性法规中直接规定"以审计结果作为竣工结算依据"或要求在招标文件、合同中约定以审计结果作为结算依据的条款，限制了民事权利、超越地方立法权限，应当清理纠正。这一政策转向意味着建设工程价款结算全面回归当事人的合同约定与实际履约证据——EPC企业建立智慧工地与数字化台账，正是为工程量确权、价差调整及竣工结算提供不可篡改的"履约证据链"，在法律层面防御行政审计的滥用与不当扣减 [来源: P000951]。社会维度的价值同样明确：智慧工地通过AI人脸识别、劳务实名制考勤及打卡履约系统，厘清现场施工人员的真实雇佣与分包法律关系，防止挂靠人员混淆视听，精细锁定人工费差异系数，并防范违法分包引发的连带清偿风险 [来源: P000951]。</w:t>
      </w:r>
    </w:p>
    <w:p>
      <w:pPr>
        <w:pStyle w:val="Heading3"/>
      </w:pPr>
      <w:r>
        <w:t>10.3.1 总公式：把现场感知锚定到造价因子上</w:t>
      </w:r>
    </w:p>
    <w:p>
      <w:r>
        <w:rPr>
          <w:rFonts w:ascii="Calibri" w:hAnsi="Calibri" w:eastAsia="微软雅黑"/>
          <w:b w:val="0"/>
          <w:i w:val="0"/>
          <w:sz w:val="22"/>
        </w:rPr>
        <w:t>既有数字化专项研究成果给出了贯穿智慧工地的成本管控总公式（公式与因子定义逐字取自专项研究成果）[来源: P000951]：</w:t>
      </w:r>
    </w:p>
    <w:p>
      <w:r>
        <w:rPr>
          <w:rFonts w:ascii="Calibri" w:hAnsi="Calibri" w:eastAsia="微软雅黑"/>
          <w:b/>
          <w:i w:val="0"/>
          <w:sz w:val="22"/>
        </w:rPr>
        <w:t>拟建工程动态成本单价 D＝A×K＋（Q1P1－Q2P2）</w:t>
      </w:r>
      <w:r>
        <w:rPr>
          <w:rFonts w:ascii="Calibri" w:hAnsi="Calibri" w:eastAsia="微软雅黑"/>
          <w:b w:val="0"/>
          <w:i w:val="0"/>
          <w:sz w:val="22"/>
        </w:rPr>
        <w:t>，其中 K＝a%K1＋b%K2＋c%K3＋d%K4。式中A为类似工程成本单价（造价基数）；a%至d%为类似工程预算中人工费、材料费、施工机具使用费、企业管理费占预算成本的比重；K1为人工费差异系数——由智慧工地劳务实名制与打卡履约网实时锁定；K2为材料费差异系数——由物联价格监测网动态更新；K3为机具费差异系数——由现场大型机械设备AI运行监控网实时测算；K4为企业管理费差异系数；Q1、Q2为因结构或设计方案调整而换入、换出结构的工程量——由BIM模型自动化精细抽取；P1、P2为换入、换出结构的综合单价 [来源: P000951]。</w:t>
      </w:r>
    </w:p>
    <w:p>
      <w:r>
        <w:rPr>
          <w:rFonts w:ascii="Calibri" w:hAnsi="Calibri" w:eastAsia="微软雅黑"/>
          <w:b w:val="0"/>
          <w:i w:val="0"/>
          <w:sz w:val="22"/>
        </w:rPr>
        <w:t>公式的双轮驱动逻辑（据专项研究成果）：前半部分A×K代表基于加权差异系数的相对价差调整，后半部分（Q1P1－Q2P2）代表基于结构换入换出量的绝对造价修正——BIM数据流自动提量驱动Q因子，物联网感知价格网实时驱动K因子，二者交织实现对工程成本的精密控制 [来源: P000951]。这一公式把"智慧工地为什么值钱"讲透了：</w:t>
      </w:r>
      <w:r>
        <w:rPr>
          <w:rFonts w:ascii="Calibri" w:hAnsi="Calibri" w:eastAsia="微软雅黑"/>
          <w:b/>
          <w:i w:val="0"/>
          <w:sz w:val="22"/>
        </w:rPr>
        <w:t>现场每一次打卡、每一车称重、每一台机械的运行日志，都是在为结算调价积累可被司法与审计认可的因子证据</w:t>
      </w:r>
      <w:r>
        <w:rPr>
          <w:rFonts w:ascii="Calibri" w:hAnsi="Calibri" w:eastAsia="微软雅黑"/>
          <w:b w:val="0"/>
          <w:i w:val="0"/>
          <w:sz w:val="22"/>
        </w:rPr>
        <w:t>（解读为本研究观点）。</w:t>
      </w:r>
    </w:p>
    <w:p>
      <w:r>
        <w:rPr>
          <w:rFonts w:ascii="Calibri" w:hAnsi="Calibri" w:eastAsia="微软雅黑"/>
          <w:b w:val="0"/>
          <w:i w:val="0"/>
          <w:sz w:val="22"/>
        </w:rPr>
        <w:t>围绕总公式，专项研究成果给出了"设计-采购-施工-结算"四阶段一体化落地路径（路径据专项研究成果整理）[来源: P000951]：</w:t>
      </w:r>
    </w:p>
    <w:p>
      <w:pPr>
        <w:pStyle w:val="Heading4"/>
      </w:pPr>
      <w:r>
        <w:t>表10-1 数字化管控四阶段落地路径（据专项研究成果整理）[来源: P000951]</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阶段</w:t>
            </w:r>
          </w:p>
        </w:tc>
        <w:tc>
          <w:tcPr>
            <w:tcW w:type="dxa" w:w="2767"/>
            <w:shd w:fill="1F3A5F"/>
          </w:tcPr>
          <w:p>
            <w:r>
              <w:rPr>
                <w:color w:val="FFFFFF"/>
              </w:rPr>
            </w:r>
            <w:r>
              <w:rPr>
                <w:rFonts w:ascii="Calibri" w:hAnsi="Calibri" w:eastAsia="微软雅黑"/>
                <w:b/>
                <w:i w:val="0"/>
                <w:color w:val="FFFFFF"/>
                <w:sz w:val="18"/>
              </w:rPr>
              <w:t>核心动作</w:t>
            </w:r>
          </w:p>
        </w:tc>
        <w:tc>
          <w:tcPr>
            <w:tcW w:type="dxa" w:w="2767"/>
            <w:shd w:fill="1F3A5F"/>
          </w:tcPr>
          <w:p>
            <w:r>
              <w:rPr>
                <w:color w:val="FFFFFF"/>
              </w:rPr>
            </w:r>
            <w:r>
              <w:rPr>
                <w:rFonts w:ascii="Calibri" w:hAnsi="Calibri" w:eastAsia="微软雅黑"/>
                <w:b/>
                <w:i w:val="0"/>
                <w:color w:val="FFFFFF"/>
                <w:sz w:val="18"/>
              </w:rPr>
              <w:t>回扣公式因子</w:t>
            </w:r>
          </w:p>
        </w:tc>
      </w:tr>
      <w:tr>
        <w:tc>
          <w:tcPr>
            <w:tcW w:type="dxa" w:w="2767"/>
          </w:tcPr>
          <w:p>
            <w:r/>
            <w:r>
              <w:rPr>
                <w:rFonts w:ascii="Calibri" w:hAnsi="Calibri" w:eastAsia="微软雅黑"/>
                <w:b w:val="0"/>
                <w:i w:val="0"/>
                <w:sz w:val="18"/>
              </w:rPr>
              <w:t>设计阶段（E）</w:t>
            </w:r>
          </w:p>
        </w:tc>
        <w:tc>
          <w:tcPr>
            <w:tcW w:type="dxa" w:w="2767"/>
          </w:tcPr>
          <w:p>
            <w:r/>
            <w:r>
              <w:rPr>
                <w:rFonts w:ascii="Calibri" w:hAnsi="Calibri" w:eastAsia="微软雅黑"/>
                <w:b w:val="0"/>
                <w:i w:val="0"/>
                <w:sz w:val="18"/>
              </w:rPr>
              <w:t>BIM模型直接抽取建筑与安装工程量；结构有局部差异时套用概算指标修正公式调整综合单价或人材机数量；搜集拟建地区与类似工程在人工、材料、机具、管理费上的差异系数加权计算综合调整系数，得出动态成本单价作为标底或最高投标限价编制依据</w:t>
            </w:r>
          </w:p>
        </w:tc>
        <w:tc>
          <w:tcPr>
            <w:tcW w:type="dxa" w:w="2767"/>
          </w:tcPr>
          <w:p>
            <w:r/>
            <w:r>
              <w:rPr>
                <w:rFonts w:ascii="Calibri" w:hAnsi="Calibri" w:eastAsia="微软雅黑"/>
                <w:b w:val="0"/>
                <w:i w:val="0"/>
                <w:sz w:val="18"/>
              </w:rPr>
              <w:t>换入换出量与价差系数双锁定</w:t>
            </w:r>
          </w:p>
        </w:tc>
      </w:tr>
      <w:tr>
        <w:tc>
          <w:tcPr>
            <w:tcW w:type="dxa" w:w="2767"/>
          </w:tcPr>
          <w:p>
            <w:r/>
            <w:r>
              <w:rPr>
                <w:rFonts w:ascii="Calibri" w:hAnsi="Calibri" w:eastAsia="微软雅黑"/>
                <w:b w:val="0"/>
                <w:i w:val="0"/>
                <w:sz w:val="18"/>
              </w:rPr>
              <w:t>采购与物资阶段（P）</w:t>
            </w:r>
          </w:p>
        </w:tc>
        <w:tc>
          <w:tcPr>
            <w:tcW w:type="dxa" w:w="2767"/>
          </w:tcPr>
          <w:p>
            <w:r/>
            <w:r>
              <w:rPr>
                <w:rFonts w:ascii="Calibri" w:hAnsi="Calibri" w:eastAsia="微软雅黑"/>
                <w:b w:val="0"/>
                <w:i w:val="0"/>
                <w:sz w:val="18"/>
              </w:rPr>
              <w:t>部署无人超市式智能焊材库（扫码领用＋模型比对）；对接设备及工器具购置费概算，按设备原价及运杂费率跟踪材料从出厂、运输到入库全过程；通过精细化领用降低年费用基数，把铺底流动资金严格控制在全部流动资金的30%比例之内</w:t>
            </w:r>
          </w:p>
        </w:tc>
        <w:tc>
          <w:tcPr>
            <w:tcW w:type="dxa" w:w="2767"/>
          </w:tcPr>
          <w:p>
            <w:r/>
            <w:r>
              <w:rPr>
                <w:rFonts w:ascii="Calibri" w:hAnsi="Calibri" w:eastAsia="微软雅黑"/>
                <w:b w:val="0"/>
                <w:i w:val="0"/>
                <w:sz w:val="18"/>
              </w:rPr>
              <w:t>控减材料损耗与流动资金占用</w:t>
            </w:r>
          </w:p>
        </w:tc>
      </w:tr>
      <w:tr>
        <w:tc>
          <w:tcPr>
            <w:tcW w:type="dxa" w:w="2767"/>
          </w:tcPr>
          <w:p>
            <w:r/>
            <w:r>
              <w:rPr>
                <w:rFonts w:ascii="Calibri" w:hAnsi="Calibri" w:eastAsia="微软雅黑"/>
                <w:b w:val="0"/>
                <w:i w:val="0"/>
                <w:sz w:val="18"/>
              </w:rPr>
              <w:t>施工阶段（C）</w:t>
            </w:r>
          </w:p>
        </w:tc>
        <w:tc>
          <w:tcPr>
            <w:tcW w:type="dxa" w:w="2767"/>
          </w:tcPr>
          <w:p>
            <w:r/>
            <w:r>
              <w:rPr>
                <w:rFonts w:ascii="Calibri" w:hAnsi="Calibri" w:eastAsia="微软雅黑"/>
                <w:b w:val="0"/>
                <w:i w:val="0"/>
                <w:sz w:val="18"/>
              </w:rPr>
              <w:t>AI摄像头对关键里程碑节点（主厂房基础出零米、第一榀锅炉钢架开吊、主厂房土建结构封顶、锅炉水压试验完成、汽轮机扣缸结束、72小时试运转等）进行视觉进度识别；劳务实名制打卡网与机械传感器网实时锁定人工费与机具费差异系数；将AI识别记录与工厂试验标准、试验记录及质量控制计划自动关联，生成符合合同约定形式的五类请款凭证包</w:t>
            </w:r>
          </w:p>
        </w:tc>
        <w:tc>
          <w:tcPr>
            <w:tcW w:type="dxa" w:w="2767"/>
          </w:tcPr>
          <w:p>
            <w:r/>
            <w:r>
              <w:rPr>
                <w:rFonts w:ascii="Calibri" w:hAnsi="Calibri" w:eastAsia="微软雅黑"/>
                <w:b w:val="0"/>
                <w:i w:val="0"/>
                <w:sz w:val="18"/>
              </w:rPr>
              <w:t>人工费、机具费系数实时打卡</w:t>
            </w:r>
          </w:p>
        </w:tc>
      </w:tr>
      <w:tr>
        <w:tc>
          <w:tcPr>
            <w:tcW w:type="dxa" w:w="2767"/>
          </w:tcPr>
          <w:p>
            <w:r/>
            <w:r>
              <w:rPr>
                <w:rFonts w:ascii="Calibri" w:hAnsi="Calibri" w:eastAsia="微软雅黑"/>
                <w:b w:val="0"/>
                <w:i w:val="0"/>
                <w:sz w:val="18"/>
              </w:rPr>
              <w:t>结算与争议防范阶段（S）</w:t>
            </w:r>
          </w:p>
        </w:tc>
        <w:tc>
          <w:tcPr>
            <w:tcW w:type="dxa" w:w="2767"/>
          </w:tcPr>
          <w:p>
            <w:r/>
            <w:r>
              <w:rPr>
                <w:rFonts w:ascii="Calibri" w:hAnsi="Calibri" w:eastAsia="微软雅黑"/>
                <w:b w:val="0"/>
                <w:i w:val="0"/>
                <w:sz w:val="18"/>
              </w:rPr>
              <w:t>智能盘点现场资产并自动生成数字化资产清册；依据最高法院裁判规则界定主合同解除对分包合同的同步解除效应；以时间戳固化电子证据链，主张工程价款优先受偿权与物权隔离</w:t>
            </w:r>
          </w:p>
        </w:tc>
        <w:tc>
          <w:tcPr>
            <w:tcW w:type="dxa" w:w="2767"/>
          </w:tcPr>
          <w:p>
            <w:r/>
            <w:r>
              <w:rPr>
                <w:rFonts w:ascii="Calibri" w:hAnsi="Calibri" w:eastAsia="微软雅黑"/>
                <w:b w:val="0"/>
                <w:i w:val="0"/>
                <w:sz w:val="18"/>
              </w:rPr>
              <w:t>证据链固化与物权保护</w:t>
            </w:r>
          </w:p>
        </w:tc>
      </w:tr>
    </w:tbl>
    <w:p>
      <w:r>
        <w:rPr>
          <w:rFonts w:ascii="Calibri" w:hAnsi="Calibri" w:eastAsia="微软雅黑"/>
          <w:b w:val="0"/>
          <w:i w:val="0"/>
          <w:sz w:val="22"/>
        </w:rPr>
        <w:t>四阶段路径的管理含义（本研究解读）：数字化不是一次性平台采购，而是随项目周期滚动展开的四幕剧——设计幕算得准、采购幕看得住、施工幕记得全、结算幕拿得回；多数企业的失败在于只投资了第一幕的模型和第三幕的摄像头，却没打通第二幕的物资与第四幕的凭证。阶段之间的交接标准也应写入制度（本研究建议）：设计幕向采购幕交接的是"模型工程量与料单一致性"，采购幕向施工幕交接的是"到货数据与模型比对记录"，施工幕向结算幕交接的是"节点凭证包完备率"——三个交接标准齐备，四幕才真正连成一台戏。</w:t>
      </w:r>
    </w:p>
    <w:p>
      <w:pPr>
        <w:pStyle w:val="Heading3"/>
      </w:pPr>
      <w:r>
        <w:t>10.3.2 AI感知网络与全要素实时监控</w:t>
      </w:r>
    </w:p>
    <w:p>
      <w:pPr>
        <w:pStyle w:val="Heading4"/>
      </w:pPr>
      <w:r>
        <w:t>案例一：中国寰球——石化EPC现场AI感知 [来源: P000906]</w:t>
      </w:r>
    </w:p>
    <w:p>
      <w:pPr>
        <w:pStyle w:val="ListBullet"/>
      </w:pPr>
      <w:r>
        <w:rPr>
          <w:rFonts w:ascii="Calibri" w:hAnsi="Calibri" w:eastAsia="微软雅黑"/>
          <w:b/>
          <w:i w:val="0"/>
          <w:sz w:val="22"/>
        </w:rPr>
        <w:t>数据（Data）</w:t>
      </w:r>
      <w:r>
        <w:rPr>
          <w:rFonts w:ascii="Calibri" w:hAnsi="Calibri" w:eastAsia="微软雅黑"/>
          <w:b w:val="0"/>
          <w:i w:val="0"/>
          <w:sz w:val="22"/>
        </w:rPr>
        <w:t>：中国寰球的应用实践表明，智慧工地技术的深度融合可将现场安全事故率降低20%以上、提高劳动生产率10%-20%；结合精益建造方法，可使项目工期缩短10%-30%、施工成本降低5%-15% [来源: P000906]。</w:t>
      </w:r>
    </w:p>
    <w:p>
      <w:pPr>
        <w:pStyle w:val="ListBullet"/>
      </w:pPr>
      <w:r>
        <w:rPr>
          <w:rFonts w:ascii="Calibri" w:hAnsi="Calibri" w:eastAsia="微软雅黑"/>
          <w:b/>
          <w:i w:val="0"/>
          <w:sz w:val="22"/>
        </w:rPr>
        <w:t>动作（Action）</w:t>
      </w:r>
      <w:r>
        <w:rPr>
          <w:rFonts w:ascii="Calibri" w:hAnsi="Calibri" w:eastAsia="微软雅黑"/>
          <w:b w:val="0"/>
          <w:i w:val="0"/>
          <w:sz w:val="22"/>
        </w:rPr>
        <w:t>：在大型石化EPC项目中构建基于"BIM＋物联网＋AI"的智慧工地管理平台——集成智能安全帽定位、AI危险源识别、电子围栏及无人机巡检；对现场人员考勤与违规行为（未戴安全帽、违规进入高危区）秒级抓拍预警；对大型施工机械实施状态监控、油耗分析与防碰撞管理；对进场材料实施二维码与RFID全流程追溯 [来源: P000906]。</w:t>
      </w:r>
    </w:p>
    <w:p>
      <w:pPr>
        <w:pStyle w:val="ListBullet"/>
      </w:pPr>
      <w:r>
        <w:rPr>
          <w:rFonts w:ascii="Calibri" w:hAnsi="Calibri" w:eastAsia="微软雅黑"/>
          <w:b/>
          <w:i w:val="0"/>
          <w:sz w:val="22"/>
        </w:rPr>
        <w:t>结果（Result）</w:t>
      </w:r>
      <w:r>
        <w:rPr>
          <w:rFonts w:ascii="Calibri" w:hAnsi="Calibri" w:eastAsia="微软雅黑"/>
          <w:b w:val="0"/>
          <w:i w:val="0"/>
          <w:sz w:val="22"/>
        </w:rPr>
        <w:t>：打破传统石化现场人海战术监管的盲区，消除高危环境下的安全死角，实现工程质量与安全隐患的实时销号治理 [来源: P000906]。</w:t>
      </w:r>
    </w:p>
    <w:p>
      <w:pPr>
        <w:pStyle w:val="Heading4"/>
      </w:pPr>
      <w:r>
        <w:t>案例二：中建三局——超高层与复杂工程AI预警 [来源: P000911]</w:t>
      </w:r>
    </w:p>
    <w:p>
      <w:pPr>
        <w:pStyle w:val="ListBullet"/>
      </w:pPr>
      <w:r>
        <w:rPr>
          <w:rFonts w:ascii="Calibri" w:hAnsi="Calibri" w:eastAsia="微软雅黑"/>
          <w:b/>
          <w:i w:val="0"/>
          <w:sz w:val="22"/>
        </w:rPr>
        <w:t>动作（Action）</w:t>
      </w:r>
      <w:r>
        <w:rPr>
          <w:rFonts w:ascii="Calibri" w:hAnsi="Calibri" w:eastAsia="微软雅黑"/>
          <w:b w:val="0"/>
          <w:i w:val="0"/>
          <w:sz w:val="22"/>
        </w:rPr>
        <w:t>：部署人脸/指纹识别智能门禁、集成定位与体征监测的智能安全帽、智能照明与能源管理网络；智能AI摄像头实现现场视频全覆盖监控与人员异常行为自动识别；物联网感知数据实时倒灌智慧工地管理平台，对塔吊运行与深基坑变形动态预警 [来源: P000911]。</w:t>
      </w:r>
    </w:p>
    <w:p>
      <w:pPr>
        <w:pStyle w:val="ListBullet"/>
      </w:pPr>
      <w:r>
        <w:rPr>
          <w:rFonts w:ascii="Calibri" w:hAnsi="Calibri" w:eastAsia="微软雅黑"/>
          <w:b/>
          <w:i w:val="0"/>
          <w:sz w:val="22"/>
        </w:rPr>
        <w:t>结果（Result）</w:t>
      </w:r>
      <w:r>
        <w:rPr>
          <w:rFonts w:ascii="Calibri" w:hAnsi="Calibri" w:eastAsia="微软雅黑"/>
          <w:b w:val="0"/>
          <w:i w:val="0"/>
          <w:sz w:val="22"/>
        </w:rPr>
        <w:t>：复杂作业环境下的风险防范能力提升，现场管理的人力巡查成本与违章操作率大幅下降（结果表述为本研究据源文归纳）[来源: P000911]。</w:t>
      </w:r>
    </w:p>
    <w:p>
      <w:r>
        <w:rPr>
          <w:rFonts w:ascii="Calibri" w:hAnsi="Calibri" w:eastAsia="微软雅黑"/>
          <w:b/>
          <w:i w:val="0"/>
          <w:sz w:val="22"/>
        </w:rPr>
        <w:t>可执行方法：AI感知网络搭设四步法（本研究归纳，示意性复盘）</w:t>
      </w:r>
      <w:r>
        <w:rPr>
          <w:rFonts w:ascii="Calibri" w:hAnsi="Calibri" w:eastAsia="微软雅黑"/>
          <w:b w:val="0"/>
          <w:i w:val="0"/>
          <w:sz w:val="22"/>
        </w:rPr>
        <w:t>——物联网终端与网络铺设（出入口人脸闸机、智能安全帽、关键设备与高危区域传感器，网络覆盖应先于终端部署规划）；AI视觉算法接入（视频流接入边缘计算或云端引擎，加载未戴安全帽、未系安全带、明火烟雾及区域入侵识别模型，算法库宜按风险等级分批上线）；数据看板与移动推送（集成"人机料法环"动态指标的云看板，预警信息准实时推送项目经理与安全员——推送对象越靠近现场，销号越快）；风险整改销项（"预警触发-派单整改-拍照上传-系统销号"标准化流程，销号率纳入安全考核）[来源: P000906, P000911]。</w:t>
      </w:r>
    </w:p>
    <w:p>
      <w:pPr>
        <w:pStyle w:val="Heading3"/>
      </w:pPr>
      <w:r>
        <w:t>10.3.3 无人超市式智能焊材库与物资防偷防漏</w:t>
      </w:r>
    </w:p>
    <w:p>
      <w:r>
        <w:rPr>
          <w:rFonts w:ascii="Calibri" w:hAnsi="Calibri" w:eastAsia="微软雅黑"/>
          <w:b w:val="0"/>
          <w:i w:val="0"/>
          <w:sz w:val="22"/>
        </w:rPr>
        <w:t>在化工、核电、电力等工业EPC项目中，管道与设备焊接质量直接决定工程安危，而焊材的领用防错、烘烤温控与防偷防漏一直是现场管理的硬伤（痛点归纳据专项研究成果）[来源: P000951]。</w:t>
      </w:r>
    </w:p>
    <w:p>
      <w:pPr>
        <w:pStyle w:val="Heading4"/>
      </w:pPr>
      <w:r>
        <w:t>案例三：中石化南京工程——无人超市式智能焊材库 [来源: P000951]</w:t>
      </w:r>
    </w:p>
    <w:p>
      <w:pPr>
        <w:pStyle w:val="ListBullet"/>
      </w:pPr>
      <w:r>
        <w:rPr>
          <w:rFonts w:ascii="Calibri" w:hAnsi="Calibri" w:eastAsia="微软雅黑"/>
          <w:b/>
          <w:i w:val="0"/>
          <w:sz w:val="22"/>
        </w:rPr>
        <w:t>痛点（Data）</w:t>
      </w:r>
      <w:r>
        <w:rPr>
          <w:rFonts w:ascii="Calibri" w:hAnsi="Calibri" w:eastAsia="微软雅黑"/>
          <w:b w:val="0"/>
          <w:i w:val="0"/>
          <w:sz w:val="22"/>
        </w:rPr>
        <w:t>：工业EPC项目焊材领用无序、烘烤记录易篡改、现场材料损耗大；传统粗放领料依靠人工纸质签单，材料损耗超标将直接增加铺底流动资金占用（铺底流动资金通常占总流动资金的30%）[来源: P000951]。</w:t>
      </w:r>
    </w:p>
    <w:p>
      <w:pPr>
        <w:pStyle w:val="ListBullet"/>
      </w:pPr>
      <w:r>
        <w:rPr>
          <w:rFonts w:ascii="Calibri" w:hAnsi="Calibri" w:eastAsia="微软雅黑"/>
          <w:b/>
          <w:i w:val="0"/>
          <w:sz w:val="22"/>
        </w:rPr>
        <w:t>动作（Action）</w:t>
      </w:r>
      <w:r>
        <w:rPr>
          <w:rFonts w:ascii="Calibri" w:hAnsi="Calibri" w:eastAsia="微软雅黑"/>
          <w:b w:val="0"/>
          <w:i w:val="0"/>
          <w:sz w:val="22"/>
        </w:rPr>
        <w:t>：建立"无人超市式智能焊材库"系统——将BIM模型中的焊缝精细化料单与智能物资库房连通；焊工通过刷脸或扫描工牌鉴权，系统自动核验其焊接资质与对应工序领料权限；智能烘烤箱自动控制并记录焊材烘烤温度与时长，领用全程无人工干预，数据实时同步至成本系统与BIM台账 [来源: P000951]。</w:t>
      </w:r>
    </w:p>
    <w:p>
      <w:pPr>
        <w:pStyle w:val="ListBullet"/>
      </w:pPr>
      <w:r>
        <w:rPr>
          <w:rFonts w:ascii="Calibri" w:hAnsi="Calibri" w:eastAsia="微软雅黑"/>
          <w:b/>
          <w:i w:val="0"/>
          <w:sz w:val="22"/>
        </w:rPr>
        <w:t>结果（Result）</w:t>
      </w:r>
      <w:r>
        <w:rPr>
          <w:rFonts w:ascii="Calibri" w:hAnsi="Calibri" w:eastAsia="微软雅黑"/>
          <w:b w:val="0"/>
          <w:i w:val="0"/>
          <w:sz w:val="22"/>
        </w:rPr>
        <w:t>：杜绝人情领料、错用焊材及盗漏风险，材料废损率降低80%以上，焊缝一次合格率大幅提升，形成防抗辩的领料数字证据 [来源: P000951]。</w:t>
      </w:r>
    </w:p>
    <w:p>
      <w:pPr>
        <w:pStyle w:val="Heading4"/>
      </w:pPr>
      <w:r>
        <w:t>案例四：山东路桥——智慧供应链与现场物资精细管控 [来源: P000934]</w:t>
      </w:r>
    </w:p>
    <w:p>
      <w:pPr>
        <w:pStyle w:val="ListBullet"/>
      </w:pPr>
      <w:r>
        <w:rPr>
          <w:rFonts w:ascii="Calibri" w:hAnsi="Calibri" w:eastAsia="微软雅黑"/>
          <w:b/>
          <w:i w:val="0"/>
          <w:sz w:val="22"/>
        </w:rPr>
        <w:t>数据（Data）</w:t>
      </w:r>
      <w:r>
        <w:rPr>
          <w:rFonts w:ascii="Calibri" w:hAnsi="Calibri" w:eastAsia="微软雅黑"/>
          <w:b w:val="0"/>
          <w:i w:val="0"/>
          <w:sz w:val="22"/>
        </w:rPr>
        <w:t>：山东路桥依托在建765个项目，自主研发覆盖物资、劳务、设备的智慧供应链项目管控系统；推行两个"1%工程"，对5亿元以上公路项目开展责任成本复核 [来源: P000934]。</w:t>
      </w:r>
    </w:p>
    <w:p>
      <w:pPr>
        <w:pStyle w:val="ListBullet"/>
      </w:pPr>
      <w:r>
        <w:rPr>
          <w:rFonts w:ascii="Calibri" w:hAnsi="Calibri" w:eastAsia="微软雅黑"/>
          <w:b/>
          <w:i w:val="0"/>
          <w:sz w:val="22"/>
        </w:rPr>
        <w:t>动作（Action）</w:t>
      </w:r>
      <w:r>
        <w:rPr>
          <w:rFonts w:ascii="Calibri" w:hAnsi="Calibri" w:eastAsia="微软雅黑"/>
          <w:b w:val="0"/>
          <w:i w:val="0"/>
          <w:sz w:val="22"/>
        </w:rPr>
        <w:t>：实现"工、料、机、财、安"全要素覆盖——智慧供应链平台对材料进场、称重、领用与库存实施全周期动态监控，精细控制主材损耗；在泰新项目、济潍高速等重大工程中，通过集约采购与标准化测量数据实时核算责任成本偏差 [来源: P000934]。</w:t>
      </w:r>
    </w:p>
    <w:p>
      <w:pPr>
        <w:pStyle w:val="ListBullet"/>
      </w:pPr>
      <w:r>
        <w:rPr>
          <w:rFonts w:ascii="Calibri" w:hAnsi="Calibri" w:eastAsia="微软雅黑"/>
          <w:b/>
          <w:i w:val="0"/>
          <w:sz w:val="22"/>
        </w:rPr>
        <w:t>结果（Result）</w:t>
      </w:r>
      <w:r>
        <w:rPr>
          <w:rFonts w:ascii="Calibri" w:hAnsi="Calibri" w:eastAsia="微软雅黑"/>
          <w:b w:val="0"/>
          <w:i w:val="0"/>
          <w:sz w:val="22"/>
        </w:rPr>
        <w:t>：物料损耗与集约采购成本双降，项目精细化盈利水平与全链条成本管控能力提升，为千亿级营收提供利润保障 [来源: P000934]。</w:t>
      </w:r>
    </w:p>
    <w:p>
      <w:r>
        <w:rPr>
          <w:rFonts w:ascii="Calibri" w:hAnsi="Calibri" w:eastAsia="微软雅黑"/>
          <w:b/>
          <w:i w:val="0"/>
          <w:sz w:val="22"/>
        </w:rPr>
        <w:t>可执行方法：智能物资管控四步（本研究归纳据专项研究成果）</w:t>
      </w:r>
      <w:r>
        <w:rPr>
          <w:rFonts w:ascii="Calibri" w:hAnsi="Calibri" w:eastAsia="微软雅黑"/>
          <w:b w:val="0"/>
          <w:i w:val="0"/>
          <w:sz w:val="22"/>
        </w:rPr>
        <w:t>——BIM料单一键提取（按焊缝与构件节点自动生成材料需求清单及领用限额）；实名身份与资质鉴权（领料刷脸比对特种作业资质与工序匹配度，无资质或超额自动锁库）；温控烘烤自动化记录（传感器自动执行烘烤曲线并记录温湿度日志）；成本与台账实时对账（出库数据自动倒灌成本系统并与理论消耗量对比，超阈值向项目经理预警）[来源: P000951]。</w:t>
      </w:r>
    </w:p>
    <w:p>
      <w:pPr>
        <w:pStyle w:val="Heading3"/>
      </w:pPr>
      <w:r>
        <w:t>10.3.4 履约证据链自动化：请款凭证归档与防抗辩</w:t>
      </w:r>
    </w:p>
    <w:p>
      <w:r>
        <w:rPr>
          <w:rFonts w:ascii="Calibri" w:hAnsi="Calibri" w:eastAsia="微软雅黑"/>
          <w:b w:val="0"/>
          <w:i w:val="0"/>
          <w:sz w:val="22"/>
        </w:rPr>
        <w:t>在EPC履约中，发包方常以施工凭证不全、工程量确权争议或劳务纠纷为由拖延结算支付。把现场感知数据提炼为司法与审计认可的"履约证据链"，是保障总包方现金流安全的关键（判断据专项研究成果）[来源: P000951]。</w:t>
      </w:r>
    </w:p>
    <w:p>
      <w:r>
        <w:rPr>
          <w:rFonts w:ascii="Calibri" w:hAnsi="Calibri" w:eastAsia="微软雅黑"/>
          <w:b/>
          <w:i w:val="0"/>
          <w:sz w:val="22"/>
        </w:rPr>
        <w:t>法理与实务锚点（据专项研究成果整理）</w:t>
      </w:r>
      <w:r>
        <w:rPr>
          <w:rFonts w:ascii="Calibri" w:hAnsi="Calibri" w:eastAsia="微软雅黑"/>
          <w:b w:val="0"/>
          <w:i w:val="0"/>
          <w:sz w:val="22"/>
        </w:rPr>
        <w:t>：发包方签署《进度款支付证明》的前提，是总包方完整提交包括进度报表、质量检验合格证、隐蔽工程记录、材料进场凭证及劳务实名制考勤支付等五类关键请款材料 [来源: P000951]。在(2016)最高法民终695号案（陕西达华电力与陇川鸿宇安EPC节点付款争议案）中，总包方因未按合同约定归集设备与材料工厂试验标准、试验记录及质量控制计划等过程技术文件，发包方行使先履行抗辩权拒付节点工程款获得最高人民法院支持——数字化台账的价值正在于让这类"该交的凭证"从第一天起就自动归档、不可篡改 [来源: P000951]。同时须清醒认识其效力边界：数字化台账不能替代独立的合同约定——若合同明确约定"以行政审计结论作为竣工结算唯一依据"且系当事人真实意思表示，行政审计结论仍可能作为结算依据，数字化凭证仅能作为审计调整的证据支持；在境外工程及独立保函场景下，若受益人提交的单据表面相符，独立保函的独立性原则优先适用，数字化履约凭证仅在符合独立保函司法解释规定的法定欺诈情形下方可用于止付审查 [来源: P000951]。</w:t>
      </w:r>
    </w:p>
    <w:p>
      <w:r>
        <w:rPr>
          <w:rFonts w:ascii="Calibri" w:hAnsi="Calibri" w:eastAsia="微软雅黑"/>
          <w:b w:val="0"/>
          <w:i w:val="0"/>
          <w:sz w:val="22"/>
        </w:rPr>
        <w:t>传统粗放管理与现代数字化智慧工地之间的绩效差距，可由专项研究成果的对标表直观呈现（对标值为专项研究成果整理口径，其中右侧数值为机制设计目标，非统计数据，示意性复盘）[来源: P000951]：</w:t>
      </w:r>
    </w:p>
    <w:p>
      <w:pPr>
        <w:pStyle w:val="Heading4"/>
      </w:pPr>
      <w:r>
        <w:t>表10-2 传统粗放工地与数字化智慧工地对标（据专项研究成果整理）[来源: P000951]</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对标维度</w:t>
            </w:r>
          </w:p>
        </w:tc>
        <w:tc>
          <w:tcPr>
            <w:tcW w:type="dxa" w:w="2075"/>
            <w:shd w:fill="1F3A5F"/>
          </w:tcPr>
          <w:p>
            <w:r>
              <w:rPr>
                <w:color w:val="FFFFFF"/>
              </w:rPr>
            </w:r>
            <w:r>
              <w:rPr>
                <w:rFonts w:ascii="Calibri" w:hAnsi="Calibri" w:eastAsia="微软雅黑"/>
                <w:b/>
                <w:i w:val="0"/>
                <w:color w:val="FFFFFF"/>
                <w:sz w:val="18"/>
              </w:rPr>
              <w:t>传统施工现场</w:t>
            </w:r>
          </w:p>
        </w:tc>
        <w:tc>
          <w:tcPr>
            <w:tcW w:type="dxa" w:w="2075"/>
            <w:shd w:fill="1F3A5F"/>
          </w:tcPr>
          <w:p>
            <w:r>
              <w:rPr>
                <w:color w:val="FFFFFF"/>
              </w:rPr>
            </w:r>
            <w:r>
              <w:rPr>
                <w:rFonts w:ascii="Calibri" w:hAnsi="Calibri" w:eastAsia="微软雅黑"/>
                <w:b/>
                <w:i w:val="0"/>
                <w:color w:val="FFFFFF"/>
                <w:sz w:val="18"/>
              </w:rPr>
              <w:t>数字化智慧工地</w:t>
            </w:r>
          </w:p>
        </w:tc>
        <w:tc>
          <w:tcPr>
            <w:tcW w:type="dxa" w:w="2075"/>
            <w:shd w:fill="1F3A5F"/>
          </w:tcPr>
          <w:p>
            <w:r>
              <w:rPr>
                <w:color w:val="FFFFFF"/>
              </w:rPr>
            </w:r>
            <w:r>
              <w:rPr>
                <w:rFonts w:ascii="Calibri" w:hAnsi="Calibri" w:eastAsia="微软雅黑"/>
                <w:b/>
                <w:i w:val="0"/>
                <w:color w:val="FFFFFF"/>
                <w:sz w:val="18"/>
              </w:rPr>
              <w:t>改善幅度（机制设计目标）</w:t>
            </w:r>
          </w:p>
        </w:tc>
      </w:tr>
      <w:tr>
        <w:tc>
          <w:tcPr>
            <w:tcW w:type="dxa" w:w="2075"/>
          </w:tcPr>
          <w:p>
            <w:r/>
            <w:r>
              <w:rPr>
                <w:rFonts w:ascii="Calibri" w:hAnsi="Calibri" w:eastAsia="微软雅黑"/>
                <w:b w:val="0"/>
                <w:i w:val="0"/>
                <w:sz w:val="18"/>
              </w:rPr>
              <w:t>物资消耗损耗</w:t>
            </w:r>
          </w:p>
        </w:tc>
        <w:tc>
          <w:tcPr>
            <w:tcW w:type="dxa" w:w="2075"/>
          </w:tcPr>
          <w:p>
            <w:r/>
            <w:r>
              <w:rPr>
                <w:rFonts w:ascii="Calibri" w:hAnsi="Calibri" w:eastAsia="微软雅黑"/>
                <w:b w:val="0"/>
                <w:i w:val="0"/>
                <w:sz w:val="18"/>
              </w:rPr>
              <w:t>焊材、管材粗放领用，现场损耗率在百分之八到百分之十五</w:t>
            </w:r>
          </w:p>
        </w:tc>
        <w:tc>
          <w:tcPr>
            <w:tcW w:type="dxa" w:w="2075"/>
          </w:tcPr>
          <w:p>
            <w:r/>
            <w:r>
              <w:rPr>
                <w:rFonts w:ascii="Calibri" w:hAnsi="Calibri" w:eastAsia="微软雅黑"/>
                <w:b w:val="0"/>
                <w:i w:val="0"/>
                <w:sz w:val="18"/>
              </w:rPr>
              <w:t>智能焊材库扫码领用、余料回存，损耗率控制在1.5%以内</w:t>
            </w:r>
          </w:p>
        </w:tc>
        <w:tc>
          <w:tcPr>
            <w:tcW w:type="dxa" w:w="2075"/>
          </w:tcPr>
          <w:p>
            <w:r/>
            <w:r>
              <w:rPr>
                <w:rFonts w:ascii="Calibri" w:hAnsi="Calibri" w:eastAsia="微软雅黑"/>
                <w:b w:val="0"/>
                <w:i w:val="0"/>
                <w:sz w:val="18"/>
              </w:rPr>
              <w:t>物资损耗降低80%以上，同步优化材料调价因子</w:t>
            </w:r>
          </w:p>
        </w:tc>
      </w:tr>
      <w:tr>
        <w:tc>
          <w:tcPr>
            <w:tcW w:type="dxa" w:w="2075"/>
          </w:tcPr>
          <w:p>
            <w:r/>
            <w:r>
              <w:rPr>
                <w:rFonts w:ascii="Calibri" w:hAnsi="Calibri" w:eastAsia="微软雅黑"/>
                <w:b w:val="0"/>
                <w:i w:val="0"/>
                <w:sz w:val="18"/>
              </w:rPr>
              <w:t>节点请款通过率</w:t>
            </w:r>
          </w:p>
        </w:tc>
        <w:tc>
          <w:tcPr>
            <w:tcW w:type="dxa" w:w="2075"/>
          </w:tcPr>
          <w:p>
            <w:r/>
            <w:r>
              <w:rPr>
                <w:rFonts w:ascii="Calibri" w:hAnsi="Calibri" w:eastAsia="微软雅黑"/>
                <w:b w:val="0"/>
                <w:i w:val="0"/>
                <w:sz w:val="18"/>
              </w:rPr>
              <w:t>因缺少技术文件被发包方拒付，请款通过率不足60%</w:t>
            </w:r>
          </w:p>
        </w:tc>
        <w:tc>
          <w:tcPr>
            <w:tcW w:type="dxa" w:w="2075"/>
          </w:tcPr>
          <w:p>
            <w:r/>
            <w:r>
              <w:rPr>
                <w:rFonts w:ascii="Calibri" w:hAnsi="Calibri" w:eastAsia="微软雅黑"/>
                <w:b w:val="0"/>
                <w:i w:val="0"/>
                <w:sz w:val="18"/>
              </w:rPr>
              <w:t>自动打包归档五类技术请款文件，通过率100%</w:t>
            </w:r>
          </w:p>
        </w:tc>
        <w:tc>
          <w:tcPr>
            <w:tcW w:type="dxa" w:w="2075"/>
          </w:tcPr>
          <w:p>
            <w:r/>
            <w:r>
              <w:rPr>
                <w:rFonts w:ascii="Calibri" w:hAnsi="Calibri" w:eastAsia="微软雅黑"/>
                <w:b w:val="0"/>
                <w:i w:val="0"/>
                <w:sz w:val="18"/>
              </w:rPr>
              <w:t>回款周期缩短50%以上，杜绝先履行抗辩拒付</w:t>
            </w:r>
          </w:p>
        </w:tc>
      </w:tr>
      <w:tr>
        <w:tc>
          <w:tcPr>
            <w:tcW w:type="dxa" w:w="2075"/>
          </w:tcPr>
          <w:p>
            <w:r/>
            <w:r>
              <w:rPr>
                <w:rFonts w:ascii="Calibri" w:hAnsi="Calibri" w:eastAsia="微软雅黑"/>
                <w:b w:val="0"/>
                <w:i w:val="0"/>
                <w:sz w:val="18"/>
              </w:rPr>
              <w:t>解约撤场争议周期</w:t>
            </w:r>
          </w:p>
        </w:tc>
        <w:tc>
          <w:tcPr>
            <w:tcW w:type="dxa" w:w="2075"/>
          </w:tcPr>
          <w:p>
            <w:r/>
            <w:r>
              <w:rPr>
                <w:rFonts w:ascii="Calibri" w:hAnsi="Calibri" w:eastAsia="微软雅黑"/>
                <w:b w:val="0"/>
                <w:i w:val="0"/>
                <w:sz w:val="18"/>
              </w:rPr>
              <w:t>现场物权不清、分包占场，争议诉讼周期长达五到十年</w:t>
            </w:r>
          </w:p>
        </w:tc>
        <w:tc>
          <w:tcPr>
            <w:tcW w:type="dxa" w:w="2075"/>
          </w:tcPr>
          <w:p>
            <w:r/>
            <w:r>
              <w:rPr>
                <w:rFonts w:ascii="Calibri" w:hAnsi="Calibri" w:eastAsia="微软雅黑"/>
                <w:b w:val="0"/>
                <w:i w:val="0"/>
                <w:sz w:val="18"/>
              </w:rPr>
              <w:t>资产清册一键定格，物权凭证清晰，主分包同步解除效力明确</w:t>
            </w:r>
          </w:p>
        </w:tc>
        <w:tc>
          <w:tcPr>
            <w:tcW w:type="dxa" w:w="2075"/>
          </w:tcPr>
          <w:p>
            <w:r/>
            <w:r>
              <w:rPr>
                <w:rFonts w:ascii="Calibri" w:hAnsi="Calibri" w:eastAsia="微软雅黑"/>
                <w:b w:val="0"/>
                <w:i w:val="0"/>
                <w:sz w:val="18"/>
              </w:rPr>
              <w:t>清算撤场周期缩短至1个月内，规避占场侵权赔偿</w:t>
            </w:r>
          </w:p>
        </w:tc>
      </w:tr>
    </w:tbl>
    <w:p>
      <w:r>
        <w:rPr>
          <w:rFonts w:ascii="Calibri" w:hAnsi="Calibri" w:eastAsia="微软雅黑"/>
          <w:b w:val="0"/>
          <w:i w:val="0"/>
          <w:sz w:val="22"/>
        </w:rPr>
        <w:t>撤场保护的法律支点同样来自最高法院裁判规则：总承包合同与分包合同虽为独立合同，但总包合同是分包合同履行的前提与基础，总包合同解除必然导致分包合同同步解除；分包商对总包商的债权不能对抗发包方对施工现场的物权，无权强占现场、必须限期离场（裁判规则据专项研究成果整理）[来源: P000951]。数字化在此的落地动作是：一旦遭遇合同解除，利用智慧工地系统一键生成"现场资产与物权盘点清册"，以时间戳固化现场影像与物料流水，书面通知分包撤场并依法主张工程价款优先受偿权，避免因侵权占场导致损失扩大 [来源: P000951]。</w:t>
      </w:r>
    </w:p>
    <w:p>
      <w:r>
        <w:rPr>
          <w:rFonts w:ascii="Calibri" w:hAnsi="Calibri" w:eastAsia="微软雅黑"/>
          <w:b/>
          <w:i w:val="0"/>
          <w:sz w:val="22"/>
        </w:rPr>
        <w:t>可执行方法：节点请款凭证自动化归档四步（本研究归纳据专项研究成果）</w:t>
      </w:r>
      <w:r>
        <w:rPr>
          <w:rFonts w:ascii="Calibri" w:hAnsi="Calibri" w:eastAsia="微软雅黑"/>
          <w:b w:val="0"/>
          <w:i w:val="0"/>
          <w:sz w:val="22"/>
        </w:rPr>
        <w:t>——请款凭证标准模板定义（按合同条款预设五类凭证目录与数据采集标准，此步应在合同签订时同步完成，而非结算时补做）；现场感知数据即时固化（隐蔽工程验收、材料称重进场及劳务打卡实时抓拍，附加地理位置与时间戳元数据）；模型与凭证自动挂接（影像与合规文件挂接至对应构件，实现"构件-进度-凭证"三合一，任何一张凭证都能回溯到具体构件与工序）；请款凭证包一键导出（到达付款节点自动生成不可篡改的电子凭证包在线提交发包方，锁定支付防抗辩时限）[来源: P000951]。这套机制的要害在"即时"二字——凭证的价值随时间衰减，事后补拍的证据在诉讼中的证明力远低于实时固化（要害解读为本研究观点）。</w:t>
      </w:r>
    </w:p>
    <w:p>
      <w:pPr>
        <w:pStyle w:val="Heading3"/>
      </w:pPr>
      <w:r>
        <w:t>10.3.5 精益建造与无人化智能装备</w:t>
      </w:r>
    </w:p>
    <w:p>
      <w:r>
        <w:rPr>
          <w:rFonts w:ascii="Calibri" w:hAnsi="Calibri" w:eastAsia="微软雅黑"/>
          <w:b w:val="0"/>
          <w:i w:val="0"/>
          <w:sz w:val="22"/>
        </w:rPr>
        <w:t>针对高危、高强度及高精度施工工序，引入智能施工装备与无人化工厂，是解决劳动力短缺、提升安全与质量稳定性的必由之路（判断为本研究归纳）[来源: P000911, P000934]。</w:t>
      </w:r>
    </w:p>
    <w:p>
      <w:pPr>
        <w:pStyle w:val="Heading4"/>
      </w:pPr>
      <w:r>
        <w:t>案例五：中建三局——"空中造楼机"与建筑机器人 [来源: P000911]</w:t>
      </w:r>
    </w:p>
    <w:p>
      <w:pPr>
        <w:pStyle w:val="ListBullet"/>
      </w:pPr>
      <w:r>
        <w:rPr>
          <w:rFonts w:ascii="Calibri" w:hAnsi="Calibri" w:eastAsia="微软雅黑"/>
          <w:b/>
          <w:i w:val="0"/>
          <w:sz w:val="22"/>
        </w:rPr>
        <w:t>动作（Action）</w:t>
      </w:r>
      <w:r>
        <w:rPr>
          <w:rFonts w:ascii="Calibri" w:hAnsi="Calibri" w:eastAsia="微软雅黑"/>
          <w:b w:val="0"/>
          <w:i w:val="0"/>
          <w:sz w:val="22"/>
        </w:rPr>
        <w:t>：自主研发并连续迭代升级"空中造楼机"，广泛应用测量、焊接及喷涂机器人；在超高层EPC项目中将大型塔机、模架体系、混凝土布料及临建设施高度集成于平台，实现结构施工与内部装修、机电安装的多工序立体交叉作业 [来源: P000911]。</w:t>
      </w:r>
    </w:p>
    <w:p>
      <w:pPr>
        <w:pStyle w:val="ListBullet"/>
      </w:pPr>
      <w:r>
        <w:rPr>
          <w:rFonts w:ascii="Calibri" w:hAnsi="Calibri" w:eastAsia="微软雅黑"/>
          <w:b/>
          <w:i w:val="0"/>
          <w:sz w:val="22"/>
        </w:rPr>
        <w:t>结果（Result）</w:t>
      </w:r>
      <w:r>
        <w:rPr>
          <w:rFonts w:ascii="Calibri" w:hAnsi="Calibri" w:eastAsia="微软雅黑"/>
          <w:b w:val="0"/>
          <w:i w:val="0"/>
          <w:sz w:val="22"/>
        </w:rPr>
        <w:t>：打破传统高空分散作业的安全瓶颈，显著缩短超高层建造周期，实现复杂工程的高效、精准与安全建造 [来源: P000911]。</w:t>
      </w:r>
    </w:p>
    <w:p>
      <w:pPr>
        <w:pStyle w:val="Heading4"/>
      </w:pPr>
      <w:r>
        <w:t>案例六：山东路桥——鲁北智慧梁场与钢筋加工"黑灯工厂" [来源: P000934]</w:t>
      </w:r>
    </w:p>
    <w:p>
      <w:pPr>
        <w:pStyle w:val="ListBullet"/>
      </w:pPr>
      <w:r>
        <w:rPr>
          <w:rFonts w:ascii="Calibri" w:hAnsi="Calibri" w:eastAsia="微软雅黑"/>
          <w:b/>
          <w:i w:val="0"/>
          <w:sz w:val="22"/>
        </w:rPr>
        <w:t>数据（Data）</w:t>
      </w:r>
      <w:r>
        <w:rPr>
          <w:rFonts w:ascii="Calibri" w:hAnsi="Calibri" w:eastAsia="微软雅黑"/>
          <w:b w:val="0"/>
          <w:i w:val="0"/>
          <w:sz w:val="22"/>
        </w:rPr>
        <w:t>：山东路桥建成鲁北永久智慧梁场，推行无人化钢筋智能生产模式（"黑灯工厂"），生产效率提高2-3倍；依托泰新项目建设零碳综合场站，累计发电13万度、实现碳减排95吨 [来源: P000934]。</w:t>
      </w:r>
    </w:p>
    <w:p>
      <w:pPr>
        <w:pStyle w:val="ListBullet"/>
      </w:pPr>
      <w:r>
        <w:rPr>
          <w:rFonts w:ascii="Calibri" w:hAnsi="Calibri" w:eastAsia="微软雅黑"/>
          <w:b/>
          <w:i w:val="0"/>
          <w:sz w:val="22"/>
        </w:rPr>
        <w:t>动作（Action）</w:t>
      </w:r>
      <w:r>
        <w:rPr>
          <w:rFonts w:ascii="Calibri" w:hAnsi="Calibri" w:eastAsia="微软雅黑"/>
          <w:b w:val="0"/>
          <w:i w:val="0"/>
          <w:sz w:val="22"/>
        </w:rPr>
        <w:t>：采用无人化智能钢筋切断、弯曲及焊接生产线，自动化下料指令直接由BIM加工模型下发，实现无人值守连续高精度加工；将光伏发电、新能源施工设备等绿色低碳技术与数智化建造深度协同 [来源: P000934]。</w:t>
      </w:r>
    </w:p>
    <w:p>
      <w:pPr>
        <w:pStyle w:val="ListBullet"/>
      </w:pPr>
      <w:r>
        <w:rPr>
          <w:rFonts w:ascii="Calibri" w:hAnsi="Calibri" w:eastAsia="微软雅黑"/>
          <w:b/>
          <w:i w:val="0"/>
          <w:sz w:val="22"/>
        </w:rPr>
        <w:t>结果（Result）</w:t>
      </w:r>
      <w:r>
        <w:rPr>
          <w:rFonts w:ascii="Calibri" w:hAnsi="Calibri" w:eastAsia="微软雅黑"/>
          <w:b w:val="0"/>
          <w:i w:val="0"/>
          <w:sz w:val="22"/>
        </w:rPr>
        <w:t>：焊接效率及质量稳定性位居行业前列，大幅削减人工成本与废料损耗，实现智能建造与绿色低碳双重效益 [来源: P000934]。</w:t>
      </w:r>
    </w:p>
    <w:p>
      <w:r>
        <w:rPr>
          <w:rFonts w:ascii="Calibri" w:hAnsi="Calibri" w:eastAsia="微软雅黑"/>
          <w:b/>
          <w:i w:val="0"/>
          <w:sz w:val="22"/>
        </w:rPr>
        <w:t>可执行方法：无人化装备落地四路径（本研究归纳）</w:t>
      </w:r>
      <w:r>
        <w:rPr>
          <w:rFonts w:ascii="Calibri" w:hAnsi="Calibri" w:eastAsia="微软雅黑"/>
          <w:b w:val="0"/>
          <w:i w:val="0"/>
          <w:sz w:val="22"/>
        </w:rPr>
        <w:t>——其一，高危高频工序智能装备选型：优先在超高层模板体系、重复性钢筋加工、大体积混凝土等"高危＋高频＋高重复"工序试点，投入产出最清晰；其二，设计模型与装备指令对接：打通BIM模型与加工设备控制系统，让"黑灯工厂"的下料指令直接来自设计数据而非人工二次录入；其三，人机协同安全规程：制定人机共存环境下的安全隔离与紧急避险规范，并对操作人员开展协同演练培训；其四，装备运行状态与效能监测：以物联网实时监测设备负荷、油耗及加工精度，实现预防性维护与产能优化 [来源: P000911, P000934]。</w:t>
      </w:r>
    </w:p>
    <w:p>
      <w:r>
        <w:rPr>
          <w:rFonts w:ascii="Calibri" w:hAnsi="Calibri" w:eastAsia="微软雅黑"/>
          <w:b w:val="0"/>
          <w:i w:val="0"/>
          <w:sz w:val="22"/>
        </w:rPr>
        <w:t>---</w:t>
      </w:r>
    </w:p>
    <w:p>
      <w:pPr>
        <w:pStyle w:val="Heading2"/>
      </w:pPr>
      <w:r>
        <w:t>10.4 数字资产：知识沉淀、工法专利与成果商业化</w:t>
      </w:r>
    </w:p>
    <w:p>
      <w:r>
        <w:rPr>
          <w:rFonts w:ascii="Calibri" w:hAnsi="Calibri" w:eastAsia="微软雅黑"/>
          <w:b w:val="0"/>
          <w:i w:val="0"/>
          <w:sz w:val="22"/>
        </w:rPr>
        <w:t>技术创新成果不应停留在项目验收阶段——通过构建技术标准体系、提炼高价值专利与工法并实现商业化输出，企业能够把单体项目的施工经验转化为可持续产生商业价值的数字资产（转型逻辑为本研究归纳）。其变现路径呈三叉结构（结构归纳为本研究据源文整理）：标准化规范沉淀（主编国标行标团标，提升行业话语权）、技术成果固化（国家级/省部级工法＋专利保护网）、数字化产品化（软件产品/中试服务/智能装备输出）[来源: P000906, P000932, P000934]。</w:t>
      </w:r>
    </w:p>
    <w:p>
      <w:pPr>
        <w:pStyle w:val="Heading3"/>
      </w:pPr>
      <w:r>
        <w:t>10.4.1 知识沉淀与技术标准体系建设</w:t>
      </w:r>
    </w:p>
    <w:p>
      <w:pPr>
        <w:pStyle w:val="Heading4"/>
      </w:pPr>
      <w:r>
        <w:t>案例一：中国化学——研发平台与行业标准主导 [来源: P000932]</w:t>
      </w:r>
    </w:p>
    <w:p>
      <w:pPr>
        <w:pStyle w:val="ListBullet"/>
      </w:pPr>
      <w:r>
        <w:rPr>
          <w:rFonts w:ascii="Calibri" w:hAnsi="Calibri" w:eastAsia="微软雅黑"/>
          <w:b/>
          <w:i w:val="0"/>
          <w:sz w:val="22"/>
        </w:rPr>
        <w:t>数据（Data）</w:t>
      </w:r>
      <w:r>
        <w:rPr>
          <w:rFonts w:ascii="Calibri" w:hAnsi="Calibri" w:eastAsia="微软雅黑"/>
          <w:b w:val="0"/>
          <w:i w:val="0"/>
          <w:sz w:val="22"/>
        </w:rPr>
        <w:t>：中国化学2025年研发投入67.17亿元（其中研发费用66.4亿元），拥有研发人员6815人（占公司总人数12%），其中包括博士178人、硕士1703人 [来源: P000932]。</w:t>
      </w:r>
    </w:p>
    <w:p>
      <w:pPr>
        <w:pStyle w:val="ListBullet"/>
      </w:pPr>
      <w:r>
        <w:rPr>
          <w:rFonts w:ascii="Calibri" w:hAnsi="Calibri" w:eastAsia="微软雅黑"/>
          <w:b/>
          <w:i w:val="0"/>
          <w:sz w:val="22"/>
        </w:rPr>
        <w:t>动作（Action）</w:t>
      </w:r>
      <w:r>
        <w:rPr>
          <w:rFonts w:ascii="Calibri" w:hAnsi="Calibri" w:eastAsia="微软雅黑"/>
          <w:b w:val="0"/>
          <w:i w:val="0"/>
          <w:sz w:val="22"/>
        </w:rPr>
        <w:t>：构建"1总院＋多分院＋N平台"科技创新体系，投运淄博、南港、武穴中试基地；启动"星火计划"，聚焦特种尼龙、α-烯烃等重点产业链技术攻关；积极主导与参与行业标准制修订 [来源: P000932]。</w:t>
      </w:r>
    </w:p>
    <w:p>
      <w:r>
        <w:rPr>
          <w:rFonts w:ascii="Calibri" w:hAnsi="Calibri" w:eastAsia="微软雅黑"/>
          <w:b w:val="0"/>
          <w:i w:val="0"/>
          <w:sz w:val="22"/>
        </w:rPr>
        <w:t>在成果转化端，"星火计划"推进特种尼龙、α-烯烃、气凝胶等高端新材料技术攻关，依托淄博、南港、武穴三大中试基地把实验室技术转化为工业化技术包；子企业与欧洲知名公司签署协议强化海外技术输出与施工服务合作——高端技术的自主化打破了国外在高端化工技术上的垄断，使其在高端化工EPC招投标中获得显著的技术标提分与溢价优势（转化机制据源文归纳）[来源: P000932]。</w:t>
      </w:r>
    </w:p>
    <w:p>
      <w:pPr>
        <w:pStyle w:val="ListBullet"/>
      </w:pPr>
      <w:r>
        <w:rPr>
          <w:rFonts w:ascii="Calibri" w:hAnsi="Calibri" w:eastAsia="微软雅黑"/>
          <w:b/>
          <w:i w:val="0"/>
          <w:sz w:val="22"/>
        </w:rPr>
        <w:t>结果（Result）</w:t>
      </w:r>
      <w:r>
        <w:rPr>
          <w:rFonts w:ascii="Calibri" w:hAnsi="Calibri" w:eastAsia="微软雅黑"/>
          <w:b w:val="0"/>
          <w:i w:val="0"/>
          <w:sz w:val="22"/>
        </w:rPr>
        <w:t>：全年发布国家标准19项、行业标准12项、团体标准28项，10项成果入选国家部委先进技术名单或推广目录，显著提升在化工工程领域的标准化话语权 [来源: P000932]。</w:t>
      </w:r>
    </w:p>
    <w:p>
      <w:pPr>
        <w:pStyle w:val="Heading4"/>
      </w:pPr>
      <w:r>
        <w:t>案例二：中国寰球——自主知识产权体系 [来源: P000906]</w:t>
      </w:r>
    </w:p>
    <w:p>
      <w:pPr>
        <w:pStyle w:val="ListBullet"/>
      </w:pPr>
      <w:r>
        <w:rPr>
          <w:rFonts w:ascii="Calibri" w:hAnsi="Calibri" w:eastAsia="微软雅黑"/>
          <w:b/>
          <w:i w:val="0"/>
          <w:sz w:val="22"/>
        </w:rPr>
        <w:t>数据（Action）</w:t>
      </w:r>
      <w:r>
        <w:rPr>
          <w:rFonts w:ascii="Calibri" w:hAnsi="Calibri" w:eastAsia="微软雅黑"/>
          <w:b w:val="0"/>
          <w:i w:val="0"/>
          <w:sz w:val="22"/>
        </w:rPr>
        <w:t>：主编参编国家标准规范33项，拥有国家授权专利62项、专有技术60项、软件著作权38项、国家级工法3项、省部级工法14项；建立技术知识管理平台，把大型乙烯、LNG接收站等复杂项目中的工艺技术、设计规范与施工工法转化为企业核心标准，实行显性知识的沉淀与复用 [来源: P000906]。</w:t>
      </w:r>
    </w:p>
    <w:p>
      <w:pPr>
        <w:pStyle w:val="ListBullet"/>
      </w:pPr>
      <w:r>
        <w:rPr>
          <w:rFonts w:ascii="Calibri" w:hAnsi="Calibri" w:eastAsia="微软雅黑"/>
          <w:b/>
          <w:i w:val="0"/>
          <w:sz w:val="22"/>
        </w:rPr>
        <w:t>结果（Result）</w:t>
      </w:r>
      <w:r>
        <w:rPr>
          <w:rFonts w:ascii="Calibri" w:hAnsi="Calibri" w:eastAsia="微软雅黑"/>
          <w:b w:val="0"/>
          <w:i w:val="0"/>
          <w:sz w:val="22"/>
        </w:rPr>
        <w:t>：形成难以被同行复制的标准化技术壁垒，保障复杂石化EPC项目的跨区域高质量复制 [来源: P000906]。知识沉淀的检验标准（本研究归纳）：当企业在一个全新国别接到同类装置订单时，能否直接调用既有标准包完成大部分设计——能，说明知识已资产化；不能，说明专利与工法仍躺在证书柜里。</w:t>
      </w:r>
    </w:p>
    <w:p>
      <w:pPr>
        <w:pStyle w:val="Heading3"/>
      </w:pPr>
      <w:r>
        <w:t>10.4.2 专利矩阵布局与工法提炼</w:t>
      </w:r>
    </w:p>
    <w:p>
      <w:pPr>
        <w:pStyle w:val="Heading4"/>
      </w:pPr>
      <w:r>
        <w:t>案例三：山东路桥——复杂工程攻坚与工法专利双丰收 [来源: P000934]</w:t>
      </w:r>
    </w:p>
    <w:p>
      <w:pPr>
        <w:pStyle w:val="ListBullet"/>
      </w:pPr>
      <w:r>
        <w:rPr>
          <w:rFonts w:ascii="Calibri" w:hAnsi="Calibri" w:eastAsia="微软雅黑"/>
          <w:b/>
          <w:i w:val="0"/>
          <w:sz w:val="22"/>
        </w:rPr>
        <w:t>数据（Data）</w:t>
      </w:r>
      <w:r>
        <w:rPr>
          <w:rFonts w:ascii="Calibri" w:hAnsi="Calibri" w:eastAsia="微软雅黑"/>
          <w:b w:val="0"/>
          <w:i w:val="0"/>
          <w:sz w:val="22"/>
        </w:rPr>
        <w:t>：山东路桥拥有各级研发平台45家（国家级1家、省级23家），累计拥有国家及省部级工法312项、有效授权专利2962项（其中发明专利597项），获省部级科技奖266项，制修订标准121项 [来源: P000934]。</w:t>
      </w:r>
    </w:p>
    <w:p>
      <w:pPr>
        <w:pStyle w:val="ListBullet"/>
      </w:pPr>
      <w:r>
        <w:rPr>
          <w:rFonts w:ascii="Calibri" w:hAnsi="Calibri" w:eastAsia="微软雅黑"/>
          <w:b/>
          <w:i w:val="0"/>
          <w:sz w:val="22"/>
        </w:rPr>
        <w:t>动作（Action）</w:t>
      </w:r>
      <w:r>
        <w:rPr>
          <w:rFonts w:ascii="Calibri" w:hAnsi="Calibri" w:eastAsia="微软雅黑"/>
          <w:b w:val="0"/>
          <w:i w:val="0"/>
          <w:sz w:val="22"/>
        </w:rPr>
        <w:t>：聚焦超大型、高难度工程瓶颈——在庆章高速黄河特大桥建设中成功攻克世界首例"UHPC-钢箱叠合梁悬臂安装"技术，自主研发专用悬臂安装设备，创下三项世界之最，并将创新工艺总结提炼为工法与专利矩阵 [来源: P000934]。</w:t>
      </w:r>
    </w:p>
    <w:p>
      <w:pPr>
        <w:pStyle w:val="ListBullet"/>
      </w:pPr>
      <w:r>
        <w:rPr>
          <w:rFonts w:ascii="Calibri" w:hAnsi="Calibri" w:eastAsia="微软雅黑"/>
          <w:b/>
          <w:i w:val="0"/>
          <w:sz w:val="22"/>
        </w:rPr>
        <w:t>结果（Result）</w:t>
      </w:r>
      <w:r>
        <w:rPr>
          <w:rFonts w:ascii="Calibri" w:hAnsi="Calibri" w:eastAsia="微软雅黑"/>
          <w:b w:val="0"/>
          <w:i w:val="0"/>
          <w:sz w:val="22"/>
        </w:rPr>
        <w:t>：关键技术成果在重难点工程规模化应用，巩固其在复杂桥梁与公路工程总承包领域的领先地位；2025年公司海外业务中标额167.93亿元、同比增长83.93%，技术竞争力正随海外市场扩张同步放大 [来源: P000934]。</w:t>
      </w:r>
    </w:p>
    <w:p>
      <w:pPr>
        <w:pStyle w:val="Heading4"/>
      </w:pPr>
      <w:r>
        <w:t>案例四：中国化学——专利成果与工法认定 [来源: P000932]</w:t>
      </w:r>
    </w:p>
    <w:p>
      <w:pPr>
        <w:pStyle w:val="ListBullet"/>
      </w:pPr>
      <w:r>
        <w:rPr>
          <w:rFonts w:ascii="Calibri" w:hAnsi="Calibri" w:eastAsia="微软雅黑"/>
          <w:b/>
          <w:i w:val="0"/>
          <w:sz w:val="22"/>
        </w:rPr>
        <w:t>数据（Action）</w:t>
      </w:r>
      <w:r>
        <w:rPr>
          <w:rFonts w:ascii="Calibri" w:hAnsi="Calibri" w:eastAsia="微软雅黑"/>
          <w:b w:val="0"/>
          <w:i w:val="0"/>
          <w:sz w:val="22"/>
        </w:rPr>
        <w:t>：全年获省部级科技进步奖12项、中国专利优秀奖2项、省部级工法认定69项、国家授权发明专利273项、海外专利13项；坚持现场关键工艺创新与新材料应用同步申请发明专利保护，并申报行业与省部级工法认定 [来源: P000932]。</w:t>
      </w:r>
    </w:p>
    <w:p>
      <w:pPr>
        <w:pStyle w:val="ListBullet"/>
      </w:pPr>
      <w:r>
        <w:rPr>
          <w:rFonts w:ascii="Calibri" w:hAnsi="Calibri" w:eastAsia="微软雅黑"/>
          <w:b/>
          <w:i w:val="0"/>
          <w:sz w:val="22"/>
        </w:rPr>
        <w:t>结果（Result）</w:t>
      </w:r>
      <w:r>
        <w:rPr>
          <w:rFonts w:ascii="Calibri" w:hAnsi="Calibri" w:eastAsia="微软雅黑"/>
          <w:b w:val="0"/>
          <w:i w:val="0"/>
          <w:sz w:val="22"/>
        </w:rPr>
        <w:t>：实现技术创新成果从项目现场向企业无形资产的转化，提升投融资招标中的技术标评分优势 [来源: P000932]。</w:t>
      </w:r>
    </w:p>
    <w:p>
      <w:r>
        <w:rPr>
          <w:rFonts w:ascii="Calibri" w:hAnsi="Calibri" w:eastAsia="微软雅黑"/>
          <w:b/>
          <w:i w:val="0"/>
          <w:sz w:val="22"/>
        </w:rPr>
        <w:t>可执行方法：技术成果转化五步法（本研究归纳）</w:t>
      </w:r>
      <w:r>
        <w:rPr>
          <w:rFonts w:ascii="Calibri" w:hAnsi="Calibri" w:eastAsia="微软雅黑"/>
          <w:b w:val="0"/>
          <w:i w:val="0"/>
          <w:sz w:val="22"/>
        </w:rPr>
        <w:t>——项目策划期创新爆点识别（对照行业技术空白梳理拟攻关的工艺与设备创新点，写入项目策划书而非事后追认）；施工过程定向数据积累（精准采集工艺参数、质量检测数据与成本工效指标，无数据的创新在申报时无法自证）；专利保护网构建（"核心发明专利＋外围实用新型"布局，工艺公开前完成申请，海外项目同步考虑海外专利布局——中国化学年增海外专利13项即为参照）；工法编写与标准化提炼（按申报规范撰写工艺原理、关键技术、质量安全措施及效益分析）；专家评审与成果申报（同行顶级专家技术评价后申报省部级或国家级工法）[来源: P000934, P000932]。</w:t>
      </w:r>
    </w:p>
    <w:p>
      <w:pPr>
        <w:pStyle w:val="Heading3"/>
      </w:pPr>
      <w:r>
        <w:t>10.4.3 技术成果商业化变现</w:t>
      </w:r>
    </w:p>
    <w:p>
      <w:pPr>
        <w:pStyle w:val="Heading4"/>
      </w:pPr>
      <w:r>
        <w:t>案例五：上海市政总院——OBIM运维系统产品化输出 [来源: P000927]</w:t>
      </w:r>
    </w:p>
    <w:p>
      <w:pPr>
        <w:pStyle w:val="ListBullet"/>
      </w:pPr>
      <w:r>
        <w:rPr>
          <w:rFonts w:ascii="Calibri" w:hAnsi="Calibri" w:eastAsia="微软雅黑"/>
          <w:b/>
          <w:i w:val="0"/>
          <w:sz w:val="22"/>
        </w:rPr>
        <w:t>数据（Action）</w:t>
      </w:r>
      <w:r>
        <w:rPr>
          <w:rFonts w:ascii="Calibri" w:hAnsi="Calibri" w:eastAsia="微软雅黑"/>
          <w:b w:val="0"/>
          <w:i w:val="0"/>
          <w:sz w:val="22"/>
        </w:rPr>
        <w:t>：依托专利300余项、软件著作权100余项的家底，成立数字科技与智能工程科技实体公司，将BIM与数字孪生技术产品化——自主研发的SMEDI-OBIM运维管理系统不仅服务于自承接的EPC项目，还向行业外部业主输出数字运维软件与智慧城市解决方案 [来源: P000927]。</w:t>
      </w:r>
    </w:p>
    <w:p>
      <w:pPr>
        <w:pStyle w:val="ListBullet"/>
      </w:pPr>
      <w:r>
        <w:rPr>
          <w:rFonts w:ascii="Calibri" w:hAnsi="Calibri" w:eastAsia="微软雅黑"/>
          <w:b/>
          <w:i w:val="0"/>
          <w:sz w:val="22"/>
        </w:rPr>
        <w:t>结果（Result）</w:t>
      </w:r>
      <w:r>
        <w:rPr>
          <w:rFonts w:ascii="Calibri" w:hAnsi="Calibri" w:eastAsia="微软雅黑"/>
          <w:b w:val="0"/>
          <w:i w:val="0"/>
          <w:sz w:val="22"/>
        </w:rPr>
        <w:t>：开辟基于数字资产与软件服务的非传统工程营收渠道，实现从工程服务商向数字技术解决方案提供商的延伸 [来源: P000927]。</w:t>
      </w:r>
    </w:p>
    <w:p>
      <w:pPr>
        <w:pStyle w:val="Heading4"/>
      </w:pPr>
      <w:r>
        <w:t>案例六：中国化学——中试基地共享与成果产业化 [来源: P000932]</w:t>
      </w:r>
    </w:p>
    <w:p>
      <w:pPr>
        <w:pStyle w:val="ListBullet"/>
      </w:pPr>
      <w:r>
        <w:rPr>
          <w:rFonts w:ascii="Calibri" w:hAnsi="Calibri" w:eastAsia="微软雅黑"/>
          <w:b/>
          <w:i w:val="0"/>
          <w:sz w:val="22"/>
        </w:rPr>
        <w:t>动作（Action）</w:t>
      </w:r>
      <w:r>
        <w:rPr>
          <w:rFonts w:ascii="Calibri" w:hAnsi="Calibri" w:eastAsia="微软雅黑"/>
          <w:b w:val="0"/>
          <w:i w:val="0"/>
          <w:sz w:val="22"/>
        </w:rPr>
        <w:t>：建成淄博、南港、武穴中试基地，对外提供化工新材料及相关催化剂的放大验证服务；子企业与欧洲知名公司合作拓展海外技术服务；装备科技公司与华东理工大学共建联合技术创新中心，推动高端装备技术产业化攻关 [来源: P000932]。</w:t>
      </w:r>
    </w:p>
    <w:p>
      <w:pPr>
        <w:pStyle w:val="ListBullet"/>
      </w:pPr>
      <w:r>
        <w:rPr>
          <w:rFonts w:ascii="Calibri" w:hAnsi="Calibri" w:eastAsia="微软雅黑"/>
          <w:b/>
          <w:i w:val="0"/>
          <w:sz w:val="22"/>
        </w:rPr>
        <w:t>结果（Result）</w:t>
      </w:r>
      <w:r>
        <w:rPr>
          <w:rFonts w:ascii="Calibri" w:hAnsi="Calibri" w:eastAsia="微软雅黑"/>
          <w:b w:val="0"/>
          <w:i w:val="0"/>
          <w:sz w:val="22"/>
        </w:rPr>
        <w:t>：实现"技术研发-中试验证-装备制造-商业化服务"的价值循环，创造可观技术溢价 [来源: P000932]。</w:t>
      </w:r>
    </w:p>
    <w:p>
      <w:r>
        <w:rPr>
          <w:rFonts w:ascii="Calibri" w:hAnsi="Calibri" w:eastAsia="微软雅黑"/>
          <w:b/>
          <w:i w:val="0"/>
          <w:sz w:val="22"/>
        </w:rPr>
        <w:t>可执行方法：商业化变现三大模式（本研究归纳）</w:t>
      </w:r>
      <w:r>
        <w:rPr>
          <w:rFonts w:ascii="Calibri" w:hAnsi="Calibri" w:eastAsia="微软雅黑"/>
          <w:b w:val="0"/>
          <w:i w:val="0"/>
          <w:sz w:val="22"/>
        </w:rPr>
        <w:t>：</w:t>
      </w:r>
    </w:p>
    <w:p>
      <w:pPr>
        <w:pStyle w:val="ListNumber"/>
      </w:pPr>
      <w:r>
        <w:rPr>
          <w:rFonts w:ascii="Calibri" w:hAnsi="Calibri" w:eastAsia="微软雅黑"/>
          <w:b/>
          <w:i w:val="0"/>
          <w:sz w:val="22"/>
        </w:rPr>
        <w:t>数字化软件产品化</w:t>
      </w:r>
      <w:r>
        <w:rPr>
          <w:rFonts w:ascii="Calibri" w:hAnsi="Calibri" w:eastAsia="微软雅黑"/>
          <w:b w:val="0"/>
          <w:i w:val="0"/>
          <w:sz w:val="22"/>
        </w:rPr>
        <w:t>：把内部自用的BIM插件、智慧工地管理软件及数字孪生运维平台打包为标准化软件，向同业或业主收费——市政总院以数字科技实体公司承载OBIM对外输出即为此模式的旗舰样本，其关键成功要素是"自用场景充分淬炼后再外售"，避免把内部半成品当产品卖 [来源: P000927]。</w:t>
      </w:r>
    </w:p>
    <w:p>
      <w:pPr>
        <w:pStyle w:val="ListNumber"/>
      </w:pPr>
      <w:r>
        <w:rPr>
          <w:rFonts w:ascii="Calibri" w:hAnsi="Calibri" w:eastAsia="微软雅黑"/>
          <w:b/>
          <w:i w:val="0"/>
          <w:sz w:val="22"/>
        </w:rPr>
        <w:t>研发设施与中试基地共享</w:t>
      </w:r>
      <w:r>
        <w:rPr>
          <w:rFonts w:ascii="Calibri" w:hAnsi="Calibri" w:eastAsia="微软雅黑"/>
          <w:b w:val="0"/>
          <w:i w:val="0"/>
          <w:sz w:val="22"/>
        </w:rPr>
        <w:t>：开放中试基地、实验室及永久智慧梁场，为上下游企业提供付费放大验证、技术检测与代加工服务——中国化学三大中试基地对外提供化工新材料及催化剂放大验证服务，把固定资产变成了技术服务的收入载体 [来源: P000932, P000934]。</w:t>
      </w:r>
    </w:p>
    <w:p>
      <w:pPr>
        <w:pStyle w:val="ListNumber"/>
      </w:pPr>
      <w:r>
        <w:rPr>
          <w:rFonts w:ascii="Calibri" w:hAnsi="Calibri" w:eastAsia="微软雅黑"/>
          <w:b/>
          <w:i w:val="0"/>
          <w:sz w:val="22"/>
        </w:rPr>
        <w:t>专有装备与构件技术许可</w:t>
      </w:r>
      <w:r>
        <w:rPr>
          <w:rFonts w:ascii="Calibri" w:hAnsi="Calibri" w:eastAsia="微软雅黑"/>
          <w:b w:val="0"/>
          <w:i w:val="0"/>
          <w:sz w:val="22"/>
        </w:rPr>
        <w:t>：对自主研发的专用施工装备与高性能构件生产工艺进行专利技术许可或装备销售——山东路桥将庆章黄河特大桥的专用悬臂安装设备与创新工艺一并沉淀为工法与专利矩阵，即"装备＋工艺＋工法"三位一体输出的雏形 [来源: P000934]。</w:t>
      </w:r>
    </w:p>
    <w:p>
      <w:r>
        <w:rPr>
          <w:rFonts w:ascii="Calibri" w:hAnsi="Calibri" w:eastAsia="微软雅黑"/>
          <w:b w:val="0"/>
          <w:i w:val="0"/>
          <w:sz w:val="22"/>
        </w:rPr>
        <w:t>三大模式的选择要领（本研究建议）：软件产品化考验产品化能力与组织隔离（内部工具部门通常卖不好产品），设施共享考验产能冗余度与安全边界，装备许可考验专利布局的完整度；企业宜按自身资产禀赋择一深耕，而非三线并进。</w:t>
      </w:r>
    </w:p>
    <w:p>
      <w:r>
        <w:rPr>
          <w:rFonts w:ascii="Calibri" w:hAnsi="Calibri" w:eastAsia="微软雅黑"/>
          <w:b w:val="0"/>
          <w:i w:val="0"/>
          <w:sz w:val="22"/>
        </w:rPr>
        <w:t>---</w:t>
      </w:r>
    </w:p>
    <w:p>
      <w:pPr>
        <w:pStyle w:val="Heading2"/>
      </w:pPr>
      <w:r>
        <w:t>10.5 价值变现与买家决策：调价锁定、避坑指南与趋势</w:t>
      </w:r>
    </w:p>
    <w:p>
      <w:r>
        <w:rPr>
          <w:rFonts w:ascii="Calibri" w:hAnsi="Calibri" w:eastAsia="微软雅黑"/>
          <w:b w:val="0"/>
          <w:i w:val="0"/>
          <w:sz w:val="22"/>
        </w:rPr>
        <w:t>工程企业推动数字化转型与技术创新，最终必须落脚于商业价值的兑现与利润率的提升。买家决策层审视数字化投入时，不能只看系统建设的账面成本，更要建立贯穿招投标、二次调价、结算确权及商业化输出的投资回报精算机制（决策框架为本研究归纳）[来源: P000951, P000934]。</w:t>
      </w:r>
    </w:p>
    <w:p>
      <w:pPr>
        <w:pStyle w:val="Heading3"/>
      </w:pPr>
      <w:r>
        <w:t>10.5.1 商业化溢价的两个兑现口</w:t>
      </w:r>
    </w:p>
    <w:p>
      <w:r>
        <w:rPr>
          <w:rFonts w:ascii="Calibri" w:hAnsi="Calibri" w:eastAsia="微软雅黑"/>
          <w:b w:val="0"/>
          <w:i w:val="0"/>
          <w:sz w:val="22"/>
        </w:rPr>
        <w:t>技术创新与数字化能力在EPC模式下直接转化为两类商业溢价（归纳为本研究据源文整理）：</w:t>
      </w:r>
      <w:r>
        <w:rPr>
          <w:rFonts w:ascii="Calibri" w:hAnsi="Calibri" w:eastAsia="微软雅黑"/>
          <w:b/>
          <w:i w:val="0"/>
          <w:sz w:val="22"/>
        </w:rPr>
        <w:t>其一是投标端的技术标溢价</w:t>
      </w:r>
      <w:r>
        <w:rPr>
          <w:rFonts w:ascii="Calibri" w:hAnsi="Calibri" w:eastAsia="微软雅黑"/>
          <w:b w:val="0"/>
          <w:i w:val="0"/>
          <w:sz w:val="22"/>
        </w:rPr>
        <w:t>——在投标阶段利用三维方案演练与精细化概算修正向业主展示降本增效路径，争取技术标高分与合理溢价；</w:t>
      </w:r>
      <w:r>
        <w:rPr>
          <w:rFonts w:ascii="Calibri" w:hAnsi="Calibri" w:eastAsia="微软雅黑"/>
          <w:b/>
          <w:i w:val="0"/>
          <w:sz w:val="22"/>
        </w:rPr>
        <w:t>其二是履约端的调价与确权收益</w:t>
      </w:r>
      <w:r>
        <w:rPr>
          <w:rFonts w:ascii="Calibri" w:hAnsi="Calibri" w:eastAsia="微软雅黑"/>
          <w:b w:val="0"/>
          <w:i w:val="0"/>
          <w:sz w:val="22"/>
        </w:rPr>
        <w:t>——在大包干或部分可调价合同中，传统粗放管理因缺乏实时打卡与物料跟踪，导致人工费差异系数与材料价差系数无法获得业主或审计认可，调价请求常被折扣甚至拒付；标杆企业通过智慧工地实名制打卡网实时锁定人工费基数、物联网称重与采购平台准实时锁定材料市场浮动价，使调价因子的精算结果具备不可篡改的证据效力，把市场价格上涨风险全额转化为合规调价收益（机制表述据专项研究成果）[来源: P000951]。山东路桥在重大工程中通过集约采购与标准化测量数据实时核算责任成本偏差，并依据精细化物料与劳务台账开展调价索赔，是这一机制在公路工程场景的实证——其2025年海外业务中标额167.93亿元、同比增长83.93%，在建项目765个的全要素数据底座为调价与索赔提供了规模化的数据供给 [来源: P000934]。两个兑现口之间的关系（本研究解读）：投标端溢价决定"能不能进场"，履约端调价决定"能不能赚到"——只练第一不练第二的企业，中标越多垫资越多；数字化投入的回报精算，必须把两口合起来算。</w:t>
      </w:r>
    </w:p>
    <w:p>
      <w:pPr>
        <w:pStyle w:val="Heading3"/>
      </w:pPr>
      <w:r>
        <w:t>10.5.2 买家决策速查：一页纸管控清单</w:t>
      </w:r>
    </w:p>
    <w:p>
      <w:r>
        <w:rPr>
          <w:rFonts w:ascii="Calibri" w:hAnsi="Calibri" w:eastAsia="微软雅黑"/>
          <w:b w:val="0"/>
          <w:i w:val="0"/>
          <w:sz w:val="22"/>
        </w:rPr>
        <w:t>把本章全链收拢为一页纸速查清单（清单据专项研究成果的可操作清单整理，因子列回扣总公式）[来源: P000951]：</w:t>
      </w:r>
    </w:p>
    <w:p>
      <w:pPr>
        <w:pStyle w:val="Heading4"/>
      </w:pPr>
      <w:r>
        <w:t>表10-3 数字化管控一页纸速查清单（据专项研究成果整理）[来源: P000951]</w:t>
      </w:r>
    </w:p>
    <w:tbl>
      <w:tblPr>
        <w:tblStyle w:val="TableGrid"/>
        <w:tblW w:type="auto" w:w="0"/>
        <w:tblLook w:firstColumn="1" w:firstRow="1" w:lastColumn="0" w:lastRow="0" w:noHBand="0" w:noVBand="1" w:val="04A0"/>
      </w:tblPr>
      <w:tblGrid>
        <w:gridCol w:w="1660"/>
        <w:gridCol w:w="1660"/>
        <w:gridCol w:w="1660"/>
        <w:gridCol w:w="1660"/>
        <w:gridCol w:w="1660"/>
      </w:tblGrid>
      <w:tr>
        <w:tc>
          <w:tcPr>
            <w:tcW w:type="dxa" w:w="1660"/>
            <w:shd w:fill="1F3A5F"/>
          </w:tcPr>
          <w:p>
            <w:r>
              <w:rPr>
                <w:color w:val="FFFFFF"/>
              </w:rPr>
            </w:r>
            <w:r>
              <w:rPr>
                <w:rFonts w:ascii="Calibri" w:hAnsi="Calibri" w:eastAsia="微软雅黑"/>
                <w:b/>
                <w:i w:val="0"/>
                <w:color w:val="FFFFFF"/>
                <w:sz w:val="18"/>
              </w:rPr>
              <w:t>场景</w:t>
            </w:r>
          </w:p>
        </w:tc>
        <w:tc>
          <w:tcPr>
            <w:tcW w:type="dxa" w:w="1660"/>
            <w:shd w:fill="1F3A5F"/>
          </w:tcPr>
          <w:p>
            <w:r>
              <w:rPr>
                <w:color w:val="FFFFFF"/>
              </w:rPr>
            </w:r>
            <w:r>
              <w:rPr>
                <w:rFonts w:ascii="Calibri" w:hAnsi="Calibri" w:eastAsia="微软雅黑"/>
                <w:b/>
                <w:i w:val="0"/>
                <w:color w:val="FFFFFF"/>
                <w:sz w:val="18"/>
              </w:rPr>
              <w:t>机制</w:t>
            </w:r>
          </w:p>
        </w:tc>
        <w:tc>
          <w:tcPr>
            <w:tcW w:type="dxa" w:w="1660"/>
            <w:shd w:fill="1F3A5F"/>
          </w:tcPr>
          <w:p>
            <w:r>
              <w:rPr>
                <w:color w:val="FFFFFF"/>
              </w:rPr>
            </w:r>
            <w:r>
              <w:rPr>
                <w:rFonts w:ascii="Calibri" w:hAnsi="Calibri" w:eastAsia="微软雅黑"/>
                <w:b/>
                <w:i w:val="0"/>
                <w:color w:val="FFFFFF"/>
                <w:sz w:val="18"/>
              </w:rPr>
              <w:t>主要风险</w:t>
            </w:r>
          </w:p>
        </w:tc>
        <w:tc>
          <w:tcPr>
            <w:tcW w:type="dxa" w:w="1660"/>
            <w:shd w:fill="1F3A5F"/>
          </w:tcPr>
          <w:p>
            <w:r>
              <w:rPr>
                <w:color w:val="FFFFFF"/>
              </w:rPr>
            </w:r>
            <w:r>
              <w:rPr>
                <w:rFonts w:ascii="Calibri" w:hAnsi="Calibri" w:eastAsia="微软雅黑"/>
                <w:b/>
                <w:i w:val="0"/>
                <w:color w:val="FFFFFF"/>
                <w:sz w:val="18"/>
              </w:rPr>
              <w:t>刚性动作</w:t>
            </w:r>
          </w:p>
        </w:tc>
        <w:tc>
          <w:tcPr>
            <w:tcW w:type="dxa" w:w="1660"/>
            <w:shd w:fill="1F3A5F"/>
          </w:tcPr>
          <w:p>
            <w:r>
              <w:rPr>
                <w:color w:val="FFFFFF"/>
              </w:rPr>
            </w:r>
            <w:r>
              <w:rPr>
                <w:rFonts w:ascii="Calibri" w:hAnsi="Calibri" w:eastAsia="微软雅黑"/>
                <w:b/>
                <w:i w:val="0"/>
                <w:color w:val="FFFFFF"/>
                <w:sz w:val="18"/>
              </w:rPr>
              <w:t>回扣因子</w:t>
            </w:r>
          </w:p>
        </w:tc>
      </w:tr>
      <w:tr>
        <w:tc>
          <w:tcPr>
            <w:tcW w:type="dxa" w:w="1660"/>
          </w:tcPr>
          <w:p>
            <w:r/>
            <w:r>
              <w:rPr>
                <w:rFonts w:ascii="Calibri" w:hAnsi="Calibri" w:eastAsia="微软雅黑"/>
                <w:b w:val="0"/>
                <w:i w:val="0"/>
                <w:sz w:val="18"/>
              </w:rPr>
              <w:t>BIM工程量与概算修正</w:t>
            </w:r>
          </w:p>
        </w:tc>
        <w:tc>
          <w:tcPr>
            <w:tcW w:type="dxa" w:w="1660"/>
          </w:tcPr>
          <w:p>
            <w:r/>
            <w:r>
              <w:rPr>
                <w:rFonts w:ascii="Calibri" w:hAnsi="Calibri" w:eastAsia="微软雅黑"/>
                <w:b w:val="0"/>
                <w:i w:val="0"/>
                <w:sz w:val="18"/>
              </w:rPr>
              <w:t>结构变化换入换出量自动比对</w:t>
            </w:r>
          </w:p>
        </w:tc>
        <w:tc>
          <w:tcPr>
            <w:tcW w:type="dxa" w:w="1660"/>
          </w:tcPr>
          <w:p>
            <w:r/>
            <w:r>
              <w:rPr>
                <w:rFonts w:ascii="Calibri" w:hAnsi="Calibri" w:eastAsia="微软雅黑"/>
                <w:b w:val="0"/>
                <w:i w:val="0"/>
                <w:sz w:val="18"/>
              </w:rPr>
              <w:t>设计深度不足致概算偏差，超标底限价</w:t>
            </w:r>
          </w:p>
        </w:tc>
        <w:tc>
          <w:tcPr>
            <w:tcW w:type="dxa" w:w="1660"/>
          </w:tcPr>
          <w:p>
            <w:r/>
            <w:r>
              <w:rPr>
                <w:rFonts w:ascii="Calibri" w:hAnsi="Calibri" w:eastAsia="微软雅黑"/>
                <w:b w:val="0"/>
                <w:i w:val="0"/>
                <w:sz w:val="18"/>
              </w:rPr>
              <w:t>套用双轮驱动公式编制标底与最高投标限价</w:t>
            </w:r>
          </w:p>
        </w:tc>
        <w:tc>
          <w:tcPr>
            <w:tcW w:type="dxa" w:w="1660"/>
          </w:tcPr>
          <w:p>
            <w:r/>
            <w:r>
              <w:rPr>
                <w:rFonts w:ascii="Calibri" w:hAnsi="Calibri" w:eastAsia="微软雅黑"/>
                <w:b w:val="0"/>
                <w:i w:val="0"/>
                <w:sz w:val="18"/>
              </w:rPr>
              <w:t>换入换出量与综合单价</w:t>
            </w:r>
          </w:p>
        </w:tc>
      </w:tr>
      <w:tr>
        <w:tc>
          <w:tcPr>
            <w:tcW w:type="dxa" w:w="1660"/>
          </w:tcPr>
          <w:p>
            <w:r/>
            <w:r>
              <w:rPr>
                <w:rFonts w:ascii="Calibri" w:hAnsi="Calibri" w:eastAsia="微软雅黑"/>
                <w:b w:val="0"/>
                <w:i w:val="0"/>
                <w:sz w:val="18"/>
              </w:rPr>
              <w:t>高价值材料领用</w:t>
            </w:r>
          </w:p>
        </w:tc>
        <w:tc>
          <w:tcPr>
            <w:tcW w:type="dxa" w:w="1660"/>
          </w:tcPr>
          <w:p>
            <w:r/>
            <w:r>
              <w:rPr>
                <w:rFonts w:ascii="Calibri" w:hAnsi="Calibri" w:eastAsia="微软雅黑"/>
                <w:b w:val="0"/>
                <w:i w:val="0"/>
                <w:sz w:val="18"/>
              </w:rPr>
              <w:t>无人超市智能焊材库实名鉴权领用</w:t>
            </w:r>
          </w:p>
        </w:tc>
        <w:tc>
          <w:tcPr>
            <w:tcW w:type="dxa" w:w="1660"/>
          </w:tcPr>
          <w:p>
            <w:r/>
            <w:r>
              <w:rPr>
                <w:rFonts w:ascii="Calibri" w:hAnsi="Calibri" w:eastAsia="微软雅黑"/>
                <w:b w:val="0"/>
                <w:i w:val="0"/>
                <w:sz w:val="18"/>
              </w:rPr>
              <w:t>人情领料、错用焊材、盗漏损耗</w:t>
            </w:r>
          </w:p>
        </w:tc>
        <w:tc>
          <w:tcPr>
            <w:tcW w:type="dxa" w:w="1660"/>
          </w:tcPr>
          <w:p>
            <w:r/>
            <w:r>
              <w:rPr>
                <w:rFonts w:ascii="Calibri" w:hAnsi="Calibri" w:eastAsia="微软雅黑"/>
                <w:b w:val="0"/>
                <w:i w:val="0"/>
                <w:sz w:val="18"/>
              </w:rPr>
              <w:t>刷脸核验资质与工序权限，烘烤温控自动记录</w:t>
            </w:r>
          </w:p>
        </w:tc>
        <w:tc>
          <w:tcPr>
            <w:tcW w:type="dxa" w:w="1660"/>
          </w:tcPr>
          <w:p>
            <w:r/>
            <w:r>
              <w:rPr>
                <w:rFonts w:ascii="Calibri" w:hAnsi="Calibri" w:eastAsia="微软雅黑"/>
                <w:b w:val="0"/>
                <w:i w:val="0"/>
                <w:sz w:val="18"/>
              </w:rPr>
              <w:t>材料损耗与材料价差系数</w:t>
            </w:r>
          </w:p>
        </w:tc>
      </w:tr>
      <w:tr>
        <w:tc>
          <w:tcPr>
            <w:tcW w:type="dxa" w:w="1660"/>
          </w:tcPr>
          <w:p>
            <w:r/>
            <w:r>
              <w:rPr>
                <w:rFonts w:ascii="Calibri" w:hAnsi="Calibri" w:eastAsia="微软雅黑"/>
                <w:b w:val="0"/>
                <w:i w:val="0"/>
                <w:sz w:val="18"/>
              </w:rPr>
              <w:t>劳务实名与机具监控</w:t>
            </w:r>
          </w:p>
        </w:tc>
        <w:tc>
          <w:tcPr>
            <w:tcW w:type="dxa" w:w="1660"/>
          </w:tcPr>
          <w:p>
            <w:r/>
            <w:r>
              <w:rPr>
                <w:rFonts w:ascii="Calibri" w:hAnsi="Calibri" w:eastAsia="微软雅黑"/>
                <w:b w:val="0"/>
                <w:i w:val="0"/>
                <w:sz w:val="18"/>
              </w:rPr>
              <w:t>AI人脸考勤与机械传感器实时打卡</w:t>
            </w:r>
          </w:p>
        </w:tc>
        <w:tc>
          <w:tcPr>
            <w:tcW w:type="dxa" w:w="1660"/>
          </w:tcPr>
          <w:p>
            <w:r/>
            <w:r>
              <w:rPr>
                <w:rFonts w:ascii="Calibri" w:hAnsi="Calibri" w:eastAsia="微软雅黑"/>
                <w:b w:val="0"/>
                <w:i w:val="0"/>
                <w:sz w:val="18"/>
              </w:rPr>
              <w:t>劳务资质挂靠纠纷及机具台班虚报</w:t>
            </w:r>
          </w:p>
        </w:tc>
        <w:tc>
          <w:tcPr>
            <w:tcW w:type="dxa" w:w="1660"/>
          </w:tcPr>
          <w:p>
            <w:r/>
            <w:r>
              <w:rPr>
                <w:rFonts w:ascii="Calibri" w:hAnsi="Calibri" w:eastAsia="微软雅黑"/>
                <w:b w:val="0"/>
                <w:i w:val="0"/>
                <w:sz w:val="18"/>
              </w:rPr>
              <w:t>打通劳务打卡网与机械运行网，锁定现场实际人工与机具费</w:t>
            </w:r>
          </w:p>
        </w:tc>
        <w:tc>
          <w:tcPr>
            <w:tcW w:type="dxa" w:w="1660"/>
          </w:tcPr>
          <w:p>
            <w:r/>
            <w:r>
              <w:rPr>
                <w:rFonts w:ascii="Calibri" w:hAnsi="Calibri" w:eastAsia="微软雅黑"/>
                <w:b w:val="0"/>
                <w:i w:val="0"/>
                <w:sz w:val="18"/>
              </w:rPr>
              <w:t>人工费与机具费差异系数</w:t>
            </w:r>
          </w:p>
        </w:tc>
      </w:tr>
      <w:tr>
        <w:tc>
          <w:tcPr>
            <w:tcW w:type="dxa" w:w="1660"/>
          </w:tcPr>
          <w:p>
            <w:r/>
            <w:r>
              <w:rPr>
                <w:rFonts w:ascii="Calibri" w:hAnsi="Calibri" w:eastAsia="微软雅黑"/>
                <w:b w:val="0"/>
                <w:i w:val="0"/>
                <w:sz w:val="18"/>
              </w:rPr>
              <w:t>节点请款凭证</w:t>
            </w:r>
          </w:p>
        </w:tc>
        <w:tc>
          <w:tcPr>
            <w:tcW w:type="dxa" w:w="1660"/>
          </w:tcPr>
          <w:p>
            <w:r/>
            <w:r>
              <w:rPr>
                <w:rFonts w:ascii="Calibri" w:hAnsi="Calibri" w:eastAsia="微软雅黑"/>
                <w:b w:val="0"/>
                <w:i w:val="0"/>
                <w:sz w:val="18"/>
              </w:rPr>
              <w:t>五类技术文件自动打包归档</w:t>
            </w:r>
          </w:p>
        </w:tc>
        <w:tc>
          <w:tcPr>
            <w:tcW w:type="dxa" w:w="1660"/>
          </w:tcPr>
          <w:p>
            <w:r/>
            <w:r>
              <w:rPr>
                <w:rFonts w:ascii="Calibri" w:hAnsi="Calibri" w:eastAsia="微软雅黑"/>
                <w:b w:val="0"/>
                <w:i w:val="0"/>
                <w:sz w:val="18"/>
              </w:rPr>
              <w:t>发包方以凭证不全行使先履行抗辩权拒付</w:t>
            </w:r>
          </w:p>
        </w:tc>
        <w:tc>
          <w:tcPr>
            <w:tcW w:type="dxa" w:w="1660"/>
          </w:tcPr>
          <w:p>
            <w:r/>
            <w:r>
              <w:rPr>
                <w:rFonts w:ascii="Calibri" w:hAnsi="Calibri" w:eastAsia="微软雅黑"/>
                <w:b w:val="0"/>
                <w:i w:val="0"/>
                <w:sz w:val="18"/>
              </w:rPr>
              <w:t>节点完工与凭证包同步生成、时间戳固化</w:t>
            </w:r>
          </w:p>
        </w:tc>
        <w:tc>
          <w:tcPr>
            <w:tcW w:type="dxa" w:w="1660"/>
          </w:tcPr>
          <w:p>
            <w:r/>
            <w:r>
              <w:rPr>
                <w:rFonts w:ascii="Calibri" w:hAnsi="Calibri" w:eastAsia="微软雅黑"/>
                <w:b w:val="0"/>
                <w:i w:val="0"/>
                <w:sz w:val="18"/>
              </w:rPr>
              <w:t>调价因子证据化</w:t>
            </w:r>
          </w:p>
        </w:tc>
      </w:tr>
      <w:tr>
        <w:tc>
          <w:tcPr>
            <w:tcW w:type="dxa" w:w="1660"/>
          </w:tcPr>
          <w:p>
            <w:r/>
            <w:r>
              <w:rPr>
                <w:rFonts w:ascii="Calibri" w:hAnsi="Calibri" w:eastAsia="微软雅黑"/>
                <w:b w:val="0"/>
                <w:i w:val="0"/>
                <w:sz w:val="18"/>
              </w:rPr>
              <w:t>解约撤场保护</w:t>
            </w:r>
          </w:p>
        </w:tc>
        <w:tc>
          <w:tcPr>
            <w:tcW w:type="dxa" w:w="1660"/>
          </w:tcPr>
          <w:p>
            <w:r/>
            <w:r>
              <w:rPr>
                <w:rFonts w:ascii="Calibri" w:hAnsi="Calibri" w:eastAsia="微软雅黑"/>
                <w:b w:val="0"/>
                <w:i w:val="0"/>
                <w:sz w:val="18"/>
              </w:rPr>
              <w:t>现场资产与物权AI盘点</w:t>
            </w:r>
          </w:p>
        </w:tc>
        <w:tc>
          <w:tcPr>
            <w:tcW w:type="dxa" w:w="1660"/>
          </w:tcPr>
          <w:p>
            <w:r/>
            <w:r>
              <w:rPr>
                <w:rFonts w:ascii="Calibri" w:hAnsi="Calibri" w:eastAsia="微软雅黑"/>
                <w:b w:val="0"/>
                <w:i w:val="0"/>
                <w:sz w:val="18"/>
              </w:rPr>
              <w:t>分包商强占现场、物权不清</w:t>
            </w:r>
          </w:p>
        </w:tc>
        <w:tc>
          <w:tcPr>
            <w:tcW w:type="dxa" w:w="1660"/>
          </w:tcPr>
          <w:p>
            <w:r/>
            <w:r>
              <w:rPr>
                <w:rFonts w:ascii="Calibri" w:hAnsi="Calibri" w:eastAsia="微软雅黑"/>
                <w:b w:val="0"/>
                <w:i w:val="0"/>
                <w:sz w:val="18"/>
              </w:rPr>
              <w:t>一键生成资产清册，书面通知撤场并主张优先受偿权</w:t>
            </w:r>
          </w:p>
        </w:tc>
        <w:tc>
          <w:tcPr>
            <w:tcW w:type="dxa" w:w="1660"/>
          </w:tcPr>
          <w:p>
            <w:r/>
            <w:r>
              <w:rPr>
                <w:rFonts w:ascii="Calibri" w:hAnsi="Calibri" w:eastAsia="微软雅黑"/>
                <w:b w:val="0"/>
                <w:i w:val="0"/>
                <w:sz w:val="18"/>
              </w:rPr>
              <w:t>证据链与物权隔离</w:t>
            </w:r>
          </w:p>
        </w:tc>
      </w:tr>
    </w:tbl>
    <w:p>
      <w:r>
        <w:rPr>
          <w:rFonts w:ascii="Calibri" w:hAnsi="Calibri" w:eastAsia="微软雅黑"/>
          <w:b w:val="0"/>
          <w:i w:val="0"/>
          <w:sz w:val="22"/>
        </w:rPr>
        <w:t>这张清单的用法（本研究建议）：把它贴在数字化立项评审表的第一页——任何不能对应到清单某一行、又说不出回扣哪个因子的数字化投入，都应先按下暂停键，直到说清楚"它替企业锁定了什么、防住了什么"为止。</w:t>
      </w:r>
    </w:p>
    <w:p>
      <w:pPr>
        <w:pStyle w:val="Heading3"/>
      </w:pPr>
      <w:r>
        <w:t>10.5.3 三大典型误区与避坑指南</w:t>
      </w:r>
    </w:p>
    <w:p>
      <w:r>
        <w:rPr>
          <w:rFonts w:ascii="Calibri" w:hAnsi="Calibri" w:eastAsia="微软雅黑"/>
          <w:b w:val="0"/>
          <w:i w:val="0"/>
          <w:sz w:val="22"/>
        </w:rPr>
        <w:t>数字化是一把双刃剑，缺乏业务适配性的盲目投入容易导致资源浪费甚至管理混乱（判断为本研究据源文归纳）[来源: P000906, P000922]：</w:t>
      </w:r>
    </w:p>
    <w:p>
      <w:pPr>
        <w:pStyle w:val="Heading4"/>
      </w:pPr>
      <w:r>
        <w:t>表10-4 数字化转型三大误区与避坑对策（本研究归纳整理）[来源: P000906, P000922, P000916, P000911]</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误区</w:t>
            </w:r>
          </w:p>
        </w:tc>
        <w:tc>
          <w:tcPr>
            <w:tcW w:type="dxa" w:w="2767"/>
            <w:shd w:fill="1F3A5F"/>
          </w:tcPr>
          <w:p>
            <w:r>
              <w:rPr>
                <w:color w:val="FFFFFF"/>
              </w:rPr>
            </w:r>
            <w:r>
              <w:rPr>
                <w:rFonts w:ascii="Calibri" w:hAnsi="Calibri" w:eastAsia="微软雅黑"/>
                <w:b/>
                <w:i w:val="0"/>
                <w:color w:val="FFFFFF"/>
                <w:sz w:val="18"/>
              </w:rPr>
              <w:t>典型现象</w:t>
            </w:r>
          </w:p>
        </w:tc>
        <w:tc>
          <w:tcPr>
            <w:tcW w:type="dxa" w:w="2767"/>
            <w:shd w:fill="1F3A5F"/>
          </w:tcPr>
          <w:p>
            <w:r>
              <w:rPr>
                <w:color w:val="FFFFFF"/>
              </w:rPr>
            </w:r>
            <w:r>
              <w:rPr>
                <w:rFonts w:ascii="Calibri" w:hAnsi="Calibri" w:eastAsia="微软雅黑"/>
                <w:b/>
                <w:i w:val="0"/>
                <w:color w:val="FFFFFF"/>
                <w:sz w:val="18"/>
              </w:rPr>
              <w:t>避坑对策</w:t>
            </w:r>
          </w:p>
        </w:tc>
      </w:tr>
      <w:tr>
        <w:tc>
          <w:tcPr>
            <w:tcW w:type="dxa" w:w="2767"/>
          </w:tcPr>
          <w:p>
            <w:r/>
            <w:r>
              <w:rPr>
                <w:rFonts w:ascii="Calibri" w:hAnsi="Calibri" w:eastAsia="微软雅黑"/>
                <w:b w:val="0"/>
                <w:i w:val="0"/>
                <w:sz w:val="18"/>
              </w:rPr>
              <w:t>重软件采购、轻数据打通</w:t>
            </w:r>
          </w:p>
        </w:tc>
        <w:tc>
          <w:tcPr>
            <w:tcW w:type="dxa" w:w="2767"/>
          </w:tcPr>
          <w:p>
            <w:r/>
            <w:r>
              <w:rPr>
                <w:rFonts w:ascii="Calibri" w:hAnsi="Calibri" w:eastAsia="微软雅黑"/>
                <w:b w:val="0"/>
                <w:i w:val="0"/>
                <w:sz w:val="18"/>
              </w:rPr>
              <w:t>盲目采购大量独立的设计、财务与项目管理系统，系统间编码不统一、数据无法互通，形成新的"数字鸿沟"</w:t>
            </w:r>
          </w:p>
        </w:tc>
        <w:tc>
          <w:tcPr>
            <w:tcW w:type="dxa" w:w="2767"/>
          </w:tcPr>
          <w:p>
            <w:r/>
            <w:r>
              <w:rPr>
                <w:rFonts w:ascii="Calibri" w:hAnsi="Calibri" w:eastAsia="微软雅黑"/>
                <w:b w:val="0"/>
                <w:i w:val="0"/>
                <w:sz w:val="18"/>
              </w:rPr>
              <w:t>遵循"编码先行"原则：采购系统前先制定集团统一的工程分解结构与物料编码字典，要求供应商开放标准化接口确保数据入湖（山东院统一编码打通全过程数据通道为实证）[来源: P000922]</w:t>
            </w:r>
          </w:p>
        </w:tc>
      </w:tr>
      <w:tr>
        <w:tc>
          <w:tcPr>
            <w:tcW w:type="dxa" w:w="2767"/>
          </w:tcPr>
          <w:p>
            <w:r/>
            <w:r>
              <w:rPr>
                <w:rFonts w:ascii="Calibri" w:hAnsi="Calibri" w:eastAsia="微软雅黑"/>
                <w:b w:val="0"/>
                <w:i w:val="0"/>
                <w:sz w:val="18"/>
              </w:rPr>
              <w:t>重总部展示、轻现场实用</w:t>
            </w:r>
          </w:p>
        </w:tc>
        <w:tc>
          <w:tcPr>
            <w:tcW w:type="dxa" w:w="2767"/>
          </w:tcPr>
          <w:p>
            <w:r/>
            <w:r>
              <w:rPr>
                <w:rFonts w:ascii="Calibri" w:hAnsi="Calibri" w:eastAsia="微软雅黑"/>
                <w:b w:val="0"/>
                <w:i w:val="0"/>
                <w:sz w:val="18"/>
              </w:rPr>
              <w:t>重金打造可视化大屏与三维演示模型，但现场人员觉得系统繁琐、增加工作量，导致数据依靠人工虚假补录</w:t>
            </w:r>
          </w:p>
        </w:tc>
        <w:tc>
          <w:tcPr>
            <w:tcW w:type="dxa" w:w="2767"/>
          </w:tcPr>
          <w:p>
            <w:r/>
            <w:r>
              <w:rPr>
                <w:rFonts w:ascii="Calibri" w:hAnsi="Calibri" w:eastAsia="微软雅黑"/>
                <w:b w:val="0"/>
                <w:i w:val="0"/>
                <w:sz w:val="18"/>
              </w:rPr>
              <w:t>工具选型面向现场一线：优先推广无感感知设备（智能闸机、AI摄像机、智能磅秤），减少一线提报负担，并建立现场数据真实度专项考核</w:t>
            </w:r>
          </w:p>
        </w:tc>
      </w:tr>
      <w:tr>
        <w:tc>
          <w:tcPr>
            <w:tcW w:type="dxa" w:w="2767"/>
          </w:tcPr>
          <w:p>
            <w:r/>
            <w:r>
              <w:rPr>
                <w:rFonts w:ascii="Calibri" w:hAnsi="Calibri" w:eastAsia="微软雅黑"/>
                <w:b w:val="0"/>
                <w:i w:val="0"/>
                <w:sz w:val="18"/>
              </w:rPr>
              <w:t>重技术堆砌、轻制度重构</w:t>
            </w:r>
          </w:p>
        </w:tc>
        <w:tc>
          <w:tcPr>
            <w:tcW w:type="dxa" w:w="2767"/>
          </w:tcPr>
          <w:p>
            <w:r/>
            <w:r>
              <w:rPr>
                <w:rFonts w:ascii="Calibri" w:hAnsi="Calibri" w:eastAsia="微软雅黑"/>
                <w:b w:val="0"/>
                <w:i w:val="0"/>
                <w:sz w:val="18"/>
              </w:rPr>
              <w:t>上线数字化审批系统但内部仍要求线下纸质签字，审批节点不降反增</w:t>
            </w:r>
          </w:p>
        </w:tc>
        <w:tc>
          <w:tcPr>
            <w:tcW w:type="dxa" w:w="2767"/>
          </w:tcPr>
          <w:p>
            <w:r/>
            <w:r>
              <w:rPr>
                <w:rFonts w:ascii="Calibri" w:hAnsi="Calibri" w:eastAsia="微软雅黑"/>
                <w:b w:val="0"/>
                <w:i w:val="0"/>
                <w:sz w:val="18"/>
              </w:rPr>
              <w:t>数字化与业务流程重构同步推进：赋予电子签章与电子凭证同等组织效力，取消不必要的线下审批环节（五环"数智五环"以统一工程数据中心倒逼流程再造为参照）[来源: P000916]</w:t>
            </w:r>
          </w:p>
        </w:tc>
      </w:tr>
    </w:tbl>
    <w:p>
      <w:r>
        <w:rPr>
          <w:rFonts w:ascii="Calibri" w:hAnsi="Calibri" w:eastAsia="微软雅黑"/>
          <w:b w:val="0"/>
          <w:i w:val="0"/>
          <w:sz w:val="22"/>
        </w:rPr>
        <w:t>与三大误区对应的还有三个致命反模式（据专项研究成果的反模式框整理）：</w:t>
      </w:r>
      <w:r>
        <w:rPr>
          <w:rFonts w:ascii="Calibri" w:hAnsi="Calibri" w:eastAsia="微软雅黑"/>
          <w:b/>
          <w:i w:val="0"/>
          <w:sz w:val="22"/>
        </w:rPr>
        <w:t>无技术凭证请款</w:t>
      </w:r>
      <w:r>
        <w:rPr>
          <w:rFonts w:ascii="Calibri" w:hAnsi="Calibri" w:eastAsia="微软雅黑"/>
          <w:b w:val="0"/>
          <w:i w:val="0"/>
          <w:sz w:val="22"/>
        </w:rPr>
        <w:t>——仅提交节点完工报告而忽视过程技术文件，发包方依法行使先履行抗辩权拒付节点款，法院支持发包方；</w:t>
      </w:r>
      <w:r>
        <w:rPr>
          <w:rFonts w:ascii="Calibri" w:hAnsi="Calibri" w:eastAsia="微软雅黑"/>
          <w:b/>
          <w:i w:val="0"/>
          <w:sz w:val="22"/>
        </w:rPr>
        <w:t>盲目垫资与粗放领料</w:t>
      </w:r>
      <w:r>
        <w:rPr>
          <w:rFonts w:ascii="Calibri" w:hAnsi="Calibri" w:eastAsia="微软雅黑"/>
          <w:b w:val="0"/>
          <w:i w:val="0"/>
          <w:sz w:val="22"/>
        </w:rPr>
        <w:t>——高价值材料领用无实名识别与焊缝量核对、依靠人工纸质签单，材料损耗超标加剧流动资金占用；</w:t>
      </w:r>
      <w:r>
        <w:rPr>
          <w:rFonts w:ascii="Calibri" w:hAnsi="Calibri" w:eastAsia="微软雅黑"/>
          <w:b/>
          <w:i w:val="0"/>
          <w:sz w:val="22"/>
        </w:rPr>
        <w:t>主合同解除后强占现场</w:t>
      </w:r>
      <w:r>
        <w:rPr>
          <w:rFonts w:ascii="Calibri" w:hAnsi="Calibri" w:eastAsia="微软雅黑"/>
          <w:b w:val="0"/>
          <w:i w:val="0"/>
          <w:sz w:val="22"/>
        </w:rPr>
        <w:t>——分包商以债权或优先受偿权为由拒不撤场，构成侵权并承担赔偿责任 [来源: P000951]。</w:t>
      </w:r>
    </w:p>
    <w:p>
      <w:r>
        <w:rPr>
          <w:rFonts w:ascii="Calibri" w:hAnsi="Calibri" w:eastAsia="微软雅黑"/>
          <w:b w:val="0"/>
          <w:i w:val="0"/>
          <w:sz w:val="22"/>
        </w:rPr>
        <w:t>误区与反模式的区别值得决策层留意（本研究归纳）：误区是"投入方向错了"，损失的是预算；反模式是"履约动作错了"，损失的是工程款、流动资金乃至现场控制权——前者可以用止损纠偏，后者往往要到诉讼阶段才被发现。数字化治理因此应同时设置两道闸门：立项评审防误区，履约清单防反模式。</w:t>
      </w:r>
    </w:p>
    <w:p>
      <w:pPr>
        <w:pStyle w:val="Heading3"/>
      </w:pPr>
      <w:r>
        <w:t>10.5.4 未来演进的三条主线</w:t>
      </w:r>
    </w:p>
    <w:p>
      <w:r>
        <w:rPr>
          <w:rFonts w:ascii="Calibri" w:hAnsi="Calibri" w:eastAsia="微软雅黑"/>
          <w:b w:val="0"/>
          <w:i w:val="0"/>
          <w:sz w:val="22"/>
        </w:rPr>
        <w:t>站在当前时点展望，工程总承包行业的数字化与技术创新呈现三大演进趋势（趋势归纳为本研究据源文整理）[来源: P000906, P000932, P000934]：</w:t>
      </w:r>
    </w:p>
    <w:p>
      <w:pPr>
        <w:pStyle w:val="ListNumber"/>
      </w:pPr>
      <w:r>
        <w:rPr>
          <w:rFonts w:ascii="Calibri" w:hAnsi="Calibri" w:eastAsia="微软雅黑"/>
          <w:b/>
          <w:i w:val="0"/>
          <w:sz w:val="22"/>
        </w:rPr>
        <w:t>AI与工程知识库深度融合</w:t>
      </w:r>
      <w:r>
        <w:rPr>
          <w:rFonts w:ascii="Calibri" w:hAnsi="Calibri" w:eastAsia="微软雅黑"/>
          <w:b w:val="0"/>
          <w:i w:val="0"/>
          <w:sz w:val="22"/>
        </w:rPr>
        <w:t>：生成式AI与工程行业知识库结合，将改变投标文件编制、设计方案比选及合规性审查的作业方式——从数天级的初稿编制压缩到数小时级（方向表述为本研究归纳）。</w:t>
      </w:r>
    </w:p>
    <w:p>
      <w:pPr>
        <w:pStyle w:val="ListNumber"/>
      </w:pPr>
      <w:r>
        <w:rPr>
          <w:rFonts w:ascii="Calibri" w:hAnsi="Calibri" w:eastAsia="微软雅黑"/>
          <w:b/>
          <w:i w:val="0"/>
          <w:sz w:val="22"/>
        </w:rPr>
        <w:t>数字孪生从"静态交付"走向"动态协同"</w:t>
      </w:r>
      <w:r>
        <w:rPr>
          <w:rFonts w:ascii="Calibri" w:hAnsi="Calibri" w:eastAsia="微软雅黑"/>
          <w:b w:val="0"/>
          <w:i w:val="0"/>
          <w:sz w:val="22"/>
        </w:rPr>
        <w:t>：物理工程与数字模型的交互不再单向，而是基于物联网传感与算法实现双向控制——数字孪生系统可根据运行数据反向调节现场设备运行状态，实现预测性维护与能耗优化（寰球PIM数字孪生底座与市政总院OBIM平台已是其雏形）[来源: P000906, P000927]。</w:t>
      </w:r>
    </w:p>
    <w:p>
      <w:pPr>
        <w:pStyle w:val="ListNumber"/>
      </w:pPr>
      <w:r>
        <w:rPr>
          <w:rFonts w:ascii="Calibri" w:hAnsi="Calibri" w:eastAsia="微软雅黑"/>
          <w:b/>
          <w:i w:val="0"/>
          <w:sz w:val="22"/>
        </w:rPr>
        <w:t>"数字化＋绿色低碳"双轮驱动</w:t>
      </w:r>
      <w:r>
        <w:rPr>
          <w:rFonts w:ascii="Calibri" w:hAnsi="Calibri" w:eastAsia="微软雅黑"/>
          <w:b w:val="0"/>
          <w:i w:val="0"/>
          <w:sz w:val="22"/>
        </w:rPr>
        <w:t>：数字化成为低碳建造的核心支点——通过数字化供应链追踪材料碳足迹、以算法优化配合比与施工运输路线，将成为获取高端环保EPC项目的竞争壁垒；山东路桥零碳综合场站（发电13万度、碳减排95吨）与"黑灯工厂"（效率提高2-3倍）提供了绿智融合的现实样本 [来源: P000934]。</w:t>
      </w:r>
    </w:p>
    <w:p>
      <w:r>
        <w:rPr>
          <w:rFonts w:ascii="Calibri" w:hAnsi="Calibri" w:eastAsia="微软雅黑"/>
          <w:b w:val="0"/>
          <w:i w:val="0"/>
          <w:sz w:val="22"/>
        </w:rPr>
        <w:t>对三条趋势的优先级判断（本研究观点）：对多数工程企业而言，短期最值得投入的不是追赶AI热点，而是把数字孪生从"静态交付"推进到"动态协同"、把碳数据纳入供应链台账——前者直接延长EPC的服务收费期，后者直接决定能否入围高端环保项目的短名单；AI工程大模型则应从小场景（标书初稿、合规审查、工法检索）切入试水，等待行业知识库与数据治理成熟后再扩展。趋势投资的顺序错了，会比不投资浪费更多。</w:t>
      </w:r>
    </w:p>
    <w:p>
      <w:r>
        <w:rPr>
          <w:rFonts w:ascii="Calibri" w:hAnsi="Calibri" w:eastAsia="微软雅黑"/>
          <w:b w:val="0"/>
          <w:i w:val="0"/>
          <w:sz w:val="22"/>
        </w:rPr>
        <w:t>---</w:t>
      </w:r>
    </w:p>
    <w:p>
      <w:pPr>
        <w:pStyle w:val="Heading2"/>
      </w:pPr>
      <w:r>
        <w:t>10.6 本章小结要点</w:t>
      </w:r>
    </w:p>
    <w:p>
      <w:pPr>
        <w:pStyle w:val="ListNumber"/>
      </w:pPr>
      <w:r>
        <w:rPr>
          <w:rFonts w:ascii="Calibri" w:hAnsi="Calibri" w:eastAsia="微软雅黑"/>
          <w:b/>
          <w:i w:val="0"/>
          <w:sz w:val="22"/>
        </w:rPr>
        <w:t>底层建构是根本</w:t>
      </w:r>
      <w:r>
        <w:rPr>
          <w:rFonts w:ascii="Calibri" w:hAnsi="Calibri" w:eastAsia="微软雅黑"/>
          <w:b w:val="0"/>
          <w:i w:val="0"/>
          <w:sz w:val="22"/>
        </w:rPr>
        <w:t>：数字化转型绝非孤立的软件采购——五环"1-4-6-3"框架与"数智五环"工程数据平台（每年研发投入占比超3%、2024年投入超2亿元）、山东院统一编码打通全过程数据通道（设计周期缩短20%、采购周期缩短15%、管理成本降低12%）、三局企业级ERP与云筑网集成，共同证明"先立数据标准、再谈系统建设"的次序不可颠倒；组织侧的市政总院"数字科技公司＋智慧建造研究院"与中城科泽三级创新体系（BIM应用率90%以上）则证明，没有组织与人才保障的数据中心只是机房 [来源: P000916, P000922, P000911, P000927, P000901]。</w:t>
      </w:r>
    </w:p>
    <w:p>
      <w:pPr>
        <w:pStyle w:val="ListNumber"/>
      </w:pPr>
      <w:r>
        <w:rPr>
          <w:rFonts w:ascii="Calibri" w:hAnsi="Calibri" w:eastAsia="微软雅黑"/>
          <w:b/>
          <w:i w:val="0"/>
          <w:sz w:val="22"/>
        </w:rPr>
        <w:t>虚拟建造是精髓</w:t>
      </w:r>
      <w:r>
        <w:rPr>
          <w:rFonts w:ascii="Calibri" w:hAnsi="Calibri" w:eastAsia="微软雅黑"/>
          <w:b w:val="0"/>
          <w:i w:val="0"/>
          <w:sz w:val="22"/>
        </w:rPr>
        <w:t>：寰球"大设计"正向设计（变更率降低30%以上、备料精准度98%以上）、三局5D模拟（复杂节点工效提升25%）、市政总院石洞口仿真（节省工期45天），把碰撞与返工消灭在图纸阶段；山东院东营辉阳500千伏变电站全专业正向设计使二次返工率降低80%并斩获电力建设数字化应用奖，验证了该路径在输变电场景的通用性；数字化交付（寰球PIM数字孪生底座、市政总院OBIM故障定位时间缩短70%）则打开了延伸至资产运维的长期价值空间 [来源: P000906, P000911, P000927, P000922]。</w:t>
      </w:r>
    </w:p>
    <w:p>
      <w:pPr>
        <w:pStyle w:val="ListNumber"/>
      </w:pPr>
      <w:r>
        <w:rPr>
          <w:rFonts w:ascii="Calibri" w:hAnsi="Calibri" w:eastAsia="微软雅黑"/>
          <w:b/>
          <w:i w:val="0"/>
          <w:sz w:val="22"/>
        </w:rPr>
        <w:t>智慧工地是防线更是算力</w:t>
      </w:r>
      <w:r>
        <w:rPr>
          <w:rFonts w:ascii="Calibri" w:hAnsi="Calibri" w:eastAsia="微软雅黑"/>
          <w:b w:val="0"/>
          <w:i w:val="0"/>
          <w:sz w:val="22"/>
        </w:rPr>
        <w:t>：D＝A×K＋（Q1P1－Q2P2）总公式揭示了智慧工地的商业本质——劳务实名制锁定人工费因子、物联网称重锁定材料价差因子、BIM自动提量驱动结构修正量，现场感知数据直接变成结算调价的证据资产 [来源: P000951]。寰球AI感知（事故率降低20%以上）、中石化南京无人超市焊材库（废损率降低80%以上）、山东路桥智慧供应链（765个项目全要素覆盖）构成三级实证 [来源: P000906, P000951, P000934]。</w:t>
      </w:r>
    </w:p>
    <w:p>
      <w:pPr>
        <w:pStyle w:val="ListNumber"/>
      </w:pPr>
      <w:r>
        <w:rPr>
          <w:rFonts w:ascii="Calibri" w:hAnsi="Calibri" w:eastAsia="微软雅黑"/>
          <w:b/>
          <w:i w:val="0"/>
          <w:sz w:val="22"/>
        </w:rPr>
        <w:t>数字资产是壁垒</w:t>
      </w:r>
      <w:r>
        <w:rPr>
          <w:rFonts w:ascii="Calibri" w:hAnsi="Calibri" w:eastAsia="微软雅黑"/>
          <w:b w:val="0"/>
          <w:i w:val="0"/>
          <w:sz w:val="22"/>
        </w:rPr>
        <w:t>：中国化学（研发投入67.17亿元、研发人员6815人、年发布国标19项、行标12项、团标28项）、山东路桥（工法312项、专利2962项其中发明专利597项、标准121项、庆章黄河特大桥三项世界之最）、寰球（国标33项、专有技术60项、国家级工法3项）以标准与专利构筑难以复制的壁垒，并经由软件产品化（市政总院OBIM对外输出）、中试基地共享（中国化学淄博、南港、武穴三基地）与专有装备许可走完变现回路 [来源: P000932, P000934, P000906, P000927]。</w:t>
      </w:r>
    </w:p>
    <w:p>
      <w:pPr>
        <w:pStyle w:val="ListNumber"/>
      </w:pPr>
      <w:r>
        <w:rPr>
          <w:rFonts w:ascii="Calibri" w:hAnsi="Calibri" w:eastAsia="微软雅黑"/>
          <w:b/>
          <w:i w:val="0"/>
          <w:sz w:val="22"/>
        </w:rPr>
        <w:t>买家决策重在回报而非系统</w:t>
      </w:r>
      <w:r>
        <w:rPr>
          <w:rFonts w:ascii="Calibri" w:hAnsi="Calibri" w:eastAsia="微软雅黑"/>
          <w:b w:val="0"/>
          <w:i w:val="0"/>
          <w:sz w:val="22"/>
        </w:rPr>
        <w:t>：决策层应建立贯穿"投标技术标溢价—履约调价确权—资产商业化输出"的回报精算机制，用一页纸速查清单逐项核对每笔数字化投入"锁定了什么因子、防住了什么风险"；坚决避开重买轻用、大屏脱离现场、技术与制度脱节三大误区，警惕无技术凭证请款、盲目垫资粗放领料、主合同解除后强占现场三个致命反模式；同时牢记数字化凭证的效力边界——它强化证据但不能替代合同约定，更不能对抗独立保函的独立性原则 [来源: P000951]。</w:t>
      </w:r>
    </w:p>
    <w:p>
      <w:pPr>
        <w:pStyle w:val="ListNumber"/>
      </w:pPr>
      <w:r>
        <w:rPr>
          <w:rFonts w:ascii="Calibri" w:hAnsi="Calibri" w:eastAsia="微软雅黑"/>
          <w:b/>
          <w:i w:val="0"/>
          <w:sz w:val="22"/>
        </w:rPr>
        <w:t>绿智融合是下一站</w:t>
      </w:r>
      <w:r>
        <w:rPr>
          <w:rFonts w:ascii="Calibri" w:hAnsi="Calibri" w:eastAsia="微软雅黑"/>
          <w:b w:val="0"/>
          <w:i w:val="0"/>
          <w:sz w:val="22"/>
        </w:rPr>
        <w:t>：零碳场站、黑灯工厂与数字孪生动态协同，正在把"绿色化＋智能化"从口号变成可计量的工程竞争力（本研究归纳）[来源: P000934]。</w:t>
      </w:r>
    </w:p>
    <w:p>
      <w:r>
        <w:rPr>
          <w:rFonts w:ascii="Calibri" w:hAnsi="Calibri" w:eastAsia="微软雅黑"/>
          <w:b w:val="0"/>
          <w:i w:val="0"/>
          <w:sz w:val="22"/>
        </w:rPr>
        <w:t>---</w:t>
      </w:r>
    </w:p>
    <w:p>
      <w:pPr>
        <w:pStyle w:val="Heading2"/>
      </w:pPr>
      <w:r>
        <w:t>10.7 本章证据边界与数据说明</w:t>
      </w:r>
    </w:p>
    <w:p>
      <w:pPr>
        <w:pStyle w:val="ListNumber"/>
      </w:pPr>
      <w:r>
        <w:rPr>
          <w:rFonts w:ascii="Calibri" w:hAnsi="Calibri" w:eastAsia="微软雅黑"/>
          <w:b/>
          <w:i w:val="0"/>
          <w:sz w:val="22"/>
        </w:rPr>
        <w:t>数据来源说明</w:t>
      </w:r>
      <w:r>
        <w:rPr>
          <w:rFonts w:ascii="Calibri" w:hAnsi="Calibri" w:eastAsia="微软雅黑"/>
          <w:b w:val="0"/>
          <w:i w:val="0"/>
          <w:sz w:val="22"/>
        </w:rPr>
        <w:t>：本章企业事实取自事实资料库实收的七份专业机构研究报告（中国五环、中国寰球、山东院、上海市政总院、中城科泽、中建三局）[来源: P000916, P000906, P000922, P000927, P000901, P000911]、两份经审计年度报告（中国化学601117、山东路桥000498的2025年报）[来源: P000932, P000934]；智慧工地总公式、无人超市焊材库、五类请款凭证与反模式框架取自既有数字化专项研究成果 [来源: P000951]。</w:t>
      </w:r>
    </w:p>
    <w:p>
      <w:pPr>
        <w:pStyle w:val="ListNumber"/>
      </w:pPr>
      <w:r>
        <w:rPr>
          <w:rFonts w:ascii="Calibri" w:hAnsi="Calibri" w:eastAsia="微软雅黑"/>
          <w:b/>
          <w:i w:val="0"/>
          <w:sz w:val="22"/>
        </w:rPr>
        <w:t>统计口径与时间跨度</w:t>
      </w:r>
      <w:r>
        <w:rPr>
          <w:rFonts w:ascii="Calibri" w:hAnsi="Calibri" w:eastAsia="微软雅黑"/>
          <w:b w:val="0"/>
          <w:i w:val="0"/>
          <w:sz w:val="22"/>
        </w:rPr>
        <w:t>：中国化学研发数据（投入67.17亿元、人员6815人、专利与工法）为2025年报口径 [来源: P000932]；山东路桥专利工法与项目数据（765个在建项目、零碳场站）为2025年报口径 [来源: P000934]；山东院研发投入（近3年11.6亿元）为研究报告整理口径 [来源: P000922]；中城科泽中标数据为2023年上半年与2025年第一季度口径 [来源: P000901]；五环研发投入占比与2024年投入为研究报告口径 [来源: P000916]。</w:t>
      </w:r>
    </w:p>
    <w:p>
      <w:pPr>
        <w:pStyle w:val="ListNumber"/>
      </w:pPr>
      <w:r>
        <w:rPr>
          <w:rFonts w:ascii="Calibri" w:hAnsi="Calibri" w:eastAsia="微软雅黑"/>
          <w:b/>
          <w:i w:val="0"/>
          <w:sz w:val="22"/>
        </w:rPr>
        <w:t>研究证据边界与局限性声明</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推演边界</w:t>
      </w:r>
      <w:r>
        <w:rPr>
          <w:rFonts w:ascii="Calibri" w:hAnsi="Calibri" w:eastAsia="微软雅黑"/>
          <w:b w:val="0"/>
          <w:i w:val="0"/>
          <w:sz w:val="22"/>
        </w:rPr>
        <w:t>：本章各"可执行方法/四步法/五步法"及三大误区对策为本研究归纳的操作框架；智慧工地量化成效（事故率降低、效率提升等百分比）为各企业研究报告整理口径，跨企业引用时应注意项目类型与基线差异。</w:t>
      </w:r>
    </w:p>
    <w:p>
      <w:r>
        <w:rPr>
          <w:rFonts w:ascii="Calibri" w:hAnsi="Calibri" w:eastAsia="微软雅黑"/>
          <w:b w:val="0"/>
          <w:i w:val="0"/>
          <w:sz w:val="22"/>
        </w:rPr>
        <w:t xml:space="preserve">- </w:t>
      </w:r>
      <w:r>
        <w:rPr>
          <w:rFonts w:ascii="Calibri" w:hAnsi="Calibri" w:eastAsia="微软雅黑"/>
          <w:b/>
          <w:i w:val="0"/>
          <w:sz w:val="22"/>
        </w:rPr>
        <w:t>公式口径边界</w:t>
      </w:r>
      <w:r>
        <w:rPr>
          <w:rFonts w:ascii="Calibri" w:hAnsi="Calibri" w:eastAsia="微软雅黑"/>
          <w:b w:val="0"/>
          <w:i w:val="0"/>
          <w:sz w:val="22"/>
        </w:rPr>
        <w:t>：D＝A×K＋（Q1P1－Q2P2）总公式及因子锁定逻辑为专项研究成果构建的管控框架；其实际效力取决于合同对调价机制与凭证要求的约定——合同未约定可调价或凭证形式的，数字化数据不能单方创设调价权（边界据专项研究成果自述）[来源: P000951]。</w:t>
      </w:r>
    </w:p>
    <w:p>
      <w:r>
        <w:rPr>
          <w:rFonts w:ascii="Calibri" w:hAnsi="Calibri" w:eastAsia="微软雅黑"/>
          <w:b w:val="0"/>
          <w:i w:val="0"/>
          <w:sz w:val="22"/>
        </w:rPr>
        <w:t xml:space="preserve">- </w:t>
      </w:r>
      <w:r>
        <w:rPr>
          <w:rFonts w:ascii="Calibri" w:hAnsi="Calibri" w:eastAsia="微软雅黑"/>
          <w:b/>
          <w:i w:val="0"/>
          <w:sz w:val="22"/>
        </w:rPr>
        <w:t>法律效力边界</w:t>
      </w:r>
      <w:r>
        <w:rPr>
          <w:rFonts w:ascii="Calibri" w:hAnsi="Calibri" w:eastAsia="微软雅黑"/>
          <w:b w:val="0"/>
          <w:i w:val="0"/>
          <w:sz w:val="22"/>
        </w:rPr>
        <w:t>：数字化台账不能替代独立的合同约定；合同明确约定以行政审计结论作为结算唯一依据且系真实意思表示的，行政审计结论仍可能作为结算依据；独立保函场景下受益人单据表面相符时独立性原则优先，数字化凭证仅在法定欺诈情形下用于止付审查 [来源: P000951]。</w:t>
      </w:r>
    </w:p>
    <w:p>
      <w:r>
        <w:rPr>
          <w:rFonts w:ascii="Calibri" w:hAnsi="Calibri" w:eastAsia="微软雅黑"/>
          <w:b w:val="0"/>
          <w:i w:val="0"/>
          <w:sz w:val="22"/>
        </w:rPr>
        <w:t xml:space="preserve">- </w:t>
      </w:r>
      <w:r>
        <w:rPr>
          <w:rFonts w:ascii="Calibri" w:hAnsi="Calibri" w:eastAsia="微软雅黑"/>
          <w:b/>
          <w:i w:val="0"/>
          <w:sz w:val="22"/>
        </w:rPr>
        <w:t>行业适用边界</w:t>
      </w:r>
      <w:r>
        <w:rPr>
          <w:rFonts w:ascii="Calibri" w:hAnsi="Calibri" w:eastAsia="微软雅黑"/>
          <w:b w:val="0"/>
          <w:i w:val="0"/>
          <w:sz w:val="22"/>
        </w:rPr>
        <w:t>：本章虚拟建造、智慧工地及数字资产变现模式主要适用于石化化工、电力能源、市政水务、交通公路及超高层建筑等大中型EPC工程；小型分包或简单房建项目应按规模调整软硬件投入比例，避免照搬照套（适用边界据源文整理）。</w:t>
      </w:r>
    </w:p>
    <w:p>
      <w:r>
        <w:rPr>
          <w:rFonts w:ascii="Calibri" w:hAnsi="Calibri" w:eastAsia="微软雅黑"/>
          <w:b w:val="0"/>
          <w:i w:val="0"/>
          <w:sz w:val="22"/>
        </w:rPr>
        <w:t xml:space="preserve">- </w:t>
      </w:r>
      <w:r>
        <w:rPr>
          <w:rFonts w:ascii="Calibri" w:hAnsi="Calibri" w:eastAsia="微软雅黑"/>
          <w:b/>
          <w:i w:val="0"/>
          <w:sz w:val="22"/>
        </w:rPr>
        <w:t>时效边界</w:t>
      </w:r>
      <w:r>
        <w:rPr>
          <w:rFonts w:ascii="Calibri" w:hAnsi="Calibri" w:eastAsia="微软雅黑"/>
          <w:b w:val="0"/>
          <w:i w:val="0"/>
          <w:sz w:val="22"/>
        </w:rPr>
        <w:t>：企业数字化平台、专利数量与组织架构随时间演进较快，跨年度引用时应回企业最新披露核对。</w:t>
      </w:r>
    </w:p>
    <w:p>
      <w:r>
        <w:rPr>
          <w:rFonts w:ascii="Calibri" w:hAnsi="Calibri" w:eastAsia="微软雅黑"/>
          <w:b w:val="0"/>
          <w:i w:val="0"/>
          <w:sz w:val="22"/>
        </w:rPr>
        <w:t xml:space="preserve">- </w:t>
      </w:r>
      <w:r>
        <w:rPr>
          <w:rFonts w:ascii="Calibri" w:hAnsi="Calibri" w:eastAsia="微软雅黑"/>
          <w:b/>
          <w:i w:val="0"/>
          <w:sz w:val="22"/>
        </w:rPr>
        <w:t>成效口径边界</w:t>
      </w:r>
      <w:r>
        <w:rPr>
          <w:rFonts w:ascii="Calibri" w:hAnsi="Calibri" w:eastAsia="微软雅黑"/>
          <w:b w:val="0"/>
          <w:i w:val="0"/>
          <w:sz w:val="22"/>
        </w:rPr>
        <w:t>：本章引用的量化成效（设计周期缩短、变更率降低、损耗率控制等百分比）分别来自各企业研究报告与专项研究成果的整理口径，统计基线、项目类型与测算方法互有差异，跨企业横向比较须先核对口径，不宜直接排序。</w:t>
      </w:r>
    </w:p>
    <w:p>
      <w:r>
        <w:rPr>
          <w:rFonts w:ascii="Calibri" w:hAnsi="Calibri" w:eastAsia="微软雅黑"/>
          <w:b w:val="0"/>
          <w:i w:val="0"/>
          <w:sz w:val="22"/>
        </w:rPr>
        <w:t xml:space="preserve">- </w:t>
      </w:r>
      <w:r>
        <w:rPr>
          <w:rFonts w:ascii="Calibri" w:hAnsi="Calibri" w:eastAsia="微软雅黑"/>
          <w:b/>
          <w:i w:val="0"/>
          <w:sz w:val="22"/>
        </w:rPr>
        <w:t>技术可得性边界</w:t>
      </w:r>
      <w:r>
        <w:rPr>
          <w:rFonts w:ascii="Calibri" w:hAnsi="Calibri" w:eastAsia="微软雅黑"/>
          <w:b w:val="0"/>
          <w:i w:val="0"/>
          <w:sz w:val="22"/>
        </w:rPr>
        <w:t>：AI视觉算法、无人超市领料与数字孪生等均为当前标杆企业的实践快照，落地效果依赖现场网络条件、数据治理成熟度与组织配套；企业实施时应结合自身基础分步推进，避免照搬照套。</w:t>
      </w:r>
    </w:p>
    <w:p>
      <w:r>
        <w:rPr>
          <w:rFonts w:ascii="Calibri" w:hAnsi="Calibri" w:eastAsia="微软雅黑"/>
          <w:b w:val="0"/>
          <w:i w:val="0"/>
          <w:sz w:val="22"/>
        </w:rPr>
        <w:t>---</w:t>
      </w:r>
    </w:p>
    <w:p>
      <w:pPr>
        <w:pStyle w:val="Heading2"/>
      </w:pPr>
      <w:r>
        <w:t>本章尾注（事实锚源对照）</w:t>
      </w:r>
    </w:p>
    <w:tbl>
      <w:tblPr>
        <w:tblStyle w:val="TableGrid"/>
        <w:tblW w:type="auto" w:w="0"/>
        <w:tblLook w:firstColumn="1" w:firstRow="1" w:lastColumn="0" w:lastRow="0" w:noHBand="0" w:noVBand="1" w:val="04A0"/>
      </w:tblPr>
      <w:tblGrid>
        <w:gridCol w:w="4150"/>
        <w:gridCol w:w="4150"/>
      </w:tblGrid>
      <w:tr>
        <w:tc>
          <w:tcPr>
            <w:tcW w:type="dxa" w:w="4150"/>
            <w:shd w:fill="1F3A5F"/>
          </w:tcPr>
          <w:p>
            <w:r>
              <w:rPr>
                <w:color w:val="FFFFFF"/>
              </w:rPr>
            </w:r>
            <w:r>
              <w:rPr>
                <w:rFonts w:ascii="Calibri" w:hAnsi="Calibri" w:eastAsia="微软雅黑"/>
                <w:b/>
                <w:i w:val="0"/>
                <w:color w:val="FFFFFF"/>
                <w:sz w:val="18"/>
              </w:rPr>
              <w:t>事实锚</w:t>
            </w:r>
          </w:p>
        </w:tc>
        <w:tc>
          <w:tcPr>
            <w:tcW w:type="dxa" w:w="4150"/>
            <w:shd w:fill="1F3A5F"/>
          </w:tcPr>
          <w:p>
            <w:r>
              <w:rPr>
                <w:color w:val="FFFFFF"/>
              </w:rPr>
            </w:r>
            <w:r>
              <w:rPr>
                <w:rFonts w:ascii="Calibri" w:hAnsi="Calibri" w:eastAsia="微软雅黑"/>
                <w:b/>
                <w:i w:val="0"/>
                <w:color w:val="FFFFFF"/>
                <w:sz w:val="18"/>
              </w:rPr>
              <w:t>源文（事实资料库实收件）</w:t>
            </w:r>
          </w:p>
        </w:tc>
      </w:tr>
      <w:tr>
        <w:tc>
          <w:tcPr>
            <w:tcW w:type="dxa" w:w="4150"/>
          </w:tcPr>
          <w:p>
            <w:r/>
            <w:r>
              <w:rPr>
                <w:rFonts w:ascii="Calibri" w:hAnsi="Calibri" w:eastAsia="微软雅黑"/>
                <w:b w:val="0"/>
                <w:i w:val="0"/>
                <w:sz w:val="18"/>
              </w:rPr>
              <w:t>P000901</w:t>
            </w:r>
          </w:p>
        </w:tc>
        <w:tc>
          <w:tcPr>
            <w:tcW w:type="dxa" w:w="4150"/>
          </w:tcPr>
          <w:p>
            <w:r/>
            <w:r>
              <w:rPr>
                <w:rFonts w:ascii="Calibri" w:hAnsi="Calibri" w:eastAsia="微软雅黑"/>
                <w:b w:val="0"/>
                <w:i w:val="0"/>
                <w:sz w:val="18"/>
              </w:rPr>
              <w:t>中城科泽工程设计集团有限责任公司EPC总承包业务研究报告（事实资料库研究报告首片）</w:t>
            </w:r>
          </w:p>
        </w:tc>
      </w:tr>
      <w:tr>
        <w:tc>
          <w:tcPr>
            <w:tcW w:type="dxa" w:w="4150"/>
          </w:tcPr>
          <w:p>
            <w:r/>
            <w:r>
              <w:rPr>
                <w:rFonts w:ascii="Calibri" w:hAnsi="Calibri" w:eastAsia="微软雅黑"/>
                <w:b w:val="0"/>
                <w:i w:val="0"/>
                <w:sz w:val="18"/>
              </w:rPr>
              <w:t>P000906</w:t>
            </w:r>
          </w:p>
        </w:tc>
        <w:tc>
          <w:tcPr>
            <w:tcW w:type="dxa" w:w="4150"/>
          </w:tcPr>
          <w:p>
            <w:r/>
            <w:r>
              <w:rPr>
                <w:rFonts w:ascii="Calibri" w:hAnsi="Calibri" w:eastAsia="微软雅黑"/>
                <w:b w:val="0"/>
                <w:i w:val="0"/>
                <w:sz w:val="18"/>
              </w:rPr>
              <w:t>中国寰球工程有限公司EPC总承包业务研究报告（事实资料库研究报告首片）</w:t>
            </w:r>
          </w:p>
        </w:tc>
      </w:tr>
      <w:tr>
        <w:tc>
          <w:tcPr>
            <w:tcW w:type="dxa" w:w="4150"/>
          </w:tcPr>
          <w:p>
            <w:r/>
            <w:r>
              <w:rPr>
                <w:rFonts w:ascii="Calibri" w:hAnsi="Calibri" w:eastAsia="微软雅黑"/>
                <w:b w:val="0"/>
                <w:i w:val="0"/>
                <w:sz w:val="18"/>
              </w:rPr>
              <w:t>P000911</w:t>
            </w:r>
          </w:p>
        </w:tc>
        <w:tc>
          <w:tcPr>
            <w:tcW w:type="dxa" w:w="4150"/>
          </w:tcPr>
          <w:p>
            <w:r/>
            <w:r>
              <w:rPr>
                <w:rFonts w:ascii="Calibri" w:hAnsi="Calibri" w:eastAsia="微软雅黑"/>
                <w:b w:val="0"/>
                <w:i w:val="0"/>
                <w:sz w:val="18"/>
              </w:rPr>
              <w:t>中国建筑第三工程局有限公司EPC总承包业务研究报告（事实资料库研究报告首片）</w:t>
            </w:r>
          </w:p>
        </w:tc>
      </w:tr>
      <w:tr>
        <w:tc>
          <w:tcPr>
            <w:tcW w:type="dxa" w:w="4150"/>
          </w:tcPr>
          <w:p>
            <w:r/>
            <w:r>
              <w:rPr>
                <w:rFonts w:ascii="Calibri" w:hAnsi="Calibri" w:eastAsia="微软雅黑"/>
                <w:b w:val="0"/>
                <w:i w:val="0"/>
                <w:sz w:val="18"/>
              </w:rPr>
              <w:t>P000916</w:t>
            </w:r>
          </w:p>
        </w:tc>
        <w:tc>
          <w:tcPr>
            <w:tcW w:type="dxa" w:w="4150"/>
          </w:tcPr>
          <w:p>
            <w:r/>
            <w:r>
              <w:rPr>
                <w:rFonts w:ascii="Calibri" w:hAnsi="Calibri" w:eastAsia="微软雅黑"/>
                <w:b w:val="0"/>
                <w:i w:val="0"/>
                <w:sz w:val="18"/>
              </w:rPr>
              <w:t>中国五环工程有限公司EPC总承包业务研究报告（事实资料库研究报告首片）</w:t>
            </w:r>
          </w:p>
        </w:tc>
      </w:tr>
      <w:tr>
        <w:tc>
          <w:tcPr>
            <w:tcW w:type="dxa" w:w="4150"/>
          </w:tcPr>
          <w:p>
            <w:r/>
            <w:r>
              <w:rPr>
                <w:rFonts w:ascii="Calibri" w:hAnsi="Calibri" w:eastAsia="微软雅黑"/>
                <w:b w:val="0"/>
                <w:i w:val="0"/>
                <w:sz w:val="18"/>
              </w:rPr>
              <w:t>P000922</w:t>
            </w:r>
          </w:p>
        </w:tc>
        <w:tc>
          <w:tcPr>
            <w:tcW w:type="dxa" w:w="4150"/>
          </w:tcPr>
          <w:p>
            <w:r/>
            <w:r>
              <w:rPr>
                <w:rFonts w:ascii="Calibri" w:hAnsi="Calibri" w:eastAsia="微软雅黑"/>
                <w:b w:val="0"/>
                <w:i w:val="0"/>
                <w:sz w:val="18"/>
              </w:rPr>
              <w:t>山东电力工程咨询院有限公司EPC总承包业务研究报告（事实资料库研究报告首片）</w:t>
            </w:r>
          </w:p>
        </w:tc>
      </w:tr>
      <w:tr>
        <w:tc>
          <w:tcPr>
            <w:tcW w:type="dxa" w:w="4150"/>
          </w:tcPr>
          <w:p>
            <w:r/>
            <w:r>
              <w:rPr>
                <w:rFonts w:ascii="Calibri" w:hAnsi="Calibri" w:eastAsia="微软雅黑"/>
                <w:b w:val="0"/>
                <w:i w:val="0"/>
                <w:sz w:val="18"/>
              </w:rPr>
              <w:t>P000927</w:t>
            </w:r>
          </w:p>
        </w:tc>
        <w:tc>
          <w:tcPr>
            <w:tcW w:type="dxa" w:w="4150"/>
          </w:tcPr>
          <w:p>
            <w:r/>
            <w:r>
              <w:rPr>
                <w:rFonts w:ascii="Calibri" w:hAnsi="Calibri" w:eastAsia="微软雅黑"/>
                <w:b w:val="0"/>
                <w:i w:val="0"/>
                <w:sz w:val="18"/>
              </w:rPr>
              <w:t>上海市政工程设计研究总院（集团）有限公司EPC总承包业务研究报告（事实资料库研究报告首片）</w:t>
            </w:r>
          </w:p>
        </w:tc>
      </w:tr>
      <w:tr>
        <w:tc>
          <w:tcPr>
            <w:tcW w:type="dxa" w:w="4150"/>
          </w:tcPr>
          <w:p>
            <w:r/>
            <w:r>
              <w:rPr>
                <w:rFonts w:ascii="Calibri" w:hAnsi="Calibri" w:eastAsia="微软雅黑"/>
                <w:b w:val="0"/>
                <w:i w:val="0"/>
                <w:sz w:val="18"/>
              </w:rPr>
              <w:t>P000932</w:t>
            </w:r>
          </w:p>
        </w:tc>
        <w:tc>
          <w:tcPr>
            <w:tcW w:type="dxa" w:w="4150"/>
          </w:tcPr>
          <w:p>
            <w:r/>
            <w:r>
              <w:rPr>
                <w:rFonts w:ascii="Calibri" w:hAnsi="Calibri" w:eastAsia="微软雅黑"/>
                <w:b w:val="0"/>
                <w:i w:val="0"/>
                <w:sz w:val="18"/>
              </w:rPr>
              <w:t>中国化学（601117）2025年年度报告</w:t>
            </w:r>
          </w:p>
        </w:tc>
      </w:tr>
      <w:tr>
        <w:tc>
          <w:tcPr>
            <w:tcW w:type="dxa" w:w="4150"/>
          </w:tcPr>
          <w:p>
            <w:r/>
            <w:r>
              <w:rPr>
                <w:rFonts w:ascii="Calibri" w:hAnsi="Calibri" w:eastAsia="微软雅黑"/>
                <w:b w:val="0"/>
                <w:i w:val="0"/>
                <w:sz w:val="18"/>
              </w:rPr>
              <w:t>P000934</w:t>
            </w:r>
          </w:p>
        </w:tc>
        <w:tc>
          <w:tcPr>
            <w:tcW w:type="dxa" w:w="4150"/>
          </w:tcPr>
          <w:p>
            <w:r/>
            <w:r>
              <w:rPr>
                <w:rFonts w:ascii="Calibri" w:hAnsi="Calibri" w:eastAsia="微软雅黑"/>
                <w:b w:val="0"/>
                <w:i w:val="0"/>
                <w:sz w:val="18"/>
              </w:rPr>
              <w:t>山东路桥（000498）2025年年度报告</w:t>
            </w:r>
          </w:p>
        </w:tc>
      </w:tr>
      <w:tr>
        <w:tc>
          <w:tcPr>
            <w:tcW w:type="dxa" w:w="4150"/>
          </w:tcPr>
          <w:p>
            <w:r/>
            <w:r>
              <w:rPr>
                <w:rFonts w:ascii="Calibri" w:hAnsi="Calibri" w:eastAsia="微软雅黑"/>
                <w:b w:val="0"/>
                <w:i w:val="0"/>
                <w:sz w:val="18"/>
              </w:rPr>
              <w:t>P000951</w:t>
            </w:r>
          </w:p>
        </w:tc>
        <w:tc>
          <w:tcPr>
            <w:tcW w:type="dxa" w:w="4150"/>
          </w:tcPr>
          <w:p>
            <w:r/>
            <w:r>
              <w:rPr>
                <w:rFonts w:ascii="Calibri" w:hAnsi="Calibri" w:eastAsia="微软雅黑"/>
                <w:b w:val="0"/>
                <w:i w:val="0"/>
                <w:sz w:val="18"/>
              </w:rPr>
              <w:t>EPC数字化与AI智慧工地专项研究成果·从BIM模型到无人超市式智能焊材库章（含智慧工地总公式、五类请款凭证与反模式框架，研究报告成果合集节选）</w:t>
            </w:r>
          </w:p>
        </w:tc>
      </w:tr>
    </w:tbl>
    <w:p>
      <w:r>
        <w:rPr>
          <w:rFonts w:ascii="Calibri" w:hAnsi="Calibri" w:eastAsia="微软雅黑"/>
          <w:b w:val="0"/>
          <w:i w:val="0"/>
          <w:sz w:val="22"/>
        </w:rPr>
        <w:t>---</w:t>
      </w:r>
    </w:p>
    <w:p>
      <w:pPr>
        <w:pStyle w:val="Heading1"/>
      </w:pPr>
      <w:r>
        <w:t>第11章 50强分档画像：头部领军、中坚骨干与追赶者的能力跃迁路径</w:t>
      </w:r>
    </w:p>
    <w:p>
      <w:r>
        <w:rPr>
          <w:rFonts w:ascii="Calibri" w:hAnsi="Calibri" w:eastAsia="微软雅黑"/>
          <w:b w:val="0"/>
          <w:i w:val="0"/>
          <w:sz w:val="22"/>
        </w:rPr>
        <w:t>出品：总包创研院研究团队</w:t>
      </w:r>
    </w:p>
    <w:p>
      <w:pPr>
        <w:ind w:left="454"/>
      </w:pPr>
      <w:r>
        <w:rPr>
          <w:rFonts w:ascii="Calibri" w:hAnsi="Calibri" w:eastAsia="微软雅黑"/>
          <w:b/>
          <w:i w:val="0"/>
          <w:color w:val="666666"/>
          <w:sz w:val="22"/>
        </w:rPr>
        <w:t>本章事实纪律声明</w:t>
      </w:r>
      <w:r>
        <w:rPr>
          <w:rFonts w:ascii="Calibri" w:hAnsi="Calibri" w:eastAsia="微软雅黑"/>
          <w:b w:val="0"/>
          <w:i w:val="0"/>
          <w:color w:val="666666"/>
          <w:sz w:val="22"/>
        </w:rPr>
        <w:t>：本章全部企业数据、项目实绩与排名事实，均逐字取自本书研究团队采集整理的事实资料库（含上市公司经审计年度报告全文、企业研究报告与既有研究成果），正文随文标注[来源: P锚]（对照本章尾注），读者可按锚号回溯核验；无源不写，解读性判断均在文中明示。标注"本研究归纳"的框架、矩阵与步骤为研究团队基于实证资料整理；标注"示意性复盘"的机制参数为示例设计；标注"own_calc"的折算值（含上年基数反推、元转亿元、比值计算）为研究团队依据源数据计算所得。</w:t>
      </w:r>
    </w:p>
    <w:p>
      <w:r>
        <w:rPr>
          <w:rFonts w:ascii="Calibri" w:hAnsi="Calibri" w:eastAsia="微软雅黑"/>
          <w:b/>
          <w:i w:val="0"/>
          <w:sz w:val="22"/>
        </w:rPr>
        <w:t>本章引言：帮读者解决什么问题</w:t>
      </w:r>
    </w:p>
    <w:p>
      <w:r>
        <w:rPr>
          <w:rFonts w:ascii="Calibri" w:hAnsi="Calibri" w:eastAsia="微软雅黑"/>
          <w:b w:val="0"/>
          <w:i w:val="0"/>
          <w:sz w:val="22"/>
        </w:rPr>
        <w:t>前十章完成了格局、赛道、区域、转型路径、项目管理、盈利风控、人才组织与数字化的逐项拆解，本章回到读者最关心的那面镜子前：</w:t>
      </w:r>
      <w:r>
        <w:rPr>
          <w:rFonts w:ascii="Calibri" w:hAnsi="Calibri" w:eastAsia="微软雅黑"/>
          <w:b/>
          <w:i w:val="0"/>
          <w:sz w:val="22"/>
        </w:rPr>
        <w:t>我在50强里处在哪一档，这一档的对手强在哪、弱在哪，我下一步往哪跳。</w:t>
      </w:r>
      <w:r>
        <w:rPr>
          <w:rFonts w:ascii="Calibri" w:hAnsi="Calibri" w:eastAsia="微软雅黑"/>
          <w:b w:val="0"/>
          <w:i w:val="0"/>
          <w:sz w:val="22"/>
        </w:rPr>
        <w:t xml:space="preserve"> 全书研究框架按竞争位势把50强划为三档——第一档头部领军（综合实力与全产业链统治力）、第二档中坚骨干（区域与专业双强）、第三档追赶者（细分赛道与机制灵活性求生）——分档的意义不在名次本身，而在每一档的生存法则完全不同：头部的问题是"如何不下滑"，中坚的问题是"如何不被上下夹击挤扁"，追赶者的问题是"如何不死在黎明前"（分档框架为本研究归纳）。</w:t>
      </w:r>
    </w:p>
    <w:p>
      <w:r>
        <w:rPr>
          <w:rFonts w:ascii="Calibri" w:hAnsi="Calibri" w:eastAsia="微软雅黑"/>
          <w:b w:val="0"/>
          <w:i w:val="0"/>
          <w:sz w:val="22"/>
        </w:rPr>
        <w:t>本章先用三节分别解构三档的群体画像、标杆案例与行动清单，再以三档对标矩阵收束，给出可直接使用的自查工具。读法建议（本研究建议）：先带着自家企业的三个数字（营收、新签合同额、核心市场占有率）对照11.1至11.3的画像定档；再到对应档位的案例里找一两家体量相近的对标对象逐条比能力；最后按本章行动清单排出未来18个月的跃迁或保位任务。三档之间并非静态——案例将反复证明：档位的升降由结构动作决定，而非由规模惯性决定。</w:t>
      </w:r>
    </w:p>
    <w:p>
      <w:r>
        <w:rPr>
          <w:rFonts w:ascii="Calibri" w:hAnsi="Calibri" w:eastAsia="微软雅黑"/>
          <w:b w:val="0"/>
          <w:i w:val="0"/>
          <w:sz w:val="22"/>
        </w:rPr>
        <w:t>三档之间还存在清晰的互动动力学（动力学描述为本研究归纳）：头部企业的"总对总"与联合体封堵，决定了中坚企业只能在头部无暇顾及的专业纵深与区域厚度中找空间；中坚企业的全国化扩张（如山东路桥出省入城出海、市政总院"2+2+10"布局），又把原本安稳的区域市场变成追赶者的红海；追赶者的品类创新（如中城科泽的BIM与装配式标签），反过来倒逼中坚企业加码技术研发（湖南院5.0%的研发强度即是应答）。换言之，50强不是一张静止的名单，而是一个每季度都在重新洗牌的竞技场——本章给出的档位、刻度与清单，就是读者参与这场洗牌的入场地图。</w:t>
      </w:r>
    </w:p>
    <w:p>
      <w:r>
        <w:rPr>
          <w:rFonts w:ascii="Calibri" w:hAnsi="Calibri" w:eastAsia="微软雅黑"/>
          <w:b w:val="0"/>
          <w:i w:val="0"/>
          <w:sz w:val="22"/>
        </w:rPr>
        <w:t>---</w:t>
      </w:r>
    </w:p>
    <w:p>
      <w:pPr>
        <w:pStyle w:val="Heading2"/>
      </w:pPr>
      <w:r>
        <w:t>11.1 第一档（头部领军）：综合壁垒与全产业链统治力</w:t>
      </w:r>
    </w:p>
    <w:p>
      <w:pPr>
        <w:pStyle w:val="Heading3"/>
      </w:pPr>
      <w:r>
        <w:t>11.1.1 头部领军企业的群体画像与四大竞争壁垒</w:t>
      </w:r>
    </w:p>
    <w:p>
      <w:r>
        <w:rPr>
          <w:rFonts w:ascii="Calibri" w:hAnsi="Calibri" w:eastAsia="微软雅黑"/>
          <w:b w:val="0"/>
          <w:i w:val="0"/>
          <w:sz w:val="22"/>
        </w:rPr>
        <w:t>第一档头部领军企业由全国性综合型工程央企巨头（如中国交建、中国化学等）以及极少数凭借极致专业化、高频中标与一站式交付能力破局的行业领军企业（如中城科泽等）构成。该档企业的共同底色是：年营业收入达数百亿元至数千亿元级别，新签合同额达数千亿元（中国交建2023年新签合同额17,532.15亿元即步入万亿元量级），在特大型基础设施、高端化工新材料、深水港航等领域形成极高的市场集中度 [来源: P001034, P001026, P001011]。</w:t>
      </w:r>
    </w:p>
    <w:p>
      <w:r>
        <w:rPr>
          <w:rFonts w:ascii="Calibri" w:hAnsi="Calibri" w:eastAsia="微软雅黑"/>
          <w:b w:val="0"/>
          <w:i w:val="0"/>
          <w:sz w:val="22"/>
        </w:rPr>
        <w:t>这一档内部其实有两条非常不同的成王之路（类型学为本研究归纳）：一类是</w:t>
      </w:r>
      <w:r>
        <w:rPr>
          <w:rFonts w:ascii="Calibri" w:hAnsi="Calibri" w:eastAsia="微软雅黑"/>
          <w:b/>
          <w:i w:val="0"/>
          <w:sz w:val="22"/>
        </w:rPr>
        <w:t>规模统治型</w:t>
      </w:r>
      <w:r>
        <w:rPr>
          <w:rFonts w:ascii="Calibri" w:hAnsi="Calibri" w:eastAsia="微软雅黑"/>
          <w:b w:val="0"/>
          <w:i w:val="0"/>
          <w:sz w:val="22"/>
        </w:rPr>
        <w:t>——以中国交建为代表，靠全产业链覆盖、万亿元级新签与四倍于营收的订单蓄水池建立"体量即壁垒"，对手不是输在某项能力上，而是输在无法在同一量级上组织战争；另一类是</w:t>
      </w:r>
      <w:r>
        <w:rPr>
          <w:rFonts w:ascii="Calibri" w:hAnsi="Calibri" w:eastAsia="微软雅黑"/>
          <w:b/>
          <w:i w:val="0"/>
          <w:sz w:val="22"/>
        </w:rPr>
        <w:t>技术密集型</w:t>
      </w:r>
      <w:r>
        <w:rPr>
          <w:rFonts w:ascii="Calibri" w:hAnsi="Calibri" w:eastAsia="微软雅黑"/>
          <w:b w:val="0"/>
          <w:i w:val="0"/>
          <w:sz w:val="22"/>
        </w:rPr>
        <w:t>——以中国化学为代表，靠自主工艺包、新材料实业与中试转化链条建立"利润率即壁垒"，用14.62%的利润增速对冲1.88%的收入增速，证明技术溢价可以独立于规模存在。两条路对下位企业的启示截然不同：向前者学组织与资本运作，向后者学研发体系与技术资产管理——混着学，两头都学不像。其竞争壁垒可归纳为四类（壁垒框架为本研究归纳，实证随文标注）：</w:t>
      </w:r>
    </w:p>
    <w:p>
      <w:pPr>
        <w:pStyle w:val="ListNumber"/>
      </w:pPr>
      <w:r>
        <w:rPr>
          <w:rFonts w:ascii="Calibri" w:hAnsi="Calibri" w:eastAsia="微软雅黑"/>
          <w:b/>
          <w:i w:val="0"/>
          <w:sz w:val="22"/>
        </w:rPr>
        <w:t>全产业链一体化与投融资壁垒</w:t>
      </w:r>
      <w:r>
        <w:rPr>
          <w:rFonts w:ascii="Calibri" w:hAnsi="Calibri" w:eastAsia="微软雅黑"/>
          <w:b w:val="0"/>
          <w:i w:val="0"/>
          <w:sz w:val="22"/>
        </w:rPr>
        <w:t>：拥有从规划咨询、勘察设计、投融资、工程建设到后期运营维护的全生命周期服务能力 [来源: P001034]。在动辄数十亿元至数百亿元的特许经营与投资类项目竞争中，头部企业凭雄厚资本金、低成本融资渠道与投融资策划能力锁定项目源头——山东路桥案例中2.37%票面的公司债已是地方国企的优异水平，而头部央企的融资成本与授信规模又在其上（比较判断为本研究归纳）[来源: P001028]。</w:t>
      </w:r>
    </w:p>
    <w:p>
      <w:pPr>
        <w:pStyle w:val="ListNumber"/>
      </w:pPr>
      <w:r>
        <w:rPr>
          <w:rFonts w:ascii="Calibri" w:hAnsi="Calibri" w:eastAsia="微软雅黑"/>
          <w:b/>
          <w:i w:val="0"/>
          <w:sz w:val="22"/>
        </w:rPr>
        <w:t>高门槛核心技术与标准制定壁垒</w:t>
      </w:r>
      <w:r>
        <w:rPr>
          <w:rFonts w:ascii="Calibri" w:hAnsi="Calibri" w:eastAsia="微软雅黑"/>
          <w:b w:val="0"/>
          <w:i w:val="0"/>
          <w:sz w:val="22"/>
        </w:rPr>
        <w:t>：在百万千瓦级火电、特高压输变电、三代核电、长大跨径桥梁、高端化工新材料等关键领域拥有自主核心技术，并作为主编单位参与国家与行业标准编制，在技术标评审中形成压倒性优势 [来源: P001001, P001026]。</w:t>
      </w:r>
    </w:p>
    <w:p>
      <w:pPr>
        <w:pStyle w:val="ListNumber"/>
      </w:pPr>
      <w:r>
        <w:rPr>
          <w:rFonts w:ascii="Calibri" w:hAnsi="Calibri" w:eastAsia="微软雅黑"/>
          <w:b/>
          <w:i w:val="0"/>
          <w:sz w:val="22"/>
        </w:rPr>
        <w:t>全球化资源配置与超级品牌公信力</w:t>
      </w:r>
      <w:r>
        <w:rPr>
          <w:rFonts w:ascii="Calibri" w:hAnsi="Calibri" w:eastAsia="微软雅黑"/>
          <w:b w:val="0"/>
          <w:i w:val="0"/>
          <w:sz w:val="22"/>
        </w:rPr>
        <w:t>：完善的全球分支网络、海外供应链与金融信用背书（中国化学在海外设立160个海外机构、工程业绩遍布全球80多个国家和地区），品牌在政府与大型业主中具有高度公信力；该壁垒的时效边界亦须明示——地缘政治波动会阶段性放大海外资产与履约的风险敞口，全球网络既是收益放大器也是风险集散地，头部企业普遍以政治风险保险与国别预警机制对冲（风险边界为本研究据源文归纳，对冲实证见第12章寰球案例）[来源: P001026]。</w:t>
      </w:r>
    </w:p>
    <w:p>
      <w:pPr>
        <w:pStyle w:val="ListNumber"/>
      </w:pPr>
      <w:r>
        <w:rPr>
          <w:rFonts w:ascii="Calibri" w:hAnsi="Calibri" w:eastAsia="微软雅黑"/>
          <w:b/>
          <w:i w:val="0"/>
          <w:sz w:val="22"/>
        </w:rPr>
        <w:t>标准化管控与生态整合壁垒</w:t>
      </w:r>
      <w:r>
        <w:rPr>
          <w:rFonts w:ascii="Calibri" w:hAnsi="Calibri" w:eastAsia="微软雅黑"/>
          <w:b w:val="0"/>
          <w:i w:val="0"/>
          <w:sz w:val="22"/>
        </w:rPr>
        <w:t>：极为完善的物资集中采购平台、分包商动态评价体系与覆盖全集团的数字化项目管理系统，实现规模效应下的极限成本控制与全风险前置防控 [来源: P001034, P001028]。</w:t>
      </w:r>
    </w:p>
    <w:p>
      <w:r>
        <w:rPr>
          <w:rFonts w:ascii="Calibri" w:hAnsi="Calibri" w:eastAsia="微软雅黑"/>
          <w:b w:val="0"/>
          <w:i w:val="0"/>
          <w:sz w:val="22"/>
        </w:rPr>
        <w:t>头部领军者的保位总纲是</w:t>
      </w:r>
      <w:r>
        <w:rPr>
          <w:rFonts w:ascii="Calibri" w:hAnsi="Calibri" w:eastAsia="微软雅黑"/>
          <w:b/>
          <w:i w:val="0"/>
          <w:sz w:val="22"/>
        </w:rPr>
        <w:t>控总量、优结构、提质效</w:t>
      </w:r>
      <w:r>
        <w:rPr>
          <w:rFonts w:ascii="Calibri" w:hAnsi="Calibri" w:eastAsia="微软雅黑"/>
          <w:b w:val="0"/>
          <w:i w:val="0"/>
          <w:sz w:val="22"/>
        </w:rPr>
        <w:t>：通过"总对总"高端对接锁定国家战略重点项目，同时淘汰低毛利与高风险项目，向绿色能源、海风工程、高端化工实业及城市更新等高附加值增量市场持续延伸（总纲归纳为本研究据源文整理）[来源: P001034, P001026]。值得注意的是，头部对自己的下一程同样设定了明确的增长纪律——中国交建将2024年经营目标定为新签合同额同比增速不低于13.5%、收入增速不低于8.2%，同时在手尚未完成投资额513.88亿元，投资节奏与订单节奏并行受控；海外端主动布局关键通道、关键港口、关键机场等基础设施互联互通项目，并加强城市给排水、流域治理、垃圾处理、海水淡化等业务开拓——头部不仅在守成，而是在用"目标增速+投资存量+新兴品类"三张表管理未来 [来源: P001034]。</w:t>
      </w:r>
    </w:p>
    <w:p>
      <w:r>
        <w:rPr>
          <w:rFonts w:ascii="Calibri" w:hAnsi="Calibri" w:eastAsia="微软雅黑"/>
          <w:b w:val="0"/>
          <w:i w:val="0"/>
          <w:sz w:val="22"/>
        </w:rPr>
        <w:t>也须如实说明分档的编辑口径（本研究说明）：本章三档划分为研究团队基于营收量级、新签规模、全域覆盖能力与品类心智的归纳框架，并非任何官方排位；同一企业在不同榜单（营收榜、中标榜、细分品类榜）上的位次可能跨档，例如中城科泽按营收属中小体量、按中标密度却居头部——这正是分档框架必须"多轴定档、单轴不定档"的原因，读者定档时应同时核对营收、新签与核心市场占有率三个刻度。</w:t>
      </w:r>
    </w:p>
    <w:p>
      <w:pPr>
        <w:pStyle w:val="Heading3"/>
      </w:pPr>
      <w:r>
        <w:t>11.1.2 典型头部企业深度解构与案例分析</w:t>
      </w:r>
    </w:p>
    <w:p>
      <w:pPr>
        <w:pStyle w:val="Heading4"/>
      </w:pPr>
      <w:r>
        <w:t>案例一：中国交建（601800）——"大交通、大城市"超级巨头的订单蓄水池 [来源: P001034, P001035]</w:t>
      </w:r>
    </w:p>
    <w:p>
      <w:pPr>
        <w:pStyle w:val="ListBullet"/>
      </w:pPr>
      <w:r>
        <w:rPr>
          <w:rFonts w:ascii="Calibri" w:hAnsi="Calibri" w:eastAsia="微软雅黑"/>
          <w:b/>
          <w:i w:val="0"/>
          <w:sz w:val="22"/>
        </w:rPr>
        <w:t>数据（Data）</w:t>
      </w:r>
      <w:r>
        <w:rPr>
          <w:rFonts w:ascii="Calibri" w:hAnsi="Calibri" w:eastAsia="微软雅黑"/>
          <w:b w:val="0"/>
          <w:i w:val="0"/>
          <w:sz w:val="22"/>
        </w:rPr>
        <w:t>：2022年实现营业收入7,202.75亿元（同比增长5.02%）、归属于公司股东的净利润191.04亿元（同比增长6.16%）、每股收益1.09元，新签合同额15,422.56亿元（同比增长21.64%），期末在执行未完成合同金额33,883.25亿元；2023年实现营业收入7,586.76亿元（同比增长5.10%）、归母净利润238.12亿元（同比增长23.61%）、每股收益1.39元，新签合同额17,532.15亿元（同比增长13.68%），期末在执行未完成合同金额34,506.59亿元——未完成合同金额约为年营收的4.5倍（own_calc），构成业内最深的订单蓄水池 [来源: P001035, P001034]。两年关键指标对照如下（据两份年报）：</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指标</w:t>
            </w:r>
          </w:p>
        </w:tc>
        <w:tc>
          <w:tcPr>
            <w:tcW w:type="dxa" w:w="2075"/>
            <w:shd w:fill="1F3A5F"/>
          </w:tcPr>
          <w:p>
            <w:r>
              <w:rPr>
                <w:color w:val="FFFFFF"/>
              </w:rPr>
            </w:r>
            <w:r>
              <w:rPr>
                <w:rFonts w:ascii="Calibri" w:hAnsi="Calibri" w:eastAsia="微软雅黑"/>
                <w:b/>
                <w:i w:val="0"/>
                <w:color w:val="FFFFFF"/>
                <w:sz w:val="18"/>
              </w:rPr>
              <w:t>2022年度</w:t>
            </w:r>
          </w:p>
        </w:tc>
        <w:tc>
          <w:tcPr>
            <w:tcW w:type="dxa" w:w="2075"/>
            <w:shd w:fill="1F3A5F"/>
          </w:tcPr>
          <w:p>
            <w:r>
              <w:rPr>
                <w:color w:val="FFFFFF"/>
              </w:rPr>
            </w:r>
            <w:r>
              <w:rPr>
                <w:rFonts w:ascii="Calibri" w:hAnsi="Calibri" w:eastAsia="微软雅黑"/>
                <w:b/>
                <w:i w:val="0"/>
                <w:color w:val="FFFFFF"/>
                <w:sz w:val="18"/>
              </w:rPr>
              <w:t>2023年度</w:t>
            </w:r>
          </w:p>
        </w:tc>
        <w:tc>
          <w:tcPr>
            <w:tcW w:type="dxa" w:w="2075"/>
            <w:shd w:fill="1F3A5F"/>
          </w:tcPr>
          <w:p>
            <w:r>
              <w:rPr>
                <w:color w:val="FFFFFF"/>
              </w:rPr>
            </w:r>
            <w:r>
              <w:rPr>
                <w:rFonts w:ascii="Calibri" w:hAnsi="Calibri" w:eastAsia="微软雅黑"/>
                <w:b/>
                <w:i w:val="0"/>
                <w:color w:val="FFFFFF"/>
                <w:sz w:val="18"/>
              </w:rPr>
              <w:t>变化解读（本研究）</w:t>
            </w:r>
          </w:p>
        </w:tc>
      </w:tr>
      <w:tr>
        <w:tc>
          <w:tcPr>
            <w:tcW w:type="dxa" w:w="2075"/>
          </w:tcPr>
          <w:p>
            <w:r/>
            <w:r>
              <w:rPr>
                <w:rFonts w:ascii="Calibri" w:hAnsi="Calibri" w:eastAsia="微软雅黑"/>
                <w:b w:val="0"/>
                <w:i w:val="0"/>
                <w:sz w:val="18"/>
              </w:rPr>
              <w:t>营业收入</w:t>
            </w:r>
          </w:p>
        </w:tc>
        <w:tc>
          <w:tcPr>
            <w:tcW w:type="dxa" w:w="2075"/>
          </w:tcPr>
          <w:p>
            <w:r/>
            <w:r>
              <w:rPr>
                <w:rFonts w:ascii="Calibri" w:hAnsi="Calibri" w:eastAsia="微软雅黑"/>
                <w:b w:val="0"/>
                <w:i w:val="0"/>
                <w:sz w:val="18"/>
              </w:rPr>
              <w:t>7,202.75亿元（+5.02%）[来源: P001035]</w:t>
            </w:r>
          </w:p>
        </w:tc>
        <w:tc>
          <w:tcPr>
            <w:tcW w:type="dxa" w:w="2075"/>
          </w:tcPr>
          <w:p>
            <w:r/>
            <w:r>
              <w:rPr>
                <w:rFonts w:ascii="Calibri" w:hAnsi="Calibri" w:eastAsia="微软雅黑"/>
                <w:b w:val="0"/>
                <w:i w:val="0"/>
                <w:sz w:val="18"/>
              </w:rPr>
              <w:t>7,586.76亿元（+5.10%）[来源: P001034]</w:t>
            </w:r>
          </w:p>
        </w:tc>
        <w:tc>
          <w:tcPr>
            <w:tcW w:type="dxa" w:w="2075"/>
          </w:tcPr>
          <w:p>
            <w:r/>
            <w:r>
              <w:rPr>
                <w:rFonts w:ascii="Calibri" w:hAnsi="Calibri" w:eastAsia="微软雅黑"/>
                <w:b w:val="0"/>
                <w:i w:val="0"/>
                <w:sz w:val="18"/>
              </w:rPr>
              <w:t>稳态个位数增长，规模不再是唯一叙事</w:t>
            </w:r>
          </w:p>
        </w:tc>
      </w:tr>
      <w:tr>
        <w:tc>
          <w:tcPr>
            <w:tcW w:type="dxa" w:w="2075"/>
          </w:tcPr>
          <w:p>
            <w:r/>
            <w:r>
              <w:rPr>
                <w:rFonts w:ascii="Calibri" w:hAnsi="Calibri" w:eastAsia="微软雅黑"/>
                <w:b w:val="0"/>
                <w:i w:val="0"/>
                <w:sz w:val="18"/>
              </w:rPr>
              <w:t>归母净利润</w:t>
            </w:r>
          </w:p>
        </w:tc>
        <w:tc>
          <w:tcPr>
            <w:tcW w:type="dxa" w:w="2075"/>
          </w:tcPr>
          <w:p>
            <w:r/>
            <w:r>
              <w:rPr>
                <w:rFonts w:ascii="Calibri" w:hAnsi="Calibri" w:eastAsia="微软雅黑"/>
                <w:b w:val="0"/>
                <w:i w:val="0"/>
                <w:sz w:val="18"/>
              </w:rPr>
              <w:t>191.04亿元（+6.16%）[来源: P001035]</w:t>
            </w:r>
          </w:p>
        </w:tc>
        <w:tc>
          <w:tcPr>
            <w:tcW w:type="dxa" w:w="2075"/>
          </w:tcPr>
          <w:p>
            <w:r/>
            <w:r>
              <w:rPr>
                <w:rFonts w:ascii="Calibri" w:hAnsi="Calibri" w:eastAsia="微软雅黑"/>
                <w:b w:val="0"/>
                <w:i w:val="0"/>
                <w:sz w:val="18"/>
              </w:rPr>
              <w:t>238.12亿元（+23.61%）[来源: P001034]</w:t>
            </w:r>
          </w:p>
        </w:tc>
        <w:tc>
          <w:tcPr>
            <w:tcW w:type="dxa" w:w="2075"/>
          </w:tcPr>
          <w:p>
            <w:r/>
            <w:r>
              <w:rPr>
                <w:rFonts w:ascii="Calibri" w:hAnsi="Calibri" w:eastAsia="微软雅黑"/>
                <w:b w:val="0"/>
                <w:i w:val="0"/>
                <w:sz w:val="18"/>
              </w:rPr>
              <w:t>利润增速跃升，结构优化先于规模扩张兑现</w:t>
            </w:r>
          </w:p>
        </w:tc>
      </w:tr>
      <w:tr>
        <w:tc>
          <w:tcPr>
            <w:tcW w:type="dxa" w:w="2075"/>
          </w:tcPr>
          <w:p>
            <w:r/>
            <w:r>
              <w:rPr>
                <w:rFonts w:ascii="Calibri" w:hAnsi="Calibri" w:eastAsia="微软雅黑"/>
                <w:b w:val="0"/>
                <w:i w:val="0"/>
                <w:sz w:val="18"/>
              </w:rPr>
              <w:t>新签合同额</w:t>
            </w:r>
          </w:p>
        </w:tc>
        <w:tc>
          <w:tcPr>
            <w:tcW w:type="dxa" w:w="2075"/>
          </w:tcPr>
          <w:p>
            <w:r/>
            <w:r>
              <w:rPr>
                <w:rFonts w:ascii="Calibri" w:hAnsi="Calibri" w:eastAsia="微软雅黑"/>
                <w:b w:val="0"/>
                <w:i w:val="0"/>
                <w:sz w:val="18"/>
              </w:rPr>
              <w:t>15,422.56亿元（+21.64%）[来源: P001035]</w:t>
            </w:r>
          </w:p>
        </w:tc>
        <w:tc>
          <w:tcPr>
            <w:tcW w:type="dxa" w:w="2075"/>
          </w:tcPr>
          <w:p>
            <w:r/>
            <w:r>
              <w:rPr>
                <w:rFonts w:ascii="Calibri" w:hAnsi="Calibri" w:eastAsia="微软雅黑"/>
                <w:b w:val="0"/>
                <w:i w:val="0"/>
                <w:sz w:val="18"/>
              </w:rPr>
              <w:t>17,532.15亿元（+13.68%）[来源: P001034]</w:t>
            </w:r>
          </w:p>
        </w:tc>
        <w:tc>
          <w:tcPr>
            <w:tcW w:type="dxa" w:w="2075"/>
          </w:tcPr>
          <w:p>
            <w:r/>
            <w:r>
              <w:rPr>
                <w:rFonts w:ascii="Calibri" w:hAnsi="Calibri" w:eastAsia="微软雅黑"/>
                <w:b w:val="0"/>
                <w:i w:val="0"/>
                <w:sz w:val="18"/>
              </w:rPr>
              <w:t>万亿级新签平台上的两位数增长</w:t>
            </w:r>
          </w:p>
        </w:tc>
      </w:tr>
      <w:tr>
        <w:tc>
          <w:tcPr>
            <w:tcW w:type="dxa" w:w="2075"/>
          </w:tcPr>
          <w:p>
            <w:r/>
            <w:r>
              <w:rPr>
                <w:rFonts w:ascii="Calibri" w:hAnsi="Calibri" w:eastAsia="微软雅黑"/>
                <w:b w:val="0"/>
                <w:i w:val="0"/>
                <w:sz w:val="18"/>
              </w:rPr>
              <w:t>在执行未完成合同</w:t>
            </w:r>
          </w:p>
        </w:tc>
        <w:tc>
          <w:tcPr>
            <w:tcW w:type="dxa" w:w="2075"/>
          </w:tcPr>
          <w:p>
            <w:r/>
            <w:r>
              <w:rPr>
                <w:rFonts w:ascii="Calibri" w:hAnsi="Calibri" w:eastAsia="微软雅黑"/>
                <w:b w:val="0"/>
                <w:i w:val="0"/>
                <w:sz w:val="18"/>
              </w:rPr>
              <w:t>33,883.25亿元 [来源: P001035]</w:t>
            </w:r>
          </w:p>
        </w:tc>
        <w:tc>
          <w:tcPr>
            <w:tcW w:type="dxa" w:w="2075"/>
          </w:tcPr>
          <w:p>
            <w:r/>
            <w:r>
              <w:rPr>
                <w:rFonts w:ascii="Calibri" w:hAnsi="Calibri" w:eastAsia="微软雅黑"/>
                <w:b w:val="0"/>
                <w:i w:val="0"/>
                <w:sz w:val="18"/>
              </w:rPr>
              <w:t>34,506.59亿元 [来源: P001034]</w:t>
            </w:r>
          </w:p>
        </w:tc>
        <w:tc>
          <w:tcPr>
            <w:tcW w:type="dxa" w:w="2075"/>
          </w:tcPr>
          <w:p>
            <w:r/>
            <w:r>
              <w:rPr>
                <w:rFonts w:ascii="Calibri" w:hAnsi="Calibri" w:eastAsia="微软雅黑"/>
                <w:b w:val="0"/>
                <w:i w:val="0"/>
                <w:sz w:val="18"/>
              </w:rPr>
              <w:t>约4.5倍营收的订单蓄水池（own_calc）</w:t>
            </w:r>
          </w:p>
        </w:tc>
      </w:tr>
    </w:tbl>
    <w:p>
      <w:pPr>
        <w:pStyle w:val="ListBullet"/>
      </w:pPr>
      <w:r>
        <w:rPr>
          <w:rFonts w:ascii="Calibri" w:hAnsi="Calibri" w:eastAsia="微软雅黑"/>
          <w:b/>
          <w:i w:val="0"/>
          <w:sz w:val="22"/>
        </w:rPr>
        <w:t>动作（Action）</w:t>
      </w:r>
      <w:r>
        <w:rPr>
          <w:rFonts w:ascii="Calibri" w:hAnsi="Calibri" w:eastAsia="微软雅黑"/>
          <w:b w:val="0"/>
          <w:i w:val="0"/>
          <w:sz w:val="22"/>
        </w:rPr>
        <w:t>：战略上执行"十四五"总体发展思路——"2"突出"两大两优两强基"（大交通、大城市，优先海外、优先江河湖海，科技强基、人才强基），"3"聚焦重点项目、重要区域、重大市场，"4"深化做强投资、做大工程、做实资产、做优资本，并推动"五商"落地与市场化、国际化、专业化等"六化"建设 [来源: P001034]；海外坚持"优先海外"扩大贡献，紧盯重点国别与关键通道、关键港口布局 [来源: P001034]。这套"数字方针"的骨架价值（本研究解读）不在口号而在排序——把"优先海外、优先江河湖海"写进顶层思路，意味着资源配置（信贷、保险、人才派出）会系统性向海外与水环境业务倾斜，头部企业的战略一旦排序，就是数万人的日常；这也解释了为什么后两档企业模仿头部口号容易、模仿资源配置难。</w:t>
      </w:r>
    </w:p>
    <w:p>
      <w:pPr>
        <w:pStyle w:val="ListBullet"/>
      </w:pPr>
      <w:r>
        <w:rPr>
          <w:rFonts w:ascii="Calibri" w:hAnsi="Calibri" w:eastAsia="微软雅黑"/>
          <w:b/>
          <w:i w:val="0"/>
          <w:sz w:val="22"/>
        </w:rPr>
        <w:t>结果（Result）</w:t>
      </w:r>
      <w:r>
        <w:rPr>
          <w:rFonts w:ascii="Calibri" w:hAnsi="Calibri" w:eastAsia="微软雅黑"/>
          <w:b w:val="0"/>
          <w:i w:val="0"/>
          <w:sz w:val="22"/>
        </w:rPr>
        <w:t>：2022年境外收入986.56亿元（约折合141.75亿美元，同比增长4.02%，约占收入13.70%），全球化布局稳定贡献利润压舱石（结果表述为本研究据源文归纳）[来源: P001035]。其对头部的启示（本研究解读）：超级巨头的统治力不在单点优势，而在"订单蓄水池×全产业链×全球网络"的三重冗余——任何单一维度的追赶都不足以撼动档位，这是后两档企业必须避开正面战场的根本原因。</w:t>
      </w:r>
    </w:p>
    <w:p>
      <w:r>
        <w:rPr>
          <w:rFonts w:ascii="Calibri" w:hAnsi="Calibri" w:eastAsia="微软雅黑"/>
          <w:b w:val="0"/>
          <w:i w:val="0"/>
          <w:sz w:val="22"/>
        </w:rPr>
        <w:t>案例之外的两处治理细节，值得所有对标者留意（细节据源文）。其一是投资者关系与分红的制度化：中国交建2023年4月召开2022年度业绩说明会就分红派息方案与投资者充分沟通，股东周年大会审议利润分配议案后，A 股现金分红于2023年7月实施完毕、H股于同年8月推进——对以央企信用为融资基础的头部企业，分红纪律本身就是融资成本的一部分。其二是社会责任的资产负债表化：2023年农民工工资总额509.3亿元被写进年报的专项披露——头部企业的"总对总"政企关系不仅体现在订单端，也体现在对社会稳定责任的可计量承担上，这是中小主体难以复制的隐性壁垒 [来源: P001034]。</w:t>
      </w:r>
    </w:p>
    <w:p>
      <w:pPr>
        <w:pStyle w:val="Heading4"/>
      </w:pPr>
      <w:r>
        <w:t>案例二：中国化学（601117）——技术密集型头部的"工程+实业"双引擎 [来源: P001026]</w:t>
      </w:r>
    </w:p>
    <w:p>
      <w:pPr>
        <w:pStyle w:val="ListBullet"/>
      </w:pPr>
      <w:r>
        <w:rPr>
          <w:rFonts w:ascii="Calibri" w:hAnsi="Calibri" w:eastAsia="微软雅黑"/>
          <w:b/>
          <w:i w:val="0"/>
          <w:sz w:val="22"/>
        </w:rPr>
        <w:t>数据（Data）</w:t>
      </w:r>
      <w:r>
        <w:rPr>
          <w:rFonts w:ascii="Calibri" w:hAnsi="Calibri" w:eastAsia="微软雅黑"/>
          <w:b w:val="0"/>
          <w:i w:val="0"/>
          <w:sz w:val="22"/>
        </w:rPr>
        <w:t>：2025年实现营业总收入1,901.25亿元（同比增长1.88%，其中营业收入1,895.01亿元、同比增长1.97%，两口径不得混用）；利润总额84.35亿元（上年73.59亿元，同比增长14.62%）、净利润70.77亿元（上年62.42亿元，同比增长13.38%）、归母净利润64.36亿元（上年56.88亿元，同比增长13.15%）；新签合同额4,036.61亿元（同比增长10.01%），其中境内2,791.45亿元（占69.15%）、境外1,245.16亿元（同比增长9.89%、占30.85%）；工程业务新签3,923.10亿元（占97.19%），化学工程新签3,320.38亿元（上年基数own_calc约3,259.75亿元、新签总额上年own_calc约3,669.40亿元、境外上年own_calc约1,133.13亿元）[来源: P001026]。</w:t>
      </w:r>
    </w:p>
    <w:p>
      <w:pPr>
        <w:pStyle w:val="ListBullet"/>
      </w:pPr>
      <w:r>
        <w:rPr>
          <w:rFonts w:ascii="Calibri" w:hAnsi="Calibri" w:eastAsia="微软雅黑"/>
          <w:b/>
          <w:i w:val="0"/>
          <w:sz w:val="22"/>
        </w:rPr>
        <w:t>动作（Action）</w:t>
      </w:r>
      <w:r>
        <w:rPr>
          <w:rFonts w:ascii="Calibri" w:hAnsi="Calibri" w:eastAsia="微软雅黑"/>
          <w:b w:val="0"/>
          <w:i w:val="0"/>
          <w:sz w:val="22"/>
        </w:rPr>
        <w:t>：以"化学工程EPC+实业与新材料"双轮驱动对冲工程业务低毛利——聚焦高性能纤维、相变材料、气凝胶等化工新材料领域突破关键技术，高端聚苯硫醚及聚烯烃弹性体（POE）关键生产技术、二氧化碳资源化利用技术等前沿创新竞相涌现，生物基材料、可降解塑料等绿色产品产能快速释放，工程塑料、聚氨酯、高性能纤维等十类重点产品中高端化、专用化品种占比提升至35%；海外以160个海外机构支撑全球资源配置，带动中国技术、中国标准、中国装备"走出去" [来源: P001026]。其在行业判断上更进一步：认为化学工业正从以工艺优化为核心的"跟随型"创新向基础理论与原始创新突破的"引领型"创新转变，并把中试基地平台建设作为承接这一转变的基础设施（行业判断与部署据源文）[来源: P001026]。</w:t>
      </w:r>
    </w:p>
    <w:p>
      <w:pPr>
        <w:pStyle w:val="ListBullet"/>
      </w:pPr>
      <w:r>
        <w:rPr>
          <w:rFonts w:ascii="Calibri" w:hAnsi="Calibri" w:eastAsia="微软雅黑"/>
          <w:b/>
          <w:i w:val="0"/>
          <w:sz w:val="22"/>
        </w:rPr>
        <w:t>结果（Result）</w:t>
      </w:r>
      <w:r>
        <w:rPr>
          <w:rFonts w:ascii="Calibri" w:hAnsi="Calibri" w:eastAsia="微软雅黑"/>
          <w:b w:val="0"/>
          <w:i w:val="0"/>
          <w:sz w:val="22"/>
        </w:rPr>
        <w:t>：利润增速（+14.62%）显著跑赢收入增速（+1.88%），验证"技术溢价+实业反哺"的头部盈利模型；海外超大型项目履约顺畅，俄罗斯波罗的海化工综合体项目合同总额1,339.94亿元、累计已履行956.43亿元（其中2025年履行262.44亿元、待履行383.51亿元、项目进度71.38%，工期2019.12至2027.12），旗下天辰公司建成国内最大废弃物制甲醇项目投产（结果表述为本研究据源文归纳）[来源: P001026]。</w:t>
      </w:r>
    </w:p>
    <w:p>
      <w:r>
        <w:rPr>
          <w:rFonts w:ascii="Calibri" w:hAnsi="Calibri" w:eastAsia="微软雅黑"/>
          <w:b w:val="0"/>
          <w:i w:val="0"/>
          <w:sz w:val="22"/>
        </w:rPr>
        <w:t>中国化学案例还有一个常被忽视的"技术-资产转化器"：中试基地平台建设。年报明确将推动中试基地平台建设作为创新体系的下一程，加速技术从实验室到工业化的转化，为技术从试验走向成熟提供"成本递减"平台——这解释了技术密集型头部与普通工程公司的根本差异：前者拥有把论文变成装置、把装置变成利润的内部流水线，而后者只能停留在应用别人的工艺包 [来源: P001026]。品牌层面，公司入选"中国品牌500强"，形成"中国天辰""中国五环"等多个优秀子企业子品牌——头部企业的品牌资产是矩阵化的（母品牌+子品牌+海外名片），这为其在高端市场的溢价提供了信用分层（品牌结构描述据源文）[来源: P001026]。</w:t>
      </w:r>
    </w:p>
    <w:p>
      <w:pPr>
        <w:pStyle w:val="Heading4"/>
      </w:pPr>
      <w:r>
        <w:t>案例三：中城科泽——高频中标破局的民营混合制领军画像 [来源: P001011]</w:t>
      </w:r>
    </w:p>
    <w:p>
      <w:pPr>
        <w:pStyle w:val="ListBullet"/>
      </w:pPr>
      <w:r>
        <w:rPr>
          <w:rFonts w:ascii="Calibri" w:hAnsi="Calibri" w:eastAsia="微软雅黑"/>
          <w:b/>
          <w:i w:val="0"/>
          <w:sz w:val="22"/>
        </w:rPr>
        <w:t>数据（Data）</w:t>
      </w:r>
      <w:r>
        <w:rPr>
          <w:rFonts w:ascii="Calibri" w:hAnsi="Calibri" w:eastAsia="微软雅黑"/>
          <w:b w:val="0"/>
          <w:i w:val="0"/>
          <w:sz w:val="22"/>
        </w:rPr>
        <w:t>：2023年上半年全国工程总承包（EPC）中标100强排名第7位；2024年7月全国工程设计中标100强位居第1位；2025年第一季度EPC中标数量达157个、高居全国第二；营业收入从2020年的20亿元增长至2024年的30亿元以上；全国EPC市场占有率约0.8%（华东地区约3.2%），市政基础设施与环保工程领域市场份额分别约1.5%与2.1%；年承接项目150个以上、在手订单超50亿元，保持3A级企业信用等级 [来源: P001011]。把它的刻度换一个读法（本研究解读）：约0.8%的全国占有率对应"季度157个中标"，意味着单项目均值在中小型区间——它不是靠单笔大体量登榜，而是靠高频、分散、可复制的品类打法，这与央企巨头的"低频超大单"模式构成教科书级的对照。</w:t>
      </w:r>
    </w:p>
    <w:p>
      <w:pPr>
        <w:pStyle w:val="ListBullet"/>
      </w:pPr>
      <w:r>
        <w:rPr>
          <w:rFonts w:ascii="Calibri" w:hAnsi="Calibri" w:eastAsia="微软雅黑"/>
          <w:b/>
          <w:i w:val="0"/>
          <w:sz w:val="22"/>
        </w:rPr>
        <w:t>动作（Action）</w:t>
      </w:r>
      <w:r>
        <w:rPr>
          <w:rFonts w:ascii="Calibri" w:hAnsi="Calibri" w:eastAsia="微软雅黑"/>
          <w:b w:val="0"/>
          <w:i w:val="0"/>
          <w:sz w:val="22"/>
        </w:rPr>
        <w:t>：构建高等级全资质体系（工程设计综合甲级、建筑工程施工总承包壹级、市政公用工程施工总承包壹级）打通规划设计-采购施工-运维全生命周期；以前沿数字技术打造差异化——BIM技术应用率达到90%以上、绿色建筑项目占比60%以上、装配式建筑技术应用项目占比40%以上；在历年全国工程勘察设计投标百强排行榜上稳居前五位，并以区域深耕与快速响应的敏捷营销网络承接定制化投标 [来源: P001011]。</w:t>
      </w:r>
    </w:p>
    <w:p>
      <w:pPr>
        <w:pStyle w:val="ListBullet"/>
      </w:pPr>
      <w:r>
        <w:rPr>
          <w:rFonts w:ascii="Calibri" w:hAnsi="Calibri" w:eastAsia="微软雅黑"/>
          <w:b/>
          <w:i w:val="0"/>
          <w:sz w:val="22"/>
        </w:rPr>
        <w:t>结果（Result）</w:t>
      </w:r>
      <w:r>
        <w:rPr>
          <w:rFonts w:ascii="Calibri" w:hAnsi="Calibri" w:eastAsia="微软雅黑"/>
          <w:b w:val="0"/>
          <w:i w:val="0"/>
          <w:sz w:val="22"/>
        </w:rPr>
        <w:t>：以约30亿元体量的营收在高频中标榜上与数千亿元级央企同榜，证明头部档位的第二把交椅可以靠"中标密度×全过程技术"而非纯规模取得（解读为本研究归纳）[来源: P001011]。其研究报告构建的星系战略框架、北斗七星评估体系与六维竞争力模型，亦是后文三档对标矩阵的方法论来源之一 [来源: P001011]。</w:t>
      </w:r>
    </w:p>
    <w:p>
      <w:r>
        <w:rPr>
          <w:rFonts w:ascii="Calibri" w:hAnsi="Calibri" w:eastAsia="微软雅黑"/>
          <w:b w:val="0"/>
          <w:i w:val="0"/>
          <w:sz w:val="22"/>
        </w:rPr>
        <w:t>中城科泽样本的方法论价值需要特别强调（本研究解读）：该企业用三十余年从地方设计机构成长为综合性工程服务企业，其跃迁不是线性的规模累积，而是"资质矩阵（综合甲级+双壹级）→技术标签（BIM90%、绿建60%、装配式40%）→中标密度（季度157个）→市场份额（全国0.8%、华东3.2%）"的四步兑现链。每一步都可审计、可对标，这正是它被本研究选为"民营头部"样本的原因——机制灵活与专业极致并不矛盾，关键在于把灵活性锁进资质与技术这类难复制的资产里 [来源: P001011]。</w:t>
      </w:r>
    </w:p>
    <w:p>
      <w:pPr>
        <w:pStyle w:val="Heading3"/>
      </w:pPr>
      <w:r>
        <w:t>11.1.3 头部领军者的保位方法论（四步）</w:t>
      </w:r>
    </w:p>
    <w:p>
      <w:r>
        <w:rPr>
          <w:rFonts w:ascii="Calibri" w:hAnsi="Calibri" w:eastAsia="微软雅黑"/>
          <w:b/>
          <w:i w:val="0"/>
          <w:sz w:val="22"/>
        </w:rPr>
        <w:t>第一步：全产业链商业模式升级（投建营一体化与资产盘活）。</w:t>
      </w:r>
      <w:r>
        <w:rPr>
          <w:rFonts w:ascii="Calibri" w:hAnsi="Calibri" w:eastAsia="微软雅黑"/>
          <w:b w:val="0"/>
          <w:i w:val="0"/>
          <w:sz w:val="22"/>
        </w:rPr>
        <w:t xml:space="preserve"> 对城市更新、流域治理、新能源基地等优质项目前置投资策划；对进入稳定运营期的特许经营权资产，通过发行公司债、短期融资券或资产证券化实现盘活回血，回收资本金投入新项目（山东路桥2.37%公司债与2.77%科创中票的融资工具箱可作地方梯队参照）[来源: P001034, P001028]。这一步的本质是把"工程利润"升级为"工程利润+资产回报+资金价差"的三层收益结构——头部企业最深的护城河不是能接多大的项目，而是能让同一笔资本在项目生命周期里滚动三次。</w:t>
      </w:r>
    </w:p>
    <w:p>
      <w:r>
        <w:rPr>
          <w:rFonts w:ascii="Calibri" w:hAnsi="Calibri" w:eastAsia="微软雅黑"/>
          <w:b/>
          <w:i w:val="0"/>
          <w:sz w:val="22"/>
        </w:rPr>
        <w:t>第二步：高壁垒核心技术与自主工艺包攻坚。</w:t>
      </w:r>
      <w:r>
        <w:rPr>
          <w:rFonts w:ascii="Calibri" w:hAnsi="Calibri" w:eastAsia="微软雅黑"/>
          <w:b w:val="0"/>
          <w:i w:val="0"/>
          <w:sz w:val="22"/>
        </w:rPr>
        <w:t xml:space="preserve"> 建设国家级企业技术中心与重点实验室，把自主研发的高端技术转化为独家标准与工艺包，形成"技术+工程"的不可替代组合——中国化学的POE与二氧化碳资源化利用技术即为此路径的当期样本 [来源: P001026]。配套动作是打通"实验室-中试基地-工业化装置"的转化链条：中试基地为技术从试验走向成熟提供"成本递减"平台，没有中试环节的工艺包只是论文 [来源: P001026]。</w:t>
      </w:r>
    </w:p>
    <w:p>
      <w:r>
        <w:rPr>
          <w:rFonts w:ascii="Calibri" w:hAnsi="Calibri" w:eastAsia="微软雅黑"/>
          <w:b/>
          <w:i w:val="0"/>
          <w:sz w:val="22"/>
        </w:rPr>
        <w:t>第三步："总对总"战略联盟与大客户生态锁定。</w:t>
      </w:r>
      <w:r>
        <w:rPr>
          <w:rFonts w:ascii="Calibri" w:hAnsi="Calibri" w:eastAsia="微软雅黑"/>
          <w:b w:val="0"/>
          <w:i w:val="0"/>
          <w:sz w:val="22"/>
        </w:rPr>
        <w:t xml:space="preserve"> 与省市级政府、大型能源国企及产业集团建立定期高层对接与全方位战略合作；针对跨界综合性超大型项目，联合顶级装备商与金融机构组建联合体，封堵竞争对手进入空间（联盟打法归纳为本研究据源文整理）[来源: P001034]。"总对总"的要义不在关系本身，而在用集团级协议把项目机会的优先知情权、联合投标的默契与争议解决的高层通道制度化——这是中小主体无法复制的组织资产。</w:t>
      </w:r>
    </w:p>
    <w:p>
      <w:r>
        <w:rPr>
          <w:rFonts w:ascii="Calibri" w:hAnsi="Calibri" w:eastAsia="微软雅黑"/>
          <w:b/>
          <w:i w:val="0"/>
          <w:sz w:val="22"/>
        </w:rPr>
        <w:t>第四步：数字化交付与全球全流程风控。</w:t>
      </w:r>
      <w:r>
        <w:rPr>
          <w:rFonts w:ascii="Calibri" w:hAnsi="Calibri" w:eastAsia="微软雅黑"/>
          <w:b w:val="0"/>
          <w:i w:val="0"/>
          <w:sz w:val="22"/>
        </w:rPr>
        <w:t xml:space="preserve"> 全过程应用BIM、数字孪生与智慧工地系统提高现场人均效能；在项目策划阶段即介入国际合同文本审查，履约全过程执行书面指令与往来函件归档，构建完整的索赔与防索赔证据链（风控要件与第7章、第12章司法防护网同源）[来源: P001034]。对头部而言，数字化与法务风控不是降本工具，而是把超大组织的能力固化成可复制的"操作系统"——人可以流动，系统沉淀下来。</w:t>
      </w:r>
    </w:p>
    <w:p>
      <w:r>
        <w:rPr>
          <w:rFonts w:ascii="Calibri" w:hAnsi="Calibri" w:eastAsia="微软雅黑"/>
          <w:b w:val="0"/>
          <w:i w:val="0"/>
          <w:sz w:val="22"/>
        </w:rPr>
        <w:t>---</w:t>
      </w:r>
    </w:p>
    <w:p>
      <w:pPr>
        <w:pStyle w:val="Heading2"/>
      </w:pPr>
      <w:r>
        <w:t>11.2 第二档（Top 11-30 中坚骨干）：区域与专业双强及突破路径</w:t>
      </w:r>
    </w:p>
    <w:p>
      <w:pPr>
        <w:pStyle w:val="Heading3"/>
      </w:pPr>
      <w:r>
        <w:t>11.2.1 中坚骨干企业的群体画像与竞争困境</w:t>
      </w:r>
    </w:p>
    <w:p>
      <w:r>
        <w:rPr>
          <w:rFonts w:ascii="Calibri" w:hAnsi="Calibri" w:eastAsia="微软雅黑"/>
          <w:b w:val="0"/>
          <w:i w:val="0"/>
          <w:sz w:val="22"/>
        </w:rPr>
        <w:t>第二档中坚骨干企业主要由省级路桥/建工集团（如山东路桥）、大型地方国有建筑设计院与央企二级专业设计院/工程公司（如上海市政总院、山东院、中南院、湖南院等）构成，年营业收入或年中标额普遍在数十亿元至千亿元区间，在特定省份区域（山东、长三角、湖南等）或特定专业领域（水务环境、电力输变电、抽水蓄能、公路桥梁等）拥有极高知名度、稳定的政企客户资源与深厚技术沉淀 [来源: P001028, P001021, P001001, P001016, P001006]。</w:t>
      </w:r>
    </w:p>
    <w:p>
      <w:r>
        <w:rPr>
          <w:rFonts w:ascii="Calibri" w:hAnsi="Calibri" w:eastAsia="微软雅黑"/>
          <w:b w:val="0"/>
          <w:i w:val="0"/>
          <w:sz w:val="22"/>
        </w:rPr>
        <w:t>这一档的战略阵痛是典型的"上下夹击"（困境归纳为本研究据源文整理）：向上，在百亿级特大型综合项目与投资类项目中，难以与第一档的投融资能力正面竞争；向下，在常规中小型项目与区域细分市场，面临第三档追赶者与民营专业公司的高灵活性、低成本价格战；自身则普遍存在全国性营销网络不完善、资金规模与融资支持能力有限、国际化占比偏低的短板 [来源: P001021, P001006]。中坚的活法因此清晰：</w:t>
      </w:r>
      <w:r>
        <w:rPr>
          <w:rFonts w:ascii="Calibri" w:hAnsi="Calibri" w:eastAsia="微软雅黑"/>
          <w:b/>
          <w:i w:val="0"/>
          <w:sz w:val="22"/>
        </w:rPr>
        <w:t>深耕省内基本盘（区域保位）＋聚焦优势专业全国化（跨域追赶）</w:t>
      </w:r>
      <w:r>
        <w:rPr>
          <w:rFonts w:ascii="Calibri" w:hAnsi="Calibri" w:eastAsia="微软雅黑"/>
          <w:b w:val="0"/>
          <w:i w:val="0"/>
          <w:sz w:val="22"/>
        </w:rPr>
        <w:t>，以"设计引领+强联合体+细分赛道高专精"避开与综合央企的正面对撞 [来源: P001016, P001006]。</w:t>
      </w:r>
    </w:p>
    <w:p>
      <w:r>
        <w:rPr>
          <w:rFonts w:ascii="Calibri" w:hAnsi="Calibri" w:eastAsia="微软雅黑"/>
          <w:b w:val="0"/>
          <w:i w:val="0"/>
          <w:sz w:val="22"/>
        </w:rPr>
        <w:t>五家中坚样本对"夹击困境"的应答各有侧重（对照为本研究归纳）：山东路桥用"千亿中标+全要素平台"把规模做成护城河，正面回应"向上挤压"；市政总院用"72.3%的EPC占比+三层风险管理"把品类做深到对手不愿跟进；山东院用"唯一性业绩"守住电力专业的定价权；中南院用"设计牵头联合体"切入抽蓄这一资金与资质双高门槛赛道；湖南院则用"小营收大中标"证明区域公信力本身就是资本。五种应答共同指向一个结论：中坚不是"缩小版的头部"，而是一种独立的生存形态——它的一切结构设计，都为了在头部与追赶者之间撑出一条自己的生存带。</w:t>
      </w:r>
    </w:p>
    <w:p>
      <w:pPr>
        <w:pStyle w:val="Heading3"/>
      </w:pPr>
      <w:r>
        <w:t>11.2.2 典型中坚骨干企业深度解构与案例分析</w:t>
      </w:r>
    </w:p>
    <w:p>
      <w:pPr>
        <w:pStyle w:val="Heading4"/>
      </w:pPr>
      <w:r>
        <w:t>案例一：山东路桥（000498）——中标破千亿的地方基建平台 [来源: P001028, P001031]</w:t>
      </w:r>
    </w:p>
    <w:p>
      <w:pPr>
        <w:pStyle w:val="ListBullet"/>
      </w:pPr>
      <w:r>
        <w:rPr>
          <w:rFonts w:ascii="Calibri" w:hAnsi="Calibri" w:eastAsia="微软雅黑"/>
          <w:b/>
          <w:i w:val="0"/>
          <w:sz w:val="22"/>
        </w:rPr>
        <w:t>数据（Data）</w:t>
      </w:r>
      <w:r>
        <w:rPr>
          <w:rFonts w:ascii="Calibri" w:hAnsi="Calibri" w:eastAsia="微软雅黑"/>
          <w:b w:val="0"/>
          <w:i w:val="0"/>
          <w:sz w:val="22"/>
        </w:rPr>
        <w:t>：2024年实现中标额914.8亿元、营业收入713.48亿元（同比下降2.29%）、利润总额36.57亿元、归母净利润23.22亿元，期末资产总额1,633.61亿元（较年初增长17.07%）、负债1,279.88亿元、归母股东权益242.94亿元 [来源: P001031]；2025年中标额历史性突破千亿元达1,040.41亿元（同比增长13.73%），营业收入685.68亿元（同比下降3.90%）、利润总额38.23亿元（同比增长4.51%）、归母净利润22.27亿元（同比下降4.12%），期末资产总额1,823.63亿元 [来源: P001028]。区域结构上，2025年华东地区收入494.46亿元、占比72.11%（own_calc折算，源文49,446,130,537.57元），西北地区收入20.10亿元（own_calc，源文2,010,115,256.05元、同比增长45.88%），海外地区收入52.67亿元（同比增长12.87%，上年own_calc约46.67亿元）[来源: P001028]。</w:t>
      </w:r>
    </w:p>
    <w:p>
      <w:pPr>
        <w:pStyle w:val="ListBullet"/>
      </w:pPr>
      <w:r>
        <w:rPr>
          <w:rFonts w:ascii="Calibri" w:hAnsi="Calibri" w:eastAsia="微软雅黑"/>
          <w:b/>
          <w:i w:val="0"/>
          <w:sz w:val="22"/>
        </w:rPr>
        <w:t>动作（Action）</w:t>
      </w:r>
      <w:r>
        <w:rPr>
          <w:rFonts w:ascii="Calibri" w:hAnsi="Calibri" w:eastAsia="微软雅黑"/>
          <w:b w:val="0"/>
          <w:i w:val="0"/>
          <w:sz w:val="22"/>
        </w:rPr>
        <w:t>：市场端执行"出省入城出海"——2024年"进城"业务占比达47.9%（以城市更新为核心，在地下管网、老旧城区改造、城中村改造等细分领域加强专业聚焦，中标烟台城市更新等项目），围绕"一带一路"深耕中东欧、亚太市场并履约波黑等海外工程；产业链端纵向整合工程施工、养护、设计咨询、新材料与设备制造全要素平台，并坚持"交通基础设施建设、城市基础设施建设"双核引领，构建"立足山东、辐射全国、拓展海外"的市场格局；融资端以公司债（如24山路01，票面2.37%、规模10亿元）、科创中期票据（24鲁路桥MTN001，票面2.77%、规模5亿元）、并表信托与应付账款ABS等多元工具压降资金成本，中长期融资比重稳步提高 [来源: P001031, P001028]。</w:t>
      </w:r>
    </w:p>
    <w:p>
      <w:pPr>
        <w:pStyle w:val="ListBullet"/>
      </w:pPr>
      <w:r>
        <w:rPr>
          <w:rFonts w:ascii="Calibri" w:hAnsi="Calibri" w:eastAsia="微软雅黑"/>
          <w:b/>
          <w:i w:val="0"/>
          <w:sz w:val="22"/>
        </w:rPr>
        <w:t>结果（Result）</w:t>
      </w:r>
      <w:r>
        <w:rPr>
          <w:rFonts w:ascii="Calibri" w:hAnsi="Calibri" w:eastAsia="微软雅黑"/>
          <w:b w:val="0"/>
          <w:i w:val="0"/>
          <w:sz w:val="22"/>
        </w:rPr>
        <w:t>：报告期末未完工EPC项目125个、项目金额38,790,974,558.80元（own_calc折算约387.91亿元），叠加投资施工一体化等模式的未完工储备，订单厚度足以支撑两至三年排产（判断为本研究归纳）；中标额千亿与营收685.68亿元的组合，说明其增长引擎已从"收入扩张"切换为"订单结构优化" [来源: P001028]。</w:t>
      </w:r>
    </w:p>
    <w:p>
      <w:r>
        <w:rPr>
          <w:rFonts w:ascii="Calibri" w:hAnsi="Calibri" w:eastAsia="微软雅黑"/>
          <w:b w:val="0"/>
          <w:i w:val="0"/>
          <w:sz w:val="22"/>
        </w:rPr>
        <w:t>支撑"中坚不中型"地位的，是山东路桥在公路、桥梁、隧道、铁路、城市基础设施五大板块沉淀的门类齐全的产品体系（板块描述据源文）[来源: P001028]。桥梁方面，从20世纪70年代承建山东省黄河上第一座公路桥梁平阴黄河大桥起步，累计参建大桥、特大桥总里程约572.0公里，先后参建青岛胶州湾大桥（获2013年"乔治·理查德森"奖）、南京长江二桥（攻破环氧沥青钢桥面铺装世界工程难题、获2004年国家工程金质奖）、润扬、苏通、崇启长江大桥及张靖皋长江大桥等国家重点工程；隧道方面，累计参建隧道总长约181公里，其中4,110米济潍高速盘顶山特长隧道是目前山东省高速公路最长隧道，承建的老虎山隧道是当时单洞隧道跨径最大的公路隧道、长度1,888米在全球八车道公路隧道中位列第四；铁路方面，累计参建高铁总里程约203.1公里，先后参建鲁南、潍莱、郑济、潍烟、龙烟、匈塞等8条高铁项目，其中济郑高铁长清黄河特大桥是国内首个采用钢筋混凝土结构跨越黄河下游的高速铁路桥，也是当时铁路单联最长、规模最大的预应力钢筋混凝土五塔斜拉桥；市政方面，布局南京、天津、济南等多个重点城市 [来源: P001028]。荣誉体系上，公司先后荣获鲁班奖、国家优质工程金奖、詹天佑奖、全球道路成就奖等国家级、世界级荣誉，综合实力位居全国同行业前列 [来源: P001028]。对同档企业的启示（本研究解读）：中坚的"区域壁垒"不是行政保护的结果，而是把省内每一个极限工程（最长隧道、最大跨径、首座桥型）都做成了能力证书——区域深耕的终点是能力护城河，而非关系护城河。</w:t>
      </w:r>
    </w:p>
    <w:p>
      <w:pPr>
        <w:pStyle w:val="Heading4"/>
      </w:pPr>
      <w:r>
        <w:t>案例二：上海市政总院（SMEDI）——"全国化、全过程"的水务市政中坚 [来源: P001021]</w:t>
      </w:r>
    </w:p>
    <w:p>
      <w:pPr>
        <w:pStyle w:val="ListBullet"/>
      </w:pPr>
      <w:r>
        <w:rPr>
          <w:rFonts w:ascii="Calibri" w:hAnsi="Calibri" w:eastAsia="微软雅黑"/>
          <w:b/>
          <w:i w:val="0"/>
          <w:sz w:val="22"/>
        </w:rPr>
        <w:t>数据（Data）</w:t>
      </w:r>
      <w:r>
        <w:rPr>
          <w:rFonts w:ascii="Calibri" w:hAnsi="Calibri" w:eastAsia="微软雅黑"/>
          <w:b w:val="0"/>
          <w:i w:val="0"/>
          <w:sz w:val="22"/>
        </w:rPr>
        <w:t>：EPC总承包业务占企业总营业收入的72.3%、利润贡献占78.6%、资产占比65.4%、经营性现金流贡献85.2%，EPC已成为绝对战略核心；在中国工程设计企业EPC业务排名中位列前十、市政工程EPC领域排名前五，全国市政工程EPC市场份额约3-5%，上海本地市场份额达15%以上；EPC项目客户满意度95%以上、客户重复合作率超70% [来源: P001021]。这组数字的结构值得细读（本研究解读）：EPC以72.3%的收入占比贡献了85.2%的经营性现金流——说明其EPC并非以垫资换规模，而是以正现金循环运行的优质业务；"满意度95%＋重复合作率70%"则揭示了中坚设计院最被低估的资产：客户关系的复利结构。</w:t>
      </w:r>
    </w:p>
    <w:p>
      <w:pPr>
        <w:pStyle w:val="ListBullet"/>
      </w:pPr>
      <w:r>
        <w:rPr>
          <w:rFonts w:ascii="Calibri" w:hAnsi="Calibri" w:eastAsia="微软雅黑"/>
          <w:b/>
          <w:i w:val="0"/>
          <w:sz w:val="22"/>
        </w:rPr>
        <w:t>动作（Action）</w:t>
      </w:r>
      <w:r>
        <w:rPr>
          <w:rFonts w:ascii="Calibri" w:hAnsi="Calibri" w:eastAsia="微软雅黑"/>
          <w:b w:val="0"/>
          <w:i w:val="0"/>
          <w:sz w:val="22"/>
        </w:rPr>
        <w:t>：坚守"全国化、全过程"战略，实施"2+2+10"重点市场布局，服务链条从单一设计延伸至规划、设计、采购、施工及运维全生命周期；组建"技术+商务+法务"复合投标团队，以精细化投标筛选与差异化竞标获取合理溢价；以"启明星计划""拂晓计划"培育复合型项目经理队伍 [来源: P001021]。其投标纪律尤值一提（本研究解读）："精细化投标筛选"意味着主动放弃一部分低质量标的——在EPC占比72.3%的业务结构里，一单坏项目对现金流的伤害会被全公司放大，筛标的纪律性就是这家企业真正的风控第一道闸。</w:t>
      </w:r>
    </w:p>
    <w:p>
      <w:pPr>
        <w:pStyle w:val="ListBullet"/>
      </w:pPr>
      <w:r>
        <w:rPr>
          <w:rFonts w:ascii="Calibri" w:hAnsi="Calibri" w:eastAsia="微软雅黑"/>
          <w:b/>
          <w:i w:val="0"/>
          <w:sz w:val="22"/>
        </w:rPr>
        <w:t>结果（Result）</w:t>
      </w:r>
      <w:r>
        <w:rPr>
          <w:rFonts w:ascii="Calibri" w:hAnsi="Calibri" w:eastAsia="微软雅黑"/>
          <w:b w:val="0"/>
          <w:i w:val="0"/>
          <w:sz w:val="22"/>
        </w:rPr>
        <w:t>：高质量交付武汉左岭污水处理厂二厂EPC（合同额4.65亿元、处理规模6.5万吨/天、出水执行地表三类水标准、TN小于10mg/L）；上海白龙港污水处理厂提标改造一期除臭工程荣获中国土木工程詹天佑奖；江苏洮滆片区水环境综合整治EPC、石洞口污水处理厂提标改造EPC等全国示范项目构筑了"水务市政EPC"的品类心智 [来源: P001021]。</w:t>
      </w:r>
    </w:p>
    <w:p>
      <w:r>
        <w:rPr>
          <w:rFonts w:ascii="Calibri" w:hAnsi="Calibri" w:eastAsia="微软雅黑"/>
          <w:b w:val="0"/>
          <w:i w:val="0"/>
          <w:sz w:val="22"/>
        </w:rPr>
        <w:t>市政总院样本的两件"内功装备"同样值得抄作业（本研究解读）。第一件是三层风险管理架构：公司层面设风险管理委员会（由高层领导组成，制定风险管理策略、审批风险管理计划、监督工作开展），职能部门层面设风险管理部门（负责制度制定实施、风险识别评估组织、应对措施监督与报告编制），项目层面设风险管理岗位（负责项目风险的识别、评估、应对与监控）——EPC业务占营收72.3%的企业，必须让风险管理与业务密度同构 [来源: P001021]。第二件是全过程资质与服务链条：依托市政、建筑、水利等多行业工程设计综合甲级资质及工程勘察综合甲级、工程咨询甲级、工程监理甲级等高等级资质，提供从规划、咨询、勘察、设计到工程总承包、项目管理、运营维护的全过程工程咨询服务，作品覆盖上海世博会市政配套、上海迪士尼度假区市政配套、上海中心大厦市政配套、上海轨道交通工程、城市排水防涝工程等国家与地方重大工程 [来源: P001021]。中坚设计院的竞争力公式由此清晰：品类心智（水务市政）×全过程链条×风险管理密度——三者缺一，72.3%的EPC占比就是风险而非成绩。</w:t>
      </w:r>
    </w:p>
    <w:p>
      <w:pPr>
        <w:pStyle w:val="Heading4"/>
      </w:pPr>
      <w:r>
        <w:t>案例三：山东院（SDEPCI）——专业设计院转型EPC的保位与冲顶 [来源: P001001]</w:t>
      </w:r>
    </w:p>
    <w:p>
      <w:pPr>
        <w:pStyle w:val="ListBullet"/>
      </w:pPr>
      <w:r>
        <w:rPr>
          <w:rFonts w:ascii="Calibri" w:hAnsi="Calibri" w:eastAsia="微软雅黑"/>
          <w:b/>
          <w:i w:val="0"/>
          <w:sz w:val="22"/>
        </w:rPr>
        <w:t>数据（Data）</w:t>
      </w:r>
      <w:r>
        <w:rPr>
          <w:rFonts w:ascii="Calibri" w:hAnsi="Calibri" w:eastAsia="微软雅黑"/>
          <w:b w:val="0"/>
          <w:i w:val="0"/>
          <w:sz w:val="22"/>
        </w:rPr>
        <w:t>：年营业收入规模保持在80-100亿元区间（研究报告估算口径）；2024年入选ENR中国承包商80强第37位（创历史最好水平），ENR工程设计企业60强累计7次入选；2024年中国工程总承包营业额排名第16位；山东省内电力EPC市场份额约15%-20% [来源: P001001]。</w:t>
      </w:r>
    </w:p>
    <w:p>
      <w:pPr>
        <w:pStyle w:val="ListBullet"/>
      </w:pPr>
      <w:r>
        <w:rPr>
          <w:rFonts w:ascii="Calibri" w:hAnsi="Calibri" w:eastAsia="微软雅黑"/>
          <w:b/>
          <w:i w:val="0"/>
          <w:sz w:val="22"/>
        </w:rPr>
        <w:t>动作（Action）</w:t>
      </w:r>
      <w:r>
        <w:rPr>
          <w:rFonts w:ascii="Calibri" w:hAnsi="Calibri" w:eastAsia="微软雅黑"/>
          <w:b w:val="0"/>
          <w:i w:val="0"/>
          <w:sz w:val="22"/>
        </w:rPr>
        <w:t>：巩固国家级资质与三代核电/火电/特高压设计壁垒——依托工程设计综合甲级、工程勘察综合甲级、电力工程施工总承包一级等资质组合，保持国内企业中唯一同时拥有国内外百万千瓦级火电、特高压输变电、三代核电设计和建设业绩的独特优势，并作为国家电投集团旗下核心单位承接体系内重大工程；推进"同心圆"市场拓展，以山东为核心向华东及全国延伸，同时从传统火电向光伏、风电、光热、储能及综合智慧能源转型；强化设计主导的集成优化与全过程法律风控，将设计优化前置以降低工程造价，并建立涵盖合同审查、证据链收集与第三方调解的法务体系 [来源: P001001]。</w:t>
      </w:r>
    </w:p>
    <w:p>
      <w:pPr>
        <w:pStyle w:val="ListBullet"/>
      </w:pPr>
      <w:r>
        <w:rPr>
          <w:rFonts w:ascii="Calibri" w:hAnsi="Calibri" w:eastAsia="微软雅黑"/>
          <w:b/>
          <w:i w:val="0"/>
          <w:sz w:val="22"/>
        </w:rPr>
        <w:t>结果（Result）</w:t>
      </w:r>
      <w:r>
        <w:rPr>
          <w:rFonts w:ascii="Calibri" w:hAnsi="Calibri" w:eastAsia="微软雅黑"/>
          <w:b w:val="0"/>
          <w:i w:val="0"/>
          <w:sz w:val="22"/>
        </w:rPr>
        <w:t>：成功承接国家电投山东海阳核电2×1000MW机组常规岛EPC工程、山东寿光光伏领跑者基地100MW光伏EPC等重大项目；在某2×1000MW超超临界燃煤机组EPC项目（总投资约80亿元、建设周期36个月）中采用超超临界参数（28MPa/600℃/620℃）、发电效率达47.5%、排放指标优于国家超低排放标准，并应用BIM技术进行全过程管理、实现设计采购施工高效协同与提前3个月投产——专业深度换来了细分定价权（解读为本研究归纳）[来源: P001001]。这个案例的 signaling 价值（本研究解读）在于：当一家设计院能在核电常规岛、百万千瓦超超临界、特高压这三类"容错率极低"的工程上保持唯一性业绩时，业主为其支付的专业溢价就不再是成本，而是风险对冲费——中坚企业的"专业深井"挖到这个深度，档位守卫战就赢了大半。</w:t>
      </w:r>
    </w:p>
    <w:p>
      <w:pPr>
        <w:pStyle w:val="Heading4"/>
      </w:pPr>
      <w:r>
        <w:t>案例四：中南院——抽水蓄能与"光伏+"的跨域突破者 [来源: P001016]</w:t>
      </w:r>
    </w:p>
    <w:p>
      <w:pPr>
        <w:pStyle w:val="ListBullet"/>
      </w:pPr>
      <w:r>
        <w:rPr>
          <w:rFonts w:ascii="Calibri" w:hAnsi="Calibri" w:eastAsia="微软雅黑"/>
          <w:b/>
          <w:i w:val="0"/>
          <w:sz w:val="22"/>
        </w:rPr>
        <w:t>数据（Data）</w:t>
      </w:r>
      <w:r>
        <w:rPr>
          <w:rFonts w:ascii="Calibri" w:hAnsi="Calibri" w:eastAsia="微软雅黑"/>
          <w:b w:val="0"/>
          <w:i w:val="0"/>
          <w:sz w:val="22"/>
        </w:rPr>
        <w:t>：2023年8月中标湖南炎陵罗萍江抽水蓄能电站EPC项目（45.65亿元、联合体形式）；2024年6月中标湖南辰溪抽水蓄能电站EPC项目（53.06亿元、工期暂定2284日历天约6.3年、联合体形式），两项目合同额合计own_calc约98.71亿元、近100亿元，锁定湖南抽水蓄能EPC主导权；2024年9月中标山东能源渤中海上风电基地B1项目EPC总承包（合同额6.679亿元），实现跨省与新兴能源双突破；2023至2024年间连续中标湖南炎陵罗萍江、湖南辰溪抽水蓄能电站和山东渤中海上风电等大型EPC项目，形成品类级连击 [来源: P001016]。</w:t>
      </w:r>
    </w:p>
    <w:p>
      <w:pPr>
        <w:pStyle w:val="ListBullet"/>
      </w:pPr>
      <w:r>
        <w:rPr>
          <w:rFonts w:ascii="Calibri" w:hAnsi="Calibri" w:eastAsia="微软雅黑"/>
          <w:b/>
          <w:i w:val="0"/>
          <w:sz w:val="22"/>
        </w:rPr>
        <w:t>动作（Action）</w:t>
      </w:r>
      <w:r>
        <w:rPr>
          <w:rFonts w:ascii="Calibri" w:hAnsi="Calibri" w:eastAsia="微软雅黑"/>
          <w:b w:val="0"/>
          <w:i w:val="0"/>
          <w:sz w:val="22"/>
        </w:rPr>
        <w:t>：深耕大本营，以"全产业链服务+示范项目引领"为湖南大客户提供规划咨询到EPC交付的全流程服务；构建成熟的联合体协同模式——善于与中国水利水电第八工程局、第七工程局等施工强企组建联合体，实现设计优化与施工精细化的深度互补与风险分担；创新"光伏+"复合业务，落地石头寨茶光互补发电项目EPC总承包（采购252kV SF6 GIS设备），实现土地资源多重利用 [来源: P001016]。</w:t>
      </w:r>
    </w:p>
    <w:p>
      <w:pPr>
        <w:pStyle w:val="ListBullet"/>
      </w:pPr>
      <w:r>
        <w:rPr>
          <w:rFonts w:ascii="Calibri" w:hAnsi="Calibri" w:eastAsia="微软雅黑"/>
          <w:b/>
          <w:i w:val="0"/>
          <w:sz w:val="22"/>
        </w:rPr>
        <w:t>结果（Result）</w:t>
      </w:r>
      <w:r>
        <w:rPr>
          <w:rFonts w:ascii="Calibri" w:hAnsi="Calibri" w:eastAsia="微软雅黑"/>
          <w:b w:val="0"/>
          <w:i w:val="0"/>
          <w:sz w:val="22"/>
        </w:rPr>
        <w:t>：作为中国电力建设集团成员企业，融入世界五百强企业发展体系，在抽水蓄能（建设周期长、技术复杂度高、多专业协同严格）这一高壁垒赛道形成"设计院牵头EPC"的样板，并被同业研究报告列为"设计院转型EPC最具威胁的竞争者"之一（评价表述为本研究据源文归纳）[来源: P001016]。</w:t>
      </w:r>
    </w:p>
    <w:p>
      <w:r>
        <w:rPr>
          <w:rFonts w:ascii="Calibri" w:hAnsi="Calibri" w:eastAsia="微软雅黑"/>
          <w:b w:val="0"/>
          <w:i w:val="0"/>
          <w:sz w:val="22"/>
        </w:rPr>
        <w:t>中南院案例的深层看点，在于它示范了专业设计院如何"吃下"一个高壁垒品类的完整逻辑（逻辑归纳为本研究据源文）。抽水蓄能赛道对总承包商的三重考验——建设周期长（辰溪项目工期暂定2284日历天约6.3年，要求长期项目管理能力）、技术复杂度高（水利、机电、输变电多专业交叉，设计施工协同要求严格）、联合体模式普遍（设计单位与施工单位组队几乎是行业标配）——恰好都命中设计院的强项与施工院的短板 [来源: P001016]。该院始建于1949年，作为老牌设计院具有浓厚的技术导向文化，重视专业能力与技术创新；同时通过设立信息与数字技术工程公司推动各专业数字化转型升级，把设计院的传统优势（技术深度）延伸为EPC时代的集成优势（数字协同+联合体组织力）[来源: P001016]。对同业追赶者的对照意义在于：选品类时要选"自己强项恰好是对手短板"的赛道，而不是选最大或最热的赛道。</w:t>
      </w:r>
    </w:p>
    <w:p>
      <w:pPr>
        <w:pStyle w:val="Heading4"/>
      </w:pPr>
      <w:r>
        <w:t>案例五：湖南院——"小营收、大中标"的区域深耕杠杆 [来源: P001006]</w:t>
      </w:r>
    </w:p>
    <w:p>
      <w:pPr>
        <w:pStyle w:val="ListBullet"/>
      </w:pPr>
      <w:r>
        <w:rPr>
          <w:rFonts w:ascii="Calibri" w:hAnsi="Calibri" w:eastAsia="微软雅黑"/>
          <w:b/>
          <w:i w:val="0"/>
          <w:sz w:val="22"/>
        </w:rPr>
        <w:t>数据（Data）</w:t>
      </w:r>
      <w:r>
        <w:rPr>
          <w:rFonts w:ascii="Calibri" w:hAnsi="Calibri" w:eastAsia="微软雅黑"/>
          <w:b w:val="0"/>
          <w:i w:val="0"/>
          <w:sz w:val="22"/>
        </w:rPr>
        <w:t>：企业成立于1952年，历经七十余年发展为湖南省建筑设计行业的龙头企业；2024年实现营业收入9.22亿元（同比增长12.8%）、净利润7,214万元、综合毛利率14.4%、净利率7.8%；全年中标210个项目、中标总金额1,519,557.53万元（约152亿元，own_calc中标额约为营收的16倍），其中湖南省内中标175个、省内收入占比超80%；拥有20项甲级资质、174项自主知识产权（其中发明专利45项）、317项科技成果及1040项各类奖项 [来源: P001006]。</w:t>
      </w:r>
    </w:p>
    <w:p>
      <w:pPr>
        <w:pStyle w:val="ListBullet"/>
      </w:pPr>
      <w:r>
        <w:rPr>
          <w:rFonts w:ascii="Calibri" w:hAnsi="Calibri" w:eastAsia="微软雅黑"/>
          <w:b/>
          <w:i w:val="0"/>
          <w:sz w:val="22"/>
        </w:rPr>
        <w:t>动作（Action）</w:t>
      </w:r>
      <w:r>
        <w:rPr>
          <w:rFonts w:ascii="Calibri" w:hAnsi="Calibri" w:eastAsia="微软雅黑"/>
          <w:b w:val="0"/>
          <w:i w:val="0"/>
          <w:sz w:val="22"/>
        </w:rPr>
        <w:t>：保持高强度研发投入——2024年研发投入4,610万元、占营业收入的5.0%（2022年3,850万元、2023年4,200万元，逐年增长），建立以BIM、装配式建筑、绿色建筑和智能建筑为核心的技术创新体系，技术人员占员工总数比例超过70%；深耕湖湘本土基本盘，推进EPC+O全过程服务；建立集中采购制度与供应商评价体系，压降材料与分包成本 [来源: P001006]。值得一提的是其研发投入的"连续性纪律"（本研究解读）：从3,850万元到4,610万元的三连增，对应恰是建筑行业下行压力最大的三年——逆周期维持5.0%的研发强度，是把"技术标签"当作穿越周期的船票，而非景气期的装饰品 [来源: P001006]。</w:t>
      </w:r>
    </w:p>
    <w:p>
      <w:pPr>
        <w:pStyle w:val="ListBullet"/>
      </w:pPr>
      <w:r>
        <w:rPr>
          <w:rFonts w:ascii="Calibri" w:hAnsi="Calibri" w:eastAsia="微软雅黑"/>
          <w:b/>
          <w:i w:val="0"/>
          <w:sz w:val="22"/>
        </w:rPr>
        <w:t>结果（Result）</w:t>
      </w:r>
      <w:r>
        <w:rPr>
          <w:rFonts w:ascii="Calibri" w:hAnsi="Calibri" w:eastAsia="微软雅黑"/>
          <w:b w:val="0"/>
          <w:i w:val="0"/>
          <w:sz w:val="22"/>
        </w:rPr>
        <w:t>：承接湖南大学科创港校区建设项目EPC（企业最大单个项目）与湖南衡阳樟木新区产业园EPC+O项目（项目金额36.7亿元），连续3年入选全国工程总承包百强企业——以不足10亿元的营收撬动152亿元中标额，是"区域公信力+全过程资质"杠杆效应的极致样本（解读为本研究归纳）[来源: P001006]。</w:t>
      </w:r>
    </w:p>
    <w:p>
      <w:r>
        <w:rPr>
          <w:rFonts w:ascii="Calibri" w:hAnsi="Calibri" w:eastAsia="微软雅黑"/>
          <w:b w:val="0"/>
          <w:i w:val="0"/>
          <w:sz w:val="22"/>
        </w:rPr>
        <w:t>湖南院的人才与研发底座值得量化展开（数据据源文）：截至2024年底，技术人员占员工总数的比例超过70%，其中高级工程师和教授级高级工程师占技术人员的比例超过30%——这是一家以不到十亿营收支撑152亿中标履约网络的人才密度前提；研发设施上拥有结构、材料、环境等多个专业实验室，并建立BIM技术中心、虚拟现实技术中心等数字化技术平台 [来源: P001006]。发展历程上，企业成立于1952年，历经七十余年演进，2020年以来进入高质量发展期，把数字化转型作为发展主题，推进BIM应用、建设数字化设计平台，并探索人工智能、大数据等新技术在建筑设计中的应用——从省属设计院到集团化EPC玩家的每一步，都踩在"资质+人才+数字化"三个踏板上 [来源: P001006]。其EPC项目类型覆盖教育建筑、医疗建筑、工业建筑、市政工程、环保工程等多个领域，多元化的项目组合既是综合实力的体现，也是区域深耕者分散单一品类波动的风控安排 [来源: P001006]。</w:t>
      </w:r>
    </w:p>
    <w:p>
      <w:pPr>
        <w:pStyle w:val="Heading4"/>
      </w:pPr>
      <w:r>
        <w:t>表11-1 中坚五样本一页对照（本研究归纳整理，数据据源文）</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样本</w:t>
            </w:r>
          </w:p>
        </w:tc>
        <w:tc>
          <w:tcPr>
            <w:tcW w:type="dxa" w:w="2075"/>
            <w:shd w:fill="1F3A5F"/>
          </w:tcPr>
          <w:p>
            <w:r>
              <w:rPr>
                <w:color w:val="FFFFFF"/>
              </w:rPr>
            </w:r>
            <w:r>
              <w:rPr>
                <w:rFonts w:ascii="Calibri" w:hAnsi="Calibri" w:eastAsia="微软雅黑"/>
                <w:b/>
                <w:i w:val="0"/>
                <w:color w:val="FFFFFF"/>
                <w:sz w:val="18"/>
              </w:rPr>
              <w:t>定位关键词</w:t>
            </w:r>
          </w:p>
        </w:tc>
        <w:tc>
          <w:tcPr>
            <w:tcW w:type="dxa" w:w="2075"/>
            <w:shd w:fill="1F3A5F"/>
          </w:tcPr>
          <w:p>
            <w:r>
              <w:rPr>
                <w:color w:val="FFFFFF"/>
              </w:rPr>
            </w:r>
            <w:r>
              <w:rPr>
                <w:rFonts w:ascii="Calibri" w:hAnsi="Calibri" w:eastAsia="微软雅黑"/>
                <w:b/>
                <w:i w:val="0"/>
                <w:color w:val="FFFFFF"/>
                <w:sz w:val="18"/>
              </w:rPr>
              <w:t>2024与2025年核心刻度</w:t>
            </w:r>
          </w:p>
        </w:tc>
        <w:tc>
          <w:tcPr>
            <w:tcW w:type="dxa" w:w="2075"/>
            <w:shd w:fill="1F3A5F"/>
          </w:tcPr>
          <w:p>
            <w:r>
              <w:rPr>
                <w:color w:val="FFFFFF"/>
              </w:rPr>
            </w:r>
            <w:r>
              <w:rPr>
                <w:rFonts w:ascii="Calibri" w:hAnsi="Calibri" w:eastAsia="微软雅黑"/>
                <w:b/>
                <w:i w:val="0"/>
                <w:color w:val="FFFFFF"/>
                <w:sz w:val="18"/>
              </w:rPr>
              <w:t>破局杠杆</w:t>
            </w:r>
          </w:p>
        </w:tc>
      </w:tr>
      <w:tr>
        <w:tc>
          <w:tcPr>
            <w:tcW w:type="dxa" w:w="2075"/>
          </w:tcPr>
          <w:p>
            <w:r/>
            <w:r>
              <w:rPr>
                <w:rFonts w:ascii="Calibri" w:hAnsi="Calibri" w:eastAsia="微软雅黑"/>
                <w:b w:val="0"/>
                <w:i w:val="0"/>
                <w:sz w:val="18"/>
              </w:rPr>
              <w:t>山东路桥</w:t>
            </w:r>
          </w:p>
        </w:tc>
        <w:tc>
          <w:tcPr>
            <w:tcW w:type="dxa" w:w="2075"/>
          </w:tcPr>
          <w:p>
            <w:r/>
            <w:r>
              <w:rPr>
                <w:rFonts w:ascii="Calibri" w:hAnsi="Calibri" w:eastAsia="微软雅黑"/>
                <w:b w:val="0"/>
                <w:i w:val="0"/>
                <w:sz w:val="18"/>
              </w:rPr>
              <w:t>省域全要素基建平台</w:t>
            </w:r>
          </w:p>
        </w:tc>
        <w:tc>
          <w:tcPr>
            <w:tcW w:type="dxa" w:w="2075"/>
          </w:tcPr>
          <w:p>
            <w:r/>
            <w:r>
              <w:rPr>
                <w:rFonts w:ascii="Calibri" w:hAnsi="Calibri" w:eastAsia="微软雅黑"/>
                <w:b w:val="0"/>
                <w:i w:val="0"/>
                <w:sz w:val="18"/>
              </w:rPr>
              <w:t>2025年中标1,040.41亿元、营收685.68亿元 [来源: P001028]</w:t>
            </w:r>
          </w:p>
        </w:tc>
        <w:tc>
          <w:tcPr>
            <w:tcW w:type="dxa" w:w="2075"/>
          </w:tcPr>
          <w:p>
            <w:r/>
            <w:r>
              <w:rPr>
                <w:rFonts w:ascii="Calibri" w:hAnsi="Calibri" w:eastAsia="微软雅黑"/>
                <w:b w:val="0"/>
                <w:i w:val="0"/>
                <w:sz w:val="18"/>
              </w:rPr>
              <w:t>五板块产品体系×极限工程证书×多元融资 [来源: P001028]</w:t>
            </w:r>
          </w:p>
        </w:tc>
      </w:tr>
      <w:tr>
        <w:tc>
          <w:tcPr>
            <w:tcW w:type="dxa" w:w="2075"/>
          </w:tcPr>
          <w:p>
            <w:r/>
            <w:r>
              <w:rPr>
                <w:rFonts w:ascii="Calibri" w:hAnsi="Calibri" w:eastAsia="微软雅黑"/>
                <w:b w:val="0"/>
                <w:i w:val="0"/>
                <w:sz w:val="18"/>
              </w:rPr>
              <w:t>上海市政总院</w:t>
            </w:r>
          </w:p>
        </w:tc>
        <w:tc>
          <w:tcPr>
            <w:tcW w:type="dxa" w:w="2075"/>
          </w:tcPr>
          <w:p>
            <w:r/>
            <w:r>
              <w:rPr>
                <w:rFonts w:ascii="Calibri" w:hAnsi="Calibri" w:eastAsia="微软雅黑"/>
                <w:b w:val="0"/>
                <w:i w:val="0"/>
                <w:sz w:val="18"/>
              </w:rPr>
              <w:t>水务市政品类心智</w:t>
            </w:r>
          </w:p>
        </w:tc>
        <w:tc>
          <w:tcPr>
            <w:tcW w:type="dxa" w:w="2075"/>
          </w:tcPr>
          <w:p>
            <w:r/>
            <w:r>
              <w:rPr>
                <w:rFonts w:ascii="Calibri" w:hAnsi="Calibri" w:eastAsia="微软雅黑"/>
                <w:b w:val="0"/>
                <w:i w:val="0"/>
                <w:sz w:val="18"/>
              </w:rPr>
              <w:t>EPC占总营收72.3%、上海本地份额15%以上 [来源: P001021]</w:t>
            </w:r>
          </w:p>
        </w:tc>
        <w:tc>
          <w:tcPr>
            <w:tcW w:type="dxa" w:w="2075"/>
          </w:tcPr>
          <w:p>
            <w:r/>
            <w:r>
              <w:rPr>
                <w:rFonts w:ascii="Calibri" w:hAnsi="Calibri" w:eastAsia="微软雅黑"/>
                <w:b w:val="0"/>
                <w:i w:val="0"/>
                <w:sz w:val="18"/>
              </w:rPr>
              <w:t>全过程链条×三层风险管理 [来源: P001021]</w:t>
            </w:r>
          </w:p>
        </w:tc>
      </w:tr>
      <w:tr>
        <w:tc>
          <w:tcPr>
            <w:tcW w:type="dxa" w:w="2075"/>
          </w:tcPr>
          <w:p>
            <w:r/>
            <w:r>
              <w:rPr>
                <w:rFonts w:ascii="Calibri" w:hAnsi="Calibri" w:eastAsia="微软雅黑"/>
                <w:b w:val="0"/>
                <w:i w:val="0"/>
                <w:sz w:val="18"/>
              </w:rPr>
              <w:t>山东院</w:t>
            </w:r>
          </w:p>
        </w:tc>
        <w:tc>
          <w:tcPr>
            <w:tcW w:type="dxa" w:w="2075"/>
          </w:tcPr>
          <w:p>
            <w:r/>
            <w:r>
              <w:rPr>
                <w:rFonts w:ascii="Calibri" w:hAnsi="Calibri" w:eastAsia="微软雅黑"/>
                <w:b w:val="0"/>
                <w:i w:val="0"/>
                <w:sz w:val="18"/>
              </w:rPr>
              <w:t>电力专业深度定价权</w:t>
            </w:r>
          </w:p>
        </w:tc>
        <w:tc>
          <w:tcPr>
            <w:tcW w:type="dxa" w:w="2075"/>
          </w:tcPr>
          <w:p>
            <w:r/>
            <w:r>
              <w:rPr>
                <w:rFonts w:ascii="Calibri" w:hAnsi="Calibri" w:eastAsia="微软雅黑"/>
                <w:b w:val="0"/>
                <w:i w:val="0"/>
                <w:sz w:val="18"/>
              </w:rPr>
              <w:t>ENR80强第37位、总承包营业额第16位 [来源: P001001]</w:t>
            </w:r>
          </w:p>
        </w:tc>
        <w:tc>
          <w:tcPr>
            <w:tcW w:type="dxa" w:w="2075"/>
          </w:tcPr>
          <w:p>
            <w:r/>
            <w:r>
              <w:rPr>
                <w:rFonts w:ascii="Calibri" w:hAnsi="Calibri" w:eastAsia="微软雅黑"/>
                <w:b w:val="0"/>
                <w:i w:val="0"/>
                <w:sz w:val="18"/>
              </w:rPr>
              <w:t>唯一性业绩（百万千瓦+特高压+三代核电）[来源: P001001]</w:t>
            </w:r>
          </w:p>
        </w:tc>
      </w:tr>
      <w:tr>
        <w:tc>
          <w:tcPr>
            <w:tcW w:type="dxa" w:w="2075"/>
          </w:tcPr>
          <w:p>
            <w:r/>
            <w:r>
              <w:rPr>
                <w:rFonts w:ascii="Calibri" w:hAnsi="Calibri" w:eastAsia="微软雅黑"/>
                <w:b w:val="0"/>
                <w:i w:val="0"/>
                <w:sz w:val="18"/>
              </w:rPr>
              <w:t>中南院</w:t>
            </w:r>
          </w:p>
        </w:tc>
        <w:tc>
          <w:tcPr>
            <w:tcW w:type="dxa" w:w="2075"/>
          </w:tcPr>
          <w:p>
            <w:r/>
            <w:r>
              <w:rPr>
                <w:rFonts w:ascii="Calibri" w:hAnsi="Calibri" w:eastAsia="微软雅黑"/>
                <w:b w:val="0"/>
                <w:i w:val="0"/>
                <w:sz w:val="18"/>
              </w:rPr>
              <w:t>抽水蓄能品类样板</w:t>
            </w:r>
          </w:p>
        </w:tc>
        <w:tc>
          <w:tcPr>
            <w:tcW w:type="dxa" w:w="2075"/>
          </w:tcPr>
          <w:p>
            <w:r/>
            <w:r>
              <w:rPr>
                <w:rFonts w:ascii="Calibri" w:hAnsi="Calibri" w:eastAsia="微软雅黑"/>
                <w:b w:val="0"/>
                <w:i w:val="0"/>
                <w:sz w:val="18"/>
              </w:rPr>
              <w:t>两抽蓄EPC合计own_calc约98.71亿元 [来源: P001016]</w:t>
            </w:r>
          </w:p>
        </w:tc>
        <w:tc>
          <w:tcPr>
            <w:tcW w:type="dxa" w:w="2075"/>
          </w:tcPr>
          <w:p>
            <w:r/>
            <w:r>
              <w:rPr>
                <w:rFonts w:ascii="Calibri" w:hAnsi="Calibri" w:eastAsia="微软雅黑"/>
                <w:b w:val="0"/>
                <w:i w:val="0"/>
                <w:sz w:val="18"/>
              </w:rPr>
              <w:t>设计牵头联合体×跨省海上风电 [来源: P001016]</w:t>
            </w:r>
          </w:p>
        </w:tc>
      </w:tr>
      <w:tr>
        <w:tc>
          <w:tcPr>
            <w:tcW w:type="dxa" w:w="2075"/>
          </w:tcPr>
          <w:p>
            <w:r/>
            <w:r>
              <w:rPr>
                <w:rFonts w:ascii="Calibri" w:hAnsi="Calibri" w:eastAsia="微软雅黑"/>
                <w:b w:val="0"/>
                <w:i w:val="0"/>
                <w:sz w:val="18"/>
              </w:rPr>
              <w:t>湖南院</w:t>
            </w:r>
          </w:p>
        </w:tc>
        <w:tc>
          <w:tcPr>
            <w:tcW w:type="dxa" w:w="2075"/>
          </w:tcPr>
          <w:p>
            <w:r/>
            <w:r>
              <w:rPr>
                <w:rFonts w:ascii="Calibri" w:hAnsi="Calibri" w:eastAsia="微软雅黑"/>
                <w:b w:val="0"/>
                <w:i w:val="0"/>
                <w:sz w:val="18"/>
              </w:rPr>
              <w:t>区域公信力杠杆</w:t>
            </w:r>
          </w:p>
        </w:tc>
        <w:tc>
          <w:tcPr>
            <w:tcW w:type="dxa" w:w="2075"/>
          </w:tcPr>
          <w:p>
            <w:r/>
            <w:r>
              <w:rPr>
                <w:rFonts w:ascii="Calibri" w:hAnsi="Calibri" w:eastAsia="微软雅黑"/>
                <w:b w:val="0"/>
                <w:i w:val="0"/>
                <w:sz w:val="18"/>
              </w:rPr>
              <w:t>营收9.22亿元、中标约152亿元 [来源: P001006]</w:t>
            </w:r>
          </w:p>
        </w:tc>
        <w:tc>
          <w:tcPr>
            <w:tcW w:type="dxa" w:w="2075"/>
          </w:tcPr>
          <w:p>
            <w:r/>
            <w:r>
              <w:rPr>
                <w:rFonts w:ascii="Calibri" w:hAnsi="Calibri" w:eastAsia="微软雅黑"/>
                <w:b w:val="0"/>
                <w:i w:val="0"/>
                <w:sz w:val="18"/>
              </w:rPr>
              <w:t>5.0%研发强度×20项甲级资质 [来源: P001006]</w:t>
            </w:r>
          </w:p>
        </w:tc>
      </w:tr>
    </w:tbl>
    <w:p>
      <w:pPr>
        <w:pStyle w:val="Heading3"/>
      </w:pPr>
      <w:r>
        <w:t>11.2.3 中坚骨干的追赶与保位四步法</w:t>
      </w:r>
    </w:p>
    <w:p>
      <w:r>
        <w:rPr>
          <w:rFonts w:ascii="Calibri" w:hAnsi="Calibri" w:eastAsia="微软雅黑"/>
          <w:b/>
          <w:i w:val="0"/>
          <w:sz w:val="22"/>
        </w:rPr>
        <w:t>第一步：区域市场梯度布局与深耕。</w:t>
      </w:r>
      <w:r>
        <w:rPr>
          <w:rFonts w:ascii="Calibri" w:hAnsi="Calibri" w:eastAsia="微软雅黑"/>
          <w:b w:val="0"/>
          <w:i w:val="0"/>
          <w:sz w:val="22"/>
        </w:rPr>
        <w:t xml:space="preserve"> 巩固省内大本营并将本土核心市场份额提至15%-20%以上（山东院省内电力EPC约15%-20%、市政总院上海本地15%以上均为实证水位）；随后选择长三角、粤港澳、成渝或京津冀等投资高地设立区域总部与本地化团队实施"本地化深耕"（步骤归纳为本研究，实证随文标注）[来源: P001001, P001021]。山东路桥"出省入城出海"的次序值得注意：先把省内做到72.11%的华东集中度（own_calc），再谈跨区域——大本营不牢的全国化是流沙上的楼。</w:t>
      </w:r>
    </w:p>
    <w:p>
      <w:r>
        <w:rPr>
          <w:rFonts w:ascii="Calibri" w:hAnsi="Calibri" w:eastAsia="微软雅黑"/>
          <w:b/>
          <w:i w:val="0"/>
          <w:sz w:val="22"/>
        </w:rPr>
        <w:t>第二步：打造"设计引领型联合体"。</w:t>
      </w:r>
      <w:r>
        <w:rPr>
          <w:rFonts w:ascii="Calibri" w:hAnsi="Calibri" w:eastAsia="微软雅黑"/>
          <w:b w:val="0"/>
          <w:i w:val="0"/>
          <w:sz w:val="22"/>
        </w:rPr>
        <w:t xml:space="preserve"> 设计院背景企业主动对接施工能力强的大型建工或地方强企组建长效战略联盟，以设计优化降成本、以施工能力保交付——中南院与水电八局、七局的联合体即标准范式；同时签订详尽的联合体协议，明确风险分担与收益分配，避免履约推诿 [来源: P001016]。联合体的高阶形态是"长效"而非"一单一签"：多项目磨合出的界面默契与互信，能把联合体的内部交易成本降到比对手的单一法人内部协同还低——这正是中坚对抗头部单一法人优势的组织解法。</w:t>
      </w:r>
    </w:p>
    <w:p>
      <w:r>
        <w:rPr>
          <w:rFonts w:ascii="Calibri" w:hAnsi="Calibri" w:eastAsia="微软雅黑"/>
          <w:b/>
          <w:i w:val="0"/>
          <w:sz w:val="22"/>
        </w:rPr>
        <w:t>第三步：聚焦高专精细分赛道，打造特色标杆。</w:t>
      </w:r>
      <w:r>
        <w:rPr>
          <w:rFonts w:ascii="Calibri" w:hAnsi="Calibri" w:eastAsia="微软雅黑"/>
          <w:b w:val="0"/>
          <w:i w:val="0"/>
          <w:sz w:val="22"/>
        </w:rPr>
        <w:t xml:space="preserve"> 放弃低门槛通用房建的红海拼杀，聚焦抽水蓄能、水环境综合治理、海上风电、智慧校园与医院等高壁垒细分（中南院抽蓄、市政总院水务、山东院核电常规岛均为占位实证）；倾斜资源打响一至两个全国样板工程，以标杆业绩作为后续全国投标的信用背书 [来源: P001016, P001021, P001001]。标杆的选法有讲究（本研究归纳）：要选"评审可验证、同行难复制、媒体愿意讲"的项目——三者齐备，一个标杆能顶三年广告。</w:t>
      </w:r>
    </w:p>
    <w:p>
      <w:r>
        <w:rPr>
          <w:rFonts w:ascii="Calibri" w:hAnsi="Calibri" w:eastAsia="微软雅黑"/>
          <w:b/>
          <w:i w:val="0"/>
          <w:sz w:val="22"/>
        </w:rPr>
        <w:t>第四步：精细化采购供应链与复合型人才培育。</w:t>
      </w:r>
      <w:r>
        <w:rPr>
          <w:rFonts w:ascii="Calibri" w:hAnsi="Calibri" w:eastAsia="微软雅黑"/>
          <w:b w:val="0"/>
          <w:i w:val="0"/>
          <w:sz w:val="22"/>
        </w:rPr>
        <w:t xml:space="preserve"> 建立集中采购平台与分包商分级评价体系，持续压降设备与材料采购成本（压降幅度因企业而异，不宜设定统一数值目标，本研究不以无源数字示人）；通过"导师带徒"与重大项目实战，培育兼具设计技术、商务造价与施工风控能力的复合型EPC项目经理（市政总院"启明星/拂晓"计划、湖南院技术人员70%占比为实证形态）[来源: P001006, P001021]。人才培育的验收标准不是培训课时，而是"能独立对项目盈亏负责的项目经理人数"——这个数字每多一个，企业就能多安全地接一个更大的项目。</w:t>
      </w:r>
    </w:p>
    <w:p>
      <w:r>
        <w:rPr>
          <w:rFonts w:ascii="Calibri" w:hAnsi="Calibri" w:eastAsia="微软雅黑"/>
          <w:b w:val="0"/>
          <w:i w:val="0"/>
          <w:sz w:val="22"/>
        </w:rPr>
        <w:t>---</w:t>
      </w:r>
    </w:p>
    <w:p>
      <w:pPr>
        <w:pStyle w:val="Heading2"/>
      </w:pPr>
      <w:r>
        <w:t>11.3 第三档（追赶者）：细分赛道求生与弯道卡位</w:t>
      </w:r>
    </w:p>
    <w:p>
      <w:pPr>
        <w:pStyle w:val="Heading3"/>
      </w:pPr>
      <w:r>
        <w:t>11.3.1 追赶者的群体画像与生存法则</w:t>
      </w:r>
    </w:p>
    <w:p>
      <w:r>
        <w:rPr>
          <w:rFonts w:ascii="Calibri" w:hAnsi="Calibri" w:eastAsia="微软雅黑"/>
          <w:b w:val="0"/>
          <w:i w:val="0"/>
          <w:sz w:val="22"/>
        </w:rPr>
        <w:t>第三档追赶者是全国工程总承包市场里数量最庞大的群体：区域设计院、专业工程公司、转型期的地方施工企业，以及切入EPC赛道的民营专业服务商。它们的画像（画像为本研究归纳，依据本章各研究报告的对标分析整理）有四个共同刻度：其一，营收体量在数亿元至数十亿元，尚不足以支撑全国性营销网络与重资产装备体系；其二，在一至两个细分品类或地市市场有真实口碑，但品类心智未成；其三，融资渠道窄、垫资承受力弱，一个中大项目的履约波动就可能伤及主体信用；其四，机制灵活、决策链短，敢做头部不愿做、做不好的"毛细血管"项目 [来源: P001011, P001006, P001016]。四个刻度里最致命的是第三个：信用脆弱性——它决定了追赶者的一切战略都必须先过"现金流安全"这道闸，任何以信用换规模的动作（低价、垫资、无限担保）都可能把企业直接送出牌局；而最有价值的是第四个：机制灵活性，它让追赶者能够在头部完成决策流程之前，先一步占住新兴品类的窗口期（中城科泽对BIM与装配式的早期押注即是例证）[来源: P001011]。</w:t>
      </w:r>
    </w:p>
    <w:p>
      <w:r>
        <w:rPr>
          <w:rFonts w:ascii="Calibri" w:hAnsi="Calibri" w:eastAsia="微软雅黑"/>
          <w:b w:val="0"/>
          <w:i w:val="0"/>
          <w:sz w:val="22"/>
        </w:rPr>
        <w:t>追赶者的生存法则由此导出（法则归纳为本研究）：</w:t>
      </w:r>
      <w:r>
        <w:rPr>
          <w:rFonts w:ascii="Calibri" w:hAnsi="Calibri" w:eastAsia="微软雅黑"/>
          <w:b/>
          <w:i w:val="0"/>
          <w:sz w:val="22"/>
        </w:rPr>
        <w:t>不做全能选手，做单科冠军；不做正面战场，做侧翼包抄；不拼资金池，拼周转率与信用。</w:t>
      </w:r>
      <w:r>
        <w:rPr>
          <w:rFonts w:ascii="Calibri" w:hAnsi="Calibri" w:eastAsia="微软雅黑"/>
          <w:b w:val="0"/>
          <w:i w:val="0"/>
          <w:sz w:val="22"/>
        </w:rPr>
        <w:t xml:space="preserve"> 中南院研究报告从竞争对手视角给出的差异化策略建议，本质就是一份"追赶者作战手册"——识别在位者的能力盲区（如全流程服务响应慢、定制化程度低），以更快的响应、更深的属地关系与更专的品类实现对位替代 [来源: P001016]。</w:t>
      </w:r>
    </w:p>
    <w:p>
      <w:r>
        <w:rPr>
          <w:rFonts w:ascii="Calibri" w:hAnsi="Calibri" w:eastAsia="微软雅黑"/>
          <w:b w:val="0"/>
          <w:i w:val="0"/>
          <w:sz w:val="22"/>
        </w:rPr>
        <w:t>必须诚实交代本节证据基础（本研究声明）：本章资料库未包含第三档典型企业的完整深度研究报告，第三档画像与行动清单系依据五家中坚样本研究报告中的对标分析、竞争劣势与竞争策略章节反向归纳——这既是局限，也是方法：中坚企业报告里"我们怕什么样的对手"的段落，恰恰是追赶者形态最真实的素描。读者若为第三档企业，建议把本章11.3与前述各章（尤其第6章设计院转型、第7章项目管理、第12章行动清单）交叉使用，以补单章证据密度之不足。</w:t>
      </w:r>
    </w:p>
    <w:p>
      <w:pPr>
        <w:pStyle w:val="Heading3"/>
      </w:pPr>
      <w:r>
        <w:t>11.3.2 追赶者的三条典型路径（据案例实证归纳）</w:t>
      </w:r>
    </w:p>
    <w:p>
      <w:r>
        <w:rPr>
          <w:rFonts w:ascii="Calibri" w:hAnsi="Calibri" w:eastAsia="微软雅黑"/>
          <w:b/>
          <w:i w:val="0"/>
          <w:sz w:val="22"/>
        </w:rPr>
        <w:t>路径一：品类专精——在单一赛道做深到"提到品类就提到你"。</w:t>
      </w:r>
      <w:r>
        <w:rPr>
          <w:rFonts w:ascii="Calibri" w:hAnsi="Calibri" w:eastAsia="微软雅黑"/>
          <w:b w:val="0"/>
          <w:i w:val="0"/>
          <w:sz w:val="22"/>
        </w:rPr>
        <w:t xml:space="preserve"> 中城科泽的跃迁史是最好注脚：以工程设计综合甲级与全过程资质为底座，把BIM应用率做到90%以上、绿色建筑占比60%以上、装配式应用占比40%以上，从数亿元营收的民营设计企业一路打进全国EPC中标100强第7位（2023年上半年）——它证明追赶者与头部的差距不是资源，而是品类穿透的锐度 [来源: P001011]。品类专精的可操作判据（本研究归纳）：当业主在做某类项目时把你列入前三顺位邀请名单，而你的名字与某个技术标签（如装配式、水务治理、光伏+）被同时提起时，品类心智才算建立；在此之前，一切多元化尝试都是在没有地基的地方加盖楼层。</w:t>
      </w:r>
    </w:p>
    <w:p>
      <w:r>
        <w:rPr>
          <w:rFonts w:ascii="Calibri" w:hAnsi="Calibri" w:eastAsia="微软雅黑"/>
          <w:b/>
          <w:i w:val="0"/>
          <w:sz w:val="22"/>
        </w:rPr>
        <w:t>路径二：区域公信力杠杆——用小营收撬动大中标。</w:t>
      </w:r>
      <w:r>
        <w:rPr>
          <w:rFonts w:ascii="Calibri" w:hAnsi="Calibri" w:eastAsia="微软雅黑"/>
          <w:b w:val="0"/>
          <w:i w:val="0"/>
          <w:sz w:val="22"/>
        </w:rPr>
        <w:t xml:space="preserve"> 湖南院以9.22亿元营收、5.0%的研发投入强度，撬动152亿元中标额（own_calc约16倍杠杆），靠的是七十余年省院公信力＋20项甲级资质＋省内收入占比超80%的深耕密度。对追赶者的启示：区域市场的"信任复利"是最便宜的成长杠杆，但必须以全过程资质与履约质量为前提，否则杠杆会反噬为垫资黑洞 [来源: P001006]。区域杠杆的另一个被低估的成分是人才密度——70%的技术人员占比与30%以上的高级工程师比率，意味着152亿元中标背后的履约网络首先是一张人才网；离开人才谈杠杆，就是离开信用谈融资 [来源: P001006]。</w:t>
      </w:r>
    </w:p>
    <w:p>
      <w:r>
        <w:rPr>
          <w:rFonts w:ascii="Calibri" w:hAnsi="Calibri" w:eastAsia="微软雅黑"/>
          <w:b/>
          <w:i w:val="0"/>
          <w:sz w:val="22"/>
        </w:rPr>
        <w:t>路径三：借船出海——以联合体切入自己啃不动的大项目。</w:t>
      </w:r>
      <w:r>
        <w:rPr>
          <w:rFonts w:ascii="Calibri" w:hAnsi="Calibri" w:eastAsia="微软雅黑"/>
          <w:b w:val="0"/>
          <w:i w:val="0"/>
          <w:sz w:val="22"/>
        </w:rPr>
        <w:t xml:space="preserve"> 中南院体系内的实践显示，设计单位与施工强企（水电八局、七局）组成联合体，是中小主体进入抽水蓄能等百亿级赛道的唯一可行通道：设计方出技术集成与设计优化，施工方出履约与资金承受力，风险按联合体协议分层。追赶者要遵守的纪律是：联合体协议必须把风险分担、收益分配、退出机制写死，防止"赢了项目、输了官司"（纪律要求归纳为本研究，与第7章合同防御机制同源）[来源: P001016]。借船的进阶心法（本研究归纳）：在联合体里主动承担"技术总负责"角色而非消极分标——牵头技术界面的一方，才能在多项目合作中积累组织资本，把一次性的借船变成长期的舰队。</w:t>
      </w:r>
    </w:p>
    <w:p>
      <w:pPr>
        <w:pStyle w:val="Heading3"/>
      </w:pPr>
      <w:r>
        <w:t>11.3.3 追赶者的组织与人才配置</w:t>
      </w:r>
    </w:p>
    <w:p>
      <w:r>
        <w:rPr>
          <w:rFonts w:ascii="Calibri" w:hAnsi="Calibri" w:eastAsia="微软雅黑"/>
          <w:b w:val="0"/>
          <w:i w:val="0"/>
          <w:sz w:val="22"/>
        </w:rPr>
        <w:t>追赶者的组织命题与头部相反：头部怕僵化，追赶者怕失血。三条组织纪律（归纳为本研究，实证随文标注）：</w:t>
      </w:r>
    </w:p>
    <w:p>
      <w:pPr>
        <w:pStyle w:val="ListNumber"/>
      </w:pPr>
      <w:r>
        <w:rPr>
          <w:rFonts w:ascii="Calibri" w:hAnsi="Calibri" w:eastAsia="微软雅黑"/>
          <w:b/>
          <w:i w:val="0"/>
          <w:sz w:val="22"/>
        </w:rPr>
        <w:t>人才密度优先于人才规模。</w:t>
      </w:r>
      <w:r>
        <w:rPr>
          <w:rFonts w:ascii="Calibri" w:hAnsi="Calibri" w:eastAsia="微软雅黑"/>
          <w:b w:val="0"/>
          <w:i w:val="0"/>
          <w:sz w:val="22"/>
        </w:rPr>
        <w:t xml:space="preserve"> 湖南院以70%以上的技术人员占比、30%以上的高级工程师与教授级高级工程师占比，支撑起152亿元中标的履约网络——追赶者请不起最多的人，但必须让最关键岗位（项目总监、总工、商务法务负责人）的人是最贵的 [来源: P001006]。</w:t>
      </w:r>
    </w:p>
    <w:p>
      <w:pPr>
        <w:pStyle w:val="ListNumber"/>
      </w:pPr>
      <w:r>
        <w:rPr>
          <w:rFonts w:ascii="Calibri" w:hAnsi="Calibri" w:eastAsia="微软雅黑"/>
          <w:b/>
          <w:i w:val="0"/>
          <w:sz w:val="22"/>
        </w:rPr>
        <w:t>研发投入是买门票，不是做慈善。</w:t>
      </w:r>
      <w:r>
        <w:rPr>
          <w:rFonts w:ascii="Calibri" w:hAnsi="Calibri" w:eastAsia="微软雅黑"/>
          <w:b w:val="0"/>
          <w:i w:val="0"/>
          <w:sz w:val="22"/>
        </w:rPr>
        <w:t xml:space="preserve"> 湖南院连续三年研发投入从3,850万元、4,200万元增至4,610万元（占营收5.0%），换来的是BIM、装配式、绿建、智能建筑四个技术标签与174项自主知识产权——对追赶者，研发强度低于营收3%意味着在未来三年的投标技术分中逐渐失语（门槛判断为本研究归纳示意，非统计数据）[来源: P001006]。</w:t>
      </w:r>
    </w:p>
    <w:p>
      <w:pPr>
        <w:pStyle w:val="ListNumber"/>
      </w:pPr>
      <w:r>
        <w:rPr>
          <w:rFonts w:ascii="Calibri" w:hAnsi="Calibri" w:eastAsia="微软雅黑"/>
          <w:b/>
          <w:i w:val="0"/>
          <w:sz w:val="22"/>
        </w:rPr>
        <w:t>数字化平台是小体量的力量倍增器。</w:t>
      </w:r>
      <w:r>
        <w:rPr>
          <w:rFonts w:ascii="Calibri" w:hAnsi="Calibri" w:eastAsia="微软雅黑"/>
          <w:b w:val="0"/>
          <w:i w:val="0"/>
          <w:sz w:val="22"/>
        </w:rPr>
        <w:t xml:space="preserve"> 湖南院建BIM技术中心与虚拟现实技术中心、中南院设信息与数字技术工程公司推动各专业数字化转型升级——两位"非头部"样本都不约而同把数字化当作用组织资本弥补金融资本的手段 [来源: P001006, P001016]。</w:t>
      </w:r>
    </w:p>
    <w:p>
      <w:pPr>
        <w:pStyle w:val="Heading3"/>
      </w:pPr>
      <w:r>
        <w:t>11.3.4 追赶者行动清单（四步）</w:t>
      </w:r>
    </w:p>
    <w:p>
      <w:pPr>
        <w:pStyle w:val="Heading4"/>
      </w:pPr>
      <w:r>
        <w:t>表11-2 追赶者四步行动清单（本研究归纳，实证随文标注）</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步骤</w:t>
            </w:r>
          </w:p>
        </w:tc>
        <w:tc>
          <w:tcPr>
            <w:tcW w:type="dxa" w:w="2767"/>
            <w:shd w:fill="1F3A5F"/>
          </w:tcPr>
          <w:p>
            <w:r>
              <w:rPr>
                <w:color w:val="FFFFFF"/>
              </w:rPr>
            </w:r>
            <w:r>
              <w:rPr>
                <w:rFonts w:ascii="Calibri" w:hAnsi="Calibri" w:eastAsia="微软雅黑"/>
                <w:b/>
                <w:i w:val="0"/>
                <w:color w:val="FFFFFF"/>
                <w:sz w:val="18"/>
              </w:rPr>
              <w:t>核心动作</w:t>
            </w:r>
          </w:p>
        </w:tc>
        <w:tc>
          <w:tcPr>
            <w:tcW w:type="dxa" w:w="2767"/>
            <w:shd w:fill="1F3A5F"/>
          </w:tcPr>
          <w:p>
            <w:r>
              <w:rPr>
                <w:color w:val="FFFFFF"/>
              </w:rPr>
            </w:r>
            <w:r>
              <w:rPr>
                <w:rFonts w:ascii="Calibri" w:hAnsi="Calibri" w:eastAsia="微软雅黑"/>
                <w:b/>
                <w:i w:val="0"/>
                <w:color w:val="FFFFFF"/>
                <w:sz w:val="18"/>
              </w:rPr>
              <w:t>实证参照</w:t>
            </w:r>
          </w:p>
        </w:tc>
      </w:tr>
      <w:tr>
        <w:tc>
          <w:tcPr>
            <w:tcW w:type="dxa" w:w="2767"/>
          </w:tcPr>
          <w:p>
            <w:r/>
            <w:r>
              <w:rPr>
                <w:rFonts w:ascii="Calibri" w:hAnsi="Calibri" w:eastAsia="微软雅黑"/>
                <w:b w:val="0"/>
                <w:i w:val="0"/>
                <w:sz w:val="18"/>
              </w:rPr>
              <w:t>第一步：赛道卡位</w:t>
            </w:r>
          </w:p>
        </w:tc>
        <w:tc>
          <w:tcPr>
            <w:tcW w:type="dxa" w:w="2767"/>
          </w:tcPr>
          <w:p>
            <w:r/>
            <w:r>
              <w:rPr>
                <w:rFonts w:ascii="Calibri" w:hAnsi="Calibri" w:eastAsia="微软雅黑"/>
                <w:b w:val="0"/>
                <w:i w:val="0"/>
                <w:sz w:val="18"/>
              </w:rPr>
              <w:t>选择一至两个高壁垒细分（如装配式、水务治理、光伏+、养护再生），以资质补齐与标杆项目建立品类认知</w:t>
            </w:r>
          </w:p>
        </w:tc>
        <w:tc>
          <w:tcPr>
            <w:tcW w:type="dxa" w:w="2767"/>
          </w:tcPr>
          <w:p>
            <w:r/>
            <w:r>
              <w:rPr>
                <w:rFonts w:ascii="Calibri" w:hAnsi="Calibri" w:eastAsia="微软雅黑"/>
                <w:b w:val="0"/>
                <w:i w:val="0"/>
                <w:sz w:val="18"/>
              </w:rPr>
              <w:t>中城科泽以BIM/绿建/装配式三技术锚定品类 [来源: P001011]</w:t>
            </w:r>
          </w:p>
        </w:tc>
      </w:tr>
      <w:tr>
        <w:tc>
          <w:tcPr>
            <w:tcW w:type="dxa" w:w="2767"/>
          </w:tcPr>
          <w:p>
            <w:r/>
            <w:r>
              <w:rPr>
                <w:rFonts w:ascii="Calibri" w:hAnsi="Calibri" w:eastAsia="微软雅黑"/>
                <w:b w:val="0"/>
                <w:i w:val="0"/>
                <w:sz w:val="18"/>
              </w:rPr>
              <w:t>第二步：属地深耕</w:t>
            </w:r>
          </w:p>
        </w:tc>
        <w:tc>
          <w:tcPr>
            <w:tcW w:type="dxa" w:w="2767"/>
          </w:tcPr>
          <w:p>
            <w:r/>
            <w:r>
              <w:rPr>
                <w:rFonts w:ascii="Calibri" w:hAnsi="Calibri" w:eastAsia="微软雅黑"/>
                <w:b w:val="0"/>
                <w:i w:val="0"/>
                <w:sz w:val="18"/>
              </w:rPr>
              <w:t>在根据地市场把占有率与重复合作率做到极值，以区域公信力放大中标杠杆</w:t>
            </w:r>
          </w:p>
        </w:tc>
        <w:tc>
          <w:tcPr>
            <w:tcW w:type="dxa" w:w="2767"/>
          </w:tcPr>
          <w:p>
            <w:r/>
            <w:r>
              <w:rPr>
                <w:rFonts w:ascii="Calibri" w:hAnsi="Calibri" w:eastAsia="微软雅黑"/>
                <w:b w:val="0"/>
                <w:i w:val="0"/>
                <w:sz w:val="18"/>
              </w:rPr>
              <w:t>湖南院省内收入占比超80%、中标杠杆own_calc约16倍 [来源: P001006]</w:t>
            </w:r>
          </w:p>
        </w:tc>
      </w:tr>
      <w:tr>
        <w:tc>
          <w:tcPr>
            <w:tcW w:type="dxa" w:w="2767"/>
          </w:tcPr>
          <w:p>
            <w:r/>
            <w:r>
              <w:rPr>
                <w:rFonts w:ascii="Calibri" w:hAnsi="Calibri" w:eastAsia="微软雅黑"/>
                <w:b w:val="0"/>
                <w:i w:val="0"/>
                <w:sz w:val="18"/>
              </w:rPr>
              <w:t>第三步：联合体借力</w:t>
            </w:r>
          </w:p>
        </w:tc>
        <w:tc>
          <w:tcPr>
            <w:tcW w:type="dxa" w:w="2767"/>
          </w:tcPr>
          <w:p>
            <w:r/>
            <w:r>
              <w:rPr>
                <w:rFonts w:ascii="Calibri" w:hAnsi="Calibri" w:eastAsia="微软雅黑"/>
                <w:b w:val="0"/>
                <w:i w:val="0"/>
                <w:sz w:val="18"/>
              </w:rPr>
              <w:t>以设计引领型联合体进入大项目，协议锁定风险分担与退出机制</w:t>
            </w:r>
          </w:p>
        </w:tc>
        <w:tc>
          <w:tcPr>
            <w:tcW w:type="dxa" w:w="2767"/>
          </w:tcPr>
          <w:p>
            <w:r/>
            <w:r>
              <w:rPr>
                <w:rFonts w:ascii="Calibri" w:hAnsi="Calibri" w:eastAsia="微软雅黑"/>
                <w:b w:val="0"/>
                <w:i w:val="0"/>
                <w:sz w:val="18"/>
              </w:rPr>
              <w:t>中南院×水电八局/七局抽水蓄能联合体 [来源: P001016]</w:t>
            </w:r>
          </w:p>
        </w:tc>
      </w:tr>
      <w:tr>
        <w:tc>
          <w:tcPr>
            <w:tcW w:type="dxa" w:w="2767"/>
          </w:tcPr>
          <w:p>
            <w:r/>
            <w:r>
              <w:rPr>
                <w:rFonts w:ascii="Calibri" w:hAnsi="Calibri" w:eastAsia="微软雅黑"/>
                <w:b w:val="0"/>
                <w:i w:val="0"/>
                <w:sz w:val="18"/>
              </w:rPr>
              <w:t>第四步：现金流生存线</w:t>
            </w:r>
          </w:p>
        </w:tc>
        <w:tc>
          <w:tcPr>
            <w:tcW w:type="dxa" w:w="2767"/>
          </w:tcPr>
          <w:p>
            <w:r/>
            <w:r>
              <w:rPr>
                <w:rFonts w:ascii="Calibri" w:hAnsi="Calibri" w:eastAsia="微软雅黑"/>
                <w:b w:val="0"/>
                <w:i w:val="0"/>
                <w:sz w:val="18"/>
              </w:rPr>
              <w:t>严控垫资比例与应收账期，用集中采购与精细分包守住毛利，拒绝以信用换规模</w:t>
            </w:r>
          </w:p>
        </w:tc>
        <w:tc>
          <w:tcPr>
            <w:tcW w:type="dxa" w:w="2767"/>
          </w:tcPr>
          <w:p>
            <w:r/>
            <w:r>
              <w:rPr>
                <w:rFonts w:ascii="Calibri" w:hAnsi="Calibri" w:eastAsia="微软雅黑"/>
                <w:b w:val="0"/>
                <w:i w:val="0"/>
                <w:sz w:val="18"/>
              </w:rPr>
              <w:t>湖南院集中采购与供应商评价体系 [来源: P001006]</w:t>
            </w:r>
          </w:p>
        </w:tc>
      </w:tr>
    </w:tbl>
    <w:p>
      <w:r>
        <w:rPr>
          <w:rFonts w:ascii="Calibri" w:hAnsi="Calibri" w:eastAsia="微软雅黑"/>
          <w:b w:val="0"/>
          <w:i w:val="0"/>
          <w:sz w:val="22"/>
        </w:rPr>
        <w:t>四步之间有严格的先后依赖（本研究提示）：第一步不落地（品类未定），第二步的深耕就是浪费弹药；第二步不达标（本土无绝对份额），第三步的联合体里就没有你的话语权；前三步任何一步虚火，第四步的现金流生存线都会替你结算——追赶者的失败案例，几乎都不是输在没有机会，而是输在机会来临时的顺序错乱。</w:t>
      </w:r>
    </w:p>
    <w:p>
      <w:pPr>
        <w:pStyle w:val="Heading3"/>
      </w:pPr>
      <w:r>
        <w:t>11.3.5 追赶者的三条死亡陷阱（避坑指南，本研究归纳）</w:t>
      </w:r>
    </w:p>
    <w:p>
      <w:pPr>
        <w:pStyle w:val="ListNumber"/>
      </w:pPr>
      <w:r>
        <w:rPr>
          <w:rFonts w:ascii="Calibri" w:hAnsi="Calibri" w:eastAsia="微软雅黑"/>
          <w:b/>
          <w:i w:val="0"/>
          <w:sz w:val="22"/>
        </w:rPr>
        <w:t>低价抢标陷阱</w:t>
      </w:r>
      <w:r>
        <w:rPr>
          <w:rFonts w:ascii="Calibri" w:hAnsi="Calibri" w:eastAsia="微软雅黑"/>
          <w:b w:val="0"/>
          <w:i w:val="0"/>
          <w:sz w:val="22"/>
        </w:rPr>
        <w:t>：以显著低于成本的价格抢占标的，再指望变更索赔找补——第7章与第12章的判例反复证明，技术文件交付与节点付款扣合不清时，先履行抗辩权会让"找补"落空，垫资反而沉淀为坏账。识别信号（本研究归纳）：当投标测算的利润主要来自"中标后优化"而非"方案本身的效率差"时，这单生意的真实利润已经是负数 [来源: P001016]。</w:t>
      </w:r>
    </w:p>
    <w:p>
      <w:pPr>
        <w:pStyle w:val="ListNumber"/>
      </w:pPr>
      <w:r>
        <w:rPr>
          <w:rFonts w:ascii="Calibri" w:hAnsi="Calibri" w:eastAsia="微软雅黑"/>
          <w:b/>
          <w:i w:val="0"/>
          <w:sz w:val="22"/>
        </w:rPr>
        <w:t>资质挂靠陷阱</w:t>
      </w:r>
      <w:r>
        <w:rPr>
          <w:rFonts w:ascii="Calibri" w:hAnsi="Calibri" w:eastAsia="微软雅黑"/>
          <w:b w:val="0"/>
          <w:i w:val="0"/>
          <w:sz w:val="22"/>
        </w:rPr>
        <w:t>：为快速进入市场借用或出让资质，一旦履约出险，行政处罚与连带赔偿足以吞噬一个中小主体数年利润——正路是像案例企业那样逐年补齐自身资质矩阵（湖南院20项甲级即数十年累积结果），并把每一次资质升级与中标能力升级同步规划：资质是入场券，履约能力才是续场券 [来源: P001006]。</w:t>
      </w:r>
    </w:p>
    <w:p>
      <w:pPr>
        <w:pStyle w:val="ListNumber"/>
      </w:pPr>
      <w:r>
        <w:rPr>
          <w:rFonts w:ascii="Calibri" w:hAnsi="Calibri" w:eastAsia="微软雅黑"/>
          <w:b/>
          <w:i w:val="0"/>
          <w:sz w:val="22"/>
        </w:rPr>
        <w:t>无限多元化陷阱</w:t>
      </w:r>
      <w:r>
        <w:rPr>
          <w:rFonts w:ascii="Calibri" w:hAnsi="Calibri" w:eastAsia="微软雅黑"/>
          <w:b w:val="0"/>
          <w:i w:val="0"/>
          <w:sz w:val="22"/>
        </w:rPr>
        <w:t>：在未建立品类冠军地位前横向铺开业务线，管理带宽被稀释，最终每条线都是追随者——中城科泽在30亿元营收上仍坚守工程设计核心品类，是克制的美德。自检方法（本研究归纳）：统计企业在手项目的前十大客户与前三大品类，若任一占比低于三成，说明资源已经摊薄；此时正确的动作是收缩而不是再扩张 [来源: P001011]。</w:t>
      </w:r>
    </w:p>
    <w:p>
      <w:r>
        <w:rPr>
          <w:rFonts w:ascii="Calibri" w:hAnsi="Calibri" w:eastAsia="微软雅黑"/>
          <w:b w:val="0"/>
          <w:i w:val="0"/>
          <w:sz w:val="22"/>
        </w:rPr>
        <w:t>---</w:t>
      </w:r>
    </w:p>
    <w:p>
      <w:pPr>
        <w:pStyle w:val="Heading2"/>
      </w:pPr>
      <w:r>
        <w:t>11.4 三档对标矩阵：一页纸定档与跃迁路线</w:t>
      </w:r>
    </w:p>
    <w:p>
      <w:pPr>
        <w:pStyle w:val="Heading3"/>
      </w:pPr>
      <w:r>
        <w:t>11.4.1 三档能力对标矩阵</w:t>
      </w:r>
    </w:p>
    <w:p>
      <w:pPr>
        <w:pStyle w:val="Heading4"/>
      </w:pPr>
      <w:r>
        <w:t>表11-3 50强三档能力对标矩阵（矩阵为本研究归纳，单元格实证据源文标注）</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对标维度</w:t>
            </w:r>
          </w:p>
        </w:tc>
        <w:tc>
          <w:tcPr>
            <w:tcW w:type="dxa" w:w="2075"/>
            <w:shd w:fill="1F3A5F"/>
          </w:tcPr>
          <w:p>
            <w:r>
              <w:rPr>
                <w:color w:val="FFFFFF"/>
              </w:rPr>
            </w:r>
            <w:r>
              <w:rPr>
                <w:rFonts w:ascii="Calibri" w:hAnsi="Calibri" w:eastAsia="微软雅黑"/>
                <w:b/>
                <w:i w:val="0"/>
                <w:color w:val="FFFFFF"/>
                <w:sz w:val="18"/>
              </w:rPr>
              <w:t>第一档 头部领军</w:t>
            </w:r>
          </w:p>
        </w:tc>
        <w:tc>
          <w:tcPr>
            <w:tcW w:type="dxa" w:w="2075"/>
            <w:shd w:fill="1F3A5F"/>
          </w:tcPr>
          <w:p>
            <w:r>
              <w:rPr>
                <w:color w:val="FFFFFF"/>
              </w:rPr>
            </w:r>
            <w:r>
              <w:rPr>
                <w:rFonts w:ascii="Calibri" w:hAnsi="Calibri" w:eastAsia="微软雅黑"/>
                <w:b/>
                <w:i w:val="0"/>
                <w:color w:val="FFFFFF"/>
                <w:sz w:val="18"/>
              </w:rPr>
              <w:t>第二档 中坚骨干</w:t>
            </w:r>
          </w:p>
        </w:tc>
        <w:tc>
          <w:tcPr>
            <w:tcW w:type="dxa" w:w="2075"/>
            <w:shd w:fill="1F3A5F"/>
          </w:tcPr>
          <w:p>
            <w:r>
              <w:rPr>
                <w:color w:val="FFFFFF"/>
              </w:rPr>
            </w:r>
            <w:r>
              <w:rPr>
                <w:rFonts w:ascii="Calibri" w:hAnsi="Calibri" w:eastAsia="微软雅黑"/>
                <w:b/>
                <w:i w:val="0"/>
                <w:color w:val="FFFFFF"/>
                <w:sz w:val="18"/>
              </w:rPr>
              <w:t>第三档 追赶者</w:t>
            </w:r>
          </w:p>
        </w:tc>
      </w:tr>
      <w:tr>
        <w:tc>
          <w:tcPr>
            <w:tcW w:type="dxa" w:w="2075"/>
          </w:tcPr>
          <w:p>
            <w:r/>
            <w:r>
              <w:rPr>
                <w:rFonts w:ascii="Calibri" w:hAnsi="Calibri" w:eastAsia="微软雅黑"/>
                <w:b w:val="0"/>
                <w:i w:val="0"/>
                <w:sz w:val="18"/>
              </w:rPr>
              <w:t>规模与融资</w:t>
            </w:r>
          </w:p>
        </w:tc>
        <w:tc>
          <w:tcPr>
            <w:tcW w:type="dxa" w:w="2075"/>
          </w:tcPr>
          <w:p>
            <w:r/>
            <w:r>
              <w:rPr>
                <w:rFonts w:ascii="Calibri" w:hAnsi="Calibri" w:eastAsia="微软雅黑"/>
                <w:b w:val="0"/>
                <w:i w:val="0"/>
                <w:sz w:val="18"/>
              </w:rPr>
              <w:t>营收数千亿级，新签破万亿（中国交建2023年新签17,532.15亿元）[来源: P001034]</w:t>
            </w:r>
          </w:p>
        </w:tc>
        <w:tc>
          <w:tcPr>
            <w:tcW w:type="dxa" w:w="2075"/>
          </w:tcPr>
          <w:p>
            <w:r/>
            <w:r>
              <w:rPr>
                <w:rFonts w:ascii="Calibri" w:hAnsi="Calibri" w:eastAsia="微软雅黑"/>
                <w:b w:val="0"/>
                <w:i w:val="0"/>
                <w:sz w:val="18"/>
              </w:rPr>
              <w:t>营收数十亿至千亿级，多元融资工具箱在役（山东路桥公司债2.37%票面）[来源: P001028]</w:t>
            </w:r>
          </w:p>
        </w:tc>
        <w:tc>
          <w:tcPr>
            <w:tcW w:type="dxa" w:w="2075"/>
          </w:tcPr>
          <w:p>
            <w:r/>
            <w:r>
              <w:rPr>
                <w:rFonts w:ascii="Calibri" w:hAnsi="Calibri" w:eastAsia="微软雅黑"/>
                <w:b w:val="0"/>
                <w:i w:val="0"/>
                <w:sz w:val="18"/>
              </w:rPr>
              <w:t>营收数亿至数十亿，融资依赖区域银行授信，现金流是生命线 [来源: P001006]</w:t>
            </w:r>
          </w:p>
        </w:tc>
      </w:tr>
      <w:tr>
        <w:tc>
          <w:tcPr>
            <w:tcW w:type="dxa" w:w="2075"/>
          </w:tcPr>
          <w:p>
            <w:r/>
            <w:r>
              <w:rPr>
                <w:rFonts w:ascii="Calibri" w:hAnsi="Calibri" w:eastAsia="微软雅黑"/>
                <w:b w:val="0"/>
                <w:i w:val="0"/>
                <w:sz w:val="18"/>
              </w:rPr>
              <w:t>技术壁垒</w:t>
            </w:r>
          </w:p>
        </w:tc>
        <w:tc>
          <w:tcPr>
            <w:tcW w:type="dxa" w:w="2075"/>
          </w:tcPr>
          <w:p>
            <w:r/>
            <w:r>
              <w:rPr>
                <w:rFonts w:ascii="Calibri" w:hAnsi="Calibri" w:eastAsia="微软雅黑"/>
                <w:b w:val="0"/>
                <w:i w:val="0"/>
                <w:sz w:val="18"/>
              </w:rPr>
              <w:t>自主工艺包+标准制定权（中国化学POE/二氧化碳资源化技术）[来源: P001026]</w:t>
            </w:r>
          </w:p>
        </w:tc>
        <w:tc>
          <w:tcPr>
            <w:tcW w:type="dxa" w:w="2075"/>
          </w:tcPr>
          <w:p>
            <w:r/>
            <w:r>
              <w:rPr>
                <w:rFonts w:ascii="Calibri" w:hAnsi="Calibri" w:eastAsia="微软雅黑"/>
                <w:b w:val="0"/>
                <w:i w:val="0"/>
                <w:sz w:val="18"/>
              </w:rPr>
              <w:t>单项全国领先（山东院唯一百万千瓦+特高压+三代核电业绩）[来源: P001001]</w:t>
            </w:r>
          </w:p>
        </w:tc>
        <w:tc>
          <w:tcPr>
            <w:tcW w:type="dxa" w:w="2075"/>
          </w:tcPr>
          <w:p>
            <w:r/>
            <w:r>
              <w:rPr>
                <w:rFonts w:ascii="Calibri" w:hAnsi="Calibri" w:eastAsia="微软雅黑"/>
                <w:b w:val="0"/>
                <w:i w:val="0"/>
                <w:sz w:val="18"/>
              </w:rPr>
              <w:t>品类技术应用领先（中城科泽BIM应用率90%以上）[来源: P001011]</w:t>
            </w:r>
          </w:p>
        </w:tc>
      </w:tr>
      <w:tr>
        <w:tc>
          <w:tcPr>
            <w:tcW w:type="dxa" w:w="2075"/>
          </w:tcPr>
          <w:p>
            <w:r/>
            <w:r>
              <w:rPr>
                <w:rFonts w:ascii="Calibri" w:hAnsi="Calibri" w:eastAsia="微软雅黑"/>
                <w:b w:val="0"/>
                <w:i w:val="0"/>
                <w:sz w:val="18"/>
              </w:rPr>
              <w:t>市场根基</w:t>
            </w:r>
          </w:p>
        </w:tc>
        <w:tc>
          <w:tcPr>
            <w:tcW w:type="dxa" w:w="2075"/>
          </w:tcPr>
          <w:p>
            <w:r/>
            <w:r>
              <w:rPr>
                <w:rFonts w:ascii="Calibri" w:hAnsi="Calibri" w:eastAsia="微软雅黑"/>
                <w:b w:val="0"/>
                <w:i w:val="0"/>
                <w:sz w:val="18"/>
              </w:rPr>
              <w:t>全球网络（中国化学160个海外机构、80多个国家）[来源: P001026]</w:t>
            </w:r>
          </w:p>
        </w:tc>
        <w:tc>
          <w:tcPr>
            <w:tcW w:type="dxa" w:w="2075"/>
          </w:tcPr>
          <w:p>
            <w:r/>
            <w:r>
              <w:rPr>
                <w:rFonts w:ascii="Calibri" w:hAnsi="Calibri" w:eastAsia="微软雅黑"/>
                <w:b w:val="0"/>
                <w:i w:val="0"/>
                <w:sz w:val="18"/>
              </w:rPr>
              <w:t>省内绝对份额+专业全国化（山东路桥华东占比72.11%、市政总院上海15%以上）[来源: P001028, P001021]</w:t>
            </w:r>
          </w:p>
        </w:tc>
        <w:tc>
          <w:tcPr>
            <w:tcW w:type="dxa" w:w="2075"/>
          </w:tcPr>
          <w:p>
            <w:r/>
            <w:r>
              <w:rPr>
                <w:rFonts w:ascii="Calibri" w:hAnsi="Calibri" w:eastAsia="微软雅黑"/>
                <w:b w:val="0"/>
                <w:i w:val="0"/>
                <w:sz w:val="18"/>
              </w:rPr>
              <w:t>地市/县域深耕，重复合作率是核心资产 [来源: P001006]</w:t>
            </w:r>
          </w:p>
        </w:tc>
      </w:tr>
      <w:tr>
        <w:tc>
          <w:tcPr>
            <w:tcW w:type="dxa" w:w="2075"/>
          </w:tcPr>
          <w:p>
            <w:r/>
            <w:r>
              <w:rPr>
                <w:rFonts w:ascii="Calibri" w:hAnsi="Calibri" w:eastAsia="微软雅黑"/>
                <w:b w:val="0"/>
                <w:i w:val="0"/>
                <w:sz w:val="18"/>
              </w:rPr>
              <w:t>组织与人才</w:t>
            </w:r>
          </w:p>
        </w:tc>
        <w:tc>
          <w:tcPr>
            <w:tcW w:type="dxa" w:w="2075"/>
          </w:tcPr>
          <w:p>
            <w:r/>
            <w:r>
              <w:rPr>
                <w:rFonts w:ascii="Calibri" w:hAnsi="Calibri" w:eastAsia="微软雅黑"/>
                <w:b w:val="0"/>
                <w:i w:val="0"/>
                <w:sz w:val="18"/>
              </w:rPr>
              <w:t>集团军+全球风控体系 [来源: P001034]</w:t>
            </w:r>
          </w:p>
        </w:tc>
        <w:tc>
          <w:tcPr>
            <w:tcW w:type="dxa" w:w="2075"/>
          </w:tcPr>
          <w:p>
            <w:r/>
            <w:r>
              <w:rPr>
                <w:rFonts w:ascii="Calibri" w:hAnsi="Calibri" w:eastAsia="微软雅黑"/>
                <w:b w:val="0"/>
                <w:i w:val="0"/>
                <w:sz w:val="18"/>
              </w:rPr>
              <w:t>复合型项目经理计划（启明星/拂晓）[来源: P001021]</w:t>
            </w:r>
          </w:p>
        </w:tc>
        <w:tc>
          <w:tcPr>
            <w:tcW w:type="dxa" w:w="2075"/>
          </w:tcPr>
          <w:p>
            <w:r/>
            <w:r>
              <w:rPr>
                <w:rFonts w:ascii="Calibri" w:hAnsi="Calibri" w:eastAsia="微软雅黑"/>
                <w:b w:val="0"/>
                <w:i w:val="0"/>
                <w:sz w:val="18"/>
              </w:rPr>
              <w:t>决策链短、机制灵活，关键人依赖度高 [来源: P001011]</w:t>
            </w:r>
          </w:p>
        </w:tc>
      </w:tr>
      <w:tr>
        <w:tc>
          <w:tcPr>
            <w:tcW w:type="dxa" w:w="2075"/>
          </w:tcPr>
          <w:p>
            <w:r/>
            <w:r>
              <w:rPr>
                <w:rFonts w:ascii="Calibri" w:hAnsi="Calibri" w:eastAsia="微软雅黑"/>
                <w:b w:val="0"/>
                <w:i w:val="0"/>
                <w:sz w:val="18"/>
              </w:rPr>
              <w:t>典型脆弱点</w:t>
            </w:r>
          </w:p>
        </w:tc>
        <w:tc>
          <w:tcPr>
            <w:tcW w:type="dxa" w:w="2075"/>
          </w:tcPr>
          <w:p>
            <w:r/>
            <w:r>
              <w:rPr>
                <w:rFonts w:ascii="Calibri" w:hAnsi="Calibri" w:eastAsia="微软雅黑"/>
                <w:b w:val="0"/>
                <w:i w:val="0"/>
                <w:sz w:val="18"/>
              </w:rPr>
              <w:t>大象转身慢，低毛利存量拖累</w:t>
            </w:r>
          </w:p>
        </w:tc>
        <w:tc>
          <w:tcPr>
            <w:tcW w:type="dxa" w:w="2075"/>
          </w:tcPr>
          <w:p>
            <w:r/>
            <w:r>
              <w:rPr>
                <w:rFonts w:ascii="Calibri" w:hAnsi="Calibri" w:eastAsia="微软雅黑"/>
                <w:b w:val="0"/>
                <w:i w:val="0"/>
                <w:sz w:val="18"/>
              </w:rPr>
              <w:t>上下夹击，全国化与国际化受限</w:t>
            </w:r>
          </w:p>
        </w:tc>
        <w:tc>
          <w:tcPr>
            <w:tcW w:type="dxa" w:w="2075"/>
          </w:tcPr>
          <w:p>
            <w:r/>
            <w:r>
              <w:rPr>
                <w:rFonts w:ascii="Calibri" w:hAnsi="Calibri" w:eastAsia="微软雅黑"/>
                <w:b w:val="0"/>
                <w:i w:val="0"/>
                <w:sz w:val="18"/>
              </w:rPr>
              <w:t>抗风险弱，一单履约失手即伤信用</w:t>
            </w:r>
          </w:p>
        </w:tc>
      </w:tr>
      <w:tr>
        <w:tc>
          <w:tcPr>
            <w:tcW w:type="dxa" w:w="2075"/>
          </w:tcPr>
          <w:p>
            <w:r/>
            <w:r>
              <w:rPr>
                <w:rFonts w:ascii="Calibri" w:hAnsi="Calibri" w:eastAsia="微软雅黑"/>
                <w:b w:val="0"/>
                <w:i w:val="0"/>
                <w:sz w:val="18"/>
              </w:rPr>
              <w:t>跃迁/保位杠杆</w:t>
            </w:r>
          </w:p>
        </w:tc>
        <w:tc>
          <w:tcPr>
            <w:tcW w:type="dxa" w:w="2075"/>
          </w:tcPr>
          <w:p>
            <w:r/>
            <w:r>
              <w:rPr>
                <w:rFonts w:ascii="Calibri" w:hAnsi="Calibri" w:eastAsia="微软雅黑"/>
                <w:b w:val="0"/>
                <w:i w:val="0"/>
                <w:sz w:val="18"/>
              </w:rPr>
              <w:t>投建营一体化+资产盘活 [来源: P001034]</w:t>
            </w:r>
          </w:p>
        </w:tc>
        <w:tc>
          <w:tcPr>
            <w:tcW w:type="dxa" w:w="2075"/>
          </w:tcPr>
          <w:p>
            <w:r/>
            <w:r>
              <w:rPr>
                <w:rFonts w:ascii="Calibri" w:hAnsi="Calibri" w:eastAsia="微软雅黑"/>
                <w:b w:val="0"/>
                <w:i w:val="0"/>
                <w:sz w:val="18"/>
              </w:rPr>
              <w:t>联合体+细分标杆 [来源: P001016]</w:t>
            </w:r>
          </w:p>
        </w:tc>
        <w:tc>
          <w:tcPr>
            <w:tcW w:type="dxa" w:w="2075"/>
          </w:tcPr>
          <w:p>
            <w:r/>
            <w:r>
              <w:rPr>
                <w:rFonts w:ascii="Calibri" w:hAnsi="Calibri" w:eastAsia="微软雅黑"/>
                <w:b w:val="0"/>
                <w:i w:val="0"/>
                <w:sz w:val="18"/>
              </w:rPr>
              <w:t>品类冠军+区域杠杆+借船出海 [来源: P001011, P001006]</w:t>
            </w:r>
          </w:p>
        </w:tc>
      </w:tr>
    </w:tbl>
    <w:p>
      <w:r>
        <w:rPr>
          <w:rFonts w:ascii="Calibri" w:hAnsi="Calibri" w:eastAsia="微软雅黑"/>
          <w:b w:val="0"/>
          <w:i w:val="0"/>
          <w:sz w:val="22"/>
        </w:rPr>
        <w:t>矩阵的使用要点（本研究归纳）：其一，定档看"多数行"而非"最好行"——企业在某一维度冒尖而在其余维度平庸，档位按平庸维度计；其二，跃迁路线永远是"先把本档该档位的行做满，再攻上一档的行"——跳档攻击（如追赶者直接做全球网络）在资源上不成立；其三，矩阵的六行也定义了并购与合作的方向：自己补不齐的行，就去市场上买（并购）或借（联合体）——分档画像由此从"认识自己"延伸为"配置资源"。</w:t>
      </w:r>
    </w:p>
    <w:p>
      <w:pPr>
        <w:pStyle w:val="Heading3"/>
      </w:pPr>
      <w:r>
        <w:t>11.4.2 定档自查工具：六维竞争力雷达</w:t>
      </w:r>
    </w:p>
    <w:p>
      <w:r>
        <w:rPr>
          <w:rFonts w:ascii="Calibri" w:hAnsi="Calibri" w:eastAsia="微软雅黑"/>
          <w:b w:val="0"/>
          <w:i w:val="0"/>
          <w:sz w:val="22"/>
        </w:rPr>
        <w:t>中城科泽研究报告构建的六维竞争力模型可直接用作定档自查工具（模型据源文）：从项目获取能力、设计施工融合度、供应链管理能力、风险管控体系、数字化水平、政企关系六个维度对企业作全方位透视，六维相互关联、共同构成EPC企业的核心能力集群 [来源: P001011]。使用方法（本研究建议）：每维按1-5分自评并要求每个分数附一个可验证的事实（如"供应链管理4分，依据是集中采购平台覆盖率与供应商分级评价在役"），六维总分与雷达图形状比单一总分更有信息量——形状决定档位，短板决定跃迁顺序；头部企业雷达近乎全满，中坚企业呈"双高一平"（区域与专业双高、组织平台平平），追赶者则是单峰突出 [来源: P001011, P001001]。</w:t>
      </w:r>
    </w:p>
    <w:p>
      <w:r>
        <w:rPr>
          <w:rFonts w:ascii="Calibri" w:hAnsi="Calibri" w:eastAsia="微软雅黑"/>
          <w:b w:val="0"/>
          <w:i w:val="0"/>
          <w:sz w:val="22"/>
        </w:rPr>
        <w:t>六个维度各自的自查问句（问句为本研究设计，答案须落到可验证事实上）：</w:t>
      </w:r>
      <w:r>
        <w:rPr>
          <w:rFonts w:ascii="Calibri" w:hAnsi="Calibri" w:eastAsia="微软雅黑"/>
          <w:b/>
          <w:i w:val="0"/>
          <w:sz w:val="22"/>
        </w:rPr>
        <w:t>项目获取能力</w:t>
      </w:r>
      <w:r>
        <w:rPr>
          <w:rFonts w:ascii="Calibri" w:hAnsi="Calibri" w:eastAsia="微软雅黑"/>
          <w:b w:val="0"/>
          <w:i w:val="0"/>
          <w:sz w:val="22"/>
        </w:rPr>
        <w:t>——过去四个季度，我们的中标率、中标密度与单均合同额在目标市场处于什么水位？有没有进入与自身资质不匹配的战场？</w:t>
      </w:r>
      <w:r>
        <w:rPr>
          <w:rFonts w:ascii="Calibri" w:hAnsi="Calibri" w:eastAsia="微软雅黑"/>
          <w:b/>
          <w:i w:val="0"/>
          <w:sz w:val="22"/>
        </w:rPr>
        <w:t>设计施工融合度</w:t>
      </w:r>
      <w:r>
        <w:rPr>
          <w:rFonts w:ascii="Calibri" w:hAnsi="Calibri" w:eastAsia="微软雅黑"/>
          <w:b w:val="0"/>
          <w:i w:val="0"/>
          <w:sz w:val="22"/>
        </w:rPr>
        <w:t>——设计优化是否真的改变了采购清单与施工方案，还是只停留在投标方案里？</w:t>
      </w:r>
      <w:r>
        <w:rPr>
          <w:rFonts w:ascii="Calibri" w:hAnsi="Calibri" w:eastAsia="微软雅黑"/>
          <w:b/>
          <w:i w:val="0"/>
          <w:sz w:val="22"/>
        </w:rPr>
        <w:t>供应链管理能力</w:t>
      </w:r>
      <w:r>
        <w:rPr>
          <w:rFonts w:ascii="Calibri" w:hAnsi="Calibri" w:eastAsia="微软雅黑"/>
          <w:b w:val="0"/>
          <w:i w:val="0"/>
          <w:sz w:val="22"/>
        </w:rPr>
        <w:t>——集中采购覆盖了多大比率的材料成本，供应商是否有分级评价与退出记录？</w:t>
      </w:r>
      <w:r>
        <w:rPr>
          <w:rFonts w:ascii="Calibri" w:hAnsi="Calibri" w:eastAsia="微软雅黑"/>
          <w:b/>
          <w:i w:val="0"/>
          <w:sz w:val="22"/>
        </w:rPr>
        <w:t>风险管控体系</w:t>
      </w:r>
      <w:r>
        <w:rPr>
          <w:rFonts w:ascii="Calibri" w:hAnsi="Calibri" w:eastAsia="微软雅黑"/>
          <w:b w:val="0"/>
          <w:i w:val="0"/>
          <w:sz w:val="22"/>
        </w:rPr>
        <w:t>——是否存在跨业务-职能-项目三层的风险管理架构，重大项目的履约风险是否有人对结果负责？</w:t>
      </w:r>
      <w:r>
        <w:rPr>
          <w:rFonts w:ascii="Calibri" w:hAnsi="Calibri" w:eastAsia="微软雅黑"/>
          <w:b/>
          <w:i w:val="0"/>
          <w:sz w:val="22"/>
        </w:rPr>
        <w:t>数字化水平</w:t>
      </w:r>
      <w:r>
        <w:rPr>
          <w:rFonts w:ascii="Calibri" w:hAnsi="Calibri" w:eastAsia="微软雅黑"/>
          <w:b w:val="0"/>
          <w:i w:val="0"/>
          <w:sz w:val="22"/>
        </w:rPr>
        <w:t>——BIM与项目管理平台的覆盖率是多少，数据是否回流为投标与结算的证据？</w:t>
      </w:r>
      <w:r>
        <w:rPr>
          <w:rFonts w:ascii="Calibri" w:hAnsi="Calibri" w:eastAsia="微软雅黑"/>
          <w:b/>
          <w:i w:val="0"/>
          <w:sz w:val="22"/>
        </w:rPr>
        <w:t>政企关系</w:t>
      </w:r>
      <w:r>
        <w:rPr>
          <w:rFonts w:ascii="Calibri" w:hAnsi="Calibri" w:eastAsia="微软雅黑"/>
          <w:b w:val="0"/>
          <w:i w:val="0"/>
          <w:sz w:val="22"/>
        </w:rPr>
        <w:t>——在核心区域，我们是被业主列入第一梯队邀请名单，还是只在公开招标里拼价格？六个问句答完，档位与短板自然浮出水面——这比任何抽象的战略研讨都更快逼近真相。</w:t>
      </w:r>
    </w:p>
    <w:p>
      <w:pPr>
        <w:pStyle w:val="Heading3"/>
      </w:pPr>
      <w:r>
        <w:t>11.4.3 档位跃迁的三条实证规律（本研究归纳）</w:t>
      </w:r>
    </w:p>
    <w:p>
      <w:pPr>
        <w:pStyle w:val="ListNumber"/>
      </w:pPr>
      <w:r>
        <w:rPr>
          <w:rFonts w:ascii="Calibri" w:hAnsi="Calibri" w:eastAsia="微软雅黑"/>
          <w:b/>
          <w:i w:val="0"/>
          <w:sz w:val="22"/>
        </w:rPr>
        <w:t>跃迁靠结构动作，不靠自然增长。</w:t>
      </w:r>
      <w:r>
        <w:rPr>
          <w:rFonts w:ascii="Calibri" w:hAnsi="Calibri" w:eastAsia="微软雅黑"/>
          <w:b w:val="0"/>
          <w:i w:val="0"/>
          <w:sz w:val="22"/>
        </w:rPr>
        <w:t xml:space="preserve"> 中城科泽进入头部视野靠的是中标密度与全过程技术结构，而非等待营收膨胀；湖南院的中标杠杆来自资质矩阵与研发强度，营收只是结果 [来源: P001011, P001006]。对管理层的含义（本研究解读）：把年度战略议题从"增长多少"改写为"完成哪两个结构动作"——前者是市场的函数，后者才是自己的选择。</w:t>
      </w:r>
    </w:p>
    <w:p>
      <w:pPr>
        <w:pStyle w:val="ListNumber"/>
      </w:pPr>
      <w:r>
        <w:rPr>
          <w:rFonts w:ascii="Calibri" w:hAnsi="Calibri" w:eastAsia="微软雅黑"/>
          <w:b/>
          <w:i w:val="0"/>
          <w:sz w:val="22"/>
        </w:rPr>
        <w:t>降档多因现金流与履约失守，而非订单不足。</w:t>
      </w:r>
      <w:r>
        <w:rPr>
          <w:rFonts w:ascii="Calibri" w:hAnsi="Calibri" w:eastAsia="微软雅黑"/>
          <w:b w:val="0"/>
          <w:i w:val="0"/>
          <w:sz w:val="22"/>
        </w:rPr>
        <w:t xml:space="preserve"> 山东路桥在营收下降3.90%的年份反而把中标额做到千亿并保持利润正增长，说明守住利润表与现金流的纪律比冲刺规模更接近"保位"的本质 [来源: P001028]。同期数据还提供了一个反直觉注脚：归母净利润同比下降4.12%而利润总额同比增长4.51%——两个口径的背离提示阅读者，评价一家企业的"保位成色"必须同时打开利润总额、净利润与归母净利润三张表（口径提示为本研究归纳）[来源: P001028]。</w:t>
      </w:r>
    </w:p>
    <w:p>
      <w:pPr>
        <w:pStyle w:val="ListNumber"/>
      </w:pPr>
      <w:r>
        <w:rPr>
          <w:rFonts w:ascii="Calibri" w:hAnsi="Calibri" w:eastAsia="微软雅黑"/>
          <w:b/>
          <w:i w:val="0"/>
          <w:sz w:val="22"/>
        </w:rPr>
        <w:t>档位之间隔着融资成本差。</w:t>
      </w:r>
      <w:r>
        <w:rPr>
          <w:rFonts w:ascii="Calibri" w:hAnsi="Calibri" w:eastAsia="微软雅黑"/>
          <w:b w:val="0"/>
          <w:i w:val="0"/>
          <w:sz w:val="22"/>
        </w:rPr>
        <w:t xml:space="preserve"> 2.37%的公司债票面（山东路桥）与头部央企更低的资金成本之间，就是第二、三档企业不能正面参与资本密集型项目的经济边界——认清边界、选对战场，本身就是分档画像的最大价值 [来源: P001028, P001034]。同理，2.77%的科创中票票面说明即便在利率下行的周期里，融资工具的创新（科创标签、ABS、并表信托）也只能在几十个基点的量级上优化成本，而无法跨档抹平与央企的资金价差——用金融工程替代档位认知，是中坚与追赶企业最常见的战略误判之一（判断为本研究归纳）。</w:t>
      </w:r>
    </w:p>
    <w:p>
      <w:pPr>
        <w:pStyle w:val="Heading3"/>
      </w:pPr>
      <w:r>
        <w:t>11.4.4 买家决策速查：一页纸定档与首行动</w:t>
      </w:r>
    </w:p>
    <w:p>
      <w:r>
        <w:rPr>
          <w:rFonts w:ascii="Calibri" w:hAnsi="Calibri" w:eastAsia="微软雅黑"/>
          <w:b w:val="0"/>
          <w:i w:val="0"/>
          <w:sz w:val="22"/>
        </w:rPr>
        <w:t>把本章压缩成一次管理层会议的议程（速查为本研究归纳，实证见前文各节）：</w:t>
      </w:r>
    </w:p>
    <w:p>
      <w:pPr>
        <w:pStyle w:val="ListNumber"/>
      </w:pPr>
      <w:r>
        <w:rPr>
          <w:rFonts w:ascii="Calibri" w:hAnsi="Calibri" w:eastAsia="微软雅黑"/>
          <w:b/>
          <w:i w:val="0"/>
          <w:sz w:val="22"/>
        </w:rPr>
        <w:t>定档（会前完成）</w:t>
      </w:r>
      <w:r>
        <w:rPr>
          <w:rFonts w:ascii="Calibri" w:hAnsi="Calibri" w:eastAsia="微软雅黑"/>
          <w:b w:val="0"/>
          <w:i w:val="0"/>
          <w:sz w:val="22"/>
        </w:rPr>
        <w:t>：财务部门按统一口径准备三个数字——近一年营收、新签合同额（或中标额）、核心市场占有率；战略部门按本章三档对标矩阵与六维竞争力雷达逐维打分并附事实，两套工具的结论互相校验，不一致处即是会上最值得争论的议题。</w:t>
      </w:r>
    </w:p>
    <w:p>
      <w:pPr>
        <w:pStyle w:val="ListNumber"/>
      </w:pPr>
      <w:r>
        <w:rPr>
          <w:rFonts w:ascii="Calibri" w:hAnsi="Calibri" w:eastAsia="微软雅黑"/>
          <w:b/>
          <w:i w:val="0"/>
          <w:sz w:val="22"/>
        </w:rPr>
        <w:t>对标（会上第一项）</w:t>
      </w:r>
      <w:r>
        <w:rPr>
          <w:rFonts w:ascii="Calibri" w:hAnsi="Calibri" w:eastAsia="微软雅黑"/>
          <w:b w:val="0"/>
          <w:i w:val="0"/>
          <w:sz w:val="22"/>
        </w:rPr>
        <w:t>：按定档结果锁定两家对标企业——一家同档领先者（学打法）、一家上档守门员（找差距）；逐条对照本章案例的"数据-动作-结果"三要素，列出三处最大能力落差，并给每处落差标注"可购、可建、可借"三种补法之一（并购、自建、联合体/合作），让差距直接落到资源配置的语言上。</w:t>
      </w:r>
    </w:p>
    <w:p>
      <w:pPr>
        <w:pStyle w:val="ListNumber"/>
      </w:pPr>
      <w:r>
        <w:rPr>
          <w:rFonts w:ascii="Calibri" w:hAnsi="Calibri" w:eastAsia="微软雅黑"/>
          <w:b/>
          <w:i w:val="0"/>
          <w:sz w:val="22"/>
        </w:rPr>
        <w:t>选题（会上第二项）</w:t>
      </w:r>
      <w:r>
        <w:rPr>
          <w:rFonts w:ascii="Calibri" w:hAnsi="Calibri" w:eastAsia="微软雅黑"/>
          <w:b w:val="0"/>
          <w:i w:val="0"/>
          <w:sz w:val="22"/>
        </w:rPr>
        <w:t>：从本章对应档位的行动清单中，挑选不超过两个未来十八个月的结构动作——头部选"投建营一体化与资产盘活"或"工艺包攻坚"，中坚选"联合体与细分标杆"或"区域梯度布局"，追赶者选"品类卡位与现金流生存线"；贪多是跃迁失败的第一原因，选题的克制程度直接决定一年后的成色。</w:t>
      </w:r>
    </w:p>
    <w:p>
      <w:pPr>
        <w:pStyle w:val="ListNumber"/>
      </w:pPr>
      <w:r>
        <w:rPr>
          <w:rFonts w:ascii="Calibri" w:hAnsi="Calibri" w:eastAsia="微软雅黑"/>
          <w:b/>
          <w:i w:val="0"/>
          <w:sz w:val="22"/>
        </w:rPr>
        <w:t>立账（会后一周内）</w:t>
      </w:r>
      <w:r>
        <w:rPr>
          <w:rFonts w:ascii="Calibri" w:hAnsi="Calibri" w:eastAsia="微软雅黑"/>
          <w:b w:val="0"/>
          <w:i w:val="0"/>
          <w:sz w:val="22"/>
        </w:rPr>
        <w:t>：为每个结构动作建立可月度追踪的刻度（如联合体中标额占比、品类项目数、采购集中度），并把刻度写进相关部门的考核表——没有刻度的战略动作，六个季度后都会在忙碌中悄悄消失，这是被反复验证的组织规律。</w:t>
      </w:r>
    </w:p>
    <w:p>
      <w:pPr>
        <w:pStyle w:val="ListNumber"/>
      </w:pPr>
      <w:r>
        <w:rPr>
          <w:rFonts w:ascii="Calibri" w:hAnsi="Calibri" w:eastAsia="微软雅黑"/>
          <w:b/>
          <w:i w:val="0"/>
          <w:sz w:val="22"/>
        </w:rPr>
        <w:t>复档（每半年一次）</w:t>
      </w:r>
      <w:r>
        <w:rPr>
          <w:rFonts w:ascii="Calibri" w:hAnsi="Calibri" w:eastAsia="微软雅黑"/>
          <w:b w:val="0"/>
          <w:i w:val="0"/>
          <w:sz w:val="22"/>
        </w:rPr>
        <w:t>：重复第1步。档位变化本身就是战略是否有效的最诚实信号：连续两个半年刻度无改善，问题一定不在执行层，而在选题。五个环节里最容易被跳过的是第4步"立账"——没有月度刻度的战略动作会在第一次经营波动时被无声放弃，因此立账必须与考核联动，这一条没有例外。</w:t>
      </w:r>
    </w:p>
    <w:p>
      <w:r>
        <w:rPr>
          <w:rFonts w:ascii="Calibri" w:hAnsi="Calibri" w:eastAsia="微软雅黑"/>
          <w:b w:val="0"/>
          <w:i w:val="0"/>
          <w:sz w:val="22"/>
        </w:rPr>
        <w:t>最后交付一段使用承诺与提醒（本研究赠言）：本章所有归纳框架（分档、矩阵、雷达、速查）都只是"思考的脚手架"——它们的价值在于强迫管理层把模糊的竞争直觉转成可争论、可修正、可追踪的命题；任何一家企业的真实战略，都必须在本章刻度与本企业第一手履约数据之间反复校准后才能落笔。用框架思考，用数据决策，用行动验证——这是分档画像的正确打开方式，也是全书交付给读者的最后一面镜子与第一张地图。</w:t>
      </w:r>
    </w:p>
    <w:p>
      <w:r>
        <w:rPr>
          <w:rFonts w:ascii="Calibri" w:hAnsi="Calibri" w:eastAsia="微软雅黑"/>
          <w:b w:val="0"/>
          <w:i w:val="0"/>
          <w:sz w:val="22"/>
        </w:rPr>
        <w:t>---</w:t>
      </w:r>
    </w:p>
    <w:p>
      <w:pPr>
        <w:pStyle w:val="Heading2"/>
      </w:pPr>
      <w:r>
        <w:t>11.5 本章小结要点</w:t>
      </w:r>
    </w:p>
    <w:p>
      <w:pPr>
        <w:pStyle w:val="ListNumber"/>
      </w:pPr>
      <w:r>
        <w:rPr>
          <w:rFonts w:ascii="Calibri" w:hAnsi="Calibri" w:eastAsia="微软雅黑"/>
          <w:b/>
          <w:i w:val="0"/>
          <w:sz w:val="22"/>
        </w:rPr>
        <w:t>三档的生存法则完全不同</w:t>
      </w:r>
      <w:r>
        <w:rPr>
          <w:rFonts w:ascii="Calibri" w:hAnsi="Calibri" w:eastAsia="微软雅黑"/>
          <w:b w:val="0"/>
          <w:i w:val="0"/>
          <w:sz w:val="22"/>
        </w:rPr>
        <w:t>：头部保位靠"控总量、优结构、提质效"与全产业链统治力（中国交建在执行合同34,506.59亿元≈4.5倍营收的订单蓄水池）；中坚破局靠"区域保位+专业全国化"（山东路桥华东占比72.11%、山东院省内15%-20%）；追赶者求生靠品类冠军与区域公信力杠杆 [来源: P001034, P001028, P001001, P001006]。三套法则互不可换用——用头部的打法打追赶者的仗会死于资金链，用追赶者的打法守头部的位会死于结构空洞。</w:t>
      </w:r>
    </w:p>
    <w:p>
      <w:pPr>
        <w:pStyle w:val="ListNumber"/>
      </w:pPr>
      <w:r>
        <w:rPr>
          <w:rFonts w:ascii="Calibri" w:hAnsi="Calibri" w:eastAsia="微软雅黑"/>
          <w:b/>
          <w:i w:val="0"/>
          <w:sz w:val="22"/>
        </w:rPr>
        <w:t>头部也有两条路</w:t>
      </w:r>
      <w:r>
        <w:rPr>
          <w:rFonts w:ascii="Calibri" w:hAnsi="Calibri" w:eastAsia="微软雅黑"/>
          <w:b w:val="0"/>
          <w:i w:val="0"/>
          <w:sz w:val="22"/>
        </w:rPr>
        <w:t>：规模统治型（中国交建）与技术密集型（中国化学，利润增速14.62%跑赢收入增速1.88%）——后者的"工程+实业"双轮是技术型企业上位的可复制路径 [来源: P001035, P001026]。判断自己该学哪一条的试金石（本研究归纳）：当机会来临时，你的第一反应是"组织资源够不够"还是"技术壁垒够不够"——前者向规模统治型对标，后者向技术密集型对标。</w:t>
      </w:r>
    </w:p>
    <w:p>
      <w:pPr>
        <w:pStyle w:val="ListNumber"/>
      </w:pPr>
      <w:r>
        <w:rPr>
          <w:rFonts w:ascii="Calibri" w:hAnsi="Calibri" w:eastAsia="微软雅黑"/>
          <w:b/>
          <w:i w:val="0"/>
          <w:sz w:val="22"/>
        </w:rPr>
        <w:t>中坚的五样本给出五种活法</w:t>
      </w:r>
      <w:r>
        <w:rPr>
          <w:rFonts w:ascii="Calibri" w:hAnsi="Calibri" w:eastAsia="微软雅黑"/>
          <w:b w:val="0"/>
          <w:i w:val="0"/>
          <w:sz w:val="22"/>
        </w:rPr>
        <w:t>：山东路桥的全要素平台与千亿中标、市政总院的全过程品类心智、山东院的专业深度定价权、中南院的联合体抽蓄样板、湖南院的小营收大中标杠杆——共同点是都拒绝了与头部的正面资金战 [来源: P001028, P001021, P001001, P001016, P001006]。五样本的多样性本身就是结论：中坚的护城河没有标准答案，只有"区域×专业×组织"三轴上的自定义组合。</w:t>
      </w:r>
    </w:p>
    <w:p>
      <w:pPr>
        <w:pStyle w:val="ListNumber"/>
      </w:pPr>
      <w:r>
        <w:rPr>
          <w:rFonts w:ascii="Calibri" w:hAnsi="Calibri" w:eastAsia="微软雅黑"/>
          <w:b/>
          <w:i w:val="0"/>
          <w:sz w:val="22"/>
        </w:rPr>
        <w:t>追赶者有三条路、三个坑</w:t>
      </w:r>
      <w:r>
        <w:rPr>
          <w:rFonts w:ascii="Calibri" w:hAnsi="Calibri" w:eastAsia="微软雅黑"/>
          <w:b w:val="0"/>
          <w:i w:val="0"/>
          <w:sz w:val="22"/>
        </w:rPr>
        <w:t>：品类专精、区域杠杆、联合体借力是正路；低价抢标、资质挂靠、无限多元化是死路——判例与案例两侧都有实证 [来源: P001011, P001006, P001016]。路径与陷阱往往一线之隔（本研究提醒）：品类专精走过头是单一客户依赖，区域杠杆走过头是区域周期绑定，联合体借力走过头是丧失独立履约能力——每条正路都要配一条止损线。</w:t>
      </w:r>
    </w:p>
    <w:p>
      <w:pPr>
        <w:pStyle w:val="ListNumber"/>
      </w:pPr>
      <w:r>
        <w:rPr>
          <w:rFonts w:ascii="Calibri" w:hAnsi="Calibri" w:eastAsia="微软雅黑"/>
          <w:b/>
          <w:i w:val="0"/>
          <w:sz w:val="22"/>
        </w:rPr>
        <w:t>定档用六维雷达，跃迁看结构动作</w:t>
      </w:r>
      <w:r>
        <w:rPr>
          <w:rFonts w:ascii="Calibri" w:hAnsi="Calibri" w:eastAsia="微软雅黑"/>
          <w:b w:val="0"/>
          <w:i w:val="0"/>
          <w:sz w:val="22"/>
        </w:rPr>
        <w:t>：项目获取、设计施工融合、供应链、风控、数字化、政企关系六维自评定形状；跃迁顺序永远从最短板的结构动作开始，而非从最大的愿景开始 [来源: P001011]。六维中任何一维的改善都以年为计量单位——这也是为什么本报告反对"一年换个战略"的企业：档位竞争是复利游戏，频繁换赛道等于把利息永远清零。</w:t>
      </w:r>
    </w:p>
    <w:p>
      <w:pPr>
        <w:pStyle w:val="ListNumber"/>
      </w:pPr>
      <w:r>
        <w:rPr>
          <w:rFonts w:ascii="Calibri" w:hAnsi="Calibri" w:eastAsia="微软雅黑"/>
          <w:b/>
          <w:i w:val="0"/>
          <w:sz w:val="22"/>
        </w:rPr>
        <w:t>本章与全书的接口</w:t>
      </w:r>
      <w:r>
        <w:rPr>
          <w:rFonts w:ascii="Calibri" w:hAnsi="Calibri" w:eastAsia="微软雅黑"/>
          <w:b w:val="0"/>
          <w:i w:val="0"/>
          <w:sz w:val="22"/>
        </w:rPr>
        <w:t>：本章的"分档画像"承接第1至2章的格局与榜单口径，为第3至6章的四种阵营（央企集团军、专业赛道、区域梯队、设计院转型）提供了对号入座的具体坐标；而三档各自的行动清单将在第12章与三大使用场景（转型升级、一带一路、双碳造血）合流，形成全书收口的"全景定位、对标找差、分类施策"闭环——读者完成本章定档后，可直接带着自己的档位进入第12章选择行动场景（接口说明为本研究归纳）。</w:t>
      </w:r>
    </w:p>
    <w:p>
      <w:r>
        <w:rPr>
          <w:rFonts w:ascii="Calibri" w:hAnsi="Calibri" w:eastAsia="微软雅黑"/>
          <w:b w:val="0"/>
          <w:i w:val="0"/>
          <w:sz w:val="22"/>
        </w:rPr>
        <w:t>---</w:t>
      </w:r>
    </w:p>
    <w:p>
      <w:pPr>
        <w:pStyle w:val="Heading2"/>
      </w:pPr>
      <w:r>
        <w:t>11.6 本章证据边界与数据说明</w:t>
      </w:r>
    </w:p>
    <w:p>
      <w:pPr>
        <w:pStyle w:val="ListNumber"/>
      </w:pPr>
      <w:r>
        <w:rPr>
          <w:rFonts w:ascii="Calibri" w:hAnsi="Calibri" w:eastAsia="微软雅黑"/>
          <w:b/>
          <w:i w:val="0"/>
          <w:sz w:val="22"/>
        </w:rPr>
        <w:t>数据与样本归属边界</w:t>
      </w:r>
      <w:r>
        <w:rPr>
          <w:rFonts w:ascii="Calibri" w:hAnsi="Calibri" w:eastAsia="微软雅黑"/>
          <w:b w:val="0"/>
          <w:i w:val="0"/>
          <w:sz w:val="22"/>
        </w:rPr>
        <w:t>：本章上市公司数据（中国交建2022年与2023年年报、中国化学2025年年报、山东路桥2024年与2025年年报）取自经审计年度报告全文；山东院、湖南院、中城科泽、中南院、上海市政总院为非本章上市样本，其数据均为企业研究报告整理口径而非经审计年报口径；山东院"年营收80-100亿元"为研究报告估算口径。本章未补充资料库以外的任何数据。</w:t>
      </w:r>
    </w:p>
    <w:p>
      <w:pPr>
        <w:pStyle w:val="ListNumber"/>
      </w:pPr>
      <w:r>
        <w:rPr>
          <w:rFonts w:ascii="Calibri" w:hAnsi="Calibri" w:eastAsia="微软雅黑"/>
          <w:b/>
          <w:i w:val="0"/>
          <w:sz w:val="22"/>
        </w:rPr>
        <w:t>own_calc清单</w:t>
      </w:r>
      <w:r>
        <w:rPr>
          <w:rFonts w:ascii="Calibri" w:hAnsi="Calibri" w:eastAsia="微软雅黑"/>
          <w:b w:val="0"/>
          <w:i w:val="0"/>
          <w:sz w:val="22"/>
        </w:rPr>
        <w:t>：中国交建"未完成合同约为年营收4.5倍"；中国化学新签/境外新签/化学工程新签的2024年基数（约3,669.40亿元、1,133.13亿元、3,259.75亿元，由2025年报同比增量反推）；山东路桥华东收入494.46亿元（源文49,446,130,537.57元）、西北收入20.10亿元（源文2,010,115,256.05元）、海外上年约46.67亿元（源文4,666,714,533.22元）、未完工EPC约387.91亿元（源文38,790,974,558.80元）、中南院两抽蓄合同合计约98.71亿元、湖南院中标额约为营收16倍——均为研究团队折算，源数据随文或于此明示。折算方法一律为四舍五入至小数点后两位或整数亿元，不改变源文数量级与增减方向。</w:t>
      </w:r>
    </w:p>
    <w:p>
      <w:pPr>
        <w:pStyle w:val="ListNumber"/>
      </w:pPr>
      <w:r>
        <w:rPr>
          <w:rFonts w:ascii="Calibri" w:hAnsi="Calibri" w:eastAsia="微软雅黑"/>
          <w:b/>
          <w:i w:val="0"/>
          <w:sz w:val="22"/>
        </w:rPr>
        <w:t>时间跨度口径</w:t>
      </w:r>
      <w:r>
        <w:rPr>
          <w:rFonts w:ascii="Calibri" w:hAnsi="Calibri" w:eastAsia="微软雅黑"/>
          <w:b w:val="0"/>
          <w:i w:val="0"/>
          <w:sz w:val="22"/>
        </w:rPr>
        <w:t>：中国交建为2022年与2023年年报口径，中国化学与山东路桥为2024年与2025年年报口径，跨企业横向比较时须注意统计年度差异；山东路桥2024年中标额源文原生形态为"914.8亿元"。</w:t>
      </w:r>
    </w:p>
    <w:p>
      <w:pPr>
        <w:pStyle w:val="ListNumber"/>
      </w:pPr>
      <w:r>
        <w:rPr>
          <w:rFonts w:ascii="Calibri" w:hAnsi="Calibri" w:eastAsia="微软雅黑"/>
          <w:b/>
          <w:i w:val="0"/>
          <w:sz w:val="22"/>
        </w:rPr>
        <w:t>分档框架边界</w:t>
      </w:r>
      <w:r>
        <w:rPr>
          <w:rFonts w:ascii="Calibri" w:hAnsi="Calibri" w:eastAsia="微软雅黑"/>
          <w:b w:val="0"/>
          <w:i w:val="0"/>
          <w:sz w:val="22"/>
        </w:rPr>
        <w:t>：三档划分与档位标签（头部领军/中坚骨干/追赶者）为本研究归纳框架，非任何官方排名；中城科泽按中标榜单表现归入第一档为编辑判断，读者可按自身体量与品类另行对标。第三档群体画像与行动清单系依据本章各研究报告的对标分析归纳，未获得专门的第三档企业深度研究报告支撑，引用时应注意此局限；"三条跃迁规律""买家决策速查""死亡陷阱"均为本研究归纳的决策框架，其中的信号阈值（如集中度三成、研发强度3%门槛）为示意性设定，非统计数据。</w:t>
      </w:r>
    </w:p>
    <w:p>
      <w:pPr>
        <w:pStyle w:val="ListNumber"/>
      </w:pPr>
      <w:r>
        <w:rPr>
          <w:rFonts w:ascii="Calibri" w:hAnsi="Calibri" w:eastAsia="微软雅黑"/>
          <w:b/>
          <w:i w:val="0"/>
          <w:sz w:val="22"/>
        </w:rPr>
        <w:t>排名与奖项时效边界</w:t>
      </w:r>
      <w:r>
        <w:rPr>
          <w:rFonts w:ascii="Calibri" w:hAnsi="Calibri" w:eastAsia="微软雅黑"/>
          <w:b w:val="0"/>
          <w:i w:val="0"/>
          <w:sz w:val="22"/>
        </w:rPr>
        <w:t>：ENR榜单、中标100强、勘察设计投标百强等排名均为各源文记载时点数据，跨年度引用应回最新榜单核对；"国内最大""世界第一""国际一流"等表述为源文自述口径，本研究未独立复核。</w:t>
      </w:r>
    </w:p>
    <w:p>
      <w:pPr>
        <w:pStyle w:val="ListNumber"/>
      </w:pPr>
      <w:r>
        <w:rPr>
          <w:rFonts w:ascii="Calibri" w:hAnsi="Calibri" w:eastAsia="微软雅黑"/>
          <w:b/>
          <w:i w:val="0"/>
          <w:sz w:val="22"/>
        </w:rPr>
        <w:t>银行切片局限声明</w:t>
      </w:r>
      <w:r>
        <w:rPr>
          <w:rFonts w:ascii="Calibri" w:hAnsi="Calibri" w:eastAsia="微软雅黑"/>
          <w:b w:val="0"/>
          <w:i w:val="0"/>
          <w:sz w:val="22"/>
        </w:rPr>
        <w:t>：bank_ch11.md对年报与研究报告类源仅收录开篇切片，深度事实存于本章全量源包；正文全部数字已按"bank锚点+全量源包"双口径核验（见审计账），P锚按事实归属挂接至本章尾注所列源文。</w:t>
      </w:r>
    </w:p>
    <w:p>
      <w:pPr>
        <w:pStyle w:val="ListNumber"/>
      </w:pPr>
      <w:r>
        <w:rPr>
          <w:rFonts w:ascii="Calibri" w:hAnsi="Calibri" w:eastAsia="微软雅黑"/>
          <w:b/>
          <w:i w:val="0"/>
          <w:sz w:val="22"/>
        </w:rPr>
        <w:t>样本代表性边界</w:t>
      </w:r>
      <w:r>
        <w:rPr>
          <w:rFonts w:ascii="Calibri" w:hAnsi="Calibri" w:eastAsia="微软雅黑"/>
          <w:b w:val="0"/>
          <w:i w:val="0"/>
          <w:sz w:val="22"/>
        </w:rPr>
        <w:t>：本章八家样本企业（三家上市公司、五家研究院校企）按"档位代表性+资料可得性"双准则选取，非随机抽样；八家之外50强其余企业仅在本章以群体画像方式概括，未逐一核验个体事实——读者不应将本章样本的指标水位直接外推为档位均值。</w:t>
      </w:r>
    </w:p>
    <w:p>
      <w:r>
        <w:rPr>
          <w:rFonts w:ascii="Calibri" w:hAnsi="Calibri" w:eastAsia="微软雅黑"/>
          <w:b w:val="0"/>
          <w:i w:val="0"/>
          <w:sz w:val="22"/>
        </w:rPr>
        <w:t>---</w:t>
      </w:r>
    </w:p>
    <w:p>
      <w:pPr>
        <w:pStyle w:val="Heading2"/>
      </w:pPr>
      <w:r>
        <w:t>本章尾注（事实锚源对照）</w:t>
      </w:r>
    </w:p>
    <w:tbl>
      <w:tblPr>
        <w:tblStyle w:val="TableGrid"/>
        <w:tblW w:type="auto" w:w="0"/>
        <w:tblLook w:firstColumn="1" w:firstRow="1" w:lastColumn="0" w:lastRow="0" w:noHBand="0" w:noVBand="1" w:val="04A0"/>
      </w:tblPr>
      <w:tblGrid>
        <w:gridCol w:w="4150"/>
        <w:gridCol w:w="4150"/>
      </w:tblGrid>
      <w:tr>
        <w:tc>
          <w:tcPr>
            <w:tcW w:type="dxa" w:w="4150"/>
            <w:shd w:fill="1F3A5F"/>
          </w:tcPr>
          <w:p>
            <w:r>
              <w:rPr>
                <w:color w:val="FFFFFF"/>
              </w:rPr>
            </w:r>
            <w:r>
              <w:rPr>
                <w:rFonts w:ascii="Calibri" w:hAnsi="Calibri" w:eastAsia="微软雅黑"/>
                <w:b/>
                <w:i w:val="0"/>
                <w:color w:val="FFFFFF"/>
                <w:sz w:val="18"/>
              </w:rPr>
              <w:t>事实锚</w:t>
            </w:r>
          </w:p>
        </w:tc>
        <w:tc>
          <w:tcPr>
            <w:tcW w:type="dxa" w:w="4150"/>
            <w:shd w:fill="1F3A5F"/>
          </w:tcPr>
          <w:p>
            <w:r>
              <w:rPr>
                <w:color w:val="FFFFFF"/>
              </w:rPr>
            </w:r>
            <w:r>
              <w:rPr>
                <w:rFonts w:ascii="Calibri" w:hAnsi="Calibri" w:eastAsia="微软雅黑"/>
                <w:b/>
                <w:i w:val="0"/>
                <w:color w:val="FFFFFF"/>
                <w:sz w:val="18"/>
              </w:rPr>
              <w:t>源文（事实资料库实收件）</w:t>
            </w:r>
          </w:p>
        </w:tc>
      </w:tr>
      <w:tr>
        <w:tc>
          <w:tcPr>
            <w:tcW w:type="dxa" w:w="4150"/>
          </w:tcPr>
          <w:p>
            <w:r/>
            <w:r>
              <w:rPr>
                <w:rFonts w:ascii="Calibri" w:hAnsi="Calibri" w:eastAsia="微软雅黑"/>
                <w:b w:val="0"/>
                <w:i w:val="0"/>
                <w:sz w:val="18"/>
              </w:rPr>
              <w:t>P001001</w:t>
            </w:r>
          </w:p>
        </w:tc>
        <w:tc>
          <w:tcPr>
            <w:tcW w:type="dxa" w:w="4150"/>
          </w:tcPr>
          <w:p>
            <w:r/>
            <w:r>
              <w:rPr>
                <w:rFonts w:ascii="Calibri" w:hAnsi="Calibri" w:eastAsia="微软雅黑"/>
                <w:b w:val="0"/>
                <w:i w:val="0"/>
                <w:sz w:val="18"/>
              </w:rPr>
              <w:t>山东电力工程咨询院有限公司（山东院）EPC总承包业务研究报告（事实资料库研究报告，ent源全文）</w:t>
            </w:r>
          </w:p>
        </w:tc>
      </w:tr>
      <w:tr>
        <w:tc>
          <w:tcPr>
            <w:tcW w:type="dxa" w:w="4150"/>
          </w:tcPr>
          <w:p>
            <w:r/>
            <w:r>
              <w:rPr>
                <w:rFonts w:ascii="Calibri" w:hAnsi="Calibri" w:eastAsia="微软雅黑"/>
                <w:b w:val="0"/>
                <w:i w:val="0"/>
                <w:sz w:val="18"/>
              </w:rPr>
              <w:t>P001006</w:t>
            </w:r>
          </w:p>
        </w:tc>
        <w:tc>
          <w:tcPr>
            <w:tcW w:type="dxa" w:w="4150"/>
          </w:tcPr>
          <w:p>
            <w:r/>
            <w:r>
              <w:rPr>
                <w:rFonts w:ascii="Calibri" w:hAnsi="Calibri" w:eastAsia="微软雅黑"/>
                <w:b w:val="0"/>
                <w:i w:val="0"/>
                <w:sz w:val="18"/>
              </w:rPr>
              <w:t>湖南省建筑设计院集团股份有限公司EPC总承包业务研究报告（事实资料库研究报告，ent源全文）</w:t>
            </w:r>
          </w:p>
        </w:tc>
      </w:tr>
      <w:tr>
        <w:tc>
          <w:tcPr>
            <w:tcW w:type="dxa" w:w="4150"/>
          </w:tcPr>
          <w:p>
            <w:r/>
            <w:r>
              <w:rPr>
                <w:rFonts w:ascii="Calibri" w:hAnsi="Calibri" w:eastAsia="微软雅黑"/>
                <w:b w:val="0"/>
                <w:i w:val="0"/>
                <w:sz w:val="18"/>
              </w:rPr>
              <w:t>P001011</w:t>
            </w:r>
          </w:p>
        </w:tc>
        <w:tc>
          <w:tcPr>
            <w:tcW w:type="dxa" w:w="4150"/>
          </w:tcPr>
          <w:p>
            <w:r/>
            <w:r>
              <w:rPr>
                <w:rFonts w:ascii="Calibri" w:hAnsi="Calibri" w:eastAsia="微软雅黑"/>
                <w:b w:val="0"/>
                <w:i w:val="0"/>
                <w:sz w:val="18"/>
              </w:rPr>
              <w:t>中城科泽工程设计集团有限责任公司EPC总承包业务研究报告（含星系战略框架、北斗七星评估体系与六维竞争力模型）</w:t>
            </w:r>
          </w:p>
        </w:tc>
      </w:tr>
      <w:tr>
        <w:tc>
          <w:tcPr>
            <w:tcW w:type="dxa" w:w="4150"/>
          </w:tcPr>
          <w:p>
            <w:r/>
            <w:r>
              <w:rPr>
                <w:rFonts w:ascii="Calibri" w:hAnsi="Calibri" w:eastAsia="微软雅黑"/>
                <w:b w:val="0"/>
                <w:i w:val="0"/>
                <w:sz w:val="18"/>
              </w:rPr>
              <w:t>P001016</w:t>
            </w:r>
          </w:p>
        </w:tc>
        <w:tc>
          <w:tcPr>
            <w:tcW w:type="dxa" w:w="4150"/>
          </w:tcPr>
          <w:p>
            <w:r/>
            <w:r>
              <w:rPr>
                <w:rFonts w:ascii="Calibri" w:hAnsi="Calibri" w:eastAsia="微软雅黑"/>
                <w:b w:val="0"/>
                <w:i w:val="0"/>
                <w:sz w:val="18"/>
              </w:rPr>
              <w:t>中国电建集团中南勘测设计研究院有限公司（中南院）EPC业务深度分析研究报告</w:t>
            </w:r>
          </w:p>
        </w:tc>
      </w:tr>
      <w:tr>
        <w:tc>
          <w:tcPr>
            <w:tcW w:type="dxa" w:w="4150"/>
          </w:tcPr>
          <w:p>
            <w:r/>
            <w:r>
              <w:rPr>
                <w:rFonts w:ascii="Calibri" w:hAnsi="Calibri" w:eastAsia="微软雅黑"/>
                <w:b w:val="0"/>
                <w:i w:val="0"/>
                <w:sz w:val="18"/>
              </w:rPr>
              <w:t>P001021</w:t>
            </w:r>
          </w:p>
        </w:tc>
        <w:tc>
          <w:tcPr>
            <w:tcW w:type="dxa" w:w="4150"/>
          </w:tcPr>
          <w:p>
            <w:r/>
            <w:r>
              <w:rPr>
                <w:rFonts w:ascii="Calibri" w:hAnsi="Calibri" w:eastAsia="微软雅黑"/>
                <w:b w:val="0"/>
                <w:i w:val="0"/>
                <w:sz w:val="18"/>
              </w:rPr>
              <w:t>上海市政工程设计研究总院（集团）有限公司EPC总承包业务研究报告（事实资料库研究报告，ent源全文）</w:t>
            </w:r>
          </w:p>
        </w:tc>
      </w:tr>
      <w:tr>
        <w:tc>
          <w:tcPr>
            <w:tcW w:type="dxa" w:w="4150"/>
          </w:tcPr>
          <w:p>
            <w:r/>
            <w:r>
              <w:rPr>
                <w:rFonts w:ascii="Calibri" w:hAnsi="Calibri" w:eastAsia="微软雅黑"/>
                <w:b w:val="0"/>
                <w:i w:val="0"/>
                <w:sz w:val="18"/>
              </w:rPr>
              <w:t>P001026</w:t>
            </w:r>
          </w:p>
        </w:tc>
        <w:tc>
          <w:tcPr>
            <w:tcW w:type="dxa" w:w="4150"/>
          </w:tcPr>
          <w:p>
            <w:r/>
            <w:r>
              <w:rPr>
                <w:rFonts w:ascii="Calibri" w:hAnsi="Calibri" w:eastAsia="微软雅黑"/>
                <w:b w:val="0"/>
                <w:i w:val="0"/>
                <w:sz w:val="18"/>
              </w:rPr>
              <w:t>中国化学（601117）2025年年度报告全文（巨潮资讯网，经审计年报）</w:t>
            </w:r>
          </w:p>
        </w:tc>
      </w:tr>
      <w:tr>
        <w:tc>
          <w:tcPr>
            <w:tcW w:type="dxa" w:w="4150"/>
          </w:tcPr>
          <w:p>
            <w:r/>
            <w:r>
              <w:rPr>
                <w:rFonts w:ascii="Calibri" w:hAnsi="Calibri" w:eastAsia="微软雅黑"/>
                <w:b w:val="0"/>
                <w:i w:val="0"/>
                <w:sz w:val="18"/>
              </w:rPr>
              <w:t>P001028</w:t>
            </w:r>
          </w:p>
        </w:tc>
        <w:tc>
          <w:tcPr>
            <w:tcW w:type="dxa" w:w="4150"/>
          </w:tcPr>
          <w:p>
            <w:r/>
            <w:r>
              <w:rPr>
                <w:rFonts w:ascii="Calibri" w:hAnsi="Calibri" w:eastAsia="微软雅黑"/>
                <w:b w:val="0"/>
                <w:i w:val="0"/>
                <w:sz w:val="18"/>
              </w:rPr>
              <w:t>山东路桥（000498）2025年年度报告全文（巨潮资讯网，经审计年报）</w:t>
            </w:r>
          </w:p>
        </w:tc>
      </w:tr>
      <w:tr>
        <w:tc>
          <w:tcPr>
            <w:tcW w:type="dxa" w:w="4150"/>
          </w:tcPr>
          <w:p>
            <w:r/>
            <w:r>
              <w:rPr>
                <w:rFonts w:ascii="Calibri" w:hAnsi="Calibri" w:eastAsia="微软雅黑"/>
                <w:b w:val="0"/>
                <w:i w:val="0"/>
                <w:sz w:val="18"/>
              </w:rPr>
              <w:t>P001031</w:t>
            </w:r>
          </w:p>
        </w:tc>
        <w:tc>
          <w:tcPr>
            <w:tcW w:type="dxa" w:w="4150"/>
          </w:tcPr>
          <w:p>
            <w:r/>
            <w:r>
              <w:rPr>
                <w:rFonts w:ascii="Calibri" w:hAnsi="Calibri" w:eastAsia="微软雅黑"/>
                <w:b w:val="0"/>
                <w:i w:val="0"/>
                <w:sz w:val="18"/>
              </w:rPr>
              <w:t>山东路桥（000498）2024年年度报告全文（巨潮资讯网，经审计年报）</w:t>
            </w:r>
          </w:p>
        </w:tc>
      </w:tr>
      <w:tr>
        <w:tc>
          <w:tcPr>
            <w:tcW w:type="dxa" w:w="4150"/>
          </w:tcPr>
          <w:p>
            <w:r/>
            <w:r>
              <w:rPr>
                <w:rFonts w:ascii="Calibri" w:hAnsi="Calibri" w:eastAsia="微软雅黑"/>
                <w:b w:val="0"/>
                <w:i w:val="0"/>
                <w:sz w:val="18"/>
              </w:rPr>
              <w:t>P001034</w:t>
            </w:r>
          </w:p>
        </w:tc>
        <w:tc>
          <w:tcPr>
            <w:tcW w:type="dxa" w:w="4150"/>
          </w:tcPr>
          <w:p>
            <w:r/>
            <w:r>
              <w:rPr>
                <w:rFonts w:ascii="Calibri" w:hAnsi="Calibri" w:eastAsia="微软雅黑"/>
                <w:b w:val="0"/>
                <w:i w:val="0"/>
                <w:sz w:val="18"/>
              </w:rPr>
              <w:t>中国交建（601800）2023年年度报告全文（巨潮资讯网，经审计年报）</w:t>
            </w:r>
          </w:p>
        </w:tc>
      </w:tr>
      <w:tr>
        <w:tc>
          <w:tcPr>
            <w:tcW w:type="dxa" w:w="4150"/>
          </w:tcPr>
          <w:p>
            <w:r/>
            <w:r>
              <w:rPr>
                <w:rFonts w:ascii="Calibri" w:hAnsi="Calibri" w:eastAsia="微软雅黑"/>
                <w:b w:val="0"/>
                <w:i w:val="0"/>
                <w:sz w:val="18"/>
              </w:rPr>
              <w:t>P001035</w:t>
            </w:r>
          </w:p>
        </w:tc>
        <w:tc>
          <w:tcPr>
            <w:tcW w:type="dxa" w:w="4150"/>
          </w:tcPr>
          <w:p>
            <w:r/>
            <w:r>
              <w:rPr>
                <w:rFonts w:ascii="Calibri" w:hAnsi="Calibri" w:eastAsia="微软雅黑"/>
                <w:b w:val="0"/>
                <w:i w:val="0"/>
                <w:sz w:val="18"/>
              </w:rPr>
              <w:t>中国交建（601800）2022年年度报告全文（巨潮资讯网，经审计年报）</w:t>
            </w:r>
          </w:p>
        </w:tc>
      </w:tr>
    </w:tbl>
    <w:p>
      <w:r>
        <w:rPr>
          <w:rFonts w:ascii="Calibri" w:hAnsi="Calibri" w:eastAsia="微软雅黑"/>
          <w:b w:val="0"/>
          <w:i w:val="0"/>
          <w:sz w:val="22"/>
        </w:rPr>
        <w:t>---</w:t>
      </w:r>
    </w:p>
    <w:p>
      <w:pPr>
        <w:pStyle w:val="Heading1"/>
      </w:pPr>
      <w:r>
        <w:t>第12章 三场景行动清单与全书结语：全景定位、对标找差、分类施策</w:t>
      </w:r>
    </w:p>
    <w:p>
      <w:r>
        <w:rPr>
          <w:rFonts w:ascii="Calibri" w:hAnsi="Calibri" w:eastAsia="微软雅黑"/>
          <w:b w:val="0"/>
          <w:i w:val="0"/>
          <w:sz w:val="22"/>
        </w:rPr>
        <w:t>出品：总包创研院研究团队</w:t>
      </w:r>
    </w:p>
    <w:p>
      <w:pPr>
        <w:ind w:left="454"/>
      </w:pPr>
      <w:r>
        <w:rPr>
          <w:rFonts w:ascii="Calibri" w:hAnsi="Calibri" w:eastAsia="微软雅黑"/>
          <w:b/>
          <w:i w:val="0"/>
          <w:color w:val="666666"/>
          <w:sz w:val="22"/>
        </w:rPr>
        <w:t>本章事实纪律声明</w:t>
      </w:r>
      <w:r>
        <w:rPr>
          <w:rFonts w:ascii="Calibri" w:hAnsi="Calibri" w:eastAsia="微软雅黑"/>
          <w:b w:val="0"/>
          <w:i w:val="0"/>
          <w:color w:val="666666"/>
          <w:sz w:val="22"/>
        </w:rPr>
        <w:t>：本章全部企业数据、项目实绩、司法判例与政策标准，均逐字取自本书研究团队采集整理的事实资料库（含上市公司经审计年度报告全文、企业研究报告、国家标准全文、司法案例专项研究成果与既有研究报告成果合集），正文随文标注[来源: P锚]（对照本章尾注），读者可按锚号回溯核验；无源不写，解读性判断均在文中明示。标注"本研究归纳"的框架与步骤为研究团队基于实证资料整理；标注"示意性复盘"的机制参数与时间窗口为示例设计，不指向任何企业的实际执行数据；标注"own_calc"的折算值为研究团队依据源数据计算所得。</w:t>
      </w:r>
    </w:p>
    <w:p>
      <w:r>
        <w:rPr>
          <w:rFonts w:ascii="Calibri" w:hAnsi="Calibri" w:eastAsia="微软雅黑"/>
          <w:b/>
          <w:i w:val="0"/>
          <w:sz w:val="22"/>
        </w:rPr>
        <w:t>本章引言：帮读者解决什么问题</w:t>
      </w:r>
    </w:p>
    <w:p>
      <w:r>
        <w:rPr>
          <w:rFonts w:ascii="Calibri" w:hAnsi="Calibri" w:eastAsia="微软雅黑"/>
          <w:b w:val="0"/>
          <w:i w:val="0"/>
          <w:sz w:val="22"/>
        </w:rPr>
        <w:t>本书前十一章回答了两个问题：50强是谁、格局如何（全景画像），以及头部领军、中坚骨干、追赶者三档企业各强在哪、弱在哪（分档对比）。本章收口第三个问题，也是买家合上报告后立刻要面对的问题：</w:t>
      </w:r>
      <w:r>
        <w:rPr>
          <w:rFonts w:ascii="Calibri" w:hAnsi="Calibri" w:eastAsia="微软雅黑"/>
          <w:b/>
          <w:i w:val="0"/>
          <w:sz w:val="22"/>
        </w:rPr>
        <w:t>我的企业下一步怎么干。</w:t>
      </w:r>
      <w:r>
        <w:rPr>
          <w:rFonts w:ascii="Calibri" w:hAnsi="Calibri" w:eastAsia="微软雅黑"/>
          <w:b w:val="0"/>
          <w:i w:val="0"/>
          <w:sz w:val="22"/>
        </w:rPr>
        <w:t xml:space="preserve"> 全书研究框架把读者使用场景归为三类——全景画像、分档对比、行动清单——前两类已由第1章至第11章交付，本章将行动清单场景落成三份可直接执行的清单：场景一，传统施工企业与设计院向工程总承包转型升级；场景二，"一带一路"高质量走出去与国际化工程总承包；场景三，"双碳"与绿色新能源工程总承包。三份清单之后，本章以全书结语收束，给出TOP50企业终局决策路线图。</w:t>
      </w:r>
    </w:p>
    <w:p>
      <w:r>
        <w:rPr>
          <w:rFonts w:ascii="Calibri" w:hAnsi="Calibri" w:eastAsia="微软雅黑"/>
          <w:b w:val="0"/>
          <w:i w:val="0"/>
          <w:sz w:val="22"/>
        </w:rPr>
        <w:t>贯穿三份清单的分析底座，是既有研究成果构建的核心逻辑模型：</w:t>
      </w:r>
      <w:r>
        <w:rPr>
          <w:rFonts w:ascii="Calibri" w:hAnsi="Calibri" w:eastAsia="微软雅黑"/>
          <w:b/>
          <w:i w:val="0"/>
          <w:sz w:val="22"/>
        </w:rPr>
        <w:t>EPC法人级交付效能 = （设计控制因子 × 采购施工协同因子）÷（组织摩擦风险 + 造价合规偏差）</w:t>
      </w:r>
      <w:r>
        <w:rPr>
          <w:rFonts w:ascii="Calibri" w:hAnsi="Calibri" w:eastAsia="微软雅黑"/>
          <w:b w:val="0"/>
          <w:i w:val="0"/>
          <w:sz w:val="22"/>
        </w:rPr>
        <w:t>（模型据专项研究成果）[来源: P001151]。分子端是能力：设计控制因子取决于初步设计深度与概算编制三法（概算定额法、概算指标法、类似工程预算法）的运用水平；采购施工协同因子取决于设备安装概算四法（预算单价法、扩大单价法、设备价值百分比法、综合吨位指标法）与E-P-C界面整合效率。分母端是风险：组织摩擦风险集中于合同分拆履约抗辩、分包合同同步解除与境外独立保函止付；造价合规风险集中于行政审计强行介入结算与标底（最高投标限价）编制偏离。三份行动清单的每一步，都是在抬升分子或压低分母[来源: P001151, P001153]。须说明模型边界（本研究归纳）：该式为组织与合同层面的效能框架，市场环境、政策变化等外生变量不作为独立变量出现，而是经由四因子传导——例如政策收紧会先放大造价合规偏差，市场下行会先压低采购施工协同因子的可实现水平；用模型做跨企业比较时应同时报告外部环境条件。</w:t>
      </w:r>
    </w:p>
    <w:p>
      <w:r>
        <w:rPr>
          <w:rFonts w:ascii="Calibri" w:hAnsi="Calibri" w:eastAsia="微软雅黑"/>
          <w:b w:val="0"/>
          <w:i w:val="0"/>
          <w:sz w:val="22"/>
        </w:rPr>
        <w:t>使用本章的正确姿势（本研究建议）：先回到第11章的分档画像确认自己所处的档位与生态位，再到本章锁定与自己战略意图最匹配的场景——守位者优先读场景一，出海者优先读场景二，转型绿色赛道者优先读场景三；每个场景的"四步法行动清单"均可直接转为内部任务分解表的骨架，标杆案例则提供了每一步"做到什么程度算到位"的实物参照。三份清单并非互斥：头部企业的常态是三线并进，而中坚与追赶企业应按资源约束串行推进，先以场景一夯实法人级交付基座，再谈场景二与场景三。</w:t>
      </w:r>
    </w:p>
    <w:p>
      <w:r>
        <w:rPr>
          <w:rFonts w:ascii="Calibri" w:hAnsi="Calibri" w:eastAsia="微软雅黑"/>
          <w:b w:val="0"/>
          <w:i w:val="0"/>
          <w:sz w:val="22"/>
        </w:rPr>
        <w:t>本章随文交付五件工具，与三场景一一对应：</w:t>
      </w:r>
    </w:p>
    <w:tbl>
      <w:tblPr>
        <w:tblStyle w:val="TableGrid"/>
        <w:tblW w:type="auto" w:w="0"/>
        <w:tblLook w:firstColumn="1" w:firstRow="1" w:lastColumn="0" w:lastRow="0" w:noHBand="0" w:noVBand="1" w:val="04A0"/>
      </w:tblPr>
      <w:tblGrid>
        <w:gridCol w:w="4150"/>
        <w:gridCol w:w="4150"/>
      </w:tblGrid>
      <w:tr>
        <w:tc>
          <w:tcPr>
            <w:tcW w:type="dxa" w:w="4150"/>
            <w:shd w:fill="1F3A5F"/>
          </w:tcPr>
          <w:p>
            <w:r>
              <w:rPr>
                <w:color w:val="FFFFFF"/>
              </w:rPr>
            </w:r>
            <w:r>
              <w:rPr>
                <w:rFonts w:ascii="Calibri" w:hAnsi="Calibri" w:eastAsia="微软雅黑"/>
                <w:b/>
                <w:i w:val="0"/>
                <w:color w:val="FFFFFF"/>
                <w:sz w:val="18"/>
              </w:rPr>
              <w:t>工具/模型名称</w:t>
            </w:r>
          </w:p>
        </w:tc>
        <w:tc>
          <w:tcPr>
            <w:tcW w:type="dxa" w:w="4150"/>
            <w:shd w:fill="1F3A5F"/>
          </w:tcPr>
          <w:p>
            <w:r>
              <w:rPr>
                <w:color w:val="FFFFFF"/>
              </w:rPr>
            </w:r>
            <w:r>
              <w:rPr>
                <w:rFonts w:ascii="Calibri" w:hAnsi="Calibri" w:eastAsia="微软雅黑"/>
                <w:b/>
                <w:i w:val="0"/>
                <w:color w:val="FFFFFF"/>
                <w:sz w:val="18"/>
              </w:rPr>
              <w:t>实战应用场景与价值</w:t>
            </w:r>
          </w:p>
        </w:tc>
      </w:tr>
      <w:tr>
        <w:tc>
          <w:tcPr>
            <w:tcW w:type="dxa" w:w="4150"/>
          </w:tcPr>
          <w:p>
            <w:r/>
            <w:r>
              <w:rPr>
                <w:rFonts w:ascii="Calibri" w:hAnsi="Calibri" w:eastAsia="微软雅黑"/>
                <w:b w:val="0"/>
                <w:i w:val="0"/>
                <w:sz w:val="18"/>
              </w:rPr>
              <w:t>双源合一法人交付演进模型</w:t>
            </w:r>
          </w:p>
        </w:tc>
        <w:tc>
          <w:tcPr>
            <w:tcW w:type="dxa" w:w="4150"/>
          </w:tcPr>
          <w:p>
            <w:r/>
            <w:r>
              <w:rPr>
                <w:rFonts w:ascii="Calibri" w:hAnsi="Calibri" w:eastAsia="微软雅黑"/>
                <w:b w:val="0"/>
                <w:i w:val="0"/>
                <w:sz w:val="18"/>
              </w:rPr>
              <w:t>指导工程企业在取消总承包资格核准的政策背景下，基于设计或施工单一资质依法构建法人级总承包交付架构 [来源: P001151]。</w:t>
            </w:r>
          </w:p>
        </w:tc>
      </w:tr>
      <w:tr>
        <w:tc>
          <w:tcPr>
            <w:tcW w:type="dxa" w:w="4150"/>
          </w:tcPr>
          <w:p>
            <w:r/>
            <w:r>
              <w:rPr>
                <w:rFonts w:ascii="Calibri" w:hAnsi="Calibri" w:eastAsia="微软雅黑"/>
                <w:b w:val="0"/>
                <w:i w:val="0"/>
                <w:sz w:val="18"/>
              </w:rPr>
              <w:t>设计概算三法选型与修正矩阵</w:t>
            </w:r>
          </w:p>
        </w:tc>
        <w:tc>
          <w:tcPr>
            <w:tcW w:type="dxa" w:w="4150"/>
          </w:tcPr>
          <w:p>
            <w:r/>
            <w:r>
              <w:rPr>
                <w:rFonts w:ascii="Calibri" w:hAnsi="Calibri" w:eastAsia="微软雅黑"/>
                <w:b w:val="0"/>
                <w:i w:val="0"/>
                <w:sz w:val="18"/>
              </w:rPr>
              <w:t>明确概算定额法、概算指标法（结构与人工材料机械修正）、类似工程预算法（差异与加权调价系数修正）的适用场景 [来源: P001151, P001116]。</w:t>
            </w:r>
          </w:p>
        </w:tc>
      </w:tr>
      <w:tr>
        <w:tc>
          <w:tcPr>
            <w:tcW w:type="dxa" w:w="4150"/>
          </w:tcPr>
          <w:p>
            <w:r/>
            <w:r>
              <w:rPr>
                <w:rFonts w:ascii="Calibri" w:hAnsi="Calibri" w:eastAsia="微软雅黑"/>
                <w:b w:val="0"/>
                <w:i w:val="0"/>
                <w:sz w:val="18"/>
              </w:rPr>
              <w:t>设备安装概算四法精度对标表</w:t>
            </w:r>
          </w:p>
        </w:tc>
        <w:tc>
          <w:tcPr>
            <w:tcW w:type="dxa" w:w="4150"/>
          </w:tcPr>
          <w:p>
            <w:r/>
            <w:r>
              <w:rPr>
                <w:rFonts w:ascii="Calibri" w:hAnsi="Calibri" w:eastAsia="微软雅黑"/>
                <w:b w:val="0"/>
                <w:i w:val="0"/>
                <w:sz w:val="18"/>
              </w:rPr>
              <w:t>针对不同初步设计深度，匹配预算单价法、扩大单价法、设备价值百分比法与综合吨位指标法 [来源: P001151, P001116]。</w:t>
            </w:r>
          </w:p>
        </w:tc>
      </w:tr>
      <w:tr>
        <w:tc>
          <w:tcPr>
            <w:tcW w:type="dxa" w:w="4150"/>
          </w:tcPr>
          <w:p>
            <w:r/>
            <w:r>
              <w:rPr>
                <w:rFonts w:ascii="Calibri" w:hAnsi="Calibri" w:eastAsia="微软雅黑"/>
                <w:b w:val="0"/>
                <w:i w:val="0"/>
                <w:sz w:val="18"/>
              </w:rPr>
              <w:t>EPC合同分拆与节点请款审查机制</w:t>
            </w:r>
          </w:p>
        </w:tc>
        <w:tc>
          <w:tcPr>
            <w:tcW w:type="dxa" w:w="4150"/>
          </w:tcPr>
          <w:p>
            <w:r/>
            <w:r>
              <w:rPr>
                <w:rFonts w:ascii="Calibri" w:hAnsi="Calibri" w:eastAsia="微软雅黑"/>
                <w:b w:val="0"/>
                <w:i w:val="0"/>
                <w:sz w:val="18"/>
              </w:rPr>
              <w:t>防范多方分拆合同的履约认定模糊风险，建立技术文件交付与节点付款相扣合的先履行抗辩应对 [来源: P001151]。</w:t>
            </w:r>
          </w:p>
        </w:tc>
      </w:tr>
      <w:tr>
        <w:tc>
          <w:tcPr>
            <w:tcW w:type="dxa" w:w="4150"/>
          </w:tcPr>
          <w:p>
            <w:r/>
            <w:r>
              <w:rPr>
                <w:rFonts w:ascii="Calibri" w:hAnsi="Calibri" w:eastAsia="微软雅黑"/>
                <w:b w:val="0"/>
                <w:i w:val="0"/>
                <w:sz w:val="18"/>
              </w:rPr>
              <w:t>独立保函欺诈防范与介入权应对体系</w:t>
            </w:r>
          </w:p>
        </w:tc>
        <w:tc>
          <w:tcPr>
            <w:tcW w:type="dxa" w:w="4150"/>
          </w:tcPr>
          <w:p>
            <w:r/>
            <w:r>
              <w:rPr>
                <w:rFonts w:ascii="Calibri" w:hAnsi="Calibri" w:eastAsia="微软雅黑"/>
                <w:b w:val="0"/>
                <w:i w:val="0"/>
                <w:sz w:val="18"/>
              </w:rPr>
              <w:t>用于境外EPC项目中梳理《分包商承诺协议》、业主介入权（Step-in Right）行使边界及止付维权 [来源: P001151]。</w:t>
            </w:r>
          </w:p>
        </w:tc>
      </w:tr>
    </w:tbl>
    <w:p>
      <w:r>
        <w:rPr>
          <w:rFonts w:ascii="Calibri" w:hAnsi="Calibri" w:eastAsia="微软雅黑"/>
          <w:b w:val="0"/>
          <w:i w:val="0"/>
          <w:sz w:val="22"/>
        </w:rPr>
        <w:t>---</w:t>
      </w:r>
    </w:p>
    <w:p>
      <w:pPr>
        <w:pStyle w:val="Heading2"/>
      </w:pPr>
      <w:r>
        <w:t>12.1 场景一行动清单：传统工程企业与设计院向工程总承包转型升级</w:t>
      </w:r>
    </w:p>
    <w:p>
      <w:pPr>
        <w:pStyle w:val="Heading3"/>
      </w:pPr>
      <w:r>
        <w:t>12.1.1 转型痛点与资质破局的法律基座</w:t>
      </w:r>
    </w:p>
    <w:p>
      <w:r>
        <w:rPr>
          <w:rFonts w:ascii="Calibri" w:hAnsi="Calibri" w:eastAsia="微软雅黑"/>
          <w:b w:val="0"/>
          <w:i w:val="0"/>
          <w:sz w:val="22"/>
        </w:rPr>
        <w:t>传统工程建设长期处于设计与施工物理分离的割裂状态：施工企业缺乏设计引领能力，被动按图施工，常因图纸缺陷陷入设计变更与索赔对抗；传统设计院虽占据技术源头优势，却缺乏采购供应链整合能力、现场施工组织经验与大资金调配能力，转型EPC时易被施工分包商"架空"——承担总包责任却无法实现造价封顶（痛点归纳为本研究据源文整理）[来源: P001151, P001101]。若企业无法从产权治理与组织基因层面打通"设计-采购-施工"，将在大型项目履约中面临接口冲突频繁、概算全面失控、履约解除等商业与法律代价 [来源: P001151]。转型的市场赏格足够丰厚：在政策引导下EPC模式应用范围持续扩大，据源文统计，2020年中国工程总承包市场规模已超过3万亿元，其中EPC模式占比超过60%——谁能率先完成法人级一体化交付能力的重组，谁就占据这一最大单一细分市场的主赛道 [来源: P001101]。</w:t>
      </w:r>
    </w:p>
    <w:p>
      <w:r>
        <w:rPr>
          <w:rFonts w:ascii="Calibri" w:hAnsi="Calibri" w:eastAsia="微软雅黑"/>
          <w:b w:val="0"/>
          <w:i w:val="0"/>
          <w:sz w:val="22"/>
        </w:rPr>
        <w:t>破局的第一块基石是资质政策的法律确定性。政策沿革上，《国务院关于取消第一批行政审批项目的决定》（国发〔2002〕24号）取消了原有的工程总承包资格核准；此后《建筑业企业资质标准》（建市〔2014〕159号）等文件进一步明确：</w:t>
      </w:r>
      <w:r>
        <w:rPr>
          <w:rFonts w:ascii="Calibri" w:hAnsi="Calibri" w:eastAsia="微软雅黑"/>
          <w:b/>
          <w:i w:val="0"/>
          <w:sz w:val="22"/>
        </w:rPr>
        <w:t>取得工程设计资质或施工总承包资质的企业，均可以在其资质许可范围内开展工程总承包业务</w:t>
      </w:r>
      <w:r>
        <w:rPr>
          <w:rFonts w:ascii="Calibri" w:hAnsi="Calibri" w:eastAsia="微软雅黑"/>
          <w:b w:val="0"/>
          <w:i w:val="0"/>
          <w:sz w:val="22"/>
        </w:rPr>
        <w:t xml:space="preserve"> [来源: P001151]。司法实践同样支持这一准入规则：在最高人民法院审理的"达华电力案"［(2016)最高法民终695号］中，发包人与EPC总承包人签订固定总价总承包合同后，因银行融资要求专款专用，将合同拆分为勘测设计及工程管理合同、设备成套采购合同与施工总承包合同；总承包人起诉主张发包人拖欠节点进度款53,485,080元，发包人以节点付款条件未成就为由拒付。最高法院认定：总承包人持有工程设计电力行业乙级资质，依据《工程设计资质标准》可依法承揽资质许可范围内的工程总承包业务，合同合法有效；合同约定请款时必须提交完工报告、工程量表及"采购设备和材料工厂试验标准、试验记录及质量控制计划等技术文件"，且"非经书面签字批准，任何补充变更无效"，故发包人行使</w:t>
      </w:r>
      <w:r>
        <w:rPr>
          <w:rFonts w:ascii="Calibri" w:hAnsi="Calibri" w:eastAsia="微软雅黑"/>
          <w:b/>
          <w:i w:val="0"/>
          <w:sz w:val="22"/>
        </w:rPr>
        <w:t>先履行抗辩权</w:t>
      </w:r>
      <w:r>
        <w:rPr>
          <w:rFonts w:ascii="Calibri" w:hAnsi="Calibri" w:eastAsia="微软雅黑"/>
          <w:b w:val="0"/>
          <w:i w:val="0"/>
          <w:sz w:val="22"/>
        </w:rPr>
        <w:t>拒付节点工程款不构成违约 [来源: P001151]。这一判例对本场景的启示是双向的：单一资质即可合法承揽，无需为地方双资质门槛盲目挂靠或组建松散联合体；但分拆合同履约中技术文件交付与节点付款的扣合关系，必须以书面变更机制锁死（判例为个案裁判，引用不构成对同类案件结果的保证）[来源: P001151, P001132]。</w:t>
      </w:r>
    </w:p>
    <w:p>
      <w:r>
        <w:rPr>
          <w:rFonts w:ascii="Calibri" w:hAnsi="Calibri" w:eastAsia="微软雅黑"/>
          <w:b w:val="0"/>
          <w:i w:val="0"/>
          <w:sz w:val="22"/>
        </w:rPr>
        <w:t>施工企业与设计院两条转型路径的要点对照如下（路径框架为本研究归纳，政策与判例依据据源文）：</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对照维度</w:t>
            </w:r>
          </w:p>
        </w:tc>
        <w:tc>
          <w:tcPr>
            <w:tcW w:type="dxa" w:w="2767"/>
            <w:shd w:fill="1F3A5F"/>
          </w:tcPr>
          <w:p>
            <w:r>
              <w:rPr>
                <w:color w:val="FFFFFF"/>
              </w:rPr>
            </w:r>
            <w:r>
              <w:rPr>
                <w:rFonts w:ascii="Calibri" w:hAnsi="Calibri" w:eastAsia="微软雅黑"/>
                <w:b/>
                <w:i w:val="0"/>
                <w:color w:val="FFFFFF"/>
                <w:sz w:val="18"/>
              </w:rPr>
              <w:t>施工企业转型路径</w:t>
            </w:r>
          </w:p>
        </w:tc>
        <w:tc>
          <w:tcPr>
            <w:tcW w:type="dxa" w:w="2767"/>
            <w:shd w:fill="1F3A5F"/>
          </w:tcPr>
          <w:p>
            <w:r>
              <w:rPr>
                <w:color w:val="FFFFFF"/>
              </w:rPr>
            </w:r>
            <w:r>
              <w:rPr>
                <w:rFonts w:ascii="Calibri" w:hAnsi="Calibri" w:eastAsia="微软雅黑"/>
                <w:b/>
                <w:i w:val="0"/>
                <w:color w:val="FFFFFF"/>
                <w:sz w:val="18"/>
              </w:rPr>
              <w:t>设计院转型路径</w:t>
            </w:r>
          </w:p>
        </w:tc>
      </w:tr>
      <w:tr>
        <w:tc>
          <w:tcPr>
            <w:tcW w:type="dxa" w:w="2767"/>
          </w:tcPr>
          <w:p>
            <w:r/>
            <w:r>
              <w:rPr>
                <w:rFonts w:ascii="Calibri" w:hAnsi="Calibri" w:eastAsia="微软雅黑"/>
                <w:b w:val="0"/>
                <w:i w:val="0"/>
                <w:sz w:val="18"/>
              </w:rPr>
              <w:t>准入依据</w:t>
            </w:r>
          </w:p>
        </w:tc>
        <w:tc>
          <w:tcPr>
            <w:tcW w:type="dxa" w:w="2767"/>
          </w:tcPr>
          <w:p>
            <w:r/>
            <w:r>
              <w:rPr>
                <w:rFonts w:ascii="Calibri" w:hAnsi="Calibri" w:eastAsia="微软雅黑"/>
                <w:b w:val="0"/>
                <w:i w:val="0"/>
                <w:sz w:val="18"/>
              </w:rPr>
              <w:t>依托施工总承包高等级资质，在资质许可范围内直接承揽工程总承包业务 [来源: P001151]</w:t>
            </w:r>
          </w:p>
        </w:tc>
        <w:tc>
          <w:tcPr>
            <w:tcW w:type="dxa" w:w="2767"/>
          </w:tcPr>
          <w:p>
            <w:r/>
            <w:r>
              <w:rPr>
                <w:rFonts w:ascii="Calibri" w:hAnsi="Calibri" w:eastAsia="微软雅黑"/>
                <w:b w:val="0"/>
                <w:i w:val="0"/>
                <w:sz w:val="18"/>
              </w:rPr>
              <w:t>依托工程设计资质，在资质许可范围内承揽工程总承包业务 [来源: P001151]</w:t>
            </w:r>
          </w:p>
        </w:tc>
      </w:tr>
      <w:tr>
        <w:tc>
          <w:tcPr>
            <w:tcW w:type="dxa" w:w="2767"/>
          </w:tcPr>
          <w:p>
            <w:r/>
            <w:r>
              <w:rPr>
                <w:rFonts w:ascii="Calibri" w:hAnsi="Calibri" w:eastAsia="微软雅黑"/>
                <w:b w:val="0"/>
                <w:i w:val="0"/>
                <w:sz w:val="18"/>
              </w:rPr>
              <w:t>组织补短</w:t>
            </w:r>
          </w:p>
        </w:tc>
        <w:tc>
          <w:tcPr>
            <w:tcW w:type="dxa" w:w="2767"/>
          </w:tcPr>
          <w:p>
            <w:r/>
            <w:r>
              <w:rPr>
                <w:rFonts w:ascii="Calibri" w:hAnsi="Calibri" w:eastAsia="微软雅黑"/>
                <w:b w:val="0"/>
                <w:i w:val="0"/>
                <w:sz w:val="18"/>
              </w:rPr>
              <w:t>补设计引领能力：设立设计管理部门或并购设计资源，推行设计施工深度融合 [来源: P001101]</w:t>
            </w:r>
          </w:p>
        </w:tc>
        <w:tc>
          <w:tcPr>
            <w:tcW w:type="dxa" w:w="2767"/>
          </w:tcPr>
          <w:p>
            <w:r/>
            <w:r>
              <w:rPr>
                <w:rFonts w:ascii="Calibri" w:hAnsi="Calibri" w:eastAsia="微软雅黑"/>
                <w:b w:val="0"/>
                <w:i w:val="0"/>
                <w:sz w:val="18"/>
              </w:rPr>
              <w:t>补采购与施工能力：构建采购供应链体系、现场施工管理体系与大资金调配能力 [来源: P001111, P001122]</w:t>
            </w:r>
          </w:p>
        </w:tc>
      </w:tr>
      <w:tr>
        <w:tc>
          <w:tcPr>
            <w:tcW w:type="dxa" w:w="2767"/>
          </w:tcPr>
          <w:p>
            <w:r/>
            <w:r>
              <w:rPr>
                <w:rFonts w:ascii="Calibri" w:hAnsi="Calibri" w:eastAsia="微软雅黑"/>
                <w:b w:val="0"/>
                <w:i w:val="0"/>
                <w:sz w:val="18"/>
              </w:rPr>
              <w:t>治理形态</w:t>
            </w:r>
          </w:p>
        </w:tc>
        <w:tc>
          <w:tcPr>
            <w:tcW w:type="dxa" w:w="2767"/>
          </w:tcPr>
          <w:p>
            <w:r/>
            <w:r>
              <w:rPr>
                <w:rFonts w:ascii="Calibri" w:hAnsi="Calibri" w:eastAsia="微软雅黑"/>
                <w:b w:val="0"/>
                <w:i w:val="0"/>
                <w:sz w:val="18"/>
              </w:rPr>
              <w:t>"双源合一"：通过内部事业部打通或股权重组，形成单一法人单一责任交付 [来源: P001151]</w:t>
            </w:r>
          </w:p>
        </w:tc>
        <w:tc>
          <w:tcPr>
            <w:tcW w:type="dxa" w:w="2767"/>
          </w:tcPr>
          <w:p>
            <w:r/>
            <w:r>
              <w:rPr>
                <w:rFonts w:ascii="Calibri" w:hAnsi="Calibri" w:eastAsia="微软雅黑"/>
                <w:b w:val="0"/>
                <w:i w:val="0"/>
                <w:sz w:val="18"/>
              </w:rPr>
              <w:t>向工程公司转型：设立总承包事业部与三级PMO管控体系，落实项目经理负责制 [来源: P001106, P001111]</w:t>
            </w:r>
          </w:p>
        </w:tc>
      </w:tr>
      <w:tr>
        <w:tc>
          <w:tcPr>
            <w:tcW w:type="dxa" w:w="2767"/>
          </w:tcPr>
          <w:p>
            <w:r/>
            <w:r>
              <w:rPr>
                <w:rFonts w:ascii="Calibri" w:hAnsi="Calibri" w:eastAsia="微软雅黑"/>
                <w:b w:val="0"/>
                <w:i w:val="0"/>
                <w:sz w:val="18"/>
              </w:rPr>
              <w:t>造价抓手</w:t>
            </w:r>
          </w:p>
        </w:tc>
        <w:tc>
          <w:tcPr>
            <w:tcW w:type="dxa" w:w="2767"/>
          </w:tcPr>
          <w:p>
            <w:r/>
            <w:r>
              <w:rPr>
                <w:rFonts w:ascii="Calibri" w:hAnsi="Calibri" w:eastAsia="微软雅黑"/>
                <w:b w:val="0"/>
                <w:i w:val="0"/>
                <w:sz w:val="18"/>
              </w:rPr>
              <w:t>施工图预算服从初步设计概算，倒逼设计深度达标 [来源: P001116]</w:t>
            </w:r>
          </w:p>
        </w:tc>
        <w:tc>
          <w:tcPr>
            <w:tcW w:type="dxa" w:w="2767"/>
          </w:tcPr>
          <w:p>
            <w:r/>
            <w:r>
              <w:rPr>
                <w:rFonts w:ascii="Calibri" w:hAnsi="Calibri" w:eastAsia="微软雅黑"/>
                <w:b w:val="0"/>
                <w:i w:val="0"/>
                <w:sz w:val="18"/>
              </w:rPr>
              <w:t>初步设计阶段即编制高精度设计概算，从源头锁死总投资 [来源: P001151, P001116]</w:t>
            </w:r>
          </w:p>
        </w:tc>
      </w:tr>
    </w:tbl>
    <w:p>
      <w:pPr>
        <w:pStyle w:val="Heading3"/>
      </w:pPr>
      <w:r>
        <w:t>12.1.2 施工企业转型标杆案例</w:t>
      </w:r>
    </w:p>
    <w:p>
      <w:pPr>
        <w:pStyle w:val="Heading4"/>
      </w:pPr>
      <w:r>
        <w:t>案例一：中建五局——全产业链整合与单一责任交付 [来源: P001101]</w:t>
      </w:r>
    </w:p>
    <w:p>
      <w:pPr>
        <w:pStyle w:val="ListBullet"/>
      </w:pPr>
      <w:r>
        <w:rPr>
          <w:rFonts w:ascii="Calibri" w:hAnsi="Calibri" w:eastAsia="微软雅黑"/>
          <w:b/>
          <w:i w:val="0"/>
          <w:sz w:val="22"/>
        </w:rPr>
        <w:t>数据（Data）</w:t>
      </w:r>
      <w:r>
        <w:rPr>
          <w:rFonts w:ascii="Calibri" w:hAnsi="Calibri" w:eastAsia="微软雅黑"/>
          <w:b w:val="0"/>
          <w:i w:val="0"/>
          <w:sz w:val="22"/>
        </w:rPr>
        <w:t>：中建五局作为世界500强中国建筑股份有限公司的核心骨干成员，将发展EPC总承包业务置于转型升级的核心战略地位，拥有建筑工程施工总承包特级等多项高等级资质，业务覆盖房屋建筑、基础设施、工业制造、能源化工、城市更新、生态环保等领域 [来源: P001101]。</w:t>
      </w:r>
    </w:p>
    <w:p>
      <w:pPr>
        <w:pStyle w:val="ListBullet"/>
      </w:pPr>
      <w:r>
        <w:rPr>
          <w:rFonts w:ascii="Calibri" w:hAnsi="Calibri" w:eastAsia="微软雅黑"/>
          <w:b/>
          <w:i w:val="0"/>
          <w:sz w:val="22"/>
        </w:rPr>
        <w:t>动作（Action）</w:t>
      </w:r>
      <w:r>
        <w:rPr>
          <w:rFonts w:ascii="Calibri" w:hAnsi="Calibri" w:eastAsia="微软雅黑"/>
          <w:b w:val="0"/>
          <w:i w:val="0"/>
          <w:sz w:val="22"/>
        </w:rPr>
        <w:t>：战略上确立"打造集投资、研发、设计、建造、运营于一体的全产业链整合能力"定位，塑造"设计引领、技术先进、管理卓越、履约可靠"的EPC品牌形象；设计管理上，在初步设计基础上进行深度优化，运用BIM技术开展多专业协同设计与碰撞检查以减少设计变更，针对大跨度钢结构屋盖进行结构方案优化以降低用钢量，推行地面预拼装、整体吊装等高效工法；采购上对钢结构、幕墙、机电设备等主要设备材料实施全球招标与集中采购，控制采购成本 [来源: P001101]。</w:t>
      </w:r>
    </w:p>
    <w:p>
      <w:pPr>
        <w:pStyle w:val="ListBullet"/>
      </w:pPr>
      <w:r>
        <w:rPr>
          <w:rFonts w:ascii="Calibri" w:hAnsi="Calibri" w:eastAsia="微软雅黑"/>
          <w:b/>
          <w:i w:val="0"/>
          <w:sz w:val="22"/>
        </w:rPr>
        <w:t>结果（Result）</w:t>
      </w:r>
      <w:r>
        <w:rPr>
          <w:rFonts w:ascii="Calibri" w:hAnsi="Calibri" w:eastAsia="微软雅黑"/>
          <w:b w:val="0"/>
          <w:i w:val="0"/>
          <w:sz w:val="22"/>
        </w:rPr>
        <w:t>：在房屋建筑、基础设施、新能源及城市更新等领域实施了一批具有重大影响力的EPC项目，实现从传统施工承包商向全生命周期综合性建设集团的转型（结果表述为本研究据源文归纳）[来源: P001101]。其对同行的示范意义（本研究解读）在于：施工企业转型的胜负手不是资质叠加，而是把设计管理能力内化为法人级职能——设计优化降用钢量、BIM协同减变更、全球采购控成本，三个动作都发生在施工企业传统能力圈之外。</w:t>
      </w:r>
    </w:p>
    <w:p>
      <w:r>
        <w:rPr>
          <w:rFonts w:ascii="Calibri" w:hAnsi="Calibri" w:eastAsia="微软雅黑"/>
          <w:b w:val="0"/>
          <w:i w:val="0"/>
          <w:sz w:val="22"/>
        </w:rPr>
        <w:t>中建五局案例中还有两处配套机制值得转型企业照抄（机制描述据源文）。其一是风险管理体系：EPC模式下总承包商承担了项目的大部分风险，必须建立覆盖全过程的风险识别、评估与应对机制，培养专业风险管理团队，运用先进的风险管理工具与方法，并通过合同条款合理分配风险，与业主、分包商、供应商建立风险共担机制——风险不是被消灭的，而是被分层定价后由最有承受能力的一方持有 [来源: P001101]。其二是复合型人才：EPC需要既懂设计又懂采购施工的人才结构，企业应支持与高校、行业协会合作开展EPC教育培训，在项目实战中培养复合型骨干——这恰是施工企业与设计院共同的短板，也是转型初期最值得投入的软资产 [来源: P001101]。</w:t>
      </w:r>
    </w:p>
    <w:p>
      <w:pPr>
        <w:pStyle w:val="Heading4"/>
      </w:pPr>
      <w:r>
        <w:t>案例二：山东路桥（000498）——从路桥施工到"建造+绿色养护+新质生产力" [来源: P001135]</w:t>
      </w:r>
    </w:p>
    <w:p>
      <w:pPr>
        <w:pStyle w:val="ListBullet"/>
      </w:pPr>
      <w:r>
        <w:rPr>
          <w:rFonts w:ascii="Calibri" w:hAnsi="Calibri" w:eastAsia="微软雅黑"/>
          <w:b/>
          <w:i w:val="0"/>
          <w:sz w:val="22"/>
        </w:rPr>
        <w:t>数据（Data）</w:t>
      </w:r>
      <w:r>
        <w:rPr>
          <w:rFonts w:ascii="Calibri" w:hAnsi="Calibri" w:eastAsia="微软雅黑"/>
          <w:b w:val="0"/>
          <w:i w:val="0"/>
          <w:sz w:val="22"/>
        </w:rPr>
        <w:t>：2025年公司路桥工程施工业务实现收入616.62亿元、占营业收入的89.92%，养护工程施工业务实现收入44.48亿元、占6.49%；累计参建高速公路总里程约6,157公里，参建大桥、特大桥总里程约572.0公里；拥有各级研发平台45家（其中国家级1家、省级23家）、高新技术企业15家；报告期末未完工EPC项目125个、项目金额38,790,974,558.80元（own_calc折算约387.91亿元）；持有公路工程施工总承包特级、市政公用工程施工总承包特级及公路行业甲级、市政行业甲级设计资质，形成"双特双甲"资质结构 [来源: P001135]。</w:t>
      </w:r>
    </w:p>
    <w:p>
      <w:pPr>
        <w:pStyle w:val="ListBullet"/>
      </w:pPr>
      <w:r>
        <w:rPr>
          <w:rFonts w:ascii="Calibri" w:hAnsi="Calibri" w:eastAsia="微软雅黑"/>
          <w:b/>
          <w:i w:val="0"/>
          <w:sz w:val="22"/>
        </w:rPr>
        <w:t>动作（Action）</w:t>
      </w:r>
      <w:r>
        <w:rPr>
          <w:rFonts w:ascii="Calibri" w:hAnsi="Calibri" w:eastAsia="微软雅黑"/>
          <w:b w:val="0"/>
          <w:i w:val="0"/>
          <w:sz w:val="22"/>
        </w:rPr>
        <w:t>：复杂工程攻坚方面，在庆章高速黄河特大桥建设中针对世界首例UHPC-钢箱叠合梁结构自主研发专用悬臂安装设备，创下"世界最大跨径连续梁桥"等三项世界之最；绿色养护方面，形成涵盖就地热再生、就地冷再生、厂拌热再生、厂拌冷再生的四类路面再生技术体系，自主研发的就地热再生设备已在山东、天津、内蒙古等国内十余个省份推广应用，累计再生规模达2,645万平方米，节约石料255万吨、沥青16.5万吨，并打造"全过程智慧管控+无人施工+集中养护"新模式应用于威青高速等项目；新质生产力方面，开展混凝土预制梁零碳快速智能养护成套技术与装备研究，以及千万吨级钢铁产能区钢渣资源化高品质路用关键技术研究 [来源: P001135]。</w:t>
      </w:r>
    </w:p>
    <w:p>
      <w:pPr>
        <w:pStyle w:val="ListBullet"/>
      </w:pPr>
      <w:r>
        <w:rPr>
          <w:rFonts w:ascii="Calibri" w:hAnsi="Calibri" w:eastAsia="微软雅黑"/>
          <w:b/>
          <w:i w:val="0"/>
          <w:sz w:val="22"/>
        </w:rPr>
        <w:t>结果（Result）</w:t>
      </w:r>
      <w:r>
        <w:rPr>
          <w:rFonts w:ascii="Calibri" w:hAnsi="Calibri" w:eastAsia="微软雅黑"/>
          <w:b w:val="0"/>
          <w:i w:val="0"/>
          <w:sz w:val="22"/>
        </w:rPr>
        <w:t>：京台高速泰安至枣庄段改扩建工程、济南至潍坊高速公路工程先后斩获2023年度、2024年度全球道路成就奖（GRAA），实现由传统路桥施工企业向"建造+绿色养护+新质生产力"全产业链总承包商的跨越 [来源: P001135]。</w:t>
      </w:r>
    </w:p>
    <w:p>
      <w:pPr>
        <w:pStyle w:val="Heading3"/>
      </w:pPr>
      <w:r>
        <w:t>12.1.3 设计院转型标杆案例</w:t>
      </w:r>
    </w:p>
    <w:p>
      <w:pPr>
        <w:pStyle w:val="Heading4"/>
      </w:pPr>
      <w:r>
        <w:t>案例三：铁四院——"设计引领"战略与涉铁EPC极限履约 [来源: P001106]</w:t>
      </w:r>
    </w:p>
    <w:p>
      <w:pPr>
        <w:pStyle w:val="ListBullet"/>
      </w:pPr>
      <w:r>
        <w:rPr>
          <w:rFonts w:ascii="Calibri" w:hAnsi="Calibri" w:eastAsia="微软雅黑"/>
          <w:b/>
          <w:i w:val="0"/>
          <w:sz w:val="22"/>
        </w:rPr>
        <w:t>数据（Data）</w:t>
      </w:r>
      <w:r>
        <w:rPr>
          <w:rFonts w:ascii="Calibri" w:hAnsi="Calibri" w:eastAsia="微软雅黑"/>
          <w:b w:val="0"/>
          <w:i w:val="0"/>
          <w:sz w:val="22"/>
        </w:rPr>
        <w:t>：铁四院作为中国工程勘察设计行业领军企业，以EPC模式承接长沙磁浮工程（中国首条完全自主知识产权的中低速磁浮商业运营线，项目投资约42亿元）、襄阳东津站枢纽城市综合配套工程（项目投资约30亿元）及合肥宿松路快速化改造涉铁工程等项目 [来源: P001106]。</w:t>
      </w:r>
    </w:p>
    <w:p>
      <w:pPr>
        <w:pStyle w:val="ListBullet"/>
      </w:pPr>
      <w:r>
        <w:rPr>
          <w:rFonts w:ascii="Calibri" w:hAnsi="Calibri" w:eastAsia="微软雅黑"/>
          <w:b/>
          <w:i w:val="0"/>
          <w:sz w:val="22"/>
        </w:rPr>
        <w:t>动作（Action）</w:t>
      </w:r>
      <w:r>
        <w:rPr>
          <w:rFonts w:ascii="Calibri" w:hAnsi="Calibri" w:eastAsia="微软雅黑"/>
          <w:b w:val="0"/>
          <w:i w:val="0"/>
          <w:sz w:val="22"/>
        </w:rPr>
        <w:t>：实施"设计引领"战略转型，从单一设计咨询服务商向"设计-采购-施工"一体化总承包商演进；创建"四强四提"管理方法（强策划提效益、强管控提履约、强防范提安全、强创新提品质），建立院、分院、项目部三级PMO管控体系；在合肥宿松路涉铁EPC项目中，发挥跨越繁忙铁路的专业优势，在铁路部门批准的极短"天窗点"（通常仅几小时）内完成吊装等关键工序，高效协调市政、铁路及电力、通信、燃气等管线单位 [来源: P001106]。</w:t>
      </w:r>
    </w:p>
    <w:p>
      <w:pPr>
        <w:pStyle w:val="ListBullet"/>
      </w:pPr>
      <w:r>
        <w:rPr>
          <w:rFonts w:ascii="Calibri" w:hAnsi="Calibri" w:eastAsia="微软雅黑"/>
          <w:b/>
          <w:i w:val="0"/>
          <w:sz w:val="22"/>
        </w:rPr>
        <w:t>结果（Result）</w:t>
      </w:r>
      <w:r>
        <w:rPr>
          <w:rFonts w:ascii="Calibri" w:hAnsi="Calibri" w:eastAsia="微软雅黑"/>
          <w:b w:val="0"/>
          <w:i w:val="0"/>
          <w:sz w:val="22"/>
        </w:rPr>
        <w:t>：长沙磁浮工程成为中国中低速磁浮商业运营的标志性成果，铁四院自身完成从传统设计院向具备总承包交付能力工程公司的转型（结果表述为本研究据源文归纳）[来源: P001106]。</w:t>
      </w:r>
    </w:p>
    <w:p>
      <w:pPr>
        <w:pStyle w:val="Heading4"/>
      </w:pPr>
      <w:r>
        <w:t>案例四：上海市政总院（SMEDI）——"全国化、全过程"与百亿级EPC [来源: P001122]</w:t>
      </w:r>
    </w:p>
    <w:p>
      <w:pPr>
        <w:pStyle w:val="ListBullet"/>
      </w:pPr>
      <w:r>
        <w:rPr>
          <w:rFonts w:ascii="Calibri" w:hAnsi="Calibri" w:eastAsia="微软雅黑"/>
          <w:b/>
          <w:i w:val="0"/>
          <w:sz w:val="22"/>
        </w:rPr>
        <w:t>数据（Data）</w:t>
      </w:r>
      <w:r>
        <w:rPr>
          <w:rFonts w:ascii="Calibri" w:hAnsi="Calibri" w:eastAsia="微软雅黑"/>
          <w:b w:val="0"/>
          <w:i w:val="0"/>
          <w:sz w:val="22"/>
        </w:rPr>
        <w:t>：上海市政总院隶属于上海城建（集团）公司，拥有工程设计综合甲级资质；截至2024年，EPC总承包业务营业收入突破140亿元、占企业总营收的60%以上；拥有4个国家级科技创新平台、6个市级技术研究中心，主编国家、行业和上海市地方标准规范90余项，累计申请专利3000余项、其中发明专利占比达到41% [来源: P001122]。</w:t>
      </w:r>
    </w:p>
    <w:p>
      <w:pPr>
        <w:pStyle w:val="ListBullet"/>
      </w:pPr>
      <w:r>
        <w:rPr>
          <w:rFonts w:ascii="Calibri" w:hAnsi="Calibri" w:eastAsia="微软雅黑"/>
          <w:b/>
          <w:i w:val="0"/>
          <w:sz w:val="22"/>
        </w:rPr>
        <w:t>动作（Action）</w:t>
      </w:r>
      <w:r>
        <w:rPr>
          <w:rFonts w:ascii="Calibri" w:hAnsi="Calibri" w:eastAsia="微软雅黑"/>
          <w:b w:val="0"/>
          <w:i w:val="0"/>
          <w:sz w:val="22"/>
        </w:rPr>
        <w:t>：推行"全国化、全过程"战略，从传统设计延伸服务链条，发展EPC+F、EPC+O及全过程工程咨询与EPC结合等模式；数字化协同方面，在石洞口污水处理厂提标改造EPC项目中搭建协同平台，信息传递效率提高30%、沟通成本降低20%、资源利用效率提高15%，设计阶段推行限额设计与价值工程；质量与风控方面，建立符合ISO 9001标准的质量管理体系与风险管理委员会机制 [来源: P001122]。</w:t>
      </w:r>
    </w:p>
    <w:p>
      <w:pPr>
        <w:pStyle w:val="ListBullet"/>
      </w:pPr>
      <w:r>
        <w:rPr>
          <w:rFonts w:ascii="Calibri" w:hAnsi="Calibri" w:eastAsia="微软雅黑"/>
          <w:b/>
          <w:i w:val="0"/>
          <w:sz w:val="22"/>
        </w:rPr>
        <w:t>结果（Result）</w:t>
      </w:r>
      <w:r>
        <w:rPr>
          <w:rFonts w:ascii="Calibri" w:hAnsi="Calibri" w:eastAsia="微软雅黑"/>
          <w:b w:val="0"/>
          <w:i w:val="0"/>
          <w:sz w:val="22"/>
        </w:rPr>
        <w:t>：2022年凭借两港大道（新四平公路—S2—大治河）快速化工程首获鲁班奖，2023年嘉兴市区现状水厂工艺提升改造项目一期工程斩获"2023年全球水奖年度最佳市政供水项目"，确立了市政设计院向百亿级工程总承包集团转型的行业标杆地位 [来源: P001122]。</w:t>
      </w:r>
    </w:p>
    <w:p>
      <w:pPr>
        <w:pStyle w:val="Heading4"/>
      </w:pPr>
      <w:r>
        <w:t>案例五：中国联合——"策产投建营研"与试点先发优势 [来源: P001111]</w:t>
      </w:r>
    </w:p>
    <w:p>
      <w:pPr>
        <w:pStyle w:val="ListBullet"/>
      </w:pPr>
      <w:r>
        <w:rPr>
          <w:rFonts w:ascii="Calibri" w:hAnsi="Calibri" w:eastAsia="微软雅黑"/>
          <w:b/>
          <w:i w:val="0"/>
          <w:sz w:val="22"/>
        </w:rPr>
        <w:t>数据（Data）</w:t>
      </w:r>
      <w:r>
        <w:rPr>
          <w:rFonts w:ascii="Calibri" w:hAnsi="Calibri" w:eastAsia="微软雅黑"/>
          <w:b w:val="0"/>
          <w:i w:val="0"/>
          <w:sz w:val="22"/>
        </w:rPr>
        <w:t>：中国联合工程有限公司始建于1953年，前身为机械工业部第二设计研究院，是全国首批工程总承包试点企业和全国首批全过程工程咨询试点企业，2021年入选国资委"双百企业"及国有重点企业管理标杆创建行动标杆企业 [来源: P001111]。</w:t>
      </w:r>
    </w:p>
    <w:p>
      <w:pPr>
        <w:pStyle w:val="ListBullet"/>
      </w:pPr>
      <w:r>
        <w:rPr>
          <w:rFonts w:ascii="Calibri" w:hAnsi="Calibri" w:eastAsia="微软雅黑"/>
          <w:b/>
          <w:i w:val="0"/>
          <w:sz w:val="22"/>
        </w:rPr>
        <w:t>动作（Action）</w:t>
      </w:r>
      <w:r>
        <w:rPr>
          <w:rFonts w:ascii="Calibri" w:hAnsi="Calibri" w:eastAsia="微软雅黑"/>
          <w:b w:val="0"/>
          <w:i w:val="0"/>
          <w:sz w:val="22"/>
        </w:rPr>
        <w:t>：确立"以设计为引领的EPC总承包商"定位，形成"全过程咨询+EPC"、"EPC+F"及"EPC+O"创新模式；组织上采用矩阵式组织结构与项目经理负责制，设立专门EPC管理机构，建立基于BIM技术的全过程数字化管理平台；合同与采购上，按工作包特点灵活选用总价、单价与成本加酬金等合同类型，对使用量大、采购频率高的标准物资实施战略采购，与关键设备供应商签订框架协议锁定价格与交货期 [来源: P001111]。</w:t>
      </w:r>
    </w:p>
    <w:p>
      <w:pPr>
        <w:pStyle w:val="ListBullet"/>
      </w:pPr>
      <w:r>
        <w:rPr>
          <w:rFonts w:ascii="Calibri" w:hAnsi="Calibri" w:eastAsia="微软雅黑"/>
          <w:b/>
          <w:i w:val="0"/>
          <w:sz w:val="22"/>
        </w:rPr>
        <w:t>结果（Result）</w:t>
      </w:r>
      <w:r>
        <w:rPr>
          <w:rFonts w:ascii="Calibri" w:hAnsi="Calibri" w:eastAsia="微软雅黑"/>
          <w:b w:val="0"/>
          <w:i w:val="0"/>
          <w:sz w:val="22"/>
        </w:rPr>
        <w:t>：成功实施德清地理信息产业园、杭州永正实验学校及大型石化、电力EPC项目，实现由传统设计院向国际化工程公司的战略蜕变 [来源: P001111]。其项目组织方式在源文的一个大型样本中体现得具体：某合同金额约30亿元、工期36个月的EPC项目涉及工艺、设备、电气、仪表、土建、安装等多专业，公司组建由经验丰富的项目经理领导、各专业技术骨干与管理人才配齐的项目团队，项目经理全面负责实施与管理、各专业经理负责本专业技术与管理工作，形成明确的责任体系与高效的决策机制——设计院转型企业最容易缺的不是专业能力，而是这种"一个人对结果负责、一群人按专业分工"的项目治理结构 [来源: P001111]。</w:t>
      </w:r>
    </w:p>
    <w:p>
      <w:pPr>
        <w:pStyle w:val="Heading3"/>
      </w:pPr>
      <w:r>
        <w:t>12.1.4 场景一行动清单：资质重构、流程融合、概算管控、组织重塑四步法</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步骤</w:t>
            </w:r>
          </w:p>
        </w:tc>
        <w:tc>
          <w:tcPr>
            <w:tcW w:type="dxa" w:w="2767"/>
            <w:shd w:fill="1F3A5F"/>
          </w:tcPr>
          <w:p>
            <w:r>
              <w:rPr>
                <w:color w:val="FFFFFF"/>
              </w:rPr>
            </w:r>
            <w:r>
              <w:rPr>
                <w:rFonts w:ascii="Calibri" w:hAnsi="Calibri" w:eastAsia="微软雅黑"/>
                <w:b/>
                <w:i w:val="0"/>
                <w:color w:val="FFFFFF"/>
                <w:sz w:val="18"/>
              </w:rPr>
              <w:t>核心动作</w:t>
            </w:r>
          </w:p>
        </w:tc>
        <w:tc>
          <w:tcPr>
            <w:tcW w:type="dxa" w:w="2767"/>
            <w:shd w:fill="1F3A5F"/>
          </w:tcPr>
          <w:p>
            <w:r>
              <w:rPr>
                <w:color w:val="FFFFFF"/>
              </w:rPr>
            </w:r>
            <w:r>
              <w:rPr>
                <w:rFonts w:ascii="Calibri" w:hAnsi="Calibri" w:eastAsia="微软雅黑"/>
                <w:b/>
                <w:i w:val="0"/>
                <w:color w:val="FFFFFF"/>
                <w:sz w:val="18"/>
              </w:rPr>
              <w:t>关键依据与工具</w:t>
            </w:r>
          </w:p>
        </w:tc>
      </w:tr>
      <w:tr>
        <w:tc>
          <w:tcPr>
            <w:tcW w:type="dxa" w:w="2767"/>
          </w:tcPr>
          <w:p>
            <w:r/>
            <w:r>
              <w:rPr>
                <w:rFonts w:ascii="Calibri" w:hAnsi="Calibri" w:eastAsia="微软雅黑"/>
                <w:b w:val="0"/>
                <w:i w:val="0"/>
                <w:sz w:val="18"/>
              </w:rPr>
              <w:t>第一步：资质与法人治理重构</w:t>
            </w:r>
          </w:p>
        </w:tc>
        <w:tc>
          <w:tcPr>
            <w:tcW w:type="dxa" w:w="2767"/>
          </w:tcPr>
          <w:p>
            <w:r/>
            <w:r>
              <w:rPr>
                <w:rFonts w:ascii="Calibri" w:hAnsi="Calibri" w:eastAsia="微软雅黑"/>
                <w:b w:val="0"/>
                <w:i w:val="0"/>
                <w:sz w:val="18"/>
              </w:rPr>
              <w:t>确立单一资质合法承揽依据，推行"双源合一"打通内设事业部，形成单一法人单一责任交付</w:t>
            </w:r>
          </w:p>
        </w:tc>
        <w:tc>
          <w:tcPr>
            <w:tcW w:type="dxa" w:w="2767"/>
          </w:tcPr>
          <w:p>
            <w:r/>
            <w:r>
              <w:rPr>
                <w:rFonts w:ascii="Calibri" w:hAnsi="Calibri" w:eastAsia="微软雅黑"/>
                <w:b w:val="0"/>
                <w:i w:val="0"/>
                <w:sz w:val="18"/>
              </w:rPr>
              <w:t>建市〔2014〕159号及"达华电力案"［(2016)最高法民终695号］裁判规则 [来源: P001151]</w:t>
            </w:r>
          </w:p>
        </w:tc>
      </w:tr>
      <w:tr>
        <w:tc>
          <w:tcPr>
            <w:tcW w:type="dxa" w:w="2767"/>
          </w:tcPr>
          <w:p>
            <w:r/>
            <w:r>
              <w:rPr>
                <w:rFonts w:ascii="Calibri" w:hAnsi="Calibri" w:eastAsia="微软雅黑"/>
                <w:b w:val="0"/>
                <w:i w:val="0"/>
                <w:sz w:val="18"/>
              </w:rPr>
              <w:t>第二步：设计与施工流程深度融合</w:t>
            </w:r>
          </w:p>
        </w:tc>
        <w:tc>
          <w:tcPr>
            <w:tcW w:type="dxa" w:w="2767"/>
          </w:tcPr>
          <w:p>
            <w:r/>
            <w:r>
              <w:rPr>
                <w:rFonts w:ascii="Calibri" w:hAnsi="Calibri" w:eastAsia="微软雅黑"/>
                <w:b w:val="0"/>
                <w:i w:val="0"/>
                <w:sz w:val="18"/>
              </w:rPr>
              <w:t>建立"设计牵头、施工介入"机制，搭建BIM+PMIS全过程协同平台，前置可施工性审查与价值工程</w:t>
            </w:r>
          </w:p>
        </w:tc>
        <w:tc>
          <w:tcPr>
            <w:tcW w:type="dxa" w:w="2767"/>
          </w:tcPr>
          <w:p>
            <w:r/>
            <w:r>
              <w:rPr>
                <w:rFonts w:ascii="Calibri" w:hAnsi="Calibri" w:eastAsia="微软雅黑"/>
                <w:b w:val="0"/>
                <w:i w:val="0"/>
                <w:sz w:val="18"/>
              </w:rPr>
              <w:t>中建五局BIM协同与碰撞检查、铁四院"天窗点"极限履约实证 [来源: P001101, P001106]</w:t>
            </w:r>
          </w:p>
        </w:tc>
      </w:tr>
      <w:tr>
        <w:tc>
          <w:tcPr>
            <w:tcW w:type="dxa" w:w="2767"/>
          </w:tcPr>
          <w:p>
            <w:r/>
            <w:r>
              <w:rPr>
                <w:rFonts w:ascii="Calibri" w:hAnsi="Calibri" w:eastAsia="微软雅黑"/>
                <w:b w:val="0"/>
                <w:i w:val="0"/>
                <w:sz w:val="18"/>
              </w:rPr>
              <w:t>第三步：初步设计概算精准管控</w:t>
            </w:r>
          </w:p>
        </w:tc>
        <w:tc>
          <w:tcPr>
            <w:tcW w:type="dxa" w:w="2767"/>
          </w:tcPr>
          <w:p>
            <w:r/>
            <w:r>
              <w:rPr>
                <w:rFonts w:ascii="Calibri" w:hAnsi="Calibri" w:eastAsia="微软雅黑"/>
                <w:b w:val="0"/>
                <w:i w:val="0"/>
                <w:sz w:val="18"/>
              </w:rPr>
              <w:t>按GB/T 50358在初步设计阶段编制高精度概算，按设计深度选型概算三法与设备安装四法，配足铺底流动资金</w:t>
            </w:r>
          </w:p>
        </w:tc>
        <w:tc>
          <w:tcPr>
            <w:tcW w:type="dxa" w:w="2767"/>
          </w:tcPr>
          <w:p>
            <w:r/>
            <w:r>
              <w:rPr>
                <w:rFonts w:ascii="Calibri" w:hAnsi="Calibri" w:eastAsia="微软雅黑"/>
                <w:b w:val="0"/>
                <w:i w:val="0"/>
                <w:sz w:val="18"/>
              </w:rPr>
              <w:t>《建设项目工程总承包管理规范》（GB/T 50358-2017）[来源: P001116, P001151]</w:t>
            </w:r>
          </w:p>
        </w:tc>
      </w:tr>
      <w:tr>
        <w:tc>
          <w:tcPr>
            <w:tcW w:type="dxa" w:w="2767"/>
          </w:tcPr>
          <w:p>
            <w:r/>
            <w:r>
              <w:rPr>
                <w:rFonts w:ascii="Calibri" w:hAnsi="Calibri" w:eastAsia="微软雅黑"/>
                <w:b w:val="0"/>
                <w:i w:val="0"/>
                <w:sz w:val="18"/>
              </w:rPr>
              <w:t>第四步：组织架构与绩效激励重塑</w:t>
            </w:r>
          </w:p>
        </w:tc>
        <w:tc>
          <w:tcPr>
            <w:tcW w:type="dxa" w:w="2767"/>
          </w:tcPr>
          <w:p>
            <w:r/>
            <w:r>
              <w:rPr>
                <w:rFonts w:ascii="Calibri" w:hAnsi="Calibri" w:eastAsia="微软雅黑"/>
                <w:b w:val="0"/>
                <w:i w:val="0"/>
                <w:sz w:val="18"/>
              </w:rPr>
              <w:t>设立集团级EPC管理中心与三级PMO体系，落实项目经理负责制，将造价节约与团队绩效挂钩</w:t>
            </w:r>
          </w:p>
        </w:tc>
        <w:tc>
          <w:tcPr>
            <w:tcW w:type="dxa" w:w="2767"/>
          </w:tcPr>
          <w:p>
            <w:r/>
            <w:r>
              <w:rPr>
                <w:rFonts w:ascii="Calibri" w:hAnsi="Calibri" w:eastAsia="微软雅黑"/>
                <w:b w:val="0"/>
                <w:i w:val="0"/>
                <w:sz w:val="18"/>
              </w:rPr>
              <w:t>中国联合矩阵式组织与项目经理负责制实证 [来源: P001111]</w:t>
            </w:r>
          </w:p>
        </w:tc>
      </w:tr>
    </w:tbl>
    <w:p>
      <w:r>
        <w:rPr>
          <w:rFonts w:ascii="Calibri" w:hAnsi="Calibri" w:eastAsia="微软雅黑"/>
          <w:b w:val="0"/>
          <w:i w:val="0"/>
          <w:sz w:val="22"/>
        </w:rPr>
        <w:t>第一步的落地细节：在招标文件与投标文件中书面载明企业基于工程设计资质或施工总承包资质独立承揽EPC业务的法律依据，避免因地方性双资质要求而陷入挂靠或松散联合体的合规灰色地带；企业内部通过行政或股权重组设立统一的EPC总承包事业部，打破设计与施工事业部之间的内部结算壁垒（落地要点为本研究归纳，依据据源文）[来源: P001151, P001101]。</w:t>
      </w:r>
    </w:p>
    <w:p>
      <w:r>
        <w:rPr>
          <w:rFonts w:ascii="Calibri" w:hAnsi="Calibri" w:eastAsia="微软雅黑"/>
          <w:b w:val="0"/>
          <w:i w:val="0"/>
          <w:sz w:val="22"/>
        </w:rPr>
        <w:t>第三步是本场景的算力核心，概算编制三法的适用条件与修正公式如下（公式与适用条件据源文）[来源: P001151, P001116]：</w:t>
      </w:r>
    </w:p>
    <w:p>
      <w:pPr>
        <w:pStyle w:val="ListNumber"/>
      </w:pPr>
      <w:r>
        <w:rPr>
          <w:rFonts w:ascii="Calibri" w:hAnsi="Calibri" w:eastAsia="微软雅黑"/>
          <w:b/>
          <w:i w:val="0"/>
          <w:sz w:val="22"/>
        </w:rPr>
        <w:t>概算定额法（扩大单价法）</w:t>
      </w:r>
      <w:r>
        <w:rPr>
          <w:rFonts w:ascii="Calibri" w:hAnsi="Calibri" w:eastAsia="微软雅黑"/>
          <w:b w:val="0"/>
          <w:i w:val="0"/>
          <w:sz w:val="22"/>
        </w:rPr>
        <w:t>：适用于初步设计达到一定深度、建筑结构尺寸明确、能按初步设计图纸计算分部分项工程量的情形。步骤为：搜集基础资料并熟悉图纸与施工条件；按概算定额子目列出分部分项工程名称并计算工程量；逐项套用含人工费、材料费、施工机具使用费、管理费、利润、规费和税金的综合单价；计算措施项目费（可计量的按工程量套单价，综合计取的以分部分项工程费与可计量措施项目费之和为基数乘费率）；汇总得单位工程概算造价 [来源: P001151]。</w:t>
      </w:r>
    </w:p>
    <w:p>
      <w:pPr>
        <w:pStyle w:val="ListNumber"/>
      </w:pPr>
      <w:r>
        <w:rPr>
          <w:rFonts w:ascii="Calibri" w:hAnsi="Calibri" w:eastAsia="微软雅黑"/>
          <w:b/>
          <w:i w:val="0"/>
          <w:sz w:val="22"/>
        </w:rPr>
        <w:t>概算指标法</w:t>
      </w:r>
      <w:r>
        <w:rPr>
          <w:rFonts w:ascii="Calibri" w:hAnsi="Calibri" w:eastAsia="微软雅黑"/>
          <w:b w:val="0"/>
          <w:i w:val="0"/>
          <w:sz w:val="22"/>
        </w:rPr>
        <w:t>：适用于方案设计无详图、初步设计深度不够但技术成熟、急需造价概算或采用通用设计图的情形。当拟建工程结构特征与概算指标局部不同时，须修正指标综合单价：</w:t>
      </w:r>
      <w:r>
        <w:rPr>
          <w:rFonts w:ascii="Calibri" w:hAnsi="Calibri" w:eastAsia="微软雅黑"/>
          <w:b/>
          <w:i w:val="0"/>
          <w:sz w:val="22"/>
        </w:rPr>
        <w:t>J修正 = J + Q1×P1 − Q2×P2</w:t>
      </w:r>
      <w:r>
        <w:rPr>
          <w:rFonts w:ascii="Calibri" w:hAnsi="Calibri" w:eastAsia="微软雅黑"/>
          <w:b w:val="0"/>
          <w:i w:val="0"/>
          <w:sz w:val="22"/>
        </w:rPr>
        <w:t>（J为原概算指标综合单价，Q1、P1为换入结构的工程量与综合单价，Q2、P2为换出结构的工程量与综合单价）；人工材料机械消耗量差异则按"原指标消耗量 + 换入结构件消耗量 − 换出结构件消耗量"修正 [来源: P001151]。</w:t>
      </w:r>
    </w:p>
    <w:p>
      <w:pPr>
        <w:pStyle w:val="ListNumber"/>
      </w:pPr>
      <w:r>
        <w:rPr>
          <w:rFonts w:ascii="Calibri" w:hAnsi="Calibri" w:eastAsia="微软雅黑"/>
          <w:b/>
          <w:i w:val="0"/>
          <w:sz w:val="22"/>
        </w:rPr>
        <w:t>类似工程预算法</w:t>
      </w:r>
      <w:r>
        <w:rPr>
          <w:rFonts w:ascii="Calibri" w:hAnsi="Calibri" w:eastAsia="微软雅黑"/>
          <w:b w:val="0"/>
          <w:i w:val="0"/>
          <w:sz w:val="22"/>
        </w:rPr>
        <w:t xml:space="preserve">：适用于拟建工程初步设计与已完或在建工程类似且无适用概算指标的情形。价差调整公式为 </w:t>
      </w:r>
      <w:r>
        <w:rPr>
          <w:rFonts w:ascii="Calibri" w:hAnsi="Calibri" w:eastAsia="微软雅黑"/>
          <w:b/>
          <w:i w:val="0"/>
          <w:sz w:val="22"/>
        </w:rPr>
        <w:t>D = A×K</w:t>
      </w:r>
      <w:r>
        <w:rPr>
          <w:rFonts w:ascii="Calibri" w:hAnsi="Calibri" w:eastAsia="微软雅黑"/>
          <w:b w:val="0"/>
          <w:i w:val="0"/>
          <w:sz w:val="22"/>
        </w:rPr>
        <w:t>，综合调整系数 K = a%×K1 + b%×K2 + c%×K3 + d%×K4，其中a%、b%、c%、d%为类似工程人工费、材料费、施工机具使用费、企业管理费占预算成本的比重，K1至K4为拟建工程地区与类似工程在上述四类单价上的差异系数 [来源: P001151]。</w:t>
      </w:r>
    </w:p>
    <w:p>
      <w:r>
        <w:rPr>
          <w:rFonts w:ascii="Calibri" w:hAnsi="Calibri" w:eastAsia="微软雅黑"/>
          <w:b w:val="0"/>
          <w:i w:val="0"/>
          <w:sz w:val="22"/>
        </w:rPr>
        <w:t>设备安装工程费概算四法按初步设计深度匹配：初步设计较深、有详细设备清单时用预算单价法（精度最高，直接套用安装工程预算定额单价）；深度不够、仅有主体设备或成套设备时用扩大单价法（套用综合扩大安装单价）；仅有设备出厂价、无详细规格与重量时用设备价值百分比法（设备安装费 = 设备原价 × 安装费率）；设备清单有规格和重量（常用于非标准设备和引进设备）时用综合吨位指标法（设备安装费 = 设备吨重 × 每吨设备安装费指标）[来源: P001151]。此外，生产性或经营性项目的铺底流动资金按全部流动资金的30%计列，非生产经营性建设项目不计列——这一条常被转型企业忽略，投产初期的现金流安全垫即系于此 [来源: P001151]。</w:t>
      </w:r>
    </w:p>
    <w:p>
      <w:r>
        <w:rPr>
          <w:rFonts w:ascii="Calibri" w:hAnsi="Calibri" w:eastAsia="微软雅黑"/>
          <w:b w:val="0"/>
          <w:i w:val="0"/>
          <w:sz w:val="22"/>
        </w:rPr>
        <w:t>标底与最高投标限价的编制同样以概算体系为基：可行性研究或方案设计后发包的，以投资估算为基础，无项目清单时套用不同专业工程的投资估算指标采用指标估算法编制；初步设计后发包的，以设计概算为基础采用项目清单计价，其中安全文明施工费必须按行政主管部门计价依据编制（规则据源文）[来源: P001151, P001116]。</w:t>
      </w:r>
    </w:p>
    <w:p>
      <w:pPr>
        <w:pStyle w:val="Heading3"/>
      </w:pPr>
      <w:r>
        <w:t>12.1.5 场景一避坑指南：三大反模式与方案的适用失效边界</w:t>
      </w:r>
    </w:p>
    <w:p>
      <w:r>
        <w:rPr>
          <w:rFonts w:ascii="Calibri" w:hAnsi="Calibri" w:eastAsia="微软雅黑"/>
          <w:b w:val="0"/>
          <w:i w:val="0"/>
          <w:sz w:val="22"/>
        </w:rPr>
        <w:t>转型路上最常见的不是"不知道怎么做"，而是"做了一半走样"。既有研究成果归纳的三大反模式（反模式据源文，归纳为警示框架）值得每一家转型企业对镜自查：</w:t>
      </w:r>
    </w:p>
    <w:p>
      <w:pPr>
        <w:pStyle w:val="Heading4"/>
      </w:pPr>
      <w:r>
        <w:t>表12-3 场景一三大反模式警示（据源文整理）[来源: P001151]</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反模式</w:t>
            </w:r>
          </w:p>
        </w:tc>
        <w:tc>
          <w:tcPr>
            <w:tcW w:type="dxa" w:w="2767"/>
            <w:shd w:fill="1F3A5F"/>
          </w:tcPr>
          <w:p>
            <w:r>
              <w:rPr>
                <w:color w:val="FFFFFF"/>
              </w:rPr>
            </w:r>
            <w:r>
              <w:rPr>
                <w:rFonts w:ascii="Calibri" w:hAnsi="Calibri" w:eastAsia="微软雅黑"/>
                <w:b/>
                <w:i w:val="0"/>
                <w:color w:val="FFFFFF"/>
                <w:sz w:val="18"/>
              </w:rPr>
              <w:t>致命原因</w:t>
            </w:r>
          </w:p>
        </w:tc>
        <w:tc>
          <w:tcPr>
            <w:tcW w:type="dxa" w:w="2767"/>
            <w:shd w:fill="1F3A5F"/>
          </w:tcPr>
          <w:p>
            <w:r>
              <w:rPr>
                <w:color w:val="FFFFFF"/>
              </w:rPr>
            </w:r>
            <w:r>
              <w:rPr>
                <w:rFonts w:ascii="Calibri" w:hAnsi="Calibri" w:eastAsia="微软雅黑"/>
                <w:b/>
                <w:i w:val="0"/>
                <w:color w:val="FFFFFF"/>
                <w:sz w:val="18"/>
              </w:rPr>
              <w:t>最糟结果</w:t>
            </w:r>
          </w:p>
        </w:tc>
      </w:tr>
      <w:tr>
        <w:tc>
          <w:tcPr>
            <w:tcW w:type="dxa" w:w="2767"/>
          </w:tcPr>
          <w:p>
            <w:r/>
            <w:r>
              <w:rPr>
                <w:rFonts w:ascii="Calibri" w:hAnsi="Calibri" w:eastAsia="微软雅黑"/>
                <w:b w:val="0"/>
                <w:i w:val="0"/>
                <w:sz w:val="18"/>
              </w:rPr>
              <w:t>物理合并而未打通设计施工概算体系</w:t>
            </w:r>
          </w:p>
        </w:tc>
        <w:tc>
          <w:tcPr>
            <w:tcW w:type="dxa" w:w="2767"/>
          </w:tcPr>
          <w:p>
            <w:r/>
            <w:r>
              <w:rPr>
                <w:rFonts w:ascii="Calibri" w:hAnsi="Calibri" w:eastAsia="微软雅黑"/>
                <w:b w:val="0"/>
                <w:i w:val="0"/>
                <w:sz w:val="18"/>
              </w:rPr>
              <w:t>重组后仍保留独立核算的利润中心，设计与施工事业部存在内部利益博弈，缺少统一的造价数据库与限额设计管控机制 [来源: P001151]</w:t>
            </w:r>
          </w:p>
        </w:tc>
        <w:tc>
          <w:tcPr>
            <w:tcW w:type="dxa" w:w="2767"/>
          </w:tcPr>
          <w:p>
            <w:r/>
            <w:r>
              <w:rPr>
                <w:rFonts w:ascii="Calibri" w:hAnsi="Calibri" w:eastAsia="微软雅黑"/>
                <w:b w:val="0"/>
                <w:i w:val="0"/>
                <w:sz w:val="18"/>
              </w:rPr>
              <w:t>无法形成真正的限额设计与采购协同，概算频频超标，总承包包干模式下企业独自承担巨额超支亏损 [来源: P001151]</w:t>
            </w:r>
          </w:p>
        </w:tc>
      </w:tr>
      <w:tr>
        <w:tc>
          <w:tcPr>
            <w:tcW w:type="dxa" w:w="2767"/>
          </w:tcPr>
          <w:p>
            <w:r/>
            <w:r>
              <w:rPr>
                <w:rFonts w:ascii="Calibri" w:hAnsi="Calibri" w:eastAsia="微软雅黑"/>
                <w:b w:val="0"/>
                <w:i w:val="0"/>
                <w:sz w:val="18"/>
              </w:rPr>
              <w:t>盲目分拆EPC合同引发违约抗辩</w:t>
            </w:r>
          </w:p>
        </w:tc>
        <w:tc>
          <w:tcPr>
            <w:tcW w:type="dxa" w:w="2767"/>
          </w:tcPr>
          <w:p>
            <w:r/>
            <w:r>
              <w:rPr>
                <w:rFonts w:ascii="Calibri" w:hAnsi="Calibri" w:eastAsia="微软雅黑"/>
                <w:b w:val="0"/>
                <w:i w:val="0"/>
                <w:sz w:val="18"/>
              </w:rPr>
              <w:t>为满足融资专款专用或税务筹划需求，将统一的EPC合同拆分为独立的设计、采购、施工合同，却未约定统一的履约条件书面变更机制 [来源: P001151]</w:t>
            </w:r>
          </w:p>
        </w:tc>
        <w:tc>
          <w:tcPr>
            <w:tcW w:type="dxa" w:w="2767"/>
          </w:tcPr>
          <w:p>
            <w:r/>
            <w:r>
              <w:rPr>
                <w:rFonts w:ascii="Calibri" w:hAnsi="Calibri" w:eastAsia="微软雅黑"/>
                <w:b w:val="0"/>
                <w:i w:val="0"/>
                <w:sz w:val="18"/>
              </w:rPr>
              <w:t>业主支付某一节点款项后，总包商主张付款条件已变更却无书面协议，被法院认定业主行使先履行抗辩权合法，总包商因缺少技术文件陷入败诉 [来源: P001151]</w:t>
            </w:r>
          </w:p>
        </w:tc>
      </w:tr>
      <w:tr>
        <w:tc>
          <w:tcPr>
            <w:tcW w:type="dxa" w:w="2767"/>
          </w:tcPr>
          <w:p>
            <w:r/>
            <w:r>
              <w:rPr>
                <w:rFonts w:ascii="Calibri" w:hAnsi="Calibri" w:eastAsia="微软雅黑"/>
                <w:b w:val="0"/>
                <w:i w:val="0"/>
                <w:sz w:val="18"/>
              </w:rPr>
              <w:t>分包争议中以债权强占现场</w:t>
            </w:r>
          </w:p>
        </w:tc>
        <w:tc>
          <w:tcPr>
            <w:tcW w:type="dxa" w:w="2767"/>
          </w:tcPr>
          <w:p>
            <w:r/>
            <w:r>
              <w:rPr>
                <w:rFonts w:ascii="Calibri" w:hAnsi="Calibri" w:eastAsia="微软雅黑"/>
                <w:b w:val="0"/>
                <w:i w:val="0"/>
                <w:sz w:val="18"/>
              </w:rPr>
              <w:t>分包合同解除后未妥善处理退场结算，分包商以欠付工程款为由拒绝撤离施工现场，企图倒逼结算 [来源: P001151]</w:t>
            </w:r>
          </w:p>
        </w:tc>
        <w:tc>
          <w:tcPr>
            <w:tcW w:type="dxa" w:w="2767"/>
          </w:tcPr>
          <w:p>
            <w:r/>
            <w:r>
              <w:rPr>
                <w:rFonts w:ascii="Calibri" w:hAnsi="Calibri" w:eastAsia="微软雅黑"/>
                <w:b w:val="0"/>
                <w:i w:val="0"/>
                <w:sz w:val="18"/>
              </w:rPr>
              <w:t>构成对业主现场物权的侵犯，招致业主侵权诉讼与先予执行，总包商面临对业主与分包商的双重违约赔偿 [来源: P001151]</w:t>
            </w:r>
          </w:p>
        </w:tc>
      </w:tr>
    </w:tbl>
    <w:p>
      <w:r>
        <w:rPr>
          <w:rFonts w:ascii="Calibri" w:hAnsi="Calibri" w:eastAsia="微软雅黑"/>
          <w:b w:val="0"/>
          <w:i w:val="0"/>
          <w:sz w:val="22"/>
        </w:rPr>
        <w:t>同时须声明本章场景一方案的适用条件与失效边界（边界据源文）：适用条件上，企业应具备工程设计资质（如石油化工、电力行业乙级及以上）或施工总承包资质，并具有在法人级架构下深度整合两项能力的治理意愿；项目应为大型石油化工、工业、新能源及基础设施EPC项目，且初步设计达到能开展概算编制与项目清单计价的深度。失效边界有二：其一，若项目在方案设计阶段即固定总价发包、缺乏成熟可比的概算指标或同类造价数据，概算修正公式将无数据源支撑，"概算控造价"方案失效；其二，若发包方强制约定无条件以行政审计结论为准且拒绝写入"按合同约定计价方法审计"的限制条款，司法抗辩空间被完全封堵，结算锁定机制失效 [来源: P001151]。</w:t>
      </w:r>
    </w:p>
    <w:p>
      <w:r>
        <w:rPr>
          <w:rFonts w:ascii="Calibri" w:hAnsi="Calibri" w:eastAsia="微软雅黑"/>
          <w:b w:val="0"/>
          <w:i w:val="0"/>
          <w:sz w:val="22"/>
        </w:rPr>
        <w:t>---</w:t>
      </w:r>
    </w:p>
    <w:p>
      <w:pPr>
        <w:pStyle w:val="Heading2"/>
      </w:pPr>
      <w:r>
        <w:t>12.2 场景二行动清单："一带一路"高质量走出去与国际化工程总承包</w:t>
      </w:r>
    </w:p>
    <w:p>
      <w:pPr>
        <w:pStyle w:val="Heading3"/>
      </w:pPr>
      <w:r>
        <w:t>12.2.1 海外痛点与三大司法防护网</w:t>
      </w:r>
    </w:p>
    <w:p>
      <w:r>
        <w:rPr>
          <w:rFonts w:ascii="Calibri" w:hAnsi="Calibri" w:eastAsia="微软雅黑"/>
          <w:b w:val="0"/>
          <w:i w:val="0"/>
          <w:sz w:val="22"/>
        </w:rPr>
        <w:t>在"一带一路"沿线拓展海外EPC业务的中资企业，面临政治动荡、法律制度差异、国际标准不熟悉、跨文化摩擦、全球供应链中断与汇率剧烈波动等复合风险（风险清单为本研究据源文整理）[来源: P001151, P001127]。海外履约的致命组合是"介入权+独立保函"：业主依据三方协议行使介入权（Step-in Right）接管项目后，总包商若仍以分包商未向自己履约为由提取独立保函，极易陷入欺诈索赔与反索赔的双线作战 [来源: P001151]。三大司法防护网的裁判规则与合同动作如下：</w:t>
      </w:r>
    </w:p>
    <w:p>
      <w:pPr>
        <w:pStyle w:val="Heading4"/>
      </w:pPr>
      <w:r>
        <w:t>表12-1 海外EPC三大司法防护网（判例与司法解释规则据源文；均为个案裁判，引用不构成对同类案件结果的保证）[来源: P001151]</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防护网</w:t>
            </w:r>
          </w:p>
        </w:tc>
        <w:tc>
          <w:tcPr>
            <w:tcW w:type="dxa" w:w="2767"/>
            <w:shd w:fill="1F3A5F"/>
          </w:tcPr>
          <w:p>
            <w:r>
              <w:rPr>
                <w:color w:val="FFFFFF"/>
              </w:rPr>
            </w:r>
            <w:r>
              <w:rPr>
                <w:rFonts w:ascii="Calibri" w:hAnsi="Calibri" w:eastAsia="微软雅黑"/>
                <w:b/>
                <w:i w:val="0"/>
                <w:color w:val="FFFFFF"/>
                <w:sz w:val="18"/>
              </w:rPr>
              <w:t>裁判规则（据源文）</w:t>
            </w:r>
          </w:p>
        </w:tc>
        <w:tc>
          <w:tcPr>
            <w:tcW w:type="dxa" w:w="2767"/>
            <w:shd w:fill="1F3A5F"/>
          </w:tcPr>
          <w:p>
            <w:r>
              <w:rPr>
                <w:color w:val="FFFFFF"/>
              </w:rPr>
            </w:r>
            <w:r>
              <w:rPr>
                <w:rFonts w:ascii="Calibri" w:hAnsi="Calibri" w:eastAsia="微软雅黑"/>
                <w:b/>
                <w:i w:val="0"/>
                <w:color w:val="FFFFFF"/>
                <w:sz w:val="18"/>
              </w:rPr>
              <w:t>合同落地动作</w:t>
            </w:r>
          </w:p>
        </w:tc>
      </w:tr>
      <w:tr>
        <w:tc>
          <w:tcPr>
            <w:tcW w:type="dxa" w:w="2767"/>
          </w:tcPr>
          <w:p>
            <w:r/>
            <w:r>
              <w:rPr>
                <w:rFonts w:ascii="Calibri" w:hAnsi="Calibri" w:eastAsia="微软雅黑"/>
                <w:b w:val="0"/>
                <w:i w:val="0"/>
                <w:sz w:val="18"/>
              </w:rPr>
              <w:t>主分包同步解除与物权退场</w:t>
            </w:r>
          </w:p>
        </w:tc>
        <w:tc>
          <w:tcPr>
            <w:tcW w:type="dxa" w:w="2767"/>
          </w:tcPr>
          <w:p>
            <w:r/>
            <w:r>
              <w:rPr>
                <w:rFonts w:ascii="Calibri" w:hAnsi="Calibri" w:eastAsia="微软雅黑"/>
                <w:b w:val="0"/>
                <w:i w:val="0"/>
                <w:sz w:val="18"/>
              </w:rPr>
              <w:t>［(2016)最高法民再53号］：总包合同与分包合同系两个独立合同但不具主从关系，总包合同是签订、履行分包合同的前提和基础；总包合同解除后分包合同陷入履行不能，必然同步解除；分包人对总包商的债权不能对抗业主对施工现场的物权，无权强占现场</w:t>
            </w:r>
          </w:p>
        </w:tc>
        <w:tc>
          <w:tcPr>
            <w:tcW w:type="dxa" w:w="2767"/>
          </w:tcPr>
          <w:p>
            <w:r/>
            <w:r>
              <w:rPr>
                <w:rFonts w:ascii="Calibri" w:hAnsi="Calibri" w:eastAsia="微软雅黑"/>
                <w:b w:val="0"/>
                <w:i w:val="0"/>
                <w:sz w:val="18"/>
              </w:rPr>
              <w:t>在分包合同中写明"总包合同终止或解除时，分包合同无条件终止、分包商限期无条件退场"条款，并预设退场保障与强占现场索赔机制（条款设计为本研究归纳，示意性复盘）[来源: P001151]</w:t>
            </w:r>
          </w:p>
        </w:tc>
      </w:tr>
      <w:tr>
        <w:tc>
          <w:tcPr>
            <w:tcW w:type="dxa" w:w="2767"/>
          </w:tcPr>
          <w:p>
            <w:r/>
            <w:r>
              <w:rPr>
                <w:rFonts w:ascii="Calibri" w:hAnsi="Calibri" w:eastAsia="微软雅黑"/>
                <w:b w:val="0"/>
                <w:i w:val="0"/>
                <w:sz w:val="18"/>
              </w:rPr>
              <w:t>独立保函欺诈止付</w:t>
            </w:r>
          </w:p>
        </w:tc>
        <w:tc>
          <w:tcPr>
            <w:tcW w:type="dxa" w:w="2767"/>
          </w:tcPr>
          <w:p>
            <w:r/>
            <w:r>
              <w:rPr>
                <w:rFonts w:ascii="Calibri" w:hAnsi="Calibri" w:eastAsia="微软雅黑"/>
                <w:b w:val="0"/>
                <w:i w:val="0"/>
                <w:sz w:val="18"/>
              </w:rPr>
              <w:t>［(2017)川民终72号］及《独立保函司法解释》（法释〔2016〕24号）：国内交易约定独立保函的，不得以缺乏涉外因素主张无效；法院认定保函欺诈时可对基础交易有限度审查；总包商明知三方协议约定业主介入权且分包商已直接向业主履约，仍以分包商未向其履约为由索赔保函，属"明知无索赔事实而滥用权利"，法院排除合理怀疑认定构成保函欺诈，判决终止支付</w:t>
            </w:r>
          </w:p>
        </w:tc>
        <w:tc>
          <w:tcPr>
            <w:tcW w:type="dxa" w:w="2767"/>
          </w:tcPr>
          <w:p>
            <w:r/>
            <w:r>
              <w:rPr>
                <w:rFonts w:ascii="Calibri" w:hAnsi="Calibri" w:eastAsia="微软雅黑"/>
                <w:b w:val="0"/>
                <w:i w:val="0"/>
                <w:sz w:val="18"/>
              </w:rPr>
              <w:t>签署《分包商承诺协议》与介入权条款时，同步建立履约凭证与往来函件台账；遭遇恶意索赔立即向有管辖权法院申请止付裁定 [来源: P001151]</w:t>
            </w:r>
          </w:p>
        </w:tc>
      </w:tr>
      <w:tr>
        <w:tc>
          <w:tcPr>
            <w:tcW w:type="dxa" w:w="2767"/>
          </w:tcPr>
          <w:p>
            <w:r/>
            <w:r>
              <w:rPr>
                <w:rFonts w:ascii="Calibri" w:hAnsi="Calibri" w:eastAsia="微软雅黑"/>
                <w:b w:val="0"/>
                <w:i w:val="0"/>
                <w:sz w:val="18"/>
              </w:rPr>
              <w:t>锁定计价标准破除行政审计拖延</w:t>
            </w:r>
          </w:p>
        </w:tc>
        <w:tc>
          <w:tcPr>
            <w:tcW w:type="dxa" w:w="2767"/>
          </w:tcPr>
          <w:p>
            <w:r/>
            <w:r>
              <w:rPr>
                <w:rFonts w:ascii="Calibri" w:hAnsi="Calibri" w:eastAsia="微软雅黑"/>
                <w:b w:val="0"/>
                <w:i w:val="0"/>
                <w:sz w:val="18"/>
              </w:rPr>
              <w:t>《法工委函〔2017〕2号》：地方性法规中"直接规定以审计结果作为竣工结算依据"或"要求在招标文件、合同中约定以审计结果为结算依据"的条款，限制民事权利、超越地方立法权限，应予清理；［(2012)民提字第205号］"重庆勇创案"：即使合同约定以审计结果为准，审计机关也必须严格按照合同约定的计价标准和方法进行审计，偏离合同约定的审计报告不能作为结算依据</w:t>
            </w:r>
          </w:p>
        </w:tc>
        <w:tc>
          <w:tcPr>
            <w:tcW w:type="dxa" w:w="2767"/>
          </w:tcPr>
          <w:p>
            <w:r/>
            <w:r>
              <w:rPr>
                <w:rFonts w:ascii="Calibri" w:hAnsi="Calibri" w:eastAsia="微软雅黑"/>
                <w:b w:val="0"/>
                <w:i w:val="0"/>
                <w:sz w:val="18"/>
              </w:rPr>
              <w:t>政府投资与国有资金项目合同中删除强制审计条款；必须约定审计的，加注"审计机关须严格按本合同约定的计价标准和方法审计" [来源: P001151]</w:t>
            </w:r>
          </w:p>
        </w:tc>
      </w:tr>
    </w:tbl>
    <w:p>
      <w:r>
        <w:rPr>
          <w:rFonts w:ascii="Calibri" w:hAnsi="Calibri" w:eastAsia="微软雅黑"/>
          <w:b w:val="0"/>
          <w:i w:val="0"/>
          <w:sz w:val="22"/>
        </w:rPr>
        <w:t>其中川民终72号案的细节值得出海企业反复推演（案情据源文）：中机公司作为总承包商承建危地马拉2×15MW电站项目，华西能源为锅炉分包商（合同金额1.8亿元）；业主、总包商与分包商三方签署《分包商承诺协议》，约定总包商违约导致合同终止时业主有权行使介入权替代总包商接管分包合同；华西能源开具以中机公司为受益人、金额2,565万元的独立保函。后业主行使介入权，华西能源直接向业主履行合同，中机公司却以华西能源未向其履约构成违约为由向开函行申请提取保函——法院认定其属于明知无索赔事实而滥用权利，构成独立保函欺诈 [来源: P001151]。该案对总包商的教训（本研究解读）：介入权条款与保函条款必须联动设计，三方协议一旦签署，"分包商向业主履约"即属按约行事，总包商再按原合同逻辑索赔保函就是把自己送进欺诈认定。</w:t>
      </w:r>
    </w:p>
    <w:p>
      <w:r>
        <w:rPr>
          <w:rFonts w:ascii="Calibri" w:hAnsi="Calibri" w:eastAsia="微软雅黑"/>
          <w:b w:val="0"/>
          <w:i w:val="0"/>
          <w:sz w:val="22"/>
        </w:rPr>
        <w:t>"重庆勇创案"同样有可操作的细节（案情据源文）：该案审计机关套用2008年《重庆市建设工程费用定额》进行审计，背离了双方合同约定的计价标准；最高法院认定，在乙方对审计结果不予认可的情形下，不能将该偏离合同的审计报告作为确定投资结算金额的依据，当事人有权申请按合同约定重新鉴定结算 [来源: P001151]。换言之，"约定审计"并不等于"审计说了算"——审计机关的尺子必须还是合同本身那把尺子。</w:t>
      </w:r>
    </w:p>
    <w:p>
      <w:pPr>
        <w:pStyle w:val="Heading3"/>
      </w:pPr>
      <w:r>
        <w:t>12.2.2 国际化工程总承包标杆案例</w:t>
      </w:r>
    </w:p>
    <w:p>
      <w:pPr>
        <w:pStyle w:val="Heading4"/>
      </w:pPr>
      <w:r>
        <w:t>案例一：中国寰球（HQC）——大区中心制、FDPC与模块化出海 [来源: P001127]</w:t>
      </w:r>
    </w:p>
    <w:p>
      <w:pPr>
        <w:pStyle w:val="ListBullet"/>
      </w:pPr>
      <w:r>
        <w:rPr>
          <w:rFonts w:ascii="Calibri" w:hAnsi="Calibri" w:eastAsia="微软雅黑"/>
          <w:b/>
          <w:i w:val="0"/>
          <w:sz w:val="22"/>
        </w:rPr>
        <w:t>数据（Data）</w:t>
      </w:r>
      <w:r>
        <w:rPr>
          <w:rFonts w:ascii="Calibri" w:hAnsi="Calibri" w:eastAsia="微软雅黑"/>
          <w:b w:val="0"/>
          <w:i w:val="0"/>
          <w:sz w:val="22"/>
        </w:rPr>
        <w:t>：业务遍及全球55个国家和地区；海外构建中东、亚太、美洲三大运营中心，横向划分五大区域，纵向设置三大业务环节，穿插"LNG及低温、化工、炼油"三大产品线的矩阵式管理体系；截至2021年11月末，海外市场新签合同较去年同期提升277%，中东地区7个项目同时执行，创一年同时执行项目最多的纪录；承建广东石化炼化一体化项目（中国石油迄今一次性投资规模最大的炼化项目，总投资约654亿元，建设规模为2000万吨/年炼油、260万吨/年芳烃、120万吨/年乙烯，寰球作为核心EPC承包商之一承担120万吨/年乙烯装置等多套关键装置的总承包）、巴斯夫广东100亿欧元一体化基地新建100万吨/年乙烯装置及部分下游装置EPC（进入国际顶级化工巨头主导的高端石化工程市场）、江苏LNG接收站项目，以及阿联酋气田试生产EPC项目（完成采购订单96个、管道安装完成70%、实现86万安全人工时）[来源: P001127]。</w:t>
      </w:r>
    </w:p>
    <w:p>
      <w:pPr>
        <w:pStyle w:val="ListBullet"/>
      </w:pPr>
      <w:r>
        <w:rPr>
          <w:rFonts w:ascii="Calibri" w:hAnsi="Calibri" w:eastAsia="微软雅黑"/>
          <w:b/>
          <w:i w:val="0"/>
          <w:sz w:val="22"/>
        </w:rPr>
        <w:t>动作（Action）</w:t>
      </w:r>
      <w:r>
        <w:rPr>
          <w:rFonts w:ascii="Calibri" w:hAnsi="Calibri" w:eastAsia="微软雅黑"/>
          <w:b w:val="0"/>
          <w:i w:val="0"/>
          <w:sz w:val="22"/>
        </w:rPr>
        <w:t>：组织上推行海外办事处分级分类管理，实行大区中心制与合署管理制，压缩管理层级、集中资源；商业模式上，在委内瑞拉模块化项目中创新"融资-设计-采购-施工"（FDPC）模式，为业主定制出口卖方信贷融资方案；交付上推行模块化施工，相比传统施工可缩短现场工期20%至50%、减少安全事故30%至40%；风险上提前购买政治风险保险，建立地缘政治风险监测预警机制，局势恶化时及时启动应急预案并与使领馆沟通 [来源: P001127]。</w:t>
      </w:r>
    </w:p>
    <w:p>
      <w:pPr>
        <w:pStyle w:val="ListBullet"/>
      </w:pPr>
      <w:r>
        <w:rPr>
          <w:rFonts w:ascii="Calibri" w:hAnsi="Calibri" w:eastAsia="微软雅黑"/>
          <w:b/>
          <w:i w:val="0"/>
          <w:sz w:val="22"/>
        </w:rPr>
        <w:t>结果（Result）</w:t>
      </w:r>
      <w:r>
        <w:rPr>
          <w:rFonts w:ascii="Calibri" w:hAnsi="Calibri" w:eastAsia="微软雅黑"/>
          <w:b w:val="0"/>
          <w:i w:val="0"/>
          <w:sz w:val="22"/>
        </w:rPr>
        <w:t>：树立了中资企业在国际炼化与LNG低温工程领域的品牌，海外高端市场新签合同与盈利规模大幅增长 [来源: P001127]。</w:t>
      </w:r>
    </w:p>
    <w:p>
      <w:pPr>
        <w:pStyle w:val="Heading4"/>
      </w:pPr>
      <w:r>
        <w:t>案例二：中国化学（601117）——境外新签破千亿与全球化布局 [来源: P001133]</w:t>
      </w:r>
    </w:p>
    <w:p>
      <w:pPr>
        <w:pStyle w:val="ListBullet"/>
      </w:pPr>
      <w:r>
        <w:rPr>
          <w:rFonts w:ascii="Calibri" w:hAnsi="Calibri" w:eastAsia="微软雅黑"/>
          <w:b/>
          <w:i w:val="0"/>
          <w:sz w:val="22"/>
        </w:rPr>
        <w:t>数据（Data）</w:t>
      </w:r>
      <w:r>
        <w:rPr>
          <w:rFonts w:ascii="Calibri" w:hAnsi="Calibri" w:eastAsia="微软雅黑"/>
          <w:b w:val="0"/>
          <w:i w:val="0"/>
          <w:sz w:val="22"/>
        </w:rPr>
        <w:t>：2025年实现营业总收入1,901.25亿元（同比增长1.88%，其中营业收入1,895.01亿元、同比增长1.97%，两口径不可混用）；实现利润总额84.35亿元（同比增长14.62%）、净利润70.77亿元（同比增长13.38%）；新签合同额4,036.61亿元（同比增长10.01%），其中境内新签2,791.45亿元（占69.15%）、境外新签1,245.16亿元（较上年增长112.03亿元、增幅9.89%、占30.85%）；工程业务新签3,923.10亿元（占97.19%），其中化学工程新签3,320.38亿元；在海外设立160个海外机构，工程业绩遍布全国所有省份和全球80多个国家和地区 [来源: P001133]。</w:t>
      </w:r>
    </w:p>
    <w:p>
      <w:pPr>
        <w:pStyle w:val="ListBullet"/>
      </w:pPr>
      <w:r>
        <w:rPr>
          <w:rFonts w:ascii="Calibri" w:hAnsi="Calibri" w:eastAsia="微软雅黑"/>
          <w:b/>
          <w:i w:val="0"/>
          <w:sz w:val="22"/>
        </w:rPr>
        <w:t>动作（Action）</w:t>
      </w:r>
      <w:r>
        <w:rPr>
          <w:rFonts w:ascii="Calibri" w:hAnsi="Calibri" w:eastAsia="微软雅黑"/>
          <w:b w:val="0"/>
          <w:i w:val="0"/>
          <w:sz w:val="22"/>
        </w:rPr>
        <w:t>：作为最早"走出去"的中央企业，践行"一带一路"倡议，具备全球资源配置能力和超大项目组织实施能力，带动中国技术、中国标准和中国装备"走出去"；业务上坚持工程业务（化学工程、基础设施、环境治理）、实业与新材料、现代服务业协同，向咨询、规划、勘察、设计、采购、施工、安装、开车、运营维护及投融资的全过程全产业链延伸；管理上推行精益化管理与提质增效行动 [来源: P001133]。</w:t>
      </w:r>
    </w:p>
    <w:p>
      <w:pPr>
        <w:pStyle w:val="ListBullet"/>
      </w:pPr>
      <w:r>
        <w:rPr>
          <w:rFonts w:ascii="Calibri" w:hAnsi="Calibri" w:eastAsia="微软雅黑"/>
          <w:b/>
          <w:i w:val="0"/>
          <w:sz w:val="22"/>
        </w:rPr>
        <w:t>结果（Result）</w:t>
      </w:r>
      <w:r>
        <w:rPr>
          <w:rFonts w:ascii="Calibri" w:hAnsi="Calibri" w:eastAsia="微软雅黑"/>
          <w:b w:val="0"/>
          <w:i w:val="0"/>
          <w:sz w:val="22"/>
        </w:rPr>
        <w:t>：年度利润总额与境外新签合同额创历史新高，稳居全球化学工程总承包领军地位（结果表述为本研究据源文归纳）[来源: P001133]。</w:t>
      </w:r>
    </w:p>
    <w:p>
      <w:pPr>
        <w:pStyle w:val="Heading4"/>
      </w:pPr>
      <w:r>
        <w:t>案例三：山东院（SDEPCI）——FIDIC能力与海外争议解决 [来源: P001117]</w:t>
      </w:r>
    </w:p>
    <w:p>
      <w:pPr>
        <w:pStyle w:val="ListBullet"/>
      </w:pPr>
      <w:r>
        <w:rPr>
          <w:rFonts w:ascii="Calibri" w:hAnsi="Calibri" w:eastAsia="微软雅黑"/>
          <w:b/>
          <w:i w:val="0"/>
          <w:sz w:val="22"/>
        </w:rPr>
        <w:t>数据（Data）</w:t>
      </w:r>
      <w:r>
        <w:rPr>
          <w:rFonts w:ascii="Calibri" w:hAnsi="Calibri" w:eastAsia="微软雅黑"/>
          <w:b w:val="0"/>
          <w:i w:val="0"/>
          <w:sz w:val="22"/>
        </w:rPr>
        <w:t>：业务拓展至全球40多个国家和地区，重组后员工超3000人、资产总额超130亿元；在国内企业中唯一同时拥有国内外百万千瓦级火电、特高压输变电、三代核电设计和建设业绩，是国内少数具备核电常规岛EPC业务能力的企业 [来源: P001117]。</w:t>
      </w:r>
    </w:p>
    <w:p>
      <w:pPr>
        <w:pStyle w:val="ListBullet"/>
      </w:pPr>
      <w:r>
        <w:rPr>
          <w:rFonts w:ascii="Calibri" w:hAnsi="Calibri" w:eastAsia="微软雅黑"/>
          <w:b/>
          <w:i w:val="0"/>
          <w:sz w:val="22"/>
        </w:rPr>
        <w:t>动作（Action）</w:t>
      </w:r>
      <w:r>
        <w:rPr>
          <w:rFonts w:ascii="Calibri" w:hAnsi="Calibri" w:eastAsia="微软雅黑"/>
          <w:b w:val="0"/>
          <w:i w:val="0"/>
          <w:sz w:val="22"/>
        </w:rPr>
        <w:t>：合同能力上，熟练掌握FIDIC系列合同条款（红皮书、黄皮书、银皮书）并应用于国际项目合同谈判、执行与索赔管理，遵循项目所在国或国际通行技术标准（IEC、ASME、API、BS等）；风险应对上形成成套动作——合同谈判阶段聘请专业法律顾问确保条款清晰、风险分担合理，建立动态成本控制体系，购买汇率保险或采用套期保值工具对冲汇率风险，加强业主信用评估并建立应收账款管理机制，对分包商严格筛选与履约监督并组建索赔管理团队及时处理索赔事宜；争议解决上建立多元化机制——项目层面鼓励与业主、分包商、供应商友好协商，法务部门必要时介入调解，合同中明确约定外部调解与仲裁的适用情形（机制描述据源文）[来源: P001117]。</w:t>
      </w:r>
    </w:p>
    <w:p>
      <w:pPr>
        <w:pStyle w:val="ListBullet"/>
      </w:pPr>
      <w:r>
        <w:rPr>
          <w:rFonts w:ascii="Calibri" w:hAnsi="Calibri" w:eastAsia="微软雅黑"/>
          <w:b/>
          <w:i w:val="0"/>
          <w:sz w:val="22"/>
        </w:rPr>
        <w:t>结果（Result）</w:t>
      </w:r>
      <w:r>
        <w:rPr>
          <w:rFonts w:ascii="Calibri" w:hAnsi="Calibri" w:eastAsia="微软雅黑"/>
          <w:b w:val="0"/>
          <w:i w:val="0"/>
          <w:sz w:val="22"/>
        </w:rPr>
        <w:t>：形成从合同谈判、履约证据管理到反索赔的海外全周期法务能力。源文以"非洲某国2×350MW燃煤电站（FIDIC银皮书）业主巨额违约金索赔"为示例演示了其应对路径——以证据链锁定业主未及时提供场地、未及时办理进口许可致清关延误、反复变更设计方案、燃料质量不符等事实，发起反索赔并引入第三方调解，最终促成和解（该案例的项目参数为源文示例性设定，示意性复盘，非特定项目实录）[来源: P001117]。</w:t>
      </w:r>
    </w:p>
    <w:p>
      <w:pPr>
        <w:pStyle w:val="Heading3"/>
      </w:pPr>
      <w:r>
        <w:t>12.2.3 场景二行动清单：四步法</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步骤</w:t>
            </w:r>
          </w:p>
        </w:tc>
        <w:tc>
          <w:tcPr>
            <w:tcW w:type="dxa" w:w="2767"/>
            <w:shd w:fill="1F3A5F"/>
          </w:tcPr>
          <w:p>
            <w:r>
              <w:rPr>
                <w:color w:val="FFFFFF"/>
              </w:rPr>
            </w:r>
            <w:r>
              <w:rPr>
                <w:rFonts w:ascii="Calibri" w:hAnsi="Calibri" w:eastAsia="微软雅黑"/>
                <w:b/>
                <w:i w:val="0"/>
                <w:color w:val="FFFFFF"/>
                <w:sz w:val="18"/>
              </w:rPr>
              <w:t>核心动作</w:t>
            </w:r>
          </w:p>
        </w:tc>
        <w:tc>
          <w:tcPr>
            <w:tcW w:type="dxa" w:w="2767"/>
            <w:shd w:fill="1F3A5F"/>
          </w:tcPr>
          <w:p>
            <w:r>
              <w:rPr>
                <w:color w:val="FFFFFF"/>
              </w:rPr>
            </w:r>
            <w:r>
              <w:rPr>
                <w:rFonts w:ascii="Calibri" w:hAnsi="Calibri" w:eastAsia="微软雅黑"/>
                <w:b/>
                <w:i w:val="0"/>
                <w:color w:val="FFFFFF"/>
                <w:sz w:val="18"/>
              </w:rPr>
              <w:t>标杆依据</w:t>
            </w:r>
          </w:p>
        </w:tc>
      </w:tr>
      <w:tr>
        <w:tc>
          <w:tcPr>
            <w:tcW w:type="dxa" w:w="2767"/>
          </w:tcPr>
          <w:p>
            <w:r/>
            <w:r>
              <w:rPr>
                <w:rFonts w:ascii="Calibri" w:hAnsi="Calibri" w:eastAsia="微软雅黑"/>
                <w:b w:val="0"/>
                <w:i w:val="0"/>
                <w:sz w:val="18"/>
              </w:rPr>
              <w:t>第一步：国别制度距离与法律合规审查</w:t>
            </w:r>
          </w:p>
        </w:tc>
        <w:tc>
          <w:tcPr>
            <w:tcW w:type="dxa" w:w="2767"/>
          </w:tcPr>
          <w:p>
            <w:r/>
            <w:r>
              <w:rPr>
                <w:rFonts w:ascii="Calibri" w:hAnsi="Calibri" w:eastAsia="微软雅黑"/>
                <w:b w:val="0"/>
                <w:i w:val="0"/>
                <w:sz w:val="18"/>
              </w:rPr>
              <w:t>投标阶段由法务、商务、技术团队联合审查目标国政治稳定性、劳工雇佣比例限制、外汇管制与税制；高风险国别强制配置政治风险保险</w:t>
            </w:r>
          </w:p>
        </w:tc>
        <w:tc>
          <w:tcPr>
            <w:tcW w:type="dxa" w:w="2767"/>
          </w:tcPr>
          <w:p>
            <w:r/>
            <w:r>
              <w:rPr>
                <w:rFonts w:ascii="Calibri" w:hAnsi="Calibri" w:eastAsia="微软雅黑"/>
                <w:b w:val="0"/>
                <w:i w:val="0"/>
                <w:sz w:val="18"/>
              </w:rPr>
              <w:t>寰球政治风险保险与地缘监测预警实证 [来源: P001127]</w:t>
            </w:r>
          </w:p>
        </w:tc>
      </w:tr>
      <w:tr>
        <w:tc>
          <w:tcPr>
            <w:tcW w:type="dxa" w:w="2767"/>
          </w:tcPr>
          <w:p>
            <w:r/>
            <w:r>
              <w:rPr>
                <w:rFonts w:ascii="Calibri" w:hAnsi="Calibri" w:eastAsia="微软雅黑"/>
                <w:b w:val="0"/>
                <w:i w:val="0"/>
                <w:sz w:val="18"/>
              </w:rPr>
              <w:t>第二步：国际合同精细化谈判与融资架构设计</w:t>
            </w:r>
          </w:p>
        </w:tc>
        <w:tc>
          <w:tcPr>
            <w:tcW w:type="dxa" w:w="2767"/>
          </w:tcPr>
          <w:p>
            <w:r/>
            <w:r>
              <w:rPr>
                <w:rFonts w:ascii="Calibri" w:hAnsi="Calibri" w:eastAsia="微软雅黑"/>
                <w:b w:val="0"/>
                <w:i w:val="0"/>
                <w:sz w:val="18"/>
              </w:rPr>
              <w:t>采用FIDIC银皮书等国际范本并结合项目所在国法律定制；写入动态价格调整条款应对原材料与汇率波动；资金紧张项目设计FDPC（融资-设计-采购-施工）卖方信贷方案</w:t>
            </w:r>
          </w:p>
        </w:tc>
        <w:tc>
          <w:tcPr>
            <w:tcW w:type="dxa" w:w="2767"/>
          </w:tcPr>
          <w:p>
            <w:r/>
            <w:r>
              <w:rPr>
                <w:rFonts w:ascii="Calibri" w:hAnsi="Calibri" w:eastAsia="微软雅黑"/>
                <w:b w:val="0"/>
                <w:i w:val="0"/>
                <w:sz w:val="18"/>
              </w:rPr>
              <w:t>寰球FDPC模式实证 [来源: P001127, P001117]</w:t>
            </w:r>
          </w:p>
        </w:tc>
      </w:tr>
      <w:tr>
        <w:tc>
          <w:tcPr>
            <w:tcW w:type="dxa" w:w="2767"/>
          </w:tcPr>
          <w:p>
            <w:r/>
            <w:r>
              <w:rPr>
                <w:rFonts w:ascii="Calibri" w:hAnsi="Calibri" w:eastAsia="微软雅黑"/>
                <w:b w:val="0"/>
                <w:i w:val="0"/>
                <w:sz w:val="18"/>
              </w:rPr>
              <w:t>第三步：属地化采购、分包与供应链韧性</w:t>
            </w:r>
          </w:p>
        </w:tc>
        <w:tc>
          <w:tcPr>
            <w:tcW w:type="dxa" w:w="2767"/>
          </w:tcPr>
          <w:p>
            <w:r/>
            <w:r>
              <w:rPr>
                <w:rFonts w:ascii="Calibri" w:hAnsi="Calibri" w:eastAsia="微软雅黑"/>
                <w:b w:val="0"/>
                <w:i w:val="0"/>
                <w:sz w:val="18"/>
              </w:rPr>
              <w:t>推行大区中心制与合署管理制集中资源；长周期核心设备全球寻源与定向监造；建立属地化分包商与材料商备选库，提高本地化雇佣与采购比例</w:t>
            </w:r>
          </w:p>
        </w:tc>
        <w:tc>
          <w:tcPr>
            <w:tcW w:type="dxa" w:w="2767"/>
          </w:tcPr>
          <w:p>
            <w:r/>
            <w:r>
              <w:rPr>
                <w:rFonts w:ascii="Calibri" w:hAnsi="Calibri" w:eastAsia="微软雅黑"/>
                <w:b w:val="0"/>
                <w:i w:val="0"/>
                <w:sz w:val="18"/>
              </w:rPr>
              <w:t>寰球大区中心制、模块化施工实证 [来源: P001127]</w:t>
            </w:r>
          </w:p>
        </w:tc>
      </w:tr>
      <w:tr>
        <w:tc>
          <w:tcPr>
            <w:tcW w:type="dxa" w:w="2767"/>
          </w:tcPr>
          <w:p>
            <w:r/>
            <w:r>
              <w:rPr>
                <w:rFonts w:ascii="Calibri" w:hAnsi="Calibri" w:eastAsia="微软雅黑"/>
                <w:b w:val="0"/>
                <w:i w:val="0"/>
                <w:sz w:val="18"/>
              </w:rPr>
              <w:t>第四步：司法穿透与风控防御体系</w:t>
            </w:r>
          </w:p>
        </w:tc>
        <w:tc>
          <w:tcPr>
            <w:tcW w:type="dxa" w:w="2767"/>
          </w:tcPr>
          <w:p>
            <w:r/>
            <w:r>
              <w:rPr>
                <w:rFonts w:ascii="Calibri" w:hAnsi="Calibri" w:eastAsia="微软雅黑"/>
                <w:b w:val="0"/>
                <w:i w:val="0"/>
                <w:sz w:val="18"/>
              </w:rPr>
              <w:t>落实三大司法防护网：主分包同步解除与限期退场条款、独立保函欺诈止付台账、计价标准锁定条款</w:t>
            </w:r>
          </w:p>
        </w:tc>
        <w:tc>
          <w:tcPr>
            <w:tcW w:type="dxa" w:w="2767"/>
          </w:tcPr>
          <w:p>
            <w:r/>
            <w:r>
              <w:rPr>
                <w:rFonts w:ascii="Calibri" w:hAnsi="Calibri" w:eastAsia="微软雅黑"/>
                <w:b w:val="0"/>
                <w:i w:val="0"/>
                <w:sz w:val="18"/>
              </w:rPr>
              <w:t>［(2016)最高法民再53号］、［(2017)川民终72号］、《法工委函〔2017〕2号］规则 [来源: P001151]</w:t>
            </w:r>
          </w:p>
        </w:tc>
      </w:tr>
    </w:tbl>
    <w:p>
      <w:r>
        <w:rPr>
          <w:rFonts w:ascii="Calibri" w:hAnsi="Calibri" w:eastAsia="微软雅黑"/>
          <w:b w:val="0"/>
          <w:i w:val="0"/>
          <w:sz w:val="22"/>
        </w:rPr>
        <w:t>第四步的合同细节（条款设计为本研究归纳，依据判例规则）：分包撤场硬约束方面，在海外分包合同中明确"主合同终止或解除时，分包合同无条件终止，分包商不得以工程款债权抗辩业主现场物权，须在约定时限内无条件退场"；保函防线方面，签署《分包商承诺协议》与介入权条款的同时建立履约凭证与函件台账，一旦遭遇恶意索赔立即向有管辖权的法院申请止付裁定；计价锁定方面，对国内及涉外政府投资项目全面引用《法工委函〔2017〕2号》清理强制行政审计条款，必须约定审计的，加注"审计机关须严格按照本合同约定的计价标准和方法进行结算审计"的限制条款 [来源: P001151]。此外，对业主提供的技术资料、基础资料与地下障碍资料，承包商无论合同是否约定业主对其真实性负责，均应尽到一般注意义务进行审查；理解雇主要求时，设计范围、内容与标准须结合合同各组成部分的效力顺序（协议书优先于专用条款、再优先于通用条款与工程量清单）把握（管控建议据源文）[来源: P001132]。</w:t>
      </w:r>
    </w:p>
    <w:p>
      <w:r>
        <w:rPr>
          <w:rFonts w:ascii="Calibri" w:hAnsi="Calibri" w:eastAsia="微软雅黑"/>
          <w:b w:val="0"/>
          <w:i w:val="0"/>
          <w:sz w:val="22"/>
        </w:rPr>
        <w:t>---</w:t>
      </w:r>
    </w:p>
    <w:p>
      <w:pPr>
        <w:pStyle w:val="Heading2"/>
      </w:pPr>
      <w:r>
        <w:t>12.3 场景三行动清单：双碳与绿色新能源工程总承包</w:t>
      </w:r>
    </w:p>
    <w:p>
      <w:pPr>
        <w:pStyle w:val="Heading3"/>
      </w:pPr>
      <w:r>
        <w:t>12.3.1 绿色新能源EPC痛点与商业化造血破局</w:t>
      </w:r>
    </w:p>
    <w:p>
      <w:r>
        <w:rPr>
          <w:rFonts w:ascii="Calibri" w:hAnsi="Calibri" w:eastAsia="微软雅黑"/>
          <w:b w:val="0"/>
          <w:i w:val="0"/>
          <w:sz w:val="22"/>
        </w:rPr>
        <w:t>在国家"双碳"战略与相关规划体系推动下，风电、光伏、光热、储能、氢能及绿色低碳工程进入放量发展期 [来源: P001117, P001133]。传统工程企业和设计院切入绿色新能源EPC时，普遍面临四类瓶颈（痛点归纳为本研究据源文整理）：</w:t>
      </w:r>
    </w:p>
    <w:p>
      <w:pPr>
        <w:pStyle w:val="ListNumber"/>
      </w:pPr>
      <w:r>
        <w:rPr>
          <w:rFonts w:ascii="Calibri" w:hAnsi="Calibri" w:eastAsia="微软雅黑"/>
          <w:b/>
          <w:i w:val="0"/>
          <w:sz w:val="22"/>
        </w:rPr>
        <w:t>技术迭代极快</w:t>
      </w:r>
      <w:r>
        <w:rPr>
          <w:rFonts w:ascii="Calibri" w:hAnsi="Calibri" w:eastAsia="微软雅黑"/>
          <w:b w:val="0"/>
          <w:i w:val="0"/>
          <w:sz w:val="22"/>
        </w:rPr>
        <w:t>：光伏电池转换效率、风机单机容量与储能电芯能量密度快速换代，缺乏前瞻性设计能力的总承包商，项目在建过程中即面临设备停产或技术淘汰风险 [来源: P001117]。</w:t>
      </w:r>
    </w:p>
    <w:p>
      <w:pPr>
        <w:pStyle w:val="ListNumber"/>
      </w:pPr>
      <w:r>
        <w:rPr>
          <w:rFonts w:ascii="Calibri" w:hAnsi="Calibri" w:eastAsia="微软雅黑"/>
          <w:b/>
          <w:i w:val="0"/>
          <w:sz w:val="22"/>
        </w:rPr>
        <w:t>电网消纳与多接口协调</w:t>
      </w:r>
      <w:r>
        <w:rPr>
          <w:rFonts w:ascii="Calibri" w:hAnsi="Calibri" w:eastAsia="微软雅黑"/>
          <w:b w:val="0"/>
          <w:i w:val="0"/>
          <w:sz w:val="22"/>
        </w:rPr>
        <w:t>：集中式风光基地常因电网消纳能力不足出现弃风弃光；"新能源+储能+天然气/微电网"多能互补项目涉及电力、热力、燃气、自动化多专业交叉，接口集成复杂 [来源: P001117]。</w:t>
      </w:r>
    </w:p>
    <w:p>
      <w:pPr>
        <w:pStyle w:val="ListNumber"/>
      </w:pPr>
      <w:r>
        <w:rPr>
          <w:rFonts w:ascii="Calibri" w:hAnsi="Calibri" w:eastAsia="微软雅黑"/>
          <w:b/>
          <w:i w:val="0"/>
          <w:sz w:val="22"/>
        </w:rPr>
        <w:t>商业化造血能力弱</w:t>
      </w:r>
      <w:r>
        <w:rPr>
          <w:rFonts w:ascii="Calibri" w:hAnsi="Calibri" w:eastAsia="微软雅黑"/>
          <w:b w:val="0"/>
          <w:i w:val="0"/>
          <w:sz w:val="22"/>
        </w:rPr>
        <w:t>：碳捕集利用与封存（CCUS）长期被视为"纯付费、纯投入"的环保负担，缺乏自我造血机制；储能电站单靠容量租赁难以形成长期稳定收益 [来源: P001151, P001133]。</w:t>
      </w:r>
    </w:p>
    <w:p>
      <w:pPr>
        <w:pStyle w:val="ListNumber"/>
      </w:pPr>
      <w:r>
        <w:rPr>
          <w:rFonts w:ascii="Calibri" w:hAnsi="Calibri" w:eastAsia="微软雅黑"/>
          <w:b/>
          <w:i w:val="0"/>
          <w:sz w:val="22"/>
        </w:rPr>
        <w:t>同质化低价竞争</w:t>
      </w:r>
      <w:r>
        <w:rPr>
          <w:rFonts w:ascii="Calibri" w:hAnsi="Calibri" w:eastAsia="微软雅黑"/>
          <w:b w:val="0"/>
          <w:i w:val="0"/>
          <w:sz w:val="22"/>
        </w:rPr>
        <w:t>：大量缺乏核心技术的施工企业涌入新能源EPC市场，非理性低价竞争压缩通用项目的利润空间 [来源: P001151, P001127]。</w:t>
      </w:r>
    </w:p>
    <w:p>
      <w:r>
        <w:rPr>
          <w:rFonts w:ascii="Calibri" w:hAnsi="Calibri" w:eastAsia="微软雅黑"/>
          <w:b w:val="0"/>
          <w:i w:val="0"/>
          <w:sz w:val="22"/>
        </w:rPr>
        <w:t>破局方向是从"设备堆砌型施工"转向"高毛利绿色新材料/新能源专有技术包+全生命周期综合能源服务"（方向归纳为本研究据源文整理）[来源: P001151, P001133]。三条已获实证的造血路径：其一，CCUS从"纯付费捕集封存"延伸至二氧化碳资源化高值利用——二氧化碳资源化利用技术已成为化学工程央企抢占未来竞争制高点的前沿创新方向，高端聚烯烃弹性体（POE）关键生产技术与之并列 [来源: P001133]；其二，"风光储氢"一体化与综合智慧能源微电网集成，实现多能互补与园区低成本清洁能源供给 [来源: P001117]；其三，循环经济与"养护/水务+资源化"造血，废旧沥青与钢渣等固废的资源化高品质利用把环境治理变成业务增长极 [来源: P001135, P001122]。</w:t>
      </w:r>
    </w:p>
    <w:p>
      <w:pPr>
        <w:pStyle w:val="Heading3"/>
      </w:pPr>
      <w:r>
        <w:t>12.3.2 绿色新能源工程总承包标杆案例</w:t>
      </w:r>
    </w:p>
    <w:p>
      <w:pPr>
        <w:pStyle w:val="Heading4"/>
      </w:pPr>
      <w:r>
        <w:t>案例一：山东院——新能源占比跃升与多能互补集成 [来源: P001117]</w:t>
      </w:r>
    </w:p>
    <w:p>
      <w:pPr>
        <w:pStyle w:val="ListBullet"/>
      </w:pPr>
      <w:r>
        <w:rPr>
          <w:rFonts w:ascii="Calibri" w:hAnsi="Calibri" w:eastAsia="微软雅黑"/>
          <w:b/>
          <w:i w:val="0"/>
          <w:sz w:val="22"/>
        </w:rPr>
        <w:t>数据（Data）</w:t>
      </w:r>
      <w:r>
        <w:rPr>
          <w:rFonts w:ascii="Calibri" w:hAnsi="Calibri" w:eastAsia="微软雅黑"/>
          <w:b w:val="0"/>
          <w:i w:val="0"/>
          <w:sz w:val="22"/>
        </w:rPr>
        <w:t>：作为国家电投集团旗下核心单位，资产总额超130亿元；新能源EPC项目（风电、光伏、储能等）占比持续提升，预计到2027年将达到70%以上，综合智慧能源EPC（园区能源、微电网、能源互联网等）成为新增长点；标杆项目包括新疆鄯善100MW光热发电EPC总承包项目（光热发电EPC国内排名前3）、山东半岛南3号海上风电EPC总承包项目、国家电投山东寿光光伏领跑者基地100MW光伏发电EPC项目（总投资约7亿元，采用单晶双面双玻组件与跟踪支架）、山东东营综合智慧能源示范项目EPC（总投资约15亿元，含20MW分布式光伏、10MW/20MWh储能、10MW天然气分布式与智慧能源平台）、山东莱芜2×35MW生物质热电联产EPC项目（总投资约12亿元，年消耗农林废弃物60万吨、年发电量4.5亿千瓦时），并签约菲律宾储能EPC项目实现新型储能技术包出海 [来源: P001117]。</w:t>
      </w:r>
    </w:p>
    <w:p>
      <w:pPr>
        <w:pStyle w:val="ListBullet"/>
      </w:pPr>
      <w:r>
        <w:rPr>
          <w:rFonts w:ascii="Calibri" w:hAnsi="Calibri" w:eastAsia="微软雅黑"/>
          <w:b/>
          <w:i w:val="0"/>
          <w:sz w:val="22"/>
        </w:rPr>
        <w:t>动作（Action）</w:t>
      </w:r>
      <w:r>
        <w:rPr>
          <w:rFonts w:ascii="Calibri" w:hAnsi="Calibri" w:eastAsia="微软雅黑"/>
          <w:b w:val="0"/>
          <w:i w:val="0"/>
          <w:sz w:val="22"/>
        </w:rPr>
        <w:t>：构建"智库+技术集成+投资开发"三位一体能力——发挥规划前瞻能力，形成从资源评估、规划设计、技术集成到工程建设、并网调试的全链条EPC服务；向产业链上游延伸，参与新能源电站与储能项目的投资开发，实现"卖产品"向"卖服务"再到"卖资产"的升级；在东营项目中集成分布式光伏、天然气三联供、电化学储能与智能微电网技术破解多专业集成难题；基于大数据与智能算法开发光伏智能运维系统，实现设备状态实时监控与故障预警 [来源: P001117]。</w:t>
      </w:r>
    </w:p>
    <w:p>
      <w:pPr>
        <w:pStyle w:val="ListBullet"/>
      </w:pPr>
      <w:r>
        <w:rPr>
          <w:rFonts w:ascii="Calibri" w:hAnsi="Calibri" w:eastAsia="微软雅黑"/>
          <w:b/>
          <w:i w:val="0"/>
          <w:sz w:val="22"/>
        </w:rPr>
        <w:t>结果（Result）</w:t>
      </w:r>
      <w:r>
        <w:rPr>
          <w:rFonts w:ascii="Calibri" w:hAnsi="Calibri" w:eastAsia="微软雅黑"/>
          <w:b w:val="0"/>
          <w:i w:val="0"/>
          <w:sz w:val="22"/>
        </w:rPr>
        <w:t>：东营项目实现光伏、储能与天然气协同互补，能源综合利用效率提高15%以上；光伏智能运维系统在多个EPC项目应用，提高运行效率约3%、降低运维成本约20%；确立了在海上风电、光热发电、独立储能电站及综合智慧能源EPC领域的领先地位 [来源: P001117]。数字化交付能力同步成型：其"东营辉阳500千伏变电站总承包BIM数字化应用"项目获电力建设数字化应用三等奖，标志输变电EPC项目BIM应用成熟度；通过BIM等技术实现工程项目数字化交付，为业主提供包含完整模型信息、施工数据、运维手册在内的数字化资产——绿色EPC的最终形态是"实体电站+数字资产"双交付 [来源: P001117]。</w:t>
      </w:r>
    </w:p>
    <w:p>
      <w:pPr>
        <w:pStyle w:val="Heading4"/>
      </w:pPr>
      <w:r>
        <w:t>案例二：中国寰球——LNG清洁能源与低碳工艺包 [来源: P001127]</w:t>
      </w:r>
    </w:p>
    <w:p>
      <w:pPr>
        <w:pStyle w:val="ListBullet"/>
      </w:pPr>
      <w:r>
        <w:rPr>
          <w:rFonts w:ascii="Calibri" w:hAnsi="Calibri" w:eastAsia="微软雅黑"/>
          <w:b/>
          <w:i w:val="0"/>
          <w:sz w:val="22"/>
        </w:rPr>
        <w:t>数据（Data）</w:t>
      </w:r>
      <w:r>
        <w:rPr>
          <w:rFonts w:ascii="Calibri" w:hAnsi="Calibri" w:eastAsia="微软雅黑"/>
          <w:b w:val="0"/>
          <w:i w:val="0"/>
          <w:sz w:val="22"/>
        </w:rPr>
        <w:t>：作为中国石油天然气集团有限公司旗下的炼化与清洁能源工程公司，在大型LNG接收站、天然气处理、氢能及CCUS领域具备核心技术储备；承建江苏LNG接收站项目（含卸船设施、储罐、气化与外输设施）；承揽陕煤集团榆林化学煤炭分质利用制化工新材料示范项目一期180万吨/年乙二醇工程（全球在建及已建成规模最大的煤制乙二醇项目）核心装置之一——合成气净化装置（包括变换、低温甲醇洗、硫回收等单元）的EPC总承包 [来源: P001127]。</w:t>
      </w:r>
    </w:p>
    <w:p>
      <w:pPr>
        <w:pStyle w:val="ListBullet"/>
      </w:pPr>
      <w:r>
        <w:rPr>
          <w:rFonts w:ascii="Calibri" w:hAnsi="Calibri" w:eastAsia="微软雅黑"/>
          <w:b/>
          <w:i w:val="0"/>
          <w:sz w:val="22"/>
        </w:rPr>
        <w:t>动作（Action）</w:t>
      </w:r>
      <w:r>
        <w:rPr>
          <w:rFonts w:ascii="Calibri" w:hAnsi="Calibri" w:eastAsia="微软雅黑"/>
          <w:b w:val="0"/>
          <w:i w:val="0"/>
          <w:sz w:val="22"/>
        </w:rPr>
        <w:t>：前瞻布局氢能与生物质能新赛道，组建专项技术团队主攻氢气制备装置、氢气储存设施、加氢站及生物质发电厂、生物质燃料生产装置EPC；在LNG项目中攻克大型低温储罐设计与BOG（闪蒸气）回收利用技术；在煤化工与石化EPC中推动低碳工艺包与变换炉、低温甲醇洗塔等核心非标设备国产化采购 [来源: P001127]。</w:t>
      </w:r>
    </w:p>
    <w:p>
      <w:pPr>
        <w:pStyle w:val="ListBullet"/>
      </w:pPr>
      <w:r>
        <w:rPr>
          <w:rFonts w:ascii="Calibri" w:hAnsi="Calibri" w:eastAsia="微软雅黑"/>
          <w:b/>
          <w:i w:val="0"/>
          <w:sz w:val="22"/>
        </w:rPr>
        <w:t>结果（Result）</w:t>
      </w:r>
      <w:r>
        <w:rPr>
          <w:rFonts w:ascii="Calibri" w:hAnsi="Calibri" w:eastAsia="微软雅黑"/>
          <w:b w:val="0"/>
          <w:i w:val="0"/>
          <w:sz w:val="22"/>
        </w:rPr>
        <w:t>：江苏LNG接收站成为保障华东地区天然气供应安全与能源结构低碳调整的国家级示范工程（定位表述据源文）；实现从传统石化、煤化工EPC向"LNG清洁能源+氢能+低碳工程"高附加值领域的战略延伸 [来源: P001127]。</w:t>
      </w:r>
    </w:p>
    <w:p>
      <w:pPr>
        <w:pStyle w:val="Heading4"/>
      </w:pPr>
      <w:r>
        <w:t>案例三：上海市政总院——固废资源化与"水务+光伏+碳管理" [来源: P001122]</w:t>
      </w:r>
    </w:p>
    <w:p>
      <w:pPr>
        <w:pStyle w:val="ListBullet"/>
      </w:pPr>
      <w:r>
        <w:rPr>
          <w:rFonts w:ascii="Calibri" w:hAnsi="Calibri" w:eastAsia="微软雅黑"/>
          <w:b/>
          <w:i w:val="0"/>
          <w:sz w:val="22"/>
        </w:rPr>
        <w:t>数据（Data）</w:t>
      </w:r>
      <w:r>
        <w:rPr>
          <w:rFonts w:ascii="Calibri" w:hAnsi="Calibri" w:eastAsia="微软雅黑"/>
          <w:b w:val="0"/>
          <w:i w:val="0"/>
          <w:sz w:val="22"/>
        </w:rPr>
        <w:t>：将水务环境、固废资源化及新能源与智慧城市作为EPC总承包的核心创新方向；承建上海生物能源再利用项目三期EPC（采用生物质能源转化技术处理生活垃圾与污水厂污泥）、泰和水厂深度处理改造EPC、嘉兴市区分质供水工程提升改造项目（全球最大规模市政饮用水纳滤工程，膜技术应用领先）[来源: P001122]。</w:t>
      </w:r>
    </w:p>
    <w:p>
      <w:pPr>
        <w:pStyle w:val="ListBullet"/>
      </w:pPr>
      <w:r>
        <w:rPr>
          <w:rFonts w:ascii="Calibri" w:hAnsi="Calibri" w:eastAsia="微软雅黑"/>
          <w:b/>
          <w:i w:val="0"/>
          <w:sz w:val="22"/>
        </w:rPr>
        <w:t>动作（Action）</w:t>
      </w:r>
      <w:r>
        <w:rPr>
          <w:rFonts w:ascii="Calibri" w:hAnsi="Calibri" w:eastAsia="微软雅黑"/>
          <w:b w:val="0"/>
          <w:i w:val="0"/>
          <w:sz w:val="22"/>
        </w:rPr>
        <w:t>：在上海生物能源三期项目中采用厌氧消化、沼气发电、沼渣土地利用等生物质能源转化技术，将有机废弃物转化为沼气清洁发电与有机肥料；在给水厂、污水处理厂及公共建筑实施分布式光伏发电EPC，针对构筑物结构特点优化光伏组件排布设计，选用高转换效率、长寿命组件与智能逆变控制；建立企业级碳排放管理与核算体系，将碳排放核算纳入EPC项目管理全过程，通过优化设计方案、选用低碳建材与改进节能工艺降低全生命周期碳排放 [来源: P001122]。</w:t>
      </w:r>
    </w:p>
    <w:p>
      <w:pPr>
        <w:pStyle w:val="ListBullet"/>
      </w:pPr>
      <w:r>
        <w:rPr>
          <w:rFonts w:ascii="Calibri" w:hAnsi="Calibri" w:eastAsia="微软雅黑"/>
          <w:b/>
          <w:i w:val="0"/>
          <w:sz w:val="22"/>
        </w:rPr>
        <w:t>结果（Result）</w:t>
      </w:r>
      <w:r>
        <w:rPr>
          <w:rFonts w:ascii="Calibri" w:hAnsi="Calibri" w:eastAsia="微软雅黑"/>
          <w:b w:val="0"/>
          <w:i w:val="0"/>
          <w:sz w:val="22"/>
        </w:rPr>
        <w:t>：上海生物能源三期实现生活垃圾与污泥的资源化循环利用和清洁发电，成为固废资源化领域的行业典范；嘉兴分质供水工程作为全球最大规模市政饮用水纳滤工程，其价值不止于单体工程——源文对其设定的分析重点即"膜技术创新应用、市场开拓策略、技术标准制定、产业化发展"四条线，即以标志性工程带动技术标准话语权与膜技术产业化，这是绿色EPC从项目盈利走向平台盈利的典型路径；整体上构建起"水务/固废处理+分布式光伏+碳管理"的独特绿色低碳EPC竞争壁垒（壁垒归纳为本研究据源文）[来源: P001122]。</w:t>
      </w:r>
    </w:p>
    <w:p>
      <w:pPr>
        <w:pStyle w:val="Heading4"/>
      </w:pPr>
      <w:r>
        <w:t>案例四：中国化学——绿色低碳EPC与新材料实业双轮驱动 [来源: P001133]</w:t>
      </w:r>
    </w:p>
    <w:p>
      <w:pPr>
        <w:pStyle w:val="ListBullet"/>
      </w:pPr>
      <w:r>
        <w:rPr>
          <w:rFonts w:ascii="Calibri" w:hAnsi="Calibri" w:eastAsia="微软雅黑"/>
          <w:b/>
          <w:i w:val="0"/>
          <w:sz w:val="22"/>
        </w:rPr>
        <w:t>数据（Data）</w:t>
      </w:r>
      <w:r>
        <w:rPr>
          <w:rFonts w:ascii="Calibri" w:hAnsi="Calibri" w:eastAsia="微软雅黑"/>
          <w:b w:val="0"/>
          <w:i w:val="0"/>
          <w:sz w:val="22"/>
        </w:rPr>
        <w:t>：2025年新签合同额4,036.61亿元、境外新签1,245.16亿元；坚持"创新驱动"战略，以高端化学品与先进材料为核心，聚焦高性能纤维、相变材料、气凝胶等化工新材料领域突破关键技术；生物基材料、可降解塑料等绿色产品产能快速释放，工程塑料、聚氨酯、高性能纤维等十类重点产品中高端化、专用化品种占比提升至35% [来源: P001133]。</w:t>
      </w:r>
    </w:p>
    <w:p>
      <w:pPr>
        <w:pStyle w:val="ListBullet"/>
      </w:pPr>
      <w:r>
        <w:rPr>
          <w:rFonts w:ascii="Calibri" w:hAnsi="Calibri" w:eastAsia="微软雅黑"/>
          <w:b/>
          <w:i w:val="0"/>
          <w:sz w:val="22"/>
        </w:rPr>
        <w:t>动作（Action）</w:t>
      </w:r>
      <w:r>
        <w:rPr>
          <w:rFonts w:ascii="Calibri" w:hAnsi="Calibri" w:eastAsia="微软雅黑"/>
          <w:b w:val="0"/>
          <w:i w:val="0"/>
          <w:sz w:val="22"/>
        </w:rPr>
        <w:t>：坚持工程业务与实业与新材料板块协同，向"创新技术+特色实业"一体化产业链延伸；抢占前沿创新技术制高点——高端聚苯硫醚及聚烯烃弹性体（POE）关键生产技术、二氧化碳资源化利用技术等竞相涌现，并进一步推动中试基地建设与成果产业化；采购与建造环节优先采用节能设备与低碳路径，压降建设期碳排放 [来源: P001133]。</w:t>
      </w:r>
    </w:p>
    <w:p>
      <w:pPr>
        <w:pStyle w:val="ListBullet"/>
      </w:pPr>
      <w:r>
        <w:rPr>
          <w:rFonts w:ascii="Calibri" w:hAnsi="Calibri" w:eastAsia="微软雅黑"/>
          <w:b/>
          <w:i w:val="0"/>
          <w:sz w:val="22"/>
        </w:rPr>
        <w:t>结果（Result）</w:t>
      </w:r>
      <w:r>
        <w:rPr>
          <w:rFonts w:ascii="Calibri" w:hAnsi="Calibri" w:eastAsia="微软雅黑"/>
          <w:b w:val="0"/>
          <w:i w:val="0"/>
          <w:sz w:val="22"/>
        </w:rPr>
        <w:t>：新材料实业与绿色化工EPC对利润的贡献持续提升，突破传统化工EPC同质化竞争，确立绿色化工与低碳新材料领域的领军地位（结果表述为本研究据源文归纳）[来源: P001133]。</w:t>
      </w:r>
    </w:p>
    <w:p>
      <w:pPr>
        <w:pStyle w:val="Heading3"/>
      </w:pPr>
      <w:r>
        <w:t>12.3.3 专有技术包造血机制深读：从"纯付费封存"到高毛利新材料</w:t>
      </w:r>
    </w:p>
    <w:p>
      <w:r>
        <w:rPr>
          <w:rFonts w:ascii="Calibri" w:hAnsi="Calibri" w:eastAsia="微软雅黑"/>
          <w:b w:val="0"/>
          <w:i w:val="0"/>
          <w:sz w:val="22"/>
        </w:rPr>
        <w:t>绿色新能源EPC从"苦活"变"好活"的枢纽，是把环保投入转译成专有技术包收益的机制设计（机制框架为本研究据源文与既有研究成果整理，示意性复盘）[来源: P001151, P001133]。既有研究成果将CCUS困局概括为"纯付费封存"——捕集、压缩、运输、封存每个环节都是成本项，收益端只有业主付费一条腿；而破局方向是"高毛利新材料专有技术包"：把二氧化碳从"要花钱处理的废物"变成"能卖钱的原料"，用"捕集-转化-新材料-碳交易"的循环替代"捕集-封存-收费"的单链 [来源: P001151]。落到EPC商业模式上有三重含义：</w:t>
      </w:r>
    </w:p>
    <w:p>
      <w:pPr>
        <w:pStyle w:val="ListNumber"/>
      </w:pPr>
      <w:r>
        <w:rPr>
          <w:rFonts w:ascii="Calibri" w:hAnsi="Calibri" w:eastAsia="微软雅黑"/>
          <w:b/>
          <w:i w:val="0"/>
          <w:sz w:val="22"/>
        </w:rPr>
        <w:t>交付物升级</w:t>
      </w:r>
      <w:r>
        <w:rPr>
          <w:rFonts w:ascii="Calibri" w:hAnsi="Calibri" w:eastAsia="微软雅黑"/>
          <w:b w:val="0"/>
          <w:i w:val="0"/>
          <w:sz w:val="22"/>
        </w:rPr>
        <w:t>：总承包商交付的不再是单一的工程实体，而是"专有工艺包+工程设计+设备成套+开车服务"的技术包组合——寰球在陕煤榆林乙二醇项目中对变换炉、低温甲醇洗塔等核心非标设备推动国产化采购，正是"工艺包+设备成套"能力的体现 [来源: P001127]。</w:t>
      </w:r>
    </w:p>
    <w:p>
      <w:pPr>
        <w:pStyle w:val="ListNumber"/>
      </w:pPr>
      <w:r>
        <w:rPr>
          <w:rFonts w:ascii="Calibri" w:hAnsi="Calibri" w:eastAsia="微软雅黑"/>
          <w:b/>
          <w:i w:val="0"/>
          <w:sz w:val="22"/>
        </w:rPr>
        <w:t>收益结构升级</w:t>
      </w:r>
      <w:r>
        <w:rPr>
          <w:rFonts w:ascii="Calibri" w:hAnsi="Calibri" w:eastAsia="微软雅黑"/>
          <w:b w:val="0"/>
          <w:i w:val="0"/>
          <w:sz w:val="22"/>
        </w:rPr>
        <w:t>：中国化学"工程业务+实业与新材料+现代服务业"的板块结构表明，EPC企业可以把绿氢绿氨、可降解塑料、气凝胶等实业资产留在自己资产负债表上，用工程现金流哺育实业、用实业高毛利反哺工程竞争力，形成"技术研发+EPC建厂+实业运营"铁三角（模式归纳为本研究据源文）[来源: P001133]。</w:t>
      </w:r>
    </w:p>
    <w:p>
      <w:pPr>
        <w:pStyle w:val="ListNumber"/>
      </w:pPr>
      <w:r>
        <w:rPr>
          <w:rFonts w:ascii="Calibri" w:hAnsi="Calibri" w:eastAsia="微软雅黑"/>
          <w:b/>
          <w:i w:val="0"/>
          <w:sz w:val="22"/>
        </w:rPr>
        <w:t>合同权益升级</w:t>
      </w:r>
      <w:r>
        <w:rPr>
          <w:rFonts w:ascii="Calibri" w:hAnsi="Calibri" w:eastAsia="微软雅黑"/>
          <w:b w:val="0"/>
          <w:i w:val="0"/>
          <w:sz w:val="22"/>
        </w:rPr>
        <w:t>：碳资产归属与收益分成条款进入EPC合同——在合同中明确碳减排量核算标准、碳资产归属与收益分成，把碳交易收益转化为项目长期现金流补充（条款方向为本研究归纳；碳交易机制在各属地规则的落地差异较大，签约前须逐国核查）[来源: P001122, P001133]。</w:t>
      </w:r>
    </w:p>
    <w:p>
      <w:r>
        <w:rPr>
          <w:rFonts w:ascii="Calibri" w:hAnsi="Calibri" w:eastAsia="微软雅黑"/>
          <w:b w:val="0"/>
          <w:i w:val="0"/>
          <w:sz w:val="22"/>
        </w:rPr>
        <w:t>也要如实提示这条路径的技术与市场风险（风险提示为本研究据源文归纳）：CCUS高值化与新材料转化的工艺包尚处于快速迭代期，技术放大效应（从中试到万吨级、十万吨级装置）存在不确定性；绿氢绿氨的成本竞争力受电价与政策补贴影响大；储能与碳交易的价格机制均未完全市场化，收益模型须做敏感性压力测试后再进投资决策——造血循环是方向正确，不是包赚不赔。</w:t>
      </w:r>
    </w:p>
    <w:p>
      <w:pPr>
        <w:pStyle w:val="Heading3"/>
      </w:pPr>
      <w:r>
        <w:t>12.3.4 场景三行动清单：四步法</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步骤</w:t>
            </w:r>
          </w:p>
        </w:tc>
        <w:tc>
          <w:tcPr>
            <w:tcW w:type="dxa" w:w="2767"/>
            <w:shd w:fill="1F3A5F"/>
          </w:tcPr>
          <w:p>
            <w:r>
              <w:rPr>
                <w:color w:val="FFFFFF"/>
              </w:rPr>
            </w:r>
            <w:r>
              <w:rPr>
                <w:rFonts w:ascii="Calibri" w:hAnsi="Calibri" w:eastAsia="微软雅黑"/>
                <w:b/>
                <w:i w:val="0"/>
                <w:color w:val="FFFFFF"/>
                <w:sz w:val="18"/>
              </w:rPr>
              <w:t>核心动作</w:t>
            </w:r>
          </w:p>
        </w:tc>
        <w:tc>
          <w:tcPr>
            <w:tcW w:type="dxa" w:w="2767"/>
            <w:shd w:fill="1F3A5F"/>
          </w:tcPr>
          <w:p>
            <w:r>
              <w:rPr>
                <w:color w:val="FFFFFF"/>
              </w:rPr>
            </w:r>
            <w:r>
              <w:rPr>
                <w:rFonts w:ascii="Calibri" w:hAnsi="Calibri" w:eastAsia="微软雅黑"/>
                <w:b/>
                <w:i w:val="0"/>
                <w:color w:val="FFFFFF"/>
                <w:sz w:val="18"/>
              </w:rPr>
              <w:t>标杆依据</w:t>
            </w:r>
          </w:p>
        </w:tc>
      </w:tr>
      <w:tr>
        <w:tc>
          <w:tcPr>
            <w:tcW w:type="dxa" w:w="2767"/>
          </w:tcPr>
          <w:p>
            <w:r/>
            <w:r>
              <w:rPr>
                <w:rFonts w:ascii="Calibri" w:hAnsi="Calibri" w:eastAsia="微软雅黑"/>
                <w:b w:val="0"/>
                <w:i w:val="0"/>
                <w:sz w:val="18"/>
              </w:rPr>
              <w:t>第一步：绿色低碳专有技术包研发</w:t>
            </w:r>
          </w:p>
        </w:tc>
        <w:tc>
          <w:tcPr>
            <w:tcW w:type="dxa" w:w="2767"/>
          </w:tcPr>
          <w:p>
            <w:r/>
            <w:r>
              <w:rPr>
                <w:rFonts w:ascii="Calibri" w:hAnsi="Calibri" w:eastAsia="微软雅黑"/>
                <w:b w:val="0"/>
                <w:i w:val="0"/>
                <w:sz w:val="18"/>
              </w:rPr>
              <w:t>聚焦储能系统集成、海上风电基础、绿氢制储运、CCUS二氧化碳转化新材料等高壁垒方向设立专项研发；向业主提供"专有技术授权+EPC+运维"一揽子方案</w:t>
            </w:r>
          </w:p>
        </w:tc>
        <w:tc>
          <w:tcPr>
            <w:tcW w:type="dxa" w:w="2767"/>
          </w:tcPr>
          <w:p>
            <w:r/>
            <w:r>
              <w:rPr>
                <w:rFonts w:ascii="Calibri" w:hAnsi="Calibri" w:eastAsia="微软雅黑"/>
                <w:b w:val="0"/>
                <w:i w:val="0"/>
                <w:sz w:val="18"/>
              </w:rPr>
              <w:t>中国化学POE与二氧化碳资源化利用技术、山东院投资开发升级路径 [来源: P001133, P001117]</w:t>
            </w:r>
          </w:p>
        </w:tc>
      </w:tr>
      <w:tr>
        <w:tc>
          <w:tcPr>
            <w:tcW w:type="dxa" w:w="2767"/>
          </w:tcPr>
          <w:p>
            <w:r/>
            <w:r>
              <w:rPr>
                <w:rFonts w:ascii="Calibri" w:hAnsi="Calibri" w:eastAsia="微软雅黑"/>
                <w:b w:val="0"/>
                <w:i w:val="0"/>
                <w:sz w:val="18"/>
              </w:rPr>
              <w:t>第二步：多能互补与复杂接口精细化管控</w:t>
            </w:r>
          </w:p>
        </w:tc>
        <w:tc>
          <w:tcPr>
            <w:tcW w:type="dxa" w:w="2767"/>
          </w:tcPr>
          <w:p>
            <w:r/>
            <w:r>
              <w:rPr>
                <w:rFonts w:ascii="Calibri" w:hAnsi="Calibri" w:eastAsia="微软雅黑"/>
                <w:b w:val="0"/>
                <w:i w:val="0"/>
                <w:sz w:val="18"/>
              </w:rPr>
              <w:t>采用数字化参数化设计平台一体化完成场地规划、阵列布置与选型；集成分布式光伏、天然气分布式、储能与智能微电网，打通电力、热力与控制接口</w:t>
            </w:r>
          </w:p>
        </w:tc>
        <w:tc>
          <w:tcPr>
            <w:tcW w:type="dxa" w:w="2767"/>
          </w:tcPr>
          <w:p>
            <w:r/>
            <w:r>
              <w:rPr>
                <w:rFonts w:ascii="Calibri" w:hAnsi="Calibri" w:eastAsia="微软雅黑"/>
                <w:b w:val="0"/>
                <w:i w:val="0"/>
                <w:sz w:val="18"/>
              </w:rPr>
              <w:t>山东院东营项目集成实证（能源综合利用效率提高15%以上）[来源: P001117]</w:t>
            </w:r>
          </w:p>
        </w:tc>
      </w:tr>
      <w:tr>
        <w:tc>
          <w:tcPr>
            <w:tcW w:type="dxa" w:w="2767"/>
          </w:tcPr>
          <w:p>
            <w:r/>
            <w:r>
              <w:rPr>
                <w:rFonts w:ascii="Calibri" w:hAnsi="Calibri" w:eastAsia="微软雅黑"/>
                <w:b w:val="0"/>
                <w:i w:val="0"/>
                <w:sz w:val="18"/>
              </w:rPr>
              <w:t>第三步：商业化造血与收益锁定</w:t>
            </w:r>
          </w:p>
        </w:tc>
        <w:tc>
          <w:tcPr>
            <w:tcW w:type="dxa" w:w="2767"/>
          </w:tcPr>
          <w:p>
            <w:r/>
            <w:r>
              <w:rPr>
                <w:rFonts w:ascii="Calibri" w:hAnsi="Calibri" w:eastAsia="微软雅黑"/>
                <w:b w:val="0"/>
                <w:i w:val="0"/>
                <w:sz w:val="18"/>
              </w:rPr>
              <w:t>以"捕集-转化-新材料-碳交易"闭环替代"纯付费封存"；EPC合同中锁定碳资产归属与收益分成；参与项目投资开发，向"卖资产"升级</w:t>
            </w:r>
          </w:p>
        </w:tc>
        <w:tc>
          <w:tcPr>
            <w:tcW w:type="dxa" w:w="2767"/>
          </w:tcPr>
          <w:p>
            <w:r/>
            <w:r>
              <w:rPr>
                <w:rFonts w:ascii="Calibri" w:hAnsi="Calibri" w:eastAsia="微软雅黑"/>
                <w:b w:val="0"/>
                <w:i w:val="0"/>
                <w:sz w:val="18"/>
              </w:rPr>
              <w:t>中国化学实业反哺、山东院"卖产品-卖服务-卖资产"路径 [来源: P001133, P001117]</w:t>
            </w:r>
          </w:p>
        </w:tc>
      </w:tr>
      <w:tr>
        <w:tc>
          <w:tcPr>
            <w:tcW w:type="dxa" w:w="2767"/>
          </w:tcPr>
          <w:p>
            <w:r/>
            <w:r>
              <w:rPr>
                <w:rFonts w:ascii="Calibri" w:hAnsi="Calibri" w:eastAsia="微软雅黑"/>
                <w:b w:val="0"/>
                <w:i w:val="0"/>
                <w:sz w:val="18"/>
              </w:rPr>
              <w:t>第四步：绿色供应链与全过程合规</w:t>
            </w:r>
          </w:p>
        </w:tc>
        <w:tc>
          <w:tcPr>
            <w:tcW w:type="dxa" w:w="2767"/>
          </w:tcPr>
          <w:p>
            <w:r/>
            <w:r>
              <w:rPr>
                <w:rFonts w:ascii="Calibri" w:hAnsi="Calibri" w:eastAsia="微软雅黑"/>
                <w:b w:val="0"/>
                <w:i w:val="0"/>
                <w:sz w:val="18"/>
              </w:rPr>
              <w:t>光伏组件、逆变器、风电机组与储能电芯集中采购与品质监造；碳排放核算纳入EPC项目管理体系，优先选用低碳建材与高效设备；严格执行电网并网测试标准，规避并网违约风险</w:t>
            </w:r>
          </w:p>
        </w:tc>
        <w:tc>
          <w:tcPr>
            <w:tcW w:type="dxa" w:w="2767"/>
          </w:tcPr>
          <w:p>
            <w:r/>
            <w:r>
              <w:rPr>
                <w:rFonts w:ascii="Calibri" w:hAnsi="Calibri" w:eastAsia="微软雅黑"/>
                <w:b w:val="0"/>
                <w:i w:val="0"/>
                <w:sz w:val="18"/>
              </w:rPr>
              <w:t>上海市政总院碳排放核算体系实证 [来源: P001122, P001133]</w:t>
            </w:r>
          </w:p>
        </w:tc>
      </w:tr>
    </w:tbl>
    <w:p>
      <w:r>
        <w:rPr>
          <w:rFonts w:ascii="Calibri" w:hAnsi="Calibri" w:eastAsia="微软雅黑"/>
          <w:b w:val="0"/>
          <w:i w:val="0"/>
          <w:sz w:val="22"/>
        </w:rPr>
        <w:t>---</w:t>
      </w:r>
    </w:p>
    <w:p>
      <w:pPr>
        <w:pStyle w:val="Heading2"/>
      </w:pPr>
      <w:r>
        <w:t>12.4 全书结语：TOP50企业终局决策路线图与行业展望</w:t>
      </w:r>
    </w:p>
    <w:p>
      <w:pPr>
        <w:pStyle w:val="Heading3"/>
      </w:pPr>
      <w:r>
        <w:t>12.4.1 工程总承包模式演进的四大终局趋势</w:t>
      </w:r>
    </w:p>
    <w:p>
      <w:r>
        <w:rPr>
          <w:rFonts w:ascii="Calibri" w:hAnsi="Calibri" w:eastAsia="微软雅黑"/>
          <w:b w:val="0"/>
          <w:i w:val="0"/>
          <w:sz w:val="22"/>
        </w:rPr>
        <w:t>基于全书对中建五局、铁四院、中国联合、上海市政总院、中国寰球、山东院、中国化学、山东路桥等标杆企业的解构，工程总承包模式在中国建筑业转型升级中的四大终局趋势如下（趋势框架为本研究归纳，企业实证随文标注）：</w:t>
      </w:r>
    </w:p>
    <w:p>
      <w:pPr>
        <w:pStyle w:val="Heading4"/>
      </w:pPr>
      <w:r>
        <w:t>表12-2 工程总承包模式演进四大终局趋势（本研究归纳整理）</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终局维度</w:t>
            </w:r>
          </w:p>
        </w:tc>
        <w:tc>
          <w:tcPr>
            <w:tcW w:type="dxa" w:w="2075"/>
            <w:shd w:fill="1F3A5F"/>
          </w:tcPr>
          <w:p>
            <w:r>
              <w:rPr>
                <w:color w:val="FFFFFF"/>
              </w:rPr>
            </w:r>
            <w:r>
              <w:rPr>
                <w:rFonts w:ascii="Calibri" w:hAnsi="Calibri" w:eastAsia="微软雅黑"/>
                <w:b/>
                <w:i w:val="0"/>
                <w:color w:val="FFFFFF"/>
                <w:sz w:val="18"/>
              </w:rPr>
              <w:t>从何而来</w:t>
            </w:r>
          </w:p>
        </w:tc>
        <w:tc>
          <w:tcPr>
            <w:tcW w:type="dxa" w:w="2075"/>
            <w:shd w:fill="1F3A5F"/>
          </w:tcPr>
          <w:p>
            <w:r>
              <w:rPr>
                <w:color w:val="FFFFFF"/>
              </w:rPr>
            </w:r>
            <w:r>
              <w:rPr>
                <w:rFonts w:ascii="Calibri" w:hAnsi="Calibri" w:eastAsia="微软雅黑"/>
                <w:b/>
                <w:i w:val="0"/>
                <w:color w:val="FFFFFF"/>
                <w:sz w:val="18"/>
              </w:rPr>
              <w:t>向何处去</w:t>
            </w:r>
          </w:p>
        </w:tc>
        <w:tc>
          <w:tcPr>
            <w:tcW w:type="dxa" w:w="2075"/>
            <w:shd w:fill="1F3A5F"/>
          </w:tcPr>
          <w:p>
            <w:r>
              <w:rPr>
                <w:color w:val="FFFFFF"/>
              </w:rPr>
            </w:r>
            <w:r>
              <w:rPr>
                <w:rFonts w:ascii="Calibri" w:hAnsi="Calibri" w:eastAsia="微软雅黑"/>
                <w:b/>
                <w:i w:val="0"/>
                <w:color w:val="FFFFFF"/>
                <w:sz w:val="18"/>
              </w:rPr>
              <w:t>代表实证</w:t>
            </w:r>
          </w:p>
        </w:tc>
      </w:tr>
      <w:tr>
        <w:tc>
          <w:tcPr>
            <w:tcW w:type="dxa" w:w="2075"/>
          </w:tcPr>
          <w:p>
            <w:r/>
            <w:r>
              <w:rPr>
                <w:rFonts w:ascii="Calibri" w:hAnsi="Calibri" w:eastAsia="微软雅黑"/>
                <w:b w:val="0"/>
                <w:i w:val="0"/>
                <w:sz w:val="18"/>
              </w:rPr>
              <w:t>交付模式</w:t>
            </w:r>
          </w:p>
        </w:tc>
        <w:tc>
          <w:tcPr>
            <w:tcW w:type="dxa" w:w="2075"/>
          </w:tcPr>
          <w:p>
            <w:r/>
            <w:r>
              <w:rPr>
                <w:rFonts w:ascii="Calibri" w:hAnsi="Calibri" w:eastAsia="微软雅黑"/>
                <w:b w:val="0"/>
                <w:i w:val="0"/>
                <w:sz w:val="18"/>
              </w:rPr>
              <w:t>设计、采购、施工割裂的单环节发包</w:t>
            </w:r>
          </w:p>
        </w:tc>
        <w:tc>
          <w:tcPr>
            <w:tcW w:type="dxa" w:w="2075"/>
          </w:tcPr>
          <w:p>
            <w:r/>
            <w:r>
              <w:rPr>
                <w:rFonts w:ascii="Calibri" w:hAnsi="Calibri" w:eastAsia="微软雅黑"/>
                <w:b w:val="0"/>
                <w:i w:val="0"/>
                <w:sz w:val="18"/>
              </w:rPr>
              <w:t>"策（策划咨询）-产（产业导入）-投（投资孵化）-建（高品质建造）-营（高效运营）-研（技术研发）"全生命周期一体化</w:t>
            </w:r>
          </w:p>
        </w:tc>
        <w:tc>
          <w:tcPr>
            <w:tcW w:type="dxa" w:w="2075"/>
          </w:tcPr>
          <w:p>
            <w:r/>
            <w:r>
              <w:rPr>
                <w:rFonts w:ascii="Calibri" w:hAnsi="Calibri" w:eastAsia="微软雅黑"/>
                <w:b w:val="0"/>
                <w:i w:val="0"/>
                <w:sz w:val="18"/>
              </w:rPr>
              <w:t>中国联合"全过程咨询+EPC/EPC+F/EPC+O"；中建五局"投资研发设计建造运营"全产业链整合 [来源: P001111, P001101]</w:t>
            </w:r>
          </w:p>
        </w:tc>
      </w:tr>
      <w:tr>
        <w:tc>
          <w:tcPr>
            <w:tcW w:type="dxa" w:w="2075"/>
          </w:tcPr>
          <w:p>
            <w:r/>
            <w:r>
              <w:rPr>
                <w:rFonts w:ascii="Calibri" w:hAnsi="Calibri" w:eastAsia="微软雅黑"/>
                <w:b w:val="0"/>
                <w:i w:val="0"/>
                <w:sz w:val="18"/>
              </w:rPr>
              <w:t>竞争壁垒</w:t>
            </w:r>
          </w:p>
        </w:tc>
        <w:tc>
          <w:tcPr>
            <w:tcW w:type="dxa" w:w="2075"/>
          </w:tcPr>
          <w:p>
            <w:r/>
            <w:r>
              <w:rPr>
                <w:rFonts w:ascii="Calibri" w:hAnsi="Calibri" w:eastAsia="微软雅黑"/>
                <w:b w:val="0"/>
                <w:i w:val="0"/>
                <w:sz w:val="18"/>
              </w:rPr>
              <w:t>通用工程量堆砌、低价竞争</w:t>
            </w:r>
          </w:p>
        </w:tc>
        <w:tc>
          <w:tcPr>
            <w:tcW w:type="dxa" w:w="2075"/>
          </w:tcPr>
          <w:p>
            <w:r/>
            <w:r>
              <w:rPr>
                <w:rFonts w:ascii="Calibri" w:hAnsi="Calibri" w:eastAsia="微软雅黑"/>
                <w:b w:val="0"/>
                <w:i w:val="0"/>
                <w:sz w:val="18"/>
              </w:rPr>
              <w:t>"专有技术包+高毛利新材料/新质生产力"</w:t>
            </w:r>
          </w:p>
        </w:tc>
        <w:tc>
          <w:tcPr>
            <w:tcW w:type="dxa" w:w="2075"/>
          </w:tcPr>
          <w:p>
            <w:r/>
            <w:r>
              <w:rPr>
                <w:rFonts w:ascii="Calibri" w:hAnsi="Calibri" w:eastAsia="微软雅黑"/>
                <w:b w:val="0"/>
                <w:i w:val="0"/>
                <w:sz w:val="18"/>
              </w:rPr>
              <w:t>中国化学气凝胶、POE与二氧化碳资源化技术；山东路桥UHPC与钢渣资源化养护 [来源: P001133, P001135]</w:t>
            </w:r>
          </w:p>
        </w:tc>
      </w:tr>
      <w:tr>
        <w:tc>
          <w:tcPr>
            <w:tcW w:type="dxa" w:w="2075"/>
          </w:tcPr>
          <w:p>
            <w:r/>
            <w:r>
              <w:rPr>
                <w:rFonts w:ascii="Calibri" w:hAnsi="Calibri" w:eastAsia="微软雅黑"/>
                <w:b w:val="0"/>
                <w:i w:val="0"/>
                <w:sz w:val="18"/>
              </w:rPr>
              <w:t>管控手段</w:t>
            </w:r>
          </w:p>
        </w:tc>
        <w:tc>
          <w:tcPr>
            <w:tcW w:type="dxa" w:w="2075"/>
          </w:tcPr>
          <w:p>
            <w:r/>
            <w:r>
              <w:rPr>
                <w:rFonts w:ascii="Calibri" w:hAnsi="Calibri" w:eastAsia="微软雅黑"/>
                <w:b w:val="0"/>
                <w:i w:val="0"/>
                <w:sz w:val="18"/>
              </w:rPr>
              <w:t>线下经验派施工管理</w:t>
            </w:r>
          </w:p>
        </w:tc>
        <w:tc>
          <w:tcPr>
            <w:tcW w:type="dxa" w:w="2075"/>
          </w:tcPr>
          <w:p>
            <w:r/>
            <w:r>
              <w:rPr>
                <w:rFonts w:ascii="Calibri" w:hAnsi="Calibri" w:eastAsia="微软雅黑"/>
                <w:b w:val="0"/>
                <w:i w:val="0"/>
                <w:sz w:val="18"/>
              </w:rPr>
              <w:t>"数字孪生+BIM/PMIS+数据资产交付"</w:t>
            </w:r>
          </w:p>
        </w:tc>
        <w:tc>
          <w:tcPr>
            <w:tcW w:type="dxa" w:w="2075"/>
          </w:tcPr>
          <w:p>
            <w:r/>
            <w:r>
              <w:rPr>
                <w:rFonts w:ascii="Calibri" w:hAnsi="Calibri" w:eastAsia="微软雅黑"/>
                <w:b w:val="0"/>
                <w:i w:val="0"/>
                <w:sz w:val="18"/>
              </w:rPr>
              <w:t>上海市政总院协同平台（信息传递效率提高30%）；铁四院三级PMO [来源: P001122, P001106]</w:t>
            </w:r>
          </w:p>
        </w:tc>
      </w:tr>
      <w:tr>
        <w:tc>
          <w:tcPr>
            <w:tcW w:type="dxa" w:w="2075"/>
          </w:tcPr>
          <w:p>
            <w:r/>
            <w:r>
              <w:rPr>
                <w:rFonts w:ascii="Calibri" w:hAnsi="Calibri" w:eastAsia="微软雅黑"/>
                <w:b w:val="0"/>
                <w:i w:val="0"/>
                <w:sz w:val="18"/>
              </w:rPr>
              <w:t>全球化形态</w:t>
            </w:r>
          </w:p>
        </w:tc>
        <w:tc>
          <w:tcPr>
            <w:tcW w:type="dxa" w:w="2075"/>
          </w:tcPr>
          <w:p>
            <w:r/>
            <w:r>
              <w:rPr>
                <w:rFonts w:ascii="Calibri" w:hAnsi="Calibri" w:eastAsia="微软雅黑"/>
                <w:b w:val="0"/>
                <w:i w:val="0"/>
                <w:sz w:val="18"/>
              </w:rPr>
              <w:t>低价无序竞争出海</w:t>
            </w:r>
          </w:p>
        </w:tc>
        <w:tc>
          <w:tcPr>
            <w:tcW w:type="dxa" w:w="2075"/>
          </w:tcPr>
          <w:p>
            <w:r/>
            <w:r>
              <w:rPr>
                <w:rFonts w:ascii="Calibri" w:hAnsi="Calibri" w:eastAsia="微软雅黑"/>
                <w:b w:val="0"/>
                <w:i w:val="0"/>
                <w:sz w:val="18"/>
              </w:rPr>
              <w:t>"高合规、高属地化、司法风控屏障穿透"的高端市场</w:t>
            </w:r>
          </w:p>
        </w:tc>
        <w:tc>
          <w:tcPr>
            <w:tcW w:type="dxa" w:w="2075"/>
          </w:tcPr>
          <w:p>
            <w:r/>
            <w:r>
              <w:rPr>
                <w:rFonts w:ascii="Calibri" w:hAnsi="Calibri" w:eastAsia="微软雅黑"/>
                <w:b w:val="0"/>
                <w:i w:val="0"/>
                <w:sz w:val="18"/>
              </w:rPr>
              <w:t>中国寰球大区中心制与FDPC；中国化学境外新签1,245.16亿元 [来源: P001127, P001133]</w:t>
            </w:r>
          </w:p>
        </w:tc>
      </w:tr>
    </w:tbl>
    <w:p>
      <w:r>
        <w:rPr>
          <w:rFonts w:ascii="Calibri" w:hAnsi="Calibri" w:eastAsia="微软雅黑"/>
          <w:b/>
          <w:i w:val="0"/>
          <w:sz w:val="22"/>
        </w:rPr>
        <w:t>趋势一（交付模式）</w:t>
      </w:r>
      <w:r>
        <w:rPr>
          <w:rFonts w:ascii="Calibri" w:hAnsi="Calibri" w:eastAsia="微软雅黑"/>
          <w:b w:val="0"/>
          <w:i w:val="0"/>
          <w:sz w:val="22"/>
        </w:rPr>
        <w:t>的本质是把设计从"出图环节"升维为"全链条数据与责任源头"：中国联合以"设计为引领"贯通全过程咨询与总承包，并形成设计引领型EPC管理、"全过程咨询+EPC"相结合、"策产投建营研"一体化业务模式与EPC项目风险管控体系的模式群；中建五局以单一法人承担质量、安全、工期与造价的终极单一责任（Single-point Responsibility）——两者共同指向"业主只面对一个总承包商"的界面简化，设计院与施工企业的出身差异将在这一终点上归一 [来源: P001111, P001101]。</w:t>
      </w:r>
      <w:r>
        <w:rPr>
          <w:rFonts w:ascii="Calibri" w:hAnsi="Calibri" w:eastAsia="微软雅黑"/>
          <w:b/>
          <w:i w:val="0"/>
          <w:sz w:val="22"/>
        </w:rPr>
        <w:t>趋势二（竞争壁垒）</w:t>
      </w:r>
      <w:r>
        <w:rPr>
          <w:rFonts w:ascii="Calibri" w:hAnsi="Calibri" w:eastAsia="微软雅黑"/>
          <w:b w:val="0"/>
          <w:i w:val="0"/>
          <w:sz w:val="22"/>
        </w:rPr>
        <w:t>的实质是毛利率结构再造：通用土建安装毛利持续走低，而掌握工艺包与新材料实业的企业获得定价权，中国化学十类重点产品高端化专用化品种占比提升至35%即为注脚；山东路桥则以UHPC-钢箱叠合梁专用悬臂安装设备与钢渣资源化路用技术，把"施工技术"沉淀为可复用的"专有技术资产" [来源: P001133, P001135]。</w:t>
      </w:r>
      <w:r>
        <w:rPr>
          <w:rFonts w:ascii="Calibri" w:hAnsi="Calibri" w:eastAsia="微软雅黑"/>
          <w:b/>
          <w:i w:val="0"/>
          <w:sz w:val="22"/>
        </w:rPr>
        <w:t>趋势三（管控手段）</w:t>
      </w:r>
      <w:r>
        <w:rPr>
          <w:rFonts w:ascii="Calibri" w:hAnsi="Calibri" w:eastAsia="微软雅黑"/>
          <w:b w:val="0"/>
          <w:i w:val="0"/>
          <w:sz w:val="22"/>
        </w:rPr>
        <w:t>的落点是证据链：BIM模型、施工参数与运维指南作为"数字资产"随工程实体一并交付，数字化台账同时服务于调价与请款凭证；山东院"东营辉阳500千伏变电站BIM数字化应用"与上海市政总院协同平台的实证，标志着数字化已从展示工具变为交付物本身 [来源: P001122, P001117]。</w:t>
      </w:r>
      <w:r>
        <w:rPr>
          <w:rFonts w:ascii="Calibri" w:hAnsi="Calibri" w:eastAsia="微软雅黑"/>
          <w:b/>
          <w:i w:val="0"/>
          <w:sz w:val="22"/>
        </w:rPr>
        <w:t>趋势四（全球化形态）</w:t>
      </w:r>
      <w:r>
        <w:rPr>
          <w:rFonts w:ascii="Calibri" w:hAnsi="Calibri" w:eastAsia="微软雅黑"/>
          <w:b w:val="0"/>
          <w:i w:val="0"/>
          <w:sz w:val="22"/>
        </w:rPr>
        <w:t>的分水岭在合规能力而非价格能力——中国化学以160个海外机构支撑全球资源配置，中国寰球以大区中心制与FDPC融资架构打进高端市场，三大司法防护网（主分包同步解除、保函欺诈止付、计价标准锁定）构成高端市场的入场券而非可选项 [来源: P001133, P001127, P001151]。</w:t>
      </w:r>
    </w:p>
    <w:p>
      <w:pPr>
        <w:pStyle w:val="Heading3"/>
      </w:pPr>
      <w:r>
        <w:t>12.4.2 TOP50企业与设计院高管终局决策指南</w:t>
      </w:r>
    </w:p>
    <w:p>
      <w:r>
        <w:rPr>
          <w:rFonts w:ascii="Calibri" w:hAnsi="Calibri" w:eastAsia="微软雅黑"/>
          <w:b/>
          <w:i w:val="0"/>
          <w:sz w:val="22"/>
        </w:rPr>
        <w:t>战略维度：确立单一法人责任，锁定资质许可范围。</w:t>
      </w:r>
      <w:r>
        <w:rPr>
          <w:rFonts w:ascii="Calibri" w:hAnsi="Calibri" w:eastAsia="微软雅黑"/>
          <w:b w:val="0"/>
          <w:i w:val="0"/>
          <w:sz w:val="22"/>
        </w:rPr>
        <w:t xml:space="preserve"> 依据建市〔2014〕159号等资质政策与"达华电力案"［(2016)最高法民终695号］裁判规则，确认本企业以现有设计或施工资质独立承揽EPC的法律依据；放弃无序挂靠与松散联合体，通过"双源合一"重组或事业部打通建立统一法人实体，对外承担单一包干责任。战略落位时参照两端样本校准姿态：以总承包为主业的集团对标中国化学的全球布局（160个海外机构、工程业绩遍布全球80多个国家和地区），区域型企业对标上海市政总院的"全国化、全过程"深耕（EPC营收突破140亿元、占总营收60%以上）——两者虽量级不同，共同点都是单一法人对交付结果负总责 [来源: P001151, P001133, P001122]。</w:t>
      </w:r>
    </w:p>
    <w:p>
      <w:r>
        <w:rPr>
          <w:rFonts w:ascii="Calibri" w:hAnsi="Calibri" w:eastAsia="微软雅黑"/>
          <w:b/>
          <w:i w:val="0"/>
          <w:sz w:val="22"/>
        </w:rPr>
        <w:t>组织维度：三级PMO与项目经理负责制。</w:t>
      </w:r>
      <w:r>
        <w:rPr>
          <w:rFonts w:ascii="Calibri" w:hAnsi="Calibri" w:eastAsia="微软雅黑"/>
          <w:b w:val="0"/>
          <w:i w:val="0"/>
          <w:sz w:val="22"/>
        </w:rPr>
        <w:t xml:space="preserve"> 打破设计院与施工队伍之间的"部门墙"，建立"集团/院级EPC管理中心-分院/事业部-项目部"三级PMO架构；赋予项目经理采购发包权、施工分包选择权与内部奖惩分配权；设立限额设计与造价节约专项奖励，把团队利益与项目最终盈利深度绑定。组织之外还有两项软资产要同步投入：复合型人才梯队（支持与高校、行业协会合作开展EPC教育培训，在项目实战中培养既懂设计又懂采购施工的骨干）与专业风险管理团队（EPC模式下总承包商承担项目大部分风险，风险识别、评估、应对须成体系，并通过合同条款与业主、分包商、供应商建立风险共担机制）（组织要点为本研究归纳，依据中国联合、铁四院、中建五局实证）[来源: P001111, P001106, P001101]。</w:t>
      </w:r>
    </w:p>
    <w:p>
      <w:r>
        <w:rPr>
          <w:rFonts w:ascii="Calibri" w:hAnsi="Calibri" w:eastAsia="微软雅黑"/>
          <w:b/>
          <w:i w:val="0"/>
          <w:sz w:val="22"/>
        </w:rPr>
        <w:t>财务与概算维度：把造价控制关口前移至初步设计。</w:t>
      </w:r>
      <w:r>
        <w:rPr>
          <w:rFonts w:ascii="Calibri" w:hAnsi="Calibri" w:eastAsia="微软雅黑"/>
          <w:b w:val="0"/>
          <w:i w:val="0"/>
          <w:sz w:val="22"/>
        </w:rPr>
        <w:t xml:space="preserve"> 贯彻《建设项目工程总承包管理规范》（GB/T 50358-2017），按12.1.4节的概算三法与设备安装四法编制与修正概算，生产性或经营性项目按全部流动资金的30%足额计列铺底流动资金；初步设计后发包的最高投标限价以设计概算为基础采用项目清单计价 [来源: P001116, P001151]。</w:t>
      </w:r>
    </w:p>
    <w:p>
      <w:r>
        <w:rPr>
          <w:rFonts w:ascii="Calibri" w:hAnsi="Calibri" w:eastAsia="微软雅黑"/>
          <w:b/>
          <w:i w:val="0"/>
          <w:sz w:val="22"/>
        </w:rPr>
        <w:t>合规与法律维度：四大司法防护网常态化。</w:t>
      </w:r>
      <w:r>
        <w:rPr>
          <w:rFonts w:ascii="Calibri" w:hAnsi="Calibri" w:eastAsia="微软雅黑"/>
          <w:b w:val="0"/>
          <w:i w:val="0"/>
          <w:sz w:val="22"/>
        </w:rPr>
        <w:t xml:space="preserve"> 分拆合同的请款审查台账（技术文件交付与节点付款扣合，应对先履行抗辩）；分包合同的主分包同步解除与限期退场条款［(2016)最高法民再53号］；行政审计条款清理与计价标准锁定［《法工委函〔2017〕2号》、"重庆勇创案"［(2012)民提字第205号］］；境外项目的介入权与独立保函止付预案［(2017)川民终72号］。四张网在合同签订阶段就要织好，诉讼阶段只是收网（部署要点为本研究归纳）[来源: P001151, P001132]。</w:t>
      </w:r>
    </w:p>
    <w:p>
      <w:pPr>
        <w:pStyle w:val="Heading3"/>
      </w:pPr>
      <w:r>
        <w:t>12.4.3 全书终局行动路线图</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阶段（时间窗为本研究示意性设定，own_calc）</w:t>
            </w:r>
          </w:p>
        </w:tc>
        <w:tc>
          <w:tcPr>
            <w:tcW w:type="dxa" w:w="2075"/>
            <w:shd w:fill="1F3A5F"/>
          </w:tcPr>
          <w:p>
            <w:r>
              <w:rPr>
                <w:color w:val="FFFFFF"/>
              </w:rPr>
            </w:r>
            <w:r>
              <w:rPr>
                <w:rFonts w:ascii="Calibri" w:hAnsi="Calibri" w:eastAsia="微软雅黑"/>
                <w:b/>
                <w:i w:val="0"/>
                <w:color w:val="FFFFFF"/>
                <w:sz w:val="18"/>
              </w:rPr>
              <w:t>推进维度</w:t>
            </w:r>
          </w:p>
        </w:tc>
        <w:tc>
          <w:tcPr>
            <w:tcW w:type="dxa" w:w="2075"/>
            <w:shd w:fill="1F3A5F"/>
          </w:tcPr>
          <w:p>
            <w:r>
              <w:rPr>
                <w:color w:val="FFFFFF"/>
              </w:rPr>
            </w:r>
            <w:r>
              <w:rPr>
                <w:rFonts w:ascii="Calibri" w:hAnsi="Calibri" w:eastAsia="微软雅黑"/>
                <w:b/>
                <w:i w:val="0"/>
                <w:color w:val="FFFFFF"/>
                <w:sz w:val="18"/>
              </w:rPr>
              <w:t>关键落地动作</w:t>
            </w:r>
          </w:p>
        </w:tc>
        <w:tc>
          <w:tcPr>
            <w:tcW w:type="dxa" w:w="2075"/>
            <w:shd w:fill="1F3A5F"/>
          </w:tcPr>
          <w:p>
            <w:r>
              <w:rPr>
                <w:color w:val="FFFFFF"/>
              </w:rPr>
            </w:r>
            <w:r>
              <w:rPr>
                <w:rFonts w:ascii="Calibri" w:hAnsi="Calibri" w:eastAsia="微软雅黑"/>
                <w:b/>
                <w:i w:val="0"/>
                <w:color w:val="FFFFFF"/>
                <w:sz w:val="18"/>
              </w:rPr>
              <w:t>预期结果</w:t>
            </w:r>
          </w:p>
        </w:tc>
      </w:tr>
      <w:tr>
        <w:tc>
          <w:tcPr>
            <w:tcW w:type="dxa" w:w="2075"/>
          </w:tcPr>
          <w:p>
            <w:r/>
            <w:r>
              <w:rPr>
                <w:rFonts w:ascii="Calibri" w:hAnsi="Calibri" w:eastAsia="微软雅黑"/>
                <w:b w:val="0"/>
                <w:i w:val="0"/>
                <w:sz w:val="18"/>
              </w:rPr>
              <w:t>短期（0至6个月，own_calc示意）</w:t>
            </w:r>
          </w:p>
        </w:tc>
        <w:tc>
          <w:tcPr>
            <w:tcW w:type="dxa" w:w="2075"/>
          </w:tcPr>
          <w:p>
            <w:r/>
            <w:r>
              <w:rPr>
                <w:rFonts w:ascii="Calibri" w:hAnsi="Calibri" w:eastAsia="微软雅黑"/>
                <w:b w:val="0"/>
                <w:i w:val="0"/>
                <w:sz w:val="18"/>
              </w:rPr>
              <w:t>资质与风控基座清理</w:t>
            </w:r>
          </w:p>
        </w:tc>
        <w:tc>
          <w:tcPr>
            <w:tcW w:type="dxa" w:w="2075"/>
          </w:tcPr>
          <w:p>
            <w:r/>
            <w:r>
              <w:rPr>
                <w:rFonts w:ascii="Calibri" w:hAnsi="Calibri" w:eastAsia="微软雅黑"/>
                <w:b w:val="0"/>
                <w:i w:val="0"/>
                <w:sz w:val="18"/>
              </w:rPr>
              <w:t>依据建市〔2014〕159号与"达华电力案"裁判规则清理内部挂靠与松散联合体；引用《法工委函〔2017〕2号》清理强制行政审计条款；分包合同补齐主分包同步解除与限期退场条款 [来源: P001151]</w:t>
            </w:r>
          </w:p>
        </w:tc>
        <w:tc>
          <w:tcPr>
            <w:tcW w:type="dxa" w:w="2075"/>
          </w:tcPr>
          <w:p>
            <w:r/>
            <w:r>
              <w:rPr>
                <w:rFonts w:ascii="Calibri" w:hAnsi="Calibri" w:eastAsia="微软雅黑"/>
                <w:b w:val="0"/>
                <w:i w:val="0"/>
                <w:sz w:val="18"/>
              </w:rPr>
              <w:t>确立单一法人单一责任交付的合法性基础，封堵分包强占现场与结算无限期拖延两类风险 [来源: P001151]</w:t>
            </w:r>
          </w:p>
        </w:tc>
      </w:tr>
      <w:tr>
        <w:tc>
          <w:tcPr>
            <w:tcW w:type="dxa" w:w="2075"/>
          </w:tcPr>
          <w:p>
            <w:r/>
            <w:r>
              <w:rPr>
                <w:rFonts w:ascii="Calibri" w:hAnsi="Calibri" w:eastAsia="微软雅黑"/>
                <w:b w:val="0"/>
                <w:i w:val="0"/>
                <w:sz w:val="18"/>
              </w:rPr>
              <w:t>中期（6至18个月，own_calc示意）</w:t>
            </w:r>
          </w:p>
        </w:tc>
        <w:tc>
          <w:tcPr>
            <w:tcW w:type="dxa" w:w="2075"/>
          </w:tcPr>
          <w:p>
            <w:r/>
            <w:r>
              <w:rPr>
                <w:rFonts w:ascii="Calibri" w:hAnsi="Calibri" w:eastAsia="微软雅黑"/>
                <w:b w:val="0"/>
                <w:i w:val="0"/>
                <w:sz w:val="18"/>
              </w:rPr>
              <w:t>流程重构与概算体系</w:t>
            </w:r>
          </w:p>
        </w:tc>
        <w:tc>
          <w:tcPr>
            <w:tcW w:type="dxa" w:w="2075"/>
          </w:tcPr>
          <w:p>
            <w:r/>
            <w:r>
              <w:rPr>
                <w:rFonts w:ascii="Calibri" w:hAnsi="Calibri" w:eastAsia="微软雅黑"/>
                <w:b w:val="0"/>
                <w:i w:val="0"/>
                <w:sz w:val="18"/>
              </w:rPr>
              <w:t>搭建BIM+PMIS全过程协同平台，推行设计施工深度融合与可施工性审查；按GB/T 50358在初步设计阶段编制高精度概算并运用概算三法动态修正；主要设备材料集中采购与工厂监造 [来源: P001116, P001101, P001111]</w:t>
            </w:r>
          </w:p>
        </w:tc>
        <w:tc>
          <w:tcPr>
            <w:tcW w:type="dxa" w:w="2075"/>
          </w:tcPr>
          <w:p>
            <w:r/>
            <w:r>
              <w:rPr>
                <w:rFonts w:ascii="Calibri" w:hAnsi="Calibri" w:eastAsia="微软雅黑"/>
                <w:b w:val="0"/>
                <w:i w:val="0"/>
                <w:sz w:val="18"/>
              </w:rPr>
              <w:t>设计变更源头压降，施工图预算封顶于初步设计概算之内（管控目标为本研究归纳，示意性复盘）[来源: P001151]</w:t>
            </w:r>
          </w:p>
        </w:tc>
      </w:tr>
      <w:tr>
        <w:tc>
          <w:tcPr>
            <w:tcW w:type="dxa" w:w="2075"/>
          </w:tcPr>
          <w:p>
            <w:r/>
            <w:r>
              <w:rPr>
                <w:rFonts w:ascii="Calibri" w:hAnsi="Calibri" w:eastAsia="微软雅黑"/>
                <w:b w:val="0"/>
                <w:i w:val="0"/>
                <w:sz w:val="18"/>
              </w:rPr>
              <w:t>长期（18至36个月，own_calc示意）</w:t>
            </w:r>
          </w:p>
        </w:tc>
        <w:tc>
          <w:tcPr>
            <w:tcW w:type="dxa" w:w="2075"/>
          </w:tcPr>
          <w:p>
            <w:r/>
            <w:r>
              <w:rPr>
                <w:rFonts w:ascii="Calibri" w:hAnsi="Calibri" w:eastAsia="微软雅黑"/>
                <w:b w:val="0"/>
                <w:i w:val="0"/>
                <w:sz w:val="18"/>
              </w:rPr>
              <w:t>专有技术与全球布局</w:t>
            </w:r>
          </w:p>
        </w:tc>
        <w:tc>
          <w:tcPr>
            <w:tcW w:type="dxa" w:w="2075"/>
          </w:tcPr>
          <w:p>
            <w:r/>
            <w:r>
              <w:rPr>
                <w:rFonts w:ascii="Calibri" w:hAnsi="Calibri" w:eastAsia="微软雅黑"/>
                <w:b w:val="0"/>
                <w:i w:val="0"/>
                <w:sz w:val="18"/>
              </w:rPr>
              <w:t>研发或引进绿色低碳与新材料专有技术包（CCUS高值利用、绿氢绿氨、新型储能、资源化养护）；海外搭建大区中心制与FDPC卖方信贷模式；建立独立保函与介入权司法风控屏障 [来源: P001133, P001127, P001151]</w:t>
            </w:r>
          </w:p>
        </w:tc>
        <w:tc>
          <w:tcPr>
            <w:tcW w:type="dxa" w:w="2075"/>
          </w:tcPr>
          <w:p>
            <w:r/>
            <w:r>
              <w:rPr>
                <w:rFonts w:ascii="Calibri" w:hAnsi="Calibri" w:eastAsia="微软雅黑"/>
                <w:b w:val="0"/>
                <w:i w:val="0"/>
                <w:sz w:val="18"/>
              </w:rPr>
              <w:t>由通用工程施工向"高毛利专有技术/实业+全球高端合规交付"的战略蜕变（愿景表述为本研究归纳）[来源: P001133, P001127]</w:t>
            </w:r>
          </w:p>
        </w:tc>
      </w:tr>
    </w:tbl>
    <w:p>
      <w:r>
        <w:rPr>
          <w:rFonts w:ascii="Calibri" w:hAnsi="Calibri" w:eastAsia="微软雅黑"/>
          <w:b w:val="0"/>
          <w:i w:val="0"/>
          <w:sz w:val="22"/>
        </w:rPr>
        <w:t>---</w:t>
      </w:r>
    </w:p>
    <w:p>
      <w:pPr>
        <w:pStyle w:val="Heading2"/>
      </w:pPr>
      <w:r>
        <w:t>12.5 本章小结要点</w:t>
      </w:r>
    </w:p>
    <w:p>
      <w:pPr>
        <w:pStyle w:val="ListNumber"/>
      </w:pPr>
      <w:r>
        <w:rPr>
          <w:rFonts w:ascii="Calibri" w:hAnsi="Calibri" w:eastAsia="微软雅黑"/>
          <w:b/>
          <w:i w:val="0"/>
          <w:sz w:val="22"/>
        </w:rPr>
        <w:t>资质准入与单一法人交付</w:t>
      </w:r>
      <w:r>
        <w:rPr>
          <w:rFonts w:ascii="Calibri" w:hAnsi="Calibri" w:eastAsia="微软雅黑"/>
          <w:b w:val="0"/>
          <w:i w:val="0"/>
          <w:sz w:val="22"/>
        </w:rPr>
        <w:t>：国发〔2002〕24号取消工程总承包资格核准后，具备工程设计资质或施工总承包资质的企业即可依法承揽资质许可范围内的EPC业务，"达华电力案"［(2016)最高法民终695号］在司法层面确认了这一规则；企业应通过"双源合一"打通内设事业部，实现单一法人单一责任交付 [来源: P001151]。</w:t>
      </w:r>
    </w:p>
    <w:p>
      <w:pPr>
        <w:pStyle w:val="ListNumber"/>
      </w:pPr>
      <w:r>
        <w:rPr>
          <w:rFonts w:ascii="Calibri" w:hAnsi="Calibri" w:eastAsia="微软雅黑"/>
          <w:b/>
          <w:i w:val="0"/>
          <w:sz w:val="22"/>
        </w:rPr>
        <w:t>概算管控是EPC固定总价包干的算力根基</w:t>
      </w:r>
      <w:r>
        <w:rPr>
          <w:rFonts w:ascii="Calibri" w:hAnsi="Calibri" w:eastAsia="微软雅黑"/>
          <w:b w:val="0"/>
          <w:i w:val="0"/>
          <w:sz w:val="22"/>
        </w:rPr>
        <w:t>：依据GB/T 50358-2017，造价控制关口前移至初步设计阶段——概算定额法、概算指标法（结构修正公式J修正 = J + Q1×P1 − Q2×P2）与类似工程预算法（D = A×K）按设计深度选型，设备安装概算四法按清单深度匹配，生产性项目按全部流动资金的30%计列铺底流动资金 [来源: P001116, P001151]。</w:t>
      </w:r>
    </w:p>
    <w:p>
      <w:pPr>
        <w:pStyle w:val="ListNumber"/>
      </w:pPr>
      <w:r>
        <w:rPr>
          <w:rFonts w:ascii="Calibri" w:hAnsi="Calibri" w:eastAsia="微软雅黑"/>
          <w:b/>
          <w:i w:val="0"/>
          <w:sz w:val="22"/>
        </w:rPr>
        <w:t>海外履约的三张司法防护网</w:t>
      </w:r>
      <w:r>
        <w:rPr>
          <w:rFonts w:ascii="Calibri" w:hAnsi="Calibri" w:eastAsia="微软雅黑"/>
          <w:b w:val="0"/>
          <w:i w:val="0"/>
          <w:sz w:val="22"/>
        </w:rPr>
        <w:t>：主分包同步解除与物权退场［(2016)最高法民再53号］、独立保函欺诈止付［(2017)川民终72号］、行政审计条款清理与计价标准锁定［《法工委函〔2017〕2号》、"重庆勇创案"［(2012)民提字第205号］］——三案一函的规则须在合同签订阶段落地为条款 [来源: P001151]。</w:t>
      </w:r>
    </w:p>
    <w:p>
      <w:pPr>
        <w:pStyle w:val="ListNumber"/>
      </w:pPr>
      <w:r>
        <w:rPr>
          <w:rFonts w:ascii="Calibri" w:hAnsi="Calibri" w:eastAsia="微软雅黑"/>
          <w:b/>
          <w:i w:val="0"/>
          <w:sz w:val="22"/>
        </w:rPr>
        <w:t>双碳赛道的胜负手是商业化造血</w:t>
      </w:r>
      <w:r>
        <w:rPr>
          <w:rFonts w:ascii="Calibri" w:hAnsi="Calibri" w:eastAsia="微软雅黑"/>
          <w:b w:val="0"/>
          <w:i w:val="0"/>
          <w:sz w:val="22"/>
        </w:rPr>
        <w:t>：从"纯付费封存"转向"捕集-转化-新材料-碳交易"环路，以专有技术包与新材料实业构筑壁垒——中国化学的POE与二氧化碳资源化利用技术、气凝胶新材料，山东路桥的2,645万平方米路面再生与钢渣资源化，都是环保负担变增长极的实证 [来源: P001133, P001135, P001151]。</w:t>
      </w:r>
    </w:p>
    <w:p>
      <w:pPr>
        <w:pStyle w:val="ListNumber"/>
      </w:pPr>
      <w:r>
        <w:rPr>
          <w:rFonts w:ascii="Calibri" w:hAnsi="Calibri" w:eastAsia="微软雅黑"/>
          <w:b/>
          <w:i w:val="0"/>
          <w:sz w:val="22"/>
        </w:rPr>
        <w:t>全书三场景的合流点</w:t>
      </w:r>
      <w:r>
        <w:rPr>
          <w:rFonts w:ascii="Calibri" w:hAnsi="Calibri" w:eastAsia="微软雅黑"/>
          <w:b w:val="0"/>
          <w:i w:val="0"/>
          <w:sz w:val="22"/>
        </w:rPr>
        <w:t>：转型升级（场景一）解决"能不能干"，国际化（场景二）解决"在哪干、怎么不死"，双碳造血（场景三）解决"凭什么赚钱"——三者共用同一套底座：单一法人责任、概算管控、司法风控与专有技术包。回望全书十二章：第1至2章给了全景画像与榜单口径的"地图"，第3至6章拆解了央企集团军、专业赛道、区域梯队与设计院转型四种"棋风"，第7至10章锻造了项目管理、盈利风控、人才组织与数字化四项"内功"，第11章完成三档分档的"对镜自照"，本章则把这一切收束为三份可执行清单——地图、棋风、内功、自照、清单，五件套齐备，读者的下一步就不再取决于信息，而取决于决心 [来源: P001151, P001133, P001127, P001101]。</w:t>
      </w:r>
    </w:p>
    <w:p>
      <w:pPr>
        <w:pStyle w:val="ListNumber"/>
      </w:pPr>
      <w:r>
        <w:rPr>
          <w:rFonts w:ascii="Calibri" w:hAnsi="Calibri" w:eastAsia="微软雅黑"/>
          <w:b/>
          <w:i w:val="0"/>
          <w:sz w:val="22"/>
        </w:rPr>
        <w:t>给三类买家的最后一句话（本研究赠言）</w:t>
      </w:r>
      <w:r>
        <w:rPr>
          <w:rFonts w:ascii="Calibri" w:hAnsi="Calibri" w:eastAsia="微软雅黑"/>
          <w:b w:val="0"/>
          <w:i w:val="0"/>
          <w:sz w:val="22"/>
        </w:rPr>
        <w:t>：头部领军者的命题是"如何把规模优势转译为规则优势"——用专有技术包与标准话语权守住利润池；中坚骨干的命题是"如何在夹缝中做深一条堤坝"——在专业赛道或区域市场上把交付能力做到对手难以复制；追赶者的命题是"如何不死于转型期"——先补概算管控与合同风控两块短板，再谈赛道跃迁。无论身处哪一档，行动的起点都是同一个：把本章12.1.4的四步法打印出来，下周的管理层会议上过一遍。</w:t>
      </w:r>
    </w:p>
    <w:p>
      <w:r>
        <w:rPr>
          <w:rFonts w:ascii="Calibri" w:hAnsi="Calibri" w:eastAsia="微软雅黑"/>
          <w:b w:val="0"/>
          <w:i w:val="0"/>
          <w:sz w:val="22"/>
        </w:rPr>
        <w:t>---</w:t>
      </w:r>
    </w:p>
    <w:p>
      <w:pPr>
        <w:pStyle w:val="Heading2"/>
      </w:pPr>
      <w:r>
        <w:t>12.6 本章证据边界与数据说明</w:t>
      </w:r>
    </w:p>
    <w:p>
      <w:pPr>
        <w:pStyle w:val="ListNumber"/>
      </w:pPr>
      <w:r>
        <w:rPr>
          <w:rFonts w:ascii="Calibri" w:hAnsi="Calibri" w:eastAsia="微软雅黑"/>
          <w:b/>
          <w:i w:val="0"/>
          <w:sz w:val="22"/>
        </w:rPr>
        <w:t>数据与样本归属边界</w:t>
      </w:r>
      <w:r>
        <w:rPr>
          <w:rFonts w:ascii="Calibri" w:hAnsi="Calibri" w:eastAsia="微软雅黑"/>
          <w:b w:val="0"/>
          <w:i w:val="0"/>
          <w:sz w:val="22"/>
        </w:rPr>
        <w:t>：本章企业经营数据（如山东路桥2025年路桥工程收入616.62亿元、养护收入44.48亿元、未完工EPC项目125个及项目金额38,790,974,558.80元；中国化学2025年营业总收入1,901.25亿元、利润总额84.35亿元、新签合同额4,036.61亿元、境外新签1,245.16亿元；上海市政总院EPC营收突破140亿元等）、项目实绩（长沙磁浮、合肥宿松路、东营综合智慧能源、陕煤榆林180万吨/年乙二醇、江苏LNG、巴斯夫100万吨/年乙烯装置等）与技术参数（2,645万平方米再生规模、能源综合利用效率提高15%以上等），均取自本章尾注所列事实资料库源文，未补充任何资料库以外的数据；山东院"非洲某国2×350MW电站争议"为源文示例性设定的演示案例，已按示意性复盘标注，不代表特定项目实录。</w:t>
      </w:r>
    </w:p>
    <w:p>
      <w:pPr>
        <w:pStyle w:val="ListNumber"/>
      </w:pPr>
      <w:r>
        <w:rPr>
          <w:rFonts w:ascii="Calibri" w:hAnsi="Calibri" w:eastAsia="微软雅黑"/>
          <w:b/>
          <w:i w:val="0"/>
          <w:sz w:val="22"/>
        </w:rPr>
        <w:t>口径纪律</w:t>
      </w:r>
      <w:r>
        <w:rPr>
          <w:rFonts w:ascii="Calibri" w:hAnsi="Calibri" w:eastAsia="微软雅黑"/>
          <w:b w:val="0"/>
          <w:i w:val="0"/>
          <w:sz w:val="22"/>
        </w:rPr>
        <w:t>：中国化学"营业总收入1,901.25亿元"与"营业收入1,895.01亿元"为年报两个口径，引用时不得混用；利润总额84.35亿元与净利润70.77亿元、归母净利润64.36亿元分属不同利润口径，本章随文明示；上海市政总院、山东院、中国联合、中国寰球、中建五局、铁四院为非本章上市公司样本，其数据均为研究报告整理口径而非经审计年报口径；山东路桥"世界最大跨径连续梁桥"等三项世界之最为企业年报自述口径。</w:t>
      </w:r>
    </w:p>
    <w:p>
      <w:pPr>
        <w:pStyle w:val="ListNumber"/>
      </w:pPr>
      <w:r>
        <w:rPr>
          <w:rFonts w:ascii="Calibri" w:hAnsi="Calibri" w:eastAsia="微软雅黑"/>
          <w:b/>
          <w:i w:val="0"/>
          <w:sz w:val="22"/>
        </w:rPr>
        <w:t>判例与政策适用边界</w:t>
      </w:r>
      <w:r>
        <w:rPr>
          <w:rFonts w:ascii="Calibri" w:hAnsi="Calibri" w:eastAsia="微软雅黑"/>
          <w:b w:val="0"/>
          <w:i w:val="0"/>
          <w:sz w:val="22"/>
        </w:rPr>
        <w:t>：本章引用的最高人民法院及地方法院裁判规则（［(2016)最高法民终695号］、［(2016)最高法民再53号］、［(2017)川民终72号］、［(2012)民提字第205号］）、《法工委函〔2017〕2号》与《独立保函司法解释》（法释〔2016〕24号），均为个案裁判与特定时点文件，不构成对同类案件结果的保证；具体个案的裁判受合同条款措辞、证据链完整度、管辖法院裁量及境外项目准据法（如FIDIC范本与属地法律）约束，实战应用须逐案开展专项法务审查。</w:t>
      </w:r>
    </w:p>
    <w:p>
      <w:pPr>
        <w:pStyle w:val="ListNumber"/>
      </w:pPr>
      <w:r>
        <w:rPr>
          <w:rFonts w:ascii="Calibri" w:hAnsi="Calibri" w:eastAsia="微软雅黑"/>
          <w:b/>
          <w:i w:val="0"/>
          <w:sz w:val="22"/>
        </w:rPr>
        <w:t>政策标准时效边界</w:t>
      </w:r>
      <w:r>
        <w:rPr>
          <w:rFonts w:ascii="Calibri" w:hAnsi="Calibri" w:eastAsia="微软雅黑"/>
          <w:b w:val="0"/>
          <w:i w:val="0"/>
          <w:sz w:val="22"/>
        </w:rPr>
        <w:t>：《建设项目工程总承包管理规范》（GB/T 50358-2017）、建市〔2014〕159号等资质政策与"双碳"技术路线均为资料库采集时点的现行文本，建筑业资质改革与新能源技术迭代较快，跨年度引用时应回最新政策法规与企业最新披露核对。</w:t>
      </w:r>
    </w:p>
    <w:p>
      <w:pPr>
        <w:pStyle w:val="ListNumber"/>
      </w:pPr>
      <w:r>
        <w:rPr>
          <w:rFonts w:ascii="Calibri" w:hAnsi="Calibri" w:eastAsia="微软雅黑"/>
          <w:b/>
          <w:i w:val="0"/>
          <w:sz w:val="22"/>
        </w:rPr>
        <w:t>示意性与折算内容清单</w:t>
      </w:r>
      <w:r>
        <w:rPr>
          <w:rFonts w:ascii="Calibri" w:hAnsi="Calibri" w:eastAsia="微软雅黑"/>
          <w:b w:val="0"/>
          <w:i w:val="0"/>
          <w:sz w:val="22"/>
        </w:rPr>
        <w:t>：本章"双路径对照表""四步法行动清单""四大终局趋势对照表""终局行动路线图"及分包退场条款设计为本研究归纳框架，时间窗口与部分机制参数为示意性设定；山东路桥未完工EPC项目金额约387.91亿元为own_calc折算值（源文为38,790,974,558.80元）。跨企业横向比较各量化成效前，须先核对各自的统计基线与口径。</w:t>
      </w:r>
    </w:p>
    <w:p>
      <w:pPr>
        <w:pStyle w:val="ListNumber"/>
      </w:pPr>
      <w:r>
        <w:rPr>
          <w:rFonts w:ascii="Calibri" w:hAnsi="Calibri" w:eastAsia="微软雅黑"/>
          <w:b/>
          <w:i w:val="0"/>
          <w:sz w:val="22"/>
        </w:rPr>
        <w:t>银行切片局限声明</w:t>
      </w:r>
      <w:r>
        <w:rPr>
          <w:rFonts w:ascii="Calibri" w:hAnsi="Calibri" w:eastAsia="微软雅黑"/>
          <w:b w:val="0"/>
          <w:i w:val="0"/>
          <w:sz w:val="22"/>
        </w:rPr>
        <w:t>：bank_ch12.md对年报与研究报告类源仅收录开篇切片，深度事实存于本章全量源包；正文全部数字已按"bank锚点+全量源包"双口径核验（见审计账），P锚按事实归属挂接至本章尾注所列源文。</w:t>
      </w:r>
    </w:p>
    <w:p>
      <w:r>
        <w:rPr>
          <w:rFonts w:ascii="Calibri" w:hAnsi="Calibri" w:eastAsia="微软雅黑"/>
          <w:b w:val="0"/>
          <w:i w:val="0"/>
          <w:sz w:val="22"/>
        </w:rPr>
        <w:t>---</w:t>
      </w:r>
    </w:p>
    <w:p>
      <w:pPr>
        <w:pStyle w:val="Heading2"/>
      </w:pPr>
      <w:r>
        <w:t>本章尾注（事实锚源对照）</w:t>
      </w:r>
    </w:p>
    <w:tbl>
      <w:tblPr>
        <w:tblStyle w:val="TableGrid"/>
        <w:tblW w:type="auto" w:w="0"/>
        <w:tblLook w:firstColumn="1" w:firstRow="1" w:lastColumn="0" w:lastRow="0" w:noHBand="0" w:noVBand="1" w:val="04A0"/>
      </w:tblPr>
      <w:tblGrid>
        <w:gridCol w:w="4150"/>
        <w:gridCol w:w="4150"/>
      </w:tblGrid>
      <w:tr>
        <w:tc>
          <w:tcPr>
            <w:tcW w:type="dxa" w:w="4150"/>
            <w:shd w:fill="1F3A5F"/>
          </w:tcPr>
          <w:p>
            <w:r>
              <w:rPr>
                <w:color w:val="FFFFFF"/>
              </w:rPr>
            </w:r>
            <w:r>
              <w:rPr>
                <w:rFonts w:ascii="Calibri" w:hAnsi="Calibri" w:eastAsia="微软雅黑"/>
                <w:b/>
                <w:i w:val="0"/>
                <w:color w:val="FFFFFF"/>
                <w:sz w:val="18"/>
              </w:rPr>
              <w:t>事实锚</w:t>
            </w:r>
          </w:p>
        </w:tc>
        <w:tc>
          <w:tcPr>
            <w:tcW w:type="dxa" w:w="4150"/>
            <w:shd w:fill="1F3A5F"/>
          </w:tcPr>
          <w:p>
            <w:r>
              <w:rPr>
                <w:color w:val="FFFFFF"/>
              </w:rPr>
            </w:r>
            <w:r>
              <w:rPr>
                <w:rFonts w:ascii="Calibri" w:hAnsi="Calibri" w:eastAsia="微软雅黑"/>
                <w:b/>
                <w:i w:val="0"/>
                <w:color w:val="FFFFFF"/>
                <w:sz w:val="18"/>
              </w:rPr>
              <w:t>源文（事实资料库实收件）</w:t>
            </w:r>
          </w:p>
        </w:tc>
      </w:tr>
      <w:tr>
        <w:tc>
          <w:tcPr>
            <w:tcW w:type="dxa" w:w="4150"/>
          </w:tcPr>
          <w:p>
            <w:r/>
            <w:r>
              <w:rPr>
                <w:rFonts w:ascii="Calibri" w:hAnsi="Calibri" w:eastAsia="微软雅黑"/>
                <w:b w:val="0"/>
                <w:i w:val="0"/>
                <w:sz w:val="18"/>
              </w:rPr>
              <w:t>P001101</w:t>
            </w:r>
          </w:p>
        </w:tc>
        <w:tc>
          <w:tcPr>
            <w:tcW w:type="dxa" w:w="4150"/>
          </w:tcPr>
          <w:p>
            <w:r/>
            <w:r>
              <w:rPr>
                <w:rFonts w:ascii="Calibri" w:hAnsi="Calibri" w:eastAsia="微软雅黑"/>
                <w:b w:val="0"/>
                <w:i w:val="0"/>
                <w:sz w:val="18"/>
              </w:rPr>
              <w:t>中建五局EPC总承包业务研究报告（事实资料库研究报告，ent源全文）</w:t>
            </w:r>
          </w:p>
        </w:tc>
      </w:tr>
      <w:tr>
        <w:tc>
          <w:tcPr>
            <w:tcW w:type="dxa" w:w="4150"/>
          </w:tcPr>
          <w:p>
            <w:r/>
            <w:r>
              <w:rPr>
                <w:rFonts w:ascii="Calibri" w:hAnsi="Calibri" w:eastAsia="微软雅黑"/>
                <w:b w:val="0"/>
                <w:i w:val="0"/>
                <w:sz w:val="18"/>
              </w:rPr>
              <w:t>P001106</w:t>
            </w:r>
          </w:p>
        </w:tc>
        <w:tc>
          <w:tcPr>
            <w:tcW w:type="dxa" w:w="4150"/>
          </w:tcPr>
          <w:p>
            <w:r/>
            <w:r>
              <w:rPr>
                <w:rFonts w:ascii="Calibri" w:hAnsi="Calibri" w:eastAsia="微软雅黑"/>
                <w:b w:val="0"/>
                <w:i w:val="0"/>
                <w:sz w:val="18"/>
              </w:rPr>
              <w:t>铁四院EPC总承包业务研究报告（事实资料库研究报告，ent源全文）</w:t>
            </w:r>
          </w:p>
        </w:tc>
      </w:tr>
      <w:tr>
        <w:tc>
          <w:tcPr>
            <w:tcW w:type="dxa" w:w="4150"/>
          </w:tcPr>
          <w:p>
            <w:r/>
            <w:r>
              <w:rPr>
                <w:rFonts w:ascii="Calibri" w:hAnsi="Calibri" w:eastAsia="微软雅黑"/>
                <w:b w:val="0"/>
                <w:i w:val="0"/>
                <w:sz w:val="18"/>
              </w:rPr>
              <w:t>P001111</w:t>
            </w:r>
          </w:p>
        </w:tc>
        <w:tc>
          <w:tcPr>
            <w:tcW w:type="dxa" w:w="4150"/>
          </w:tcPr>
          <w:p>
            <w:r/>
            <w:r>
              <w:rPr>
                <w:rFonts w:ascii="Calibri" w:hAnsi="Calibri" w:eastAsia="微软雅黑"/>
                <w:b w:val="0"/>
                <w:i w:val="0"/>
                <w:sz w:val="18"/>
              </w:rPr>
              <w:t>中国联合工程有限公司EPC总承包业务研究报告（事实资料库研究报告，ent源全文）</w:t>
            </w:r>
          </w:p>
        </w:tc>
      </w:tr>
      <w:tr>
        <w:tc>
          <w:tcPr>
            <w:tcW w:type="dxa" w:w="4150"/>
          </w:tcPr>
          <w:p>
            <w:r/>
            <w:r>
              <w:rPr>
                <w:rFonts w:ascii="Calibri" w:hAnsi="Calibri" w:eastAsia="微软雅黑"/>
                <w:b w:val="0"/>
                <w:i w:val="0"/>
                <w:sz w:val="18"/>
              </w:rPr>
              <w:t>P001116</w:t>
            </w:r>
          </w:p>
        </w:tc>
        <w:tc>
          <w:tcPr>
            <w:tcW w:type="dxa" w:w="4150"/>
          </w:tcPr>
          <w:p>
            <w:r/>
            <w:r>
              <w:rPr>
                <w:rFonts w:ascii="Calibri" w:hAnsi="Calibri" w:eastAsia="微软雅黑"/>
                <w:b w:val="0"/>
                <w:i w:val="0"/>
                <w:sz w:val="18"/>
              </w:rPr>
              <w:t>《建设项目工程总承包管理规范》（GB/T 50358-2017）全文（网页版收录件）</w:t>
            </w:r>
          </w:p>
        </w:tc>
      </w:tr>
      <w:tr>
        <w:tc>
          <w:tcPr>
            <w:tcW w:type="dxa" w:w="4150"/>
          </w:tcPr>
          <w:p>
            <w:r/>
            <w:r>
              <w:rPr>
                <w:rFonts w:ascii="Calibri" w:hAnsi="Calibri" w:eastAsia="微软雅黑"/>
                <w:b w:val="0"/>
                <w:i w:val="0"/>
                <w:sz w:val="18"/>
              </w:rPr>
              <w:t>P001117</w:t>
            </w:r>
          </w:p>
        </w:tc>
        <w:tc>
          <w:tcPr>
            <w:tcW w:type="dxa" w:w="4150"/>
          </w:tcPr>
          <w:p>
            <w:r/>
            <w:r>
              <w:rPr>
                <w:rFonts w:ascii="Calibri" w:hAnsi="Calibri" w:eastAsia="微软雅黑"/>
                <w:b w:val="0"/>
                <w:i w:val="0"/>
                <w:sz w:val="18"/>
              </w:rPr>
              <w:t>山东电力工程咨询院有限公司（山东院）EPC总承包业务研究报告（事实资料库研究报告，ent源全文）</w:t>
            </w:r>
          </w:p>
        </w:tc>
      </w:tr>
      <w:tr>
        <w:tc>
          <w:tcPr>
            <w:tcW w:type="dxa" w:w="4150"/>
          </w:tcPr>
          <w:p>
            <w:r/>
            <w:r>
              <w:rPr>
                <w:rFonts w:ascii="Calibri" w:hAnsi="Calibri" w:eastAsia="微软雅黑"/>
                <w:b w:val="0"/>
                <w:i w:val="0"/>
                <w:sz w:val="18"/>
              </w:rPr>
              <w:t>P001122</w:t>
            </w:r>
          </w:p>
        </w:tc>
        <w:tc>
          <w:tcPr>
            <w:tcW w:type="dxa" w:w="4150"/>
          </w:tcPr>
          <w:p>
            <w:r/>
            <w:r>
              <w:rPr>
                <w:rFonts w:ascii="Calibri" w:hAnsi="Calibri" w:eastAsia="微软雅黑"/>
                <w:b w:val="0"/>
                <w:i w:val="0"/>
                <w:sz w:val="18"/>
              </w:rPr>
              <w:t>上海市政工程设计研究总院（集团）有限公司EPC总承包业务研究报告（事实资料库研究报告，ent源全文）</w:t>
            </w:r>
          </w:p>
        </w:tc>
      </w:tr>
      <w:tr>
        <w:tc>
          <w:tcPr>
            <w:tcW w:type="dxa" w:w="4150"/>
          </w:tcPr>
          <w:p>
            <w:r/>
            <w:r>
              <w:rPr>
                <w:rFonts w:ascii="Calibri" w:hAnsi="Calibri" w:eastAsia="微软雅黑"/>
                <w:b w:val="0"/>
                <w:i w:val="0"/>
                <w:sz w:val="18"/>
              </w:rPr>
              <w:t>P001127</w:t>
            </w:r>
          </w:p>
        </w:tc>
        <w:tc>
          <w:tcPr>
            <w:tcW w:type="dxa" w:w="4150"/>
          </w:tcPr>
          <w:p>
            <w:r/>
            <w:r>
              <w:rPr>
                <w:rFonts w:ascii="Calibri" w:hAnsi="Calibri" w:eastAsia="微软雅黑"/>
                <w:b w:val="0"/>
                <w:i w:val="0"/>
                <w:sz w:val="18"/>
              </w:rPr>
              <w:t>中国寰球工程有限公司EPC总承包业务研究报告（事实资料库研究报告，ent源全文）</w:t>
            </w:r>
          </w:p>
        </w:tc>
      </w:tr>
      <w:tr>
        <w:tc>
          <w:tcPr>
            <w:tcW w:type="dxa" w:w="4150"/>
          </w:tcPr>
          <w:p>
            <w:r/>
            <w:r>
              <w:rPr>
                <w:rFonts w:ascii="Calibri" w:hAnsi="Calibri" w:eastAsia="微软雅黑"/>
                <w:b w:val="0"/>
                <w:i w:val="0"/>
                <w:sz w:val="18"/>
              </w:rPr>
              <w:t>P001132</w:t>
            </w:r>
          </w:p>
        </w:tc>
        <w:tc>
          <w:tcPr>
            <w:tcW w:type="dxa" w:w="4150"/>
          </w:tcPr>
          <w:p>
            <w:r/>
            <w:r>
              <w:rPr>
                <w:rFonts w:ascii="Calibri" w:hAnsi="Calibri" w:eastAsia="微软雅黑"/>
                <w:b w:val="0"/>
                <w:i w:val="0"/>
                <w:sz w:val="18"/>
              </w:rPr>
              <w:t>《工程总承包的风险与防范》（律师事务所媒体稿，设计风险与雇主要求管控建议）</w:t>
            </w:r>
          </w:p>
        </w:tc>
      </w:tr>
      <w:tr>
        <w:tc>
          <w:tcPr>
            <w:tcW w:type="dxa" w:w="4150"/>
          </w:tcPr>
          <w:p>
            <w:r/>
            <w:r>
              <w:rPr>
                <w:rFonts w:ascii="Calibri" w:hAnsi="Calibri" w:eastAsia="微软雅黑"/>
                <w:b w:val="0"/>
                <w:i w:val="0"/>
                <w:sz w:val="18"/>
              </w:rPr>
              <w:t>P001133</w:t>
            </w:r>
          </w:p>
        </w:tc>
        <w:tc>
          <w:tcPr>
            <w:tcW w:type="dxa" w:w="4150"/>
          </w:tcPr>
          <w:p>
            <w:r/>
            <w:r>
              <w:rPr>
                <w:rFonts w:ascii="Calibri" w:hAnsi="Calibri" w:eastAsia="微软雅黑"/>
                <w:b w:val="0"/>
                <w:i w:val="0"/>
                <w:sz w:val="18"/>
              </w:rPr>
              <w:t>中国化学（601117）2025年年度报告全文（巨潮资讯网，经审计年报）</w:t>
            </w:r>
          </w:p>
        </w:tc>
      </w:tr>
      <w:tr>
        <w:tc>
          <w:tcPr>
            <w:tcW w:type="dxa" w:w="4150"/>
          </w:tcPr>
          <w:p>
            <w:r/>
            <w:r>
              <w:rPr>
                <w:rFonts w:ascii="Calibri" w:hAnsi="Calibri" w:eastAsia="微软雅黑"/>
                <w:b w:val="0"/>
                <w:i w:val="0"/>
                <w:sz w:val="18"/>
              </w:rPr>
              <w:t>P001135</w:t>
            </w:r>
          </w:p>
        </w:tc>
        <w:tc>
          <w:tcPr>
            <w:tcW w:type="dxa" w:w="4150"/>
          </w:tcPr>
          <w:p>
            <w:r/>
            <w:r>
              <w:rPr>
                <w:rFonts w:ascii="Calibri" w:hAnsi="Calibri" w:eastAsia="微软雅黑"/>
                <w:b w:val="0"/>
                <w:i w:val="0"/>
                <w:sz w:val="18"/>
              </w:rPr>
              <w:t>山东路桥（000498）2025年年度报告全文（巨潮资讯网，经审计年报）</w:t>
            </w:r>
          </w:p>
        </w:tc>
      </w:tr>
      <w:tr>
        <w:tc>
          <w:tcPr>
            <w:tcW w:type="dxa" w:w="4150"/>
          </w:tcPr>
          <w:p>
            <w:r/>
            <w:r>
              <w:rPr>
                <w:rFonts w:ascii="Calibri" w:hAnsi="Calibri" w:eastAsia="微软雅黑"/>
                <w:b w:val="0"/>
                <w:i w:val="0"/>
                <w:sz w:val="18"/>
              </w:rPr>
              <w:t>P001151</w:t>
            </w:r>
          </w:p>
        </w:tc>
        <w:tc>
          <w:tcPr>
            <w:tcW w:type="dxa" w:w="4150"/>
          </w:tcPr>
          <w:p>
            <w:r/>
            <w:r>
              <w:rPr>
                <w:rFonts w:ascii="Calibri" w:hAnsi="Calibri" w:eastAsia="微软雅黑"/>
                <w:b w:val="0"/>
                <w:i w:val="0"/>
                <w:sz w:val="18"/>
              </w:rPr>
              <w:t>研究报告成果合集·双碳/CCUS商业化造血章（含双源合一框架、概算三法与设备安装四法、铺底流动资金规则及695号/53号/川民终72号/民提字第205号判例规则）</w:t>
            </w:r>
          </w:p>
        </w:tc>
      </w:tr>
      <w:tr>
        <w:tc>
          <w:tcPr>
            <w:tcW w:type="dxa" w:w="4150"/>
          </w:tcPr>
          <w:p>
            <w:r/>
            <w:r>
              <w:rPr>
                <w:rFonts w:ascii="Calibri" w:hAnsi="Calibri" w:eastAsia="微软雅黑"/>
                <w:b w:val="0"/>
                <w:i w:val="0"/>
                <w:sz w:val="18"/>
              </w:rPr>
              <w:t>P001153</w:t>
            </w:r>
          </w:p>
        </w:tc>
        <w:tc>
          <w:tcPr>
            <w:tcW w:type="dxa" w:w="4150"/>
          </w:tcPr>
          <w:p>
            <w:r/>
            <w:r>
              <w:rPr>
                <w:rFonts w:ascii="Calibri" w:hAnsi="Calibri" w:eastAsia="微软雅黑"/>
                <w:b w:val="0"/>
                <w:i w:val="0"/>
                <w:sz w:val="18"/>
              </w:rPr>
              <w:t>《中石化南京工程有限公司怎么干EPC总承包？》研究报告交付版（含EPC法人级交付效能公式与执行摘要）</w:t>
            </w:r>
          </w:p>
        </w:tc>
      </w:tr>
    </w:tbl>
    <w:p>
      <w:r>
        <w:rPr>
          <w:rFonts w:ascii="Calibri" w:hAnsi="Calibri" w:eastAsia="微软雅黑"/>
          <w:b w:val="0"/>
          <w:i w:val="0"/>
          <w:sz w:val="22"/>
        </w:rPr>
        <w:t>---</w:t>
      </w:r>
    </w:p>
    <w:sectPr w:rsidR="00FC693F" w:rsidRPr="0006063C" w:rsidSect="00034616">
      <w:footerReference w:type="default" r:id="rId9"/>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微软雅黑"/>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微软雅黑"/>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微软雅黑"/>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