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某灌区节水改造工程投标文件（缩配E2E标书v3）</w:t>
      </w:r>
    </w:p>
    <w:p>
      <w:pPr>
        <w:pStyle w:val="Heading1"/>
      </w:pPr>
      <w:r>
        <w:t>第一章 工程概况</w:t>
      </w:r>
    </w:p>
    <w:p>
      <w:r>
        <w:t>本工程为某灌区干支渠节水改造项目，涉及干渠两条、支渠六条，全长十二点三公里，主要建设内容包括渠道衬砌改造、节制闸与分水闸更新、量测水设施安装以及管理用房修缮。</w:t>
      </w:r>
    </w:p>
    <w:p>
      <w:r>
        <w:t>项目计划工期三百六十五日历天，缺陷责任期两年。施工现场位于丘陵与平原过渡地带，需注意雨季施工排水与临时道路维护，中标单位应编制专项施工方案并报监理审批后实施。</w:t>
      </w:r>
    </w:p>
    <w:p>
      <w:r>
        <w:t>工程量清单主要包括土方开挖约四万五千立方米、混凝土浇筑约六千八百立方米、钢筋制安约一百二十吨、土工膜铺设约九万平方米以及金属结构设备安装约三十五吨。</w:t>
      </w:r>
    </w:p>
    <w:p>
      <w:pPr>
        <w:pStyle w:val="Heading1"/>
      </w:pPr>
      <w:r>
        <w:t>第二章 技术要求</w:t>
      </w:r>
    </w:p>
    <w:p>
      <w:r>
        <w:t>渠道衬砌采用C25现浇混凝土矩形断面，衬砌厚度十厘米，底部铺设复合土工膜防渗，膜厚零点五毫米，接缝采用双焊缝工艺并逐段进行充气检测。</w:t>
      </w:r>
    </w:p>
    <w:p>
      <w:r>
        <w:t>闸门采用铸铁镶铜圆闸门，配套手电两用螺杆启闭机，启闭容量五十千牛，闸门止水采用橡胶止水带，安装后需进行无水与有水两种工况下的启闭试验。</w:t>
      </w:r>
    </w:p>
    <w:p>
      <w:r>
        <w:t>量测水设施采用时差法超声波流量计，测量精度等级一级，数据接入灌区信息化平台，通信采用四G无线传输并预留五G接口，供电采用太阳能浮充系统。</w:t>
      </w:r>
    </w:p>
    <w:p>
      <w:pPr>
        <w:pStyle w:val="Heading1"/>
      </w:pPr>
      <w:r>
        <w:t>第三章 质量与安全</w:t>
      </w:r>
    </w:p>
    <w:p>
      <w:r>
        <w:t>工程质量执行水利部现行施工质量评定规程，单元工程合格率百分之百，外观质量得分率不低于百分之八十五，原材料进场复检批次不低于规范要求。</w:t>
      </w:r>
    </w:p>
    <w:p>
      <w:r>
        <w:t>安全生产执行水利安全生产标准化三级要求，高边坡开挖、深基坑作业、临时用电等危险性较大的分部分项工程须编制专项方案并组织专家论证。</w:t>
      </w:r>
    </w:p>
    <w:p>
      <w:pPr>
        <w:pStyle w:val="Heading1"/>
      </w:pPr>
      <w:r>
        <w:t>第四章 商务要求</w:t>
      </w:r>
    </w:p>
    <w:p>
      <w:r>
        <w:t>投标报价为固定总价，包含措施费、保险费、检验试验费及质保期服务费，最高投标限价人民币三千八百万元，超过限价的报价作废标处理。</w:t>
      </w:r>
    </w:p>
    <w:p>
      <w:r>
        <w:t>付款方式为按月计量支付至已完成产值的百分之八十，完工验收后支付至百分之九十五，余款在缺陷责任期满且无质量问题后一次性无息支付。</w:t>
      </w:r>
    </w:p>
    <w:p>
      <w:pPr>
        <w:pStyle w:val="Heading1"/>
      </w:pPr>
      <w:r>
        <w:t>第五章 评标办法</w:t>
      </w:r>
    </w:p>
    <w:p>
      <w:r>
        <w:t>本工程采用综合评分法，总分100分，其中价格分30分、技术分60分、商务分10分。</w:t>
      </w:r>
    </w:p>
    <w:p>
      <w:r>
        <w:t>技术标评分细则：施工组织设计方案完整性10分；主要施工方案与技术措施15分，其中衬砌工艺、土工膜焊接、闸门安装各5分；质量保证体系与措施10分；安全文明施工专项方案10分；施工进度计划与工期保障措施8分；拟投入机械设备与试验检测仪器7分。</w:t>
      </w:r>
    </w:p>
    <w:p>
      <w:r>
        <w:t>商务标评分：类似项目业绩每项2分最多6分；项目经理具有水利水电专业一级建造师注册证书得4分。</w:t>
      </w:r>
    </w:p>
    <w:p>
      <w:r>
        <w:t>凡投标文件未按规定格式编制、字体行距不符合本章要求、或出现投标人身份识别信息的，作无效标处理。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