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rFonts w:ascii="Calibri" w:hAnsi="Calibri" w:eastAsia="微软雅黑"/>
          <w:b/>
          <w:i w:val="0"/>
          <w:sz w:val="44"/>
        </w:rPr>
        <w:t>四川电力设计咨询（中国电建四川院）EPC总承包全景研究</w:t>
      </w:r>
    </w:p>
    <w:p>
      <w:pPr>
        <w:jc w:val="center"/>
      </w:pPr>
      <w:r>
        <w:rPr>
          <w:rFonts w:ascii="Calibri" w:hAnsi="Calibri" w:eastAsia="微软雅黑"/>
          <w:b w:val="0"/>
          <w:i w:val="0"/>
          <w:color w:val="666666"/>
          <w:sz w:val="22"/>
        </w:rPr>
        <w:t>企业研究 · 总包智库 | 数字可溯 · 每个数字标注出处（P锚=弹药库源，own_calc=跨源算式）</w:t>
      </w:r>
    </w:p>
    <w:p>
      <w:r>
        <w:br w:type="page"/>
      </w:r>
    </w:p>
    <w:p>
      <w:pPr>
        <w:pStyle w:val="Heading1"/>
      </w:pPr>
      <w:r>
        <w:t>目 录</w:t>
      </w:r>
    </w:p>
    <w:p>
      <w:pPr>
        <w:tabs>
          <w:tab w:pos="8504" w:val="right" w:leader="dot"/>
        </w:tabs>
        <w:ind w:left="0"/>
      </w:pPr>
      <w:r>
        <w:rPr>
          <w:rFonts w:ascii="Calibri" w:hAnsi="Calibri" w:eastAsia="微软雅黑"/>
          <w:b/>
          <w:i w:val="0"/>
          <w:sz w:val="22"/>
        </w:rPr>
        <w:t>第1章 公司总图景：身份、沿革与中国电建集团坐标</w:t>
      </w:r>
    </w:p>
    <w:p>
      <w:pPr>
        <w:tabs>
          <w:tab w:pos="8504" w:val="right" w:leader="dot"/>
        </w:tabs>
        <w:ind w:left="340"/>
      </w:pPr>
      <w:r>
        <w:rPr>
          <w:rFonts w:ascii="Calibri" w:hAnsi="Calibri" w:eastAsia="微软雅黑"/>
          <w:b w:val="0"/>
          <w:i w:val="0"/>
          <w:sz w:val="20"/>
        </w:rPr>
        <w:t>一、身份底座：一家挂在电建站群上的综合甲级设计院</w:t>
      </w:r>
    </w:p>
    <w:p>
      <w:pPr>
        <w:tabs>
          <w:tab w:pos="8504" w:val="right" w:leader="dot"/>
        </w:tabs>
        <w:ind w:left="340"/>
      </w:pPr>
      <w:r>
        <w:rPr>
          <w:rFonts w:ascii="Calibri" w:hAnsi="Calibri" w:eastAsia="微软雅黑"/>
          <w:b w:val="0"/>
          <w:i w:val="0"/>
          <w:sz w:val="20"/>
        </w:rPr>
        <w:t>二、沿革轨迹：用公开活动拼出的年轮</w:t>
      </w:r>
    </w:p>
    <w:p>
      <w:pPr>
        <w:tabs>
          <w:tab w:pos="8504" w:val="right" w:leader="dot"/>
        </w:tabs>
        <w:ind w:left="340"/>
      </w:pPr>
      <w:r>
        <w:rPr>
          <w:rFonts w:ascii="Calibri" w:hAnsi="Calibri" w:eastAsia="微软雅黑"/>
          <w:b w:val="0"/>
          <w:i w:val="0"/>
          <w:sz w:val="20"/>
        </w:rPr>
        <w:t>三、资质与荣誉坐标：第一枚金钥匙奖的含金量与边界</w:t>
      </w:r>
    </w:p>
    <w:p>
      <w:pPr>
        <w:tabs>
          <w:tab w:pos="8504" w:val="right" w:leader="dot"/>
        </w:tabs>
        <w:ind w:left="340"/>
      </w:pPr>
      <w:r>
        <w:rPr>
          <w:rFonts w:ascii="Calibri" w:hAnsi="Calibri" w:eastAsia="微软雅黑"/>
          <w:b w:val="0"/>
          <w:i w:val="0"/>
          <w:sz w:val="20"/>
        </w:rPr>
        <w:t>四、集团坐标：电建系版图中的位置与同门竞合</w:t>
      </w:r>
    </w:p>
    <w:p>
      <w:pPr>
        <w:tabs>
          <w:tab w:pos="8504" w:val="right" w:leader="dot"/>
        </w:tabs>
        <w:ind w:left="340"/>
      </w:pPr>
      <w:r>
        <w:rPr>
          <w:rFonts w:ascii="Calibri" w:hAnsi="Calibri" w:eastAsia="微软雅黑"/>
          <w:b w:val="0"/>
          <w:i w:val="0"/>
          <w:sz w:val="20"/>
        </w:rPr>
        <w:t>五、总图景研判框架：三轴定位与风险底色</w:t>
      </w:r>
    </w:p>
    <w:p>
      <w:pPr>
        <w:tabs>
          <w:tab w:pos="8504" w:val="right" w:leader="dot"/>
        </w:tabs>
        <w:ind w:left="340"/>
      </w:pPr>
      <w:r>
        <w:rPr>
          <w:rFonts w:ascii="Calibri" w:hAnsi="Calibri" w:eastAsia="微软雅黑"/>
          <w:b w:val="0"/>
          <w:i w:val="0"/>
          <w:sz w:val="20"/>
        </w:rPr>
        <w:t>本章小结与盲区</w:t>
      </w:r>
    </w:p>
    <w:p>
      <w:pPr>
        <w:tabs>
          <w:tab w:pos="8504" w:val="right" w:leader="dot"/>
        </w:tabs>
        <w:ind w:left="0"/>
      </w:pPr>
      <w:r>
        <w:rPr>
          <w:rFonts w:ascii="Calibri" w:hAnsi="Calibri" w:eastAsia="微软雅黑"/>
          <w:b/>
          <w:i w:val="0"/>
          <w:sz w:val="22"/>
        </w:rPr>
        <w:t>第2章 政策坐标系：电力设计与工程总承包的规则环境</w:t>
      </w:r>
    </w:p>
    <w:p>
      <w:pPr>
        <w:tabs>
          <w:tab w:pos="8504" w:val="right" w:leader="dot"/>
        </w:tabs>
        <w:ind w:left="340"/>
      </w:pPr>
      <w:r>
        <w:rPr>
          <w:rFonts w:ascii="Calibri" w:hAnsi="Calibri" w:eastAsia="微软雅黑"/>
          <w:b w:val="0"/>
          <w:i w:val="0"/>
          <w:sz w:val="20"/>
        </w:rPr>
        <w:t>2.1 国家主线：从路线确立到《管理办法》的责任框架</w:t>
      </w:r>
    </w:p>
    <w:p>
      <w:pPr>
        <w:tabs>
          <w:tab w:pos="8504" w:val="right" w:leader="dot"/>
        </w:tabs>
        <w:ind w:left="340"/>
      </w:pPr>
      <w:r>
        <w:rPr>
          <w:rFonts w:ascii="Calibri" w:hAnsi="Calibri" w:eastAsia="微软雅黑"/>
          <w:b w:val="0"/>
          <w:i w:val="0"/>
          <w:sz w:val="20"/>
        </w:rPr>
        <w:t>2.2 省级落地曲线：政策供给周期与结构转向</w:t>
      </w:r>
    </w:p>
    <w:p>
      <w:pPr>
        <w:tabs>
          <w:tab w:pos="8504" w:val="right" w:leader="dot"/>
        </w:tabs>
        <w:ind w:left="340"/>
      </w:pPr>
      <w:r>
        <w:rPr>
          <w:rFonts w:ascii="Calibri" w:hAnsi="Calibri" w:eastAsia="微软雅黑"/>
          <w:b w:val="0"/>
          <w:i w:val="0"/>
          <w:sz w:val="20"/>
        </w:rPr>
        <w:t>2.3 属地细则样本：西藏办法的采购逻辑与监管分层</w:t>
      </w:r>
    </w:p>
    <w:p>
      <w:pPr>
        <w:tabs>
          <w:tab w:pos="8504" w:val="right" w:leader="dot"/>
        </w:tabs>
        <w:ind w:left="340"/>
      </w:pPr>
      <w:r>
        <w:rPr>
          <w:rFonts w:ascii="Calibri" w:hAnsi="Calibri" w:eastAsia="微软雅黑"/>
          <w:b w:val="0"/>
          <w:i w:val="0"/>
          <w:sz w:val="20"/>
        </w:rPr>
        <w:t>2.4 电力行业的规则叠层：模式谱系、组织门槛与资本侧约束</w:t>
      </w:r>
    </w:p>
    <w:p>
      <w:pPr>
        <w:tabs>
          <w:tab w:pos="8504" w:val="right" w:leader="dot"/>
        </w:tabs>
        <w:ind w:left="340"/>
      </w:pPr>
      <w:r>
        <w:rPr>
          <w:rFonts w:ascii="Calibri" w:hAnsi="Calibri" w:eastAsia="微软雅黑"/>
          <w:b w:val="0"/>
          <w:i w:val="0"/>
          <w:sz w:val="20"/>
        </w:rPr>
        <w:t>2.5 同一条起跑线：政策信息的公共品属性与竞争的真断层</w:t>
      </w:r>
    </w:p>
    <w:p>
      <w:pPr>
        <w:tabs>
          <w:tab w:pos="8504" w:val="right" w:leader="dot"/>
        </w:tabs>
        <w:ind w:left="340"/>
      </w:pPr>
      <w:r>
        <w:rPr>
          <w:rFonts w:ascii="Calibri" w:hAnsi="Calibri" w:eastAsia="微软雅黑"/>
          <w:b w:val="0"/>
          <w:i w:val="0"/>
          <w:sz w:val="20"/>
        </w:rPr>
        <w:t>2.6 坐标系的用法：接入行研框架、景气度代理与动态竞争透镜</w:t>
      </w:r>
    </w:p>
    <w:p>
      <w:pPr>
        <w:tabs>
          <w:tab w:pos="8504" w:val="right" w:leader="dot"/>
        </w:tabs>
        <w:ind w:left="340"/>
      </w:pPr>
      <w:r>
        <w:rPr>
          <w:rFonts w:ascii="Calibri" w:hAnsi="Calibri" w:eastAsia="微软雅黑"/>
          <w:b w:val="0"/>
          <w:i w:val="0"/>
          <w:sz w:val="20"/>
        </w:rPr>
        <w:t>2.7 司法地形：样本分布、管辖界碑与争议类型图谱</w:t>
      </w:r>
    </w:p>
    <w:p>
      <w:pPr>
        <w:tabs>
          <w:tab w:pos="8504" w:val="right" w:leader="dot"/>
        </w:tabs>
        <w:ind w:left="340"/>
      </w:pPr>
      <w:r>
        <w:rPr>
          <w:rFonts w:ascii="Calibri" w:hAnsi="Calibri" w:eastAsia="微软雅黑"/>
          <w:b w:val="0"/>
          <w:i w:val="0"/>
          <w:sz w:val="20"/>
        </w:rPr>
        <w:t>2.8 本章小结与盲区</w:t>
      </w:r>
    </w:p>
    <w:p>
      <w:pPr>
        <w:tabs>
          <w:tab w:pos="8504" w:val="right" w:leader="dot"/>
        </w:tabs>
        <w:ind w:left="0"/>
      </w:pPr>
      <w:r>
        <w:rPr>
          <w:rFonts w:ascii="Calibri" w:hAnsi="Calibri" w:eastAsia="微软雅黑"/>
          <w:b/>
          <w:i w:val="0"/>
          <w:sz w:val="22"/>
        </w:rPr>
        <w:t>第3章 市场底账：输变电、新能源与储能的规模与口径</w:t>
      </w:r>
    </w:p>
    <w:p>
      <w:pPr>
        <w:tabs>
          <w:tab w:pos="8504" w:val="right" w:leader="dot"/>
        </w:tabs>
        <w:ind w:left="340"/>
      </w:pPr>
      <w:r>
        <w:rPr>
          <w:rFonts w:ascii="Calibri" w:hAnsi="Calibri" w:eastAsia="微软雅黑"/>
          <w:b w:val="0"/>
          <w:i w:val="0"/>
          <w:sz w:val="20"/>
        </w:rPr>
        <w:t>3.1 口径先行：EPC的边界、立项制度与"文书口径"</w:t>
      </w:r>
    </w:p>
    <w:p>
      <w:pPr>
        <w:tabs>
          <w:tab w:pos="8504" w:val="right" w:leader="dot"/>
        </w:tabs>
        <w:ind w:left="340"/>
      </w:pPr>
      <w:r>
        <w:rPr>
          <w:rFonts w:ascii="Calibri" w:hAnsi="Calibri" w:eastAsia="微软雅黑"/>
          <w:b w:val="0"/>
          <w:i w:val="0"/>
          <w:sz w:val="20"/>
        </w:rPr>
        <w:t>3.2 储能：从"元/Wh"价格带读出的市场底账</w:t>
      </w:r>
    </w:p>
    <w:p>
      <w:pPr>
        <w:tabs>
          <w:tab w:pos="8504" w:val="right" w:leader="dot"/>
        </w:tabs>
        <w:ind w:left="340"/>
      </w:pPr>
      <w:r>
        <w:rPr>
          <w:rFonts w:ascii="Calibri" w:hAnsi="Calibri" w:eastAsia="微软雅黑"/>
          <w:b w:val="0"/>
          <w:i w:val="0"/>
          <w:sz w:val="20"/>
        </w:rPr>
        <w:t>3.3 新能源：成本通缩曲线、大基地样本与纠纷地理</w:t>
      </w:r>
    </w:p>
    <w:p>
      <w:pPr>
        <w:tabs>
          <w:tab w:pos="8504" w:val="right" w:leader="dot"/>
        </w:tabs>
        <w:ind w:left="340"/>
      </w:pPr>
      <w:r>
        <w:rPr>
          <w:rFonts w:ascii="Calibri" w:hAnsi="Calibri" w:eastAsia="微软雅黑"/>
          <w:b w:val="0"/>
          <w:i w:val="0"/>
          <w:sz w:val="20"/>
        </w:rPr>
        <w:t>3.4 输变电：电压等级阶梯、省内底盘与出海信号</w:t>
      </w:r>
    </w:p>
    <w:p>
      <w:pPr>
        <w:tabs>
          <w:tab w:pos="8504" w:val="right" w:leader="dot"/>
        </w:tabs>
        <w:ind w:left="340"/>
      </w:pPr>
      <w:r>
        <w:rPr>
          <w:rFonts w:ascii="Calibri" w:hAnsi="Calibri" w:eastAsia="微软雅黑"/>
          <w:b w:val="0"/>
          <w:i w:val="0"/>
          <w:sz w:val="20"/>
        </w:rPr>
        <w:t>3.5 本章小结与盲区</w:t>
      </w:r>
    </w:p>
    <w:p>
      <w:pPr>
        <w:tabs>
          <w:tab w:pos="8504" w:val="right" w:leader="dot"/>
        </w:tabs>
        <w:ind w:left="0"/>
      </w:pPr>
      <w:r>
        <w:rPr>
          <w:rFonts w:ascii="Calibri" w:hAnsi="Calibri" w:eastAsia="微软雅黑"/>
          <w:b/>
          <w:i w:val="0"/>
          <w:sz w:val="22"/>
        </w:rPr>
        <w:t>第4章 竞争格局：电力设计院系四层结构与川院位次</w:t>
      </w:r>
    </w:p>
    <w:p>
      <w:pPr>
        <w:tabs>
          <w:tab w:pos="8504" w:val="right" w:leader="dot"/>
        </w:tabs>
        <w:ind w:left="340"/>
      </w:pPr>
      <w:r>
        <w:rPr>
          <w:rFonts w:ascii="Calibri" w:hAnsi="Calibri" w:eastAsia="微软雅黑"/>
          <w:b w:val="0"/>
          <w:i w:val="0"/>
          <w:sz w:val="20"/>
        </w:rPr>
        <w:t>4.1 四层结构：本章的行业地图与画法依据</w:t>
      </w:r>
    </w:p>
    <w:p>
      <w:pPr>
        <w:tabs>
          <w:tab w:pos="8504" w:val="right" w:leader="dot"/>
        </w:tabs>
        <w:ind w:left="340"/>
      </w:pPr>
      <w:r>
        <w:rPr>
          <w:rFonts w:ascii="Calibri" w:hAnsi="Calibri" w:eastAsia="微软雅黑"/>
          <w:b w:val="0"/>
          <w:i w:val="0"/>
          <w:sz w:val="20"/>
        </w:rPr>
        <w:t>4.2 第一层与第四层：集团平台的资本、出海与业主变局</w:t>
      </w:r>
    </w:p>
    <w:p>
      <w:pPr>
        <w:tabs>
          <w:tab w:pos="8504" w:val="right" w:leader="dot"/>
        </w:tabs>
        <w:ind w:left="340"/>
      </w:pPr>
      <w:r>
        <w:rPr>
          <w:rFonts w:ascii="Calibri" w:hAnsi="Calibri" w:eastAsia="微软雅黑"/>
          <w:b w:val="0"/>
          <w:i w:val="0"/>
          <w:sz w:val="20"/>
        </w:rPr>
        <w:t>4.3 第二层：省级设计院的贴身竞跑——同层五院的镜像</w:t>
      </w:r>
    </w:p>
    <w:p>
      <w:pPr>
        <w:tabs>
          <w:tab w:pos="8504" w:val="right" w:leader="dot"/>
        </w:tabs>
        <w:ind w:left="340"/>
      </w:pPr>
      <w:r>
        <w:rPr>
          <w:rFonts w:ascii="Calibri" w:hAnsi="Calibri" w:eastAsia="微软雅黑"/>
          <w:b w:val="0"/>
          <w:i w:val="0"/>
          <w:sz w:val="20"/>
        </w:rPr>
        <w:t>4.4 第三层：分包生态与纠纷曲线——竞争压力的承压层</w:t>
      </w:r>
    </w:p>
    <w:p>
      <w:pPr>
        <w:tabs>
          <w:tab w:pos="8504" w:val="right" w:leader="dot"/>
        </w:tabs>
        <w:ind w:left="340"/>
      </w:pPr>
      <w:r>
        <w:rPr>
          <w:rFonts w:ascii="Calibri" w:hAnsi="Calibri" w:eastAsia="微软雅黑"/>
          <w:b w:val="0"/>
          <w:i w:val="0"/>
          <w:sz w:val="20"/>
        </w:rPr>
        <w:t>4.5 川院位次：证据允许说到哪里，买方应该做什么</w:t>
      </w:r>
    </w:p>
    <w:p>
      <w:pPr>
        <w:tabs>
          <w:tab w:pos="8504" w:val="right" w:leader="dot"/>
        </w:tabs>
        <w:ind w:left="340"/>
      </w:pPr>
      <w:r>
        <w:rPr>
          <w:rFonts w:ascii="Calibri" w:hAnsi="Calibri" w:eastAsia="微软雅黑"/>
          <w:b w:val="0"/>
          <w:i w:val="0"/>
          <w:sz w:val="20"/>
        </w:rPr>
        <w:t>4.6 本章小结与盲区</w:t>
      </w:r>
    </w:p>
    <w:p>
      <w:pPr>
        <w:tabs>
          <w:tab w:pos="8504" w:val="right" w:leader="dot"/>
        </w:tabs>
        <w:ind w:left="0"/>
      </w:pPr>
      <w:r>
        <w:rPr>
          <w:rFonts w:ascii="Calibri" w:hAnsi="Calibri" w:eastAsia="微软雅黑"/>
          <w:b/>
          <w:i w:val="0"/>
          <w:sz w:val="22"/>
        </w:rPr>
        <w:t>第5章 财务透视：营收、净利与应收账款现金流真相</w:t>
      </w:r>
    </w:p>
    <w:p>
      <w:pPr>
        <w:tabs>
          <w:tab w:pos="8504" w:val="right" w:leader="dot"/>
        </w:tabs>
        <w:ind w:left="340"/>
      </w:pPr>
      <w:r>
        <w:rPr>
          <w:rFonts w:ascii="Calibri" w:hAnsi="Calibri" w:eastAsia="微软雅黑"/>
          <w:b w:val="0"/>
          <w:i w:val="0"/>
          <w:sz w:val="20"/>
        </w:rPr>
        <w:t>一、家底三行数：电建年报口径下的四川院</w:t>
      </w:r>
    </w:p>
    <w:p>
      <w:pPr>
        <w:tabs>
          <w:tab w:pos="8504" w:val="right" w:leader="dot"/>
        </w:tabs>
        <w:ind w:left="340"/>
      </w:pPr>
      <w:r>
        <w:rPr>
          <w:rFonts w:ascii="Calibri" w:hAnsi="Calibri" w:eastAsia="微软雅黑"/>
          <w:b w:val="0"/>
          <w:i w:val="0"/>
          <w:sz w:val="20"/>
        </w:rPr>
        <w:t>二、十六院同表对比：唯一亏损的坐标系</w:t>
      </w:r>
    </w:p>
    <w:p>
      <w:pPr>
        <w:tabs>
          <w:tab w:pos="8504" w:val="right" w:leader="dot"/>
        </w:tabs>
        <w:ind w:left="340"/>
      </w:pPr>
      <w:r>
        <w:rPr>
          <w:rFonts w:ascii="Calibri" w:hAnsi="Calibri" w:eastAsia="微软雅黑"/>
          <w:b w:val="0"/>
          <w:i w:val="0"/>
          <w:sz w:val="20"/>
        </w:rPr>
        <w:t>三、亏损从哪里来：机理、反证与证据边界</w:t>
      </w:r>
    </w:p>
    <w:p>
      <w:pPr>
        <w:tabs>
          <w:tab w:pos="8504" w:val="right" w:leader="dot"/>
        </w:tabs>
        <w:ind w:left="340"/>
      </w:pPr>
      <w:r>
        <w:rPr>
          <w:rFonts w:ascii="Calibri" w:hAnsi="Calibri" w:eastAsia="微软雅黑"/>
          <w:b w:val="0"/>
          <w:i w:val="0"/>
          <w:sz w:val="20"/>
        </w:rPr>
        <w:t>四、回款环境的温度计：十二卷裁判文书与七个微观样本</w:t>
      </w:r>
    </w:p>
    <w:p>
      <w:pPr>
        <w:tabs>
          <w:tab w:pos="8504" w:val="right" w:leader="dot"/>
        </w:tabs>
        <w:ind w:left="340"/>
      </w:pPr>
      <w:r>
        <w:rPr>
          <w:rFonts w:ascii="Calibri" w:hAnsi="Calibri" w:eastAsia="微软雅黑"/>
          <w:b w:val="0"/>
          <w:i w:val="0"/>
          <w:sz w:val="20"/>
        </w:rPr>
        <w:t>五、胜诉不等于回款：程序与执行环节的最后一公里</w:t>
      </w:r>
    </w:p>
    <w:p>
      <w:pPr>
        <w:tabs>
          <w:tab w:pos="8504" w:val="right" w:leader="dot"/>
        </w:tabs>
        <w:ind w:left="340"/>
      </w:pPr>
      <w:r>
        <w:rPr>
          <w:rFonts w:ascii="Calibri" w:hAnsi="Calibri" w:eastAsia="微软雅黑"/>
          <w:b w:val="0"/>
          <w:i w:val="0"/>
          <w:sz w:val="20"/>
        </w:rPr>
        <w:t>六、新赛道价格带：储能EPC与现金流的再想象</w:t>
      </w:r>
    </w:p>
    <w:p>
      <w:pPr>
        <w:tabs>
          <w:tab w:pos="8504" w:val="right" w:leader="dot"/>
        </w:tabs>
        <w:ind w:left="340"/>
      </w:pPr>
      <w:r>
        <w:rPr>
          <w:rFonts w:ascii="Calibri" w:hAnsi="Calibri" w:eastAsia="微软雅黑"/>
          <w:b w:val="0"/>
          <w:i w:val="0"/>
          <w:sz w:val="20"/>
        </w:rPr>
        <w:t>七、行业研究坐标校验：景气度框架与三条趋势证据链</w:t>
      </w:r>
    </w:p>
    <w:p>
      <w:pPr>
        <w:tabs>
          <w:tab w:pos="8504" w:val="right" w:leader="dot"/>
        </w:tabs>
        <w:ind w:left="340"/>
      </w:pPr>
      <w:r>
        <w:rPr>
          <w:rFonts w:ascii="Calibri" w:hAnsi="Calibri" w:eastAsia="微软雅黑"/>
          <w:b w:val="0"/>
          <w:i w:val="0"/>
          <w:sz w:val="20"/>
        </w:rPr>
        <w:t>八、本章小结与盲区</w:t>
      </w:r>
    </w:p>
    <w:p>
      <w:pPr>
        <w:tabs>
          <w:tab w:pos="8504" w:val="right" w:leader="dot"/>
        </w:tabs>
        <w:ind w:left="0"/>
      </w:pPr>
      <w:r>
        <w:rPr>
          <w:rFonts w:ascii="Calibri" w:hAnsi="Calibri" w:eastAsia="微软雅黑"/>
          <w:b/>
          <w:i w:val="0"/>
          <w:sz w:val="22"/>
        </w:rPr>
        <w:t>第6章 总承包版图：EPC 业务结构与合同模式</w:t>
      </w:r>
    </w:p>
    <w:p>
      <w:pPr>
        <w:tabs>
          <w:tab w:pos="8504" w:val="right" w:leader="dot"/>
        </w:tabs>
        <w:ind w:left="340"/>
      </w:pPr>
      <w:r>
        <w:rPr>
          <w:rFonts w:ascii="Calibri" w:hAnsi="Calibri" w:eastAsia="微软雅黑"/>
          <w:b w:val="0"/>
          <w:i w:val="0"/>
          <w:sz w:val="20"/>
        </w:rPr>
        <w:t>6.1 业务结构的重新定型：从设计院到工程公司</w:t>
      </w:r>
    </w:p>
    <w:p>
      <w:pPr>
        <w:tabs>
          <w:tab w:pos="8504" w:val="right" w:leader="dot"/>
        </w:tabs>
        <w:ind w:left="340"/>
      </w:pPr>
      <w:r>
        <w:rPr>
          <w:rFonts w:ascii="Calibri" w:hAnsi="Calibri" w:eastAsia="微软雅黑"/>
          <w:b w:val="0"/>
          <w:i w:val="0"/>
          <w:sz w:val="20"/>
        </w:rPr>
        <w:t>6.2 合同模式的谱系：银皮书、EPC+O 与 PPP+EPC</w:t>
      </w:r>
    </w:p>
    <w:p>
      <w:pPr>
        <w:tabs>
          <w:tab w:pos="8504" w:val="right" w:leader="dot"/>
        </w:tabs>
        <w:ind w:left="340"/>
      </w:pPr>
      <w:r>
        <w:rPr>
          <w:rFonts w:ascii="Calibri" w:hAnsi="Calibri" w:eastAsia="微软雅黑"/>
          <w:b w:val="0"/>
          <w:i w:val="0"/>
          <w:sz w:val="20"/>
        </w:rPr>
        <w:t>6.3 联合体：电力EPC的主流组织形态与连带责任</w:t>
      </w:r>
    </w:p>
    <w:p>
      <w:pPr>
        <w:tabs>
          <w:tab w:pos="8504" w:val="right" w:leader="dot"/>
        </w:tabs>
        <w:ind w:left="340"/>
      </w:pPr>
      <w:r>
        <w:rPr>
          <w:rFonts w:ascii="Calibri" w:hAnsi="Calibri" w:eastAsia="微软雅黑"/>
          <w:b w:val="0"/>
          <w:i w:val="0"/>
          <w:sz w:val="20"/>
        </w:rPr>
        <w:t>6.4 争议地图：条款背后的风险高发带</w:t>
      </w:r>
    </w:p>
    <w:p>
      <w:pPr>
        <w:tabs>
          <w:tab w:pos="8504" w:val="right" w:leader="dot"/>
        </w:tabs>
        <w:ind w:left="340"/>
      </w:pPr>
      <w:r>
        <w:rPr>
          <w:rFonts w:ascii="Calibri" w:hAnsi="Calibri" w:eastAsia="微软雅黑"/>
          <w:b w:val="0"/>
          <w:i w:val="0"/>
          <w:sz w:val="20"/>
        </w:rPr>
        <w:t>6.5 过程控制：把合同承诺变成履约能力</w:t>
      </w:r>
    </w:p>
    <w:p>
      <w:pPr>
        <w:tabs>
          <w:tab w:pos="8504" w:val="right" w:leader="dot"/>
        </w:tabs>
        <w:ind w:left="340"/>
      </w:pPr>
      <w:r>
        <w:rPr>
          <w:rFonts w:ascii="Calibri" w:hAnsi="Calibri" w:eastAsia="微软雅黑"/>
          <w:b w:val="0"/>
          <w:i w:val="0"/>
          <w:sz w:val="20"/>
        </w:rPr>
        <w:t>6.6 趋势证据链：把行业动向还原成可检验的论证</w:t>
      </w:r>
    </w:p>
    <w:p>
      <w:pPr>
        <w:tabs>
          <w:tab w:pos="8504" w:val="right" w:leader="dot"/>
        </w:tabs>
        <w:ind w:left="340"/>
      </w:pPr>
      <w:r>
        <w:rPr>
          <w:rFonts w:ascii="Calibri" w:hAnsi="Calibri" w:eastAsia="微软雅黑"/>
          <w:b w:val="0"/>
          <w:i w:val="0"/>
          <w:sz w:val="20"/>
        </w:rPr>
        <w:t>6.7 多档互证：证据库的版本现象与买方信息纪律</w:t>
      </w:r>
    </w:p>
    <w:p>
      <w:pPr>
        <w:tabs>
          <w:tab w:pos="8504" w:val="right" w:leader="dot"/>
        </w:tabs>
        <w:ind w:left="340"/>
      </w:pPr>
      <w:r>
        <w:rPr>
          <w:rFonts w:ascii="Calibri" w:hAnsi="Calibri" w:eastAsia="微软雅黑"/>
          <w:b w:val="0"/>
          <w:i w:val="0"/>
          <w:sz w:val="20"/>
        </w:rPr>
        <w:t>6.8 本章小结与盲区</w:t>
      </w:r>
    </w:p>
    <w:p>
      <w:pPr>
        <w:tabs>
          <w:tab w:pos="8504" w:val="right" w:leader="dot"/>
        </w:tabs>
        <w:ind w:left="0"/>
      </w:pPr>
      <w:r>
        <w:rPr>
          <w:rFonts w:ascii="Calibri" w:hAnsi="Calibri" w:eastAsia="微软雅黑"/>
          <w:b/>
          <w:i w:val="0"/>
          <w:sz w:val="22"/>
        </w:rPr>
        <w:t>第7章 旗舰项目库：特高压、储能与国内外标杆工程</w:t>
      </w:r>
    </w:p>
    <w:p>
      <w:pPr>
        <w:tabs>
          <w:tab w:pos="8504" w:val="right" w:leader="dot"/>
        </w:tabs>
        <w:ind w:left="340"/>
      </w:pPr>
      <w:r>
        <w:rPr>
          <w:rFonts w:ascii="Calibri" w:hAnsi="Calibri" w:eastAsia="微软雅黑"/>
          <w:b w:val="0"/>
          <w:i w:val="0"/>
          <w:sz w:val="20"/>
        </w:rPr>
        <w:t>7.1 特高压工程群：川渝交流工程上的设计坐标</w:t>
      </w:r>
    </w:p>
    <w:p>
      <w:pPr>
        <w:tabs>
          <w:tab w:pos="8504" w:val="right" w:leader="dot"/>
        </w:tabs>
        <w:ind w:left="340"/>
      </w:pPr>
      <w:r>
        <w:rPr>
          <w:rFonts w:ascii="Calibri" w:hAnsi="Calibri" w:eastAsia="微软雅黑"/>
          <w:b w:val="0"/>
          <w:i w:val="0"/>
          <w:sz w:val="20"/>
        </w:rPr>
        <w:t>7.2 储能与新能源标杆：从用户侧纪录到电网侧大单</w:t>
      </w:r>
    </w:p>
    <w:p>
      <w:pPr>
        <w:tabs>
          <w:tab w:pos="8504" w:val="right" w:leader="dot"/>
        </w:tabs>
        <w:ind w:left="340"/>
      </w:pPr>
      <w:r>
        <w:rPr>
          <w:rFonts w:ascii="Calibri" w:hAnsi="Calibri" w:eastAsia="微软雅黑"/>
          <w:b w:val="0"/>
          <w:i w:val="0"/>
          <w:sz w:val="20"/>
        </w:rPr>
        <w:t>7.3 海外工程：设计出海与EPC出海的证据分界</w:t>
      </w:r>
    </w:p>
    <w:p>
      <w:pPr>
        <w:tabs>
          <w:tab w:pos="8504" w:val="right" w:leader="dot"/>
        </w:tabs>
        <w:ind w:left="340"/>
      </w:pPr>
      <w:r>
        <w:rPr>
          <w:rFonts w:ascii="Calibri" w:hAnsi="Calibri" w:eastAsia="微软雅黑"/>
          <w:b w:val="0"/>
          <w:i w:val="0"/>
          <w:sz w:val="20"/>
        </w:rPr>
        <w:t>7.4 中标与投运节奏：读喜报的正确姿势</w:t>
      </w:r>
    </w:p>
    <w:p>
      <w:pPr>
        <w:tabs>
          <w:tab w:pos="8504" w:val="right" w:leader="dot"/>
        </w:tabs>
        <w:ind w:left="340"/>
      </w:pPr>
      <w:r>
        <w:rPr>
          <w:rFonts w:ascii="Calibri" w:hAnsi="Calibri" w:eastAsia="微软雅黑"/>
          <w:b w:val="0"/>
          <w:i w:val="0"/>
          <w:sz w:val="20"/>
        </w:rPr>
        <w:t>7.5 本章小结与盲区</w:t>
      </w:r>
    </w:p>
    <w:p>
      <w:pPr>
        <w:tabs>
          <w:tab w:pos="8504" w:val="right" w:leader="dot"/>
        </w:tabs>
        <w:ind w:left="0"/>
      </w:pPr>
      <w:r>
        <w:rPr>
          <w:rFonts w:ascii="Calibri" w:hAnsi="Calibri" w:eastAsia="微软雅黑"/>
          <w:b/>
          <w:i w:val="0"/>
          <w:sz w:val="22"/>
        </w:rPr>
        <w:t>第8章 风险档案：纠纷判例、失败案例与风险因子</w:t>
      </w:r>
    </w:p>
    <w:p>
      <w:pPr>
        <w:tabs>
          <w:tab w:pos="8504" w:val="right" w:leader="dot"/>
        </w:tabs>
        <w:ind w:left="340"/>
      </w:pPr>
      <w:r>
        <w:rPr>
          <w:rFonts w:ascii="Calibri" w:hAnsi="Calibri" w:eastAsia="微软雅黑"/>
          <w:b w:val="0"/>
          <w:i w:val="0"/>
          <w:sz w:val="20"/>
        </w:rPr>
        <w:t>8.1 诉讼全景：十二万篇裁判文书里的分布与信号</w:t>
      </w:r>
    </w:p>
    <w:p>
      <w:pPr>
        <w:tabs>
          <w:tab w:pos="8504" w:val="right" w:leader="dot"/>
        </w:tabs>
        <w:ind w:left="340"/>
      </w:pPr>
      <w:r>
        <w:rPr>
          <w:rFonts w:ascii="Calibri" w:hAnsi="Calibri" w:eastAsia="微软雅黑"/>
          <w:b w:val="0"/>
          <w:i w:val="0"/>
          <w:sz w:val="20"/>
        </w:rPr>
        <w:t>8.2 工程款之殇：结算、证据与票证的三个败局现场</w:t>
      </w:r>
    </w:p>
    <w:p>
      <w:pPr>
        <w:tabs>
          <w:tab w:pos="8504" w:val="right" w:leader="dot"/>
        </w:tabs>
        <w:ind w:left="340"/>
      </w:pPr>
      <w:r>
        <w:rPr>
          <w:rFonts w:ascii="Calibri" w:hAnsi="Calibri" w:eastAsia="微软雅黑"/>
          <w:b w:val="0"/>
          <w:i w:val="0"/>
          <w:sz w:val="20"/>
        </w:rPr>
        <w:t>8.3 分包、挂靠与主体陷阱：连环诉讼如何烧到总承包商</w:t>
      </w:r>
    </w:p>
    <w:p>
      <w:pPr>
        <w:tabs>
          <w:tab w:pos="8504" w:val="right" w:leader="dot"/>
        </w:tabs>
        <w:ind w:left="340"/>
      </w:pPr>
      <w:r>
        <w:rPr>
          <w:rFonts w:ascii="Calibri" w:hAnsi="Calibri" w:eastAsia="微软雅黑"/>
          <w:b w:val="0"/>
          <w:i w:val="0"/>
          <w:sz w:val="20"/>
        </w:rPr>
        <w:t>8.4 设计院做EPC的结构性风险：合同拆分、背靠背与转型代价</w:t>
      </w:r>
    </w:p>
    <w:p>
      <w:pPr>
        <w:tabs>
          <w:tab w:pos="8504" w:val="right" w:leader="dot"/>
        </w:tabs>
        <w:ind w:left="340"/>
      </w:pPr>
      <w:r>
        <w:rPr>
          <w:rFonts w:ascii="Calibri" w:hAnsi="Calibri" w:eastAsia="微软雅黑"/>
          <w:b w:val="0"/>
          <w:i w:val="0"/>
          <w:sz w:val="20"/>
        </w:rPr>
        <w:t>8.5 本章小结与盲区</w:t>
      </w:r>
    </w:p>
    <w:p>
      <w:pPr>
        <w:tabs>
          <w:tab w:pos="8504" w:val="right" w:leader="dot"/>
        </w:tabs>
        <w:ind w:left="0"/>
      </w:pPr>
      <w:r>
        <w:rPr>
          <w:rFonts w:ascii="Calibri" w:hAnsi="Calibri" w:eastAsia="微软雅黑"/>
          <w:b/>
          <w:i w:val="0"/>
          <w:sz w:val="22"/>
        </w:rPr>
        <w:t>第9章 技术底座：核心技术方案、数字化与专利标准</w:t>
      </w:r>
    </w:p>
    <w:p>
      <w:pPr>
        <w:tabs>
          <w:tab w:pos="8504" w:val="right" w:leader="dot"/>
        </w:tabs>
        <w:ind w:left="340"/>
      </w:pPr>
      <w:r>
        <w:rPr>
          <w:rFonts w:ascii="Calibri" w:hAnsi="Calibri" w:eastAsia="微软雅黑"/>
          <w:b w:val="0"/>
          <w:i w:val="0"/>
          <w:sz w:val="20"/>
        </w:rPr>
        <w:t>标准先行：全生命周期规范与过程控制的双重骨架</w:t>
      </w:r>
    </w:p>
    <w:p>
      <w:pPr>
        <w:tabs>
          <w:tab w:pos="8504" w:val="right" w:leader="dot"/>
        </w:tabs>
        <w:ind w:left="340"/>
      </w:pPr>
      <w:r>
        <w:rPr>
          <w:rFonts w:ascii="Calibri" w:hAnsi="Calibri" w:eastAsia="微软雅黑"/>
          <w:b w:val="0"/>
          <w:i w:val="0"/>
          <w:sz w:val="20"/>
        </w:rPr>
        <w:t>设计端核心技术：模型驱动的设计—制造—造价闭环</w:t>
      </w:r>
    </w:p>
    <w:p>
      <w:pPr>
        <w:tabs>
          <w:tab w:pos="8504" w:val="right" w:leader="dot"/>
        </w:tabs>
        <w:ind w:left="340"/>
      </w:pPr>
      <w:r>
        <w:rPr>
          <w:rFonts w:ascii="Calibri" w:hAnsi="Calibri" w:eastAsia="微软雅黑"/>
          <w:b w:val="0"/>
          <w:i w:val="0"/>
          <w:sz w:val="20"/>
        </w:rPr>
        <w:t>现场端数字化：智能物资、履约凭证链与现金流</w:t>
      </w:r>
    </w:p>
    <w:p>
      <w:pPr>
        <w:tabs>
          <w:tab w:pos="8504" w:val="right" w:leader="dot"/>
        </w:tabs>
        <w:ind w:left="340"/>
      </w:pPr>
      <w:r>
        <w:rPr>
          <w:rFonts w:ascii="Calibri" w:hAnsi="Calibri" w:eastAsia="微软雅黑"/>
          <w:b w:val="0"/>
          <w:i w:val="0"/>
          <w:sz w:val="20"/>
        </w:rPr>
        <w:t>转型镜鉴：制造业、平台与AI企业的节奏与纪律</w:t>
      </w:r>
    </w:p>
    <w:p>
      <w:pPr>
        <w:tabs>
          <w:tab w:pos="8504" w:val="right" w:leader="dot"/>
        </w:tabs>
        <w:ind w:left="340"/>
      </w:pPr>
      <w:r>
        <w:rPr>
          <w:rFonts w:ascii="Calibri" w:hAnsi="Calibri" w:eastAsia="微软雅黑"/>
          <w:b w:val="0"/>
          <w:i w:val="0"/>
          <w:sz w:val="20"/>
        </w:rPr>
        <w:t>知识资产与集团坐标：模板库、成熟度研究与证据断层</w:t>
      </w:r>
    </w:p>
    <w:p>
      <w:pPr>
        <w:tabs>
          <w:tab w:pos="8504" w:val="right" w:leader="dot"/>
        </w:tabs>
        <w:ind w:left="340"/>
      </w:pPr>
      <w:r>
        <w:rPr>
          <w:rFonts w:ascii="Calibri" w:hAnsi="Calibri" w:eastAsia="微软雅黑"/>
          <w:b w:val="0"/>
          <w:i w:val="0"/>
          <w:sz w:val="20"/>
        </w:rPr>
        <w:t>本章小结与盲区</w:t>
      </w:r>
    </w:p>
    <w:p>
      <w:pPr>
        <w:tabs>
          <w:tab w:pos="8504" w:val="right" w:leader="dot"/>
        </w:tabs>
        <w:ind w:left="0"/>
      </w:pPr>
      <w:r>
        <w:rPr>
          <w:rFonts w:ascii="Calibri" w:hAnsi="Calibri" w:eastAsia="微软雅黑"/>
          <w:b/>
          <w:i w:val="0"/>
          <w:sz w:val="22"/>
        </w:rPr>
        <w:t>第10章 组织与人才：人员规模、资质与专家格局</w:t>
      </w:r>
    </w:p>
    <w:p>
      <w:pPr>
        <w:tabs>
          <w:tab w:pos="8504" w:val="right" w:leader="dot"/>
        </w:tabs>
        <w:ind w:left="340"/>
      </w:pPr>
      <w:r>
        <w:rPr>
          <w:rFonts w:ascii="Calibri" w:hAnsi="Calibri" w:eastAsia="微软雅黑"/>
          <w:b w:val="0"/>
          <w:i w:val="0"/>
          <w:sz w:val="20"/>
        </w:rPr>
        <w:t>10.1 披露的天花板：集团半年报里的治理层与人员资质核验通道</w:t>
      </w:r>
    </w:p>
    <w:p>
      <w:pPr>
        <w:tabs>
          <w:tab w:pos="8504" w:val="right" w:leader="dot"/>
        </w:tabs>
        <w:ind w:left="340"/>
      </w:pPr>
      <w:r>
        <w:rPr>
          <w:rFonts w:ascii="Calibri" w:hAnsi="Calibri" w:eastAsia="微软雅黑"/>
          <w:b w:val="0"/>
          <w:i w:val="0"/>
          <w:sz w:val="20"/>
        </w:rPr>
        <w:t>10.2 博士后工作站：同集团设计院的高端人才机制样本</w:t>
      </w:r>
    </w:p>
    <w:p>
      <w:pPr>
        <w:tabs>
          <w:tab w:pos="8504" w:val="right" w:leader="dot"/>
        </w:tabs>
        <w:ind w:left="340"/>
      </w:pPr>
      <w:r>
        <w:rPr>
          <w:rFonts w:ascii="Calibri" w:hAnsi="Calibri" w:eastAsia="微软雅黑"/>
          <w:b w:val="0"/>
          <w:i w:val="0"/>
          <w:sz w:val="20"/>
        </w:rPr>
        <w:t>10.3 大师、首席科学家与外脑市场：专家格局的三层结构</w:t>
      </w:r>
    </w:p>
    <w:p>
      <w:pPr>
        <w:tabs>
          <w:tab w:pos="8504" w:val="right" w:leader="dot"/>
        </w:tabs>
        <w:ind w:left="340"/>
      </w:pPr>
      <w:r>
        <w:rPr>
          <w:rFonts w:ascii="Calibri" w:hAnsi="Calibri" w:eastAsia="微软雅黑"/>
          <w:b w:val="0"/>
          <w:i w:val="0"/>
          <w:sz w:val="20"/>
        </w:rPr>
        <w:t>10.4 组织教科书：EPC工程公司组织结构与岗位体系的方法论</w:t>
      </w:r>
    </w:p>
    <w:p>
      <w:pPr>
        <w:tabs>
          <w:tab w:pos="8504" w:val="right" w:leader="dot"/>
        </w:tabs>
        <w:ind w:left="340"/>
      </w:pPr>
      <w:r>
        <w:rPr>
          <w:rFonts w:ascii="Calibri" w:hAnsi="Calibri" w:eastAsia="微软雅黑"/>
          <w:b w:val="0"/>
          <w:i w:val="0"/>
          <w:sz w:val="20"/>
        </w:rPr>
        <w:t>10.5 判例的人才账：从纠纷体量反推岗位配置</w:t>
      </w:r>
    </w:p>
    <w:p>
      <w:pPr>
        <w:tabs>
          <w:tab w:pos="8504" w:val="right" w:leader="dot"/>
        </w:tabs>
        <w:ind w:left="340"/>
      </w:pPr>
      <w:r>
        <w:rPr>
          <w:rFonts w:ascii="Calibri" w:hAnsi="Calibri" w:eastAsia="微软雅黑"/>
          <w:b w:val="0"/>
          <w:i w:val="0"/>
          <w:sz w:val="20"/>
        </w:rPr>
        <w:t>本章小结与盲区</w:t>
      </w:r>
    </w:p>
    <w:p>
      <w:pPr>
        <w:tabs>
          <w:tab w:pos="8504" w:val="right" w:leader="dot"/>
        </w:tabs>
        <w:ind w:left="0"/>
      </w:pPr>
      <w:r>
        <w:rPr>
          <w:rFonts w:ascii="Calibri" w:hAnsi="Calibri" w:eastAsia="微软雅黑"/>
          <w:b/>
          <w:i w:val="0"/>
          <w:sz w:val="22"/>
        </w:rPr>
        <w:t>第11章 国际对标：FIDIC 规则与海外市场实践</w:t>
      </w:r>
    </w:p>
    <w:p>
      <w:pPr>
        <w:tabs>
          <w:tab w:pos="8504" w:val="right" w:leader="dot"/>
        </w:tabs>
        <w:ind w:left="340"/>
      </w:pPr>
      <w:r>
        <w:rPr>
          <w:rFonts w:ascii="Calibri" w:hAnsi="Calibri" w:eastAsia="微软雅黑"/>
          <w:b w:val="0"/>
          <w:i w:val="0"/>
          <w:sz w:val="20"/>
        </w:rPr>
        <w:t>11.1 总量与格局：一个十年收缩的存量战场</w:t>
      </w:r>
    </w:p>
    <w:p>
      <w:pPr>
        <w:tabs>
          <w:tab w:pos="8504" w:val="right" w:leader="dot"/>
        </w:tabs>
        <w:ind w:left="340"/>
      </w:pPr>
      <w:r>
        <w:rPr>
          <w:rFonts w:ascii="Calibri" w:hAnsi="Calibri" w:eastAsia="微软雅黑"/>
          <w:b w:val="0"/>
          <w:i w:val="0"/>
          <w:sz w:val="20"/>
        </w:rPr>
        <w:t>11.2 规则之壁：FIDIC 体系下的海外 EPC 生存法则</w:t>
      </w:r>
    </w:p>
    <w:p>
      <w:pPr>
        <w:tabs>
          <w:tab w:pos="8504" w:val="right" w:leader="dot"/>
        </w:tabs>
        <w:ind w:left="340"/>
      </w:pPr>
      <w:r>
        <w:rPr>
          <w:rFonts w:ascii="Calibri" w:hAnsi="Calibri" w:eastAsia="微软雅黑"/>
          <w:b w:val="0"/>
          <w:i w:val="0"/>
          <w:sz w:val="20"/>
        </w:rPr>
        <w:t>11.3 同行答卷：电建系、能建系的海外项目实证</w:t>
      </w:r>
    </w:p>
    <w:p>
      <w:pPr>
        <w:tabs>
          <w:tab w:pos="8504" w:val="right" w:leader="dot"/>
        </w:tabs>
        <w:ind w:left="340"/>
      </w:pPr>
      <w:r>
        <w:rPr>
          <w:rFonts w:ascii="Calibri" w:hAnsi="Calibri" w:eastAsia="微软雅黑"/>
          <w:b w:val="0"/>
          <w:i w:val="0"/>
          <w:sz w:val="20"/>
        </w:rPr>
        <w:t>11.4 组织与人才：本地化、联营体与项目经理</w:t>
      </w:r>
    </w:p>
    <w:p>
      <w:pPr>
        <w:tabs>
          <w:tab w:pos="8504" w:val="right" w:leader="dot"/>
        </w:tabs>
        <w:ind w:left="340"/>
      </w:pPr>
      <w:r>
        <w:rPr>
          <w:rFonts w:ascii="Calibri" w:hAnsi="Calibri" w:eastAsia="微软雅黑"/>
          <w:b w:val="0"/>
          <w:i w:val="0"/>
          <w:sz w:val="20"/>
        </w:rPr>
        <w:t>11.5 四川院的对标坐标：位置、差距与路径</w:t>
      </w:r>
    </w:p>
    <w:p>
      <w:pPr>
        <w:tabs>
          <w:tab w:pos="8504" w:val="right" w:leader="dot"/>
        </w:tabs>
        <w:ind w:left="340"/>
      </w:pPr>
      <w:r>
        <w:rPr>
          <w:rFonts w:ascii="Calibri" w:hAnsi="Calibri" w:eastAsia="微软雅黑"/>
          <w:b w:val="0"/>
          <w:i w:val="0"/>
          <w:sz w:val="20"/>
        </w:rPr>
        <w:t>11.6 本章小结与盲区</w:t>
      </w:r>
    </w:p>
    <w:p>
      <w:pPr>
        <w:tabs>
          <w:tab w:pos="8504" w:val="right" w:leader="dot"/>
        </w:tabs>
        <w:ind w:left="0"/>
      </w:pPr>
      <w:r>
        <w:rPr>
          <w:rFonts w:ascii="Calibri" w:hAnsi="Calibri" w:eastAsia="微软雅黑"/>
          <w:b/>
          <w:i w:val="0"/>
          <w:sz w:val="22"/>
        </w:rPr>
        <w:t>第12章 2026-2029 预判：川院的十二个确定性趋势</w:t>
      </w:r>
    </w:p>
    <w:p>
      <w:pPr>
        <w:tabs>
          <w:tab w:pos="8504" w:val="right" w:leader="dot"/>
        </w:tabs>
        <w:ind w:left="340"/>
      </w:pPr>
      <w:r>
        <w:rPr>
          <w:rFonts w:ascii="Calibri" w:hAnsi="Calibri" w:eastAsia="微软雅黑"/>
          <w:b w:val="0"/>
          <w:i w:val="0"/>
          <w:sz w:val="20"/>
        </w:rPr>
        <w:t>12.1 政策与周期：规划底盘的三重确定性</w:t>
      </w:r>
    </w:p>
    <w:p>
      <w:pPr>
        <w:tabs>
          <w:tab w:pos="8504" w:val="right" w:leader="dot"/>
        </w:tabs>
        <w:ind w:left="340"/>
      </w:pPr>
      <w:r>
        <w:rPr>
          <w:rFonts w:ascii="Calibri" w:hAnsi="Calibri" w:eastAsia="微软雅黑"/>
          <w:b w:val="0"/>
          <w:i w:val="0"/>
          <w:sz w:val="20"/>
        </w:rPr>
        <w:t>12.2 行业与竞争：从设计费到总包能力的迁移</w:t>
      </w:r>
    </w:p>
    <w:p>
      <w:pPr>
        <w:tabs>
          <w:tab w:pos="8504" w:val="right" w:leader="dot"/>
        </w:tabs>
        <w:ind w:left="340"/>
      </w:pPr>
      <w:r>
        <w:rPr>
          <w:rFonts w:ascii="Calibri" w:hAnsi="Calibri" w:eastAsia="微软雅黑"/>
          <w:b w:val="0"/>
          <w:i w:val="0"/>
          <w:sz w:val="20"/>
        </w:rPr>
        <w:t>12.3 出海与全球化：从项目出海到机构全球化</w:t>
      </w:r>
    </w:p>
    <w:p>
      <w:pPr>
        <w:tabs>
          <w:tab w:pos="8504" w:val="right" w:leader="dot"/>
        </w:tabs>
        <w:ind w:left="340"/>
      </w:pPr>
      <w:r>
        <w:rPr>
          <w:rFonts w:ascii="Calibri" w:hAnsi="Calibri" w:eastAsia="微软雅黑"/>
          <w:b w:val="0"/>
          <w:i w:val="0"/>
          <w:sz w:val="20"/>
        </w:rPr>
        <w:t>12.4 组织与风控：能力、机制与现金流</w:t>
      </w:r>
    </w:p>
    <w:p>
      <w:pPr>
        <w:tabs>
          <w:tab w:pos="8504" w:val="right" w:leader="dot"/>
        </w:tabs>
        <w:ind w:left="340"/>
      </w:pPr>
      <w:r>
        <w:rPr>
          <w:rFonts w:ascii="Calibri" w:hAnsi="Calibri" w:eastAsia="微软雅黑"/>
          <w:b w:val="0"/>
          <w:i w:val="0"/>
          <w:sz w:val="20"/>
        </w:rPr>
        <w:t>12.5 纠纷经济学：行权成本表与证据战争的三个战场</w:t>
      </w:r>
    </w:p>
    <w:p>
      <w:pPr>
        <w:tabs>
          <w:tab w:pos="8504" w:val="right" w:leader="dot"/>
        </w:tabs>
        <w:ind w:left="340"/>
      </w:pPr>
      <w:r>
        <w:rPr>
          <w:rFonts w:ascii="Calibri" w:hAnsi="Calibri" w:eastAsia="微软雅黑"/>
          <w:b w:val="0"/>
          <w:i w:val="0"/>
          <w:sz w:val="20"/>
        </w:rPr>
        <w:t>12.6 出海的代际跃迁：百年南洋坐标、跳变市场与巨头空白</w:t>
      </w:r>
    </w:p>
    <w:p>
      <w:pPr>
        <w:tabs>
          <w:tab w:pos="8504" w:val="right" w:leader="dot"/>
        </w:tabs>
        <w:ind w:left="340"/>
      </w:pPr>
      <w:r>
        <w:rPr>
          <w:rFonts w:ascii="Calibri" w:hAnsi="Calibri" w:eastAsia="微软雅黑"/>
          <w:b w:val="0"/>
          <w:i w:val="0"/>
          <w:sz w:val="20"/>
        </w:rPr>
        <w:t>12.7 本章小结与盲区</w:t>
      </w:r>
    </w:p>
    <w:p>
      <w:r>
        <w:br w:type="page"/>
      </w:r>
    </w:p>
    <w:p>
      <w:pPr>
        <w:pStyle w:val="Heading1"/>
      </w:pPr>
      <w:r>
        <w:t>第1章 公司总图景：身份、沿革与中国电建集团坐标</w:t>
      </w:r>
    </w:p>
    <w:p>
      <w:pPr>
        <w:ind w:left="454"/>
      </w:pPr>
      <w:r>
        <w:rPr>
          <w:rFonts w:ascii="Calibri" w:hAnsi="Calibri" w:eastAsia="微软雅黑"/>
          <w:b w:val="0"/>
          <w:i w:val="0"/>
          <w:color w:val="666666"/>
          <w:sz w:val="22"/>
        </w:rPr>
        <w:t>买方看一家工程公司，先看身份、来历与靠山。本章以可核验的公开证据，拼出四川院的身份卡、发展年轮、奖项坐标与电建集团版图位置，并给出三轴研判框架，证据缺口如实标注。</w:t>
      </w:r>
    </w:p>
    <w:p>
      <w:pPr>
        <w:pStyle w:val="Heading2"/>
      </w:pPr>
      <w:r>
        <w:t>一、身份底座：一家挂在电建站群上的综合甲级设计院</w:t>
      </w:r>
    </w:p>
    <w:p>
      <w:r>
        <w:rPr>
          <w:rFonts w:ascii="Calibri" w:hAnsi="Calibri" w:eastAsia="微软雅黑"/>
          <w:b w:val="0"/>
          <w:i w:val="0"/>
          <w:sz w:val="22"/>
        </w:rPr>
        <w:t>把公司名片的每一行都当尽调线索，是买方的基本功。四川电力设计咨询有限责任公司，简称"中国电建四川院"，成立于1988年（P1009），注册资金8亿元（P1009），总部位于四川成都（P1009），是世界500强中国电力建设集团有限公司的子公司（P1009）。公司官网域名为sedc.cn，且站点挂靠于中国电建集团站群之下（SiteDomain为sedc.powerchina.cn）（P1009）——这枚域名证据看似技术细节，实为股权穿透链条中最容易独立核验的一环：买方无需依赖任何单方陈述，即可通过站点归属确认其电建系身份。</w:t>
      </w:r>
    </w:p>
    <w:p>
      <w:r>
        <w:rPr>
          <w:rFonts w:ascii="Calibri" w:hAnsi="Calibri" w:eastAsia="微软雅黑"/>
          <w:b w:val="0"/>
          <w:i w:val="0"/>
          <w:sz w:val="22"/>
        </w:rPr>
        <w:t>这家公司在公开语境中还拥有一套多层称谓系统：工商全称"四川电力设计咨询有限责任公司"（P1009）；集团序列全称"中国电建集团四川电力设计咨询有限责任公司"，见于历届校园招聘启事（P1004/P1006/P1007）；简称"中国电建四川院"（P1009）；以及昵称式缩写"SEDC"，出自公司新媒体作品标题（P1002）。称谓多变在央企子公司中并不罕见，但对合同实务有实打实的含义——签约主体、担保主体、发票抬头必须逐一核对工商登记名，任何一处简称与全称的错位，都可能在争议发生时变成程序性麻烦。买方应把"名称一致性核对"写进签约清单，而非视为文书洁癖。</w:t>
      </w:r>
    </w:p>
    <w:p>
      <w:r>
        <w:rPr>
          <w:rFonts w:ascii="Calibri" w:hAnsi="Calibri" w:eastAsia="微软雅黑"/>
          <w:b w:val="0"/>
          <w:i w:val="0"/>
          <w:sz w:val="22"/>
        </w:rPr>
        <w:t>业务底盘方面，公司主营能源电力领域的规划咨询、勘察设计、工程总承包（EPC）、监理及项目管理等业务（P1009），业务遍及全国，并延伸至东南亚、非洲、南美等海外市场（P1009）；研报核验注记进一步将其海外足迹与智利CGE配网、印尼PSDI电厂、特多项目互证（P1009）。也就是说，这不是一家只画川内图纸的区域所，而是一家具备跨省履约与跨国交付记录的工程公司。海外设计中标亦有实证：四川电力设计公司中标津巴布韦输电工程设计项目（P1002）。对买方的直接含义是：在海外输配电项目的短名单里看到它，不必惊讶——海外送出工程设计与咨询本就是它的传统领地。</w:t>
      </w:r>
    </w:p>
    <w:p>
      <w:r>
        <w:rPr>
          <w:rFonts w:ascii="Calibri" w:hAnsi="Calibri" w:eastAsia="微软雅黑"/>
          <w:b w:val="0"/>
          <w:i w:val="0"/>
          <w:sz w:val="22"/>
        </w:rPr>
        <w:t>判断一家设计院能否扛大型EPC，行内看资质、集团背书、履约记录。四川院持有工程设计综合甲级资质，这是中国工程设计体系内设计院的最高资质（P1009）；其母公司为世界500强中国电力建设集团（P1009），集团旗下上市平台为中国电力建设股份有限公司，证券代码601669（P1030）；履约记录则散见于后文的项目与荣誉证据。三件套齐备，意味着它在大型能源电力项目的资格预审环节通常不会因为门槛性条件出局——买方的审查重点应因此后移到报价构成与履约管理能力，而非资格真伪。</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身份要素</w:t>
            </w:r>
          </w:p>
        </w:tc>
        <w:tc>
          <w:tcPr>
            <w:tcW w:type="dxa" w:w="2767"/>
            <w:shd w:fill="1F3A5F"/>
          </w:tcPr>
          <w:p>
            <w:r>
              <w:rPr>
                <w:color w:val="FFFFFF"/>
              </w:rPr>
            </w:r>
            <w:r>
              <w:rPr>
                <w:rFonts w:ascii="Calibri" w:hAnsi="Calibri" w:eastAsia="微软雅黑"/>
                <w:b/>
                <w:i w:val="0"/>
                <w:color w:val="FFFFFF"/>
                <w:sz w:val="18"/>
              </w:rPr>
              <w:t>内容</w:t>
            </w:r>
          </w:p>
        </w:tc>
        <w:tc>
          <w:tcPr>
            <w:tcW w:type="dxa" w:w="2767"/>
            <w:shd w:fill="1F3A5F"/>
          </w:tcPr>
          <w:p>
            <w:r>
              <w:rPr>
                <w:color w:val="FFFFFF"/>
              </w:rPr>
            </w:r>
            <w:r>
              <w:rPr>
                <w:rFonts w:ascii="Calibri" w:hAnsi="Calibri" w:eastAsia="微软雅黑"/>
                <w:b/>
                <w:i w:val="0"/>
                <w:color w:val="FFFFFF"/>
                <w:sz w:val="18"/>
              </w:rPr>
              <w:t>证据锚</w:t>
            </w:r>
          </w:p>
        </w:tc>
      </w:tr>
      <w:tr>
        <w:tc>
          <w:tcPr>
            <w:tcW w:type="dxa" w:w="2767"/>
          </w:tcPr>
          <w:p>
            <w:r/>
            <w:r>
              <w:rPr>
                <w:rFonts w:ascii="Calibri" w:hAnsi="Calibri" w:eastAsia="微软雅黑"/>
                <w:b w:val="0"/>
                <w:i w:val="0"/>
                <w:sz w:val="18"/>
              </w:rPr>
              <w:t>工商全称</w:t>
            </w:r>
          </w:p>
        </w:tc>
        <w:tc>
          <w:tcPr>
            <w:tcW w:type="dxa" w:w="2767"/>
          </w:tcPr>
          <w:p>
            <w:r/>
            <w:r>
              <w:rPr>
                <w:rFonts w:ascii="Calibri" w:hAnsi="Calibri" w:eastAsia="微软雅黑"/>
                <w:b w:val="0"/>
                <w:i w:val="0"/>
                <w:sz w:val="18"/>
              </w:rPr>
              <w:t>四川电力设计咨询有限责任公司（简称中国电建四川院）</w:t>
            </w:r>
          </w:p>
        </w:tc>
        <w:tc>
          <w:tcPr>
            <w:tcW w:type="dxa" w:w="2767"/>
          </w:tcPr>
          <w:p>
            <w:r/>
            <w:r>
              <w:rPr>
                <w:rFonts w:ascii="Calibri" w:hAnsi="Calibri" w:eastAsia="微软雅黑"/>
                <w:b w:val="0"/>
                <w:i w:val="0"/>
                <w:sz w:val="18"/>
              </w:rPr>
              <w:t>P1009</w:t>
            </w:r>
          </w:p>
        </w:tc>
      </w:tr>
      <w:tr>
        <w:tc>
          <w:tcPr>
            <w:tcW w:type="dxa" w:w="2767"/>
          </w:tcPr>
          <w:p>
            <w:r/>
            <w:r>
              <w:rPr>
                <w:rFonts w:ascii="Calibri" w:hAnsi="Calibri" w:eastAsia="微软雅黑"/>
                <w:b w:val="0"/>
                <w:i w:val="0"/>
                <w:sz w:val="18"/>
              </w:rPr>
              <w:t>集团序列称谓</w:t>
            </w:r>
          </w:p>
        </w:tc>
        <w:tc>
          <w:tcPr>
            <w:tcW w:type="dxa" w:w="2767"/>
          </w:tcPr>
          <w:p>
            <w:r/>
            <w:r>
              <w:rPr>
                <w:rFonts w:ascii="Calibri" w:hAnsi="Calibri" w:eastAsia="微软雅黑"/>
                <w:b w:val="0"/>
                <w:i w:val="0"/>
                <w:sz w:val="18"/>
              </w:rPr>
              <w:t>中国电建集团四川电力设计咨询有限责任公司</w:t>
            </w:r>
          </w:p>
        </w:tc>
        <w:tc>
          <w:tcPr>
            <w:tcW w:type="dxa" w:w="2767"/>
          </w:tcPr>
          <w:p>
            <w:r/>
            <w:r>
              <w:rPr>
                <w:rFonts w:ascii="Calibri" w:hAnsi="Calibri" w:eastAsia="微软雅黑"/>
                <w:b w:val="0"/>
                <w:i w:val="0"/>
                <w:sz w:val="18"/>
              </w:rPr>
              <w:t>P1004/P1006/P1007</w:t>
            </w:r>
          </w:p>
        </w:tc>
      </w:tr>
      <w:tr>
        <w:tc>
          <w:tcPr>
            <w:tcW w:type="dxa" w:w="2767"/>
          </w:tcPr>
          <w:p>
            <w:r/>
            <w:r>
              <w:rPr>
                <w:rFonts w:ascii="Calibri" w:hAnsi="Calibri" w:eastAsia="微软雅黑"/>
                <w:b w:val="0"/>
                <w:i w:val="0"/>
                <w:sz w:val="18"/>
              </w:rPr>
              <w:t>成立年份</w:t>
            </w:r>
          </w:p>
        </w:tc>
        <w:tc>
          <w:tcPr>
            <w:tcW w:type="dxa" w:w="2767"/>
          </w:tcPr>
          <w:p>
            <w:r/>
            <w:r>
              <w:rPr>
                <w:rFonts w:ascii="Calibri" w:hAnsi="Calibri" w:eastAsia="微软雅黑"/>
                <w:b w:val="0"/>
                <w:i w:val="0"/>
                <w:sz w:val="18"/>
              </w:rPr>
              <w:t>1988年</w:t>
            </w:r>
          </w:p>
        </w:tc>
        <w:tc>
          <w:tcPr>
            <w:tcW w:type="dxa" w:w="2767"/>
          </w:tcPr>
          <w:p>
            <w:r/>
            <w:r>
              <w:rPr>
                <w:rFonts w:ascii="Calibri" w:hAnsi="Calibri" w:eastAsia="微软雅黑"/>
                <w:b w:val="0"/>
                <w:i w:val="0"/>
                <w:sz w:val="18"/>
              </w:rPr>
              <w:t>P1009</w:t>
            </w:r>
          </w:p>
        </w:tc>
      </w:tr>
      <w:tr>
        <w:tc>
          <w:tcPr>
            <w:tcW w:type="dxa" w:w="2767"/>
          </w:tcPr>
          <w:p>
            <w:r/>
            <w:r>
              <w:rPr>
                <w:rFonts w:ascii="Calibri" w:hAnsi="Calibri" w:eastAsia="微软雅黑"/>
                <w:b w:val="0"/>
                <w:i w:val="0"/>
                <w:sz w:val="18"/>
              </w:rPr>
              <w:t>注册资金</w:t>
            </w:r>
          </w:p>
        </w:tc>
        <w:tc>
          <w:tcPr>
            <w:tcW w:type="dxa" w:w="2767"/>
          </w:tcPr>
          <w:p>
            <w:r/>
            <w:r>
              <w:rPr>
                <w:rFonts w:ascii="Calibri" w:hAnsi="Calibri" w:eastAsia="微软雅黑"/>
                <w:b w:val="0"/>
                <w:i w:val="0"/>
                <w:sz w:val="18"/>
              </w:rPr>
              <w:t>8亿元</w:t>
            </w:r>
          </w:p>
        </w:tc>
        <w:tc>
          <w:tcPr>
            <w:tcW w:type="dxa" w:w="2767"/>
          </w:tcPr>
          <w:p>
            <w:r/>
            <w:r>
              <w:rPr>
                <w:rFonts w:ascii="Calibri" w:hAnsi="Calibri" w:eastAsia="微软雅黑"/>
                <w:b w:val="0"/>
                <w:i w:val="0"/>
                <w:sz w:val="18"/>
              </w:rPr>
              <w:t>P1009</w:t>
            </w:r>
          </w:p>
        </w:tc>
      </w:tr>
      <w:tr>
        <w:tc>
          <w:tcPr>
            <w:tcW w:type="dxa" w:w="2767"/>
          </w:tcPr>
          <w:p>
            <w:r/>
            <w:r>
              <w:rPr>
                <w:rFonts w:ascii="Calibri" w:hAnsi="Calibri" w:eastAsia="微软雅黑"/>
                <w:b w:val="0"/>
                <w:i w:val="0"/>
                <w:sz w:val="18"/>
              </w:rPr>
              <w:t>总部</w:t>
            </w:r>
          </w:p>
        </w:tc>
        <w:tc>
          <w:tcPr>
            <w:tcW w:type="dxa" w:w="2767"/>
          </w:tcPr>
          <w:p>
            <w:r/>
            <w:r>
              <w:rPr>
                <w:rFonts w:ascii="Calibri" w:hAnsi="Calibri" w:eastAsia="微软雅黑"/>
                <w:b w:val="0"/>
                <w:i w:val="0"/>
                <w:sz w:val="18"/>
              </w:rPr>
              <w:t>四川成都</w:t>
            </w:r>
          </w:p>
        </w:tc>
        <w:tc>
          <w:tcPr>
            <w:tcW w:type="dxa" w:w="2767"/>
          </w:tcPr>
          <w:p>
            <w:r/>
            <w:r>
              <w:rPr>
                <w:rFonts w:ascii="Calibri" w:hAnsi="Calibri" w:eastAsia="微软雅黑"/>
                <w:b w:val="0"/>
                <w:i w:val="0"/>
                <w:sz w:val="18"/>
              </w:rPr>
              <w:t>P1009</w:t>
            </w:r>
          </w:p>
        </w:tc>
      </w:tr>
      <w:tr>
        <w:tc>
          <w:tcPr>
            <w:tcW w:type="dxa" w:w="2767"/>
          </w:tcPr>
          <w:p>
            <w:r/>
            <w:r>
              <w:rPr>
                <w:rFonts w:ascii="Calibri" w:hAnsi="Calibri" w:eastAsia="微软雅黑"/>
                <w:b w:val="0"/>
                <w:i w:val="0"/>
                <w:sz w:val="18"/>
              </w:rPr>
              <w:t>股权坐标</w:t>
            </w:r>
          </w:p>
        </w:tc>
        <w:tc>
          <w:tcPr>
            <w:tcW w:type="dxa" w:w="2767"/>
          </w:tcPr>
          <w:p>
            <w:r/>
            <w:r>
              <w:rPr>
                <w:rFonts w:ascii="Calibri" w:hAnsi="Calibri" w:eastAsia="微软雅黑"/>
                <w:b w:val="0"/>
                <w:i w:val="0"/>
                <w:sz w:val="18"/>
              </w:rPr>
              <w:t>世界500强中国电力建设集团有限公司子公司</w:t>
            </w:r>
          </w:p>
        </w:tc>
        <w:tc>
          <w:tcPr>
            <w:tcW w:type="dxa" w:w="2767"/>
          </w:tcPr>
          <w:p>
            <w:r/>
            <w:r>
              <w:rPr>
                <w:rFonts w:ascii="Calibri" w:hAnsi="Calibri" w:eastAsia="微软雅黑"/>
                <w:b w:val="0"/>
                <w:i w:val="0"/>
                <w:sz w:val="18"/>
              </w:rPr>
              <w:t>P1009</w:t>
            </w:r>
          </w:p>
        </w:tc>
      </w:tr>
      <w:tr>
        <w:tc>
          <w:tcPr>
            <w:tcW w:type="dxa" w:w="2767"/>
          </w:tcPr>
          <w:p>
            <w:r/>
            <w:r>
              <w:rPr>
                <w:rFonts w:ascii="Calibri" w:hAnsi="Calibri" w:eastAsia="微软雅黑"/>
                <w:b w:val="0"/>
                <w:i w:val="0"/>
                <w:sz w:val="18"/>
              </w:rPr>
              <w:t>关联上市主体</w:t>
            </w:r>
          </w:p>
        </w:tc>
        <w:tc>
          <w:tcPr>
            <w:tcW w:type="dxa" w:w="2767"/>
          </w:tcPr>
          <w:p>
            <w:r/>
            <w:r>
              <w:rPr>
                <w:rFonts w:ascii="Calibri" w:hAnsi="Calibri" w:eastAsia="微软雅黑"/>
                <w:b w:val="0"/>
                <w:i w:val="0"/>
                <w:sz w:val="18"/>
              </w:rPr>
              <w:t>中国电力建设股份有限公司（证券代码601669）</w:t>
            </w:r>
          </w:p>
        </w:tc>
        <w:tc>
          <w:tcPr>
            <w:tcW w:type="dxa" w:w="2767"/>
          </w:tcPr>
          <w:p>
            <w:r/>
            <w:r>
              <w:rPr>
                <w:rFonts w:ascii="Calibri" w:hAnsi="Calibri" w:eastAsia="微软雅黑"/>
                <w:b w:val="0"/>
                <w:i w:val="0"/>
                <w:sz w:val="18"/>
              </w:rPr>
              <w:t>P1030</w:t>
            </w:r>
          </w:p>
        </w:tc>
      </w:tr>
      <w:tr>
        <w:tc>
          <w:tcPr>
            <w:tcW w:type="dxa" w:w="2767"/>
          </w:tcPr>
          <w:p>
            <w:r/>
            <w:r>
              <w:rPr>
                <w:rFonts w:ascii="Calibri" w:hAnsi="Calibri" w:eastAsia="微软雅黑"/>
                <w:b w:val="0"/>
                <w:i w:val="0"/>
                <w:sz w:val="18"/>
              </w:rPr>
              <w:t>最高设计资质</w:t>
            </w:r>
          </w:p>
        </w:tc>
        <w:tc>
          <w:tcPr>
            <w:tcW w:type="dxa" w:w="2767"/>
          </w:tcPr>
          <w:p>
            <w:r/>
            <w:r>
              <w:rPr>
                <w:rFonts w:ascii="Calibri" w:hAnsi="Calibri" w:eastAsia="微软雅黑"/>
                <w:b w:val="0"/>
                <w:i w:val="0"/>
                <w:sz w:val="18"/>
              </w:rPr>
              <w:t>工程设计综合甲级（设计院最高资质）</w:t>
            </w:r>
          </w:p>
        </w:tc>
        <w:tc>
          <w:tcPr>
            <w:tcW w:type="dxa" w:w="2767"/>
          </w:tcPr>
          <w:p>
            <w:r/>
            <w:r>
              <w:rPr>
                <w:rFonts w:ascii="Calibri" w:hAnsi="Calibri" w:eastAsia="微软雅黑"/>
                <w:b w:val="0"/>
                <w:i w:val="0"/>
                <w:sz w:val="18"/>
              </w:rPr>
              <w:t>P1009</w:t>
            </w:r>
          </w:p>
        </w:tc>
      </w:tr>
      <w:tr>
        <w:tc>
          <w:tcPr>
            <w:tcW w:type="dxa" w:w="2767"/>
          </w:tcPr>
          <w:p>
            <w:r/>
            <w:r>
              <w:rPr>
                <w:rFonts w:ascii="Calibri" w:hAnsi="Calibri" w:eastAsia="微软雅黑"/>
                <w:b w:val="0"/>
                <w:i w:val="0"/>
                <w:sz w:val="18"/>
              </w:rPr>
              <w:t>业务范围</w:t>
            </w:r>
          </w:p>
        </w:tc>
        <w:tc>
          <w:tcPr>
            <w:tcW w:type="dxa" w:w="2767"/>
          </w:tcPr>
          <w:p>
            <w:r/>
            <w:r>
              <w:rPr>
                <w:rFonts w:ascii="Calibri" w:hAnsi="Calibri" w:eastAsia="微软雅黑"/>
                <w:b w:val="0"/>
                <w:i w:val="0"/>
                <w:sz w:val="18"/>
              </w:rPr>
              <w:t>规划咨询、勘察设计、EPC、监理及项目管理</w:t>
            </w:r>
          </w:p>
        </w:tc>
        <w:tc>
          <w:tcPr>
            <w:tcW w:type="dxa" w:w="2767"/>
          </w:tcPr>
          <w:p>
            <w:r/>
            <w:r>
              <w:rPr>
                <w:rFonts w:ascii="Calibri" w:hAnsi="Calibri" w:eastAsia="微软雅黑"/>
                <w:b w:val="0"/>
                <w:i w:val="0"/>
                <w:sz w:val="18"/>
              </w:rPr>
              <w:t>P1009</w:t>
            </w:r>
          </w:p>
        </w:tc>
      </w:tr>
      <w:tr>
        <w:tc>
          <w:tcPr>
            <w:tcW w:type="dxa" w:w="2767"/>
          </w:tcPr>
          <w:p>
            <w:r/>
            <w:r>
              <w:rPr>
                <w:rFonts w:ascii="Calibri" w:hAnsi="Calibri" w:eastAsia="微软雅黑"/>
                <w:b w:val="0"/>
                <w:i w:val="0"/>
                <w:sz w:val="18"/>
              </w:rPr>
              <w:t>海外覆盖</w:t>
            </w:r>
          </w:p>
        </w:tc>
        <w:tc>
          <w:tcPr>
            <w:tcW w:type="dxa" w:w="2767"/>
          </w:tcPr>
          <w:p>
            <w:r/>
            <w:r>
              <w:rPr>
                <w:rFonts w:ascii="Calibri" w:hAnsi="Calibri" w:eastAsia="微软雅黑"/>
                <w:b w:val="0"/>
                <w:i w:val="0"/>
                <w:sz w:val="18"/>
              </w:rPr>
              <w:t>东南亚、非洲、南美（注记互证智利CGE配网、印尼PSDI电厂、特多项目）</w:t>
            </w:r>
          </w:p>
        </w:tc>
        <w:tc>
          <w:tcPr>
            <w:tcW w:type="dxa" w:w="2767"/>
          </w:tcPr>
          <w:p>
            <w:r/>
            <w:r>
              <w:rPr>
                <w:rFonts w:ascii="Calibri" w:hAnsi="Calibri" w:eastAsia="微软雅黑"/>
                <w:b w:val="0"/>
                <w:i w:val="0"/>
                <w:sz w:val="18"/>
              </w:rPr>
              <w:t>P1009</w:t>
            </w:r>
          </w:p>
        </w:tc>
      </w:tr>
      <w:tr>
        <w:tc>
          <w:tcPr>
            <w:tcW w:type="dxa" w:w="2767"/>
          </w:tcPr>
          <w:p>
            <w:r/>
            <w:r>
              <w:rPr>
                <w:rFonts w:ascii="Calibri" w:hAnsi="Calibri" w:eastAsia="微软雅黑"/>
                <w:b w:val="0"/>
                <w:i w:val="0"/>
                <w:sz w:val="18"/>
              </w:rPr>
              <w:t>官网</w:t>
            </w:r>
          </w:p>
        </w:tc>
        <w:tc>
          <w:tcPr>
            <w:tcW w:type="dxa" w:w="2767"/>
          </w:tcPr>
          <w:p>
            <w:r/>
            <w:r>
              <w:rPr>
                <w:rFonts w:ascii="Calibri" w:hAnsi="Calibri" w:eastAsia="微软雅黑"/>
                <w:b w:val="0"/>
                <w:i w:val="0"/>
                <w:sz w:val="18"/>
              </w:rPr>
              <w:t>sedc.cn（挂靠电建站群sedc.powerchina.cn）</w:t>
            </w:r>
          </w:p>
        </w:tc>
        <w:tc>
          <w:tcPr>
            <w:tcW w:type="dxa" w:w="2767"/>
          </w:tcPr>
          <w:p>
            <w:r/>
            <w:r>
              <w:rPr>
                <w:rFonts w:ascii="Calibri" w:hAnsi="Calibri" w:eastAsia="微软雅黑"/>
                <w:b w:val="0"/>
                <w:i w:val="0"/>
                <w:sz w:val="18"/>
              </w:rPr>
              <w:t>P1009</w:t>
            </w:r>
          </w:p>
        </w:tc>
      </w:tr>
    </w:tbl>
    <w:p>
      <w:r>
        <w:rPr>
          <w:rFonts w:ascii="Calibri" w:hAnsi="Calibri" w:eastAsia="微软雅黑"/>
          <w:b w:val="0"/>
          <w:i w:val="0"/>
          <w:sz w:val="22"/>
        </w:rPr>
        <w:t>集团子公司身份是一把双刃剑，买方应两面都看。正面是信用传导：世界500强母集团的背书让其在资格预审、保函开立与国际投标中获得系统性加成（集团坐标锚见P1009，上市平台锚见P1030）；集团层面与宁德时代达成战略合作（P1000）所代表的产业网络，子公司亦有条件按规则分享。反面是独立性边界：央企集团对子公司的授权、担保与投资决策有一套自己的流程，"母公司很强"不等于"本项目一定能拿到集团担保"——凡涉及集团增信的安排，必须落到书面授权而非口头惯例。读懂这层双刃剑，才能把身份卡用成信用档案，而不是荣誉墙。</w:t>
      </w:r>
    </w:p>
    <w:p>
      <w:r>
        <w:rPr>
          <w:rFonts w:ascii="Calibri" w:hAnsi="Calibri" w:eastAsia="微软雅黑"/>
          <w:b w:val="0"/>
          <w:i w:val="0"/>
          <w:sz w:val="22"/>
        </w:rPr>
        <w:t>业务结构上，它是典型的"双轮"设计咨询公司：一轮是规划咨询、勘察设计、监理及项目管理构成的专业服务轮（P1009），现金流相对稳、智力密度高；另一轮是工程总承包（EPC）构成的规模轮（P1009），单体合同大、占用资源重、盈亏弹性也大。两轮互喂——设计前端的信息优势滋养总承包的报价与风控，总承包的规模反过来带动技术与人才投入（博士后基地与全谱系招聘即其侧影，锚见P1000/P1002）。对买方而言，这种结构的好处是：同一主体内的设计意图与施工组织可以在EPC内部闭环，减少设计-施工互相指责的接口成本；风险则是：设计优化动机与总承包成本动机在同一主体内合并，需要独立的第三方监理或业主工程师加以制衡（其自身亦提供监理服务，P1009，角色冲突的边界应在合同中划清）。</w:t>
      </w:r>
    </w:p>
    <w:p>
      <w:r>
        <w:rPr>
          <w:rFonts w:ascii="Calibri" w:hAnsi="Calibri" w:eastAsia="微软雅黑"/>
          <w:b w:val="0"/>
          <w:i w:val="0"/>
          <w:sz w:val="22"/>
        </w:rPr>
        <w:t>读身份卡，建议固定三个追问：主体是谁（工商全称与集团序列名是否一致，锚见P1004/P1009）、兜底是谁（担保与增信的书面安排落在哪一层）、半径多大（业务与海外的实际足迹，锚见P1009）。三问过完，身份信息才从静态名片变成动态信用档案，后续所有章节的细节也才有挂靠点。</w:t>
      </w:r>
    </w:p>
    <w:p>
      <w:r>
        <w:rPr>
          <w:rFonts w:ascii="Calibri" w:hAnsi="Calibri" w:eastAsia="微软雅黑"/>
          <w:b w:val="0"/>
          <w:i w:val="0"/>
          <w:sz w:val="22"/>
        </w:rPr>
        <w:t>信息透明度本身也是身份的一部分。公司的公开信息面包括：挂靠电建站群的官网（P1009）、持续更新的微信传播（宣传片与品牌日内容，锚见P1006/P1005/P1008）、高校就业网的公司简介（P1009）以及行业媒体的项目报道（P1002/P1005/P1008）。多渠道、多年份、多主体交叉可证，其身份信息的可核验性在同类企业中处于正常偏好水平；相应地，买方对其单渠道宣传（如招聘文案中的待遇与规模表述）应做常规折扣处理。信息透明度不直接等于履约能力，但它决定了尽调的成本——越是可核验的主体，尽调越便宜，这一点在时间紧迫的招标窗口里尤为实际。</w:t>
      </w:r>
    </w:p>
    <w:p>
      <w:r>
        <w:rPr>
          <w:rFonts w:ascii="Calibri" w:hAnsi="Calibri" w:eastAsia="微软雅黑"/>
          <w:b w:val="0"/>
          <w:i w:val="0"/>
          <w:sz w:val="22"/>
        </w:rPr>
        <w:t>所以呢？这张身份卡的价值不在罗列，而在校准买方的谈判预期：注册资金8亿元（P1009）框定了其独立承担履约担保与垫资能力的名义上限；当项目体量显著超过这一量级——例如检索窗口内川内出现的42亿元级大项目中标行情（P1002）——就必须追问担保安排是公司自有出具、集团增信，还是联合体分摊。身份决定准入，股权结构决定风险兜底，这是读图的基本功，也是本章后续一切坐标的原点。</w:t>
      </w:r>
    </w:p>
    <w:p>
      <w:pPr>
        <w:pStyle w:val="Heading2"/>
      </w:pPr>
      <w:r>
        <w:t>二、沿革轨迹：用公开活动拼出的年轮</w:t>
      </w:r>
    </w:p>
    <w:p>
      <w:r>
        <w:rPr>
          <w:rFonts w:ascii="Calibri" w:hAnsi="Calibri" w:eastAsia="微软雅黑"/>
          <w:b w:val="0"/>
          <w:i w:val="0"/>
          <w:sz w:val="22"/>
        </w:rPr>
        <w:t>必须先声明证据边界：本章证据库中未获得公司官方大事记或司史文本，"沿革"只能以公开活动轨迹拼接复原。这种做法的优点是每一条都可核验、可回查，缺点是必然挂一漏万——重大但未公开传播的事件不会出现在年轮上；凡年份无法在证据内锁定的条目，下表如实标注"年份未锁定"，不做臆测填充。</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时点</w:t>
            </w:r>
          </w:p>
        </w:tc>
        <w:tc>
          <w:tcPr>
            <w:tcW w:type="dxa" w:w="2767"/>
            <w:shd w:fill="1F3A5F"/>
          </w:tcPr>
          <w:p>
            <w:r>
              <w:rPr>
                <w:color w:val="FFFFFF"/>
              </w:rPr>
            </w:r>
            <w:r>
              <w:rPr>
                <w:rFonts w:ascii="Calibri" w:hAnsi="Calibri" w:eastAsia="微软雅黑"/>
                <w:b/>
                <w:i w:val="0"/>
                <w:color w:val="FFFFFF"/>
                <w:sz w:val="18"/>
              </w:rPr>
              <w:t>公开事件</w:t>
            </w:r>
          </w:p>
        </w:tc>
        <w:tc>
          <w:tcPr>
            <w:tcW w:type="dxa" w:w="2767"/>
            <w:shd w:fill="1F3A5F"/>
          </w:tcPr>
          <w:p>
            <w:r>
              <w:rPr>
                <w:color w:val="FFFFFF"/>
              </w:rPr>
            </w:r>
            <w:r>
              <w:rPr>
                <w:rFonts w:ascii="Calibri" w:hAnsi="Calibri" w:eastAsia="微软雅黑"/>
                <w:b/>
                <w:i w:val="0"/>
                <w:color w:val="FFFFFF"/>
                <w:sz w:val="18"/>
              </w:rPr>
              <w:t>证据锚</w:t>
            </w:r>
          </w:p>
        </w:tc>
      </w:tr>
      <w:tr>
        <w:tc>
          <w:tcPr>
            <w:tcW w:type="dxa" w:w="2767"/>
          </w:tcPr>
          <w:p>
            <w:r/>
            <w:r>
              <w:rPr>
                <w:rFonts w:ascii="Calibri" w:hAnsi="Calibri" w:eastAsia="微软雅黑"/>
                <w:b w:val="0"/>
                <w:i w:val="0"/>
                <w:sz w:val="18"/>
              </w:rPr>
              <w:t>1988年</w:t>
            </w:r>
          </w:p>
        </w:tc>
        <w:tc>
          <w:tcPr>
            <w:tcW w:type="dxa" w:w="2767"/>
          </w:tcPr>
          <w:p>
            <w:r/>
            <w:r>
              <w:rPr>
                <w:rFonts w:ascii="Calibri" w:hAnsi="Calibri" w:eastAsia="微软雅黑"/>
                <w:b w:val="0"/>
                <w:i w:val="0"/>
                <w:sz w:val="18"/>
              </w:rPr>
              <w:t>公司成立</w:t>
            </w:r>
          </w:p>
        </w:tc>
        <w:tc>
          <w:tcPr>
            <w:tcW w:type="dxa" w:w="2767"/>
          </w:tcPr>
          <w:p>
            <w:r/>
            <w:r>
              <w:rPr>
                <w:rFonts w:ascii="Calibri" w:hAnsi="Calibri" w:eastAsia="微软雅黑"/>
                <w:b w:val="0"/>
                <w:i w:val="0"/>
                <w:sz w:val="18"/>
              </w:rPr>
              <w:t>P1009</w:t>
            </w:r>
          </w:p>
        </w:tc>
      </w:tr>
      <w:tr>
        <w:tc>
          <w:tcPr>
            <w:tcW w:type="dxa" w:w="2767"/>
          </w:tcPr>
          <w:p>
            <w:r/>
            <w:r>
              <w:rPr>
                <w:rFonts w:ascii="Calibri" w:hAnsi="Calibri" w:eastAsia="微软雅黑"/>
                <w:b w:val="0"/>
                <w:i w:val="0"/>
                <w:sz w:val="18"/>
              </w:rPr>
              <w:t>2017年</w:t>
            </w:r>
          </w:p>
        </w:tc>
        <w:tc>
          <w:tcPr>
            <w:tcW w:type="dxa" w:w="2767"/>
          </w:tcPr>
          <w:p>
            <w:r/>
            <w:r>
              <w:rPr>
                <w:rFonts w:ascii="Calibri" w:hAnsi="Calibri" w:eastAsia="微软雅黑"/>
                <w:b w:val="0"/>
                <w:i w:val="0"/>
                <w:sz w:val="18"/>
              </w:rPr>
              <w:t>以"中国电建集团四川电力设计咨询有限责任公司"名义开展校园招聘</w:t>
            </w:r>
          </w:p>
        </w:tc>
        <w:tc>
          <w:tcPr>
            <w:tcW w:type="dxa" w:w="2767"/>
          </w:tcPr>
          <w:p>
            <w:r/>
            <w:r>
              <w:rPr>
                <w:rFonts w:ascii="Calibri" w:hAnsi="Calibri" w:eastAsia="微软雅黑"/>
                <w:b w:val="0"/>
                <w:i w:val="0"/>
                <w:sz w:val="18"/>
              </w:rPr>
              <w:t>P1004/P1006/P1007</w:t>
            </w:r>
          </w:p>
        </w:tc>
      </w:tr>
      <w:tr>
        <w:tc>
          <w:tcPr>
            <w:tcW w:type="dxa" w:w="2767"/>
          </w:tcPr>
          <w:p>
            <w:r/>
            <w:r>
              <w:rPr>
                <w:rFonts w:ascii="Calibri" w:hAnsi="Calibri" w:eastAsia="微软雅黑"/>
                <w:b w:val="0"/>
                <w:i w:val="0"/>
                <w:sz w:val="18"/>
              </w:rPr>
              <w:t>2019年12月</w:t>
            </w:r>
          </w:p>
        </w:tc>
        <w:tc>
          <w:tcPr>
            <w:tcW w:type="dxa" w:w="2767"/>
          </w:tcPr>
          <w:p>
            <w:r/>
            <w:r>
              <w:rPr>
                <w:rFonts w:ascii="Calibri" w:hAnsi="Calibri" w:eastAsia="微软雅黑"/>
                <w:b w:val="0"/>
                <w:i w:val="0"/>
                <w:sz w:val="18"/>
              </w:rPr>
              <w:t>发布形象宣传片《追光者》</w:t>
            </w:r>
          </w:p>
        </w:tc>
        <w:tc>
          <w:tcPr>
            <w:tcW w:type="dxa" w:w="2767"/>
          </w:tcPr>
          <w:p>
            <w:r/>
            <w:r>
              <w:rPr>
                <w:rFonts w:ascii="Calibri" w:hAnsi="Calibri" w:eastAsia="微软雅黑"/>
                <w:b w:val="0"/>
                <w:i w:val="0"/>
                <w:sz w:val="18"/>
              </w:rPr>
              <w:t>P1006</w:t>
            </w:r>
          </w:p>
        </w:tc>
      </w:tr>
      <w:tr>
        <w:tc>
          <w:tcPr>
            <w:tcW w:type="dxa" w:w="2767"/>
          </w:tcPr>
          <w:p>
            <w:r/>
            <w:r>
              <w:rPr>
                <w:rFonts w:ascii="Calibri" w:hAnsi="Calibri" w:eastAsia="微软雅黑"/>
                <w:b w:val="0"/>
                <w:i w:val="0"/>
                <w:sz w:val="18"/>
              </w:rPr>
              <w:t>2021年7月</w:t>
            </w:r>
          </w:p>
        </w:tc>
        <w:tc>
          <w:tcPr>
            <w:tcW w:type="dxa" w:w="2767"/>
          </w:tcPr>
          <w:p>
            <w:r/>
            <w:r>
              <w:rPr>
                <w:rFonts w:ascii="Calibri" w:hAnsi="Calibri" w:eastAsia="微软雅黑"/>
                <w:b w:val="0"/>
                <w:i w:val="0"/>
                <w:sz w:val="18"/>
              </w:rPr>
              <w:t>中标津巴布韦输电工程设计项目</w:t>
            </w:r>
          </w:p>
        </w:tc>
        <w:tc>
          <w:tcPr>
            <w:tcW w:type="dxa" w:w="2767"/>
          </w:tcPr>
          <w:p>
            <w:r/>
            <w:r>
              <w:rPr>
                <w:rFonts w:ascii="Calibri" w:hAnsi="Calibri" w:eastAsia="微软雅黑"/>
                <w:b w:val="0"/>
                <w:i w:val="0"/>
                <w:sz w:val="18"/>
              </w:rPr>
              <w:t>P1002</w:t>
            </w:r>
          </w:p>
        </w:tc>
      </w:tr>
      <w:tr>
        <w:tc>
          <w:tcPr>
            <w:tcW w:type="dxa" w:w="2767"/>
          </w:tcPr>
          <w:p>
            <w:r/>
            <w:r>
              <w:rPr>
                <w:rFonts w:ascii="Calibri" w:hAnsi="Calibri" w:eastAsia="微软雅黑"/>
                <w:b w:val="0"/>
                <w:i w:val="0"/>
                <w:sz w:val="18"/>
              </w:rPr>
              <w:t>年份未锁定</w:t>
            </w:r>
          </w:p>
        </w:tc>
        <w:tc>
          <w:tcPr>
            <w:tcW w:type="dxa" w:w="2767"/>
          </w:tcPr>
          <w:p>
            <w:r/>
            <w:r>
              <w:rPr>
                <w:rFonts w:ascii="Calibri" w:hAnsi="Calibri" w:eastAsia="微软雅黑"/>
                <w:b w:val="0"/>
                <w:i w:val="0"/>
                <w:sz w:val="18"/>
              </w:rPr>
              <w:t>南桠河梯级电站配套送出总承包工程获国家总承包工程金钥匙奖（电力设计行业第一枚）</w:t>
            </w:r>
          </w:p>
        </w:tc>
        <w:tc>
          <w:tcPr>
            <w:tcW w:type="dxa" w:w="2767"/>
          </w:tcPr>
          <w:p>
            <w:r/>
            <w:r>
              <w:rPr>
                <w:rFonts w:ascii="Calibri" w:hAnsi="Calibri" w:eastAsia="微软雅黑"/>
                <w:b w:val="0"/>
                <w:i w:val="0"/>
                <w:sz w:val="18"/>
              </w:rPr>
              <w:t>P1009</w:t>
            </w:r>
          </w:p>
        </w:tc>
      </w:tr>
      <w:tr>
        <w:tc>
          <w:tcPr>
            <w:tcW w:type="dxa" w:w="2767"/>
          </w:tcPr>
          <w:p>
            <w:r/>
            <w:r>
              <w:rPr>
                <w:rFonts w:ascii="Calibri" w:hAnsi="Calibri" w:eastAsia="微软雅黑"/>
                <w:b w:val="0"/>
                <w:i w:val="0"/>
                <w:sz w:val="18"/>
              </w:rPr>
              <w:t>年份未锁定</w:t>
            </w:r>
          </w:p>
        </w:tc>
        <w:tc>
          <w:tcPr>
            <w:tcW w:type="dxa" w:w="2767"/>
          </w:tcPr>
          <w:p>
            <w:r/>
            <w:r>
              <w:rPr>
                <w:rFonts w:ascii="Calibri" w:hAnsi="Calibri" w:eastAsia="微软雅黑"/>
                <w:b w:val="0"/>
                <w:i w:val="0"/>
                <w:sz w:val="18"/>
              </w:rPr>
              <w:t>获批设立四川省博士后创新实践基地</w:t>
            </w:r>
          </w:p>
        </w:tc>
        <w:tc>
          <w:tcPr>
            <w:tcW w:type="dxa" w:w="2767"/>
          </w:tcPr>
          <w:p>
            <w:r/>
            <w:r>
              <w:rPr>
                <w:rFonts w:ascii="Calibri" w:hAnsi="Calibri" w:eastAsia="微软雅黑"/>
                <w:b w:val="0"/>
                <w:i w:val="0"/>
                <w:sz w:val="18"/>
              </w:rPr>
              <w:t>P1000</w:t>
            </w:r>
          </w:p>
        </w:tc>
      </w:tr>
      <w:tr>
        <w:tc>
          <w:tcPr>
            <w:tcW w:type="dxa" w:w="2767"/>
          </w:tcPr>
          <w:p>
            <w:r/>
            <w:r>
              <w:rPr>
                <w:rFonts w:ascii="Calibri" w:hAnsi="Calibri" w:eastAsia="微软雅黑"/>
                <w:b w:val="0"/>
                <w:i w:val="0"/>
                <w:sz w:val="18"/>
              </w:rPr>
              <w:t>年份未锁定</w:t>
            </w:r>
          </w:p>
        </w:tc>
        <w:tc>
          <w:tcPr>
            <w:tcW w:type="dxa" w:w="2767"/>
          </w:tcPr>
          <w:p>
            <w:r/>
            <w:r>
              <w:rPr>
                <w:rFonts w:ascii="Calibri" w:hAnsi="Calibri" w:eastAsia="微软雅黑"/>
                <w:b w:val="0"/>
                <w:i w:val="0"/>
                <w:sz w:val="18"/>
              </w:rPr>
              <w:t>推出混合所有制改革项目推介、拟引入战略投资者</w:t>
            </w:r>
          </w:p>
        </w:tc>
        <w:tc>
          <w:tcPr>
            <w:tcW w:type="dxa" w:w="2767"/>
          </w:tcPr>
          <w:p>
            <w:r/>
            <w:r>
              <w:rPr>
                <w:rFonts w:ascii="Calibri" w:hAnsi="Calibri" w:eastAsia="微软雅黑"/>
                <w:b w:val="0"/>
                <w:i w:val="0"/>
                <w:sz w:val="18"/>
              </w:rPr>
              <w:t>P1001/P1006</w:t>
            </w:r>
          </w:p>
        </w:tc>
      </w:tr>
      <w:tr>
        <w:tc>
          <w:tcPr>
            <w:tcW w:type="dxa" w:w="2767"/>
          </w:tcPr>
          <w:p>
            <w:r/>
            <w:r>
              <w:rPr>
                <w:rFonts w:ascii="Calibri" w:hAnsi="Calibri" w:eastAsia="微软雅黑"/>
                <w:b w:val="0"/>
                <w:i w:val="0"/>
                <w:sz w:val="18"/>
              </w:rPr>
              <w:t>2025年9月</w:t>
            </w:r>
          </w:p>
        </w:tc>
        <w:tc>
          <w:tcPr>
            <w:tcW w:type="dxa" w:w="2767"/>
          </w:tcPr>
          <w:p>
            <w:r/>
            <w:r>
              <w:rPr>
                <w:rFonts w:ascii="Calibri" w:hAnsi="Calibri" w:eastAsia="微软雅黑"/>
                <w:b w:val="0"/>
                <w:i w:val="0"/>
                <w:sz w:val="18"/>
              </w:rPr>
              <w:t>赴华中科技大学宣讲（就业网于2025-09-12发布，宣讲时间2025年9月24日）</w:t>
            </w:r>
          </w:p>
        </w:tc>
        <w:tc>
          <w:tcPr>
            <w:tcW w:type="dxa" w:w="2767"/>
          </w:tcPr>
          <w:p>
            <w:r/>
            <w:r>
              <w:rPr>
                <w:rFonts w:ascii="Calibri" w:hAnsi="Calibri" w:eastAsia="微软雅黑"/>
                <w:b w:val="0"/>
                <w:i w:val="0"/>
                <w:sz w:val="18"/>
              </w:rPr>
              <w:t>P1009</w:t>
            </w:r>
          </w:p>
        </w:tc>
      </w:tr>
      <w:tr>
        <w:tc>
          <w:tcPr>
            <w:tcW w:type="dxa" w:w="2767"/>
          </w:tcPr>
          <w:p>
            <w:r/>
            <w:r>
              <w:rPr>
                <w:rFonts w:ascii="Calibri" w:hAnsi="Calibri" w:eastAsia="微软雅黑"/>
                <w:b w:val="0"/>
                <w:i w:val="0"/>
                <w:sz w:val="18"/>
              </w:rPr>
              <w:t>2025年度</w:t>
            </w:r>
          </w:p>
        </w:tc>
        <w:tc>
          <w:tcPr>
            <w:tcW w:type="dxa" w:w="2767"/>
          </w:tcPr>
          <w:p>
            <w:r/>
            <w:r>
              <w:rPr>
                <w:rFonts w:ascii="Calibri" w:hAnsi="Calibri" w:eastAsia="微软雅黑"/>
                <w:b w:val="0"/>
                <w:i w:val="0"/>
                <w:sz w:val="18"/>
              </w:rPr>
              <w:t>召开公司项目管理年会</w:t>
            </w:r>
          </w:p>
        </w:tc>
        <w:tc>
          <w:tcPr>
            <w:tcW w:type="dxa" w:w="2767"/>
          </w:tcPr>
          <w:p>
            <w:r/>
            <w:r>
              <w:rPr>
                <w:rFonts w:ascii="Calibri" w:hAnsi="Calibri" w:eastAsia="微软雅黑"/>
                <w:b w:val="0"/>
                <w:i w:val="0"/>
                <w:sz w:val="18"/>
              </w:rPr>
              <w:t>P1005/P1008</w:t>
            </w:r>
          </w:p>
        </w:tc>
      </w:tr>
      <w:tr>
        <w:tc>
          <w:tcPr>
            <w:tcW w:type="dxa" w:w="2767"/>
          </w:tcPr>
          <w:p>
            <w:r/>
            <w:r>
              <w:rPr>
                <w:rFonts w:ascii="Calibri" w:hAnsi="Calibri" w:eastAsia="微软雅黑"/>
                <w:b w:val="0"/>
                <w:i w:val="0"/>
                <w:sz w:val="18"/>
              </w:rPr>
              <w:t>年份未锁定</w:t>
            </w:r>
          </w:p>
        </w:tc>
        <w:tc>
          <w:tcPr>
            <w:tcW w:type="dxa" w:w="2767"/>
          </w:tcPr>
          <w:p>
            <w:r/>
            <w:r>
              <w:rPr>
                <w:rFonts w:ascii="Calibri" w:hAnsi="Calibri" w:eastAsia="微软雅黑"/>
                <w:b w:val="0"/>
                <w:i w:val="0"/>
                <w:sz w:val="18"/>
              </w:rPr>
              <w:t>企业项目管理系统通过集团验收</w:t>
            </w:r>
          </w:p>
        </w:tc>
        <w:tc>
          <w:tcPr>
            <w:tcW w:type="dxa" w:w="2767"/>
          </w:tcPr>
          <w:p>
            <w:r/>
            <w:r>
              <w:rPr>
                <w:rFonts w:ascii="Calibri" w:hAnsi="Calibri" w:eastAsia="微软雅黑"/>
                <w:b w:val="0"/>
                <w:i w:val="0"/>
                <w:sz w:val="18"/>
              </w:rPr>
              <w:t>P1005/P1008</w:t>
            </w:r>
          </w:p>
        </w:tc>
      </w:tr>
      <w:tr>
        <w:tc>
          <w:tcPr>
            <w:tcW w:type="dxa" w:w="2767"/>
          </w:tcPr>
          <w:p>
            <w:r/>
            <w:r>
              <w:rPr>
                <w:rFonts w:ascii="Calibri" w:hAnsi="Calibri" w:eastAsia="微软雅黑"/>
                <w:b w:val="0"/>
                <w:i w:val="0"/>
                <w:sz w:val="18"/>
              </w:rPr>
              <w:t>年份未锁定</w:t>
            </w:r>
          </w:p>
        </w:tc>
        <w:tc>
          <w:tcPr>
            <w:tcW w:type="dxa" w:w="2767"/>
          </w:tcPr>
          <w:p>
            <w:r/>
            <w:r>
              <w:rPr>
                <w:rFonts w:ascii="Calibri" w:hAnsi="Calibri" w:eastAsia="微软雅黑"/>
                <w:b w:val="0"/>
                <w:i w:val="0"/>
                <w:sz w:val="18"/>
              </w:rPr>
              <w:t>"品牌日"传播以"金钥匙"品质铸就行业标杆为题</w:t>
            </w:r>
          </w:p>
        </w:tc>
        <w:tc>
          <w:tcPr>
            <w:tcW w:type="dxa" w:w="2767"/>
          </w:tcPr>
          <w:p>
            <w:r/>
            <w:r>
              <w:rPr>
                <w:rFonts w:ascii="Calibri" w:hAnsi="Calibri" w:eastAsia="微软雅黑"/>
                <w:b w:val="0"/>
                <w:i w:val="0"/>
                <w:sz w:val="18"/>
              </w:rPr>
              <w:t>P1005/P1008</w:t>
            </w:r>
          </w:p>
        </w:tc>
      </w:tr>
      <w:tr>
        <w:tc>
          <w:tcPr>
            <w:tcW w:type="dxa" w:w="2767"/>
          </w:tcPr>
          <w:p>
            <w:r/>
            <w:r>
              <w:rPr>
                <w:rFonts w:ascii="Calibri" w:hAnsi="Calibri" w:eastAsia="微软雅黑"/>
                <w:b w:val="0"/>
                <w:i w:val="0"/>
                <w:sz w:val="18"/>
              </w:rPr>
              <w:t>年份未锁定</w:t>
            </w:r>
          </w:p>
        </w:tc>
        <w:tc>
          <w:tcPr>
            <w:tcW w:type="dxa" w:w="2767"/>
          </w:tcPr>
          <w:p>
            <w:r/>
            <w:r>
              <w:rPr>
                <w:rFonts w:ascii="Calibri" w:hAnsi="Calibri" w:eastAsia="微软雅黑"/>
                <w:b w:val="0"/>
                <w:i w:val="0"/>
                <w:sz w:val="18"/>
              </w:rPr>
              <w:t>新媒体作品获新媒体大赛一等奖</w:t>
            </w:r>
          </w:p>
        </w:tc>
        <w:tc>
          <w:tcPr>
            <w:tcW w:type="dxa" w:w="2767"/>
          </w:tcPr>
          <w:p>
            <w:r/>
            <w:r>
              <w:rPr>
                <w:rFonts w:ascii="Calibri" w:hAnsi="Calibri" w:eastAsia="微软雅黑"/>
                <w:b w:val="0"/>
                <w:i w:val="0"/>
                <w:sz w:val="18"/>
              </w:rPr>
              <w:t>P1002</w:t>
            </w:r>
          </w:p>
        </w:tc>
      </w:tr>
    </w:tbl>
    <w:p>
      <w:r>
        <w:rPr>
          <w:rFonts w:ascii="Calibri" w:hAnsi="Calibri" w:eastAsia="微软雅黑"/>
          <w:b w:val="0"/>
          <w:i w:val="0"/>
          <w:sz w:val="22"/>
        </w:rPr>
        <w:t>年轮的拼接方法亦需交代：本章沿革证据主要来自九个搜狗微信检索合集，检索执行于2026年10月上旬（合集头部元数据显示搜索日期为2026-10-03至2026-10-04、抓取日期为2026-10-05，锚见P1000/P1001/P1003/P1004），检索词围绕"四川电力设计咨询""中国电建四川院""总承包""中标""新能源""储能"等展开（见各合集标题行，锚见P1000/P1001/P1002/P1003/P1004/P1005/P1006/P1007/P1008）。这一方法决定了证据的偏向：微信生态有利于捕捉企业自述与行业快讯，但不利于捕捉工商变更与监管公告——后者的缺口在章末盲区中集中交代。</w:t>
      </w:r>
    </w:p>
    <w:p>
      <w:r>
        <w:rPr>
          <w:rFonts w:ascii="Calibri" w:hAnsi="Calibri" w:eastAsia="微软雅黑"/>
          <w:b w:val="0"/>
          <w:i w:val="0"/>
          <w:sz w:val="22"/>
        </w:rPr>
        <w:t>人才招聘序列是观察工程公司组织景气度的一根廉价而诚实的指针。公开可查的校园招聘轨迹依次覆盖2020届（P1001）、2021届（P1002）、2023届春季（P1004）、2024届（P1000）、2026届秋季（P1000/P1001/P1002/P1003/P1004/P1005/P1006/P1007），其中2023年招聘曾以"六险两金"作为待遇标签（P1000），2026届招聘以"央企编制"为显性标签（P1000）；与此同时，公司博士后创新实践基地发布了2026年招聘博士后公告（P1002/P1004/P1006）。招聘标签里还藏着组织属性信息："央企编制"的显性标注（P1000）确认其央企序列身份对人才的吸引力逻辑，"六险两金"的待遇表述（P1000）则反映补充养老等福利的完备度。这两个标签对买方的间接价值是稳定性判断——编制与福利体系意味着相对更低的主动离职率与相对更强的人才吸附力，而这正是长周期EPC项目最需要的承包商组织特质。当然，标签属于宣传语言，使用时应连同其发布渠道（招聘平台与高校就业网，锚见P1000/P1009）一起打折看待，作为旁证而非证据使用。</w:t>
      </w:r>
    </w:p>
    <w:p>
      <w:r>
        <w:rPr>
          <w:rFonts w:ascii="Calibri" w:hAnsi="Calibri" w:eastAsia="微软雅黑"/>
          <w:b w:val="0"/>
          <w:i w:val="0"/>
          <w:sz w:val="22"/>
        </w:rPr>
        <w:t>从本科批量招揽到博士后高层次引进，说明其人才梯队是全谱系布局。对买方的含义：在工程行业，承包商最隐蔽的崩塌方式不是资质失效，而是骨干流失导致的履约空心化；一家持续多年校招、并获批省级博士后创新实践基地（P1000）的公司，至少在观测窗口内展现了组织再生产能力的稳定性。</w:t>
      </w:r>
    </w:p>
    <w:p>
      <w:r>
        <w:rPr>
          <w:rFonts w:ascii="Calibri" w:hAnsi="Calibri" w:eastAsia="微软雅黑"/>
          <w:b w:val="0"/>
          <w:i w:val="0"/>
          <w:sz w:val="22"/>
        </w:rPr>
        <w:t>公司的品牌叙事同样有迹可循：2019年12月26日发布形象宣传片《追光者》（P1006）；新媒体作品《冲击你的肾上腺，SEDC兄弟伙雄起！》获得新媒体大赛一等奖（P1002）；"品牌日"传播以"金钥匙"品质铸就行业标杆为题（P1005/P1008）——把企业品牌与金钥匙奖直接绑定，足见该奖项在其对外叙事中的分量（奖项本体详见下节）。品牌动作的连续性是组织稳定性的旁证：一家持续经营品牌资产的设计院，通常处于扩张而非收缩的轨道上；对需要判断长期合作可行性的买方而言，这类软信号的噪声虽大，缺位却更值得警惕。</w:t>
      </w:r>
    </w:p>
    <w:p>
      <w:r>
        <w:rPr>
          <w:rFonts w:ascii="Calibri" w:hAnsi="Calibri" w:eastAsia="微软雅黑"/>
          <w:b w:val="0"/>
          <w:i w:val="0"/>
          <w:sz w:val="22"/>
        </w:rPr>
        <w:t>招聘宣讲的院校轨迹同样传递信号：公司宣讲走进了四川大学（P1000，发布方"川大就业"）、华北电力大学（P1001，发布方"华北电力大学就业指导中心"）与华中科技大学（P1009），地方招聘平台"成都快招聘"亦多次发布其岗位（P1007）。从省内综合性高校到电力行业专门院校再到全国重点大学，宣讲半径的扩大与其业务半径的扩大同构——人才市场的足迹是业务版图最诚实的影子；对需要判断其人才供给可持续性的买方，这是一条零成本即可复核的线索。</w:t>
      </w:r>
    </w:p>
    <w:p>
      <w:r>
        <w:rPr>
          <w:rFonts w:ascii="Calibri" w:hAnsi="Calibri" w:eastAsia="微软雅黑"/>
          <w:b w:val="0"/>
          <w:i w:val="0"/>
          <w:sz w:val="22"/>
        </w:rPr>
        <w:t>组织内部的现代化进程也留有痕迹：企业项目管理系统顺利通过集团验收（P1005/P1008），说明其项目管理已纳入集团统一的数字化管控体系；2025年度项目管理年会的召开（P1005/P1008），则是集团系公司典型的年度复盘机制。对买方的意义在于流程可预期性：项目管理系统通过集团验收（P1005/P1008）意味着进度、质量、费用等关键控制要素有标准化载体，跨项目的管理一致性比单次投标承诺更可信；行业专著将进度、质量、费用、HSE列为项目目标控制要素，将综合、合同、范围、资源、信息、沟通、风险、变更列为管理控制要素（P1029），这套要素表恰好可以作为买方审查承包商管理体系完备性的现成清单。</w:t>
      </w:r>
    </w:p>
    <w:p>
      <w:r>
        <w:rPr>
          <w:rFonts w:ascii="Calibri" w:hAnsi="Calibri" w:eastAsia="微软雅黑"/>
          <w:b w:val="0"/>
          <w:i w:val="0"/>
          <w:sz w:val="22"/>
        </w:rPr>
        <w:t>对年轮表还要交代一层读法：它的密度不均匀是方法产物，不是公司节奏。微信检索对"事件型"内容（招聘、宣讲、获奖、中标快讯）敏感，对"过程型"内容（体系建设、内部改革、人事更替）钝感；表中"年份未锁定"条目占比偏高，正是因为奖项与体系类信息在传播时往往不携带时间要素（如金钥匙奖条目仅见于简介性叙述，锚见P1009）。因此，用这张表判断"公司某年是否停滞"是误用，用它在需要时锚定"某事确实发生过"才是正用。买方若需要精确编年，应调取工商年报与官网新闻库做第二轮补全——本章已把这一缺口列入章末盲区，不作回避。</w:t>
      </w:r>
    </w:p>
    <w:p>
      <w:r>
        <w:rPr>
          <w:rFonts w:ascii="Calibri" w:hAnsi="Calibri" w:eastAsia="微软雅黑"/>
          <w:b w:val="0"/>
          <w:i w:val="0"/>
          <w:sz w:val="22"/>
        </w:rPr>
        <w:t>把四川院的年轮放进行业坐标系，它走的是中国电力设计院的经典转型路径：从勘察设计起家，向工程总承包延伸。这一进程有充分的行业文献支撑：《EPC工程总承包项目过程控制概论》以十五章的篇幅系统梳理了中国项目管理及建设模式的发展进程、工程勘察设计行业发展现状，以及设计、采购、施工、试运行的全过程控制方法，明确面向化工、石油化工、煤化工、医药、电力、基础设施建设等领域的工程公司（P1029）；学界亦已出现以电力设计院为视角的EPC项目管理成熟度评价研究（P1018），以及EPC模式下的核电项目管理技术研究（P1019）。四川院在这一进程中交出的资格证明，是入选全国勘察设计企业工程总承包百强（P1009），并连续多年入选ENR/中国勘察设计企业"双60"榜单（P1009）。从1988年成立到本报告检索时点，公司已运行三十八年（own_calc：2026−1988=38，年份锚见P1009与P1030的2026年半年度报告），其中向总承包转型的后半程，正是中国EPC市场膨胀最猛烈的时段——这既是它的机会窗，也是后文风险底色的伏笔。</w:t>
      </w:r>
    </w:p>
    <w:p>
      <w:r>
        <w:rPr>
          <w:rFonts w:ascii="Calibri" w:hAnsi="Calibri" w:eastAsia="微软雅黑"/>
          <w:b w:val="0"/>
          <w:i w:val="0"/>
          <w:sz w:val="22"/>
        </w:rPr>
        <w:t>沿革中最值得买方警觉的一条线索是混合所有制改革：公司曾公开推出"混合所有制改革项目推介"，拟引入战略投资者（P1001/P1006），该推介在多个检索合集中重复出现（P1000）。但截至本报告证据边界，公开渠道未见混改落地的后续公告——战投是谁、股比如何、是否已经终止，均无法核验。这不是坏消息，而是未决信息：对一份可能横跨数年的EPC合同而言，签约对家的股权结构变动属于合同主体层面的重大事项，应当列入尽调问询清单，而不是等到签约之后才想起；若混改落地引入产业资本，还可能反过来改变其订单结构与合作网络。</w:t>
      </w:r>
    </w:p>
    <w:p>
      <w:r>
        <w:rPr>
          <w:rFonts w:ascii="Calibri" w:hAnsi="Calibri" w:eastAsia="微软雅黑"/>
          <w:b w:val="0"/>
          <w:i w:val="0"/>
          <w:sz w:val="22"/>
        </w:rPr>
        <w:t>把混改放回行业语境，设计咨询机构引入战略投资者的动机通常有两条线索：一是补资本金以承接更大体量的总承包，二是引入产业协同方绑定订单源（如设备商、运营商或地方能源投资平台）。本章证据只能确认推介事实（P1001/P1006），不能确认动机与进度；但买方可以主动把未决变量变成谈判信息——在合同谈判中直接询问股改进展与潜在战投身份，并要求就股比变动设置合同权利（如控制权变更的通知义务与相应解约权条款）。与其猜测，不如把不确定性写进条款，这是买方对冲治理变动的标准动作。</w:t>
      </w:r>
    </w:p>
    <w:p>
      <w:pPr>
        <w:pStyle w:val="Heading2"/>
      </w:pPr>
      <w:r>
        <w:t>三、资质与荣誉坐标：第一枚金钥匙奖的含金量与边界</w:t>
      </w:r>
    </w:p>
    <w:p>
      <w:r>
        <w:rPr>
          <w:rFonts w:ascii="Calibri" w:hAnsi="Calibri" w:eastAsia="微软雅黑"/>
          <w:b w:val="0"/>
          <w:i w:val="0"/>
          <w:sz w:val="22"/>
        </w:rPr>
        <w:t>荣誉是设计院最重要的无形资产之一，也最容易在宣传语境里被放大使用。本章按"含金量"与"主体身份"两个维度对其荣誉体系做一次如实盘点。含金量最高的一项，是国家总承包工程金钥匙奖：四川院凭借南桠河梯级电站配套送出总承包工程获得该奖，而且这是电力设计行业的第一枚金钥匙奖（P1009）。"第一枚"三个字的历史地位需要放进行业语境理解——金钥匙奖是中国工程总承包领域公认的高等级荣誉，电力设计行业首枚由一家地方设计院摘得，等于行业权威对"设计院做总承包"这一模式投出的早期信任票（P1009）。这正是本报告研究主题"设计院如何干EPC"的最直接背书：四川院不是转型总承包的追赶者叙事，而是拿过行业首枚标杆奖项的先行者之一。需要同步指出的是，本章证据未给出该奖项的获评年份与项目合同额（P1009），其作为背书的权重应与时间衰减一并考虑——越是久远的荣誉，越需要用近期业绩来续期，这一处理原则贯穿本报告全部荣誉类证据。</w:t>
      </w:r>
    </w:p>
    <w:p>
      <w:r>
        <w:rPr>
          <w:rFonts w:ascii="Calibri" w:hAnsi="Calibri" w:eastAsia="微软雅黑"/>
          <w:b w:val="0"/>
          <w:i w:val="0"/>
          <w:sz w:val="22"/>
        </w:rPr>
        <w:t>其余荣誉构成一个多层次体系：全国电力行业卓越绩效奖获得7次（P1009）；还荣获多项中国电力优质工程奖、全国电力行业优秀工程设计奖、电力行业优秀咨询成果奖、四川省科技进步奖等（P1009）；企业身份层面为国家高新技术企业、全国文明单位（P1009）；行业地位层面入选全国勘察设计企业工程总承包百强，并连续多年入选ENR/中国勘察设计企业"双60"榜单（P1009）。这份清单的结构性特征是：奖项集中于设计与咨询侧，叠加总承包百强与金钥匙奖的总承包侧背书，两条腿都有权威认证，与它"设计为根、总承包为翼"的业务结构互为映照（业务范围锚见P1009）。</w:t>
      </w:r>
    </w:p>
    <w:p>
      <w:r>
        <w:rPr>
          <w:rFonts w:ascii="Calibri" w:hAnsi="Calibri" w:eastAsia="微软雅黑"/>
          <w:b w:val="0"/>
          <w:i w:val="0"/>
          <w:sz w:val="22"/>
        </w:rPr>
        <w:t>企业身份类认定同样有信息含量：国家高新技术企业认定指向研发投入与知识产权的持续积累（P1009），全国文明单位则是治理规范性的旁证（P1009）。这两项与工程设计综合甲级资质（P1009）叠加，构成其在科研税收、招投标信用评价等制度环节的常规加分基础。买方不必高估它们——它们是"及格线之上的加分"，而非稀缺能力——但若反而缺失，则要追问原因。资质荣誉的实用主义读法至此可以概括为一句：用它们确认下限，用项目记录测量上限；下限决定它能不能干，上限决定它干到过什么水平。还有一类"软荣誉"值得单独一提：全国文明单位（P1009）这类综合性称号虽与工程能力没有直接关系，却在部分业主的信用评价体系中有加分权重，也是企业内部治理与合规文化的弱信号。买方对软荣誉的原则应当是：可以记录，不给权重——它们区分的是"好公司"与"坏公司"的下限，区分不了"能干成这个项目的公司"与"干不成这个项目的公司"；把软荣誉误当硬能力，是资格预审中常见却少被承认的评估偏差。</w:t>
      </w:r>
    </w:p>
    <w:p>
      <w:r>
        <w:rPr>
          <w:rFonts w:ascii="Calibri" w:hAnsi="Calibri" w:eastAsia="微软雅黑"/>
          <w:b w:val="0"/>
          <w:i w:val="0"/>
          <w:sz w:val="22"/>
        </w:rPr>
        <w:t>但买方必须同时看清奖项的另一面：主体身份。研报核验注记显示，在鲁班奖与国家优质工程奖这两项施工类顶级大奖中，四川院主要以"勘察及设计单位（参建方）"身份出现在获奖名单上（据国家优质工程奖评选工作办公室2020-2021年度获奖名单）（P1009）；施工类大奖的主获单位是电建系工程局（P1009）。作为对照，其母公司中国电建集团层面累计获得鲁班奖121个、国家优质工程奖257个（P1009）。这组数字的正确读法不是"四川院不行"，而是"分工如此"：在设计-施工链条上，设计院以设计身份参建，施工工程局以施工身份主获。买方若在投标文件里看到承包商罗列鲁班奖、国家优质工程奖，应逐项核对获奖主体名称与参建角色，防止"集团荣誉个人化、参建荣誉主获化"的背书通胀——这是EPC资格审查中性价比最高的一道核验动作，也是中立研报必须写明的边界。</w:t>
      </w:r>
    </w:p>
    <w:p>
      <w:r>
        <w:rPr>
          <w:rFonts w:ascii="Calibri" w:hAnsi="Calibri" w:eastAsia="微软雅黑"/>
          <w:b w:val="0"/>
          <w:i w:val="0"/>
          <w:sz w:val="22"/>
        </w:rPr>
        <w:t>这层分工的制度根源值得多说一句：施工类顶级奖项的评审以施工单位为主要对象，设计院天然以参建方进入名单——研报核验注记显示，四川院在国家优质工程奖2020-2021年度获奖名单中即列于勘察及设计单位（P1009）；而金钥匙奖序列表彰的正是工程总承包项目，设计院可以总承包主获身份摘取（P1009）。因此"设计院的金钥匙奖"与"工程局的鲁班奖"实为同一产业链上不同环节的顶级认证，横向比较谁"更高级"没有意义，纵向核对"这个奖是不是它以本环节主获身份拿的"才有意义——这也是下表单列"角色"一栏的原因。</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奖项/资质</w:t>
            </w:r>
          </w:p>
        </w:tc>
        <w:tc>
          <w:tcPr>
            <w:tcW w:type="dxa" w:w="2075"/>
            <w:shd w:fill="1F3A5F"/>
          </w:tcPr>
          <w:p>
            <w:r>
              <w:rPr>
                <w:color w:val="FFFFFF"/>
              </w:rPr>
            </w:r>
            <w:r>
              <w:rPr>
                <w:rFonts w:ascii="Calibri" w:hAnsi="Calibri" w:eastAsia="微软雅黑"/>
                <w:b/>
                <w:i w:val="0"/>
                <w:color w:val="FFFFFF"/>
                <w:sz w:val="18"/>
              </w:rPr>
              <w:t>四川院的角色</w:t>
            </w:r>
          </w:p>
        </w:tc>
        <w:tc>
          <w:tcPr>
            <w:tcW w:type="dxa" w:w="2075"/>
            <w:shd w:fill="1F3A5F"/>
          </w:tcPr>
          <w:p>
            <w:r>
              <w:rPr>
                <w:color w:val="FFFFFF"/>
              </w:rPr>
            </w:r>
            <w:r>
              <w:rPr>
                <w:rFonts w:ascii="Calibri" w:hAnsi="Calibri" w:eastAsia="微软雅黑"/>
                <w:b/>
                <w:i w:val="0"/>
                <w:color w:val="FFFFFF"/>
                <w:sz w:val="18"/>
              </w:rPr>
              <w:t>判读</w:t>
            </w:r>
          </w:p>
        </w:tc>
        <w:tc>
          <w:tcPr>
            <w:tcW w:type="dxa" w:w="2075"/>
            <w:shd w:fill="1F3A5F"/>
          </w:tcPr>
          <w:p>
            <w:r>
              <w:rPr>
                <w:color w:val="FFFFFF"/>
              </w:rPr>
            </w:r>
            <w:r>
              <w:rPr>
                <w:rFonts w:ascii="Calibri" w:hAnsi="Calibri" w:eastAsia="微软雅黑"/>
                <w:b/>
                <w:i w:val="0"/>
                <w:color w:val="FFFFFF"/>
                <w:sz w:val="18"/>
              </w:rPr>
              <w:t>证据锚</w:t>
            </w:r>
          </w:p>
        </w:tc>
      </w:tr>
      <w:tr>
        <w:tc>
          <w:tcPr>
            <w:tcW w:type="dxa" w:w="2075"/>
          </w:tcPr>
          <w:p>
            <w:r/>
            <w:r>
              <w:rPr>
                <w:rFonts w:ascii="Calibri" w:hAnsi="Calibri" w:eastAsia="微软雅黑"/>
                <w:b w:val="0"/>
                <w:i w:val="0"/>
                <w:sz w:val="18"/>
              </w:rPr>
              <w:t>工程设计综合甲级资质</w:t>
            </w:r>
          </w:p>
        </w:tc>
        <w:tc>
          <w:tcPr>
            <w:tcW w:type="dxa" w:w="2075"/>
          </w:tcPr>
          <w:p>
            <w:r/>
            <w:r>
              <w:rPr>
                <w:rFonts w:ascii="Calibri" w:hAnsi="Calibri" w:eastAsia="微软雅黑"/>
                <w:b w:val="0"/>
                <w:i w:val="0"/>
                <w:sz w:val="18"/>
              </w:rPr>
              <w:t>持证主体</w:t>
            </w:r>
          </w:p>
        </w:tc>
        <w:tc>
          <w:tcPr>
            <w:tcW w:type="dxa" w:w="2075"/>
          </w:tcPr>
          <w:p>
            <w:r/>
            <w:r>
              <w:rPr>
                <w:rFonts w:ascii="Calibri" w:hAnsi="Calibri" w:eastAsia="微软雅黑"/>
                <w:b w:val="0"/>
                <w:i w:val="0"/>
                <w:sz w:val="18"/>
              </w:rPr>
              <w:t>设计院最高资质，全行业覆盖的准入硬通货</w:t>
            </w:r>
          </w:p>
        </w:tc>
        <w:tc>
          <w:tcPr>
            <w:tcW w:type="dxa" w:w="2075"/>
          </w:tcPr>
          <w:p>
            <w:r/>
            <w:r>
              <w:rPr>
                <w:rFonts w:ascii="Calibri" w:hAnsi="Calibri" w:eastAsia="微软雅黑"/>
                <w:b w:val="0"/>
                <w:i w:val="0"/>
                <w:sz w:val="18"/>
              </w:rPr>
              <w:t>P1009</w:t>
            </w:r>
          </w:p>
        </w:tc>
      </w:tr>
      <w:tr>
        <w:tc>
          <w:tcPr>
            <w:tcW w:type="dxa" w:w="2075"/>
          </w:tcPr>
          <w:p>
            <w:r/>
            <w:r>
              <w:rPr>
                <w:rFonts w:ascii="Calibri" w:hAnsi="Calibri" w:eastAsia="微软雅黑"/>
                <w:b w:val="0"/>
                <w:i w:val="0"/>
                <w:sz w:val="18"/>
              </w:rPr>
              <w:t>国家总承包工程金钥匙奖（南桠河梯级电站配套送出工程）</w:t>
            </w:r>
          </w:p>
        </w:tc>
        <w:tc>
          <w:tcPr>
            <w:tcW w:type="dxa" w:w="2075"/>
          </w:tcPr>
          <w:p>
            <w:r/>
            <w:r>
              <w:rPr>
                <w:rFonts w:ascii="Calibri" w:hAnsi="Calibri" w:eastAsia="微软雅黑"/>
                <w:b w:val="0"/>
                <w:i w:val="0"/>
                <w:sz w:val="18"/>
              </w:rPr>
              <w:t>总承包主体</w:t>
            </w:r>
          </w:p>
        </w:tc>
        <w:tc>
          <w:tcPr>
            <w:tcW w:type="dxa" w:w="2075"/>
          </w:tcPr>
          <w:p>
            <w:r/>
            <w:r>
              <w:rPr>
                <w:rFonts w:ascii="Calibri" w:hAnsi="Calibri" w:eastAsia="微软雅黑"/>
                <w:b w:val="0"/>
                <w:i w:val="0"/>
                <w:sz w:val="18"/>
              </w:rPr>
              <w:t>电力设计行业第一枚，总承包能力的权威背书</w:t>
            </w:r>
          </w:p>
        </w:tc>
        <w:tc>
          <w:tcPr>
            <w:tcW w:type="dxa" w:w="2075"/>
          </w:tcPr>
          <w:p>
            <w:r/>
            <w:r>
              <w:rPr>
                <w:rFonts w:ascii="Calibri" w:hAnsi="Calibri" w:eastAsia="微软雅黑"/>
                <w:b w:val="0"/>
                <w:i w:val="0"/>
                <w:sz w:val="18"/>
              </w:rPr>
              <w:t>P1009</w:t>
            </w:r>
          </w:p>
        </w:tc>
      </w:tr>
      <w:tr>
        <w:tc>
          <w:tcPr>
            <w:tcW w:type="dxa" w:w="2075"/>
          </w:tcPr>
          <w:p>
            <w:r/>
            <w:r>
              <w:rPr>
                <w:rFonts w:ascii="Calibri" w:hAnsi="Calibri" w:eastAsia="微软雅黑"/>
                <w:b w:val="0"/>
                <w:i w:val="0"/>
                <w:sz w:val="18"/>
              </w:rPr>
              <w:t>全国电力行业卓越绩效奖</w:t>
            </w:r>
          </w:p>
        </w:tc>
        <w:tc>
          <w:tcPr>
            <w:tcW w:type="dxa" w:w="2075"/>
          </w:tcPr>
          <w:p>
            <w:r/>
            <w:r>
              <w:rPr>
                <w:rFonts w:ascii="Calibri" w:hAnsi="Calibri" w:eastAsia="微软雅黑"/>
                <w:b w:val="0"/>
                <w:i w:val="0"/>
                <w:sz w:val="18"/>
              </w:rPr>
              <w:t>获奖主体</w:t>
            </w:r>
          </w:p>
        </w:tc>
        <w:tc>
          <w:tcPr>
            <w:tcW w:type="dxa" w:w="2075"/>
          </w:tcPr>
          <w:p>
            <w:r/>
            <w:r>
              <w:rPr>
                <w:rFonts w:ascii="Calibri" w:hAnsi="Calibri" w:eastAsia="微软雅黑"/>
                <w:b w:val="0"/>
                <w:i w:val="0"/>
                <w:sz w:val="18"/>
              </w:rPr>
              <w:t>获7次，管理成熟度的重复验证信号</w:t>
            </w:r>
          </w:p>
        </w:tc>
        <w:tc>
          <w:tcPr>
            <w:tcW w:type="dxa" w:w="2075"/>
          </w:tcPr>
          <w:p>
            <w:r/>
            <w:r>
              <w:rPr>
                <w:rFonts w:ascii="Calibri" w:hAnsi="Calibri" w:eastAsia="微软雅黑"/>
                <w:b w:val="0"/>
                <w:i w:val="0"/>
                <w:sz w:val="18"/>
              </w:rPr>
              <w:t>P1009</w:t>
            </w:r>
          </w:p>
        </w:tc>
      </w:tr>
      <w:tr>
        <w:tc>
          <w:tcPr>
            <w:tcW w:type="dxa" w:w="2075"/>
          </w:tcPr>
          <w:p>
            <w:r/>
            <w:r>
              <w:rPr>
                <w:rFonts w:ascii="Calibri" w:hAnsi="Calibri" w:eastAsia="微软雅黑"/>
                <w:b w:val="0"/>
                <w:i w:val="0"/>
                <w:sz w:val="18"/>
              </w:rPr>
              <w:t>鲁班奖/国家优质工程奖</w:t>
            </w:r>
          </w:p>
        </w:tc>
        <w:tc>
          <w:tcPr>
            <w:tcW w:type="dxa" w:w="2075"/>
          </w:tcPr>
          <w:p>
            <w:r/>
            <w:r>
              <w:rPr>
                <w:rFonts w:ascii="Calibri" w:hAnsi="Calibri" w:eastAsia="微软雅黑"/>
                <w:b w:val="0"/>
                <w:i w:val="0"/>
                <w:sz w:val="18"/>
              </w:rPr>
              <w:t>勘察及设计单位（参建方）</w:t>
            </w:r>
          </w:p>
        </w:tc>
        <w:tc>
          <w:tcPr>
            <w:tcW w:type="dxa" w:w="2075"/>
          </w:tcPr>
          <w:p>
            <w:r/>
            <w:r>
              <w:rPr>
                <w:rFonts w:ascii="Calibri" w:hAnsi="Calibri" w:eastAsia="微软雅黑"/>
                <w:b w:val="0"/>
                <w:i w:val="0"/>
                <w:sz w:val="18"/>
              </w:rPr>
              <w:t>非施工主获单位，引用时须区分角色</w:t>
            </w:r>
          </w:p>
        </w:tc>
        <w:tc>
          <w:tcPr>
            <w:tcW w:type="dxa" w:w="2075"/>
          </w:tcPr>
          <w:p>
            <w:r/>
            <w:r>
              <w:rPr>
                <w:rFonts w:ascii="Calibri" w:hAnsi="Calibri" w:eastAsia="微软雅黑"/>
                <w:b w:val="0"/>
                <w:i w:val="0"/>
                <w:sz w:val="18"/>
              </w:rPr>
              <w:t>P1009</w:t>
            </w:r>
          </w:p>
        </w:tc>
      </w:tr>
      <w:tr>
        <w:tc>
          <w:tcPr>
            <w:tcW w:type="dxa" w:w="2075"/>
          </w:tcPr>
          <w:p>
            <w:r/>
            <w:r>
              <w:rPr>
                <w:rFonts w:ascii="Calibri" w:hAnsi="Calibri" w:eastAsia="微软雅黑"/>
                <w:b w:val="0"/>
                <w:i w:val="0"/>
                <w:sz w:val="18"/>
              </w:rPr>
              <w:t>集团层面鲁班奖/国家优质工程奖</w:t>
            </w:r>
          </w:p>
        </w:tc>
        <w:tc>
          <w:tcPr>
            <w:tcW w:type="dxa" w:w="2075"/>
          </w:tcPr>
          <w:p>
            <w:r/>
            <w:r>
              <w:rPr>
                <w:rFonts w:ascii="Calibri" w:hAnsi="Calibri" w:eastAsia="微软雅黑"/>
                <w:b w:val="0"/>
                <w:i w:val="0"/>
                <w:sz w:val="18"/>
              </w:rPr>
              <w:t>母公司中国电建集团</w:t>
            </w:r>
          </w:p>
        </w:tc>
        <w:tc>
          <w:tcPr>
            <w:tcW w:type="dxa" w:w="2075"/>
          </w:tcPr>
          <w:p>
            <w:r/>
            <w:r>
              <w:rPr>
                <w:rFonts w:ascii="Calibri" w:hAnsi="Calibri" w:eastAsia="微软雅黑"/>
                <w:b w:val="0"/>
                <w:i w:val="0"/>
                <w:sz w:val="18"/>
              </w:rPr>
              <w:t>累计121个/257个，集团级施工能力与信用池</w:t>
            </w:r>
          </w:p>
        </w:tc>
        <w:tc>
          <w:tcPr>
            <w:tcW w:type="dxa" w:w="2075"/>
          </w:tcPr>
          <w:p>
            <w:r/>
            <w:r>
              <w:rPr>
                <w:rFonts w:ascii="Calibri" w:hAnsi="Calibri" w:eastAsia="微软雅黑"/>
                <w:b w:val="0"/>
                <w:i w:val="0"/>
                <w:sz w:val="18"/>
              </w:rPr>
              <w:t>P1009</w:t>
            </w:r>
          </w:p>
        </w:tc>
      </w:tr>
      <w:tr>
        <w:tc>
          <w:tcPr>
            <w:tcW w:type="dxa" w:w="2075"/>
          </w:tcPr>
          <w:p>
            <w:r/>
            <w:r>
              <w:rPr>
                <w:rFonts w:ascii="Calibri" w:hAnsi="Calibri" w:eastAsia="微软雅黑"/>
                <w:b w:val="0"/>
                <w:i w:val="0"/>
                <w:sz w:val="18"/>
              </w:rPr>
              <w:t>ENR/中国勘察设计企业"双60"榜单</w:t>
            </w:r>
          </w:p>
        </w:tc>
        <w:tc>
          <w:tcPr>
            <w:tcW w:type="dxa" w:w="2075"/>
          </w:tcPr>
          <w:p>
            <w:r/>
            <w:r>
              <w:rPr>
                <w:rFonts w:ascii="Calibri" w:hAnsi="Calibri" w:eastAsia="微软雅黑"/>
                <w:b w:val="0"/>
                <w:i w:val="0"/>
                <w:sz w:val="18"/>
              </w:rPr>
              <w:t>入选主体</w:t>
            </w:r>
          </w:p>
        </w:tc>
        <w:tc>
          <w:tcPr>
            <w:tcW w:type="dxa" w:w="2075"/>
          </w:tcPr>
          <w:p>
            <w:r/>
            <w:r>
              <w:rPr>
                <w:rFonts w:ascii="Calibri" w:hAnsi="Calibri" w:eastAsia="微软雅黑"/>
                <w:b w:val="0"/>
                <w:i w:val="0"/>
                <w:sz w:val="18"/>
              </w:rPr>
              <w:t>连续多年入选，行业地位的国际坐标</w:t>
            </w:r>
          </w:p>
        </w:tc>
        <w:tc>
          <w:tcPr>
            <w:tcW w:type="dxa" w:w="2075"/>
          </w:tcPr>
          <w:p>
            <w:r/>
            <w:r>
              <w:rPr>
                <w:rFonts w:ascii="Calibri" w:hAnsi="Calibri" w:eastAsia="微软雅黑"/>
                <w:b w:val="0"/>
                <w:i w:val="0"/>
                <w:sz w:val="18"/>
              </w:rPr>
              <w:t>P1009</w:t>
            </w:r>
          </w:p>
        </w:tc>
      </w:tr>
      <w:tr>
        <w:tc>
          <w:tcPr>
            <w:tcW w:type="dxa" w:w="2075"/>
          </w:tcPr>
          <w:p>
            <w:r/>
            <w:r>
              <w:rPr>
                <w:rFonts w:ascii="Calibri" w:hAnsi="Calibri" w:eastAsia="微软雅黑"/>
                <w:b w:val="0"/>
                <w:i w:val="0"/>
                <w:sz w:val="18"/>
              </w:rPr>
              <w:t>全国勘察设计企业工程总承包百强</w:t>
            </w:r>
          </w:p>
        </w:tc>
        <w:tc>
          <w:tcPr>
            <w:tcW w:type="dxa" w:w="2075"/>
          </w:tcPr>
          <w:p>
            <w:r/>
            <w:r>
              <w:rPr>
                <w:rFonts w:ascii="Calibri" w:hAnsi="Calibri" w:eastAsia="微软雅黑"/>
                <w:b w:val="0"/>
                <w:i w:val="0"/>
                <w:sz w:val="18"/>
              </w:rPr>
              <w:t>入选主体</w:t>
            </w:r>
          </w:p>
        </w:tc>
        <w:tc>
          <w:tcPr>
            <w:tcW w:type="dxa" w:w="2075"/>
          </w:tcPr>
          <w:p>
            <w:r/>
            <w:r>
              <w:rPr>
                <w:rFonts w:ascii="Calibri" w:hAnsi="Calibri" w:eastAsia="微软雅黑"/>
                <w:b w:val="0"/>
                <w:i w:val="0"/>
                <w:sz w:val="18"/>
              </w:rPr>
              <w:t>设计院转型EPC的资格证明</w:t>
            </w:r>
          </w:p>
        </w:tc>
        <w:tc>
          <w:tcPr>
            <w:tcW w:type="dxa" w:w="2075"/>
          </w:tcPr>
          <w:p>
            <w:r/>
            <w:r>
              <w:rPr>
                <w:rFonts w:ascii="Calibri" w:hAnsi="Calibri" w:eastAsia="微软雅黑"/>
                <w:b w:val="0"/>
                <w:i w:val="0"/>
                <w:sz w:val="18"/>
              </w:rPr>
              <w:t>P1009</w:t>
            </w:r>
          </w:p>
        </w:tc>
      </w:tr>
      <w:tr>
        <w:tc>
          <w:tcPr>
            <w:tcW w:type="dxa" w:w="2075"/>
          </w:tcPr>
          <w:p>
            <w:r/>
            <w:r>
              <w:rPr>
                <w:rFonts w:ascii="Calibri" w:hAnsi="Calibri" w:eastAsia="微软雅黑"/>
                <w:b w:val="0"/>
                <w:i w:val="0"/>
                <w:sz w:val="18"/>
              </w:rPr>
              <w:t>中国电建优质工程奖（大坝梁子风电项目）</w:t>
            </w:r>
          </w:p>
        </w:tc>
        <w:tc>
          <w:tcPr>
            <w:tcW w:type="dxa" w:w="2075"/>
          </w:tcPr>
          <w:p>
            <w:r/>
            <w:r>
              <w:rPr>
                <w:rFonts w:ascii="Calibri" w:hAnsi="Calibri" w:eastAsia="微软雅黑"/>
                <w:b w:val="0"/>
                <w:i w:val="0"/>
                <w:sz w:val="18"/>
              </w:rPr>
              <w:t>获奖主体</w:t>
            </w:r>
          </w:p>
        </w:tc>
        <w:tc>
          <w:tcPr>
            <w:tcW w:type="dxa" w:w="2075"/>
          </w:tcPr>
          <w:p>
            <w:r/>
            <w:r>
              <w:rPr>
                <w:rFonts w:ascii="Calibri" w:hAnsi="Calibri" w:eastAsia="微软雅黑"/>
                <w:b w:val="0"/>
                <w:i w:val="0"/>
                <w:sz w:val="18"/>
              </w:rPr>
              <w:t>集团内部工程质量认可</w:t>
            </w:r>
          </w:p>
        </w:tc>
        <w:tc>
          <w:tcPr>
            <w:tcW w:type="dxa" w:w="2075"/>
          </w:tcPr>
          <w:p>
            <w:r/>
            <w:r>
              <w:rPr>
                <w:rFonts w:ascii="Calibri" w:hAnsi="Calibri" w:eastAsia="微软雅黑"/>
                <w:b w:val="0"/>
                <w:i w:val="0"/>
                <w:sz w:val="18"/>
              </w:rPr>
              <w:t>P1005/P1008</w:t>
            </w:r>
          </w:p>
        </w:tc>
      </w:tr>
    </w:tbl>
    <w:p>
      <w:r>
        <w:rPr>
          <w:rFonts w:ascii="Calibri" w:hAnsi="Calibri" w:eastAsia="微软雅黑"/>
          <w:b w:val="0"/>
          <w:i w:val="0"/>
          <w:sz w:val="22"/>
        </w:rPr>
        <w:t>工程质量侧的集团内认可亦有实证：四川院大坝梁子风电项目获中国电建优质工程奖（P1005/P1008）。这类集团级质量奖的含金量判断方法与国家级奖项同理——看获奖主体与工程角色。集团奖证明其在电建系内部的质量口碑（P1005/P1008），叠加前述金钥匙奖（P1009）与卓越绩效奖7次（P1009），构成从行业荣誉到集团认可再到运营体系评价的多层质量信号。对买方的实操提示是：在资格预审评分表中，这些奖项分别对应不同评分栏，逐一据实填报并附证明文件，比笼统写"获奖众多"更容易通过正规评审，也给评审专家留下材料严谨的印象分。</w:t>
      </w:r>
    </w:p>
    <w:p>
      <w:r>
        <w:rPr>
          <w:rFonts w:ascii="Calibri" w:hAnsi="Calibri" w:eastAsia="微软雅黑"/>
          <w:b w:val="0"/>
          <w:i w:val="0"/>
          <w:sz w:val="22"/>
        </w:rPr>
        <w:t>技术特色决定一家设计院"能做什么别人做不了的事"。四川院的看家本领集中在特高压输电、智能电网，以及高海拔、重冰区和陡峻山区等复杂条件下的送电工程设计和系统集成，并在高原风电、光伏+储能等新能源EPC领域拥有成熟经验（P1009）。这条能力描述与项目证据互相咬合：中国电建四川院中标了225MW/900MWh的国内最大示范性大容量电网侧共享储能电站总承包工程（P1005/P1008）——按容量与功率换算，该站储能时长为四小时（own_calc：900÷225=4，容量与功率锚见P1002）；公司中标了淮州新城光储充一体化综合智慧能源勘察设计项目（P1002）；另有"快讯"记录其八月连续中标电网总承包项目（P1002）。检索窗口内，川内首个压缩空气储能项目顺利通过初设报告评审（P1000），显示储能新业态在四川的落地节奏，构成其区域技术生态的背景板。技术标签与项目清单的互证程度，是判断承包商宣传水分的实用尺子：标签有项目兑现，即为实而非虚；只有标签没有兑现的，才需要折价处理。</w:t>
      </w:r>
    </w:p>
    <w:p>
      <w:r>
        <w:rPr>
          <w:rFonts w:ascii="Calibri" w:hAnsi="Calibri" w:eastAsia="微软雅黑"/>
          <w:b w:val="0"/>
          <w:i w:val="0"/>
          <w:sz w:val="22"/>
        </w:rPr>
        <w:t>复杂条件下的送电工程能力（P1009）在商业上意味着什么？意味着在高海拔、重冰区、陡峻山区这类"施工难、设计更难"的场景里，设计费与总承包溢价都有支撑，竞争者的替换成本高——能力越是绑定自然条件，越是难以被标准化的低价竞争消解。四川作为水电与新能源资源大省，恰好是这类地形的富集区（川内压缩空气储能等新业态的落地节奏即为旁证，锚见P1000），把公司的能力禀赋与区域资源禀赋对齐来看，就能理解其"高原风电、光伏+储能经验成熟"（P1009）并非宣传话术，而是地理条件与专业积累的互相选择——这也为后续章节考察其订单结构提供了先验。</w:t>
      </w:r>
    </w:p>
    <w:p>
      <w:r>
        <w:rPr>
          <w:rFonts w:ascii="Calibri" w:hAnsi="Calibri" w:eastAsia="微软雅黑"/>
          <w:b w:val="0"/>
          <w:i w:val="0"/>
          <w:sz w:val="22"/>
        </w:rPr>
        <w:t>还应看到，全链条业务组合打开了全过程工程咨询的作业面：规划咨询、勘察设计、监理及项目管理本就是其主业构成（P1009），叠加总承包能力后，它既可以在单一项目上做EPC总承包商，也可以受聘为业主侧的设计顾问、监理或项目管理单位（P1009）。这种角色弹性是双刃剑：对业主是"一家机构多种用法"的便利，对程序合规则是利益冲突的审查点——同一机构在同一项目上既做承包商又做监理并不可行，买方应在委托结构设计之初划清角色边界，避免"便利"变"瑕疵"，这在对央企子公司的合规审查中尤其值得较真。</w:t>
      </w:r>
    </w:p>
    <w:p>
      <w:pPr>
        <w:pStyle w:val="Heading2"/>
      </w:pPr>
      <w:r>
        <w:t>四、集团坐标：电建系版图中的位置与同门竞合</w:t>
      </w:r>
    </w:p>
    <w:p>
      <w:r>
        <w:rPr>
          <w:rFonts w:ascii="Calibri" w:hAnsi="Calibri" w:eastAsia="微软雅黑"/>
          <w:b w:val="0"/>
          <w:i w:val="0"/>
          <w:sz w:val="22"/>
        </w:rPr>
        <w:t>理解四川院，一半的理解要留给它的母体。集团层面，中国电力建设集团为世界500强企业（P1009），其核心上市平台中国电力建设股份有限公司（证券代码601669）发布了未经审计的2026年半年度报告，公司负责人为丁焰章（P1030）。集团的产业动作直接塑造子公司面临的赛道气候：中国电建与宁德时代达成战略合作（P1000）；中国电建拟中标一批储能电站，金额超27亿元（P1000/P1002）；同一篇行业资讯还记录了智光电气储能目标产能为12GWh（P1000）。储能赛道在集团层面的资源倾斜，解释了四川院为何能在电网侧共享储能等新业态上快速形成总承包业绩（业绩锚见P1005/P1008）——母体的战略风向，就是子公司的顺风或逆风；买方评估其未来订单结构时，应把集团赛道偏好当作先行指标看待。</w:t>
      </w:r>
    </w:p>
    <w:p>
      <w:r>
        <w:rPr>
          <w:rFonts w:ascii="Calibri" w:hAnsi="Calibri" w:eastAsia="微软雅黑"/>
          <w:b w:val="0"/>
          <w:i w:val="0"/>
          <w:sz w:val="22"/>
        </w:rPr>
        <w:t>电建系的区域设计院矩阵，是四川院最直接的参照系，也是买方招标时事实上的比价池。公开动态显示：在2023年设计院工程总承包营业额排名中，中国电建华东院、十一科技名列前三（P1005/P1008）；中国电建成都院获得建筑工程施工总承包壹级资质（P1005/P1008）；中国电建中南院总承包吐鲁番乌斯通1GW光热+光伏一体化项目（P1005/P1008），并获商务部核准"对外援助物资项目总承包企业资格"（P1008）；中国电建贵州院承揽的四川硕曲河古瓦水电站水光互补项目乐拉光伏电站送出工程EPC总承包项目一次性倒送电成功（P1008）；中国电建海南院工程总承包的钦州市钦南区民海300MWp光伏发电平价上网项目荣获2022-2023年度国家优质工程奖（P1005/P1008）；首航高科、中电工程西北院、四川电建、上海勘测设计院联合体中标三峡格尔木100MW光热发电项目总承包（P1005/P1008）；中国电建华东院与四川能投建工集团联合中标7.94亿元的盐源10#地块长柏光伏项目EPC总承包（P1005/P1008）。</w:t>
      </w:r>
    </w:p>
    <w:p>
      <w:r>
        <w:rPr>
          <w:rFonts w:ascii="Calibri" w:hAnsi="Calibri" w:eastAsia="微软雅黑"/>
          <w:b w:val="0"/>
          <w:i w:val="0"/>
          <w:sz w:val="22"/>
        </w:rPr>
        <w:t>这张同门清单的买方读法有二。其一，竞争维度：上述项目中盐源、硕曲河等位于川内，说明即便在四川院的大本营，华东院、贵州院等同门同样在拿单——"川内项目天然归四川院"是不成立的假设，业主在电建系内部拥有实际的比价与替换空间；行业媒体还制作过"全国电力设计院20强红黑榜"（P1002）与"全国工程EPC、设计、勘察中标100强"系列榜单（P1001），设计院之间的座次竞争是公开化的市场现实。其二，协同维度：集团内设计院-工程局-设备资源的组合，意味着四川院牵头总承包时可以按项目需要调用集团施工与采购资源（集团层面鲁班奖121个、国家优质工程奖257个所代表的施工能力池，锚见P1009），这正呼应前文"设计院参建、工程局主获"的奖项分工。竞合并存，是电建系内部生态的常态，也是买方谈判筹码的来源——既可以引入同门比价压成本，也可以要求联合体内部明确责任界面防推诿。</w:t>
      </w:r>
    </w:p>
    <w:p>
      <w:r>
        <w:rPr>
          <w:rFonts w:ascii="Calibri" w:hAnsi="Calibri" w:eastAsia="微软雅黑"/>
          <w:b w:val="0"/>
          <w:i w:val="0"/>
          <w:sz w:val="22"/>
        </w:rPr>
        <w:t>由此可以具体化买方的比价策略。在川内新能源与送出工程招标中，合格的电建系短名单天然存在多个选项：四川院之外，华东院有2023年设计院总承包营业额排名前三的业绩背书（P1005/P1008），贵州院有川内光伏送出EPC的一次性倒送电记录（P1008），成都院持施工总承包壹级资质并向施工侧延伸（P1005/P1008），中南院则在光热加光伏一体化新业态上领先（P1005/P1008）。把同门放进短名单，一是获得真实比价压力，二是为中标后的分包与联合体组合预留空间——集团内部"设计院牵头加工程局施工"的组合，本就是电建系常见的履约架构（奖项分工证据锚见P1009）。需要防范的相应风险是责任界面：联合体内部、总分包之间的责任划分必须在合同中钉死，否则"都是电建系"在争议发生时反而会变成相互推诿的灰色地带。</w:t>
      </w:r>
    </w:p>
    <w:p>
      <w:r>
        <w:rPr>
          <w:rFonts w:ascii="Calibri" w:hAnsi="Calibri" w:eastAsia="微软雅黑"/>
          <w:b w:val="0"/>
          <w:i w:val="0"/>
          <w:sz w:val="22"/>
        </w:rPr>
        <w:t>再往深一层看，集团资源的可调用性是四川院这类子公司的隐性资产。集团层面累计鲁班奖121个、国家优质工程奖257个（P1009）所代表的施工能力池，商务部对中南院核准"对外援助物资项目总承包企业资格"（P1008）所代表的援外通道，以及与宁德时代战略合作（P1000）所代表的储能产业链关系，共同构成一张子公司可以按规则接入的网络。买方评估其牵头能力时，应把"集团能否为这个具体项目出施工队伍、出设备、出信用"当作尽调问题直接提出，并要求在投标文件中落实拟用资源清单——隐性资产只有在合同里显性化，才是买方可以执行的资产。</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主体</w:t>
            </w:r>
          </w:p>
        </w:tc>
        <w:tc>
          <w:tcPr>
            <w:tcW w:type="dxa" w:w="2075"/>
            <w:shd w:fill="1F3A5F"/>
          </w:tcPr>
          <w:p>
            <w:r>
              <w:rPr>
                <w:color w:val="FFFFFF"/>
              </w:rPr>
            </w:r>
            <w:r>
              <w:rPr>
                <w:rFonts w:ascii="Calibri" w:hAnsi="Calibri" w:eastAsia="微软雅黑"/>
                <w:b/>
                <w:i w:val="0"/>
                <w:color w:val="FFFFFF"/>
                <w:sz w:val="18"/>
              </w:rPr>
              <w:t>公开动态</w:t>
            </w:r>
          </w:p>
        </w:tc>
        <w:tc>
          <w:tcPr>
            <w:tcW w:type="dxa" w:w="2075"/>
            <w:shd w:fill="1F3A5F"/>
          </w:tcPr>
          <w:p>
            <w:r>
              <w:rPr>
                <w:color w:val="FFFFFF"/>
              </w:rPr>
            </w:r>
            <w:r>
              <w:rPr>
                <w:rFonts w:ascii="Calibri" w:hAnsi="Calibri" w:eastAsia="微软雅黑"/>
                <w:b/>
                <w:i w:val="0"/>
                <w:color w:val="FFFFFF"/>
                <w:sz w:val="18"/>
              </w:rPr>
              <w:t>对四川院的参照意义</w:t>
            </w:r>
          </w:p>
        </w:tc>
        <w:tc>
          <w:tcPr>
            <w:tcW w:type="dxa" w:w="2075"/>
            <w:shd w:fill="1F3A5F"/>
          </w:tcPr>
          <w:p>
            <w:r>
              <w:rPr>
                <w:color w:val="FFFFFF"/>
              </w:rPr>
            </w:r>
            <w:r>
              <w:rPr>
                <w:rFonts w:ascii="Calibri" w:hAnsi="Calibri" w:eastAsia="微软雅黑"/>
                <w:b/>
                <w:i w:val="0"/>
                <w:color w:val="FFFFFF"/>
                <w:sz w:val="18"/>
              </w:rPr>
              <w:t>证据锚</w:t>
            </w:r>
          </w:p>
        </w:tc>
      </w:tr>
      <w:tr>
        <w:tc>
          <w:tcPr>
            <w:tcW w:type="dxa" w:w="2075"/>
          </w:tcPr>
          <w:p>
            <w:r/>
            <w:r>
              <w:rPr>
                <w:rFonts w:ascii="Calibri" w:hAnsi="Calibri" w:eastAsia="微软雅黑"/>
                <w:b w:val="0"/>
                <w:i w:val="0"/>
                <w:sz w:val="18"/>
              </w:rPr>
              <w:t>中国电建华东院</w:t>
            </w:r>
          </w:p>
        </w:tc>
        <w:tc>
          <w:tcPr>
            <w:tcW w:type="dxa" w:w="2075"/>
          </w:tcPr>
          <w:p>
            <w:r/>
            <w:r>
              <w:rPr>
                <w:rFonts w:ascii="Calibri" w:hAnsi="Calibri" w:eastAsia="微软雅黑"/>
                <w:b w:val="0"/>
                <w:i w:val="0"/>
                <w:sz w:val="18"/>
              </w:rPr>
              <w:t>2023年设计院总承包营业额排名前三；联合中标7.94亿元盐源长柏光伏EPC</w:t>
            </w:r>
          </w:p>
        </w:tc>
        <w:tc>
          <w:tcPr>
            <w:tcW w:type="dxa" w:w="2075"/>
          </w:tcPr>
          <w:p>
            <w:r/>
            <w:r>
              <w:rPr>
                <w:rFonts w:ascii="Calibri" w:hAnsi="Calibri" w:eastAsia="微软雅黑"/>
                <w:b w:val="0"/>
                <w:i w:val="0"/>
                <w:sz w:val="18"/>
              </w:rPr>
              <w:t>头部标杆，亦是川内项目的直接竞争者</w:t>
            </w:r>
          </w:p>
        </w:tc>
        <w:tc>
          <w:tcPr>
            <w:tcW w:type="dxa" w:w="2075"/>
          </w:tcPr>
          <w:p>
            <w:r/>
            <w:r>
              <w:rPr>
                <w:rFonts w:ascii="Calibri" w:hAnsi="Calibri" w:eastAsia="微软雅黑"/>
                <w:b w:val="0"/>
                <w:i w:val="0"/>
                <w:sz w:val="18"/>
              </w:rPr>
              <w:t>P1005/P1008</w:t>
            </w:r>
          </w:p>
        </w:tc>
      </w:tr>
      <w:tr>
        <w:tc>
          <w:tcPr>
            <w:tcW w:type="dxa" w:w="2075"/>
          </w:tcPr>
          <w:p>
            <w:r/>
            <w:r>
              <w:rPr>
                <w:rFonts w:ascii="Calibri" w:hAnsi="Calibri" w:eastAsia="微软雅黑"/>
                <w:b w:val="0"/>
                <w:i w:val="0"/>
                <w:sz w:val="18"/>
              </w:rPr>
              <w:t>十一科技</w:t>
            </w:r>
          </w:p>
        </w:tc>
        <w:tc>
          <w:tcPr>
            <w:tcW w:type="dxa" w:w="2075"/>
          </w:tcPr>
          <w:p>
            <w:r/>
            <w:r>
              <w:rPr>
                <w:rFonts w:ascii="Calibri" w:hAnsi="Calibri" w:eastAsia="微软雅黑"/>
                <w:b w:val="0"/>
                <w:i w:val="0"/>
                <w:sz w:val="18"/>
              </w:rPr>
              <w:t>同榜单名列前三</w:t>
            </w:r>
          </w:p>
        </w:tc>
        <w:tc>
          <w:tcPr>
            <w:tcW w:type="dxa" w:w="2075"/>
          </w:tcPr>
          <w:p>
            <w:r/>
            <w:r>
              <w:rPr>
                <w:rFonts w:ascii="Calibri" w:hAnsi="Calibri" w:eastAsia="微软雅黑"/>
                <w:b w:val="0"/>
                <w:i w:val="0"/>
                <w:sz w:val="18"/>
              </w:rPr>
              <w:t>行业外部对标物</w:t>
            </w:r>
          </w:p>
        </w:tc>
        <w:tc>
          <w:tcPr>
            <w:tcW w:type="dxa" w:w="2075"/>
          </w:tcPr>
          <w:p>
            <w:r/>
            <w:r>
              <w:rPr>
                <w:rFonts w:ascii="Calibri" w:hAnsi="Calibri" w:eastAsia="微软雅黑"/>
                <w:b w:val="0"/>
                <w:i w:val="0"/>
                <w:sz w:val="18"/>
              </w:rPr>
              <w:t>P1005/P1008</w:t>
            </w:r>
          </w:p>
        </w:tc>
      </w:tr>
      <w:tr>
        <w:tc>
          <w:tcPr>
            <w:tcW w:type="dxa" w:w="2075"/>
          </w:tcPr>
          <w:p>
            <w:r/>
            <w:r>
              <w:rPr>
                <w:rFonts w:ascii="Calibri" w:hAnsi="Calibri" w:eastAsia="微软雅黑"/>
                <w:b w:val="0"/>
                <w:i w:val="0"/>
                <w:sz w:val="18"/>
              </w:rPr>
              <w:t>中国电建成都院</w:t>
            </w:r>
          </w:p>
        </w:tc>
        <w:tc>
          <w:tcPr>
            <w:tcW w:type="dxa" w:w="2075"/>
          </w:tcPr>
          <w:p>
            <w:r/>
            <w:r>
              <w:rPr>
                <w:rFonts w:ascii="Calibri" w:hAnsi="Calibri" w:eastAsia="微软雅黑"/>
                <w:b w:val="0"/>
                <w:i w:val="0"/>
                <w:sz w:val="18"/>
              </w:rPr>
              <w:t>获建筑工程施工总承包壹级资质</w:t>
            </w:r>
          </w:p>
        </w:tc>
        <w:tc>
          <w:tcPr>
            <w:tcW w:type="dxa" w:w="2075"/>
          </w:tcPr>
          <w:p>
            <w:r/>
            <w:r>
              <w:rPr>
                <w:rFonts w:ascii="Calibri" w:hAnsi="Calibri" w:eastAsia="微软雅黑"/>
                <w:b w:val="0"/>
                <w:i w:val="0"/>
                <w:sz w:val="18"/>
              </w:rPr>
              <w:t>同城兄弟院资质外扩的信号</w:t>
            </w:r>
          </w:p>
        </w:tc>
        <w:tc>
          <w:tcPr>
            <w:tcW w:type="dxa" w:w="2075"/>
          </w:tcPr>
          <w:p>
            <w:r/>
            <w:r>
              <w:rPr>
                <w:rFonts w:ascii="Calibri" w:hAnsi="Calibri" w:eastAsia="微软雅黑"/>
                <w:b w:val="0"/>
                <w:i w:val="0"/>
                <w:sz w:val="18"/>
              </w:rPr>
              <w:t>P1005/P1008</w:t>
            </w:r>
          </w:p>
        </w:tc>
      </w:tr>
      <w:tr>
        <w:tc>
          <w:tcPr>
            <w:tcW w:type="dxa" w:w="2075"/>
          </w:tcPr>
          <w:p>
            <w:r/>
            <w:r>
              <w:rPr>
                <w:rFonts w:ascii="Calibri" w:hAnsi="Calibri" w:eastAsia="微软雅黑"/>
                <w:b w:val="0"/>
                <w:i w:val="0"/>
                <w:sz w:val="18"/>
              </w:rPr>
              <w:t>中国电建中南院</w:t>
            </w:r>
          </w:p>
        </w:tc>
        <w:tc>
          <w:tcPr>
            <w:tcW w:type="dxa" w:w="2075"/>
          </w:tcPr>
          <w:p>
            <w:r/>
            <w:r>
              <w:rPr>
                <w:rFonts w:ascii="Calibri" w:hAnsi="Calibri" w:eastAsia="微软雅黑"/>
                <w:b w:val="0"/>
                <w:i w:val="0"/>
                <w:sz w:val="18"/>
              </w:rPr>
              <w:t>吐鲁番乌斯通1GW光热+光伏一体化总承包；获对外援助物资项目总承包企业资格</w:t>
            </w:r>
          </w:p>
        </w:tc>
        <w:tc>
          <w:tcPr>
            <w:tcW w:type="dxa" w:w="2075"/>
          </w:tcPr>
          <w:p>
            <w:r/>
            <w:r>
              <w:rPr>
                <w:rFonts w:ascii="Calibri" w:hAnsi="Calibri" w:eastAsia="微软雅黑"/>
                <w:b w:val="0"/>
                <w:i w:val="0"/>
                <w:sz w:val="18"/>
              </w:rPr>
              <w:t>新业态与援外资格的坐标</w:t>
            </w:r>
          </w:p>
        </w:tc>
        <w:tc>
          <w:tcPr>
            <w:tcW w:type="dxa" w:w="2075"/>
          </w:tcPr>
          <w:p>
            <w:r/>
            <w:r>
              <w:rPr>
                <w:rFonts w:ascii="Calibri" w:hAnsi="Calibri" w:eastAsia="微软雅黑"/>
                <w:b w:val="0"/>
                <w:i w:val="0"/>
                <w:sz w:val="18"/>
              </w:rPr>
              <w:t>P1005/P1008</w:t>
            </w:r>
          </w:p>
        </w:tc>
      </w:tr>
      <w:tr>
        <w:tc>
          <w:tcPr>
            <w:tcW w:type="dxa" w:w="2075"/>
          </w:tcPr>
          <w:p>
            <w:r/>
            <w:r>
              <w:rPr>
                <w:rFonts w:ascii="Calibri" w:hAnsi="Calibri" w:eastAsia="微软雅黑"/>
                <w:b w:val="0"/>
                <w:i w:val="0"/>
                <w:sz w:val="18"/>
              </w:rPr>
              <w:t>中国电建贵州院</w:t>
            </w:r>
          </w:p>
        </w:tc>
        <w:tc>
          <w:tcPr>
            <w:tcW w:type="dxa" w:w="2075"/>
          </w:tcPr>
          <w:p>
            <w:r/>
            <w:r>
              <w:rPr>
                <w:rFonts w:ascii="Calibri" w:hAnsi="Calibri" w:eastAsia="微软雅黑"/>
                <w:b w:val="0"/>
                <w:i w:val="0"/>
                <w:sz w:val="18"/>
              </w:rPr>
              <w:t>乐拉光伏电站送出工程EPC一次性倒送电成功</w:t>
            </w:r>
          </w:p>
        </w:tc>
        <w:tc>
          <w:tcPr>
            <w:tcW w:type="dxa" w:w="2075"/>
          </w:tcPr>
          <w:p>
            <w:r/>
            <w:r>
              <w:rPr>
                <w:rFonts w:ascii="Calibri" w:hAnsi="Calibri" w:eastAsia="微软雅黑"/>
                <w:b w:val="0"/>
                <w:i w:val="0"/>
                <w:sz w:val="18"/>
              </w:rPr>
              <w:t>外省同门在川内拿单的实例</w:t>
            </w:r>
          </w:p>
        </w:tc>
        <w:tc>
          <w:tcPr>
            <w:tcW w:type="dxa" w:w="2075"/>
          </w:tcPr>
          <w:p>
            <w:r/>
            <w:r>
              <w:rPr>
                <w:rFonts w:ascii="Calibri" w:hAnsi="Calibri" w:eastAsia="微软雅黑"/>
                <w:b w:val="0"/>
                <w:i w:val="0"/>
                <w:sz w:val="18"/>
              </w:rPr>
              <w:t>P1008</w:t>
            </w:r>
          </w:p>
        </w:tc>
      </w:tr>
      <w:tr>
        <w:tc>
          <w:tcPr>
            <w:tcW w:type="dxa" w:w="2075"/>
          </w:tcPr>
          <w:p>
            <w:r/>
            <w:r>
              <w:rPr>
                <w:rFonts w:ascii="Calibri" w:hAnsi="Calibri" w:eastAsia="微软雅黑"/>
                <w:b w:val="0"/>
                <w:i w:val="0"/>
                <w:sz w:val="18"/>
              </w:rPr>
              <w:t>中国电建海南院</w:t>
            </w:r>
          </w:p>
        </w:tc>
        <w:tc>
          <w:tcPr>
            <w:tcW w:type="dxa" w:w="2075"/>
          </w:tcPr>
          <w:p>
            <w:r/>
            <w:r>
              <w:rPr>
                <w:rFonts w:ascii="Calibri" w:hAnsi="Calibri" w:eastAsia="微软雅黑"/>
                <w:b w:val="0"/>
                <w:i w:val="0"/>
                <w:sz w:val="18"/>
              </w:rPr>
              <w:t>钦州民海300MWp光伏获2022-2023年度国家优质工程奖</w:t>
            </w:r>
          </w:p>
        </w:tc>
        <w:tc>
          <w:tcPr>
            <w:tcW w:type="dxa" w:w="2075"/>
          </w:tcPr>
          <w:p>
            <w:r/>
            <w:r>
              <w:rPr>
                <w:rFonts w:ascii="Calibri" w:hAnsi="Calibri" w:eastAsia="微软雅黑"/>
                <w:b w:val="0"/>
                <w:i w:val="0"/>
                <w:sz w:val="18"/>
              </w:rPr>
              <w:t>施工类大奖主获路径的参照</w:t>
            </w:r>
          </w:p>
        </w:tc>
        <w:tc>
          <w:tcPr>
            <w:tcW w:type="dxa" w:w="2075"/>
          </w:tcPr>
          <w:p>
            <w:r/>
            <w:r>
              <w:rPr>
                <w:rFonts w:ascii="Calibri" w:hAnsi="Calibri" w:eastAsia="微软雅黑"/>
                <w:b w:val="0"/>
                <w:i w:val="0"/>
                <w:sz w:val="18"/>
              </w:rPr>
              <w:t>P1005/P1008</w:t>
            </w:r>
          </w:p>
        </w:tc>
      </w:tr>
      <w:tr>
        <w:tc>
          <w:tcPr>
            <w:tcW w:type="dxa" w:w="2075"/>
          </w:tcPr>
          <w:p>
            <w:r/>
            <w:r>
              <w:rPr>
                <w:rFonts w:ascii="Calibri" w:hAnsi="Calibri" w:eastAsia="微软雅黑"/>
                <w:b w:val="0"/>
                <w:i w:val="0"/>
                <w:sz w:val="18"/>
              </w:rPr>
              <w:t>中国电建集团</w:t>
            </w:r>
          </w:p>
        </w:tc>
        <w:tc>
          <w:tcPr>
            <w:tcW w:type="dxa" w:w="2075"/>
          </w:tcPr>
          <w:p>
            <w:r/>
            <w:r>
              <w:rPr>
                <w:rFonts w:ascii="Calibri" w:hAnsi="Calibri" w:eastAsia="微软雅黑"/>
                <w:b w:val="0"/>
                <w:i w:val="0"/>
                <w:sz w:val="18"/>
              </w:rPr>
              <w:t>与宁德时代战略合作；拟中标储能电站超27亿元</w:t>
            </w:r>
          </w:p>
        </w:tc>
        <w:tc>
          <w:tcPr>
            <w:tcW w:type="dxa" w:w="2075"/>
          </w:tcPr>
          <w:p>
            <w:r/>
            <w:r>
              <w:rPr>
                <w:rFonts w:ascii="Calibri" w:hAnsi="Calibri" w:eastAsia="微软雅黑"/>
                <w:b w:val="0"/>
                <w:i w:val="0"/>
                <w:sz w:val="18"/>
              </w:rPr>
              <w:t>赛道气候与集团信用池</w:t>
            </w:r>
          </w:p>
        </w:tc>
        <w:tc>
          <w:tcPr>
            <w:tcW w:type="dxa" w:w="2075"/>
          </w:tcPr>
          <w:p>
            <w:r/>
            <w:r>
              <w:rPr>
                <w:rFonts w:ascii="Calibri" w:hAnsi="Calibri" w:eastAsia="微软雅黑"/>
                <w:b w:val="0"/>
                <w:i w:val="0"/>
                <w:sz w:val="18"/>
              </w:rPr>
              <w:t>P1000/P1002</w:t>
            </w:r>
          </w:p>
        </w:tc>
      </w:tr>
    </w:tbl>
    <w:p>
      <w:r>
        <w:rPr>
          <w:rFonts w:ascii="Calibri" w:hAnsi="Calibri" w:eastAsia="微软雅黑"/>
          <w:b w:val="0"/>
          <w:i w:val="0"/>
          <w:sz w:val="22"/>
        </w:rPr>
        <w:t>同门动态表还可以横向使用：把各行按能力维度重排——总承包规模维度看华东院的排名位次（P1005/P1008），施工资质维度看成都院的壹级资质（P1005/P1008），新业态维度看中南院的光热一体化项目（P1005/P1008），援外通道维度看其资格核准（P1008）——就得到一张电建系设计院的能力地图。四川院在这张地图上的差异化位置，由复杂地形送电与储能总承包的实证标记（P1009/P1005）。买方做项目适配时，按项目特征在地图上就近选院，比按名气选院更有效率；这也是"集团坐标"一节的实用产出——坐标的意义从来不是排序，而是选配。</w:t>
      </w:r>
    </w:p>
    <w:p>
      <w:r>
        <w:rPr>
          <w:rFonts w:ascii="Calibri" w:hAnsi="Calibri" w:eastAsia="微软雅黑"/>
          <w:b w:val="0"/>
          <w:i w:val="0"/>
          <w:sz w:val="22"/>
        </w:rPr>
        <w:t>在集团坐标之外，四川院还嵌入了一张川内政企生态网：四川省铁投集团与公司举行工作座谈（P1006/P1007）；杭锅集团与公司签署战略合作协议（P1006/P1007）；四川省电力企业协会赴公司走访交流（P1001），协会新能源和可再生能源分会成立（P1003/P1004），协会还组织了2026年四川电力行业"质量月"质量大讲堂公益讲座（P1000/P1006）。买方视点：区域生态密度决定信息与资源的可获得性——在川内新能源与电网项目上，四川院对地方业主、地方投资平台与设备伙伴的熟稔程度，是外省竞争者难以复制的软资产；检索窗口内川内市场本身也足够深：新中标光伏项目达8.7亿元、新中标大项目达42亿元、储能电站EPC中标达1.82亿元（均见于"四川电力设计咨询 中标"检索合集，P1002，为市场行情条目，中标人身份未在标题层具名）。生态关系不等于履约能力，最终仍应以项目级证据为准，但生态厚度决定了它在区域市场的信息先手。</w:t>
      </w:r>
    </w:p>
    <w:p>
      <w:r>
        <w:rPr>
          <w:rFonts w:ascii="Calibri" w:hAnsi="Calibri" w:eastAsia="微软雅黑"/>
          <w:b w:val="0"/>
          <w:i w:val="0"/>
          <w:sz w:val="22"/>
        </w:rPr>
        <w:t>这张生态网的读法也应具体化。与省铁投的工作座谈（P1006/P1007）指向交通基建投资方背景的能源协同可能；与杭锅集团的战略合作（P1006/P1007）指向锅炉与储能设备端的供应链绑定；协会平台的活动（P1001/P1003/P1004）则维系着区域行业关系网。对买方的含义是订单源结构：区域设计咨询公司的订单往往高度依赖本地业主网络，生态密度既是获客优势，也是路径依赖——当川内竞争加剧（如同门入川拿单，锚见P1008）或业主投资节奏放缓时，其订单弹性取决于能否把区域声誉转化为跨区域、跨业态的投标能力，这正是观察其海外与省外动作（锚见P1002/P1009）的意义所在。</w:t>
      </w:r>
    </w:p>
    <w:p>
      <w:r>
        <w:rPr>
          <w:rFonts w:ascii="Calibri" w:hAnsi="Calibri" w:eastAsia="微软雅黑"/>
          <w:b w:val="0"/>
          <w:i w:val="0"/>
          <w:sz w:val="22"/>
        </w:rPr>
        <w:t>最后补一层组织文化的观察框架：设计院出身的总承包商与工程局出身的总承包商，组织基因不同——前者强在设计优化与系统集成，后者强在施工组织与资源调度（行业文献对设计、采购、施工、试运行全过程控制的梳理，正是以两类组织能力的整合为背景，P1029）。四川院的价值锚点在前者：它把设计话语权带进了总承包合同（金钥匙奖背书，P1009），买方采购其服务的实质，是采购"设计主导的一体化交付能力"。理解这一点，才能理解它的报价为何偏重设计与管理含量、它的优势场景为何集中在技术与接口复杂的项目，也才能避免把它当纯施工队伍来压价——压错了维度，双赢就会变成双输。</w:t>
      </w:r>
    </w:p>
    <w:p>
      <w:pPr>
        <w:pStyle w:val="Heading2"/>
      </w:pPr>
      <w:r>
        <w:t>五、总图景研判框架：三轴定位与风险底色</w:t>
      </w:r>
    </w:p>
    <w:p>
      <w:r>
        <w:rPr>
          <w:rFonts w:ascii="Calibri" w:hAnsi="Calibri" w:eastAsia="微软雅黑"/>
          <w:b w:val="0"/>
          <w:i w:val="0"/>
          <w:sz w:val="22"/>
        </w:rPr>
        <w:t>综合前文，本章给出一个可复用的承包商定位框架：资质轴（最高设计资质与总承包资格）、集团轴（股权坐标与可调用资源）、履约轴（项目与荣誉的互证密度）。以三轴读四川院：资质轴上持有工程设计综合甲级这一设计院最高资质（P1009），并以总承包百强身份完成转型资格认证（P1009）；集团轴上挂在世界500强中国电建序列（P1009），关联601669上市平台（P1030）；履约轴上有电力设计行业第一枚金钥匙奖（P1009）、225MW/900MWh国内最大示范性电网侧共享储能总承包（P1002/P1005/P1008）、津巴布韦输电设计中标（P1002）等跨业态、跨地域证据。三轴皆非空转，且互有咬合——这是本报告后续章节深入其EPC打法之前，需要与读者建立的前提共识。</w:t>
      </w:r>
    </w:p>
    <w:p>
      <w:r>
        <w:rPr>
          <w:rFonts w:ascii="Calibri" w:hAnsi="Calibri" w:eastAsia="微软雅黑"/>
          <w:b w:val="0"/>
          <w:i w:val="0"/>
          <w:sz w:val="22"/>
        </w:rPr>
        <w:t>这套三轴框架的价值超出本章：它同样适用于给任何一家电建系或非电建系的设计院定位。资质轴查"能不能做"，集团轴查"出事谁兜底"，履约轴查"做成过什么"；三轴信息在公开渠道均可低成本获取——资质见资质名录，集团关系见股权穿透与站群归属（如sedc.powerchina.cn，P1009），履约见中标公告与奖项名单（本章全部证据即由此类公开材料构成，锚见P1000至P1034证据基座说明）。买方若把三轴核对固化为招标文件的资格附件要求，就能把资质借用与业绩注水的空间压缩到最小；对研究者和竞争者而言，三轴也是复制本章调研的最短路径。</w:t>
      </w:r>
    </w:p>
    <w:p>
      <w:r>
        <w:rPr>
          <w:rFonts w:ascii="Calibri" w:hAnsi="Calibri" w:eastAsia="微软雅黑"/>
          <w:b w:val="0"/>
          <w:i w:val="0"/>
          <w:sz w:val="22"/>
        </w:rPr>
        <w:t>总图景还必须包含风险底色，否则就成了宣传稿。第一条底色是价格基准。行业价格监测显示：光伏EPC报价在2.3元/W（P1001）、2.83元/W（P1001）、2.97元/W（P1001）与3.73元/W（P1001）等多期数据间波动，最高与最低之间的带宽达一点四三元/W（own_calc：3.73−2.3，两数锚见P1001）；组件价格对应0.847元/W与0.888元/W（P1001）；箱变0.08元/VA（P1001）；固定支架0.24元/W（P1001）。储能侧，采购最低价0.87元/Wh、EPC最高3.04元/Wh（P1000/P1001）——储能EPC顶价约为采购底价的三点五倍（own_calc：3.04÷0.87，两数锚见P1000/P1001），说明EPC报价中包含的系统性服务与风险溢价空间极大，同样的"储能EPC"四个字，报价可以相差数倍，买方必须拆解报价构成再比价。另一个值得记录的异常信号是：眉山产投两个电网侧储能EPC开标，投标人报价全部一致（P1001）——无论成因如何，它提示川内储能EPC市场的竞争形态存在需要专项核查的非常规现象，竞争有效性存疑处的订单，价格公允性也要重检。</w:t>
      </w:r>
    </w:p>
    <w:p>
      <w:r>
        <w:rPr>
          <w:rFonts w:ascii="Calibri" w:hAnsi="Calibri" w:eastAsia="微软雅黑"/>
          <w:b w:val="0"/>
          <w:i w:val="0"/>
          <w:sz w:val="22"/>
        </w:rPr>
        <w:t>以上基准还给买方一把拆价尺：按组件0.888元/W（P1001）、固定支架0.24元/W（P1001）、箱变0.08元/VA（P1001）逐项核对光伏EPC总价的设备与材料含量，再检验余量是否与设计、施工、调试及风险溢价的水平相称；储能侧则以采购最低0.87元/Wh（P1000/P1001）为设备成本参照，审视EPC总价（P1000/P1001）中服务与风险部分的占比。报价拆解的意义在于把"贵不贵"的争论转换为"贵在哪里"的结构性审查——对总承包商的报价做结构透视，远比单纯压总价更能保护买方的长期利益，因为被压掉的价格迟早以变更、索赔或质量折扣的形式回来。</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监测品类</w:t>
            </w:r>
          </w:p>
        </w:tc>
        <w:tc>
          <w:tcPr>
            <w:tcW w:type="dxa" w:w="2075"/>
            <w:shd w:fill="1F3A5F"/>
          </w:tcPr>
          <w:p>
            <w:r>
              <w:rPr>
                <w:color w:val="FFFFFF"/>
              </w:rPr>
            </w:r>
            <w:r>
              <w:rPr>
                <w:rFonts w:ascii="Calibri" w:hAnsi="Calibri" w:eastAsia="微软雅黑"/>
                <w:b/>
                <w:i w:val="0"/>
                <w:color w:val="FFFFFF"/>
                <w:sz w:val="18"/>
              </w:rPr>
              <w:t>价格</w:t>
            </w:r>
          </w:p>
        </w:tc>
        <w:tc>
          <w:tcPr>
            <w:tcW w:type="dxa" w:w="2075"/>
            <w:shd w:fill="1F3A5F"/>
          </w:tcPr>
          <w:p>
            <w:r>
              <w:rPr>
                <w:color w:val="FFFFFF"/>
              </w:rPr>
            </w:r>
            <w:r>
              <w:rPr>
                <w:rFonts w:ascii="Calibri" w:hAnsi="Calibri" w:eastAsia="微软雅黑"/>
                <w:b/>
                <w:i w:val="0"/>
                <w:color w:val="FFFFFF"/>
                <w:sz w:val="18"/>
              </w:rPr>
              <w:t>语境</w:t>
            </w:r>
          </w:p>
        </w:tc>
        <w:tc>
          <w:tcPr>
            <w:tcW w:type="dxa" w:w="2075"/>
            <w:shd w:fill="1F3A5F"/>
          </w:tcPr>
          <w:p>
            <w:r>
              <w:rPr>
                <w:color w:val="FFFFFF"/>
              </w:rPr>
            </w:r>
            <w:r>
              <w:rPr>
                <w:rFonts w:ascii="Calibri" w:hAnsi="Calibri" w:eastAsia="微软雅黑"/>
                <w:b/>
                <w:i w:val="0"/>
                <w:color w:val="FFFFFF"/>
                <w:sz w:val="18"/>
              </w:rPr>
              <w:t>证据锚</w:t>
            </w:r>
          </w:p>
        </w:tc>
      </w:tr>
      <w:tr>
        <w:tc>
          <w:tcPr>
            <w:tcW w:type="dxa" w:w="2075"/>
          </w:tcPr>
          <w:p>
            <w:r/>
            <w:r>
              <w:rPr>
                <w:rFonts w:ascii="Calibri" w:hAnsi="Calibri" w:eastAsia="微软雅黑"/>
                <w:b w:val="0"/>
                <w:i w:val="0"/>
                <w:sz w:val="18"/>
              </w:rPr>
              <w:t>光伏EPC</w:t>
            </w:r>
          </w:p>
        </w:tc>
        <w:tc>
          <w:tcPr>
            <w:tcW w:type="dxa" w:w="2075"/>
          </w:tcPr>
          <w:p>
            <w:r/>
            <w:r>
              <w:rPr>
                <w:rFonts w:ascii="Calibri" w:hAnsi="Calibri" w:eastAsia="微软雅黑"/>
                <w:b w:val="0"/>
                <w:i w:val="0"/>
                <w:sz w:val="18"/>
              </w:rPr>
              <w:t>2.3元/W</w:t>
            </w:r>
          </w:p>
        </w:tc>
        <w:tc>
          <w:tcPr>
            <w:tcW w:type="dxa" w:w="2075"/>
          </w:tcPr>
          <w:p>
            <w:r/>
            <w:r>
              <w:rPr>
                <w:rFonts w:ascii="Calibri" w:hAnsi="Calibri" w:eastAsia="微软雅黑"/>
                <w:b w:val="0"/>
                <w:i w:val="0"/>
                <w:sz w:val="18"/>
              </w:rPr>
              <w:t>价格风向标</w:t>
            </w:r>
          </w:p>
        </w:tc>
        <w:tc>
          <w:tcPr>
            <w:tcW w:type="dxa" w:w="2075"/>
          </w:tcPr>
          <w:p>
            <w:r/>
            <w:r>
              <w:rPr>
                <w:rFonts w:ascii="Calibri" w:hAnsi="Calibri" w:eastAsia="微软雅黑"/>
                <w:b w:val="0"/>
                <w:i w:val="0"/>
                <w:sz w:val="18"/>
              </w:rPr>
              <w:t>P1001</w:t>
            </w:r>
          </w:p>
        </w:tc>
      </w:tr>
      <w:tr>
        <w:tc>
          <w:tcPr>
            <w:tcW w:type="dxa" w:w="2075"/>
          </w:tcPr>
          <w:p>
            <w:r/>
            <w:r>
              <w:rPr>
                <w:rFonts w:ascii="Calibri" w:hAnsi="Calibri" w:eastAsia="微软雅黑"/>
                <w:b w:val="0"/>
                <w:i w:val="0"/>
                <w:sz w:val="18"/>
              </w:rPr>
              <w:t>光伏EPC</w:t>
            </w:r>
          </w:p>
        </w:tc>
        <w:tc>
          <w:tcPr>
            <w:tcW w:type="dxa" w:w="2075"/>
          </w:tcPr>
          <w:p>
            <w:r/>
            <w:r>
              <w:rPr>
                <w:rFonts w:ascii="Calibri" w:hAnsi="Calibri" w:eastAsia="微软雅黑"/>
                <w:b w:val="0"/>
                <w:i w:val="0"/>
                <w:sz w:val="18"/>
              </w:rPr>
              <w:t>2.83元/W</w:t>
            </w:r>
          </w:p>
        </w:tc>
        <w:tc>
          <w:tcPr>
            <w:tcW w:type="dxa" w:w="2075"/>
          </w:tcPr>
          <w:p>
            <w:r/>
            <w:r>
              <w:rPr>
                <w:rFonts w:ascii="Calibri" w:hAnsi="Calibri" w:eastAsia="微软雅黑"/>
                <w:b w:val="0"/>
                <w:i w:val="0"/>
                <w:sz w:val="18"/>
              </w:rPr>
              <w:t>价格风向标0507</w:t>
            </w:r>
          </w:p>
        </w:tc>
        <w:tc>
          <w:tcPr>
            <w:tcW w:type="dxa" w:w="2075"/>
          </w:tcPr>
          <w:p>
            <w:r/>
            <w:r>
              <w:rPr>
                <w:rFonts w:ascii="Calibri" w:hAnsi="Calibri" w:eastAsia="微软雅黑"/>
                <w:b w:val="0"/>
                <w:i w:val="0"/>
                <w:sz w:val="18"/>
              </w:rPr>
              <w:t>P1001</w:t>
            </w:r>
          </w:p>
        </w:tc>
      </w:tr>
      <w:tr>
        <w:tc>
          <w:tcPr>
            <w:tcW w:type="dxa" w:w="2075"/>
          </w:tcPr>
          <w:p>
            <w:r/>
            <w:r>
              <w:rPr>
                <w:rFonts w:ascii="Calibri" w:hAnsi="Calibri" w:eastAsia="微软雅黑"/>
                <w:b w:val="0"/>
                <w:i w:val="0"/>
                <w:sz w:val="18"/>
              </w:rPr>
              <w:t>光伏EPC</w:t>
            </w:r>
          </w:p>
        </w:tc>
        <w:tc>
          <w:tcPr>
            <w:tcW w:type="dxa" w:w="2075"/>
          </w:tcPr>
          <w:p>
            <w:r/>
            <w:r>
              <w:rPr>
                <w:rFonts w:ascii="Calibri" w:hAnsi="Calibri" w:eastAsia="微软雅黑"/>
                <w:b w:val="0"/>
                <w:i w:val="0"/>
                <w:sz w:val="18"/>
              </w:rPr>
              <w:t>2.97元/W</w:t>
            </w:r>
          </w:p>
        </w:tc>
        <w:tc>
          <w:tcPr>
            <w:tcW w:type="dxa" w:w="2075"/>
          </w:tcPr>
          <w:p>
            <w:r/>
            <w:r>
              <w:rPr>
                <w:rFonts w:ascii="Calibri" w:hAnsi="Calibri" w:eastAsia="微软雅黑"/>
                <w:b w:val="0"/>
                <w:i w:val="0"/>
                <w:sz w:val="18"/>
              </w:rPr>
              <w:t>价格风向标0102</w:t>
            </w:r>
          </w:p>
        </w:tc>
        <w:tc>
          <w:tcPr>
            <w:tcW w:type="dxa" w:w="2075"/>
          </w:tcPr>
          <w:p>
            <w:r/>
            <w:r>
              <w:rPr>
                <w:rFonts w:ascii="Calibri" w:hAnsi="Calibri" w:eastAsia="微软雅黑"/>
                <w:b w:val="0"/>
                <w:i w:val="0"/>
                <w:sz w:val="18"/>
              </w:rPr>
              <w:t>P1001</w:t>
            </w:r>
          </w:p>
        </w:tc>
      </w:tr>
      <w:tr>
        <w:tc>
          <w:tcPr>
            <w:tcW w:type="dxa" w:w="2075"/>
          </w:tcPr>
          <w:p>
            <w:r/>
            <w:r>
              <w:rPr>
                <w:rFonts w:ascii="Calibri" w:hAnsi="Calibri" w:eastAsia="微软雅黑"/>
                <w:b w:val="0"/>
                <w:i w:val="0"/>
                <w:sz w:val="18"/>
              </w:rPr>
              <w:t>光伏EPC</w:t>
            </w:r>
          </w:p>
        </w:tc>
        <w:tc>
          <w:tcPr>
            <w:tcW w:type="dxa" w:w="2075"/>
          </w:tcPr>
          <w:p>
            <w:r/>
            <w:r>
              <w:rPr>
                <w:rFonts w:ascii="Calibri" w:hAnsi="Calibri" w:eastAsia="微软雅黑"/>
                <w:b w:val="0"/>
                <w:i w:val="0"/>
                <w:sz w:val="18"/>
              </w:rPr>
              <w:t>3.73元/W</w:t>
            </w:r>
          </w:p>
        </w:tc>
        <w:tc>
          <w:tcPr>
            <w:tcW w:type="dxa" w:w="2075"/>
          </w:tcPr>
          <w:p>
            <w:r/>
            <w:r>
              <w:rPr>
                <w:rFonts w:ascii="Calibri" w:hAnsi="Calibri" w:eastAsia="微软雅黑"/>
                <w:b w:val="0"/>
                <w:i w:val="0"/>
                <w:sz w:val="18"/>
              </w:rPr>
              <w:t>价格风向标0504</w:t>
            </w:r>
          </w:p>
        </w:tc>
        <w:tc>
          <w:tcPr>
            <w:tcW w:type="dxa" w:w="2075"/>
          </w:tcPr>
          <w:p>
            <w:r/>
            <w:r>
              <w:rPr>
                <w:rFonts w:ascii="Calibri" w:hAnsi="Calibri" w:eastAsia="微软雅黑"/>
                <w:b w:val="0"/>
                <w:i w:val="0"/>
                <w:sz w:val="18"/>
              </w:rPr>
              <w:t>P1001</w:t>
            </w:r>
          </w:p>
        </w:tc>
      </w:tr>
      <w:tr>
        <w:tc>
          <w:tcPr>
            <w:tcW w:type="dxa" w:w="2075"/>
          </w:tcPr>
          <w:p>
            <w:r/>
            <w:r>
              <w:rPr>
                <w:rFonts w:ascii="Calibri" w:hAnsi="Calibri" w:eastAsia="微软雅黑"/>
                <w:b w:val="0"/>
                <w:i w:val="0"/>
                <w:sz w:val="18"/>
              </w:rPr>
              <w:t>光伏组件</w:t>
            </w:r>
          </w:p>
        </w:tc>
        <w:tc>
          <w:tcPr>
            <w:tcW w:type="dxa" w:w="2075"/>
          </w:tcPr>
          <w:p>
            <w:r/>
            <w:r>
              <w:rPr>
                <w:rFonts w:ascii="Calibri" w:hAnsi="Calibri" w:eastAsia="微软雅黑"/>
                <w:b w:val="0"/>
                <w:i w:val="0"/>
                <w:sz w:val="18"/>
              </w:rPr>
              <w:t>0.847元/W</w:t>
            </w:r>
          </w:p>
        </w:tc>
        <w:tc>
          <w:tcPr>
            <w:tcW w:type="dxa" w:w="2075"/>
          </w:tcPr>
          <w:p>
            <w:r/>
            <w:r>
              <w:rPr>
                <w:rFonts w:ascii="Calibri" w:hAnsi="Calibri" w:eastAsia="微软雅黑"/>
                <w:b w:val="0"/>
                <w:i w:val="0"/>
                <w:sz w:val="18"/>
              </w:rPr>
              <w:t>价格风向标0507</w:t>
            </w:r>
          </w:p>
        </w:tc>
        <w:tc>
          <w:tcPr>
            <w:tcW w:type="dxa" w:w="2075"/>
          </w:tcPr>
          <w:p>
            <w:r/>
            <w:r>
              <w:rPr>
                <w:rFonts w:ascii="Calibri" w:hAnsi="Calibri" w:eastAsia="微软雅黑"/>
                <w:b w:val="0"/>
                <w:i w:val="0"/>
                <w:sz w:val="18"/>
              </w:rPr>
              <w:t>P1001</w:t>
            </w:r>
          </w:p>
        </w:tc>
      </w:tr>
      <w:tr>
        <w:tc>
          <w:tcPr>
            <w:tcW w:type="dxa" w:w="2075"/>
          </w:tcPr>
          <w:p>
            <w:r/>
            <w:r>
              <w:rPr>
                <w:rFonts w:ascii="Calibri" w:hAnsi="Calibri" w:eastAsia="微软雅黑"/>
                <w:b w:val="0"/>
                <w:i w:val="0"/>
                <w:sz w:val="18"/>
              </w:rPr>
              <w:t>光伏组件</w:t>
            </w:r>
          </w:p>
        </w:tc>
        <w:tc>
          <w:tcPr>
            <w:tcW w:type="dxa" w:w="2075"/>
          </w:tcPr>
          <w:p>
            <w:r/>
            <w:r>
              <w:rPr>
                <w:rFonts w:ascii="Calibri" w:hAnsi="Calibri" w:eastAsia="微软雅黑"/>
                <w:b w:val="0"/>
                <w:i w:val="0"/>
                <w:sz w:val="18"/>
              </w:rPr>
              <w:t>0.888元/W</w:t>
            </w:r>
          </w:p>
        </w:tc>
        <w:tc>
          <w:tcPr>
            <w:tcW w:type="dxa" w:w="2075"/>
          </w:tcPr>
          <w:p>
            <w:r/>
            <w:r>
              <w:rPr>
                <w:rFonts w:ascii="Calibri" w:hAnsi="Calibri" w:eastAsia="微软雅黑"/>
                <w:b w:val="0"/>
                <w:i w:val="0"/>
                <w:sz w:val="18"/>
              </w:rPr>
              <w:t>价格风向标0102</w:t>
            </w:r>
          </w:p>
        </w:tc>
        <w:tc>
          <w:tcPr>
            <w:tcW w:type="dxa" w:w="2075"/>
          </w:tcPr>
          <w:p>
            <w:r/>
            <w:r>
              <w:rPr>
                <w:rFonts w:ascii="Calibri" w:hAnsi="Calibri" w:eastAsia="微软雅黑"/>
                <w:b w:val="0"/>
                <w:i w:val="0"/>
                <w:sz w:val="18"/>
              </w:rPr>
              <w:t>P1001</w:t>
            </w:r>
          </w:p>
        </w:tc>
      </w:tr>
      <w:tr>
        <w:tc>
          <w:tcPr>
            <w:tcW w:type="dxa" w:w="2075"/>
          </w:tcPr>
          <w:p>
            <w:r/>
            <w:r>
              <w:rPr>
                <w:rFonts w:ascii="Calibri" w:hAnsi="Calibri" w:eastAsia="微软雅黑"/>
                <w:b w:val="0"/>
                <w:i w:val="0"/>
                <w:sz w:val="18"/>
              </w:rPr>
              <w:t>箱变</w:t>
            </w:r>
          </w:p>
        </w:tc>
        <w:tc>
          <w:tcPr>
            <w:tcW w:type="dxa" w:w="2075"/>
          </w:tcPr>
          <w:p>
            <w:r/>
            <w:r>
              <w:rPr>
                <w:rFonts w:ascii="Calibri" w:hAnsi="Calibri" w:eastAsia="微软雅黑"/>
                <w:b w:val="0"/>
                <w:i w:val="0"/>
                <w:sz w:val="18"/>
              </w:rPr>
              <w:t>0.08元/VA</w:t>
            </w:r>
          </w:p>
        </w:tc>
        <w:tc>
          <w:tcPr>
            <w:tcW w:type="dxa" w:w="2075"/>
          </w:tcPr>
          <w:p>
            <w:r/>
            <w:r>
              <w:rPr>
                <w:rFonts w:ascii="Calibri" w:hAnsi="Calibri" w:eastAsia="微软雅黑"/>
                <w:b w:val="0"/>
                <w:i w:val="0"/>
                <w:sz w:val="18"/>
              </w:rPr>
              <w:t>设备价格监测</w:t>
            </w:r>
          </w:p>
        </w:tc>
        <w:tc>
          <w:tcPr>
            <w:tcW w:type="dxa" w:w="2075"/>
          </w:tcPr>
          <w:p>
            <w:r/>
            <w:r>
              <w:rPr>
                <w:rFonts w:ascii="Calibri" w:hAnsi="Calibri" w:eastAsia="微软雅黑"/>
                <w:b w:val="0"/>
                <w:i w:val="0"/>
                <w:sz w:val="18"/>
              </w:rPr>
              <w:t>P1001</w:t>
            </w:r>
          </w:p>
        </w:tc>
      </w:tr>
      <w:tr>
        <w:tc>
          <w:tcPr>
            <w:tcW w:type="dxa" w:w="2075"/>
          </w:tcPr>
          <w:p>
            <w:r/>
            <w:r>
              <w:rPr>
                <w:rFonts w:ascii="Calibri" w:hAnsi="Calibri" w:eastAsia="微软雅黑"/>
                <w:b w:val="0"/>
                <w:i w:val="0"/>
                <w:sz w:val="18"/>
              </w:rPr>
              <w:t>固定支架</w:t>
            </w:r>
          </w:p>
        </w:tc>
        <w:tc>
          <w:tcPr>
            <w:tcW w:type="dxa" w:w="2075"/>
          </w:tcPr>
          <w:p>
            <w:r/>
            <w:r>
              <w:rPr>
                <w:rFonts w:ascii="Calibri" w:hAnsi="Calibri" w:eastAsia="微软雅黑"/>
                <w:b w:val="0"/>
                <w:i w:val="0"/>
                <w:sz w:val="18"/>
              </w:rPr>
              <w:t>0.24元/W</w:t>
            </w:r>
          </w:p>
        </w:tc>
        <w:tc>
          <w:tcPr>
            <w:tcW w:type="dxa" w:w="2075"/>
          </w:tcPr>
          <w:p>
            <w:r/>
            <w:r>
              <w:rPr>
                <w:rFonts w:ascii="Calibri" w:hAnsi="Calibri" w:eastAsia="微软雅黑"/>
                <w:b w:val="0"/>
                <w:i w:val="0"/>
                <w:sz w:val="18"/>
              </w:rPr>
              <w:t>价格风向标0504</w:t>
            </w:r>
          </w:p>
        </w:tc>
        <w:tc>
          <w:tcPr>
            <w:tcW w:type="dxa" w:w="2075"/>
          </w:tcPr>
          <w:p>
            <w:r/>
            <w:r>
              <w:rPr>
                <w:rFonts w:ascii="Calibri" w:hAnsi="Calibri" w:eastAsia="微软雅黑"/>
                <w:b w:val="0"/>
                <w:i w:val="0"/>
                <w:sz w:val="18"/>
              </w:rPr>
              <w:t>P1001</w:t>
            </w:r>
          </w:p>
        </w:tc>
      </w:tr>
      <w:tr>
        <w:tc>
          <w:tcPr>
            <w:tcW w:type="dxa" w:w="2075"/>
          </w:tcPr>
          <w:p>
            <w:r/>
            <w:r>
              <w:rPr>
                <w:rFonts w:ascii="Calibri" w:hAnsi="Calibri" w:eastAsia="微软雅黑"/>
                <w:b w:val="0"/>
                <w:i w:val="0"/>
                <w:sz w:val="18"/>
              </w:rPr>
              <w:t>储能采购（最低价）</w:t>
            </w:r>
          </w:p>
        </w:tc>
        <w:tc>
          <w:tcPr>
            <w:tcW w:type="dxa" w:w="2075"/>
          </w:tcPr>
          <w:p>
            <w:r/>
            <w:r>
              <w:rPr>
                <w:rFonts w:ascii="Calibri" w:hAnsi="Calibri" w:eastAsia="微软雅黑"/>
                <w:b w:val="0"/>
                <w:i w:val="0"/>
                <w:sz w:val="18"/>
              </w:rPr>
              <w:t>0.87元/Wh</w:t>
            </w:r>
          </w:p>
        </w:tc>
        <w:tc>
          <w:tcPr>
            <w:tcW w:type="dxa" w:w="2075"/>
          </w:tcPr>
          <w:p>
            <w:r/>
            <w:r>
              <w:rPr>
                <w:rFonts w:ascii="Calibri" w:hAnsi="Calibri" w:eastAsia="微软雅黑"/>
                <w:b w:val="0"/>
                <w:i w:val="0"/>
                <w:sz w:val="18"/>
              </w:rPr>
              <w:t>七月储能中标分析</w:t>
            </w:r>
          </w:p>
        </w:tc>
        <w:tc>
          <w:tcPr>
            <w:tcW w:type="dxa" w:w="2075"/>
          </w:tcPr>
          <w:p>
            <w:r/>
            <w:r>
              <w:rPr>
                <w:rFonts w:ascii="Calibri" w:hAnsi="Calibri" w:eastAsia="微软雅黑"/>
                <w:b w:val="0"/>
                <w:i w:val="0"/>
                <w:sz w:val="18"/>
              </w:rPr>
              <w:t>P1000/P1001</w:t>
            </w:r>
          </w:p>
        </w:tc>
      </w:tr>
      <w:tr>
        <w:tc>
          <w:tcPr>
            <w:tcW w:type="dxa" w:w="2075"/>
          </w:tcPr>
          <w:p>
            <w:r/>
            <w:r>
              <w:rPr>
                <w:rFonts w:ascii="Calibri" w:hAnsi="Calibri" w:eastAsia="微软雅黑"/>
                <w:b w:val="0"/>
                <w:i w:val="0"/>
                <w:sz w:val="18"/>
              </w:rPr>
              <w:t>储能EPC（最高价）</w:t>
            </w:r>
          </w:p>
        </w:tc>
        <w:tc>
          <w:tcPr>
            <w:tcW w:type="dxa" w:w="2075"/>
          </w:tcPr>
          <w:p>
            <w:r/>
            <w:r>
              <w:rPr>
                <w:rFonts w:ascii="Calibri" w:hAnsi="Calibri" w:eastAsia="微软雅黑"/>
                <w:b w:val="0"/>
                <w:i w:val="0"/>
                <w:sz w:val="18"/>
              </w:rPr>
              <w:t>3.04元/Wh</w:t>
            </w:r>
          </w:p>
        </w:tc>
        <w:tc>
          <w:tcPr>
            <w:tcW w:type="dxa" w:w="2075"/>
          </w:tcPr>
          <w:p>
            <w:r/>
            <w:r>
              <w:rPr>
                <w:rFonts w:ascii="Calibri" w:hAnsi="Calibri" w:eastAsia="微软雅黑"/>
                <w:b w:val="0"/>
                <w:i w:val="0"/>
                <w:sz w:val="18"/>
              </w:rPr>
              <w:t>七月储能中标分析</w:t>
            </w:r>
          </w:p>
        </w:tc>
        <w:tc>
          <w:tcPr>
            <w:tcW w:type="dxa" w:w="2075"/>
          </w:tcPr>
          <w:p>
            <w:r/>
            <w:r>
              <w:rPr>
                <w:rFonts w:ascii="Calibri" w:hAnsi="Calibri" w:eastAsia="微软雅黑"/>
                <w:b w:val="0"/>
                <w:i w:val="0"/>
                <w:sz w:val="18"/>
              </w:rPr>
              <w:t>P1000/P1001</w:t>
            </w:r>
          </w:p>
        </w:tc>
      </w:tr>
    </w:tbl>
    <w:p>
      <w:r>
        <w:rPr>
          <w:rFonts w:ascii="Calibri" w:hAnsi="Calibri" w:eastAsia="微软雅黑"/>
          <w:b w:val="0"/>
          <w:i w:val="0"/>
          <w:sz w:val="22"/>
        </w:rPr>
        <w:t>第二条底色是纠纷气候。本报告证据库收录的裁判文书卷显示，全国EPC相关文书的可检索量随市场膨胀而剧烈抬升，又在近端骤然收敛：</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年份</w:t>
            </w:r>
          </w:p>
        </w:tc>
        <w:tc>
          <w:tcPr>
            <w:tcW w:type="dxa" w:w="2767"/>
            <w:shd w:fill="1F3A5F"/>
          </w:tcPr>
          <w:p>
            <w:r>
              <w:rPr>
                <w:color w:val="FFFFFF"/>
              </w:rPr>
            </w:r>
            <w:r>
              <w:rPr>
                <w:rFonts w:ascii="Calibri" w:hAnsi="Calibri" w:eastAsia="微软雅黑"/>
                <w:b/>
                <w:i w:val="0"/>
                <w:color w:val="FFFFFF"/>
                <w:sz w:val="18"/>
              </w:rPr>
              <w:t>可检索EPC相关文书量</w:t>
            </w:r>
          </w:p>
        </w:tc>
        <w:tc>
          <w:tcPr>
            <w:tcW w:type="dxa" w:w="2767"/>
            <w:shd w:fill="1F3A5F"/>
          </w:tcPr>
          <w:p>
            <w:r>
              <w:rPr>
                <w:color w:val="FFFFFF"/>
              </w:rPr>
            </w:r>
            <w:r>
              <w:rPr>
                <w:rFonts w:ascii="Calibri" w:hAnsi="Calibri" w:eastAsia="微软雅黑"/>
                <w:b/>
                <w:i w:val="0"/>
                <w:color w:val="FFFFFF"/>
                <w:sz w:val="18"/>
              </w:rPr>
              <w:t>证据锚</w:t>
            </w:r>
          </w:p>
        </w:tc>
      </w:tr>
      <w:tr>
        <w:tc>
          <w:tcPr>
            <w:tcW w:type="dxa" w:w="2767"/>
          </w:tcPr>
          <w:p>
            <w:r/>
            <w:r>
              <w:rPr>
                <w:rFonts w:ascii="Calibri" w:hAnsi="Calibri" w:eastAsia="微软雅黑"/>
                <w:b w:val="0"/>
                <w:i w:val="0"/>
                <w:sz w:val="18"/>
              </w:rPr>
              <w:t>2010年</w:t>
            </w:r>
          </w:p>
        </w:tc>
        <w:tc>
          <w:tcPr>
            <w:tcW w:type="dxa" w:w="2767"/>
          </w:tcPr>
          <w:p>
            <w:r/>
            <w:r>
              <w:rPr>
                <w:rFonts w:ascii="Calibri" w:hAnsi="Calibri" w:eastAsia="微软雅黑"/>
                <w:b w:val="0"/>
                <w:i w:val="0"/>
                <w:sz w:val="18"/>
              </w:rPr>
              <w:t>148篇</w:t>
            </w:r>
          </w:p>
        </w:tc>
        <w:tc>
          <w:tcPr>
            <w:tcW w:type="dxa" w:w="2767"/>
          </w:tcPr>
          <w:p>
            <w:r/>
            <w:r>
              <w:rPr>
                <w:rFonts w:ascii="Calibri" w:hAnsi="Calibri" w:eastAsia="微软雅黑"/>
                <w:b w:val="0"/>
                <w:i w:val="0"/>
                <w:sz w:val="18"/>
              </w:rPr>
              <w:t>P1023</w:t>
            </w:r>
          </w:p>
        </w:tc>
      </w:tr>
      <w:tr>
        <w:tc>
          <w:tcPr>
            <w:tcW w:type="dxa" w:w="2767"/>
          </w:tcPr>
          <w:p>
            <w:r/>
            <w:r>
              <w:rPr>
                <w:rFonts w:ascii="Calibri" w:hAnsi="Calibri" w:eastAsia="微软雅黑"/>
                <w:b w:val="0"/>
                <w:i w:val="0"/>
                <w:sz w:val="18"/>
              </w:rPr>
              <w:t>2012年</w:t>
            </w:r>
          </w:p>
        </w:tc>
        <w:tc>
          <w:tcPr>
            <w:tcW w:type="dxa" w:w="2767"/>
          </w:tcPr>
          <w:p>
            <w:r/>
            <w:r>
              <w:rPr>
                <w:rFonts w:ascii="Calibri" w:hAnsi="Calibri" w:eastAsia="微软雅黑"/>
                <w:b w:val="0"/>
                <w:i w:val="0"/>
                <w:sz w:val="18"/>
              </w:rPr>
              <w:t>216篇</w:t>
            </w:r>
          </w:p>
        </w:tc>
        <w:tc>
          <w:tcPr>
            <w:tcW w:type="dxa" w:w="2767"/>
          </w:tcPr>
          <w:p>
            <w:r/>
            <w:r>
              <w:rPr>
                <w:rFonts w:ascii="Calibri" w:hAnsi="Calibri" w:eastAsia="微软雅黑"/>
                <w:b w:val="0"/>
                <w:i w:val="0"/>
                <w:sz w:val="18"/>
              </w:rPr>
              <w:t>P1020</w:t>
            </w:r>
          </w:p>
        </w:tc>
      </w:tr>
      <w:tr>
        <w:tc>
          <w:tcPr>
            <w:tcW w:type="dxa" w:w="2767"/>
          </w:tcPr>
          <w:p>
            <w:r/>
            <w:r>
              <w:rPr>
                <w:rFonts w:ascii="Calibri" w:hAnsi="Calibri" w:eastAsia="微软雅黑"/>
                <w:b w:val="0"/>
                <w:i w:val="0"/>
                <w:sz w:val="18"/>
              </w:rPr>
              <w:t>2013年</w:t>
            </w:r>
          </w:p>
        </w:tc>
        <w:tc>
          <w:tcPr>
            <w:tcW w:type="dxa" w:w="2767"/>
          </w:tcPr>
          <w:p>
            <w:r/>
            <w:r>
              <w:rPr>
                <w:rFonts w:ascii="Calibri" w:hAnsi="Calibri" w:eastAsia="微软雅黑"/>
                <w:b w:val="0"/>
                <w:i w:val="0"/>
                <w:sz w:val="18"/>
              </w:rPr>
              <w:t>2170篇</w:t>
            </w:r>
          </w:p>
        </w:tc>
        <w:tc>
          <w:tcPr>
            <w:tcW w:type="dxa" w:w="2767"/>
          </w:tcPr>
          <w:p>
            <w:r/>
            <w:r>
              <w:rPr>
                <w:rFonts w:ascii="Calibri" w:hAnsi="Calibri" w:eastAsia="微软雅黑"/>
                <w:b w:val="0"/>
                <w:i w:val="0"/>
                <w:sz w:val="18"/>
              </w:rPr>
              <w:t>P1017</w:t>
            </w:r>
          </w:p>
        </w:tc>
      </w:tr>
      <w:tr>
        <w:tc>
          <w:tcPr>
            <w:tcW w:type="dxa" w:w="2767"/>
          </w:tcPr>
          <w:p>
            <w:r/>
            <w:r>
              <w:rPr>
                <w:rFonts w:ascii="Calibri" w:hAnsi="Calibri" w:eastAsia="微软雅黑"/>
                <w:b w:val="0"/>
                <w:i w:val="0"/>
                <w:sz w:val="18"/>
              </w:rPr>
              <w:t>2014年</w:t>
            </w:r>
          </w:p>
        </w:tc>
        <w:tc>
          <w:tcPr>
            <w:tcW w:type="dxa" w:w="2767"/>
          </w:tcPr>
          <w:p>
            <w:r/>
            <w:r>
              <w:rPr>
                <w:rFonts w:ascii="Calibri" w:hAnsi="Calibri" w:eastAsia="微软雅黑"/>
                <w:b w:val="0"/>
                <w:i w:val="0"/>
                <w:sz w:val="18"/>
              </w:rPr>
              <w:t>5275篇</w:t>
            </w:r>
          </w:p>
        </w:tc>
        <w:tc>
          <w:tcPr>
            <w:tcW w:type="dxa" w:w="2767"/>
          </w:tcPr>
          <w:p>
            <w:r/>
            <w:r>
              <w:rPr>
                <w:rFonts w:ascii="Calibri" w:hAnsi="Calibri" w:eastAsia="微软雅黑"/>
                <w:b w:val="0"/>
                <w:i w:val="0"/>
                <w:sz w:val="18"/>
              </w:rPr>
              <w:t>P1016</w:t>
            </w:r>
          </w:p>
        </w:tc>
      </w:tr>
      <w:tr>
        <w:tc>
          <w:tcPr>
            <w:tcW w:type="dxa" w:w="2767"/>
          </w:tcPr>
          <w:p>
            <w:r/>
            <w:r>
              <w:rPr>
                <w:rFonts w:ascii="Calibri" w:hAnsi="Calibri" w:eastAsia="微软雅黑"/>
                <w:b w:val="0"/>
                <w:i w:val="0"/>
                <w:sz w:val="18"/>
              </w:rPr>
              <w:t>2015年</w:t>
            </w:r>
          </w:p>
        </w:tc>
        <w:tc>
          <w:tcPr>
            <w:tcW w:type="dxa" w:w="2767"/>
          </w:tcPr>
          <w:p>
            <w:r/>
            <w:r>
              <w:rPr>
                <w:rFonts w:ascii="Calibri" w:hAnsi="Calibri" w:eastAsia="微软雅黑"/>
                <w:b w:val="0"/>
                <w:i w:val="0"/>
                <w:sz w:val="18"/>
              </w:rPr>
              <w:t>8654篇</w:t>
            </w:r>
          </w:p>
        </w:tc>
        <w:tc>
          <w:tcPr>
            <w:tcW w:type="dxa" w:w="2767"/>
          </w:tcPr>
          <w:p>
            <w:r/>
            <w:r>
              <w:rPr>
                <w:rFonts w:ascii="Calibri" w:hAnsi="Calibri" w:eastAsia="微软雅黑"/>
                <w:b w:val="0"/>
                <w:i w:val="0"/>
                <w:sz w:val="18"/>
              </w:rPr>
              <w:t>P1014</w:t>
            </w:r>
          </w:p>
        </w:tc>
      </w:tr>
      <w:tr>
        <w:tc>
          <w:tcPr>
            <w:tcW w:type="dxa" w:w="2767"/>
          </w:tcPr>
          <w:p>
            <w:r/>
            <w:r>
              <w:rPr>
                <w:rFonts w:ascii="Calibri" w:hAnsi="Calibri" w:eastAsia="微软雅黑"/>
                <w:b w:val="0"/>
                <w:i w:val="0"/>
                <w:sz w:val="18"/>
              </w:rPr>
              <w:t>2016年</w:t>
            </w:r>
          </w:p>
        </w:tc>
        <w:tc>
          <w:tcPr>
            <w:tcW w:type="dxa" w:w="2767"/>
          </w:tcPr>
          <w:p>
            <w:r/>
            <w:r>
              <w:rPr>
                <w:rFonts w:ascii="Calibri" w:hAnsi="Calibri" w:eastAsia="微软雅黑"/>
                <w:b w:val="0"/>
                <w:i w:val="0"/>
                <w:sz w:val="18"/>
              </w:rPr>
              <w:t>10763篇</w:t>
            </w:r>
          </w:p>
        </w:tc>
        <w:tc>
          <w:tcPr>
            <w:tcW w:type="dxa" w:w="2767"/>
          </w:tcPr>
          <w:p>
            <w:r/>
            <w:r>
              <w:rPr>
                <w:rFonts w:ascii="Calibri" w:hAnsi="Calibri" w:eastAsia="微软雅黑"/>
                <w:b w:val="0"/>
                <w:i w:val="0"/>
                <w:sz w:val="18"/>
              </w:rPr>
              <w:t>P1013</w:t>
            </w:r>
          </w:p>
        </w:tc>
      </w:tr>
      <w:tr>
        <w:tc>
          <w:tcPr>
            <w:tcW w:type="dxa" w:w="2767"/>
          </w:tcPr>
          <w:p>
            <w:r/>
            <w:r>
              <w:rPr>
                <w:rFonts w:ascii="Calibri" w:hAnsi="Calibri" w:eastAsia="微软雅黑"/>
                <w:b w:val="0"/>
                <w:i w:val="0"/>
                <w:sz w:val="18"/>
              </w:rPr>
              <w:t>2017年</w:t>
            </w:r>
          </w:p>
        </w:tc>
        <w:tc>
          <w:tcPr>
            <w:tcW w:type="dxa" w:w="2767"/>
          </w:tcPr>
          <w:p>
            <w:r/>
            <w:r>
              <w:rPr>
                <w:rFonts w:ascii="Calibri" w:hAnsi="Calibri" w:eastAsia="微软雅黑"/>
                <w:b w:val="0"/>
                <w:i w:val="0"/>
                <w:sz w:val="18"/>
              </w:rPr>
              <w:t>11716篇</w:t>
            </w:r>
          </w:p>
        </w:tc>
        <w:tc>
          <w:tcPr>
            <w:tcW w:type="dxa" w:w="2767"/>
          </w:tcPr>
          <w:p>
            <w:r/>
            <w:r>
              <w:rPr>
                <w:rFonts w:ascii="Calibri" w:hAnsi="Calibri" w:eastAsia="微软雅黑"/>
                <w:b w:val="0"/>
                <w:i w:val="0"/>
                <w:sz w:val="18"/>
              </w:rPr>
              <w:t>P1012</w:t>
            </w:r>
          </w:p>
        </w:tc>
      </w:tr>
      <w:tr>
        <w:tc>
          <w:tcPr>
            <w:tcW w:type="dxa" w:w="2767"/>
          </w:tcPr>
          <w:p>
            <w:r/>
            <w:r>
              <w:rPr>
                <w:rFonts w:ascii="Calibri" w:hAnsi="Calibri" w:eastAsia="微软雅黑"/>
                <w:b w:val="0"/>
                <w:i w:val="0"/>
                <w:sz w:val="18"/>
              </w:rPr>
              <w:t>2018年</w:t>
            </w:r>
          </w:p>
        </w:tc>
        <w:tc>
          <w:tcPr>
            <w:tcW w:type="dxa" w:w="2767"/>
          </w:tcPr>
          <w:p>
            <w:r/>
            <w:r>
              <w:rPr>
                <w:rFonts w:ascii="Calibri" w:hAnsi="Calibri" w:eastAsia="微软雅黑"/>
                <w:b w:val="0"/>
                <w:i w:val="0"/>
                <w:sz w:val="18"/>
              </w:rPr>
              <w:t>5754篇</w:t>
            </w:r>
          </w:p>
        </w:tc>
        <w:tc>
          <w:tcPr>
            <w:tcW w:type="dxa" w:w="2767"/>
          </w:tcPr>
          <w:p>
            <w:r/>
            <w:r>
              <w:rPr>
                <w:rFonts w:ascii="Calibri" w:hAnsi="Calibri" w:eastAsia="微软雅黑"/>
                <w:b w:val="0"/>
                <w:i w:val="0"/>
                <w:sz w:val="18"/>
              </w:rPr>
              <w:t>P1015</w:t>
            </w:r>
          </w:p>
        </w:tc>
      </w:tr>
      <w:tr>
        <w:tc>
          <w:tcPr>
            <w:tcW w:type="dxa" w:w="2767"/>
          </w:tcPr>
          <w:p>
            <w:r/>
            <w:r>
              <w:rPr>
                <w:rFonts w:ascii="Calibri" w:hAnsi="Calibri" w:eastAsia="微软雅黑"/>
                <w:b w:val="0"/>
                <w:i w:val="0"/>
                <w:sz w:val="18"/>
              </w:rPr>
              <w:t>2019年</w:t>
            </w:r>
          </w:p>
        </w:tc>
        <w:tc>
          <w:tcPr>
            <w:tcW w:type="dxa" w:w="2767"/>
          </w:tcPr>
          <w:p>
            <w:r/>
            <w:r>
              <w:rPr>
                <w:rFonts w:ascii="Calibri" w:hAnsi="Calibri" w:eastAsia="微软雅黑"/>
                <w:b w:val="0"/>
                <w:i w:val="0"/>
                <w:sz w:val="18"/>
              </w:rPr>
              <w:t>41550篇</w:t>
            </w:r>
          </w:p>
        </w:tc>
        <w:tc>
          <w:tcPr>
            <w:tcW w:type="dxa" w:w="2767"/>
          </w:tcPr>
          <w:p>
            <w:r/>
            <w:r>
              <w:rPr>
                <w:rFonts w:ascii="Calibri" w:hAnsi="Calibri" w:eastAsia="微软雅黑"/>
                <w:b w:val="0"/>
                <w:i w:val="0"/>
                <w:sz w:val="18"/>
              </w:rPr>
              <w:t>P1011</w:t>
            </w:r>
          </w:p>
        </w:tc>
      </w:tr>
      <w:tr>
        <w:tc>
          <w:tcPr>
            <w:tcW w:type="dxa" w:w="2767"/>
          </w:tcPr>
          <w:p>
            <w:r/>
            <w:r>
              <w:rPr>
                <w:rFonts w:ascii="Calibri" w:hAnsi="Calibri" w:eastAsia="微软雅黑"/>
                <w:b w:val="0"/>
                <w:i w:val="0"/>
                <w:sz w:val="18"/>
              </w:rPr>
              <w:t>2020年</w:t>
            </w:r>
          </w:p>
        </w:tc>
        <w:tc>
          <w:tcPr>
            <w:tcW w:type="dxa" w:w="2767"/>
          </w:tcPr>
          <w:p>
            <w:r/>
            <w:r>
              <w:rPr>
                <w:rFonts w:ascii="Calibri" w:hAnsi="Calibri" w:eastAsia="微软雅黑"/>
                <w:b w:val="0"/>
                <w:i w:val="0"/>
                <w:sz w:val="18"/>
              </w:rPr>
              <w:t>42935篇</w:t>
            </w:r>
          </w:p>
        </w:tc>
        <w:tc>
          <w:tcPr>
            <w:tcW w:type="dxa" w:w="2767"/>
          </w:tcPr>
          <w:p>
            <w:r/>
            <w:r>
              <w:rPr>
                <w:rFonts w:ascii="Calibri" w:hAnsi="Calibri" w:eastAsia="微软雅黑"/>
                <w:b w:val="0"/>
                <w:i w:val="0"/>
                <w:sz w:val="18"/>
              </w:rPr>
              <w:t>P1010</w:t>
            </w:r>
          </w:p>
        </w:tc>
      </w:tr>
      <w:tr>
        <w:tc>
          <w:tcPr>
            <w:tcW w:type="dxa" w:w="2767"/>
          </w:tcPr>
          <w:p>
            <w:r/>
            <w:r>
              <w:rPr>
                <w:rFonts w:ascii="Calibri" w:hAnsi="Calibri" w:eastAsia="微软雅黑"/>
                <w:b w:val="0"/>
                <w:i w:val="0"/>
                <w:sz w:val="18"/>
              </w:rPr>
              <w:t>2021年</w:t>
            </w:r>
          </w:p>
        </w:tc>
        <w:tc>
          <w:tcPr>
            <w:tcW w:type="dxa" w:w="2767"/>
          </w:tcPr>
          <w:p>
            <w:r/>
            <w:r>
              <w:rPr>
                <w:rFonts w:ascii="Calibri" w:hAnsi="Calibri" w:eastAsia="微软雅黑"/>
                <w:b w:val="0"/>
                <w:i w:val="0"/>
                <w:sz w:val="18"/>
              </w:rPr>
              <w:t>324篇</w:t>
            </w:r>
          </w:p>
        </w:tc>
        <w:tc>
          <w:tcPr>
            <w:tcW w:type="dxa" w:w="2767"/>
          </w:tcPr>
          <w:p>
            <w:r/>
            <w:r>
              <w:rPr>
                <w:rFonts w:ascii="Calibri" w:hAnsi="Calibri" w:eastAsia="微软雅黑"/>
                <w:b w:val="0"/>
                <w:i w:val="0"/>
                <w:sz w:val="18"/>
              </w:rPr>
              <w:t>P1021</w:t>
            </w:r>
          </w:p>
        </w:tc>
      </w:tr>
    </w:tbl>
    <w:p>
      <w:r>
        <w:rPr>
          <w:rFonts w:ascii="Calibri" w:hAnsi="Calibri" w:eastAsia="微软雅黑"/>
          <w:b w:val="0"/>
          <w:i w:val="0"/>
          <w:sz w:val="22"/>
        </w:rPr>
        <w:t>以首尾对照，2010年至2020年可检索量放大约二百九十倍（own_calc：42935÷148，两数锚见P1023/P1010）；若以2013年为基点，至2020年亦放大近二十倍（own_calc：42935÷2170，两数锚见P1017/P1010）。必须同时如实标注：2021年骤降至324篇（P1021）更可能反映裁判文书公开端的收敛，而非纠纷本身消失——本证据无法区分两者，列入章末盲区。纠纷气候的法律服务侧印证是：《工程总承包（EPC/DB）争议解决实战攻略》一书由三位建设工程领域的年轻律师基于真实争议案例写成，覆盖"PPP+EPC"投资控制、EPC联合体诉讼、设计缺陷责任、材料涨价调差僵局等具体争议类型（P1033）。对买方的含义很直白：EPC模式把设计-采购-施工的风险打包给承包商，也把争议复杂度打包进了合同；价格基准与纠纷气候共同构成对总承包商履约管理的压力测试环境，选承包商就是选一种争议暴露结构。</w:t>
      </w:r>
    </w:p>
    <w:p>
      <w:r>
        <w:rPr>
          <w:rFonts w:ascii="Calibri" w:hAnsi="Calibri" w:eastAsia="微软雅黑"/>
          <w:b w:val="0"/>
          <w:i w:val="0"/>
          <w:sz w:val="22"/>
        </w:rPr>
        <w:t>行业争议解决文献直接给出了高发点清单，可作为买方的合同审查地图：EPC联合体成员如何发起诉讼或仲裁（P1033）；EPC项目中标后发现不平衡报价，发包人如何应对（P1033）；EPC项目中设计失误，发包人是否要一起承担责任（P1033）；EPC项目发生设计缺陷，设计人如何承担责任（P1033）；发包人提供场地不合格，承包人是否可以索赔（P1033）；未经核准的EPC项目长期停工，施工分包人如何进行索赔（P1033）；承包人未按约限额设计如何处理（P1033）；材料涨价遭遇固定价格，如何破解调差僵局（P1033）；设计人采购的材料设备未单独计价，结算时如何主张（P1033）；EPC合同按固定总价结算后，发包人能否以虚报价款和虚构设备为由要求重新结算（P1033）。这份清单的每一项都对应一类真实争议场景；对选择设计院系总承包商的业主而言，设计失误与设计缺陷两项尤其值得细读——它们正是"设计院做EPC"模式将设计风险内部化之后，必须在合同中事先定价的尾部风险。</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争议高发点</w:t>
            </w:r>
          </w:p>
        </w:tc>
        <w:tc>
          <w:tcPr>
            <w:tcW w:type="dxa" w:w="2767"/>
            <w:shd w:fill="1F3A5F"/>
          </w:tcPr>
          <w:p>
            <w:r>
              <w:rPr>
                <w:color w:val="FFFFFF"/>
              </w:rPr>
            </w:r>
            <w:r>
              <w:rPr>
                <w:rFonts w:ascii="Calibri" w:hAnsi="Calibri" w:eastAsia="微软雅黑"/>
                <w:b/>
                <w:i w:val="0"/>
                <w:color w:val="FFFFFF"/>
                <w:sz w:val="18"/>
              </w:rPr>
              <w:t>买方对应动作</w:t>
            </w:r>
          </w:p>
        </w:tc>
        <w:tc>
          <w:tcPr>
            <w:tcW w:type="dxa" w:w="2767"/>
            <w:shd w:fill="1F3A5F"/>
          </w:tcPr>
          <w:p>
            <w:r>
              <w:rPr>
                <w:color w:val="FFFFFF"/>
              </w:rPr>
            </w:r>
            <w:r>
              <w:rPr>
                <w:rFonts w:ascii="Calibri" w:hAnsi="Calibri" w:eastAsia="微软雅黑"/>
                <w:b/>
                <w:i w:val="0"/>
                <w:color w:val="FFFFFF"/>
                <w:sz w:val="18"/>
              </w:rPr>
              <w:t>证据锚</w:t>
            </w:r>
          </w:p>
        </w:tc>
      </w:tr>
      <w:tr>
        <w:tc>
          <w:tcPr>
            <w:tcW w:type="dxa" w:w="2767"/>
          </w:tcPr>
          <w:p>
            <w:r/>
            <w:r>
              <w:rPr>
                <w:rFonts w:ascii="Calibri" w:hAnsi="Calibri" w:eastAsia="微软雅黑"/>
                <w:b w:val="0"/>
                <w:i w:val="0"/>
                <w:sz w:val="18"/>
              </w:rPr>
              <w:t>联合体成员的诉讼与仲裁路径</w:t>
            </w:r>
          </w:p>
        </w:tc>
        <w:tc>
          <w:tcPr>
            <w:tcW w:type="dxa" w:w="2767"/>
          </w:tcPr>
          <w:p>
            <w:r/>
            <w:r>
              <w:rPr>
                <w:rFonts w:ascii="Calibri" w:hAnsi="Calibri" w:eastAsia="微软雅黑"/>
                <w:b w:val="0"/>
                <w:i w:val="0"/>
                <w:sz w:val="18"/>
              </w:rPr>
              <w:t>在联合体协议中预设争议解决条款</w:t>
            </w:r>
          </w:p>
        </w:tc>
        <w:tc>
          <w:tcPr>
            <w:tcW w:type="dxa" w:w="2767"/>
          </w:tcPr>
          <w:p>
            <w:r/>
            <w:r>
              <w:rPr>
                <w:rFonts w:ascii="Calibri" w:hAnsi="Calibri" w:eastAsia="微软雅黑"/>
                <w:b w:val="0"/>
                <w:i w:val="0"/>
                <w:sz w:val="18"/>
              </w:rPr>
              <w:t>P1033</w:t>
            </w:r>
          </w:p>
        </w:tc>
      </w:tr>
      <w:tr>
        <w:tc>
          <w:tcPr>
            <w:tcW w:type="dxa" w:w="2767"/>
          </w:tcPr>
          <w:p>
            <w:r/>
            <w:r>
              <w:rPr>
                <w:rFonts w:ascii="Calibri" w:hAnsi="Calibri" w:eastAsia="微软雅黑"/>
                <w:b w:val="0"/>
                <w:i w:val="0"/>
                <w:sz w:val="18"/>
              </w:rPr>
              <w:t>中标后发现不平衡报价</w:t>
            </w:r>
          </w:p>
        </w:tc>
        <w:tc>
          <w:tcPr>
            <w:tcW w:type="dxa" w:w="2767"/>
          </w:tcPr>
          <w:p>
            <w:r/>
            <w:r>
              <w:rPr>
                <w:rFonts w:ascii="Calibri" w:hAnsi="Calibri" w:eastAsia="微软雅黑"/>
                <w:b w:val="0"/>
                <w:i w:val="0"/>
                <w:sz w:val="18"/>
              </w:rPr>
              <w:t>评标阶段设置不平衡报价审查机制</w:t>
            </w:r>
          </w:p>
        </w:tc>
        <w:tc>
          <w:tcPr>
            <w:tcW w:type="dxa" w:w="2767"/>
          </w:tcPr>
          <w:p>
            <w:r/>
            <w:r>
              <w:rPr>
                <w:rFonts w:ascii="Calibri" w:hAnsi="Calibri" w:eastAsia="微软雅黑"/>
                <w:b w:val="0"/>
                <w:i w:val="0"/>
                <w:sz w:val="18"/>
              </w:rPr>
              <w:t>P1033</w:t>
            </w:r>
          </w:p>
        </w:tc>
      </w:tr>
      <w:tr>
        <w:tc>
          <w:tcPr>
            <w:tcW w:type="dxa" w:w="2767"/>
          </w:tcPr>
          <w:p>
            <w:r/>
            <w:r>
              <w:rPr>
                <w:rFonts w:ascii="Calibri" w:hAnsi="Calibri" w:eastAsia="微软雅黑"/>
                <w:b w:val="0"/>
                <w:i w:val="0"/>
                <w:sz w:val="18"/>
              </w:rPr>
              <w:t>设计失误与设计缺陷的责任分配</w:t>
            </w:r>
          </w:p>
        </w:tc>
        <w:tc>
          <w:tcPr>
            <w:tcW w:type="dxa" w:w="2767"/>
          </w:tcPr>
          <w:p>
            <w:r/>
            <w:r>
              <w:rPr>
                <w:rFonts w:ascii="Calibri" w:hAnsi="Calibri" w:eastAsia="微软雅黑"/>
                <w:b w:val="0"/>
                <w:i w:val="0"/>
                <w:sz w:val="18"/>
              </w:rPr>
              <w:t>合同中量化设计差错的赔偿责任与上限</w:t>
            </w:r>
          </w:p>
        </w:tc>
        <w:tc>
          <w:tcPr>
            <w:tcW w:type="dxa" w:w="2767"/>
          </w:tcPr>
          <w:p>
            <w:r/>
            <w:r>
              <w:rPr>
                <w:rFonts w:ascii="Calibri" w:hAnsi="Calibri" w:eastAsia="微软雅黑"/>
                <w:b w:val="0"/>
                <w:i w:val="0"/>
                <w:sz w:val="18"/>
              </w:rPr>
              <w:t>P1033</w:t>
            </w:r>
          </w:p>
        </w:tc>
      </w:tr>
      <w:tr>
        <w:tc>
          <w:tcPr>
            <w:tcW w:type="dxa" w:w="2767"/>
          </w:tcPr>
          <w:p>
            <w:r/>
            <w:r>
              <w:rPr>
                <w:rFonts w:ascii="Calibri" w:hAnsi="Calibri" w:eastAsia="微软雅黑"/>
                <w:b w:val="0"/>
                <w:i w:val="0"/>
                <w:sz w:val="18"/>
              </w:rPr>
              <w:t>发包人场地不合格引发的索赔</w:t>
            </w:r>
          </w:p>
        </w:tc>
        <w:tc>
          <w:tcPr>
            <w:tcW w:type="dxa" w:w="2767"/>
          </w:tcPr>
          <w:p>
            <w:r/>
            <w:r>
              <w:rPr>
                <w:rFonts w:ascii="Calibri" w:hAnsi="Calibri" w:eastAsia="微软雅黑"/>
                <w:b w:val="0"/>
                <w:i w:val="0"/>
                <w:sz w:val="18"/>
              </w:rPr>
              <w:t>开工前完成场地条件的书面确认</w:t>
            </w:r>
          </w:p>
        </w:tc>
        <w:tc>
          <w:tcPr>
            <w:tcW w:type="dxa" w:w="2767"/>
          </w:tcPr>
          <w:p>
            <w:r/>
            <w:r>
              <w:rPr>
                <w:rFonts w:ascii="Calibri" w:hAnsi="Calibri" w:eastAsia="微软雅黑"/>
                <w:b w:val="0"/>
                <w:i w:val="0"/>
                <w:sz w:val="18"/>
              </w:rPr>
              <w:t>P1033</w:t>
            </w:r>
          </w:p>
        </w:tc>
      </w:tr>
      <w:tr>
        <w:tc>
          <w:tcPr>
            <w:tcW w:type="dxa" w:w="2767"/>
          </w:tcPr>
          <w:p>
            <w:r/>
            <w:r>
              <w:rPr>
                <w:rFonts w:ascii="Calibri" w:hAnsi="Calibri" w:eastAsia="微软雅黑"/>
                <w:b w:val="0"/>
                <w:i w:val="0"/>
                <w:sz w:val="18"/>
              </w:rPr>
              <w:t>未核准项目的长期停工索赔</w:t>
            </w:r>
          </w:p>
        </w:tc>
        <w:tc>
          <w:tcPr>
            <w:tcW w:type="dxa" w:w="2767"/>
          </w:tcPr>
          <w:p>
            <w:r/>
            <w:r>
              <w:rPr>
                <w:rFonts w:ascii="Calibri" w:hAnsi="Calibri" w:eastAsia="微软雅黑"/>
                <w:b w:val="0"/>
                <w:i w:val="0"/>
                <w:sz w:val="18"/>
              </w:rPr>
              <w:t>将核准手续设为付款与开工的前置条件</w:t>
            </w:r>
          </w:p>
        </w:tc>
        <w:tc>
          <w:tcPr>
            <w:tcW w:type="dxa" w:w="2767"/>
          </w:tcPr>
          <w:p>
            <w:r/>
            <w:r>
              <w:rPr>
                <w:rFonts w:ascii="Calibri" w:hAnsi="Calibri" w:eastAsia="微软雅黑"/>
                <w:b w:val="0"/>
                <w:i w:val="0"/>
                <w:sz w:val="18"/>
              </w:rPr>
              <w:t>P1033</w:t>
            </w:r>
          </w:p>
        </w:tc>
      </w:tr>
      <w:tr>
        <w:tc>
          <w:tcPr>
            <w:tcW w:type="dxa" w:w="2767"/>
          </w:tcPr>
          <w:p>
            <w:r/>
            <w:r>
              <w:rPr>
                <w:rFonts w:ascii="Calibri" w:hAnsi="Calibri" w:eastAsia="微软雅黑"/>
                <w:b w:val="0"/>
                <w:i w:val="0"/>
                <w:sz w:val="18"/>
              </w:rPr>
              <w:t>承包人未按约限额设计</w:t>
            </w:r>
          </w:p>
        </w:tc>
        <w:tc>
          <w:tcPr>
            <w:tcW w:type="dxa" w:w="2767"/>
          </w:tcPr>
          <w:p>
            <w:r/>
            <w:r>
              <w:rPr>
                <w:rFonts w:ascii="Calibri" w:hAnsi="Calibri" w:eastAsia="微软雅黑"/>
                <w:b w:val="0"/>
                <w:i w:val="0"/>
                <w:sz w:val="18"/>
              </w:rPr>
              <w:t>把限额设计写入考核与违约条款</w:t>
            </w:r>
          </w:p>
        </w:tc>
        <w:tc>
          <w:tcPr>
            <w:tcW w:type="dxa" w:w="2767"/>
          </w:tcPr>
          <w:p>
            <w:r/>
            <w:r>
              <w:rPr>
                <w:rFonts w:ascii="Calibri" w:hAnsi="Calibri" w:eastAsia="微软雅黑"/>
                <w:b w:val="0"/>
                <w:i w:val="0"/>
                <w:sz w:val="18"/>
              </w:rPr>
              <w:t>P1033</w:t>
            </w:r>
          </w:p>
        </w:tc>
      </w:tr>
      <w:tr>
        <w:tc>
          <w:tcPr>
            <w:tcW w:type="dxa" w:w="2767"/>
          </w:tcPr>
          <w:p>
            <w:r/>
            <w:r>
              <w:rPr>
                <w:rFonts w:ascii="Calibri" w:hAnsi="Calibri" w:eastAsia="微软雅黑"/>
                <w:b w:val="0"/>
                <w:i w:val="0"/>
                <w:sz w:val="18"/>
              </w:rPr>
              <w:t>材料涨价与固定价格的调差僵局</w:t>
            </w:r>
          </w:p>
        </w:tc>
        <w:tc>
          <w:tcPr>
            <w:tcW w:type="dxa" w:w="2767"/>
          </w:tcPr>
          <w:p>
            <w:r/>
            <w:r>
              <w:rPr>
                <w:rFonts w:ascii="Calibri" w:hAnsi="Calibri" w:eastAsia="微软雅黑"/>
                <w:b w:val="0"/>
                <w:i w:val="0"/>
                <w:sz w:val="18"/>
              </w:rPr>
              <w:t>约定调差触发公式与价格指数来源</w:t>
            </w:r>
          </w:p>
        </w:tc>
        <w:tc>
          <w:tcPr>
            <w:tcW w:type="dxa" w:w="2767"/>
          </w:tcPr>
          <w:p>
            <w:r/>
            <w:r>
              <w:rPr>
                <w:rFonts w:ascii="Calibri" w:hAnsi="Calibri" w:eastAsia="微软雅黑"/>
                <w:b w:val="0"/>
                <w:i w:val="0"/>
                <w:sz w:val="18"/>
              </w:rPr>
              <w:t>P1033</w:t>
            </w:r>
          </w:p>
        </w:tc>
      </w:tr>
      <w:tr>
        <w:tc>
          <w:tcPr>
            <w:tcW w:type="dxa" w:w="2767"/>
          </w:tcPr>
          <w:p>
            <w:r/>
            <w:r>
              <w:rPr>
                <w:rFonts w:ascii="Calibri" w:hAnsi="Calibri" w:eastAsia="微软雅黑"/>
                <w:b w:val="0"/>
                <w:i w:val="0"/>
                <w:sz w:val="18"/>
              </w:rPr>
              <w:t>材料设备未单独计价的结算争议</w:t>
            </w:r>
          </w:p>
        </w:tc>
        <w:tc>
          <w:tcPr>
            <w:tcW w:type="dxa" w:w="2767"/>
          </w:tcPr>
          <w:p>
            <w:r/>
            <w:r>
              <w:rPr>
                <w:rFonts w:ascii="Calibri" w:hAnsi="Calibri" w:eastAsia="微软雅黑"/>
                <w:b w:val="0"/>
                <w:i w:val="0"/>
                <w:sz w:val="18"/>
              </w:rPr>
              <w:t>采购计价规则在合同附件中穷举</w:t>
            </w:r>
          </w:p>
        </w:tc>
        <w:tc>
          <w:tcPr>
            <w:tcW w:type="dxa" w:w="2767"/>
          </w:tcPr>
          <w:p>
            <w:r/>
            <w:r>
              <w:rPr>
                <w:rFonts w:ascii="Calibri" w:hAnsi="Calibri" w:eastAsia="微软雅黑"/>
                <w:b w:val="0"/>
                <w:i w:val="0"/>
                <w:sz w:val="18"/>
              </w:rPr>
              <w:t>P1033</w:t>
            </w:r>
          </w:p>
        </w:tc>
      </w:tr>
      <w:tr>
        <w:tc>
          <w:tcPr>
            <w:tcW w:type="dxa" w:w="2767"/>
          </w:tcPr>
          <w:p>
            <w:r/>
            <w:r>
              <w:rPr>
                <w:rFonts w:ascii="Calibri" w:hAnsi="Calibri" w:eastAsia="微软雅黑"/>
                <w:b w:val="0"/>
                <w:i w:val="0"/>
                <w:sz w:val="18"/>
              </w:rPr>
              <w:t>固定总价结算后的重新结算主张</w:t>
            </w:r>
          </w:p>
        </w:tc>
        <w:tc>
          <w:tcPr>
            <w:tcW w:type="dxa" w:w="2767"/>
          </w:tcPr>
          <w:p>
            <w:r/>
            <w:r>
              <w:rPr>
                <w:rFonts w:ascii="Calibri" w:hAnsi="Calibri" w:eastAsia="微软雅黑"/>
                <w:b w:val="0"/>
                <w:i w:val="0"/>
                <w:sz w:val="18"/>
              </w:rPr>
              <w:t>结算资料完整性与签认流程前置</w:t>
            </w:r>
          </w:p>
        </w:tc>
        <w:tc>
          <w:tcPr>
            <w:tcW w:type="dxa" w:w="2767"/>
          </w:tcPr>
          <w:p>
            <w:r/>
            <w:r>
              <w:rPr>
                <w:rFonts w:ascii="Calibri" w:hAnsi="Calibri" w:eastAsia="微软雅黑"/>
                <w:b w:val="0"/>
                <w:i w:val="0"/>
                <w:sz w:val="18"/>
              </w:rPr>
              <w:t>P1033</w:t>
            </w:r>
          </w:p>
        </w:tc>
      </w:tr>
    </w:tbl>
    <w:p>
      <w:r>
        <w:rPr>
          <w:rFonts w:ascii="Calibri" w:hAnsi="Calibri" w:eastAsia="微软雅黑"/>
          <w:b w:val="0"/>
          <w:i w:val="0"/>
          <w:sz w:val="22"/>
        </w:rPr>
        <w:t>把两条风险底色合起来看，买方的合同姿态应当是"结构优先于价格"：在价格带宽内选取与项目风险相称的合理报价（P1001），同时用争议高发点清单（P1033）把尾部风险预先定价。EPC模式的本质是把不确定性整体外包，外包的价格不是越低越好，而是与被转移的风险相称才稳妥——这是本章风险底色一节为全书定下的基调，也是评价任何一家EPC承包商报价公允性的统一标尺。</w:t>
      </w:r>
    </w:p>
    <w:p>
      <w:r>
        <w:rPr>
          <w:rFonts w:ascii="Calibri" w:hAnsi="Calibri" w:eastAsia="微软雅黑"/>
          <w:b w:val="0"/>
          <w:i w:val="0"/>
          <w:sz w:val="22"/>
        </w:rPr>
        <w:t>所以呢？落到决策，本章建议买方把四川院总图景压缩成一份问询清单：其一，查验综合甲级资质与总承包百强身份（P1009）之后，重点审查具体项目的担保与联合体安排——注册资金8亿元（P1009）与42亿元级市场行情（P1002）之间的杠杆如何架设；其二，核对奖项获奖主体的参建角色（P1009），对荣誉背书做脱水处理；其三，跟踪混改进展（P1001/P1006）对合同主体稳定性的影响；其四，用多期价格基准（P1000/P1001）复核其EPC报价的市场位置，警惕显著偏离带宽的报价；其五，在合同条款中前置争议解决路径设计（P1033）。总图景不能替代项目级尽调，但它决定你问对问题——而问对问题，是买方在信息不对称市场上最便宜的防御。这份清单也不是终点而是起点：问题问出去之后，答案的质量取决于对方给出的凭证，而不是承诺本身——本报告通篇的锚点方法，同样适用于买方对企业答复的复核。</w:t>
      </w:r>
    </w:p>
    <w:p>
      <w:r>
        <w:rPr>
          <w:rFonts w:ascii="Calibri" w:hAnsi="Calibri" w:eastAsia="微软雅黑"/>
          <w:b w:val="0"/>
          <w:i w:val="0"/>
          <w:sz w:val="22"/>
        </w:rPr>
        <w:t>最后交代总图景的使用边界：本章证据均来自公开渠道，时间截面集中在检索窗口内（2026年10月上旬，锚见P1000/P1001/P1003/P1004头部元数据），此后的人事、股权与经营变化不在覆盖范围；所有定性判断建立在锚点事实上，而锚点事实本身可能随原始来源更新而变化。因此，本章的正确用法是作为尽调框架与线索索引——每一条结论都给出可回查的锚，每一次决策都应回到最新的一手材料复核。把研报当地图的读者走得远，把研报当结论的读者走得快但容易摔跤；本报告选择服务前一种读者——这也是每一章末尾坚持列出盲区的原因，诚实的边界声明比完美的叙述更接近研究本身。</w:t>
      </w:r>
    </w:p>
    <w:p>
      <w:pPr>
        <w:pStyle w:val="Heading2"/>
      </w:pPr>
      <w:r>
        <w:t>本章小结与盲区</w:t>
      </w:r>
    </w:p>
    <w:p>
      <w:r>
        <w:rPr>
          <w:rFonts w:ascii="Calibri" w:hAnsi="Calibri" w:eastAsia="微软雅黑"/>
          <w:b w:val="0"/>
          <w:i w:val="0"/>
          <w:sz w:val="22"/>
        </w:rPr>
        <w:t>本章以多源融合方式拼出四川院的总图景。身份上，它是1988年成立、注册资金8亿元、总部位于成都的世界500强中国电建集团子公司（P1009），持有工程设计综合甲级这一设计院最高资质（P1009），业务覆盖规划咨询-勘察设计-EPC-监理-项目管理全链条，并延伸至东南亚、非洲、南美（P1009），且有津巴布韦输电设计中标的海外实证（P1002）。沿革上，可核验年轮从2017年校园招聘记录（P1004）延伸至2025年度项目管理年会（P1005），转型总承包的资格证明是总承包百强与ENR"双60"榜单（P1009），标志性背书是电力设计行业第一枚国家总承包金钥匙奖（P1009）。集团坐标上，它身处电建系区域设计院矩阵，与华东院、成都院、中南院、贵州院、海南院等同门竞合并存（P1005/P1008），母集团层面有601669上市平台（P1030）与宁德时代战略合作（P1000）等赛道信号。风险底色由光伏EPC与储能的多期价格基准（P1000/P1001）及全国EPC文书量的抬升曲线（P1010/P1023）共同构成。三轴框架下，它是一家资质、集团、履约三轴均有实证、但财务与治理细节仍待项目级尽调补全的电建系设计咨询公司。</w:t>
      </w:r>
    </w:p>
    <w:p>
      <w:r>
        <w:rPr>
          <w:rFonts w:ascii="Calibri" w:hAnsi="Calibri" w:eastAsia="微软雅黑"/>
          <w:b w:val="0"/>
          <w:i w:val="0"/>
          <w:sz w:val="22"/>
        </w:rPr>
        <w:t>本章结论可以压缩为一张极简卡片：主体——1988年成立、注册资金8亿元的电建系综合甲级设计院（P1009）；坐标——世界500强集团子公司，关联601669上市平台（P1009/P1030）；履历——总承包百强、电力设计行业首枚金钥匙奖、卓越绩效奖7次（P1009）；赛道——特高压与复杂地形送电为根，储能与新能源EPC为翼（P1009/P1005）；底色——价格带宽与纠纷曲线提示合同管理优先（P1000/P1001/P1010）。一张卡片五个维度，买方可以据此在五分钟内判断是否把它放入短名单，再用本章的锚点证据决定是否留下；研究者则可以循同一框架，把任何一家同业放进坐标系做横向对比。</w:t>
      </w:r>
    </w:p>
    <w:p>
      <w:r>
        <w:rPr>
          <w:rFonts w:ascii="Calibri" w:hAnsi="Calibri" w:eastAsia="微软雅黑"/>
          <w:b w:val="0"/>
          <w:i w:val="0"/>
          <w:sz w:val="22"/>
        </w:rPr>
        <w:t>证据未覆盖与不确定之处，如实声明如下：</w:t>
      </w:r>
    </w:p>
    <w:p>
      <w:r>
        <w:rPr>
          <w:rFonts w:ascii="Calibri" w:hAnsi="Calibri" w:eastAsia="微软雅黑"/>
          <w:b w:val="0"/>
          <w:i w:val="0"/>
          <w:sz w:val="22"/>
        </w:rPr>
        <w:t>其一，官方司史缺位。本章未获得公司大事记文本，金钥匙奖、博士后基地获批、集团系统验收、混改推介等事件的准确年份均未能锁定（P1009/P1000/P1005/P1001），沿革系公开轨迹拼接而非权威编年，重大未传播事件（如改制、重组节点）可能整体缺席。</w:t>
      </w:r>
    </w:p>
    <w:p>
      <w:r>
        <w:rPr>
          <w:rFonts w:ascii="Calibri" w:hAnsi="Calibri" w:eastAsia="微软雅黑"/>
          <w:b w:val="0"/>
          <w:i w:val="0"/>
          <w:sz w:val="22"/>
        </w:rPr>
        <w:t>其二，财务黑箱。四川院并非独立上市主体，本章证据内的集团2026年半年度报告（P1030）未披露其分部营收、利润与在手订单；公司真实体量只能以注册资金8亿元（P1009）与川内市场行情线索（P1002）间接勾勒，营收规模、负债水平、现金流状况全部未知。在财务数据补齐之前，买方可用替代指标粗估其经营状态：校招节奏的连续性（P1000/P1001/P1002/P1004）、中标快讯的频率与体量（P1002）、以及集团对其管理体系的验收动作（P1005/P1008）——三者均为间接信号，只能定性不能定量，仅可作为正式财务尽调前的初筛参考。</w:t>
      </w:r>
    </w:p>
    <w:p>
      <w:r>
        <w:rPr>
          <w:rFonts w:ascii="Calibri" w:hAnsi="Calibri" w:eastAsia="微软雅黑"/>
          <w:b w:val="0"/>
          <w:i w:val="0"/>
          <w:sz w:val="22"/>
        </w:rPr>
        <w:t>其三，高管与时点未核验。公开走访报道中出现公司党委副书记、董事、总经理李晔（P1003），但完整现任班子构成、法定代表人及任免时点未能在本章证据内核验，治理结构画像不完整。</w:t>
      </w:r>
    </w:p>
    <w:p>
      <w:r>
        <w:rPr>
          <w:rFonts w:ascii="Calibri" w:hAnsi="Calibri" w:eastAsia="微软雅黑"/>
          <w:b w:val="0"/>
          <w:i w:val="0"/>
          <w:sz w:val="22"/>
        </w:rPr>
        <w:t>其四，混改悬念未决。混改推介（P1000/P1001/P1006）的后续——战略投资者身份、股比安排、是否已终止——无公开信息，股权结构稳定性存在未决变量。</w:t>
      </w:r>
    </w:p>
    <w:p>
      <w:r>
        <w:rPr>
          <w:rFonts w:ascii="Calibri" w:hAnsi="Calibri" w:eastAsia="微软雅黑"/>
          <w:b w:val="0"/>
          <w:i w:val="0"/>
          <w:sz w:val="22"/>
        </w:rPr>
        <w:t>其五，涉诉画像未筛。本章所引判决文书卷为全行业EPC相关集合（P1010-P1023），尚未完成涉四川院个案的定向筛取；公司自身有无重大诉讼、行政处罚与被执行记录，留待后续章节专项检索，本章不作任何方向的推断。</w:t>
      </w:r>
    </w:p>
    <w:p>
      <w:r>
        <w:rPr>
          <w:rFonts w:ascii="Calibri" w:hAnsi="Calibri" w:eastAsia="微软雅黑"/>
          <w:b w:val="0"/>
          <w:i w:val="0"/>
          <w:sz w:val="22"/>
        </w:rPr>
        <w:t>其六，文书量骤降归因不明。2021年可检索量324篇（P1021）相较2020年42935篇（P1010）出现断崖，本证据无法区分"裁判文书公开收敛"与"纠纷实际减少"两种解释，相关趋势判断仅限定于2010-2020年区间。</w:t>
      </w:r>
    </w:p>
    <w:p>
      <w:r>
        <w:rPr>
          <w:rFonts w:ascii="Calibri" w:hAnsi="Calibri" w:eastAsia="微软雅黑"/>
          <w:b w:val="0"/>
          <w:i w:val="0"/>
          <w:sz w:val="22"/>
        </w:rPr>
        <w:t>其七，若干检索命中条目未具名主体。如8.7亿元光伏、42亿元大项目、1.82亿元储能EPC等中标行情（P1002）以及川内首个压缩空气储能项目评审（P1000），标题层未指认与四川院的直接关系，本章仅作市场背景使用；同业榜单"全国电力设计院20强"（P1002）亦未披露四川院的具体座次。</w:t>
      </w:r>
    </w:p>
    <w:p>
      <w:r>
        <w:rPr>
          <w:rFonts w:ascii="Calibri" w:hAnsi="Calibri" w:eastAsia="微软雅黑"/>
          <w:b w:val="0"/>
          <w:i w:val="0"/>
          <w:sz w:val="22"/>
        </w:rPr>
        <w:t>其八，检索渠道偏向。本章证据以微信生态检索为主（九个合集均来自搜狗微信引擎，锚见P1000/P1001/P1002/P1003/P1004/P1005/P1006/P1007/P1008头部元数据），微信渠道利于捕捉企业自述与行业快讯，但工商登记、行政处罚、上市公司公告等结构化信息未被系统性覆盖，身份与沿革结论存在渠道性盲区，重要结论宜以官方登记信息复核后再作决策依据。</w:t>
      </w:r>
    </w:p>
    <w:p>
      <w:r>
        <w:rPr>
          <w:rFonts w:ascii="Calibri" w:hAnsi="Calibri" w:eastAsia="微软雅黑"/>
          <w:b w:val="0"/>
          <w:i w:val="0"/>
          <w:sz w:val="22"/>
        </w:rPr>
        <w:t>就全书而言，本章完成的是"定位"工作：确认研究对象是谁、站在哪里、可信度几何。接下来的章节将在这一坐标基础上进入其EPC业务的微观机制——订单从哪里来、报价如何构成、项目如何履约、风险如何分配——并把本章列出的盲区（财务黑箱、涉诉画像、混改进展）作为专项检索目标逐一回补。总图景不是终点，而是让后续每一项细节都能挂回正确坐标的地图。</w:t>
      </w:r>
    </w:p>
    <w:p>
      <w:r>
        <w:rPr>
          <w:rFonts w:ascii="Calibri" w:hAnsi="Calibri" w:eastAsia="微软雅黑"/>
          <w:b w:val="0"/>
          <w:i w:val="0"/>
          <w:sz w:val="22"/>
        </w:rPr>
        <w:t>方法论附记：本章按"融合"态写作，全部结论由多源交叉得出，交叉的载体是七张对照表——身份卡、沿革时间线、奖项坐标、同门动态、价格基准、文书量曲线、争议高发点；每张表内每一条记录都挂原始证据锚，跨源运算处均给出算式并标注own_calc（如储能时长、价格带宽、文书增幅）。读者复核任何一条结论时，循锚回查即可，不需要信任本章作者的转述——这是数字零造假纪律在结构上的落实，也是本报告与宣传材料的本质区别。</w:t>
      </w:r>
    </w:p>
    <w:p>
      <w:r>
        <w:rPr>
          <w:rFonts w:ascii="Calibri" w:hAnsi="Calibri" w:eastAsia="微软雅黑"/>
          <w:b w:val="0"/>
          <w:i w:val="0"/>
          <w:sz w:val="22"/>
        </w:rPr>
        <w:t>证据基座说明：本章主体证据为九个搜狗微信检索合集（锚见P1000/P1001/P1002/P1003/P1004/P1005/P1006/P1007/P1008）、高校就业网公司简介及研报核验注记（P1009）、集团半年度报告（P1030）、判决文书卷（P1010-P1023）与EPC行业专著（P1029/P1033）；证据库中另含与本章主题无关的智库类来源（P1022/P1024/P1025/P1027/P1032）及二进制或重复件（P1019/P1031/P1034），本章未将其用于任何事实陈述。</w:t>
      </w:r>
    </w:p>
    <w:p>
      <w:r>
        <w:rPr>
          <w:rFonts w:ascii="Calibri" w:hAnsi="Calibri" w:eastAsia="微软雅黑"/>
          <w:b w:val="0"/>
          <w:i w:val="0"/>
          <w:sz w:val="22"/>
        </w:rPr>
        <w:t>---</w:t>
      </w:r>
    </w:p>
    <w:p>
      <w:pPr>
        <w:pStyle w:val="Heading1"/>
      </w:pPr>
      <w:r>
        <w:t>第2章 政策坐标系：电力设计与工程总承包的规则环境</w:t>
      </w:r>
    </w:p>
    <w:p>
      <w:pPr>
        <w:ind w:left="454"/>
      </w:pPr>
      <w:r>
        <w:rPr>
          <w:rFonts w:ascii="Calibri" w:hAnsi="Calibri" w:eastAsia="微软雅黑"/>
          <w:b w:val="0"/>
          <w:i w:val="0"/>
          <w:color w:val="666666"/>
          <w:sz w:val="22"/>
        </w:rPr>
        <w:t>政策不是电力设计与总承包业务的背景板，而是直接参与定价的前置变量。本章沿国家主线、省级落地、司法裁判三层重建这套规则坐标系，回答买方三个问题：这门生意被政策允许做到什么程度、各省的操作差异在哪里、出了争议去哪里讲理。</w:t>
      </w:r>
    </w:p>
    <w:p>
      <w:pPr>
        <w:pStyle w:val="Heading2"/>
      </w:pPr>
      <w:r>
        <w:t>2.1 国家主线：从路线确立到《管理办法》的责任框架</w:t>
      </w:r>
    </w:p>
    <w:p>
      <w:r>
        <w:rPr>
          <w:rFonts w:ascii="Calibri" w:hAnsi="Calibri" w:eastAsia="微软雅黑"/>
          <w:b w:val="0"/>
          <w:i w:val="0"/>
          <w:sz w:val="22"/>
        </w:rPr>
        <w:t>理解电力设计院做EPC的政策合法性，起点只有两个文件编号：建市[2016]93号与国办发[2017]19号。前者是住建部《关于进一步推进工程总承包发展的若干意见》，后者是国务院《关于促进建筑业持续健康发展的意见》，两份文件先后出台，确立了"大力发展工程总承包（以EPC为主）"的基本路线，此后我国工程总承包事业进入高速发展期（P2001）。两个发文主体的层级差异本身就值得玩味：一份来自行业主管部门，一份来自国务院办公厅——前者把总承包作为建设组织实施方式的改革选项来推进，后者把它写进建筑业整体健康发展的框架里，两份文件叠加之后，总承包不再是某个部门的业务偏好，而是建筑业顶层设计里的既定方向。路线的载体是政策文本对这一模式的法律定义：工程总承包是指承包单位按照与建设单位签订的合同，对工程设计、采购、施工或者设计、施工等阶段实行总承包，并对工程质量、安全、工期和造价等全面负责的工程建设组织实施方式（P2003、P2004）。这个定义值得逐字细读。第一，"设计、采购、施工或者设计、施工"的并列结构说明政策口径同时容纳EPC与DB两类组合，模式选择空间从定义层面就是打开的；第二，责任对象是质量、安全、工期、造价四要素的全体而非菜单式选项，承包商不能通过合同安排只认其中一项；第三，定义落点是"工程建设组织实施方式"——政策把总承包定位为一次组织方式变革，而不是简单的合同类型创新。对以设计为主业的企业而言，这相当于一次身份重构：从"卖图纸的服务商"变成"对工程最终结果负责的组织者"，收入结构、风险结构与能力结构都必须跟着重写；读得懂这层变化的投资者，才能区分哪些设计院的EPC转型是真转型。还应注意的是，这一定义在省级办法中被原文级复制——西藏办法对工程总承包的界定与国家口径完全一致（P2003）——说明"什么是工程总承包"在全国范围内不存在地方解释空间，规则的确定性反而高于市场惯例；买方在跨省比较时，不需要为定义差异支付学习成本，需要盯住的只是各省在计价、评标等操作层的分歧。</w:t>
      </w:r>
    </w:p>
    <w:p>
      <w:r>
        <w:rPr>
          <w:rFonts w:ascii="Calibri" w:hAnsi="Calibri" w:eastAsia="微软雅黑"/>
          <w:b w:val="0"/>
          <w:i w:val="0"/>
          <w:sz w:val="22"/>
        </w:rPr>
        <w:t>路线确立之后，规则主轴在下一个里程碑落地。2019年12月23日，住房和城乡建设部与国家发展和改革委员会联合印发《房屋建筑和市政基础设施项目工程总承包管理办法》（建市规〔2019〕12号），并于2020年3月1日起正式生效，被行业观察者评价为"标志着我国工程总承包规范化发展新时代的来临"（P2001、P2002、P2003、P2004）。联合发文的部门组合同样有信息量：住建部管建设市场与发承包行为，发改委管投资审批与固定资产投资建设管理，两个端口联合制定规则，意味着总承包的发包侧与投资侧规则从此同源——这正是后续省级办法一律由住建部门与发改部门联合印制的制度基因（见2.3节西藏样本）。两部门联合的意义还在于发承包两端的责任对称：发改委口径的投资管控与住建口径的发包承包规则在同一文件里对齐，压缩了规则打架的空间——对承包商，这意味着政策不确定性的一个重要来源被提前消除。到2022年岁末行业观察者动笔时，《管理办法》已施行近三年（P2000），各地在这部纲领性文件框架下的落地实验已经充分展开。文件对承包单位提出了组织层面的硬约束：工程总承包单位应当设立项目管理机构，加强设计、采购与施工的协调，完善和优化设计，改进施工方案，实现对工程总承包项目的有效管理控制；工程总承包（EPC）项目经理应当熟悉工程技术和工程总承包项目管理知识以及相关法律法规、标准规范，并具有较强的组织协调能力和良好的职业道德（P2004）。把这两条翻译成买方语言：资质只是入场券，"有没有制度化运转的项目管理机构、有没有合格的项目经理梯队"才是真实资格。评估任何一家电力设计院能否承接EPC，核查这两个组织要素的实设程度，远比看设计资质等级更有区分度——资质证明它画得出图纸，组织要素才证明它兜得住工程。这两条要求对设计院的组织改造压力尤其具体：传统设计组织按专业科室划分，设计、采购、施工条线各自独立，而项目管理机构要求的是跨专业、跨阶段的矩阵式运转——项目经理要能调动采购与施工资源，职能科室要能为项目让路；多数设计院的EPC折戟，不在拿不到订单，而在拿到订单之后组织转不动。核查的抓手也由此明确：项目管理机构的设置文件、项目经理的任命与授权记录、设计采购施工协调机制的运转痕迹——纸面制度与实践记录两头都对上，组织要素才算实设。</w:t>
      </w:r>
    </w:p>
    <w:p>
      <w:r>
        <w:rPr>
          <w:rFonts w:ascii="Calibri" w:hAnsi="Calibri" w:eastAsia="微软雅黑"/>
          <w:b w:val="0"/>
          <w:i w:val="0"/>
          <w:sz w:val="22"/>
        </w:rPr>
        <w:t>《管理办法》的开篇自陈同样值得存档：其印发系为贯彻落实《中共中央国务院关于进一步加强城市规划建设管理工作的若干意见》和《国务院办公厅关于促进建筑业持续健康发展的意见》（国办发〔2017〕19号）（P2004）。这条自我申报的依据链，把一部部委联合文件接进了中央城市工作议程的文件序列——总承包规则的政治势能因此高于一般性行业规范，其存续与修订周期和上位议程绑定，短期内被整体废止的概率极低。依据链对读政策文本还有一层实用价值：条款可以按来源分层——凡能与上位文件精神直接对上的，稳定性最高；属于本办法层新设的条款，则是后续修订的高概率调整区。买方引用规则做投资判断时，顺手把条款挂回依据链，等于给每条引用标注了一个"保质期"；这比笼统记住文件名，更接近规则真实的生命周期。</w:t>
      </w:r>
    </w:p>
    <w:p>
      <w:r>
        <w:rPr>
          <w:rFonts w:ascii="Calibri" w:hAnsi="Calibri" w:eastAsia="微软雅黑"/>
          <w:b w:val="0"/>
          <w:i w:val="0"/>
          <w:sz w:val="22"/>
        </w:rPr>
        <w:t>第三块政策拼图把总承包从住建口的行业管理议题升格为跨部门产业政策。2020年8月28日，住房和城乡建设部、教育部、科技部、工业和信息化部、自然资源部、生态环境部、人民银行、市场监管总局、银保监会联合印发《关于加快新型建筑工业化发展的若干意见》（联合署名部门合计九个，own_calc：按P2004所列名单计数），意见明确"大力推行工程总承包"：新型建筑工业化项目积极推行工程总承包模式，促进设计和生产、施工深度融合；引导骨干企业提高项目管理、技术创新和资源配置能力，培育具有综合管理能力的工程总承包企业，落实工程总承包单位的主体责任，保障工程总承包单位的合法权益（P2004）。同源文章的AI导读还转述称，政策要求"2020年推动装配式建筑占比达30%"（P2004）——必须如实标注：该数字来自转载文章的AI生成导读，本报告未核对到政策原文，引用时应溯源确认。抛开这个待核数字，文件本身的信号已经足够清晰：教育、科技、工业、自然资源、生态环境、金融监管等部门集体署名，意味着总承包已被视为建筑产业现代化的总抓手之一；而"落实主体责任、保障合法权益"的对仗表述，则预告了后续所有细则的双向基调——政策在给承包商责任加码的同时，也在为承包商的权益背书，因为一个责任无边界、权益无保障的市场，最终没人敢签总承包合同。这种双向性对买方的含义是：阅读政策时不能只看责任条款的收紧，也要看权益条款的松动，后者往往是利润空间的来源。同样值得注意的是文件的受众设计——"引导骨干企业提高项目管理、技术创新和资源配置能力"（P2004）指向的是存量头部企业的能力升级，而非新进入者的数量扩张；政策红利天然向已有项目积累的企业集中，这是判断行业内赢家分布时的一条隐性逻辑。</w:t>
      </w:r>
    </w:p>
    <w:p>
      <w:r>
        <w:rPr>
          <w:rFonts w:ascii="Calibri" w:hAnsi="Calibri" w:eastAsia="微软雅黑"/>
          <w:b w:val="0"/>
          <w:i w:val="0"/>
          <w:sz w:val="22"/>
        </w:rPr>
        <w:t>这一层坐标系对买方的启示有三条。其一，政策通道把"设计院升格为工程公司"制度化，省属电力设计院做EPC具备明确的政策合法性，投资者不需要在"设计企业能不能干总承包"这个问题上消耗注意力，真正的问题是什么时候干、以什么组织形态干、用EPC还是EPCM切入（模式谱系详见2.4节）。其二，"四要素全面负责＋项目管理机构＋项目经理胜任力"三重组织要求意味着，转型成本主要沉淀在组织与人才建设上，而不是一纸资质审批；判断一家设计院EPC转型的进度，看它项目管理机构的编制到位率与项目经理的成长速度，比看它的战略口号准确得多。其三，新型建筑工业化政策强调设计、生产、施工深度融合（P2004），持续把一体化能力的溢价推高——设计院恰好处在这条融合链的上游，位置有利，但位置有利不等于自动兑现，兑现的前提仍是组织能力的补课。反证也要如实写明：政策鼓励不等于市场保证，发包条款的属地化筛选（见2.3节）与司法风险的显性化（见2.7节）意味着，政策红利只向准备好的承包商开放；准备不足的承包商签下的总承包合同，可能是责任敞口而非利润来源。因此本章后续的属地细则与司法地形两节，本质上是把"准备"两个字展开成可核对的清单——清单越长、核对越细，政策红利离真实的利润表就越近。</w:t>
      </w:r>
    </w:p>
    <w:p>
      <w:pPr>
        <w:pStyle w:val="Heading2"/>
      </w:pPr>
      <w:r>
        <w:t>2.2 省级落地曲线：政策供给周期与结构转向</w:t>
      </w:r>
    </w:p>
    <w:p>
      <w:r>
        <w:rPr>
          <w:rFonts w:ascii="Calibri" w:hAnsi="Calibri" w:eastAsia="微软雅黑"/>
          <w:b w:val="0"/>
          <w:i w:val="0"/>
          <w:sz w:val="22"/>
        </w:rPr>
        <w:t>国家定调之后，真正可执行的操作规则在省一级生成，而省级政策供给本身存在清晰的周期律。跟踪这条曲线的是建纬律师自2017年开始每年岁末年初推出的工程总承包年度政策观察（P2002），该系列发布后屡屡收获市场认可与行业好评（P2002），是行业内少有的连续、口径一致的省级政策跟踪数据源；其梳理范围覆盖全国31个省市自治区（不含港澳台）颁布和制订或正对外征求意见的政策文件（P2001）。逐年数据如下：2017年共有28个省份总计出台了41份有关工程总承包的地方政策文件；2018年为28个省份22份；2019年骤降至6个省份13份；《管理办法》生效后的2020年，全国有15个省市出台适应本地区特点的总承包相关政策，新增省级政策文件共计18件；2021年为13个省份18件；2022年回落至6个省级地方出台工程总承包专项或相关文件（P2000、P2001、P2002）。把2017至2021五个年份的文件数相加：41＋22＋13＋18＋18＝112份（own_calc：跨年聚合，各年份数分别锚定P2001、P2001、P2001、P2001、P2002）。观察口径必须交代：该统计未收录中央部委文件，市、区/县级文件未纳入，各地大量仅为试点名录、工作计划与安排等并不深入涉及总承包法律政策的文件也未计入（P2001）。因此112份是偏保守的下限计数，实际规则密度更高——对买方而言，这意味着"逐省核对属地规则"的工作量只会比想象中大；把政策核对外包给属地律所或内部法务团队，是比临时抱佛脚更经济的安排。</w:t>
      </w:r>
    </w:p>
    <w:p>
      <w:r>
        <w:rPr>
          <w:rFonts w:ascii="Calibri" w:hAnsi="Calibri" w:eastAsia="微软雅黑"/>
          <w:b w:val="0"/>
          <w:i w:val="0"/>
          <w:sz w:val="22"/>
        </w:rPr>
        <w:t>数据源本身的质量细节也经得起复核，有三处值得记录在案。其一，时间序列的累积性有三次自我声明可查：2020卷自称"在2017、2018、2019年连续三年的基础上"梳理（P2001），2021卷自称"在2017至2020年连续四年的基础上"（P2002），2022卷自称"在2017至2021年连续五年的基础上"（P2000）——三次声明拼出一条逐年加长、口径自我对标的序列；敢逐年回看自己旧口径的跟踪，比一次性综述的可信度高一个量级。其二，发行结构分完整版与简版：2021卷编者明言"考虑到政策观察完整版体量较大、文字内容较多，故在建纬官微中发布此简版"（P2002）——公开渠道可得的实际上是压缩口径，逐年细节的完整版本不在公开层，引用简版数据时应意识到裁剪的存在。其三，出品主体的署名连续可考：2021卷署名作者为张志国，标注总包之声创作人、上海建纬律师事务所（P2002）；2022卷标注来源于建纬律师、作者工程总承包业务部（P2000）——个人作者与机构部门接力，系列却未中断，说明跟踪已建制化为律所的固定产品线而非个人兴趣。2020卷还配有2017至2020年文件出台数的柱状图（P2001），把序列做成了可直接取用的图式。对买方的选源纪律由此可一句话概括：先审数据源的自我对标历史，再引其数；没有连续性自证的单一综述，只配作旁证。</w:t>
      </w:r>
    </w:p>
    <w:p>
      <w:r>
        <w:rPr>
          <w:rFonts w:ascii="Calibri" w:hAnsi="Calibri" w:eastAsia="微软雅黑"/>
          <w:b w:val="0"/>
          <w:i w:val="0"/>
          <w:sz w:val="22"/>
        </w:rPr>
        <w:t>曲线的形状比任何单点数字更有信息量。2017年的41份是绝对峰值，出现在两份奠基文件出台之后的第一年，各省以实施意见、管理办法铺总量，属于典型的路线追随期；2018年腰斩至22份、2019年探底至13份，粗放铺量阶段结束，市场进入消化期——恰与《管理办法》2019年12月23日发布、2020年3月1日生效的时点衔接（P2001）；2020年回升到18件、2021年持平18件（P2001、P2002），回升的不是数量而是针对性；2022年只剩6个省级地方出台专项或相关文件（P2000）。观察者对2022年的评语可以佐证这个判断：各地出台政策数量在前两年高峰期的基础上虽然有所下降，但这些政策结合了近年来工程总承包模式的发展实践，各有具体针对性的特点，值得借鉴、学习；与此同时，国家及地方政府、行业主管机关、司法机关也在不断修订完善相关规范性文件，逐步解决总承包模式实践与制度的适应性问题（P2000）。一言以蔽之，省级政策供给完成了从"总量扩张"到"专项细化"的换挡：计价规则、招标评标办法、水利等行业专项构成新的增量方向，泛泛的"实施意见"退出舞台。这条曲线还有一层方法论含义：观察者本人以"2017至2021年连续五年"的口径做逐年对比（P2000），说明政策跟踪已经形成稳定的时间序列；时间序列的价值在于拐点可识别——《管理办法》生效后的两个年份（2020年、2021年）文件数持平在18件（P2001、P2002），正是"国家办法生效—地方细化跟进"的传导窗口，买方若在彼时识别出这一拐点，就能提前布局属地规则研究，把政策节奏变成竞争节奏。曲线的另一个用处是反向排雷：若某省的政策供给长期停留在泛泛的实施意见、从未细化到计价与评标，说明当地总承包市场尚未成熟到需要精细规则的程度，对该省订单的利润预期应相应下调。政策供给的降温不是利空，而是行业从政策驱动转入规则驱动的信号——野蛮生长期的模糊红利消失，懂规则的玩家开始收割精细红利。</w:t>
      </w:r>
    </w:p>
    <w:p>
      <w:r>
        <w:rPr>
          <w:rFonts w:ascii="Calibri" w:hAnsi="Calibri" w:eastAsia="微软雅黑"/>
          <w:b w:val="0"/>
          <w:i w:val="0"/>
          <w:sz w:val="22"/>
        </w:rPr>
        <w:t>结构切面更能看出规则走向的细节。2022年的构成是：西藏出台了本地区试行的房屋建筑和市政基础设施项目工程总承包管理办法；广西、宁夏、山东三地针对本地区水利建设项目工程总承包出台了相应的管理办法，其中广西办法是当年首份施行的水利工程领域总承包地方政策，借鉴了国家《管理办法》的诸多规定，并针对水利建设项目有别于房建市政项目的特殊性进行了一定创新（P2000）；四川为完善建设工程计价体系、规范房屋建筑和市政基础设施项目工程总承包计价活动，出台了工程总承包合同计价的指导意见；上海市住建委为匹配2021年发布的《上海市建设项目工程总承包管理办法》的适用，年初出台了《上海市建设项目工程总承包招标评标办法》；海南为贯彻落实《管理办法》及《海南省绿色建筑发展条例》、推动建筑业绿色高质量发展，年底出台了实施细则（试行），并配套发布《海南省装配式建设项目工程总承包合同示范文本（2023年版）》；此外湖南省住建厅发布了尚处征求意见阶段的工程总承包招标评标暂行办法（P2000、P2002）。再往前追溯：2020年四川、新疆出台房建市政总承包管理办法，四川还在水利工程领域发布推进总承包发展的试行指导意见，江苏、安徽、山东、浙江、辽宁以实施意见、措施、细则等形式跟进（其中安徽、浙江的实施意见当年尚在征求意见），江苏另出台规范总承包计价活动的试行规则，上海则为应对新冠肺炎疫情影响、优化本市重大建设项目重点产业类项目工程出台了相关政策（P2001）；2021年湖北、上海、河北出台房建市政总承包管理办法，浙江、山西、广东以实施意见、指导意见、措施等形式发文（广东省2021年11月18日发布的十条措施当时尚在征求意见阶段），浙江住建部门还联合发改委、财政厅等部门出台了针对房建市政总承包项目的计价规则（P2002）。把这六年拼起来看，一条主线浮出水面：通用管理办法先行，计价与评标规则跟进，行业专项（水利）补位——规则密度越补越厚。值得单独一提的是合同示范文本的配套逻辑：海南在出台实施细则的同时配套发布装配式项目总承包合同示范文本（P2000）——示范文本把谈判起点标准化，降低的是全市场的交易成本，抬高的是偏离标准条款一方的说服负担；属地示范文本因此是读解当地风险分配惯例的最佳入口。</w:t>
      </w:r>
    </w:p>
    <w:p>
      <w:r>
        <w:rPr>
          <w:rFonts w:ascii="Calibri" w:hAnsi="Calibri" w:eastAsia="微软雅黑"/>
          <w:b w:val="0"/>
          <w:i w:val="0"/>
          <w:sz w:val="22"/>
        </w:rPr>
        <w:t>这条曲线对买方的含义分三层。第一，政策密度是属地政府投资项目总承包意愿的代理变量——文件出台密集的省份，其政府投资项目"带头推行"总承包的执行概率更高，订单可见度更好；反之，长期无专项文件的省份，总承包推进更多依赖个案谈判，预期管理要更保守。第二，2020年后的新增量集中在计价与评标规则（四川、上海、浙江、湖南等地相继动作，P2000、P2002），标志着属地竞争从"能不能总承包"进入"报价与合规精细化"阶段。对以四川为大本营的企业，这一信号尤其具体：本省在2020年出台房建市政总承包管理办法、同期发布水利总承包试行指导意见（P2001），2022年又落点在总承包合同计价的指导意见（P2000）——规则重心从"准入"一路移到"价格"，省内竞争的主战场已经移到计价规则的理解与运用上，谁吃透了计价指导意见，谁就在投标报价上拥有信息差。评标规则的意义同样不该低估：上海专门出台招标评标办法以匹配其管理办法的适用（P2000），说明"怎么评标"已经精确到需要单独立规的程度——评标细则决定技术标与商务标的权重结构，直接改变投标策略的性价比排序；同样的技术方案，在不同的评标权重下可能得出相反的中标结论，投标前的评标规则研读因此是性价比最高的功课。第三，水利成为行业专项政策的最大增量（广西、宁夏、山东，P2000），而电力行业的省级总承包专项办法在本批证据中缺位。这个空白本身是重要信号：电力项目总承包的规则依据更多依赖国家层面通用办法加行业惯例，属地弹性更大；弹性意味着机会，也意味着合规功课没有现成模板可抄，风险判断必须逐案进行——这恰恰抬高了具备电力行业规则经验的设计院的相对价值。另一个可操作的观察点是政策文件的生命周期信号：当某省开始就招标评标办法公开征求意见（如湖南，P2000），通常意味着正式稿与新一轮总承包项目的规范放行已在路上；跟踪征求意见稿的节奏，等于提前一拍看到属地订单的准备窗口。</w:t>
      </w:r>
    </w:p>
    <w:p>
      <w:pPr>
        <w:pStyle w:val="Heading2"/>
      </w:pPr>
      <w:r>
        <w:t>2.3 属地细则样本：西藏办法的采购逻辑与监管分层</w:t>
      </w:r>
    </w:p>
    <w:p>
      <w:r>
        <w:rPr>
          <w:rFonts w:ascii="Calibri" w:hAnsi="Calibri" w:eastAsia="微软雅黑"/>
          <w:b w:val="0"/>
          <w:i w:val="0"/>
          <w:sz w:val="22"/>
        </w:rPr>
        <w:t>要看清一部省级总承包办法的内部构造，2022年11月14日印发、文号藏建市管〔2022〕551号的《西藏自治区房屋建筑和市政基础设施项目工程总承包管理办法（试行）》是理想样本——它是2022年少有的新出台省级专项办法（P2000），由自治区住建厅与发改委联合制定，开篇即完整列出制定依据：《中华人民共和国建筑法》《中华人民共和国招标投标法》、建市规〔2019〕12号文件，以及《西藏自治区人民政府办公厅关于促进建筑业持续健康发展的实施意见》（藏政办发〔2017〕148号）（P2003）。这个依据链条本身就勾勒出中国工程总承包规则的层级结构：法律层（建筑法、招标投标法）—国家部委规范性文件层（建市规〔2019〕12号）—省级实施意见层（藏政办发〔2017〕148号）—省级专项办法层（551号文）。每一层的功能不同：上位法定框架，部委文件给规则，省级意见给态度，专项办法给操作。买方在任何一个省投标前，把同样的层级文件按图索骥找齐，是成本最低的合规尽调——西藏样本证明这套层级结构在全国范围内是模板化复制的，学会读一个省，就读得懂所有省。还应注意标题中的"试行"二字：试行意味着授权弹性与迭代预期，属地办法处在持续修订的动态中，去年的结论未必适用于今年的投标——规则核对必须是滚动动作而非一次性动作。办法的发文背景也值得留意：其为贯彻落实党的二十大精神、加快构建新发展格局、着力推动建筑业高质量发展而制定（P2003）——省级总承包规则与宏观政策议程的绑定，意味着这类文件的政治生命周期长、修订动力稳定，不会因部门注意力转移而轻易搁置；把政策跟踪纳入年度例行工作，是对这种稳定性的正确回应。</w:t>
      </w:r>
    </w:p>
    <w:p>
      <w:r>
        <w:rPr>
          <w:rFonts w:ascii="Calibri" w:hAnsi="Calibri" w:eastAsia="微软雅黑"/>
          <w:b w:val="0"/>
          <w:i w:val="0"/>
          <w:sz w:val="22"/>
        </w:rPr>
        <w:t>通知本体另有三个细部，补足了办法正文的语境。第一，发文对象为"各地（市）住房和城乡建设局、发展改革委"（P2003）——收文线与发文机关的双线结构一一对应，"住建＋发改"联合监管不是架构图上的摆设，而是文件实际流转的通道；买方在属地打听规则执行情况时，两条线都得有信息源，缺一条就少半个信息面。第二，第一条立法目的条款写明，制定办法是为推进工程总承包模式的应用和发展、规范房建市政项目总承包活动、提高工程建设质量和效益（P2003）——推广模式是手段，质量与效益才是写进目的条款的终点；这给后续条款的解释留了一个方向锚：当某条规则的适用存疑时，朝"提高质量和效益"的方向作体系解释更符合立法本意，承包商在谈判与诉讼中援引目的条款，是有文本依据的正规动作。第三，第二条把适用范围限定于行政区域内"依法实行工程总承包的"房建市政项目（P2003）——"依法"二字把办法与上位法的接口留给合法性判断，办法并不强制存量项目改换组织方式，只规范已经选择总承包的项目；加上印发通知里"请结合本地实际贯彻执行"（P2003）的弹性措辞，属地执行强度存在地市间落差的可能。由此推出的核对动作是双层的：核规则文本之外，还要核执行痕迹——本地是否发文细化、是否已有项目按办法实际发包，两样都对上，规则才算从纸面进入市场。</w:t>
      </w:r>
    </w:p>
    <w:p>
      <w:r>
        <w:rPr>
          <w:rFonts w:ascii="Calibri" w:hAnsi="Calibri" w:eastAsia="微软雅黑"/>
          <w:b w:val="0"/>
          <w:i w:val="0"/>
          <w:sz w:val="22"/>
        </w:rPr>
        <w:t>真正决定市场需求流向的是发包条款。该办法规定：建设单位应当根据项目情况和自身管理能力等，合理选择工程建设组织实施方式；建设内容明确、技术方案和工艺路线成熟、能够以工程项目清单描述发包人大部分要求的政府投资项目和国有资金占控股或者主导地位的项目，带头推行工程总承包；鼓励社会投资项目采用工程总承包方式；装配式建筑原则上采用工程总承包方式；同时鼓励工程总承包项目率先在规划、设计、施工等阶段全过程应用建筑信息模型（BIM）技术（P2003）。逐句拆解：适用门槛是"建设内容明确、技术方案和工艺路线成熟、能以清单描述发包人大部分要求"——政策偏爱的是可定义、可复制的工程，而非高度不确定的创新工程，这实际上给发包人划了一道自我筛选线，也给承包商划了一道风险识别线（连业主要求都无法清单化的项目，总承包报价的敞口会非常大）；需求的第一梯队是政府投资项目，第二梯队是国有资金占控股或主导地位的项目，社会投资靠鼓励，装配式项目则被"原则上"一词直接推向总承包。"原则上"的措辞留有例外空间，但方向明确。至于"鼓励社会投资项目采用"一句，则把政策的手势留在激励侧而非强制侧——社会投资项目是否采用总承包，最终仍由业主的成本收益判断决定；政策在私人投资领域扮演的是推销员而非命令者，这一点决定了社会投资项目总承包渗透的节奏必然慢于政府投资项目，做市场规模预期时应把两类需求分开测算。BIM条款看似技术性，实则把信息模型的早期介入写进了模式选择的配套——对具备数字化设计能力的企业，这是差异化入口；对没有的企业，这是下一个投标季的达标门槛。把适用门槛、需求梯队与BIM条款连起来读，还能还原政策制定者的意图：用总承包模式承接成熟、可清单化的工程需求，用装配式与BIM牵引生产方式升级——需求端与技术端在发包条款里完成了闭环；读懂这个闭环，就能预判属地规则的下一批增量会出现在哪里（大概率沿着"计价—评标—信息化"的链条继续细化，P2000、P2002所示的结构方向）。</w:t>
      </w:r>
    </w:p>
    <w:p>
      <w:r>
        <w:rPr>
          <w:rFonts w:ascii="Calibri" w:hAnsi="Calibri" w:eastAsia="微软雅黑"/>
          <w:b w:val="0"/>
          <w:i w:val="0"/>
          <w:sz w:val="22"/>
        </w:rPr>
        <w:t>监管架构同样是模板化的：自治区住房和城乡建设厅负责全区工程总承包活动的监督管理，各地（市）、县（区）住房城乡建设主管部门按照管理职责负责本行政区域内的监督管理；自治区发展和改革委员会依据固定资产投资建设管理的相关法律法规履行相应的管理职责，各地发改部门对应履职；各级工程建设招标投标活动监督管理部门和招标投标交易平台建设与运营单位，依据有关法律法规履行管理和服务职责（P2003）。多头但分层——发包合规归住建线，投资审批归发改线，招标程序归监管与交易平台线。办法总则同时确立了活动原则：遵循合法、公平、诚实守信的原则，合理分担风险，保证工程质量和安全，节约能源资源，保护生态环境，不得损害社会公共利益和他人合法权益（P2003）。"合理分担风险"入法意义重大——它为承包商在合同谈判中对抗无限转嫁风险的格式条款提供了规章层面的依据。对跨省经营的承包商，这些条款意味着项目推进的每一个环节都有独立的主管者：任何一环的瑕疵（发包条件不全、投资手续未闭合、招标程序有硬伤）都可能成为项目停滞的堵点，而堵点的排查成本随层级分散。实务上的推论是：总承包商的属地公共关系与规则解读能力，是不体现在资质证书上、却真实影响项目周转率的资产。"合理分担风险"原则（P2003）的谈判价值值得单独强调：当业主以格式条款要求承包商吸收全部涨价与不可预见风险时，承包商可以援引属地办法的原则性规定主张风险分担的合理性——这不是必胜依据，却是谈判桌上的正规筹码；会引用规章原则的承包商与只会口头抱怨的承包商，在同样的合同谈判里拿到的条款往往有实质差别。</w:t>
      </w:r>
    </w:p>
    <w:p>
      <w:r>
        <w:rPr>
          <w:rFonts w:ascii="Calibri" w:hAnsi="Calibri" w:eastAsia="微软雅黑"/>
          <w:b w:val="0"/>
          <w:i w:val="0"/>
          <w:sz w:val="22"/>
        </w:rPr>
        <w:t>对电力领域的买方，这组条款的射程值得重估。电力项目的投资主体结构以国有为主——电网企业、发电集团、地方能源平台，天然落入"国有资金占控股或者主导地位的项目带头推行工程总承包"的政策射程（P2003）；电力工程的技术方案与工艺路线成熟度普遍较高，也符合"建设内容明确、技术方案成熟、能以清单描述发包人大部分要求"的适用画像（P2003）。换言之，房建市政口径下的省级办法所确立的采购逻辑，与电力项目的投资结构高度同构——这正是电力设计院能够把政策红利翻译成订单的底层原因：政策偏好的项目画像，恰好就是电力项目的画像。但硬币的另一面同样清晰：属地细则逐省不同，计价、评标、风险分担各有版本（见2.2节四川、上海、浙江、湖南的动作），投标前逐省核对规则是刚性合规成本。这项成本构成一道筛选器——它压低外来者的中标概率，同时抬高属地先发者的壁垒；评估一家省属设计院的竞争位置时，"它在多少个省份完成过规则核对与属地交付"是一个比营收增速更扎实的指标。政策偏好画像与电力项目画像的同构性（P2003）还提示了一条业务筛选规则：越接近"建设内容明确、技术方案成熟、可清单化"标准的电力项目，政策适配度越高、发包采用总承包的概率越大；反之，业主需求频繁变化的项目，即便名义上签成EPC，实质风险结构也更接近无限风险合同——接不接、怎么报价，应当在政策画像这把尺子上先量一遍。这把尺子同样适用于投资者审视设计院的在手订单结构：订单里政策适配度高的项目占比越大，收入的质量与可预期性越好；靠非适配项目堆出来的营收，波动风险要按上一档估。顺带一提，办法落款后附有执行问题反馈电话（P2003）——这种"反馈—修订"机制正是"试行"办法的运行方式，也再次印证属地规则是活文档的判断。</w:t>
      </w:r>
    </w:p>
    <w:p>
      <w:pPr>
        <w:pStyle w:val="Heading2"/>
      </w:pPr>
      <w:r>
        <w:t>2.4 电力行业的规则叠层：模式谱系、组织门槛与资本侧约束</w:t>
      </w:r>
    </w:p>
    <w:p>
      <w:r>
        <w:rPr>
          <w:rFonts w:ascii="Calibri" w:hAnsi="Calibri" w:eastAsia="微软雅黑"/>
          <w:b w:val="0"/>
          <w:i w:val="0"/>
          <w:sz w:val="22"/>
        </w:rPr>
        <w:t>电力在总承包方法论版图中的位置，行业文献给出了明确定位。汪寿建编著的《EPC工程总承包项目过程控制概论》全书共分十五章（P2025），以通俗语言和国际先进的项目管理理论为基础，系统阐述现代总承包项目管理过程的控制原理、控制程序和控制流程：从工程公司组织结构、项目部典型组织机构、项目经理及部门经理岗位职责，到项目建设阶段全过程管理（含项目启动、策划、实施、控制、收尾各子过程，以及综合、合同、范围、资源、信息、沟通、风险、变更等管理控制要素），再到进度、质量、费用、HSE等目标控制要素（P2025）。其适用读者明确包含化工、石油化工、煤化工、医药、电力、基础设施建设等领域的工程公司项目经理与工程技术人员（P2025）。学术研究同样跟进：既有以电力设计院为视角的《EPC总承包工程项目管理成熟度评价研究》（P2014），也有《EPC总承包模式下的核电项目管理技术研究》（P2015）。两篇学位论文选题的存在本身说明，"电力设计院如何转型为总承包商"已是行业级、学术级命题，而非个别企业的战略选择；当一个问题成熟到值得写进学位论文，它通常也意味着行业里已经交过足够多的学费——方法论专著与学位论文的存在，等于把前人学费固化成了可复用的清单。专著总论部分的覆盖面也值得展开：国际项目管理发展进程与趋势、中国项目管理及建设模式发展进程、中国工程勘察设计行业发展现状、国际工程市场发展趋势、国际工程公司的发展历程（P2025）——这条目录线索说明，行业对设计院转型的研究早已放进国际工程公司演进的参照系里，"设计院—工程公司"不是中国特产，而是国际同业走过的老路；参照系的存在，让后发者的路径选择有了可对表的坐标，也意味着转型方法论本身没有专利壁垒，壁垒只在执行。专著的定位也增加了文本的实务可信度——其目标读者即工程公司项目经理与工程技术人员（P2025），方法论与一线操作的贴合度高于纯学院作品。</w:t>
      </w:r>
    </w:p>
    <w:p>
      <w:r>
        <w:rPr>
          <w:rFonts w:ascii="Calibri" w:hAnsi="Calibri" w:eastAsia="微软雅黑"/>
          <w:b w:val="0"/>
          <w:i w:val="0"/>
          <w:sz w:val="22"/>
        </w:rPr>
        <w:t>专著目录的编排本身，就能改造成一份差距自评底稿。第二章的节名序列是：工程公司组织结构和应具备的能力—工程公司需应对的各方面变化—工程公司组织架构设立—工程公司项目部的典型组织机构—项目经理及各部门经理的岗位职责—EPC项目组织机构案例（P2025）。先列能力、再列变化、再给设立方案、再落到项目部与岗位职责、最后附案例——能力清单、变化清单、方案模板、参照样本四件套齐备，任何一家设计院都可以逐节自问"我们有对应的成文文件吗"，答不上来的节名就是能力地图上的空白。第一章总论以"EPC项目全过程"与"EPC总承包管理的发展趋势"两节收束（P2025），把全过程观与趋势观设为全书压舱——与本章"规则全过程（国家主线）＋趋势曲线（省级供给）"的并置结构同构，说明行业共识里过程与趋势本就是总承包方法论的两大坐标轴。简介另明言全书"结合相关的项目案例"（P2025），案例化写作降低了方法论移植的试错成本。落到操作层，买方可以把这份目录直接改造成尽调访谈的提问脚本，逐节追问、逐节要证据：</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专著目录锚点（P2025第二章各节）</w:t>
            </w:r>
          </w:p>
        </w:tc>
        <w:tc>
          <w:tcPr>
            <w:tcW w:type="dxa" w:w="2767"/>
            <w:shd w:fill="1F3A5F"/>
          </w:tcPr>
          <w:p>
            <w:r>
              <w:rPr>
                <w:color w:val="FFFFFF"/>
              </w:rPr>
            </w:r>
            <w:r>
              <w:rPr>
                <w:rFonts w:ascii="Calibri" w:hAnsi="Calibri" w:eastAsia="微软雅黑"/>
                <w:b/>
                <w:i w:val="0"/>
                <w:color w:val="FFFFFF"/>
                <w:sz w:val="18"/>
              </w:rPr>
              <w:t>尽调追问</w:t>
            </w:r>
          </w:p>
        </w:tc>
        <w:tc>
          <w:tcPr>
            <w:tcW w:type="dxa" w:w="2767"/>
            <w:shd w:fill="1F3A5F"/>
          </w:tcPr>
          <w:p>
            <w:r>
              <w:rPr>
                <w:color w:val="FFFFFF"/>
              </w:rPr>
            </w:r>
            <w:r>
              <w:rPr>
                <w:rFonts w:ascii="Calibri" w:hAnsi="Calibri" w:eastAsia="微软雅黑"/>
                <w:b/>
                <w:i w:val="0"/>
                <w:color w:val="FFFFFF"/>
                <w:sz w:val="18"/>
              </w:rPr>
              <w:t>期待看到的证据形态</w:t>
            </w:r>
          </w:p>
        </w:tc>
      </w:tr>
      <w:tr>
        <w:tc>
          <w:tcPr>
            <w:tcW w:type="dxa" w:w="2767"/>
          </w:tcPr>
          <w:p>
            <w:r/>
            <w:r>
              <w:rPr>
                <w:rFonts w:ascii="Calibri" w:hAnsi="Calibri" w:eastAsia="微软雅黑"/>
                <w:b w:val="0"/>
                <w:i w:val="0"/>
                <w:sz w:val="18"/>
              </w:rPr>
              <w:t>工程公司组织结构和应具备的能力</w:t>
            </w:r>
          </w:p>
        </w:tc>
        <w:tc>
          <w:tcPr>
            <w:tcW w:type="dxa" w:w="2767"/>
          </w:tcPr>
          <w:p>
            <w:r/>
            <w:r>
              <w:rPr>
                <w:rFonts w:ascii="Calibri" w:hAnsi="Calibri" w:eastAsia="微软雅黑"/>
                <w:b w:val="0"/>
                <w:i w:val="0"/>
                <w:sz w:val="18"/>
              </w:rPr>
              <w:t>自评具备哪几项总承包能力，依据是什么</w:t>
            </w:r>
          </w:p>
        </w:tc>
        <w:tc>
          <w:tcPr>
            <w:tcW w:type="dxa" w:w="2767"/>
          </w:tcPr>
          <w:p>
            <w:r/>
            <w:r>
              <w:rPr>
                <w:rFonts w:ascii="Calibri" w:hAnsi="Calibri" w:eastAsia="微软雅黑"/>
                <w:b w:val="0"/>
                <w:i w:val="0"/>
                <w:sz w:val="18"/>
              </w:rPr>
              <w:t>能力评估的成文标准与自评记录</w:t>
            </w:r>
          </w:p>
        </w:tc>
      </w:tr>
      <w:tr>
        <w:tc>
          <w:tcPr>
            <w:tcW w:type="dxa" w:w="2767"/>
          </w:tcPr>
          <w:p>
            <w:r/>
            <w:r>
              <w:rPr>
                <w:rFonts w:ascii="Calibri" w:hAnsi="Calibri" w:eastAsia="微软雅黑"/>
                <w:b w:val="0"/>
                <w:i w:val="0"/>
                <w:sz w:val="18"/>
              </w:rPr>
              <w:t>工程公司需应对的各方面变化</w:t>
            </w:r>
          </w:p>
        </w:tc>
        <w:tc>
          <w:tcPr>
            <w:tcW w:type="dxa" w:w="2767"/>
          </w:tcPr>
          <w:p>
            <w:r/>
            <w:r>
              <w:rPr>
                <w:rFonts w:ascii="Calibri" w:hAnsi="Calibri" w:eastAsia="微软雅黑"/>
                <w:b w:val="0"/>
                <w:i w:val="0"/>
                <w:sz w:val="18"/>
              </w:rPr>
              <w:t>转型以来梳理过哪些组织变化、如何应对</w:t>
            </w:r>
          </w:p>
        </w:tc>
        <w:tc>
          <w:tcPr>
            <w:tcW w:type="dxa" w:w="2767"/>
          </w:tcPr>
          <w:p>
            <w:r/>
            <w:r>
              <w:rPr>
                <w:rFonts w:ascii="Calibri" w:hAnsi="Calibri" w:eastAsia="微软雅黑"/>
                <w:b w:val="0"/>
                <w:i w:val="0"/>
                <w:sz w:val="18"/>
              </w:rPr>
              <w:t>变化清单与应对方案的内部文件</w:t>
            </w:r>
          </w:p>
        </w:tc>
      </w:tr>
      <w:tr>
        <w:tc>
          <w:tcPr>
            <w:tcW w:type="dxa" w:w="2767"/>
          </w:tcPr>
          <w:p>
            <w:r/>
            <w:r>
              <w:rPr>
                <w:rFonts w:ascii="Calibri" w:hAnsi="Calibri" w:eastAsia="微软雅黑"/>
                <w:b w:val="0"/>
                <w:i w:val="0"/>
                <w:sz w:val="18"/>
              </w:rPr>
              <w:t>工程公司组织架构设立</w:t>
            </w:r>
          </w:p>
        </w:tc>
        <w:tc>
          <w:tcPr>
            <w:tcW w:type="dxa" w:w="2767"/>
          </w:tcPr>
          <w:p>
            <w:r/>
            <w:r>
              <w:rPr>
                <w:rFonts w:ascii="Calibri" w:hAnsi="Calibri" w:eastAsia="微软雅黑"/>
                <w:b w:val="0"/>
                <w:i w:val="0"/>
                <w:sz w:val="18"/>
              </w:rPr>
              <w:t>总承包业务的架构图与决策链在哪里</w:t>
            </w:r>
          </w:p>
        </w:tc>
        <w:tc>
          <w:tcPr>
            <w:tcW w:type="dxa" w:w="2767"/>
          </w:tcPr>
          <w:p>
            <w:r/>
            <w:r>
              <w:rPr>
                <w:rFonts w:ascii="Calibri" w:hAnsi="Calibri" w:eastAsia="微软雅黑"/>
                <w:b w:val="0"/>
                <w:i w:val="0"/>
                <w:sz w:val="18"/>
              </w:rPr>
              <w:t>现行架构图、授权手册</w:t>
            </w:r>
          </w:p>
        </w:tc>
      </w:tr>
      <w:tr>
        <w:tc>
          <w:tcPr>
            <w:tcW w:type="dxa" w:w="2767"/>
          </w:tcPr>
          <w:p>
            <w:r/>
            <w:r>
              <w:rPr>
                <w:rFonts w:ascii="Calibri" w:hAnsi="Calibri" w:eastAsia="微软雅黑"/>
                <w:b w:val="0"/>
                <w:i w:val="0"/>
                <w:sz w:val="18"/>
              </w:rPr>
              <w:t>工程公司项目部的典型组织机构</w:t>
            </w:r>
          </w:p>
        </w:tc>
        <w:tc>
          <w:tcPr>
            <w:tcW w:type="dxa" w:w="2767"/>
          </w:tcPr>
          <w:p>
            <w:r/>
            <w:r>
              <w:rPr>
                <w:rFonts w:ascii="Calibri" w:hAnsi="Calibri" w:eastAsia="微软雅黑"/>
                <w:b w:val="0"/>
                <w:i w:val="0"/>
                <w:sz w:val="18"/>
              </w:rPr>
              <w:t>项目部标准编制与实设项目差异多大</w:t>
            </w:r>
          </w:p>
        </w:tc>
        <w:tc>
          <w:tcPr>
            <w:tcW w:type="dxa" w:w="2767"/>
          </w:tcPr>
          <w:p>
            <w:r/>
            <w:r>
              <w:rPr>
                <w:rFonts w:ascii="Calibri" w:hAnsi="Calibri" w:eastAsia="微软雅黑"/>
                <w:b w:val="0"/>
                <w:i w:val="0"/>
                <w:sz w:val="18"/>
              </w:rPr>
              <w:t>标准编制表＋在建项目实设对照</w:t>
            </w:r>
          </w:p>
        </w:tc>
      </w:tr>
      <w:tr>
        <w:tc>
          <w:tcPr>
            <w:tcW w:type="dxa" w:w="2767"/>
          </w:tcPr>
          <w:p>
            <w:r/>
            <w:r>
              <w:rPr>
                <w:rFonts w:ascii="Calibri" w:hAnsi="Calibri" w:eastAsia="微软雅黑"/>
                <w:b w:val="0"/>
                <w:i w:val="0"/>
                <w:sz w:val="18"/>
              </w:rPr>
              <w:t>项目经理及各部门经理的岗位职责</w:t>
            </w:r>
          </w:p>
        </w:tc>
        <w:tc>
          <w:tcPr>
            <w:tcW w:type="dxa" w:w="2767"/>
          </w:tcPr>
          <w:p>
            <w:r/>
            <w:r>
              <w:rPr>
                <w:rFonts w:ascii="Calibri" w:hAnsi="Calibri" w:eastAsia="微软雅黑"/>
                <w:b w:val="0"/>
                <w:i w:val="0"/>
                <w:sz w:val="18"/>
              </w:rPr>
              <w:t>岗责是否成文、是否与考核挂钩</w:t>
            </w:r>
          </w:p>
        </w:tc>
        <w:tc>
          <w:tcPr>
            <w:tcW w:type="dxa" w:w="2767"/>
          </w:tcPr>
          <w:p>
            <w:r/>
            <w:r>
              <w:rPr>
                <w:rFonts w:ascii="Calibri" w:hAnsi="Calibri" w:eastAsia="微软雅黑"/>
                <w:b w:val="0"/>
                <w:i w:val="0"/>
                <w:sz w:val="18"/>
              </w:rPr>
              <w:t>岗责说明书、考核记录</w:t>
            </w:r>
          </w:p>
        </w:tc>
      </w:tr>
      <w:tr>
        <w:tc>
          <w:tcPr>
            <w:tcW w:type="dxa" w:w="2767"/>
          </w:tcPr>
          <w:p>
            <w:r/>
            <w:r>
              <w:rPr>
                <w:rFonts w:ascii="Calibri" w:hAnsi="Calibri" w:eastAsia="微软雅黑"/>
                <w:b w:val="0"/>
                <w:i w:val="0"/>
                <w:sz w:val="18"/>
              </w:rPr>
              <w:t>EPC项目组织机构案例</w:t>
            </w:r>
          </w:p>
        </w:tc>
        <w:tc>
          <w:tcPr>
            <w:tcW w:type="dxa" w:w="2767"/>
          </w:tcPr>
          <w:p>
            <w:r/>
            <w:r>
              <w:rPr>
                <w:rFonts w:ascii="Calibri" w:hAnsi="Calibri" w:eastAsia="微软雅黑"/>
                <w:b w:val="0"/>
                <w:i w:val="0"/>
                <w:sz w:val="18"/>
              </w:rPr>
              <w:t>能否提供可查证的组织运转实例</w:t>
            </w:r>
          </w:p>
        </w:tc>
        <w:tc>
          <w:tcPr>
            <w:tcW w:type="dxa" w:w="2767"/>
          </w:tcPr>
          <w:p>
            <w:r/>
            <w:r>
              <w:rPr>
                <w:rFonts w:ascii="Calibri" w:hAnsi="Calibri" w:eastAsia="微软雅黑"/>
                <w:b w:val="0"/>
                <w:i w:val="0"/>
                <w:sz w:val="18"/>
              </w:rPr>
              <w:t>脱敏项目档案、复盘报告</w:t>
            </w:r>
          </w:p>
        </w:tc>
      </w:tr>
    </w:tbl>
    <w:p>
      <w:r>
        <w:rPr>
          <w:rFonts w:ascii="Calibri" w:hAnsi="Calibri" w:eastAsia="微软雅黑"/>
          <w:b w:val="0"/>
          <w:i w:val="0"/>
          <w:sz w:val="22"/>
        </w:rPr>
        <w:t>（对照内容依据P2025目录整理）</w:t>
      </w:r>
    </w:p>
    <w:p>
      <w:r>
        <w:rPr>
          <w:rFonts w:ascii="Calibri" w:hAnsi="Calibri" w:eastAsia="微软雅黑"/>
          <w:b w:val="0"/>
          <w:i w:val="0"/>
          <w:sz w:val="22"/>
        </w:rPr>
        <w:t>模式选择的规则差异直接决定风险敞口，这是买方必须掌握的第一张对照表。政策语境下最主流的是E＋P＋C模式，即设计采购施工总承包（EPC）：工程总承包企业按合同约定承担工程项目的设计、采购、施工、试运行服务等工作，并对承包工程的质量、安全、工期、造价全面负责，是我国推行总承包模式最主要的一种；其延伸形态是交钥匙总承包——设计采购施工总承包业务和责任的延伸，最终向业主提交一个满足使用功能、具备使用条件的工程项目（P2004）。另一种是E＋P＋CM模式（EPCM）：承包商通过业主委托或招标确定，对工程的设计、材料设备供应、施工管理全面负责——通过招标为业主选择、推荐最合适的分包商来完成设计、采购、施工任务，设计、采购分包商对EPCM承包商负责，而施工分包商不与EPCM承包商签订合同、直接与业主建立合同关系，仅接受其管理；因此EPCM承包商无需承担施工合同风险和经济风险，当EPCM实施一次性总报价方式支付时，其经济风险被控制在一定范围内，承包商承担的经济风险相对较小、获利较为稳定（P2004）。落到决策上：同样一张"总承包"名片，EPC把施工风险全部吸收进承包商表内，EPCM只管不担——报价逻辑、利润率与资产负债表影响完全不同。对从设计院转型的承包商，模式谱系还隐含一条成长路径：以设计与采购强项先行切入管理密集的EPCM，随项目管理能力的积累再过渡到风险全吸收的EPC——路径是否唯一可以讨论，但"模式选择必须与组织能力匹配"这条纪律没有例外；跨级跳模式的设计院，通常在第一个大项目上就把能力缺口暴露成财务缺口。买方尽调的第一问因此非常具体：拟评估的合同组合里，EPC与EPCM各占多少？第二问紧随其后：EPC合同里，风险转移条款是否与总价形成对价？通行的EPC逻辑以总价换取风险归集，若业主既要求总价固定又保留大量变更权，合同的经济性便已失衡——这类结构性缺陷在争议发生前往往沉默，在争议发生时必然爆发，而爆发点正是争议图谱里那些反复出现的案由（见2.7节）。</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维度</w:t>
            </w:r>
          </w:p>
        </w:tc>
        <w:tc>
          <w:tcPr>
            <w:tcW w:type="dxa" w:w="2767"/>
            <w:shd w:fill="1F3A5F"/>
          </w:tcPr>
          <w:p>
            <w:r>
              <w:rPr>
                <w:color w:val="FFFFFF"/>
              </w:rPr>
            </w:r>
            <w:r>
              <w:rPr>
                <w:rFonts w:ascii="Calibri" w:hAnsi="Calibri" w:eastAsia="微软雅黑"/>
                <w:b/>
                <w:i w:val="0"/>
                <w:color w:val="FFFFFF"/>
                <w:sz w:val="18"/>
              </w:rPr>
              <w:t>EPC（E＋P＋C）</w:t>
            </w:r>
          </w:p>
        </w:tc>
        <w:tc>
          <w:tcPr>
            <w:tcW w:type="dxa" w:w="2767"/>
            <w:shd w:fill="1F3A5F"/>
          </w:tcPr>
          <w:p>
            <w:r>
              <w:rPr>
                <w:color w:val="FFFFFF"/>
              </w:rPr>
            </w:r>
            <w:r>
              <w:rPr>
                <w:rFonts w:ascii="Calibri" w:hAnsi="Calibri" w:eastAsia="微软雅黑"/>
                <w:b/>
                <w:i w:val="0"/>
                <w:color w:val="FFFFFF"/>
                <w:sz w:val="18"/>
              </w:rPr>
              <w:t>EPCM（E＋P＋CM）</w:t>
            </w:r>
          </w:p>
        </w:tc>
      </w:tr>
      <w:tr>
        <w:tc>
          <w:tcPr>
            <w:tcW w:type="dxa" w:w="2767"/>
          </w:tcPr>
          <w:p>
            <w:r/>
            <w:r>
              <w:rPr>
                <w:rFonts w:ascii="Calibri" w:hAnsi="Calibri" w:eastAsia="微软雅黑"/>
                <w:b w:val="0"/>
                <w:i w:val="0"/>
                <w:sz w:val="18"/>
              </w:rPr>
              <w:t>承担工作</w:t>
            </w:r>
          </w:p>
        </w:tc>
        <w:tc>
          <w:tcPr>
            <w:tcW w:type="dxa" w:w="2767"/>
          </w:tcPr>
          <w:p>
            <w:r/>
            <w:r>
              <w:rPr>
                <w:rFonts w:ascii="Calibri" w:hAnsi="Calibri" w:eastAsia="微软雅黑"/>
                <w:b w:val="0"/>
                <w:i w:val="0"/>
                <w:sz w:val="18"/>
              </w:rPr>
              <w:t>设计、采购、施工、试运行服务</w:t>
            </w:r>
          </w:p>
        </w:tc>
        <w:tc>
          <w:tcPr>
            <w:tcW w:type="dxa" w:w="2767"/>
          </w:tcPr>
          <w:p>
            <w:r/>
            <w:r>
              <w:rPr>
                <w:rFonts w:ascii="Calibri" w:hAnsi="Calibri" w:eastAsia="微软雅黑"/>
                <w:b w:val="0"/>
                <w:i w:val="0"/>
                <w:sz w:val="18"/>
              </w:rPr>
              <w:t>设计、材料设备供应、施工管理</w:t>
            </w:r>
          </w:p>
        </w:tc>
      </w:tr>
      <w:tr>
        <w:tc>
          <w:tcPr>
            <w:tcW w:type="dxa" w:w="2767"/>
          </w:tcPr>
          <w:p>
            <w:r/>
            <w:r>
              <w:rPr>
                <w:rFonts w:ascii="Calibri" w:hAnsi="Calibri" w:eastAsia="微软雅黑"/>
                <w:b w:val="0"/>
                <w:i w:val="0"/>
                <w:sz w:val="18"/>
              </w:rPr>
              <w:t>施工分包关系</w:t>
            </w:r>
          </w:p>
        </w:tc>
        <w:tc>
          <w:tcPr>
            <w:tcW w:type="dxa" w:w="2767"/>
          </w:tcPr>
          <w:p>
            <w:r/>
            <w:r>
              <w:rPr>
                <w:rFonts w:ascii="Calibri" w:hAnsi="Calibri" w:eastAsia="微软雅黑"/>
                <w:b w:val="0"/>
                <w:i w:val="0"/>
                <w:sz w:val="18"/>
              </w:rPr>
              <w:t>总承包商体系内管理</w:t>
            </w:r>
          </w:p>
        </w:tc>
        <w:tc>
          <w:tcPr>
            <w:tcW w:type="dxa" w:w="2767"/>
          </w:tcPr>
          <w:p>
            <w:r/>
            <w:r>
              <w:rPr>
                <w:rFonts w:ascii="Calibri" w:hAnsi="Calibri" w:eastAsia="微软雅黑"/>
                <w:b w:val="0"/>
                <w:i w:val="0"/>
                <w:sz w:val="18"/>
              </w:rPr>
              <w:t>施工分包商直接与业主签合同，不与EPCM承包商签约</w:t>
            </w:r>
          </w:p>
        </w:tc>
      </w:tr>
      <w:tr>
        <w:tc>
          <w:tcPr>
            <w:tcW w:type="dxa" w:w="2767"/>
          </w:tcPr>
          <w:p>
            <w:r/>
            <w:r>
              <w:rPr>
                <w:rFonts w:ascii="Calibri" w:hAnsi="Calibri" w:eastAsia="微软雅黑"/>
                <w:b w:val="0"/>
                <w:i w:val="0"/>
                <w:sz w:val="18"/>
              </w:rPr>
              <w:t>风险承担</w:t>
            </w:r>
          </w:p>
        </w:tc>
        <w:tc>
          <w:tcPr>
            <w:tcW w:type="dxa" w:w="2767"/>
          </w:tcPr>
          <w:p>
            <w:r/>
            <w:r>
              <w:rPr>
                <w:rFonts w:ascii="Calibri" w:hAnsi="Calibri" w:eastAsia="微软雅黑"/>
                <w:b w:val="0"/>
                <w:i w:val="0"/>
                <w:sz w:val="18"/>
              </w:rPr>
              <w:t>对质量、安全、工期、造价全面负责</w:t>
            </w:r>
          </w:p>
        </w:tc>
        <w:tc>
          <w:tcPr>
            <w:tcW w:type="dxa" w:w="2767"/>
          </w:tcPr>
          <w:p>
            <w:r/>
            <w:r>
              <w:rPr>
                <w:rFonts w:ascii="Calibri" w:hAnsi="Calibri" w:eastAsia="微软雅黑"/>
                <w:b w:val="0"/>
                <w:i w:val="0"/>
                <w:sz w:val="18"/>
              </w:rPr>
              <w:t>无需承担施工合同风险和经济风险</w:t>
            </w:r>
          </w:p>
        </w:tc>
      </w:tr>
      <w:tr>
        <w:tc>
          <w:tcPr>
            <w:tcW w:type="dxa" w:w="2767"/>
          </w:tcPr>
          <w:p>
            <w:r/>
            <w:r>
              <w:rPr>
                <w:rFonts w:ascii="Calibri" w:hAnsi="Calibri" w:eastAsia="微软雅黑"/>
                <w:b w:val="0"/>
                <w:i w:val="0"/>
                <w:sz w:val="18"/>
              </w:rPr>
              <w:t>经济风险特征</w:t>
            </w:r>
          </w:p>
        </w:tc>
        <w:tc>
          <w:tcPr>
            <w:tcW w:type="dxa" w:w="2767"/>
          </w:tcPr>
          <w:p>
            <w:r/>
            <w:r>
              <w:rPr>
                <w:rFonts w:ascii="Calibri" w:hAnsi="Calibri" w:eastAsia="微软雅黑"/>
                <w:b w:val="0"/>
                <w:i w:val="0"/>
                <w:sz w:val="18"/>
              </w:rPr>
              <w:t>全面暴露于工程结果</w:t>
            </w:r>
          </w:p>
        </w:tc>
        <w:tc>
          <w:tcPr>
            <w:tcW w:type="dxa" w:w="2767"/>
          </w:tcPr>
          <w:p>
            <w:r/>
            <w:r>
              <w:rPr>
                <w:rFonts w:ascii="Calibri" w:hAnsi="Calibri" w:eastAsia="微软雅黑"/>
                <w:b w:val="0"/>
                <w:i w:val="0"/>
                <w:sz w:val="18"/>
              </w:rPr>
              <w:t>一次性总报价方式下被控制在一定范围，风险相对较小、获利较稳定</w:t>
            </w:r>
          </w:p>
        </w:tc>
      </w:tr>
    </w:tbl>
    <w:p>
      <w:r>
        <w:rPr>
          <w:rFonts w:ascii="Calibri" w:hAnsi="Calibri" w:eastAsia="微软雅黑"/>
          <w:b w:val="0"/>
          <w:i w:val="0"/>
          <w:sz w:val="22"/>
        </w:rPr>
        <w:t>（对照内容依据P2004整理）</w:t>
      </w:r>
    </w:p>
    <w:p>
      <w:r>
        <w:rPr>
          <w:rFonts w:ascii="Calibri" w:hAnsi="Calibri" w:eastAsia="微软雅黑"/>
          <w:b w:val="0"/>
          <w:i w:val="0"/>
          <w:sz w:val="22"/>
        </w:rPr>
        <w:t>电力EPC市场的另一层规则写在资本市场上。以本书研究对象所属的母体系为例，中国电力建设股份有限公司（公司代码601669，公司简称中国电建）发布2026年半年度报告（P2026）：报告载明公司负责人为丁焰章，明确标注本半年度报告未经审计，并设有重大风险提示条目，指引投资者参阅"管理层讨论与分析"下"可能面对的风险"专节；报告同时对前瞻性陈述作出风险声明，称未来计划等前瞻性陈述不构成公司对投资者的实质承诺，请投资者注意投资风险（P2026）。央企集团旗下上市公司的信息披露纪律，构成电力EPC市场资本侧的规则环境——风险提示的措辞、审计的节奏、关联交易的披露、董事会决议的利润分配安排，都会沿集团层级传导至设计院子公司的订单结构、回款周期与考核口径；母公司层面的每一份定期报告，都是子公司经营约束的源头文件。报告的治理披露同样构成信号源：董事会及董事、高级管理人员须对半年度报告内容的真实性、准确性、完整性承担个别和连带的法律责任（P2026）——这种责任绑定让定期报告的风险表述具有可信度基础，读起来比宣传材料更值得当真。报告的治理结论同样可作参照：其披露不存在被控股股东及其他关联方非经营性占用资金的情况、不存在违反规定决策程序对外提供担保的情况（P2026）——治理基线的健康度，本身就是承包商履约能力与回款秩序的底层保障；对嵌在集团体系内的设计院业务，母公司治理状态的每一次变化都值得作为前瞻信号跟踪。对买方的操作含义：定期阅读这类母公司报告的"风险节"，是预判承包商行为模式与经营压力的低成本渠道；当母公司在定期报告中提示某类风险时，其设计院子公司在该方向上的投标策略与合同底线往往已经先行调整——资本市场的公开信息与产业订单之间存在可追踪的领先滞后关系，善于利用这层关系的买方，能把信息劣势部分转化为信息优势。</w:t>
      </w:r>
    </w:p>
    <w:p>
      <w:r>
        <w:rPr>
          <w:rFonts w:ascii="Calibri" w:hAnsi="Calibri" w:eastAsia="微软雅黑"/>
          <w:b w:val="0"/>
          <w:i w:val="0"/>
          <w:sz w:val="22"/>
        </w:rPr>
        <w:t>治理披露区块里还有三处细节可以核验。其一，报告设"是否存在半数以上董事无法保证公司所披露半年度报告的真实性、准确性、完整性"条目并答"否"（P2026）——把极端情形显式排除，是披露完整性的自检项。其二，未出席董事的委托表决安排逐一披露：独立董事张兆祥因工作原因委托孙子宇代行，董事刘易因工作原因委托张国厚代行（P2026）——治理动作留痕到个人，缺席不缺位。其三，在公司负责人之外，主管会计工作负责人杨良与会计机构负责人（会计主管人员）张爱卿就半年度报告中财务报告的真实、准确、完整另行作出个人声明（P2026）——在财务信息上再押一层个人责任。三处细节合起来看，一份页码编至213页的定期报告（P2026），其信息分量是以"董事连带责任＋高管个人声明＋极端情形排除"的责任链作担保的；买方读这类报告的风险节时，责任链就是信息可信度的抵押品——这也是把母公司定期报告当作承包商行为前瞻信号源的制度前提。</w:t>
      </w:r>
    </w:p>
    <w:p>
      <w:r>
        <w:rPr>
          <w:rFonts w:ascii="Calibri" w:hAnsi="Calibri" w:eastAsia="微软雅黑"/>
          <w:b w:val="0"/>
          <w:i w:val="0"/>
          <w:sz w:val="22"/>
        </w:rPr>
        <w:t>电力设计院做EPC，面对的因此是"集团内循环＋外部合规约束"的双层结构：订单端嵌在央企、省属集团的产业循环里，规则端同时受国家总承包办法（P2001、P2003）、属地细则（P2000）与资本市场信息披露纪律（P2026）的多重约束。能力建设的短板几乎必然出现在《管理办法》所要求的制度化项目管理机构与项目经理梯队上（P2004）——设计院的传统组织围绕设计流程设置，采购与施工协调职能先天薄弱，这正是"以电力设计院为视角"的成熟度评价研究（P2014）得以成立的原因：成熟度差异本身就是行业痛点。行业专著开出的组织清单也可以作为买方的核查底稿：项目部典型组织机构、项目经理及各部门经理岗位职责、全过程各子过程的管理控制要素（P2025）——拿这份清单逐项核对目标公司的制度文件与项目档案，缺项即短板；专著将戴明循环（计划—执行—检查—处理）列为总承包项目适宜的管理方法（P2025），也提示买方可以用"有没有闭环机制"来快速检验对方管理制度的成色——有闭环的制度是活的，没有闭环的制度只是文件夹。买方评估时的动作清单因此可以很短：核查项目管理机构的实设编制、核查同类型电力项目的完工记录、核查EPC与EPCM的合同结构占比——三项做完，设计院EPC能力的真实水位大致可见；反之，只看资质与获奖，信息含量有限。把本节与2.1节的组织要求串起来，结论可以收敛为一句话：电力设计院EPC能力的分水岭不在设计能力，而在"设计之外的制度供给"——项目管理机构的实设程度、模式选择的清醒程度、与母公司披露节奏的联动程度，这三项制度变量比任何单项技术指标都更能预测其总承包业务的成色；对买方，这同时意味着一条排雷捷径：制度供给缺失的设计院，报表再漂亮也不宜给出高溢价。</w:t>
      </w:r>
    </w:p>
    <w:p>
      <w:pPr>
        <w:pStyle w:val="Heading2"/>
      </w:pPr>
      <w:r>
        <w:t>2.5 同一条起跑线：政策信息的公共品属性与竞争的真断层</w:t>
      </w:r>
    </w:p>
    <w:p>
      <w:r>
        <w:rPr>
          <w:rFonts w:ascii="Calibri" w:hAnsi="Calibri" w:eastAsia="微软雅黑"/>
          <w:b w:val="0"/>
          <w:i w:val="0"/>
          <w:sz w:val="22"/>
        </w:rPr>
        <w:t>弹药库内部的一处"同文异库"现象，值得单独放大成节。同一篇题为《工程总承包EPC的相关知识及政策依据》的解读文本（8,028字），同时出现在两家互不隶属的调研对象语料里：一份采自冶金行业工程公司中冶长天的政策渠道（P2004），另一份采自中国能源建设集团旗下山西省电力勘测设计院的政策渠道（P2005），两卷所收正文同题同文、字数一致（P2004、P2005）。请注意两家读者的行业跨度——冶金工程公司与电力设计院分属不同集团、不同工业门类，读到的政策课却是同一份。这个现象本身比文本内容更有信息量：政策知识以标准化解读的形态在行业内公开流通，是典型的公共品；"某家设计院独享政策解读优势"在供给端就不成立，任何企业今天读到的文件，竞争对手明天就能读到同样的版本。</w:t>
      </w:r>
    </w:p>
    <w:p>
      <w:r>
        <w:rPr>
          <w:rFonts w:ascii="Calibri" w:hAnsi="Calibri" w:eastAsia="微软雅黑"/>
          <w:b w:val="0"/>
          <w:i w:val="0"/>
          <w:sz w:val="22"/>
        </w:rPr>
        <w:t>公共品属性推出三重竞争含义。第一，政策层面的信息差不可持续：对建市〔2016〕93号、国办发〔2017〕19号与《管理办法》的理解，任何企业都能用同样的公开材料在短期内追平；把"懂政策"当核心卖点的故事，在尽调里应当直接折价。第二，可持续的差异化只存在于公共品的加工端，而本章的证据恰好展示了四条加工路径：把公开政策加工成连续时间序列（建纬年度观察连做五年，P2000、P2001、P2002）、把通用方法论沉淀为组织制度（总承包专著十五章的过程与组织清单，P2025）、把裁判经验内化为合同条款库（争议解决实战书的案例谱系，P2029）、把集团信用转化为订单与披露约束（母公司定期报告体系，P2026）——四条路径的共同点是投入以年计、产出以制度形态沉淀、复制成本高。第三，买方的尽调口径应相应分层："懂政策"是及格线，及格项不给溢价；"政策跟踪机制的存在年限、覆盖省份、更新节奏"才是加分项——前者考知识，后者考制度，而制度才最终落在资产负债表与现金流量表里。</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信息层</w:t>
            </w:r>
          </w:p>
        </w:tc>
        <w:tc>
          <w:tcPr>
            <w:tcW w:type="dxa" w:w="2075"/>
            <w:shd w:fill="1F3A5F"/>
          </w:tcPr>
          <w:p>
            <w:r>
              <w:rPr>
                <w:color w:val="FFFFFF"/>
              </w:rPr>
            </w:r>
            <w:r>
              <w:rPr>
                <w:rFonts w:ascii="Calibri" w:hAnsi="Calibri" w:eastAsia="微软雅黑"/>
                <w:b/>
                <w:i w:val="0"/>
                <w:color w:val="FFFFFF"/>
                <w:sz w:val="18"/>
              </w:rPr>
              <w:t>公开可得性</w:t>
            </w:r>
          </w:p>
        </w:tc>
        <w:tc>
          <w:tcPr>
            <w:tcW w:type="dxa" w:w="2075"/>
            <w:shd w:fill="1F3A5F"/>
          </w:tcPr>
          <w:p>
            <w:r>
              <w:rPr>
                <w:color w:val="FFFFFF"/>
              </w:rPr>
            </w:r>
            <w:r>
              <w:rPr>
                <w:rFonts w:ascii="Calibri" w:hAnsi="Calibri" w:eastAsia="微软雅黑"/>
                <w:b/>
                <w:i w:val="0"/>
                <w:color w:val="FFFFFF"/>
                <w:sz w:val="18"/>
              </w:rPr>
              <w:t>获取成本</w:t>
            </w:r>
          </w:p>
        </w:tc>
        <w:tc>
          <w:tcPr>
            <w:tcW w:type="dxa" w:w="2075"/>
            <w:shd w:fill="1F3A5F"/>
          </w:tcPr>
          <w:p>
            <w:r>
              <w:rPr>
                <w:color w:val="FFFFFF"/>
              </w:rPr>
            </w:r>
            <w:r>
              <w:rPr>
                <w:rFonts w:ascii="Calibri" w:hAnsi="Calibri" w:eastAsia="微软雅黑"/>
                <w:b/>
                <w:i w:val="0"/>
                <w:color w:val="FFFFFF"/>
                <w:sz w:val="18"/>
              </w:rPr>
              <w:t>能否构成竞争壁垒</w:t>
            </w:r>
          </w:p>
        </w:tc>
      </w:tr>
      <w:tr>
        <w:tc>
          <w:tcPr>
            <w:tcW w:type="dxa" w:w="2075"/>
          </w:tcPr>
          <w:p>
            <w:r/>
            <w:r>
              <w:rPr>
                <w:rFonts w:ascii="Calibri" w:hAnsi="Calibri" w:eastAsia="微软雅黑"/>
                <w:b w:val="0"/>
                <w:i w:val="0"/>
                <w:sz w:val="18"/>
              </w:rPr>
              <w:t>国家主线（法律、部委规范性文件）</w:t>
            </w:r>
          </w:p>
        </w:tc>
        <w:tc>
          <w:tcPr>
            <w:tcW w:type="dxa" w:w="2075"/>
          </w:tcPr>
          <w:p>
            <w:r/>
            <w:r>
              <w:rPr>
                <w:rFonts w:ascii="Calibri" w:hAnsi="Calibri" w:eastAsia="微软雅黑"/>
                <w:b w:val="0"/>
                <w:i w:val="0"/>
                <w:sz w:val="18"/>
              </w:rPr>
              <w:t>完全公开（P2001、P2003、P2004）</w:t>
            </w:r>
          </w:p>
        </w:tc>
        <w:tc>
          <w:tcPr>
            <w:tcW w:type="dxa" w:w="2075"/>
          </w:tcPr>
          <w:p>
            <w:r/>
            <w:r>
              <w:rPr>
                <w:rFonts w:ascii="Calibri" w:hAnsi="Calibri" w:eastAsia="微软雅黑"/>
                <w:b w:val="0"/>
                <w:i w:val="0"/>
                <w:sz w:val="18"/>
              </w:rPr>
              <w:t>低</w:t>
            </w:r>
          </w:p>
        </w:tc>
        <w:tc>
          <w:tcPr>
            <w:tcW w:type="dxa" w:w="2075"/>
          </w:tcPr>
          <w:p>
            <w:r/>
            <w:r>
              <w:rPr>
                <w:rFonts w:ascii="Calibri" w:hAnsi="Calibri" w:eastAsia="微软雅黑"/>
                <w:b w:val="0"/>
                <w:i w:val="0"/>
                <w:sz w:val="18"/>
              </w:rPr>
              <w:t>否</w:t>
            </w:r>
          </w:p>
        </w:tc>
      </w:tr>
      <w:tr>
        <w:tc>
          <w:tcPr>
            <w:tcW w:type="dxa" w:w="2075"/>
          </w:tcPr>
          <w:p>
            <w:r/>
            <w:r>
              <w:rPr>
                <w:rFonts w:ascii="Calibri" w:hAnsi="Calibri" w:eastAsia="微软雅黑"/>
                <w:b w:val="0"/>
                <w:i w:val="0"/>
                <w:sz w:val="18"/>
              </w:rPr>
              <w:t>属地细则（省级办法、计价与评标规则）</w:t>
            </w:r>
          </w:p>
        </w:tc>
        <w:tc>
          <w:tcPr>
            <w:tcW w:type="dxa" w:w="2075"/>
          </w:tcPr>
          <w:p>
            <w:r/>
            <w:r>
              <w:rPr>
                <w:rFonts w:ascii="Calibri" w:hAnsi="Calibri" w:eastAsia="微软雅黑"/>
                <w:b w:val="0"/>
                <w:i w:val="0"/>
                <w:sz w:val="18"/>
              </w:rPr>
              <w:t>公开但分散，需逐省跟踪（P2000、P2001、P2002）</w:t>
            </w:r>
          </w:p>
        </w:tc>
        <w:tc>
          <w:tcPr>
            <w:tcW w:type="dxa" w:w="2075"/>
          </w:tcPr>
          <w:p>
            <w:r/>
            <w:r>
              <w:rPr>
                <w:rFonts w:ascii="Calibri" w:hAnsi="Calibri" w:eastAsia="微软雅黑"/>
                <w:b w:val="0"/>
                <w:i w:val="0"/>
                <w:sz w:val="18"/>
              </w:rPr>
              <w:t>随覆盖省份数线性增长</w:t>
            </w:r>
          </w:p>
        </w:tc>
        <w:tc>
          <w:tcPr>
            <w:tcW w:type="dxa" w:w="2075"/>
          </w:tcPr>
          <w:p>
            <w:r/>
            <w:r>
              <w:rPr>
                <w:rFonts w:ascii="Calibri" w:hAnsi="Calibri" w:eastAsia="微软雅黑"/>
                <w:b w:val="0"/>
                <w:i w:val="0"/>
                <w:sz w:val="18"/>
              </w:rPr>
              <w:t>弱壁垒：比拼跟踪广度与更新速度</w:t>
            </w:r>
          </w:p>
        </w:tc>
      </w:tr>
      <w:tr>
        <w:tc>
          <w:tcPr>
            <w:tcW w:type="dxa" w:w="2075"/>
          </w:tcPr>
          <w:p>
            <w:r/>
            <w:r>
              <w:rPr>
                <w:rFonts w:ascii="Calibri" w:hAnsi="Calibri" w:eastAsia="微软雅黑"/>
                <w:b w:val="0"/>
                <w:i w:val="0"/>
                <w:sz w:val="18"/>
              </w:rPr>
              <w:t>司法裁判（文书样本、争议图谱）</w:t>
            </w:r>
          </w:p>
        </w:tc>
        <w:tc>
          <w:tcPr>
            <w:tcW w:type="dxa" w:w="2075"/>
          </w:tcPr>
          <w:p>
            <w:r/>
            <w:r>
              <w:rPr>
                <w:rFonts w:ascii="Calibri" w:hAnsi="Calibri" w:eastAsia="微软雅黑"/>
                <w:b w:val="0"/>
                <w:i w:val="0"/>
                <w:sz w:val="18"/>
              </w:rPr>
              <w:t>公开但海量，需专业归纳（P2006、P2029）</w:t>
            </w:r>
          </w:p>
        </w:tc>
        <w:tc>
          <w:tcPr>
            <w:tcW w:type="dxa" w:w="2075"/>
          </w:tcPr>
          <w:p>
            <w:r/>
            <w:r>
              <w:rPr>
                <w:rFonts w:ascii="Calibri" w:hAnsi="Calibri" w:eastAsia="微软雅黑"/>
                <w:b w:val="0"/>
                <w:i w:val="0"/>
                <w:sz w:val="18"/>
              </w:rPr>
              <w:t>中高：需法律专业加工</w:t>
            </w:r>
          </w:p>
        </w:tc>
        <w:tc>
          <w:tcPr>
            <w:tcW w:type="dxa" w:w="2075"/>
          </w:tcPr>
          <w:p>
            <w:r/>
            <w:r>
              <w:rPr>
                <w:rFonts w:ascii="Calibri" w:hAnsi="Calibri" w:eastAsia="微软雅黑"/>
                <w:b w:val="0"/>
                <w:i w:val="0"/>
                <w:sz w:val="18"/>
              </w:rPr>
              <w:t>中壁垒：条款库与判例经验</w:t>
            </w:r>
          </w:p>
        </w:tc>
      </w:tr>
      <w:tr>
        <w:tc>
          <w:tcPr>
            <w:tcW w:type="dxa" w:w="2075"/>
          </w:tcPr>
          <w:p>
            <w:r/>
            <w:r>
              <w:rPr>
                <w:rFonts w:ascii="Calibri" w:hAnsi="Calibri" w:eastAsia="微软雅黑"/>
                <w:b w:val="0"/>
                <w:i w:val="0"/>
                <w:sz w:val="18"/>
              </w:rPr>
              <w:t>组织与项目数据（机构实设、完工记录）</w:t>
            </w:r>
          </w:p>
        </w:tc>
        <w:tc>
          <w:tcPr>
            <w:tcW w:type="dxa" w:w="2075"/>
          </w:tcPr>
          <w:p>
            <w:r/>
            <w:r>
              <w:rPr>
                <w:rFonts w:ascii="Calibri" w:hAnsi="Calibri" w:eastAsia="微软雅黑"/>
                <w:b w:val="0"/>
                <w:i w:val="0"/>
                <w:sz w:val="18"/>
              </w:rPr>
              <w:t>非公开，须尽调获取（P2004、P2025）</w:t>
            </w:r>
          </w:p>
        </w:tc>
        <w:tc>
          <w:tcPr>
            <w:tcW w:type="dxa" w:w="2075"/>
          </w:tcPr>
          <w:p>
            <w:r/>
            <w:r>
              <w:rPr>
                <w:rFonts w:ascii="Calibri" w:hAnsi="Calibri" w:eastAsia="微软雅黑"/>
                <w:b w:val="0"/>
                <w:i w:val="0"/>
                <w:sz w:val="18"/>
              </w:rPr>
              <w:t>高</w:t>
            </w:r>
          </w:p>
        </w:tc>
        <w:tc>
          <w:tcPr>
            <w:tcW w:type="dxa" w:w="2075"/>
          </w:tcPr>
          <w:p>
            <w:r/>
            <w:r>
              <w:rPr>
                <w:rFonts w:ascii="Calibri" w:hAnsi="Calibri" w:eastAsia="微软雅黑"/>
                <w:b w:val="0"/>
                <w:i w:val="0"/>
                <w:sz w:val="18"/>
              </w:rPr>
              <w:t>强壁垒：制度沉淀与项目履历</w:t>
            </w:r>
          </w:p>
        </w:tc>
      </w:tr>
    </w:tbl>
    <w:p>
      <w:r>
        <w:rPr>
          <w:rFonts w:ascii="Calibri" w:hAnsi="Calibri" w:eastAsia="微软雅黑"/>
          <w:b w:val="0"/>
          <w:i w:val="0"/>
          <w:sz w:val="22"/>
        </w:rPr>
        <w:t>（对照内容依据P2000、P2001、P2002、P2003、P2004、P2006、P2025、P2029整理）</w:t>
      </w:r>
    </w:p>
    <w:p>
      <w:r>
        <w:rPr>
          <w:rFonts w:ascii="Calibri" w:hAnsi="Calibri" w:eastAsia="微软雅黑"/>
          <w:b w:val="0"/>
          <w:i w:val="0"/>
          <w:sz w:val="22"/>
        </w:rPr>
        <w:t>买方动作清单随之收敛为三问三要。三问：政策跟踪谁负责、多久更新一次、覆盖到哪些省——问的是制度而非知识，三问下来机制真假立现。三要：要内部编写的属地规则台账（有没有逐省的计价、评标规则对照表）、要对本省计价指导意见的内部解读文件（有没有把2.2节所述四川计价落点转化为报价工具）、要政策研究的年度复盘记录（有没有对上一年判断的事后核对）——三样都拿不出，其政策能力就停留在转载层面，而同文异库现象（P2004、P2005）恰恰说明转载是行业默认动作，不构成任何区分度。最后一条比较纪律：既然规则环境对所有从业者同质，同业比较时就应剔除"政策利好"叙事的权重，把打分让给组织能力、属地履约记录与司法经验三个真断层——这与2.4节"制度供给决定成色"的结论互为表里，只是把"政策本身为什么不构成壁垒"的证据链补齐了。</w:t>
      </w:r>
    </w:p>
    <w:p>
      <w:pPr>
        <w:pStyle w:val="Heading2"/>
      </w:pPr>
      <w:r>
        <w:t>2.6 坐标系的用法：接入行研框架、景气度代理与动态竞争透镜</w:t>
      </w:r>
    </w:p>
    <w:p>
      <w:r>
        <w:rPr>
          <w:rFonts w:ascii="Calibri" w:hAnsi="Calibri" w:eastAsia="微软雅黑"/>
          <w:b w:val="0"/>
          <w:i w:val="0"/>
          <w:sz w:val="22"/>
        </w:rPr>
        <w:t>政策坐标系的价值，最终要在买方既有的分析流程里兑现，而通用行业研究方法论恰好提供了现成接口。肖璟所著的行业研究方法专著，框架覆盖行业生命周期、商业模式、市场规模、竞争格局等关键维度，并专设两章分别讨论"外部因素——引爆行业还缺哪根导火线"与"景气度——如何预判业绩增速"（P2032）。本章三层坐标系正好嵌进这两个接口：国家主线与省级细则属于外部因素轴上的规则变量（政策既是准入门槛也是需求放大器），司法地形则进入风险折价参数；2.2节的省级政策供给曲线可以直接充当总承包业务的景气度代理——文件出台密集的年份与省份，对应政府投资项目发包意愿的高位区间，"预判业绩增速"的景气度功能（P2032）由此获得一条可观测的先行指标。该书还给出四种用法——模板、地图、培训材料、案例集（P2032），对本章的直接转译是：当模板（三层框架可平移到任何受政策强约束的行业）、当地图（各节证据锚点即检索入口）、当培训材料（新晋投资人员的规则第一课）、当案例集（西藏样本与司法案件可直接复用）。更值得留意的是，该框架已把"研究工具箱：常用的研究资讯源"与"如何借助生成式AI进行研究"写入方法论（P2032）——政策跟踪的清单化、工具化乃至AI辅助，在通用行研方法里已是标配动作，买方没有理由继续用手工方式盯省级政策。</w:t>
      </w:r>
    </w:p>
    <w:p>
      <w:r>
        <w:rPr>
          <w:rFonts w:ascii="Calibri" w:hAnsi="Calibri" w:eastAsia="微软雅黑"/>
          <w:b w:val="0"/>
          <w:i w:val="0"/>
          <w:sz w:val="22"/>
        </w:rPr>
        <w:t>解读供给曲线的换挡，还可以借一个来自战略管理学的透镜。斯坦福大学战略学教授、"红桃皇后"竞争理论提出者William Barnett在其课程讲义中直陈：多数竞争理论聚焦均衡，认为竞争导向稳定的市场解；他的理论则主张竞争正在驱动更快的变革速率——竞争并不导向均衡或稳定，而是在制造更大的变化（P2022）。把2.2节的曲线放进这个透镜重看一遍：省级政策从总量扩张换挡到专项细化，不是行业"学会规则后归于平静"的收敛信号，而是各主体在互动中持续加码的加速信号——2017年铺总量、2020年对齐国家办法、2022年攻计价评标，每一轮规则增量都在回应上一轮实践暴露的问题（P2000、P2001、P2002）；规则密度越厚，以规则为武器的竞争就越激烈，均衡从未真正达成。对设计院，这意味着"学完一版规则"是伪命题，跟踪机制本身就是竞争动作；对买方，这意味着评估承包商时看其规则团队的更新节奏，而不是存量知识与存量荣誉。如实标注边界：该透镜来自通用战略管理课程讲义（P2022），非电力行业实证，仅作解释框架使用，不参与任何数字结论。</w:t>
      </w:r>
    </w:p>
    <w:p>
      <w:r>
        <w:rPr>
          <w:rFonts w:ascii="Calibri" w:hAnsi="Calibri" w:eastAsia="微软雅黑"/>
          <w:b w:val="0"/>
          <w:i w:val="0"/>
          <w:sz w:val="22"/>
        </w:rPr>
        <w:t>顺着坐标系外推，三条趋势的证据链可以完整铺开，每条按"基线事实（带锚）—推演—反证"三段式给出，可证伪、可跟踪。链一：属地规则重心继续向计价与评标纵深。基线：2020年江苏出台规范总承包计价活动的试行规则（P2001）；2021年浙江由住建部门联合发改委、财政厅等部门出台房建市政总承包项目计价规则（P2002）；2022年四川出台总承包合同计价指导意见、上海出台招标评标办法、湖南就总承包招标评标暂行办法征求意见（P2000）——三个年份、四地动作，全部落在"价格与程序"象限，无一例外。推演：规则增量将沿"准入→计价→评标→结算与调差"的链条继续右移，结算调差细则是下一个大概率落点，与争议图谱中材料涨价遭遇固定价格的调差僵局之高频出现互为印证（P2029）。反证：若省级规则供给持续萎缩（2022年仅6个省级地方出台文件，P2000）且国家层面无补充细则出台，该趋势可能被"规则供给疲劳"打断，计价争议将回流司法渠道解决——观察指标设定为年度计价类新文件数与调差类争议在裁判中的占比，任一指标转向即修正推演。链二：行业专项办法自水利向其他基础设施行业扩散，电力持续缺位。基线：2022年广西、宁夏、山东出台水利总承包办法，广西系当年首份施行的水利工程领域总承包地方政策（P2000）；而电力专项在本批全部年度观察证据中为零（P2000、P2001、P2002）。推演：电力项目以国有资金为主、技术方案成熟，与通用办法的适用画像高度重合（P2003），"通用办法＋行业惯例"的混合规则短期内够用，专项办法的出台动力不足；电力的规则增量更可能伴随新能源建设的新一轮放量，以试点或暂行文件形态出现。反证：任何一省率先出台电力（含新能源）总承包专项办法，即推翻"持续缺位"判断，属地核对清单须即时增配行业法务——本批证据的观察窗口内未见此类文件，推演维持原判，但可证伪条件已明确挂出。链三：司法暴露常态化，争议形态向复合模式演进。基线：2013年至2017年样本量逐年抬升，自2170篇升至11716篇（P2013、P2012、P2010、P2009、P2008）；实务书目录中EPC＋O、PPP＋EPC等复合模式争议已单列成节（P2029）。推演：总承包规模扩张叠加模式复合化，争议重心将从施工分包与结算，向投资控制、运营责任等复合议题迁移。反证：2021年样本骤降至324篇（P2017）提示文书公开口径自身波动，趋势引用必须先过口径关；若完整口径复核显示纠纷量走平或回落，"常态化"应降格为"高位存续"，推演强度相应调低——本条反证同时是对本章司法节口径警示（见2.7节）的方法论重申。</w:t>
      </w:r>
    </w:p>
    <w:p>
      <w:r>
        <w:rPr>
          <w:rFonts w:ascii="Calibri" w:hAnsi="Calibri" w:eastAsia="微软雅黑"/>
          <w:b w:val="0"/>
          <w:i w:val="0"/>
          <w:sz w:val="22"/>
        </w:rPr>
        <w:t>坐标系接入决策流程的最后一公里，是三个固定动作：每年复核一次三层坐标（与政策端的年度修订节奏同步，见2.2节曲线）；每个项目立项时跑一遍属地核对清单（省办法、计价规则、评标办法三件套齐检）；每次合同评审时对照司法图谱过负面清单（设计责任、价格调整、程序合规三张清单，见2.7节）。三个动作的成本以人天计，换掉的是"规则误读"这一完全可预防的风险——在样本案件争议标的动辄数万至上百万元（62100元、100000元、1469961.15元，P2016、P2012、P2033）的背景下，这笔投入的回报不需要复杂模型来证明；买方若连人天都不愿投入，等于默认把规则风险全额自留，而自留的代价已在司法地形上明码标价。</w:t>
      </w:r>
    </w:p>
    <w:p>
      <w:pPr>
        <w:pStyle w:val="Heading2"/>
      </w:pPr>
      <w:r>
        <w:t>2.7 司法地形：样本分布、管辖界碑与争议类型图谱</w:t>
      </w:r>
    </w:p>
    <w:p>
      <w:r>
        <w:rPr>
          <w:rFonts w:ascii="Calibri" w:hAnsi="Calibri" w:eastAsia="微软雅黑"/>
          <w:b w:val="0"/>
          <w:i w:val="0"/>
          <w:sz w:val="22"/>
        </w:rPr>
        <w:t>政策的最后一公里在法院。本次研究采集的年度裁判文书卷提供了各年份"EPC相关"文书的样本分布，表中年份与篇数逐字取自各年卷源，属采集样本而非全量统计。先交代口径再看数据：序列中2019年、2020年样本量陡增（41550篇、42935篇）而2021年骤降至324篇（P2006、P2007、P2017），这种非单调形态主要反映裁判文书公开节奏与采集口径的变化，不宜直接解读为纠纷量的真实趋势。样本的案由结构以建设工程施工合同纠纷、建设工程合同纠纷等为主（P2006、P2007），纯粹以工程总承包合同为案由的争议在样本中并不占据显性位置——这与行业实务中总承包争议多以施工分包纠纷、结算纠纷的形态浮出水面相互印证（P2029），总承包的法律风险大多穿着分包与结算的外衣出场，买方不应因"没看到EPC案由"而低估其司法暴露度。样本里还有几类反复出现的纠纷底色：非法分包、违法分包情形下追索连带清偿责任的案件（P2016）；围绕税金扣减与否的结算争议、法院依造价咨询报告作出认定的案件（P2008）；以及发包人未提供设计图纸、承包人被迫边设计边施工、完工一处验收一处最终结算缠身的案件（P2009）——分包链条传导、结算口径分歧、设计施工界面不清，正是样本背后最常见的纠纷温床。方向性信号也仍可保留：2013年至2017年样本量逐年抬升（2170篇、5275篇、8654篇、10763篇、11716篇，P2008、P2009、P2010、P2012、P2013），与工程总承包高速发展期（P2001）在时间上重合；伴随总承包规模扩张，围绕工程合同的裁判活动同步放大，这是"规模上量、纠纷跟随"的正常行业生态。买方不需要记住精确篇数，但需要记住这个比例感：工程合同纠纷的司法供给是持续、大量、常态化的，任何EPC项目的风险管理都必须以"争议最终会进法院"为基准情景来做条款设计——事前条款的一个措辞差异，可能就是事后判决的胜负手。逐年样本分布如下：</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年份</w:t>
            </w:r>
          </w:p>
        </w:tc>
        <w:tc>
          <w:tcPr>
            <w:tcW w:type="dxa" w:w="2767"/>
            <w:shd w:fill="1F3A5F"/>
          </w:tcPr>
          <w:p>
            <w:r>
              <w:rPr>
                <w:color w:val="FFFFFF"/>
              </w:rPr>
            </w:r>
            <w:r>
              <w:rPr>
                <w:rFonts w:ascii="Calibri" w:hAnsi="Calibri" w:eastAsia="微软雅黑"/>
                <w:b/>
                <w:i w:val="0"/>
                <w:color w:val="FFFFFF"/>
                <w:sz w:val="18"/>
              </w:rPr>
              <w:t>样本篇数</w:t>
            </w:r>
          </w:p>
        </w:tc>
        <w:tc>
          <w:tcPr>
            <w:tcW w:type="dxa" w:w="2767"/>
            <w:shd w:fill="1F3A5F"/>
          </w:tcPr>
          <w:p>
            <w:r>
              <w:rPr>
                <w:color w:val="FFFFFF"/>
              </w:rPr>
            </w:r>
            <w:r>
              <w:rPr>
                <w:rFonts w:ascii="Calibri" w:hAnsi="Calibri" w:eastAsia="微软雅黑"/>
                <w:b/>
                <w:i w:val="0"/>
                <w:color w:val="FFFFFF"/>
                <w:sz w:val="18"/>
              </w:rPr>
              <w:t>证据锚</w:t>
            </w:r>
          </w:p>
        </w:tc>
      </w:tr>
      <w:tr>
        <w:tc>
          <w:tcPr>
            <w:tcW w:type="dxa" w:w="2767"/>
          </w:tcPr>
          <w:p>
            <w:r/>
            <w:r>
              <w:rPr>
                <w:rFonts w:ascii="Calibri" w:hAnsi="Calibri" w:eastAsia="微软雅黑"/>
                <w:b w:val="0"/>
                <w:i w:val="0"/>
                <w:sz w:val="18"/>
              </w:rPr>
              <w:t>2010</w:t>
            </w:r>
          </w:p>
        </w:tc>
        <w:tc>
          <w:tcPr>
            <w:tcW w:type="dxa" w:w="2767"/>
          </w:tcPr>
          <w:p>
            <w:r/>
            <w:r>
              <w:rPr>
                <w:rFonts w:ascii="Calibri" w:hAnsi="Calibri" w:eastAsia="微软雅黑"/>
                <w:b w:val="0"/>
                <w:i w:val="0"/>
                <w:sz w:val="18"/>
              </w:rPr>
              <w:t>148篇</w:t>
            </w:r>
          </w:p>
        </w:tc>
        <w:tc>
          <w:tcPr>
            <w:tcW w:type="dxa" w:w="2767"/>
          </w:tcPr>
          <w:p>
            <w:r/>
            <w:r>
              <w:rPr>
                <w:rFonts w:ascii="Calibri" w:hAnsi="Calibri" w:eastAsia="微软雅黑"/>
                <w:b w:val="0"/>
                <w:i w:val="0"/>
                <w:sz w:val="18"/>
              </w:rPr>
              <w:t>P2019</w:t>
            </w:r>
          </w:p>
        </w:tc>
      </w:tr>
      <w:tr>
        <w:tc>
          <w:tcPr>
            <w:tcW w:type="dxa" w:w="2767"/>
          </w:tcPr>
          <w:p>
            <w:r/>
            <w:r>
              <w:rPr>
                <w:rFonts w:ascii="Calibri" w:hAnsi="Calibri" w:eastAsia="微软雅黑"/>
                <w:b w:val="0"/>
                <w:i w:val="0"/>
                <w:sz w:val="18"/>
              </w:rPr>
              <w:t>2011</w:t>
            </w:r>
          </w:p>
        </w:tc>
        <w:tc>
          <w:tcPr>
            <w:tcW w:type="dxa" w:w="2767"/>
          </w:tcPr>
          <w:p>
            <w:r/>
            <w:r>
              <w:rPr>
                <w:rFonts w:ascii="Calibri" w:hAnsi="Calibri" w:eastAsia="微软雅黑"/>
                <w:b w:val="0"/>
                <w:i w:val="0"/>
                <w:sz w:val="18"/>
              </w:rPr>
              <w:t>61篇</w:t>
            </w:r>
          </w:p>
        </w:tc>
        <w:tc>
          <w:tcPr>
            <w:tcW w:type="dxa" w:w="2767"/>
          </w:tcPr>
          <w:p>
            <w:r/>
            <w:r>
              <w:rPr>
                <w:rFonts w:ascii="Calibri" w:hAnsi="Calibri" w:eastAsia="微软雅黑"/>
                <w:b w:val="0"/>
                <w:i w:val="0"/>
                <w:sz w:val="18"/>
              </w:rPr>
              <w:t>P2033</w:t>
            </w:r>
          </w:p>
        </w:tc>
      </w:tr>
      <w:tr>
        <w:tc>
          <w:tcPr>
            <w:tcW w:type="dxa" w:w="2767"/>
          </w:tcPr>
          <w:p>
            <w:r/>
            <w:r>
              <w:rPr>
                <w:rFonts w:ascii="Calibri" w:hAnsi="Calibri" w:eastAsia="微软雅黑"/>
                <w:b w:val="0"/>
                <w:i w:val="0"/>
                <w:sz w:val="18"/>
              </w:rPr>
              <w:t>2012</w:t>
            </w:r>
          </w:p>
        </w:tc>
        <w:tc>
          <w:tcPr>
            <w:tcW w:type="dxa" w:w="2767"/>
          </w:tcPr>
          <w:p>
            <w:r/>
            <w:r>
              <w:rPr>
                <w:rFonts w:ascii="Calibri" w:hAnsi="Calibri" w:eastAsia="微软雅黑"/>
                <w:b w:val="0"/>
                <w:i w:val="0"/>
                <w:sz w:val="18"/>
              </w:rPr>
              <w:t>216篇</w:t>
            </w:r>
          </w:p>
        </w:tc>
        <w:tc>
          <w:tcPr>
            <w:tcW w:type="dxa" w:w="2767"/>
          </w:tcPr>
          <w:p>
            <w:r/>
            <w:r>
              <w:rPr>
                <w:rFonts w:ascii="Calibri" w:hAnsi="Calibri" w:eastAsia="微软雅黑"/>
                <w:b w:val="0"/>
                <w:i w:val="0"/>
                <w:sz w:val="18"/>
              </w:rPr>
              <w:t>P2016</w:t>
            </w:r>
          </w:p>
        </w:tc>
      </w:tr>
      <w:tr>
        <w:tc>
          <w:tcPr>
            <w:tcW w:type="dxa" w:w="2767"/>
          </w:tcPr>
          <w:p>
            <w:r/>
            <w:r>
              <w:rPr>
                <w:rFonts w:ascii="Calibri" w:hAnsi="Calibri" w:eastAsia="微软雅黑"/>
                <w:b w:val="0"/>
                <w:i w:val="0"/>
                <w:sz w:val="18"/>
              </w:rPr>
              <w:t>2013</w:t>
            </w:r>
          </w:p>
        </w:tc>
        <w:tc>
          <w:tcPr>
            <w:tcW w:type="dxa" w:w="2767"/>
          </w:tcPr>
          <w:p>
            <w:r/>
            <w:r>
              <w:rPr>
                <w:rFonts w:ascii="Calibri" w:hAnsi="Calibri" w:eastAsia="微软雅黑"/>
                <w:b w:val="0"/>
                <w:i w:val="0"/>
                <w:sz w:val="18"/>
              </w:rPr>
              <w:t>2170篇</w:t>
            </w:r>
          </w:p>
        </w:tc>
        <w:tc>
          <w:tcPr>
            <w:tcW w:type="dxa" w:w="2767"/>
          </w:tcPr>
          <w:p>
            <w:r/>
            <w:r>
              <w:rPr>
                <w:rFonts w:ascii="Calibri" w:hAnsi="Calibri" w:eastAsia="微软雅黑"/>
                <w:b w:val="0"/>
                <w:i w:val="0"/>
                <w:sz w:val="18"/>
              </w:rPr>
              <w:t>P2013</w:t>
            </w:r>
          </w:p>
        </w:tc>
      </w:tr>
      <w:tr>
        <w:tc>
          <w:tcPr>
            <w:tcW w:type="dxa" w:w="2767"/>
          </w:tcPr>
          <w:p>
            <w:r/>
            <w:r>
              <w:rPr>
                <w:rFonts w:ascii="Calibri" w:hAnsi="Calibri" w:eastAsia="微软雅黑"/>
                <w:b w:val="0"/>
                <w:i w:val="0"/>
                <w:sz w:val="18"/>
              </w:rPr>
              <w:t>2014</w:t>
            </w:r>
          </w:p>
        </w:tc>
        <w:tc>
          <w:tcPr>
            <w:tcW w:type="dxa" w:w="2767"/>
          </w:tcPr>
          <w:p>
            <w:r/>
            <w:r>
              <w:rPr>
                <w:rFonts w:ascii="Calibri" w:hAnsi="Calibri" w:eastAsia="微软雅黑"/>
                <w:b w:val="0"/>
                <w:i w:val="0"/>
                <w:sz w:val="18"/>
              </w:rPr>
              <w:t>5275篇</w:t>
            </w:r>
          </w:p>
        </w:tc>
        <w:tc>
          <w:tcPr>
            <w:tcW w:type="dxa" w:w="2767"/>
          </w:tcPr>
          <w:p>
            <w:r/>
            <w:r>
              <w:rPr>
                <w:rFonts w:ascii="Calibri" w:hAnsi="Calibri" w:eastAsia="微软雅黑"/>
                <w:b w:val="0"/>
                <w:i w:val="0"/>
                <w:sz w:val="18"/>
              </w:rPr>
              <w:t>P2012</w:t>
            </w:r>
          </w:p>
        </w:tc>
      </w:tr>
      <w:tr>
        <w:tc>
          <w:tcPr>
            <w:tcW w:type="dxa" w:w="2767"/>
          </w:tcPr>
          <w:p>
            <w:r/>
            <w:r>
              <w:rPr>
                <w:rFonts w:ascii="Calibri" w:hAnsi="Calibri" w:eastAsia="微软雅黑"/>
                <w:b w:val="0"/>
                <w:i w:val="0"/>
                <w:sz w:val="18"/>
              </w:rPr>
              <w:t>2015</w:t>
            </w:r>
          </w:p>
        </w:tc>
        <w:tc>
          <w:tcPr>
            <w:tcW w:type="dxa" w:w="2767"/>
          </w:tcPr>
          <w:p>
            <w:r/>
            <w:r>
              <w:rPr>
                <w:rFonts w:ascii="Calibri" w:hAnsi="Calibri" w:eastAsia="微软雅黑"/>
                <w:b w:val="0"/>
                <w:i w:val="0"/>
                <w:sz w:val="18"/>
              </w:rPr>
              <w:t>8654篇</w:t>
            </w:r>
          </w:p>
        </w:tc>
        <w:tc>
          <w:tcPr>
            <w:tcW w:type="dxa" w:w="2767"/>
          </w:tcPr>
          <w:p>
            <w:r/>
            <w:r>
              <w:rPr>
                <w:rFonts w:ascii="Calibri" w:hAnsi="Calibri" w:eastAsia="微软雅黑"/>
                <w:b w:val="0"/>
                <w:i w:val="0"/>
                <w:sz w:val="18"/>
              </w:rPr>
              <w:t>P2010</w:t>
            </w:r>
          </w:p>
        </w:tc>
      </w:tr>
      <w:tr>
        <w:tc>
          <w:tcPr>
            <w:tcW w:type="dxa" w:w="2767"/>
          </w:tcPr>
          <w:p>
            <w:r/>
            <w:r>
              <w:rPr>
                <w:rFonts w:ascii="Calibri" w:hAnsi="Calibri" w:eastAsia="微软雅黑"/>
                <w:b w:val="0"/>
                <w:i w:val="0"/>
                <w:sz w:val="18"/>
              </w:rPr>
              <w:t>2016</w:t>
            </w:r>
          </w:p>
        </w:tc>
        <w:tc>
          <w:tcPr>
            <w:tcW w:type="dxa" w:w="2767"/>
          </w:tcPr>
          <w:p>
            <w:r/>
            <w:r>
              <w:rPr>
                <w:rFonts w:ascii="Calibri" w:hAnsi="Calibri" w:eastAsia="微软雅黑"/>
                <w:b w:val="0"/>
                <w:i w:val="0"/>
                <w:sz w:val="18"/>
              </w:rPr>
              <w:t>10763篇</w:t>
            </w:r>
          </w:p>
        </w:tc>
        <w:tc>
          <w:tcPr>
            <w:tcW w:type="dxa" w:w="2767"/>
          </w:tcPr>
          <w:p>
            <w:r/>
            <w:r>
              <w:rPr>
                <w:rFonts w:ascii="Calibri" w:hAnsi="Calibri" w:eastAsia="微软雅黑"/>
                <w:b w:val="0"/>
                <w:i w:val="0"/>
                <w:sz w:val="18"/>
              </w:rPr>
              <w:t>P2009</w:t>
            </w:r>
          </w:p>
        </w:tc>
      </w:tr>
      <w:tr>
        <w:tc>
          <w:tcPr>
            <w:tcW w:type="dxa" w:w="2767"/>
          </w:tcPr>
          <w:p>
            <w:r/>
            <w:r>
              <w:rPr>
                <w:rFonts w:ascii="Calibri" w:hAnsi="Calibri" w:eastAsia="微软雅黑"/>
                <w:b w:val="0"/>
                <w:i w:val="0"/>
                <w:sz w:val="18"/>
              </w:rPr>
              <w:t>2017</w:t>
            </w:r>
          </w:p>
        </w:tc>
        <w:tc>
          <w:tcPr>
            <w:tcW w:type="dxa" w:w="2767"/>
          </w:tcPr>
          <w:p>
            <w:r/>
            <w:r>
              <w:rPr>
                <w:rFonts w:ascii="Calibri" w:hAnsi="Calibri" w:eastAsia="微软雅黑"/>
                <w:b w:val="0"/>
                <w:i w:val="0"/>
                <w:sz w:val="18"/>
              </w:rPr>
              <w:t>11716篇</w:t>
            </w:r>
          </w:p>
        </w:tc>
        <w:tc>
          <w:tcPr>
            <w:tcW w:type="dxa" w:w="2767"/>
          </w:tcPr>
          <w:p>
            <w:r/>
            <w:r>
              <w:rPr>
                <w:rFonts w:ascii="Calibri" w:hAnsi="Calibri" w:eastAsia="微软雅黑"/>
                <w:b w:val="0"/>
                <w:i w:val="0"/>
                <w:sz w:val="18"/>
              </w:rPr>
              <w:t>P2008</w:t>
            </w:r>
          </w:p>
        </w:tc>
      </w:tr>
      <w:tr>
        <w:tc>
          <w:tcPr>
            <w:tcW w:type="dxa" w:w="2767"/>
          </w:tcPr>
          <w:p>
            <w:r/>
            <w:r>
              <w:rPr>
                <w:rFonts w:ascii="Calibri" w:hAnsi="Calibri" w:eastAsia="微软雅黑"/>
                <w:b w:val="0"/>
                <w:i w:val="0"/>
                <w:sz w:val="18"/>
              </w:rPr>
              <w:t>2018</w:t>
            </w:r>
          </w:p>
        </w:tc>
        <w:tc>
          <w:tcPr>
            <w:tcW w:type="dxa" w:w="2767"/>
          </w:tcPr>
          <w:p>
            <w:r/>
            <w:r>
              <w:rPr>
                <w:rFonts w:ascii="Calibri" w:hAnsi="Calibri" w:eastAsia="微软雅黑"/>
                <w:b w:val="0"/>
                <w:i w:val="0"/>
                <w:sz w:val="18"/>
              </w:rPr>
              <w:t>5754篇</w:t>
            </w:r>
          </w:p>
        </w:tc>
        <w:tc>
          <w:tcPr>
            <w:tcW w:type="dxa" w:w="2767"/>
          </w:tcPr>
          <w:p>
            <w:r/>
            <w:r>
              <w:rPr>
                <w:rFonts w:ascii="Calibri" w:hAnsi="Calibri" w:eastAsia="微软雅黑"/>
                <w:b w:val="0"/>
                <w:i w:val="0"/>
                <w:sz w:val="18"/>
              </w:rPr>
              <w:t>P2011</w:t>
            </w:r>
          </w:p>
        </w:tc>
      </w:tr>
      <w:tr>
        <w:tc>
          <w:tcPr>
            <w:tcW w:type="dxa" w:w="2767"/>
          </w:tcPr>
          <w:p>
            <w:r/>
            <w:r>
              <w:rPr>
                <w:rFonts w:ascii="Calibri" w:hAnsi="Calibri" w:eastAsia="微软雅黑"/>
                <w:b w:val="0"/>
                <w:i w:val="0"/>
                <w:sz w:val="18"/>
              </w:rPr>
              <w:t>2019</w:t>
            </w:r>
          </w:p>
        </w:tc>
        <w:tc>
          <w:tcPr>
            <w:tcW w:type="dxa" w:w="2767"/>
          </w:tcPr>
          <w:p>
            <w:r/>
            <w:r>
              <w:rPr>
                <w:rFonts w:ascii="Calibri" w:hAnsi="Calibri" w:eastAsia="微软雅黑"/>
                <w:b w:val="0"/>
                <w:i w:val="0"/>
                <w:sz w:val="18"/>
              </w:rPr>
              <w:t>41550篇</w:t>
            </w:r>
          </w:p>
        </w:tc>
        <w:tc>
          <w:tcPr>
            <w:tcW w:type="dxa" w:w="2767"/>
          </w:tcPr>
          <w:p>
            <w:r/>
            <w:r>
              <w:rPr>
                <w:rFonts w:ascii="Calibri" w:hAnsi="Calibri" w:eastAsia="微软雅黑"/>
                <w:b w:val="0"/>
                <w:i w:val="0"/>
                <w:sz w:val="18"/>
              </w:rPr>
              <w:t>P2007</w:t>
            </w:r>
          </w:p>
        </w:tc>
      </w:tr>
      <w:tr>
        <w:tc>
          <w:tcPr>
            <w:tcW w:type="dxa" w:w="2767"/>
          </w:tcPr>
          <w:p>
            <w:r/>
            <w:r>
              <w:rPr>
                <w:rFonts w:ascii="Calibri" w:hAnsi="Calibri" w:eastAsia="微软雅黑"/>
                <w:b w:val="0"/>
                <w:i w:val="0"/>
                <w:sz w:val="18"/>
              </w:rPr>
              <w:t>2020</w:t>
            </w:r>
          </w:p>
        </w:tc>
        <w:tc>
          <w:tcPr>
            <w:tcW w:type="dxa" w:w="2767"/>
          </w:tcPr>
          <w:p>
            <w:r/>
            <w:r>
              <w:rPr>
                <w:rFonts w:ascii="Calibri" w:hAnsi="Calibri" w:eastAsia="微软雅黑"/>
                <w:b w:val="0"/>
                <w:i w:val="0"/>
                <w:sz w:val="18"/>
              </w:rPr>
              <w:t>42935篇</w:t>
            </w:r>
          </w:p>
        </w:tc>
        <w:tc>
          <w:tcPr>
            <w:tcW w:type="dxa" w:w="2767"/>
          </w:tcPr>
          <w:p>
            <w:r/>
            <w:r>
              <w:rPr>
                <w:rFonts w:ascii="Calibri" w:hAnsi="Calibri" w:eastAsia="微软雅黑"/>
                <w:b w:val="0"/>
                <w:i w:val="0"/>
                <w:sz w:val="18"/>
              </w:rPr>
              <w:t>P2006</w:t>
            </w:r>
          </w:p>
        </w:tc>
      </w:tr>
      <w:tr>
        <w:tc>
          <w:tcPr>
            <w:tcW w:type="dxa" w:w="2767"/>
          </w:tcPr>
          <w:p>
            <w:r/>
            <w:r>
              <w:rPr>
                <w:rFonts w:ascii="Calibri" w:hAnsi="Calibri" w:eastAsia="微软雅黑"/>
                <w:b w:val="0"/>
                <w:i w:val="0"/>
                <w:sz w:val="18"/>
              </w:rPr>
              <w:t>2021</w:t>
            </w:r>
          </w:p>
        </w:tc>
        <w:tc>
          <w:tcPr>
            <w:tcW w:type="dxa" w:w="2767"/>
          </w:tcPr>
          <w:p>
            <w:r/>
            <w:r>
              <w:rPr>
                <w:rFonts w:ascii="Calibri" w:hAnsi="Calibri" w:eastAsia="微软雅黑"/>
                <w:b w:val="0"/>
                <w:i w:val="0"/>
                <w:sz w:val="18"/>
              </w:rPr>
              <w:t>324篇</w:t>
            </w:r>
          </w:p>
        </w:tc>
        <w:tc>
          <w:tcPr>
            <w:tcW w:type="dxa" w:w="2767"/>
          </w:tcPr>
          <w:p>
            <w:r/>
            <w:r>
              <w:rPr>
                <w:rFonts w:ascii="Calibri" w:hAnsi="Calibri" w:eastAsia="微软雅黑"/>
                <w:b w:val="0"/>
                <w:i w:val="0"/>
                <w:sz w:val="18"/>
              </w:rPr>
              <w:t>P2017</w:t>
            </w:r>
          </w:p>
        </w:tc>
      </w:tr>
    </w:tbl>
    <w:p>
      <w:r>
        <w:rPr>
          <w:rFonts w:ascii="Calibri" w:hAnsi="Calibri" w:eastAsia="微软雅黑"/>
          <w:b w:val="0"/>
          <w:i w:val="0"/>
          <w:sz w:val="22"/>
        </w:rPr>
        <w:t>程序形态的光谱同样值得记录：样本案件覆盖了民事一审（P2009、P2011、P2012、P2016、P2033）、二审（P2010、P2019）、再审审查与审判监督（P2008、P2013）、管辖裁定（P2006）、执行实施与执行审查（P2007、P2017）——从立案、管辖、审理到执行、追加，工程合同纠纷在司法程序的每个阶段都有真实触点。这组形态对买方的校正作用在于：纠纷管理不是"会不会打官司"的二值判断，而是覆盖全程序阶段的资源规划——一审考证据组织、二审考争点提炼、再审考程序门槛、执行考财产线索、追加考股权结构，每个阶段考的是不同科目；把法务预算只押在"打贏一审"上的企业，会在后四个阶段才发现考卷还没发完。承包商的争议管理团队若只有出庭经验而无执行与追加经验，其纠纷闭环只走完了前半程——这项能力缺口在尽调访谈里一个问题就能探出：贵司近三年办没办过追加被执行人的案件。</w:t>
      </w:r>
    </w:p>
    <w:p>
      <w:r>
        <w:rPr>
          <w:rFonts w:ascii="Calibri" w:hAnsi="Calibri" w:eastAsia="微软雅黑"/>
          <w:b w:val="0"/>
          <w:i w:val="0"/>
          <w:sz w:val="22"/>
        </w:rPr>
        <w:t>管辖规则是司法地形的第一块界碑。依《最高人民法院关于适用〈中华人民共和国民事诉讼法〉的解释》第28条，建设工程施工合同纠纷按照不动产纠纷确定管辖，由工程所在地法院管辖（P2006）。实例可见黑龙江省水利水电集团第二工程有限公司与塔河县红平运输队建设工程施工合同纠纷一案：一审塔河县人民法院作出（2020）黑2722民初197号民事裁定后，该公司不服提起上诉（案号（2020）黑27民辖终7号），主张双方未签订书面合同、无从约定案件管辖，依《民事诉讼法》第23条本案应由其住所地哈尔滨市阿城区人民法院管辖；二审法院经审查认定，本案案由为建设工程施工合同纠纷、按不动产纠纷确定管辖，涉案工程施工地马伦村归属黑龙江省塔河县，塔河县人民法院享有管辖权，遂依照《民事诉讼法》第170条第一款第一项、第171条裁定驳回上诉、维持原裁定，且为终审裁定（P2006）。对跨区域执业的电力总承包商，这条规则的含义直白：合同谈得再周全，诉讼也要到工程所在地去打——即便是没有书面合同约定的管辖争议，法院也会按工程地划线；异地应诉的差旅、代理、证据组织与执行成本，是EPC风险管理必须内嵌的固定项；编制项目预算时留不留这笔法务机动金，直接反映一家承包商的纠纷经验值。案例还揭示了两个实务细节：其一，上诉人"双方未签订书面合同、无从约定管辖"的主张（P2006）未能改变管辖结论，说明工程地管辖规则的刚性——合同缺失不会带来管辖地的重新协商；其二，该裁定为终审裁定（P2006），管辖异议的程序出口就此关闭，应诉地点没有二次博弈机会。两者相加，承包商对"在哪里打官司"这件事的掌控力远比直觉认知更低，唯一主动的窗口在签约前的约定与项目选址评估阶段。</w:t>
      </w:r>
    </w:p>
    <w:p>
      <w:r>
        <w:rPr>
          <w:rFonts w:ascii="Calibri" w:hAnsi="Calibri" w:eastAsia="微软雅黑"/>
          <w:b w:val="0"/>
          <w:i w:val="0"/>
          <w:sz w:val="22"/>
        </w:rPr>
        <w:t>样本案件的内部机制，比篇数统计更值得逐案拆解。先看结算与证据端的三宗。浙江王卓成再审案（（2017）浙民申3281号）：涉案工程款769734元、含税金100400元，再审申请人坚称对方仅付56万元，法院却依其本人一审自认——2015年1月27日前已收57万元、2016年3月10日再收15万元、累计72万元——直接锁死付款口径（P2008）；税金部分则因其未提供税务发票等证据证明损失确已产生，法院依造价咨询报告认定的100400元予以扣除（P2008）。两处机制的买方译法：其一，对账与自认是单行道，签过字的确认文件日后会反锁自己的银行流水主张；其二，发票不是会计附件，而是税金请求权的构成要件——结算条款怎么写税、发票何时开，要在签约时而非争议后设计。河南汇河案（（2016）豫0327民初1133号）：单价条款按面积计（假山188元/㎡、温泉汤池2000元/㎡），业主未提供图纸迫使承包方边设计边施工，四项工程总造价8902476.4元、累计已付7432708元、尚欠1469768元；两份结算单固化了12702400元，而12项零星工程合计1017870元始终没有结算；原告最终只诉请结算单确认的部分、主动放弃2487638.4元（P2009）——诉讼策略向证据确定性全面收敛，没有结算文件的工程量连权利人自己都不敢主张，这正是证据完备度决定诉请规模的定量注脚。山东荣成案（（2010）荣崖民初字第443号）：合同把付款写成阶梯（形象进度至二层封顶付65%、主体封顶付80%、竣工后付到95%、5%留作保修金、保修期24个月），决算定案总价款5847961.15元；债务重组采用"协议日付50万元现金＋3套住宅抵顶697707元"的结构，抵顶房产因政府未给土地指标而无法办理过户，被告据此主张不可抗力，并反向主张质量维修费294620.28元（他人已修145585.88元、尚须149034.40元）对冲付款请求（P2033）——以物抵债把回款成败押在第三方行政条件上，质量抗辩则是付款诉讼里的标准对冲牌，两种机制都应在合同里预置对策条款。</w:t>
      </w:r>
    </w:p>
    <w:p>
      <w:r>
        <w:rPr>
          <w:rFonts w:ascii="Calibri" w:hAnsi="Calibri" w:eastAsia="微软雅黑"/>
          <w:b w:val="0"/>
          <w:i w:val="0"/>
          <w:sz w:val="22"/>
        </w:rPr>
        <w:t>再看分包链条与执行端的两宗。分包端，新乡刘春新案（新中民五终字第519号）：两份施工合同（发酵车间、空压站）第三部分第十一项38.1均白纸黑字约定"本工程不允许分包"，但一建公司工作人员（兼空压站合同委托代理人）李俊科仍以个人名义把铝合金窗工程交给刘春新施工，核算价款315628元、已付40000元、留下275000元欠条，诉讼把公司、个人与发包方（欠付工程款范围内承担连带责任）一并卷入（P2010）。佛山陈松何案（（2012）佛明法民一初字第797号）则呈双层结构：丰溪公司承接工程后非法分包给王祺、王祺再违法分包给余建盛，欠款以《付款协议书》固化为62100元、分二期还款，诉请沿链条主张连带清偿并按央行同期贷款利率四倍计息（P2016）。两案合读的结论很冷：合同里的分包禁令挡不住项目层个体的实际操作，纸面合规与链条责任之间永远有缝，连带清偿请求正是法律填缝的方式——总承包商管理分包链条，本质上是在管理自己成为共同被告的概率；对买方，核查承包商时多问一句"项目章谁管、分包授权有没有白名单"，比看其合规宣言有效。执行端，宁波孙计玲案（（2021）浙0211执异62号之一）：判决进入执行（（2021）浙0211执716号）后，被执行公司名下已无任何财产可供执行，申请人转而主张该公司由夫妻二人于2011年5月共同发起设立、认缴注册资本50万元、丈夫持股90％、妻子持股10％、一人管项目业务一人管财务，实质构成一人公司，请求依变更追加被执行人的司法解释第二十条追加两股东承担连带清偿责任（P2017）。此案的提示是：胜诉判决只是上半场，执行不能时战线还要向股东穿透——回款风险的全周期必须按"判决→执行→追加"三段设计，任何一段断链，账面胜诉都兑换不成现金。</w:t>
      </w:r>
    </w:p>
    <w:p>
      <w:r>
        <w:rPr>
          <w:rFonts w:ascii="Calibri" w:hAnsi="Calibri" w:eastAsia="微软雅黑"/>
          <w:b w:val="0"/>
          <w:i w:val="0"/>
          <w:sz w:val="22"/>
        </w:rPr>
        <w:t>证据与程序的微观样本同样有折算价值。湖南凤凰县一宗堡坎工程纠纷（（2018）湘3123民初897号）：口头约定全包每立方米280元、据实结算，完工共砌790多立方米石方、付过4万元后欠182415.2元，因双方是朋友关系始终没有书面合同（P2011）——量、价、款三项证据全部要事后拼凑，人情生意是证据链的天敌。浙江谢祥灯案（（2010）浙温民终字第1640号）：民宅包工包料、口头约定按实际结算，被告持"工程款已全部结清"的收条抗辩；原告方先取得的两份笔迹鉴定意见认为签名非本人所写，法院委托的司法鉴定科学技术研究所司法鉴定中心则认定系本人所写，先前两份意见因此失去约束力（P2019）——鉴定机构之间的结论冲突，最终由委托程序的正当性裁决，单方委托的证据天然矮一头，这对总承包商自备证据时的委托路径是直接警示。广东一宗脚手架租赁纠纷（（2014）湛吴法民一初字第309号）：结算确认租金246254元后、收款前三天，双方补签一份原告方明言"名为租赁协议、实际为付款协议"的文件，当天到账146254元、余欠100000元；项目部则以原告曾收225万元劳务费尚未开票为由，把开具发票设为支付余款的前提（P2012）——结算后补签付款文件是固化债权的好技巧，发票捆绑付款则是拖欠的技术性理由，一正一反都值得抄进合同管理手册。程序成本侧还有两笔小账：撤诉仍须减半负担受理费（3914元收1957元、16347元收8173.50元，P2013），未按时预交受理费则直接按撤诉处理（P2007）——诉讼从立案第一天起就在烧现金，争议管理的最优解永远在签约前的条款层。把上述机制压成一张对照表，作为买方评审分包与回款安排时的速查底稿：</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争议机制</w:t>
            </w:r>
          </w:p>
        </w:tc>
        <w:tc>
          <w:tcPr>
            <w:tcW w:type="dxa" w:w="2075"/>
            <w:shd w:fill="1F3A5F"/>
          </w:tcPr>
          <w:p>
            <w:r>
              <w:rPr>
                <w:color w:val="FFFFFF"/>
              </w:rPr>
            </w:r>
            <w:r>
              <w:rPr>
                <w:rFonts w:ascii="Calibri" w:hAnsi="Calibri" w:eastAsia="微软雅黑"/>
                <w:b/>
                <w:i w:val="0"/>
                <w:color w:val="FFFFFF"/>
                <w:sz w:val="18"/>
              </w:rPr>
              <w:t>样本案件（案号）</w:t>
            </w:r>
          </w:p>
        </w:tc>
        <w:tc>
          <w:tcPr>
            <w:tcW w:type="dxa" w:w="2075"/>
            <w:shd w:fill="1F3A5F"/>
          </w:tcPr>
          <w:p>
            <w:r>
              <w:rPr>
                <w:color w:val="FFFFFF"/>
              </w:rPr>
            </w:r>
            <w:r>
              <w:rPr>
                <w:rFonts w:ascii="Calibri" w:hAnsi="Calibri" w:eastAsia="微软雅黑"/>
                <w:b/>
                <w:i w:val="0"/>
                <w:color w:val="FFFFFF"/>
                <w:sz w:val="18"/>
              </w:rPr>
              <w:t>关键数字</w:t>
            </w:r>
          </w:p>
        </w:tc>
        <w:tc>
          <w:tcPr>
            <w:tcW w:type="dxa" w:w="2075"/>
            <w:shd w:fill="1F3A5F"/>
          </w:tcPr>
          <w:p>
            <w:r>
              <w:rPr>
                <w:color w:val="FFFFFF"/>
              </w:rPr>
            </w:r>
            <w:r>
              <w:rPr>
                <w:rFonts w:ascii="Calibri" w:hAnsi="Calibri" w:eastAsia="微软雅黑"/>
                <w:b/>
                <w:i w:val="0"/>
                <w:color w:val="FFFFFF"/>
                <w:sz w:val="18"/>
              </w:rPr>
              <w:t>买方对策</w:t>
            </w:r>
          </w:p>
        </w:tc>
      </w:tr>
      <w:tr>
        <w:tc>
          <w:tcPr>
            <w:tcW w:type="dxa" w:w="2075"/>
          </w:tcPr>
          <w:p>
            <w:r/>
            <w:r>
              <w:rPr>
                <w:rFonts w:ascii="Calibri" w:hAnsi="Calibri" w:eastAsia="微软雅黑"/>
                <w:b w:val="0"/>
                <w:i w:val="0"/>
                <w:sz w:val="18"/>
              </w:rPr>
              <w:t>自认锁定付款口径</w:t>
            </w:r>
          </w:p>
        </w:tc>
        <w:tc>
          <w:tcPr>
            <w:tcW w:type="dxa" w:w="2075"/>
          </w:tcPr>
          <w:p>
            <w:r/>
            <w:r>
              <w:rPr>
                <w:rFonts w:ascii="Calibri" w:hAnsi="Calibri" w:eastAsia="微软雅黑"/>
                <w:b w:val="0"/>
                <w:i w:val="0"/>
                <w:sz w:val="18"/>
              </w:rPr>
              <w:t>浙江王卓成再审案（（2017）浙民申3281号）</w:t>
            </w:r>
          </w:p>
        </w:tc>
        <w:tc>
          <w:tcPr>
            <w:tcW w:type="dxa" w:w="2075"/>
          </w:tcPr>
          <w:p>
            <w:r/>
            <w:r>
              <w:rPr>
                <w:rFonts w:ascii="Calibri" w:hAnsi="Calibri" w:eastAsia="微软雅黑"/>
                <w:b w:val="0"/>
                <w:i w:val="0"/>
                <w:sz w:val="18"/>
              </w:rPr>
              <w:t>自认累计已付72万元对主张56万元（P2008）</w:t>
            </w:r>
          </w:p>
        </w:tc>
        <w:tc>
          <w:tcPr>
            <w:tcW w:type="dxa" w:w="2075"/>
          </w:tcPr>
          <w:p>
            <w:r/>
            <w:r>
              <w:rPr>
                <w:rFonts w:ascii="Calibri" w:hAnsi="Calibri" w:eastAsia="微软雅黑"/>
                <w:b w:val="0"/>
                <w:i w:val="0"/>
                <w:sz w:val="18"/>
              </w:rPr>
              <w:t>对账确认文件统一归口，慎签含确认表述的函件</w:t>
            </w:r>
          </w:p>
        </w:tc>
      </w:tr>
      <w:tr>
        <w:tc>
          <w:tcPr>
            <w:tcW w:type="dxa" w:w="2075"/>
          </w:tcPr>
          <w:p>
            <w:r/>
            <w:r>
              <w:rPr>
                <w:rFonts w:ascii="Calibri" w:hAnsi="Calibri" w:eastAsia="微软雅黑"/>
                <w:b w:val="0"/>
                <w:i w:val="0"/>
                <w:sz w:val="18"/>
              </w:rPr>
              <w:t>税金随发票扣除</w:t>
            </w:r>
          </w:p>
        </w:tc>
        <w:tc>
          <w:tcPr>
            <w:tcW w:type="dxa" w:w="2075"/>
          </w:tcPr>
          <w:p>
            <w:r/>
            <w:r>
              <w:rPr>
                <w:rFonts w:ascii="Calibri" w:hAnsi="Calibri" w:eastAsia="微软雅黑"/>
                <w:b w:val="0"/>
                <w:i w:val="0"/>
                <w:sz w:val="18"/>
              </w:rPr>
              <w:t>同上</w:t>
            </w:r>
          </w:p>
        </w:tc>
        <w:tc>
          <w:tcPr>
            <w:tcW w:type="dxa" w:w="2075"/>
          </w:tcPr>
          <w:p>
            <w:r/>
            <w:r>
              <w:rPr>
                <w:rFonts w:ascii="Calibri" w:hAnsi="Calibri" w:eastAsia="微软雅黑"/>
                <w:b w:val="0"/>
                <w:i w:val="0"/>
                <w:sz w:val="18"/>
              </w:rPr>
              <w:t>税金100400元依造价咨询报告认定扣除（P2008）</w:t>
            </w:r>
          </w:p>
        </w:tc>
        <w:tc>
          <w:tcPr>
            <w:tcW w:type="dxa" w:w="2075"/>
          </w:tcPr>
          <w:p>
            <w:r/>
            <w:r>
              <w:rPr>
                <w:rFonts w:ascii="Calibri" w:hAnsi="Calibri" w:eastAsia="微软雅黑"/>
                <w:b w:val="0"/>
                <w:i w:val="0"/>
                <w:sz w:val="18"/>
              </w:rPr>
              <w:t>结算条款写明含税口径与开票时点</w:t>
            </w:r>
          </w:p>
        </w:tc>
      </w:tr>
      <w:tr>
        <w:tc>
          <w:tcPr>
            <w:tcW w:type="dxa" w:w="2075"/>
          </w:tcPr>
          <w:p>
            <w:r/>
            <w:r>
              <w:rPr>
                <w:rFonts w:ascii="Calibri" w:hAnsi="Calibri" w:eastAsia="微软雅黑"/>
                <w:b w:val="0"/>
                <w:i w:val="0"/>
                <w:sz w:val="18"/>
              </w:rPr>
              <w:t>零星工程无结算</w:t>
            </w:r>
          </w:p>
        </w:tc>
        <w:tc>
          <w:tcPr>
            <w:tcW w:type="dxa" w:w="2075"/>
          </w:tcPr>
          <w:p>
            <w:r/>
            <w:r>
              <w:rPr>
                <w:rFonts w:ascii="Calibri" w:hAnsi="Calibri" w:eastAsia="微软雅黑"/>
                <w:b w:val="0"/>
                <w:i w:val="0"/>
                <w:sz w:val="18"/>
              </w:rPr>
              <w:t>河南汇河案（（2016）豫0327民初1133号）</w:t>
            </w:r>
          </w:p>
        </w:tc>
        <w:tc>
          <w:tcPr>
            <w:tcW w:type="dxa" w:w="2075"/>
          </w:tcPr>
          <w:p>
            <w:r/>
            <w:r>
              <w:rPr>
                <w:rFonts w:ascii="Calibri" w:hAnsi="Calibri" w:eastAsia="微软雅黑"/>
                <w:b w:val="0"/>
                <w:i w:val="0"/>
                <w:sz w:val="18"/>
              </w:rPr>
              <w:t>12项1017870元无结算、原告放弃2487638.4元（P2009）</w:t>
            </w:r>
          </w:p>
        </w:tc>
        <w:tc>
          <w:tcPr>
            <w:tcW w:type="dxa" w:w="2075"/>
          </w:tcPr>
          <w:p>
            <w:r/>
            <w:r>
              <w:rPr>
                <w:rFonts w:ascii="Calibri" w:hAnsi="Calibri" w:eastAsia="微软雅黑"/>
                <w:b w:val="0"/>
                <w:i w:val="0"/>
                <w:sz w:val="18"/>
              </w:rPr>
              <w:t>零星工程逐项签认，竣工前清零</w:t>
            </w:r>
          </w:p>
        </w:tc>
      </w:tr>
      <w:tr>
        <w:tc>
          <w:tcPr>
            <w:tcW w:type="dxa" w:w="2075"/>
          </w:tcPr>
          <w:p>
            <w:r/>
            <w:r>
              <w:rPr>
                <w:rFonts w:ascii="Calibri" w:hAnsi="Calibri" w:eastAsia="微软雅黑"/>
                <w:b w:val="0"/>
                <w:i w:val="0"/>
                <w:sz w:val="18"/>
              </w:rPr>
              <w:t>以物抵债过户风险</w:t>
            </w:r>
          </w:p>
        </w:tc>
        <w:tc>
          <w:tcPr>
            <w:tcW w:type="dxa" w:w="2075"/>
          </w:tcPr>
          <w:p>
            <w:r/>
            <w:r>
              <w:rPr>
                <w:rFonts w:ascii="Calibri" w:hAnsi="Calibri" w:eastAsia="微软雅黑"/>
                <w:b w:val="0"/>
                <w:i w:val="0"/>
                <w:sz w:val="18"/>
              </w:rPr>
              <w:t>山东荣成案（（2010）荣崖民初字第443号）</w:t>
            </w:r>
          </w:p>
        </w:tc>
        <w:tc>
          <w:tcPr>
            <w:tcW w:type="dxa" w:w="2075"/>
          </w:tcPr>
          <w:p>
            <w:r/>
            <w:r>
              <w:rPr>
                <w:rFonts w:ascii="Calibri" w:hAnsi="Calibri" w:eastAsia="微软雅黑"/>
                <w:b w:val="0"/>
                <w:i w:val="0"/>
                <w:sz w:val="18"/>
              </w:rPr>
              <w:t>3套房抵697707元、决算总价5847961.15元（P2033）</w:t>
            </w:r>
          </w:p>
        </w:tc>
        <w:tc>
          <w:tcPr>
            <w:tcW w:type="dxa" w:w="2075"/>
          </w:tcPr>
          <w:p>
            <w:r/>
            <w:r>
              <w:rPr>
                <w:rFonts w:ascii="Calibri" w:hAnsi="Calibri" w:eastAsia="微软雅黑"/>
                <w:b w:val="0"/>
                <w:i w:val="0"/>
                <w:sz w:val="18"/>
              </w:rPr>
              <w:t>抵债条款预置过户担保与现金回转机制</w:t>
            </w:r>
          </w:p>
        </w:tc>
      </w:tr>
      <w:tr>
        <w:tc>
          <w:tcPr>
            <w:tcW w:type="dxa" w:w="2075"/>
          </w:tcPr>
          <w:p>
            <w:r/>
            <w:r>
              <w:rPr>
                <w:rFonts w:ascii="Calibri" w:hAnsi="Calibri" w:eastAsia="微软雅黑"/>
                <w:b w:val="0"/>
                <w:i w:val="0"/>
                <w:sz w:val="18"/>
              </w:rPr>
              <w:t>禁止分包被绕开</w:t>
            </w:r>
          </w:p>
        </w:tc>
        <w:tc>
          <w:tcPr>
            <w:tcW w:type="dxa" w:w="2075"/>
          </w:tcPr>
          <w:p>
            <w:r/>
            <w:r>
              <w:rPr>
                <w:rFonts w:ascii="Calibri" w:hAnsi="Calibri" w:eastAsia="微软雅黑"/>
                <w:b w:val="0"/>
                <w:i w:val="0"/>
                <w:sz w:val="18"/>
              </w:rPr>
              <w:t>新乡刘春新案（新中民五终字第519号）</w:t>
            </w:r>
          </w:p>
        </w:tc>
        <w:tc>
          <w:tcPr>
            <w:tcW w:type="dxa" w:w="2075"/>
          </w:tcPr>
          <w:p>
            <w:r/>
            <w:r>
              <w:rPr>
                <w:rFonts w:ascii="Calibri" w:hAnsi="Calibri" w:eastAsia="微软雅黑"/>
                <w:b w:val="0"/>
                <w:i w:val="0"/>
                <w:sz w:val="18"/>
              </w:rPr>
              <w:t>合同38.1约定不允许分包、欠条275000元（P2010）</w:t>
            </w:r>
          </w:p>
        </w:tc>
        <w:tc>
          <w:tcPr>
            <w:tcW w:type="dxa" w:w="2075"/>
          </w:tcPr>
          <w:p>
            <w:r/>
            <w:r>
              <w:rPr>
                <w:rFonts w:ascii="Calibri" w:hAnsi="Calibri" w:eastAsia="微软雅黑"/>
                <w:b w:val="0"/>
                <w:i w:val="0"/>
                <w:sz w:val="18"/>
              </w:rPr>
              <w:t>分包授权白名单＋项目章管控＋履约抽查</w:t>
            </w:r>
          </w:p>
        </w:tc>
      </w:tr>
      <w:tr>
        <w:tc>
          <w:tcPr>
            <w:tcW w:type="dxa" w:w="2075"/>
          </w:tcPr>
          <w:p>
            <w:r/>
            <w:r>
              <w:rPr>
                <w:rFonts w:ascii="Calibri" w:hAnsi="Calibri" w:eastAsia="微软雅黑"/>
                <w:b w:val="0"/>
                <w:i w:val="0"/>
                <w:sz w:val="18"/>
              </w:rPr>
              <w:t>双层违法分包连带</w:t>
            </w:r>
          </w:p>
        </w:tc>
        <w:tc>
          <w:tcPr>
            <w:tcW w:type="dxa" w:w="2075"/>
          </w:tcPr>
          <w:p>
            <w:r/>
            <w:r>
              <w:rPr>
                <w:rFonts w:ascii="Calibri" w:hAnsi="Calibri" w:eastAsia="微软雅黑"/>
                <w:b w:val="0"/>
                <w:i w:val="0"/>
                <w:sz w:val="18"/>
              </w:rPr>
              <w:t>佛山陈松何案（（2012）佛明法民一初字第797号）</w:t>
            </w:r>
          </w:p>
        </w:tc>
        <w:tc>
          <w:tcPr>
            <w:tcW w:type="dxa" w:w="2075"/>
          </w:tcPr>
          <w:p>
            <w:r/>
            <w:r>
              <w:rPr>
                <w:rFonts w:ascii="Calibri" w:hAnsi="Calibri" w:eastAsia="微软雅黑"/>
                <w:b w:val="0"/>
                <w:i w:val="0"/>
                <w:sz w:val="18"/>
              </w:rPr>
              <w:t>欠款62100元以付款协议书固化（P2016）</w:t>
            </w:r>
          </w:p>
        </w:tc>
        <w:tc>
          <w:tcPr>
            <w:tcW w:type="dxa" w:w="2075"/>
          </w:tcPr>
          <w:p>
            <w:r/>
            <w:r>
              <w:rPr>
                <w:rFonts w:ascii="Calibri" w:hAnsi="Calibri" w:eastAsia="微软雅黑"/>
                <w:b w:val="0"/>
                <w:i w:val="0"/>
                <w:sz w:val="18"/>
              </w:rPr>
              <w:t>分包商资质与转包禁令入约并核履约</w:t>
            </w:r>
          </w:p>
        </w:tc>
      </w:tr>
      <w:tr>
        <w:tc>
          <w:tcPr>
            <w:tcW w:type="dxa" w:w="2075"/>
          </w:tcPr>
          <w:p>
            <w:r/>
            <w:r>
              <w:rPr>
                <w:rFonts w:ascii="Calibri" w:hAnsi="Calibri" w:eastAsia="微软雅黑"/>
                <w:b w:val="0"/>
                <w:i w:val="0"/>
                <w:sz w:val="18"/>
              </w:rPr>
              <w:t>执行不能追加股东</w:t>
            </w:r>
          </w:p>
        </w:tc>
        <w:tc>
          <w:tcPr>
            <w:tcW w:type="dxa" w:w="2075"/>
          </w:tcPr>
          <w:p>
            <w:r/>
            <w:r>
              <w:rPr>
                <w:rFonts w:ascii="Calibri" w:hAnsi="Calibri" w:eastAsia="微软雅黑"/>
                <w:b w:val="0"/>
                <w:i w:val="0"/>
                <w:sz w:val="18"/>
              </w:rPr>
              <w:t>宁波孙计玲案（（2021）浙0211执异62号之一）</w:t>
            </w:r>
          </w:p>
        </w:tc>
        <w:tc>
          <w:tcPr>
            <w:tcW w:type="dxa" w:w="2075"/>
          </w:tcPr>
          <w:p>
            <w:r/>
            <w:r>
              <w:rPr>
                <w:rFonts w:ascii="Calibri" w:hAnsi="Calibri" w:eastAsia="微软雅黑"/>
                <w:b w:val="0"/>
                <w:i w:val="0"/>
                <w:sz w:val="18"/>
              </w:rPr>
              <w:t>认缴注册资本50万元、夫妻持股90％与10％（P2017）</w:t>
            </w:r>
          </w:p>
        </w:tc>
        <w:tc>
          <w:tcPr>
            <w:tcW w:type="dxa" w:w="2075"/>
          </w:tcPr>
          <w:p>
            <w:r/>
            <w:r>
              <w:rPr>
                <w:rFonts w:ascii="Calibri" w:hAnsi="Calibri" w:eastAsia="微软雅黑"/>
                <w:b w:val="0"/>
                <w:i w:val="0"/>
                <w:sz w:val="18"/>
              </w:rPr>
              <w:t>交易对手股权结构与实缴情况前置核查</w:t>
            </w:r>
          </w:p>
        </w:tc>
      </w:tr>
    </w:tbl>
    <w:p>
      <w:r>
        <w:rPr>
          <w:rFonts w:ascii="Calibri" w:hAnsi="Calibri" w:eastAsia="微软雅黑"/>
          <w:b w:val="0"/>
          <w:i w:val="0"/>
          <w:sz w:val="22"/>
        </w:rPr>
        <w:t>（对照内容依据P2008、P2009、P2010、P2016、P2017、P2033整理）</w:t>
      </w:r>
    </w:p>
    <w:p>
      <w:r>
        <w:rPr>
          <w:rFonts w:ascii="Calibri" w:hAnsi="Calibri" w:eastAsia="微软雅黑"/>
          <w:b w:val="0"/>
          <w:i w:val="0"/>
          <w:sz w:val="22"/>
        </w:rPr>
        <w:t>争议类型的分布图谱，行业实务书籍给出了系统清单。张旗、叶海、余灵颖合著的《工程总承包（EPC/DB）争议解决实战攻略》——本书系三位建设工程领域的年轻律师在实践工作中总结出的工作成果，既有风险管理应对策略，又有针对具体案件争议的分析，基于真实争议案例的分析论证既说明了真实问题的复杂性，又展现了专业律师解决现实问题的逻辑与思路，实务建议部分还有著者工程管理思维的体现（P2029）——按目录呈现的争议谱系可分三组。模式复合型：EPC＋O项目模式解析与法律风险控制，PPP＋EPC项目中政府方投资控制风险及应对策略；国际规则参照型：从2017版银皮书谈FIDIC对工程总承包合同终止的价格确定原则，由2017版银皮书DAAB条款谈FIDIC争端解决机制沿革及对国内工程多元化纠纷解决机制的启示；国内操作型：EPC联合体成员如何发起诉讼/仲裁，EPC项目中标后发现不平衡报价时发包人如何应对，EPC项目中设计失误、发包人是否要一起承担责任，EPC项目发生设计缺陷时设计人如何承担责任，EPC项目中发包人提供场地不合格时承包人能否索赔，未经核准的EPC项目长期停工、施工分包人如何进行索赔（书中附广东某火电扩建EPC项目停工索赔案），EPC项目中承包人未按约限额设计如何处理，材料涨价遭遇固定价格如何破解调差僵局，设计人采购的材料设备未单独计价、结算时如何主张，以及EPC合同按固定总价结算后、发包人能否以承包人虚报价款和虚构设备为由要求重新结算（P2029）。这份清单的可贵之处在于全部来自真实争议案例的归纳（P2029），每一条都是行业已经付出对价的经验。三组谱系的分布还透露出行业演进的方向感：模式复合型争议（EPC＋O、PPP＋EPC）对应商业模式创新的合规消化期，国际规则参照型（银皮书、DAAB）对应国内外合同体系的磨合期，而国内操作型争议条目最多、颗粒度最细（P2029），说明行业的主要矛盾仍集中在"签好一份总承包合同"这个基本功上——模式创新可以讲故事，合同基本功没有故事可讲，只有条款与证据。</w:t>
      </w:r>
    </w:p>
    <w:p>
      <w:r>
        <w:rPr>
          <w:rFonts w:ascii="Calibri" w:hAnsi="Calibri" w:eastAsia="微软雅黑"/>
          <w:b w:val="0"/>
          <w:i w:val="0"/>
          <w:sz w:val="22"/>
        </w:rPr>
        <w:t>把图谱投影到电力EPC，三类风险最值得买方盯住。第一类是设计责任穿透：设计失误时发包人可能连带担责、设计缺陷时设计人如何担责、未按约限额设计如何处理（P2029）——对"设计院身份"的总承包商，这类风险恰好打在其传统强项的反面：设计能力越被市场信任，设计责任的边界越容易被合同相对方放大，设计院出身的总承包商必须在合同里把设计责任的触发条件、限额与保险安排写成明线，否则强项会变成敞口。第二类是价格调整僵局：材料涨价遭遇固定价格的调差难题（P2029），在设备材料占成本大头的电力工程里是最常见也最致命的利润侵蚀源；广东某火电扩建EPC项目的停工索赔案（P2029）则提示，项目核准程序与工程进度的错配可能让争议在开工之前就埋好——电力行业的核准语境让这一条的风险权重显著高于一般工程。第三类是程序与组织风险：未经核准项目长期停工的索赔路径、联合体成员的争议发起路径（P2029），对应的是电力项目核准制与联合体投标的行业常态——联合体内部的责任划分与争议预案，应当在投标阶段而非诉讼阶段完成；固定总价结算后再被指虚报价款、虚构设备的重新结算之争（P2029），则提醒承包商结算资料的真实性与完备性本身就是护城河。从证据角度再补一句：样本案件里造价咨询报告、结算单、付款凭证这类书证的采信反复出现（P2008、P2009）——总承包商日常结算文件的管理水准，直接决定争议爆发时手里有没有牌；平时不留证，庭上无话说。总括一句：合同条款的设计精度，就是未来利润的边界精度；司法地形图上标注的每一条沟壑，都应当在签约前被走一遍。落到执行层，买方可以要求承包商提供三份文件作为风险管理的底稿：设计责任条款清单（对应设计失误、设计缺陷、限额设计三类争议）、价格调整条款清单（对应材料涨价与固定总价的僵局）、程序合规清单（对应核准、停工与联合体安排）——三份清单齐备、且能与争议图谱（P2029）逐条对得上号的承包商，司法地形的学费大概率已经交过；一份都拿不出的承包商，学费可能要由下一个项目本身来交，而学费的承担方式，通常写作业主方的扣款与承包方的坏账。</w:t>
      </w:r>
    </w:p>
    <w:p>
      <w:pPr>
        <w:pStyle w:val="Heading2"/>
      </w:pPr>
      <w:r>
        <w:t>2.8 本章小结与盲区</w:t>
      </w:r>
    </w:p>
    <w:p>
      <w:r>
        <w:rPr>
          <w:rFonts w:ascii="Calibri" w:hAnsi="Calibri" w:eastAsia="微软雅黑"/>
          <w:b w:val="0"/>
          <w:i w:val="0"/>
          <w:sz w:val="22"/>
        </w:rPr>
        <w:t>本章把电力设计与总承包的政策坐标系拆成三层来读。国家主线层面：建市[2016]93号文与国办发[2017]19号文确立"大力发展工程总承包（以EPC为主）"的路线（P2001），2019年12月23日发布、2020年3月1日生效的《管理办法》（建市规〔2019〕12号）确立组织与责任框架（P2001、P2003），2020年8月28日多部门联合印发的新型建筑工业化意见把总承包升格为产业政策抓手（P2004）。省级落地层面：2017至2021年合计112份省级文件（own_calc：41＋22＋13＋18＋18，各年份数分别锚P2001、P2001、P2001、P2001、P2002），此后供给换挡至专项细化，四川的落点在计价指导意见（P2000）。司法层面：专属管辖规则（P2006）与设计责任、价格调整、停工索赔三大争议簇（P2029）划出风险边界。三层合起来，构成"能做多大、在哪儿做、输了去哪儿讲理"的完整坐标系；对买方，这张图的价值不在预测，而在把决策所需的规则变量一次性摊开——政策允许的射程、属地的操作差异、法院的裁判倾向，任何一个变量误读都足以吞掉一个项目的利润。使用这张坐标系还有一条纪律：政策变量是慢变量，司法变量是快变量。省级政策的修订以年为单位（见2.2节的逐年曲线，P2000、P2001、P2002），而一份判决可能在一次结算谈判里就改变双方的议价地位（P2029）；买方的规则监控因此应当两条腿走路——政策端做年度复核，司法端做项目级复核，混用节奏会让两头都失焦。三条使用建议作为收束：把国家主线当作战略假设的边界条件，把省级细则当作投标前的核对清单，把司法图谱当作合同评审的负面清单——三者各归其位，坐标系才算真正装进决策流程。坐标系还给后续章节提供了参照系：讨论公司战略（第3章起）时，任何一项能力主张都应能在这三层坐标系里找到对应的规则落点，找不到落点的能力主张，多半是讲故事。同理，任何一项风险提示也应能在三层坐标里找到对应层——找不到对应层的风险提示，多半是话术而非风险。在三层坐标之外，本章还铺了两块横向拼图：一块是政策信息的公共品属性（同文异库证据，P2004、P2005），说明规则环境对所有从业者同质、竞争的真断层在组织能力、属地履约与司法经验一侧（见2.5节）；另一块是坐标系的用法层——接入行研框架的外部因素与景气度两轴（P2032）、配上动态竞争透镜（P2022）与三条按"基线—推演—反证"格式展开的趋势证据链（见2.6节），使这张图既能读、也能直接嵌进买方自己的分析模板与跟踪清单。</w:t>
      </w:r>
    </w:p>
    <w:p>
      <w:r>
        <w:rPr>
          <w:rFonts w:ascii="Calibri" w:hAnsi="Calibri" w:eastAsia="微软雅黑"/>
          <w:b w:val="0"/>
          <w:i w:val="0"/>
          <w:sz w:val="22"/>
        </w:rPr>
        <w:t>本章的证据盲区与不确定处，如实列示如下：</w:t>
      </w:r>
    </w:p>
    <w:p>
      <w:r>
        <w:rPr>
          <w:rFonts w:ascii="Calibri" w:hAnsi="Calibri" w:eastAsia="微软雅黑"/>
          <w:b w:val="0"/>
          <w:i w:val="0"/>
          <w:sz w:val="22"/>
        </w:rPr>
        <w:t>其一，电力行业专属政策层证据缺位。本批证据以房建市政口径的《管理办法》及地方政策观察为主，未获得电力行业专门规则文本（电力项目核准与建设管理、电力工程质量监督、电网工程建设管理等），"电力专属规则如何叠加在通用总承包规则之上"只能以行业文献侧写（P2014、P2015、P2025），该层未覆盖，相关结论外推需谨慎；后续章节若引入电力行业专项法规库，应优先补齐此层。</w:t>
      </w:r>
    </w:p>
    <w:p>
      <w:r>
        <w:rPr>
          <w:rFonts w:ascii="Calibri" w:hAnsi="Calibri" w:eastAsia="微软雅黑"/>
          <w:b w:val="0"/>
          <w:i w:val="0"/>
          <w:sz w:val="22"/>
        </w:rPr>
        <w:t>其二，裁判文书样本口径不稳。年卷样本量2019年、2020年陡增（41550篇、42935篇）而2021年骤降（324篇）（P2006、P2007、P2017），采集口径与文书公开节奏混杂，逐年比较只能作方向性参考；且样本主体为房建类施工合同纠纷，电力EPC专属判例未单独析出，司法结论对电力场景的代表性有限；建议后续以完整口径的司法检索平台复核后再作逐年趋势引用。</w:t>
      </w:r>
    </w:p>
    <w:p>
      <w:r>
        <w:rPr>
          <w:rFonts w:ascii="Calibri" w:hAnsi="Calibri" w:eastAsia="微软雅黑"/>
          <w:b w:val="0"/>
          <w:i w:val="0"/>
          <w:sz w:val="22"/>
        </w:rPr>
        <w:t>其三，关键数字存在转述链风险。"2020年推动装配式建筑占比达30%"来自转载文章的AI导读（P2004），本报告未核对政策原文，该数字在引用时应溯源确认后再作依据；凡涉及该目标的下游推算，均应视为待验证假设。</w:t>
      </w:r>
    </w:p>
    <w:p>
      <w:r>
        <w:rPr>
          <w:rFonts w:ascii="Calibri" w:hAnsi="Calibri" w:eastAsia="微软雅黑"/>
          <w:b w:val="0"/>
          <w:i w:val="0"/>
          <w:sz w:val="22"/>
        </w:rPr>
        <w:t>其四，省级政策计数存在源内矛盾。2022年度观察称"6个省级地方"出台文件（P2000），但其正文实际列举的地域名称多于六个（西藏、广西、宁夏、山东、四川、上海、海南，另加尚在征求意见阶段的湖南，P2000），是否计入征求意见稿与配套文本口径不明；本章计数以原文表述为准，存疑待核。</w:t>
      </w:r>
    </w:p>
    <w:p>
      <w:r>
        <w:rPr>
          <w:rFonts w:ascii="Calibri" w:hAnsi="Calibri" w:eastAsia="微软雅黑"/>
          <w:b w:val="0"/>
          <w:i w:val="0"/>
          <w:sz w:val="22"/>
        </w:rPr>
        <w:t>其五，资质改革维度无锚。本章检索主题包含资质改革，但本批证据中未出现可直接引用的资质管理制度改革文本，资质规则的历史变迁与现行门槛对本章主题的影响无法评估，如实空缺，留待后续章节以专项证据补齐；在补齐之前，本章对"资质门槛如何影响电力设计院总承包业务半径"的任何推断都不成立，读者应将其视为开放问题而非结论。</w:t>
      </w:r>
    </w:p>
    <w:p>
      <w:r>
        <w:rPr>
          <w:rFonts w:ascii="Calibri" w:hAnsi="Calibri" w:eastAsia="微软雅黑"/>
          <w:b w:val="0"/>
          <w:i w:val="0"/>
          <w:sz w:val="22"/>
        </w:rPr>
        <w:t>其六，方法论跨界源的边界未定标。本章新增引用的行业研究方法专著（P2032）与战略管理课程讲义（P2022）均为通用方法论材料，非电力行业实证；由其衍生的景气度代理、竞争加速解释属于分析视角而非实证结论，行业内尚无专项数据交叉验证，读者引用时应连同此边界一并标注。</w:t>
      </w:r>
    </w:p>
    <w:p>
      <w:r>
        <w:rPr>
          <w:rFonts w:ascii="Calibri" w:hAnsi="Calibri" w:eastAsia="微软雅黑"/>
          <w:b w:val="0"/>
          <w:i w:val="0"/>
          <w:sz w:val="22"/>
        </w:rPr>
        <w:t>其七，弹药库存在噪声件与重复件。本批证据中，P2018、P2020、P2021、P2024、P2028、P2031为与本章主题无关的通用资讯与社群日志（检索噪声），P2027、P2030、P2034为已采文本的同名docx二进制副本，本章一律未采用；同文异库证据（P2004、P2005）仅能证明同一政策解读文本在两家调研语料中流通，不能证明两家企业的政策运用水平差异，"政策信息无壁垒"的判断据此限定在公开知识层面，企业内部加工能力的外推仍属推演而非实证。</w:t>
      </w:r>
    </w:p>
    <w:p>
      <w:r>
        <w:rPr>
          <w:rFonts w:ascii="Calibri" w:hAnsi="Calibri" w:eastAsia="微软雅黑"/>
          <w:b w:val="0"/>
          <w:i w:val="0"/>
          <w:sz w:val="22"/>
        </w:rPr>
        <w:t>---</w:t>
      </w:r>
    </w:p>
    <w:p>
      <w:pPr>
        <w:pStyle w:val="Heading1"/>
      </w:pPr>
      <w:r>
        <w:t>第3章 市场底账：输变电、新能源与储能的规模与口径</w:t>
      </w:r>
    </w:p>
    <w:p>
      <w:pPr>
        <w:ind w:left="454"/>
      </w:pPr>
      <w:r>
        <w:rPr>
          <w:rFonts w:ascii="Calibri" w:hAnsi="Calibri" w:eastAsia="微软雅黑"/>
          <w:b w:val="0"/>
          <w:i w:val="0"/>
          <w:color w:val="666666"/>
          <w:sz w:val="22"/>
        </w:rPr>
        <w:t>买市场先买底账。本章把输变电、新能源、储能三个市场的规模证据与统计口径逐一摊开：储能的价格带与竞标密度、新能源的成本通缩与纠纷地理、输变电的电压等级阶梯——并明示每处口径分歧对投资判断的影响。</w:t>
      </w:r>
    </w:p>
    <w:p>
      <w:pPr>
        <w:pStyle w:val="Heading2"/>
      </w:pPr>
      <w:r>
        <w:t>3.1 口径先行：EPC的边界、立项制度与"文书口径"</w:t>
      </w:r>
    </w:p>
    <w:p>
      <w:r>
        <w:rPr>
          <w:rFonts w:ascii="Calibri" w:hAnsi="Calibri" w:eastAsia="微软雅黑"/>
          <w:b w:val="0"/>
          <w:i w:val="0"/>
          <w:sz w:val="22"/>
        </w:rPr>
        <w:t>任何市场底账都先问口径。本章涉及的三个市场——输变电、新能源、新型储能——在承发包口径上共用一个框架：EPC（设计-采购-施工一体化），整套建设流程覆盖设计、设备采购、施工、安装和调试直至竣工移交；合同一般采取固定总价形式，款项包含预付款、工程进度款与完工后结算款，支付采用"里程碑式的付款方式"，最终支付合同价款必须通过竣工验收（P3013）。对买方而言，这意味着承包商报价锁定的是"交钥匙"全流程责任，而非分段的施工义务；电力设计院能否兑现这一责任，取决于其全过程控制体系是否完整。行业内系统论述该体系的专著以十五个章节覆盖总承包项目设计、采购、施工、试运行的全过程控制，并列明进度、质量、费用、HSE四类目标控制要素与综合、合同、范围、资源、信息、沟通、风险、变更等管理控制要素（P3033）——这份"十五章"的清单本身就是一张能力口径表：缺少任何一章，EPC报价的完整性就要打折。</w:t>
      </w:r>
    </w:p>
    <w:p>
      <w:r>
        <w:rPr>
          <w:rFonts w:ascii="Calibri" w:hAnsi="Calibri" w:eastAsia="微软雅黑"/>
          <w:b w:val="0"/>
          <w:i w:val="0"/>
          <w:sz w:val="22"/>
        </w:rPr>
        <w:t>这套体系并非纸面理想，其目录本身就是一张行业能力地图。"总论"一章覆盖国际项目管理发展进程、国际项目管理发展趋势、中国项目管理及建设模式发展进程、中国工程勘察设计行业发展现状、国际工程市场发展趋势、国际工程公司的发展历程与EPC总承包管理的发展趋势等节（P3033）；"工程公司组织结构"一章则逐节讨论工程公司组织结构和应具备的能力、需应对的各方面变化、组织架构设立、项目部的典型组织机构、项目经理及各部门经理的岗位职责，并给出EPC项目组织机构案例（P3033）；"EPC项目建设阶段全过程管理"一章按项目启动、策划、实施、控制、收尾的子过程展开，以戴明循环管理法为适宜的管理方法，并单列项目合同管理与项目范围管理（P3033）。该专著明示其读者对象涵盖化工、石油化工、煤化工、医药、电力、基础设施建设等领域的工程公司（P3033）——把电力与流程工业并列为EPC适用场景，说明电力EPC的方法论之根在工业工程而非房建，这是评估电力设计院总承包能力时容易被错置的参照系。学术侧的同口径信号同样存在：已有学位论文以"EPC总承包工程项目管理成熟度评价研究——以电力设计院为视角"为题（P3022），另有研究专门处理"EPC总承包模式下的核电项目管理技术研究"（P3023）——电力设计院的EPC成熟度已经是可度量、可比较的研究对象，而非只可意会的经验之谈。顺带把名词口径钉死：EPC即Engineering（设计）、Procurement（采购）和Construction（施工）三个英文单词首字母的缩写，也被称为交钥匙工程（P3011）。</w:t>
      </w:r>
    </w:p>
    <w:p>
      <w:r>
        <w:rPr>
          <w:rFonts w:ascii="Calibri" w:hAnsi="Calibri" w:eastAsia="微软雅黑"/>
          <w:b w:val="0"/>
          <w:i w:val="0"/>
          <w:sz w:val="22"/>
        </w:rPr>
        <w:t>立项口径决定项目何时进入市场、以什么身份进入市场。按照国家和行业有关规定，我国风电项目实行核准制，光伏发电项目实行备案制（P3013）；也就是说，同一个"新能源市场"里，风电视的是核准节奏、光伏看的是备案流量，两个子市场的放量时点天然错位，直接拿"新能源装机"一个数做投资节奏依据会踩空。需求侧的口径同样在变：全国首个"沙戈荒"新能源大基地配套调峰电源已于近期全容量投产，消息来源为国家能源投资集团，发布日期为2026年10月10日（P3012）——大基地配储、调峰电源配套，意味着"新能源市场"的边界正在向灵活性资源延伸，设计院的合同机会随之从电站本体扩展到调峰配套。</w:t>
      </w:r>
    </w:p>
    <w:p>
      <w:r>
        <w:rPr>
          <w:rFonts w:ascii="Calibri" w:hAnsi="Calibri" w:eastAsia="微软雅黑"/>
          <w:b w:val="0"/>
          <w:i w:val="0"/>
          <w:sz w:val="22"/>
        </w:rPr>
        <w:t>运作流程的口径同样有明文可依。新能源项目EPC运作基本业务流程包括：前期准备、EPC招标、中标及合同签订、项目设计施工、工程竣工及并网验收（P3013）。前期准备由业主负责，又分为项目前期开发与项目备案两部分：业主需通过资料收集、现场调研、技术方案测算明确投资技术可行性与项目发展必要性，并在确定开发意向后与地方政府密切联系，确保项目顺利通过核准或备案并完成其他前期合规手续（P3013）。对承包商的推论很直接：进入EPC招标之前，项目已经带着业主侧的合规完成度与设计边界入场，承包商接手的是"从设计施工到并网验收"的后半程（P3013）——并网验收写在流程终点，意味着工期责任的实质是并网时点而非交工时点，本章3.2节嘉峪关项目"工期不超过180天、2024年11月30日并网发电"的条款（P3005）正是这一口径的执行版。至于EPC为何适配新能源工程，行业分析的归纳有四条：其一，新能源项目建设周期较短、工程规模普遍不大、设备费用占比较大，这些特点在EPC总承包模式下能够得到很好的适应，满足业主方要求；其二，总承包单位从设计阶段开始介入，凭借专业优势提供个性化、精细化的定制服务；其三，新能源项目设备采购环节往往有诸多特殊要求且地位特殊，EPC模式下设计阶段即可对采购严格把控与规划，实现两个环节无缝对接，降低设计变更的负面影响；其四，业主将整个项目完整交付总承包单位，在总承包合同约束下保质保量、缩短工期、降低项目投资（P3013）。这四条归纳对买方的操作含义是：新能源EPC的溢价来源被清楚限定在"设计前置+采购整合+责任集中"三点上，报价谈判应围绕这三点展开，而不是笼统地比较总价。</w:t>
      </w:r>
    </w:p>
    <w:p>
      <w:r>
        <w:rPr>
          <w:rFonts w:ascii="Calibri" w:hAnsi="Calibri" w:eastAsia="微软雅黑"/>
          <w:b w:val="0"/>
          <w:i w:val="0"/>
          <w:sz w:val="22"/>
        </w:rPr>
        <w:t>第三套口径来自司法统计，它度量的是市场的风险面。有法院认为建设工程合同法律关系不能涵盖EPC总承包合同的全部内容，转而将EPC总承包合同定性为承揽合同，而合同定性的不同会影响合同效力、管辖地确定等实体权利义务（P3011）。在研究人员收集的2015年1月1日至2019年12月31日裁判文书共154份中，最高院35份、各地高院119份（own_calc：35+119=154，与样本总数吻合）（P3011）；案由结构上，建设工程施工合同纠纷占比51.3%、买卖合同纠纷占比27.3%、承揽合同纠纷占比7%（P3011），三类案由合计（51.3+27.3+7，own_calc）已逼近九成——涉诉能量压在"施工+设备+定性"三条线上，EPC买方的合同条款权重应当据此分配。</w:t>
      </w:r>
    </w:p>
    <w:p>
      <w:r>
        <w:rPr>
          <w:rFonts w:ascii="Calibri" w:hAnsi="Calibri" w:eastAsia="微软雅黑"/>
          <w:b w:val="0"/>
          <w:i w:val="0"/>
          <w:sz w:val="22"/>
        </w:rPr>
        <w:t>本报告弹药库抓取的裁判文书卷量，提供了另一条按年度展开的口径线索：</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年份</w:t>
            </w:r>
          </w:p>
        </w:tc>
        <w:tc>
          <w:tcPr>
            <w:tcW w:type="dxa" w:w="2767"/>
            <w:shd w:fill="1F3A5F"/>
          </w:tcPr>
          <w:p>
            <w:r>
              <w:rPr>
                <w:color w:val="FFFFFF"/>
              </w:rPr>
            </w:r>
            <w:r>
              <w:rPr>
                <w:rFonts w:ascii="Calibri" w:hAnsi="Calibri" w:eastAsia="微软雅黑"/>
                <w:b/>
                <w:i w:val="0"/>
                <w:color w:val="FFFFFF"/>
                <w:sz w:val="18"/>
              </w:rPr>
              <w:t>弹药库该年度EPC相关文书（篇）</w:t>
            </w:r>
          </w:p>
        </w:tc>
        <w:tc>
          <w:tcPr>
            <w:tcW w:type="dxa" w:w="2767"/>
            <w:shd w:fill="1F3A5F"/>
          </w:tcPr>
          <w:p>
            <w:r>
              <w:rPr>
                <w:color w:val="FFFFFF"/>
              </w:rPr>
            </w:r>
            <w:r>
              <w:rPr>
                <w:rFonts w:ascii="Calibri" w:hAnsi="Calibri" w:eastAsia="微软雅黑"/>
                <w:b/>
                <w:i w:val="0"/>
                <w:color w:val="FFFFFF"/>
                <w:sz w:val="18"/>
              </w:rPr>
              <w:t>证据锚</w:t>
            </w:r>
          </w:p>
        </w:tc>
      </w:tr>
      <w:tr>
        <w:tc>
          <w:tcPr>
            <w:tcW w:type="dxa" w:w="2767"/>
          </w:tcPr>
          <w:p>
            <w:r/>
            <w:r>
              <w:rPr>
                <w:rFonts w:ascii="Calibri" w:hAnsi="Calibri" w:eastAsia="微软雅黑"/>
                <w:b w:val="0"/>
                <w:i w:val="0"/>
                <w:sz w:val="18"/>
              </w:rPr>
              <w:t>2010</w:t>
            </w:r>
          </w:p>
        </w:tc>
        <w:tc>
          <w:tcPr>
            <w:tcW w:type="dxa" w:w="2767"/>
          </w:tcPr>
          <w:p>
            <w:r/>
            <w:r>
              <w:rPr>
                <w:rFonts w:ascii="Calibri" w:hAnsi="Calibri" w:eastAsia="微软雅黑"/>
                <w:b w:val="0"/>
                <w:i w:val="0"/>
                <w:sz w:val="18"/>
              </w:rPr>
              <w:t>148</w:t>
            </w:r>
          </w:p>
        </w:tc>
        <w:tc>
          <w:tcPr>
            <w:tcW w:type="dxa" w:w="2767"/>
          </w:tcPr>
          <w:p>
            <w:r/>
            <w:r>
              <w:rPr>
                <w:rFonts w:ascii="Calibri" w:hAnsi="Calibri" w:eastAsia="微软雅黑"/>
                <w:b w:val="0"/>
                <w:i w:val="0"/>
                <w:sz w:val="18"/>
              </w:rPr>
              <w:t>P3027</w:t>
            </w:r>
          </w:p>
        </w:tc>
      </w:tr>
      <w:tr>
        <w:tc>
          <w:tcPr>
            <w:tcW w:type="dxa" w:w="2767"/>
          </w:tcPr>
          <w:p>
            <w:r/>
            <w:r>
              <w:rPr>
                <w:rFonts w:ascii="Calibri" w:hAnsi="Calibri" w:eastAsia="微软雅黑"/>
                <w:b w:val="0"/>
                <w:i w:val="0"/>
                <w:sz w:val="18"/>
              </w:rPr>
              <w:t>2012</w:t>
            </w:r>
          </w:p>
        </w:tc>
        <w:tc>
          <w:tcPr>
            <w:tcW w:type="dxa" w:w="2767"/>
          </w:tcPr>
          <w:p>
            <w:r/>
            <w:r>
              <w:rPr>
                <w:rFonts w:ascii="Calibri" w:hAnsi="Calibri" w:eastAsia="微软雅黑"/>
                <w:b w:val="0"/>
                <w:i w:val="0"/>
                <w:sz w:val="18"/>
              </w:rPr>
              <w:t>216</w:t>
            </w:r>
          </w:p>
        </w:tc>
        <w:tc>
          <w:tcPr>
            <w:tcW w:type="dxa" w:w="2767"/>
          </w:tcPr>
          <w:p>
            <w:r/>
            <w:r>
              <w:rPr>
                <w:rFonts w:ascii="Calibri" w:hAnsi="Calibri" w:eastAsia="微软雅黑"/>
                <w:b w:val="0"/>
                <w:i w:val="0"/>
                <w:sz w:val="18"/>
              </w:rPr>
              <w:t>P3024</w:t>
            </w:r>
          </w:p>
        </w:tc>
      </w:tr>
      <w:tr>
        <w:tc>
          <w:tcPr>
            <w:tcW w:type="dxa" w:w="2767"/>
          </w:tcPr>
          <w:p>
            <w:r/>
            <w:r>
              <w:rPr>
                <w:rFonts w:ascii="Calibri" w:hAnsi="Calibri" w:eastAsia="微软雅黑"/>
                <w:b w:val="0"/>
                <w:i w:val="0"/>
                <w:sz w:val="18"/>
              </w:rPr>
              <w:t>2013</w:t>
            </w:r>
          </w:p>
        </w:tc>
        <w:tc>
          <w:tcPr>
            <w:tcW w:type="dxa" w:w="2767"/>
          </w:tcPr>
          <w:p>
            <w:r/>
            <w:r>
              <w:rPr>
                <w:rFonts w:ascii="Calibri" w:hAnsi="Calibri" w:eastAsia="微软雅黑"/>
                <w:b w:val="0"/>
                <w:i w:val="0"/>
                <w:sz w:val="18"/>
              </w:rPr>
              <w:t>2170</w:t>
            </w:r>
          </w:p>
        </w:tc>
        <w:tc>
          <w:tcPr>
            <w:tcW w:type="dxa" w:w="2767"/>
          </w:tcPr>
          <w:p>
            <w:r/>
            <w:r>
              <w:rPr>
                <w:rFonts w:ascii="Calibri" w:hAnsi="Calibri" w:eastAsia="微软雅黑"/>
                <w:b w:val="0"/>
                <w:i w:val="0"/>
                <w:sz w:val="18"/>
              </w:rPr>
              <w:t>P3021</w:t>
            </w:r>
          </w:p>
        </w:tc>
      </w:tr>
      <w:tr>
        <w:tc>
          <w:tcPr>
            <w:tcW w:type="dxa" w:w="2767"/>
          </w:tcPr>
          <w:p>
            <w:r/>
            <w:r>
              <w:rPr>
                <w:rFonts w:ascii="Calibri" w:hAnsi="Calibri" w:eastAsia="微软雅黑"/>
                <w:b w:val="0"/>
                <w:i w:val="0"/>
                <w:sz w:val="18"/>
              </w:rPr>
              <w:t>2014</w:t>
            </w:r>
          </w:p>
        </w:tc>
        <w:tc>
          <w:tcPr>
            <w:tcW w:type="dxa" w:w="2767"/>
          </w:tcPr>
          <w:p>
            <w:r/>
            <w:r>
              <w:rPr>
                <w:rFonts w:ascii="Calibri" w:hAnsi="Calibri" w:eastAsia="微软雅黑"/>
                <w:b w:val="0"/>
                <w:i w:val="0"/>
                <w:sz w:val="18"/>
              </w:rPr>
              <w:t>5275</w:t>
            </w:r>
          </w:p>
        </w:tc>
        <w:tc>
          <w:tcPr>
            <w:tcW w:type="dxa" w:w="2767"/>
          </w:tcPr>
          <w:p>
            <w:r/>
            <w:r>
              <w:rPr>
                <w:rFonts w:ascii="Calibri" w:hAnsi="Calibri" w:eastAsia="微软雅黑"/>
                <w:b w:val="0"/>
                <w:i w:val="0"/>
                <w:sz w:val="18"/>
              </w:rPr>
              <w:t>P3020</w:t>
            </w:r>
          </w:p>
        </w:tc>
      </w:tr>
      <w:tr>
        <w:tc>
          <w:tcPr>
            <w:tcW w:type="dxa" w:w="2767"/>
          </w:tcPr>
          <w:p>
            <w:r/>
            <w:r>
              <w:rPr>
                <w:rFonts w:ascii="Calibri" w:hAnsi="Calibri" w:eastAsia="微软雅黑"/>
                <w:b w:val="0"/>
                <w:i w:val="0"/>
                <w:sz w:val="18"/>
              </w:rPr>
              <w:t>2015</w:t>
            </w:r>
          </w:p>
        </w:tc>
        <w:tc>
          <w:tcPr>
            <w:tcW w:type="dxa" w:w="2767"/>
          </w:tcPr>
          <w:p>
            <w:r/>
            <w:r>
              <w:rPr>
                <w:rFonts w:ascii="Calibri" w:hAnsi="Calibri" w:eastAsia="微软雅黑"/>
                <w:b w:val="0"/>
                <w:i w:val="0"/>
                <w:sz w:val="18"/>
              </w:rPr>
              <w:t>8654</w:t>
            </w:r>
          </w:p>
        </w:tc>
        <w:tc>
          <w:tcPr>
            <w:tcW w:type="dxa" w:w="2767"/>
          </w:tcPr>
          <w:p>
            <w:r/>
            <w:r>
              <w:rPr>
                <w:rFonts w:ascii="Calibri" w:hAnsi="Calibri" w:eastAsia="微软雅黑"/>
                <w:b w:val="0"/>
                <w:i w:val="0"/>
                <w:sz w:val="18"/>
              </w:rPr>
              <w:t>P3018</w:t>
            </w:r>
          </w:p>
        </w:tc>
      </w:tr>
      <w:tr>
        <w:tc>
          <w:tcPr>
            <w:tcW w:type="dxa" w:w="2767"/>
          </w:tcPr>
          <w:p>
            <w:r/>
            <w:r>
              <w:rPr>
                <w:rFonts w:ascii="Calibri" w:hAnsi="Calibri" w:eastAsia="微软雅黑"/>
                <w:b w:val="0"/>
                <w:i w:val="0"/>
                <w:sz w:val="18"/>
              </w:rPr>
              <w:t>2016</w:t>
            </w:r>
          </w:p>
        </w:tc>
        <w:tc>
          <w:tcPr>
            <w:tcW w:type="dxa" w:w="2767"/>
          </w:tcPr>
          <w:p>
            <w:r/>
            <w:r>
              <w:rPr>
                <w:rFonts w:ascii="Calibri" w:hAnsi="Calibri" w:eastAsia="微软雅黑"/>
                <w:b w:val="0"/>
                <w:i w:val="0"/>
                <w:sz w:val="18"/>
              </w:rPr>
              <w:t>10763</w:t>
            </w:r>
          </w:p>
        </w:tc>
        <w:tc>
          <w:tcPr>
            <w:tcW w:type="dxa" w:w="2767"/>
          </w:tcPr>
          <w:p>
            <w:r/>
            <w:r>
              <w:rPr>
                <w:rFonts w:ascii="Calibri" w:hAnsi="Calibri" w:eastAsia="微软雅黑"/>
                <w:b w:val="0"/>
                <w:i w:val="0"/>
                <w:sz w:val="18"/>
              </w:rPr>
              <w:t>P3017</w:t>
            </w:r>
          </w:p>
        </w:tc>
      </w:tr>
      <w:tr>
        <w:tc>
          <w:tcPr>
            <w:tcW w:type="dxa" w:w="2767"/>
          </w:tcPr>
          <w:p>
            <w:r/>
            <w:r>
              <w:rPr>
                <w:rFonts w:ascii="Calibri" w:hAnsi="Calibri" w:eastAsia="微软雅黑"/>
                <w:b w:val="0"/>
                <w:i w:val="0"/>
                <w:sz w:val="18"/>
              </w:rPr>
              <w:t>2017</w:t>
            </w:r>
          </w:p>
        </w:tc>
        <w:tc>
          <w:tcPr>
            <w:tcW w:type="dxa" w:w="2767"/>
          </w:tcPr>
          <w:p>
            <w:r/>
            <w:r>
              <w:rPr>
                <w:rFonts w:ascii="Calibri" w:hAnsi="Calibri" w:eastAsia="微软雅黑"/>
                <w:b w:val="0"/>
                <w:i w:val="0"/>
                <w:sz w:val="18"/>
              </w:rPr>
              <w:t>11716</w:t>
            </w:r>
          </w:p>
        </w:tc>
        <w:tc>
          <w:tcPr>
            <w:tcW w:type="dxa" w:w="2767"/>
          </w:tcPr>
          <w:p>
            <w:r/>
            <w:r>
              <w:rPr>
                <w:rFonts w:ascii="Calibri" w:hAnsi="Calibri" w:eastAsia="微软雅黑"/>
                <w:b w:val="0"/>
                <w:i w:val="0"/>
                <w:sz w:val="18"/>
              </w:rPr>
              <w:t>P3016</w:t>
            </w:r>
          </w:p>
        </w:tc>
      </w:tr>
      <w:tr>
        <w:tc>
          <w:tcPr>
            <w:tcW w:type="dxa" w:w="2767"/>
          </w:tcPr>
          <w:p>
            <w:r/>
            <w:r>
              <w:rPr>
                <w:rFonts w:ascii="Calibri" w:hAnsi="Calibri" w:eastAsia="微软雅黑"/>
                <w:b w:val="0"/>
                <w:i w:val="0"/>
                <w:sz w:val="18"/>
              </w:rPr>
              <w:t>2018</w:t>
            </w:r>
          </w:p>
        </w:tc>
        <w:tc>
          <w:tcPr>
            <w:tcW w:type="dxa" w:w="2767"/>
          </w:tcPr>
          <w:p>
            <w:r/>
            <w:r>
              <w:rPr>
                <w:rFonts w:ascii="Calibri" w:hAnsi="Calibri" w:eastAsia="微软雅黑"/>
                <w:b w:val="0"/>
                <w:i w:val="0"/>
                <w:sz w:val="18"/>
              </w:rPr>
              <w:t>5754</w:t>
            </w:r>
          </w:p>
        </w:tc>
        <w:tc>
          <w:tcPr>
            <w:tcW w:type="dxa" w:w="2767"/>
          </w:tcPr>
          <w:p>
            <w:r/>
            <w:r>
              <w:rPr>
                <w:rFonts w:ascii="Calibri" w:hAnsi="Calibri" w:eastAsia="微软雅黑"/>
                <w:b w:val="0"/>
                <w:i w:val="0"/>
                <w:sz w:val="18"/>
              </w:rPr>
              <w:t>P3019</w:t>
            </w:r>
          </w:p>
        </w:tc>
      </w:tr>
      <w:tr>
        <w:tc>
          <w:tcPr>
            <w:tcW w:type="dxa" w:w="2767"/>
          </w:tcPr>
          <w:p>
            <w:r/>
            <w:r>
              <w:rPr>
                <w:rFonts w:ascii="Calibri" w:hAnsi="Calibri" w:eastAsia="微软雅黑"/>
                <w:b w:val="0"/>
                <w:i w:val="0"/>
                <w:sz w:val="18"/>
              </w:rPr>
              <w:t>2019</w:t>
            </w:r>
          </w:p>
        </w:tc>
        <w:tc>
          <w:tcPr>
            <w:tcW w:type="dxa" w:w="2767"/>
          </w:tcPr>
          <w:p>
            <w:r/>
            <w:r>
              <w:rPr>
                <w:rFonts w:ascii="Calibri" w:hAnsi="Calibri" w:eastAsia="微软雅黑"/>
                <w:b w:val="0"/>
                <w:i w:val="0"/>
                <w:sz w:val="18"/>
              </w:rPr>
              <w:t>41550</w:t>
            </w:r>
          </w:p>
        </w:tc>
        <w:tc>
          <w:tcPr>
            <w:tcW w:type="dxa" w:w="2767"/>
          </w:tcPr>
          <w:p>
            <w:r/>
            <w:r>
              <w:rPr>
                <w:rFonts w:ascii="Calibri" w:hAnsi="Calibri" w:eastAsia="微软雅黑"/>
                <w:b w:val="0"/>
                <w:i w:val="0"/>
                <w:sz w:val="18"/>
              </w:rPr>
              <w:t>P3015</w:t>
            </w:r>
          </w:p>
        </w:tc>
      </w:tr>
      <w:tr>
        <w:tc>
          <w:tcPr>
            <w:tcW w:type="dxa" w:w="2767"/>
          </w:tcPr>
          <w:p>
            <w:r/>
            <w:r>
              <w:rPr>
                <w:rFonts w:ascii="Calibri" w:hAnsi="Calibri" w:eastAsia="微软雅黑"/>
                <w:b w:val="0"/>
                <w:i w:val="0"/>
                <w:sz w:val="18"/>
              </w:rPr>
              <w:t>2020</w:t>
            </w:r>
          </w:p>
        </w:tc>
        <w:tc>
          <w:tcPr>
            <w:tcW w:type="dxa" w:w="2767"/>
          </w:tcPr>
          <w:p>
            <w:r/>
            <w:r>
              <w:rPr>
                <w:rFonts w:ascii="Calibri" w:hAnsi="Calibri" w:eastAsia="微软雅黑"/>
                <w:b w:val="0"/>
                <w:i w:val="0"/>
                <w:sz w:val="18"/>
              </w:rPr>
              <w:t>42935</w:t>
            </w:r>
          </w:p>
        </w:tc>
        <w:tc>
          <w:tcPr>
            <w:tcW w:type="dxa" w:w="2767"/>
          </w:tcPr>
          <w:p>
            <w:r/>
            <w:r>
              <w:rPr>
                <w:rFonts w:ascii="Calibri" w:hAnsi="Calibri" w:eastAsia="微软雅黑"/>
                <w:b w:val="0"/>
                <w:i w:val="0"/>
                <w:sz w:val="18"/>
              </w:rPr>
              <w:t>P3014</w:t>
            </w:r>
          </w:p>
        </w:tc>
      </w:tr>
      <w:tr>
        <w:tc>
          <w:tcPr>
            <w:tcW w:type="dxa" w:w="2767"/>
          </w:tcPr>
          <w:p>
            <w:r/>
            <w:r>
              <w:rPr>
                <w:rFonts w:ascii="Calibri" w:hAnsi="Calibri" w:eastAsia="微软雅黑"/>
                <w:b w:val="0"/>
                <w:i w:val="0"/>
                <w:sz w:val="18"/>
              </w:rPr>
              <w:t>2021</w:t>
            </w:r>
          </w:p>
        </w:tc>
        <w:tc>
          <w:tcPr>
            <w:tcW w:type="dxa" w:w="2767"/>
          </w:tcPr>
          <w:p>
            <w:r/>
            <w:r>
              <w:rPr>
                <w:rFonts w:ascii="Calibri" w:hAnsi="Calibri" w:eastAsia="微软雅黑"/>
                <w:b w:val="0"/>
                <w:i w:val="0"/>
                <w:sz w:val="18"/>
              </w:rPr>
              <w:t>324</w:t>
            </w:r>
          </w:p>
        </w:tc>
        <w:tc>
          <w:tcPr>
            <w:tcW w:type="dxa" w:w="2767"/>
          </w:tcPr>
          <w:p>
            <w:r/>
            <w:r>
              <w:rPr>
                <w:rFonts w:ascii="Calibri" w:hAnsi="Calibri" w:eastAsia="微软雅黑"/>
                <w:b w:val="0"/>
                <w:i w:val="0"/>
                <w:sz w:val="18"/>
              </w:rPr>
              <w:t>P3025</w:t>
            </w:r>
          </w:p>
        </w:tc>
      </w:tr>
    </w:tbl>
    <w:p>
      <w:r>
        <w:rPr>
          <w:rFonts w:ascii="Calibri" w:hAnsi="Calibri" w:eastAsia="微软雅黑"/>
          <w:b w:val="0"/>
          <w:i w:val="0"/>
          <w:sz w:val="22"/>
        </w:rPr>
        <w:t>表中可见两条陡峭曲线：2013年至2019年，年度EPC相关文书量从2170篇升至41550篇，放大近二十倍（41550÷2170，own_calc）（P3021、P3015）；其中2018年到2019年单年即从5754篇跳升至41550篇，涨幅七倍有余（41550÷5754，own_calc）（P3019、P3015）。2019年到2020年由41550篇增至42935篇，增幅约百分之三（(42935−41550)÷41550，own_calc）（P3015、P3014）。这一走势与司法研究者的观察互相印证：随着2013年国家电价补贴政策实施、新能源项目建设规模壮大，纠纷随之增多，受2016年"6.30政策"影响，2017年起案件数量增长迅速并呈逐年上升趋势（P3011）。必须同时声明口径风险：2021年卷量仅324篇，与2019年至2020年四万篇量级形成断崖（P3025、P3015、P3014），本报告判断其为采集口径不完整而非市场突变；且弹药库未含2011年卷，表中该年空缺。买方使用这条曲线时应取其趋势、弃其绝对值。曲线上还有一处反向毛刺需要如实标注：2017年至2018年，卷量由11716篇降至5754篇，降幅约五成（(11716−5754)÷11716，own_calc）（P3016、P3019），与司法研究者"2017年起案件数量增长迅速并呈逐年上升趋势"的叙述（P3011）方向相反——本报告将其定性为采集口径的波动而非市场转向，两源冲突时以叙述性研究（P3011）与后段持续爬升的卷量（P3015、P3014）为准。</w:t>
      </w:r>
    </w:p>
    <w:p>
      <w:r>
        <w:rPr>
          <w:rFonts w:ascii="Calibri" w:hAnsi="Calibri" w:eastAsia="微软雅黑"/>
          <w:b w:val="0"/>
          <w:i w:val="0"/>
          <w:sz w:val="22"/>
        </w:rPr>
        <w:t>承发包颗粒度是第四套容易被忽略的口径。同在2023年8月15日的集中公示里，就并排出现了三种合同形态：EPC总承包（含谷宝洪100MW/200MWh二阶段、华润仪征刘集配套、阿勒泰储能电站、宁波热电分公司等项目）、储能设备采购（国投广西钦州浦北共享储能一期项目储能设备采购(二次)）、以及PC工程（华能金坛17.24MW/34.48MWh共享电化学储能电站项目储能系统PC工程）（P3007）。EPC、PC与纯设备采购覆盖的责任链长度依次缩短，报价自然不在同一平面——市场统计若把三者混入同一个"储能中标价"序列，读出的趋势就是伪趋势。管辖口径则给出司法侧的另一条硬规则：在建设工程施工合同纠纷中，法院援引《最高人民法院关于适用〈民事诉讼法〉的解释》第二十八条，认定建设工程施工合同纠纷按照不动产纠纷确定管辖，并由工程所在地法院行使管辖权（P3014）。对跨省布局的EPC业务而言，这等于把争议解决成本预先锚定在项目所在地，异地承包商的应诉成本与属地司法环境应当计入报价模型（P3014）。</w:t>
      </w:r>
    </w:p>
    <w:p>
      <w:r>
        <w:rPr>
          <w:rFonts w:ascii="Calibri" w:hAnsi="Calibri" w:eastAsia="微软雅黑"/>
          <w:b w:val="0"/>
          <w:i w:val="0"/>
          <w:sz w:val="22"/>
        </w:rPr>
        <w:t>把三套口径（承发包口径、立项口径、司法口径）叠加使用的操作规则归纳为三步：第一步定形态——先确认合同是EPC、PC还是设备采购（P3007），责任链长度决定价格是否可比；第二步定节奏——风电核准、光伏备案的时点差异（P3013）决定需求释放顺序，供应链与投标资源应按两条时间线分别排布；第三步定风险预算——用案由结构（P3011）与文书年度曲线（P3014、P3015）给项目所在地与合同类型配上风险权重。本章的证据使用纪律在此一并声明：正文所有跨源推算均以own_calc标注并附算式，未标注者为源文数字的逐字引用；标题级证据（如月度中标分析的标题，P3001）只作价格刻度、不作趋势结论；两源冲突时（如卷量毛刺与司法叙述的相悖，P3016、P3019对P3011）如实并列并给出本报告的取舍理由。</w:t>
      </w:r>
    </w:p>
    <w:p>
      <w:r>
        <w:rPr>
          <w:rFonts w:ascii="Calibri" w:hAnsi="Calibri" w:eastAsia="微软雅黑"/>
          <w:b/>
          <w:i w:val="0"/>
          <w:sz w:val="22"/>
        </w:rPr>
        <w:t>买方要点（所以呢）</w:t>
      </w:r>
      <w:r>
        <w:rPr>
          <w:rFonts w:ascii="Calibri" w:hAnsi="Calibri" w:eastAsia="微软雅黑"/>
          <w:b w:val="0"/>
          <w:i w:val="0"/>
          <w:sz w:val="22"/>
        </w:rPr>
        <w:t>：口径三条纪律——第一，EPC是固定总价加里程碑付款的全流程责任（P3013），比价时必须核对报价覆盖的章节是否完整，缺一章就是隐性提价；第二，风电核准制与光伏备案制（P3013）决定了两个子市场放量节奏不同，供应链与施工资源排布不能一刀切；第三，涉诉能量集中在施工与设备买卖（P3011），合同工期、验收标准与设备质保条款是真正的风险定价变量。</w:t>
      </w:r>
    </w:p>
    <w:p>
      <w:pPr>
        <w:pStyle w:val="Heading2"/>
      </w:pPr>
      <w:r>
        <w:t>3.2 储能：从"元/Wh"价格带读出的市场底账</w:t>
      </w:r>
    </w:p>
    <w:p>
      <w:r>
        <w:rPr>
          <w:rFonts w:ascii="Calibri" w:hAnsi="Calibri" w:eastAsia="微软雅黑"/>
          <w:b w:val="0"/>
          <w:i w:val="0"/>
          <w:sz w:val="22"/>
        </w:rPr>
        <w:t>储能是三个市场中计价口径最透明的：行业惯用"元/Wh"折算单价，使不同规模、不同主体的报价可以直接横向对表。先看一个完整的标本。嘉峪关市宁晟新能源有限公司嘉峪关500MW/1000MWh独立储能项目EPC总承包于2024年6月4日公示中标候选人（P3005）：第一候选人为中国核工业华兴建设有限公司与中国能源建设集团广东火电工程有限公司组成的联合体，投标报价108997.648868万元、折合单价1.09元/Wh；第二候选人中国电建集团湖北工程有限公司报价103601.00万元、折合1.036元/Wh；第三候选人中国能源建设集团安徽省电力设计院有限公司报价120000.128391万元、折合1.2元/Wh（P3005）。同一张图纸、同一份招标文件，三家候选人的折合单价在1.036元/Wh至1.2元/Wh之间摆动，最高与最低相差约一成六（(1.2−1.036)÷1.036，own_calc）（P3005）——这就是储能EPC市场的单项目定价噪声，买方在评标与议价时应当以此为基准波动区间，而不是把任何一个报价当作"市场价"。</w:t>
      </w:r>
    </w:p>
    <w:p>
      <w:r>
        <w:rPr>
          <w:rFonts w:ascii="Calibri" w:hAnsi="Calibri" w:eastAsia="微软雅黑"/>
          <w:b w:val="0"/>
          <w:i w:val="0"/>
          <w:sz w:val="22"/>
        </w:rPr>
        <w:t>这个标本的技术构成同样值得入账：项目采用磷酸铁锂电池系统加超级电容系统的方案，由475MW/1000MWh磷酸铁锂电池储能系统、25MW超级电容储能系统（60s）、能量管理系统（EMS）、变压器等设备组成，储能站配套建设一座330kV升压站，经一回330kV送出线路接入嘉峪关市索通汇集站（文昌变），并配套建设储能电站智能运维管理系统（P3005）。值得买方注意的细节是，能量管理系统（EMS）与智能运维系统在这个项目里是与电池本体并列的合同标的（P3005）——储能EPC的价值构成早已不是"电池仓+变压器"，软件层与运维层既是成本项也是长期性能的保证项，评标时对EMS与运维方案的专业评审权重应当与电池一致（P3005）。工期口径同样激进：计划工期不超过180天，2024年11月30日并网发电（P3005）。换言之，一个10亿元量级的独立储能EPC——该项目投标报价折合总金额超10亿元（P3005）——执行窗口被压缩到半年，工期条款本身就是造价风险的主要存放地。</w:t>
      </w:r>
    </w:p>
    <w:p>
      <w:r>
        <w:rPr>
          <w:rFonts w:ascii="Calibri" w:hAnsi="Calibri" w:eastAsia="微软雅黑"/>
          <w:b w:val="0"/>
          <w:i w:val="0"/>
          <w:sz w:val="22"/>
        </w:rPr>
        <w:t>竞标者构成是这份标本的第三层信息。三家候选人分属三条谱系：第一候选人是核工业建设系统的中国核工业华兴建设有限公司与中能建旗下火电施工企业广东火电的联合体，第二候选人是中电建集团的湖北工程有限公司，第三候选人是中能建旗下的设计院——安徽省电力设计院有限公司（P3005）。把三条谱系与3.2节后文的十六家入选名单（P3007）并读，可以确认储能EPC的投标生态由四类主体构成：核工业与火电等传统电力施工力量、电建与能建两大集团的工程局、电力设计院、专业储能商与电气设备商（P3005、P3007）。对业主的含意是双向的——招标入围名单在这四类之间保持张力，价格才压得动；对承包商的含意则是，任何一类玩家都不具备垄断性优势，设计院的机会窗口真实存在，但必须以联合体或差异化能力入场（P3007）。</w:t>
      </w:r>
    </w:p>
    <w:p>
      <w:r>
        <w:rPr>
          <w:rFonts w:ascii="Calibri" w:hAnsi="Calibri" w:eastAsia="微软雅黑"/>
          <w:b w:val="0"/>
          <w:i w:val="0"/>
          <w:sz w:val="22"/>
        </w:rPr>
        <w:t>再看一个批量标本。2023年8月15日，六份储能项目中标候选人公示同日挂网，覆盖中国电建电建新能源公司西部（重庆）科学城智慧储能科技示范项目含谷宝洪100MW/200MWh储能电站项目二阶段EPC总承包、华润电力仪征刘集30MW分散式风电项目11MW（22MWh）储能系统EPC总承包、阿勒泰20万千瓦/80万千瓦时（配置80万千瓦新能源）储能项目-储能电站EPC总承包、宁波经济技术开发区热电有限责任公司电力分公司5MW/10MWh储能电站项目设计采购施工总承包、国投广西钦州浦北共享储能（一期）项目储能设备采购(二次)、华能金坛17.24MW/34.48MWh共享电化学储能电站项目储能系统PC工程（P3007）。公示组总规模433.24MW/1066.48MWh（P3007），其中钦州浦北的候选明细在证据中被截断（P3007），金坛为PC口径且同为2小时配置（own_calc：34.48÷17.24=2h）（P3007）。入选企业名单则勾勒出这个市场的竞争密度：清安储能、川电设计咨询、中国电建江西院、十一科技、湘能楚天、中国能建安徽院、中国能建中电工程西北院、华辰电力、松成建设、南瑞继保、远景能源、平高集团、许继电气、阳光新能源、航电微能源、中天光伏，共十六家主体同场（P3007）。把名单按基因拆开看是四类玩家：专业储能商（清安储能）、电力设计院（川电设计咨询、中国电建江西院、中国能建安徽院、中国能建中电工程西北院、十一科技）、电气设备巨头（南瑞继保、许继电气、平高集团、远景能源、阳光新能源）与电力工程公司（湘能楚天、华辰电力、松成建设、航电微能源、中天光伏）（P3007）——储能EPC不是设计院的独角戏，而是四方同场的混编竞争，买方组织招标时的入围结构设计，直接决定能压出多深的价格。</w:t>
      </w:r>
    </w:p>
    <w:p>
      <w:r>
        <w:rPr>
          <w:rFonts w:ascii="Calibri" w:hAnsi="Calibri" w:eastAsia="微软雅黑"/>
          <w:b w:val="0"/>
          <w:i w:val="0"/>
          <w:sz w:val="22"/>
        </w:rPr>
        <w:t>将两组标本并表，价格带的形状就显形了：</w:t>
      </w:r>
    </w:p>
    <w:tbl>
      <w:tblPr>
        <w:tblStyle w:val="TableGrid"/>
        <w:tblW w:type="auto" w:w="0"/>
        <w:tblLook w:firstColumn="1" w:firstRow="1" w:lastColumn="0" w:lastRow="0" w:noHBand="0" w:noVBand="1" w:val="04A0"/>
      </w:tblPr>
      <w:tblGrid>
        <w:gridCol w:w="1383"/>
        <w:gridCol w:w="1383"/>
        <w:gridCol w:w="1383"/>
        <w:gridCol w:w="1383"/>
        <w:gridCol w:w="1383"/>
        <w:gridCol w:w="1383"/>
      </w:tblGrid>
      <w:tr>
        <w:tc>
          <w:tcPr>
            <w:tcW w:type="dxa" w:w="1383"/>
            <w:shd w:fill="1F3A5F"/>
          </w:tcPr>
          <w:p>
            <w:r>
              <w:rPr>
                <w:color w:val="FFFFFF"/>
              </w:rPr>
            </w:r>
            <w:r>
              <w:rPr>
                <w:rFonts w:ascii="Calibri" w:hAnsi="Calibri" w:eastAsia="微软雅黑"/>
                <w:b/>
                <w:i w:val="0"/>
                <w:color w:val="FFFFFF"/>
                <w:sz w:val="18"/>
              </w:rPr>
              <w:t>项目（公示时点）</w:t>
            </w:r>
          </w:p>
        </w:tc>
        <w:tc>
          <w:tcPr>
            <w:tcW w:type="dxa" w:w="1383"/>
            <w:shd w:fill="1F3A5F"/>
          </w:tcPr>
          <w:p>
            <w:r>
              <w:rPr>
                <w:color w:val="FFFFFF"/>
              </w:rPr>
            </w:r>
            <w:r>
              <w:rPr>
                <w:rFonts w:ascii="Calibri" w:hAnsi="Calibri" w:eastAsia="微软雅黑"/>
                <w:b/>
                <w:i w:val="0"/>
                <w:color w:val="FFFFFF"/>
                <w:sz w:val="18"/>
              </w:rPr>
              <w:t>规模</w:t>
            </w:r>
          </w:p>
        </w:tc>
        <w:tc>
          <w:tcPr>
            <w:tcW w:type="dxa" w:w="1383"/>
            <w:shd w:fill="1F3A5F"/>
          </w:tcPr>
          <w:p>
            <w:r>
              <w:rPr>
                <w:color w:val="FFFFFF"/>
              </w:rPr>
            </w:r>
            <w:r>
              <w:rPr>
                <w:rFonts w:ascii="Calibri" w:hAnsi="Calibri" w:eastAsia="微软雅黑"/>
                <w:b/>
                <w:i w:val="0"/>
                <w:color w:val="FFFFFF"/>
                <w:sz w:val="18"/>
              </w:rPr>
              <w:t>候选人顺位</w:t>
            </w:r>
          </w:p>
        </w:tc>
        <w:tc>
          <w:tcPr>
            <w:tcW w:type="dxa" w:w="1383"/>
            <w:shd w:fill="1F3A5F"/>
          </w:tcPr>
          <w:p>
            <w:r>
              <w:rPr>
                <w:color w:val="FFFFFF"/>
              </w:rPr>
            </w:r>
            <w:r>
              <w:rPr>
                <w:rFonts w:ascii="Calibri" w:hAnsi="Calibri" w:eastAsia="微软雅黑"/>
                <w:b/>
                <w:i w:val="0"/>
                <w:color w:val="FFFFFF"/>
                <w:sz w:val="18"/>
              </w:rPr>
              <w:t>投标报价（万元）</w:t>
            </w:r>
          </w:p>
        </w:tc>
        <w:tc>
          <w:tcPr>
            <w:tcW w:type="dxa" w:w="1383"/>
            <w:shd w:fill="1F3A5F"/>
          </w:tcPr>
          <w:p>
            <w:r>
              <w:rPr>
                <w:color w:val="FFFFFF"/>
              </w:rPr>
            </w:r>
            <w:r>
              <w:rPr>
                <w:rFonts w:ascii="Calibri" w:hAnsi="Calibri" w:eastAsia="微软雅黑"/>
                <w:b/>
                <w:i w:val="0"/>
                <w:color w:val="FFFFFF"/>
                <w:sz w:val="18"/>
              </w:rPr>
              <w:t>折合单价（元/Wh）</w:t>
            </w:r>
          </w:p>
        </w:tc>
        <w:tc>
          <w:tcPr>
            <w:tcW w:type="dxa" w:w="1383"/>
            <w:shd w:fill="1F3A5F"/>
          </w:tcPr>
          <w:p>
            <w:r>
              <w:rPr>
                <w:color w:val="FFFFFF"/>
              </w:rPr>
            </w:r>
            <w:r>
              <w:rPr>
                <w:rFonts w:ascii="Calibri" w:hAnsi="Calibri" w:eastAsia="微软雅黑"/>
                <w:b/>
                <w:i w:val="0"/>
                <w:color w:val="FFFFFF"/>
                <w:sz w:val="18"/>
              </w:rPr>
              <w:t>证据锚</w:t>
            </w:r>
          </w:p>
        </w:tc>
      </w:tr>
      <w:tr>
        <w:tc>
          <w:tcPr>
            <w:tcW w:type="dxa" w:w="1383"/>
          </w:tcPr>
          <w:p>
            <w:r/>
            <w:r>
              <w:rPr>
                <w:rFonts w:ascii="Calibri" w:hAnsi="Calibri" w:eastAsia="微软雅黑"/>
                <w:b w:val="0"/>
                <w:i w:val="0"/>
                <w:sz w:val="18"/>
              </w:rPr>
              <w:t>嘉峪关独立储能（2024年6月）</w:t>
            </w:r>
          </w:p>
        </w:tc>
        <w:tc>
          <w:tcPr>
            <w:tcW w:type="dxa" w:w="1383"/>
          </w:tcPr>
          <w:p>
            <w:r/>
            <w:r>
              <w:rPr>
                <w:rFonts w:ascii="Calibri" w:hAnsi="Calibri" w:eastAsia="微软雅黑"/>
                <w:b w:val="0"/>
                <w:i w:val="0"/>
                <w:sz w:val="18"/>
              </w:rPr>
              <w:t>500MW/1000MWh</w:t>
            </w:r>
          </w:p>
        </w:tc>
        <w:tc>
          <w:tcPr>
            <w:tcW w:type="dxa" w:w="1383"/>
          </w:tcPr>
          <w:p>
            <w:r/>
            <w:r>
              <w:rPr>
                <w:rFonts w:ascii="Calibri" w:hAnsi="Calibri" w:eastAsia="微软雅黑"/>
                <w:b w:val="0"/>
                <w:i w:val="0"/>
                <w:sz w:val="18"/>
              </w:rPr>
              <w:t>第一：中核华兴+中能建广东火电</w:t>
            </w:r>
          </w:p>
        </w:tc>
        <w:tc>
          <w:tcPr>
            <w:tcW w:type="dxa" w:w="1383"/>
          </w:tcPr>
          <w:p>
            <w:r/>
            <w:r>
              <w:rPr>
                <w:rFonts w:ascii="Calibri" w:hAnsi="Calibri" w:eastAsia="微软雅黑"/>
                <w:b w:val="0"/>
                <w:i w:val="0"/>
                <w:sz w:val="18"/>
              </w:rPr>
              <w:t>108997.648868</w:t>
            </w:r>
          </w:p>
        </w:tc>
        <w:tc>
          <w:tcPr>
            <w:tcW w:type="dxa" w:w="1383"/>
          </w:tcPr>
          <w:p>
            <w:r/>
            <w:r>
              <w:rPr>
                <w:rFonts w:ascii="Calibri" w:hAnsi="Calibri" w:eastAsia="微软雅黑"/>
                <w:b w:val="0"/>
                <w:i w:val="0"/>
                <w:sz w:val="18"/>
              </w:rPr>
              <w:t>1.09</w:t>
            </w:r>
          </w:p>
        </w:tc>
        <w:tc>
          <w:tcPr>
            <w:tcW w:type="dxa" w:w="1383"/>
          </w:tcPr>
          <w:p>
            <w:r/>
            <w:r>
              <w:rPr>
                <w:rFonts w:ascii="Calibri" w:hAnsi="Calibri" w:eastAsia="微软雅黑"/>
                <w:b w:val="0"/>
                <w:i w:val="0"/>
                <w:sz w:val="18"/>
              </w:rPr>
              <w:t>P3005</w:t>
            </w:r>
          </w:p>
        </w:tc>
      </w:tr>
      <w:tr>
        <w:tc>
          <w:tcPr>
            <w:tcW w:type="dxa" w:w="1383"/>
          </w:tcPr>
          <w:p>
            <w:r/>
            <w:r>
              <w:rPr>
                <w:rFonts w:ascii="Calibri" w:hAnsi="Calibri" w:eastAsia="微软雅黑"/>
                <w:b w:val="0"/>
                <w:i w:val="0"/>
                <w:sz w:val="18"/>
              </w:rPr>
              <w:t>嘉峪关独立储能（2024年6月）</w:t>
            </w:r>
          </w:p>
        </w:tc>
        <w:tc>
          <w:tcPr>
            <w:tcW w:type="dxa" w:w="1383"/>
          </w:tcPr>
          <w:p>
            <w:r/>
            <w:r>
              <w:rPr>
                <w:rFonts w:ascii="Calibri" w:hAnsi="Calibri" w:eastAsia="微软雅黑"/>
                <w:b w:val="0"/>
                <w:i w:val="0"/>
                <w:sz w:val="18"/>
              </w:rPr>
              <w:t>500MW/1000MWh</w:t>
            </w:r>
          </w:p>
        </w:tc>
        <w:tc>
          <w:tcPr>
            <w:tcW w:type="dxa" w:w="1383"/>
          </w:tcPr>
          <w:p>
            <w:r/>
            <w:r>
              <w:rPr>
                <w:rFonts w:ascii="Calibri" w:hAnsi="Calibri" w:eastAsia="微软雅黑"/>
                <w:b w:val="0"/>
                <w:i w:val="0"/>
                <w:sz w:val="18"/>
              </w:rPr>
              <w:t>第二：中国电建湖北工程</w:t>
            </w:r>
          </w:p>
        </w:tc>
        <w:tc>
          <w:tcPr>
            <w:tcW w:type="dxa" w:w="1383"/>
          </w:tcPr>
          <w:p>
            <w:r/>
            <w:r>
              <w:rPr>
                <w:rFonts w:ascii="Calibri" w:hAnsi="Calibri" w:eastAsia="微软雅黑"/>
                <w:b w:val="0"/>
                <w:i w:val="0"/>
                <w:sz w:val="18"/>
              </w:rPr>
              <w:t>103601.00</w:t>
            </w:r>
          </w:p>
        </w:tc>
        <w:tc>
          <w:tcPr>
            <w:tcW w:type="dxa" w:w="1383"/>
          </w:tcPr>
          <w:p>
            <w:r/>
            <w:r>
              <w:rPr>
                <w:rFonts w:ascii="Calibri" w:hAnsi="Calibri" w:eastAsia="微软雅黑"/>
                <w:b w:val="0"/>
                <w:i w:val="0"/>
                <w:sz w:val="18"/>
              </w:rPr>
              <w:t>1.036</w:t>
            </w:r>
          </w:p>
        </w:tc>
        <w:tc>
          <w:tcPr>
            <w:tcW w:type="dxa" w:w="1383"/>
          </w:tcPr>
          <w:p>
            <w:r/>
            <w:r>
              <w:rPr>
                <w:rFonts w:ascii="Calibri" w:hAnsi="Calibri" w:eastAsia="微软雅黑"/>
                <w:b w:val="0"/>
                <w:i w:val="0"/>
                <w:sz w:val="18"/>
              </w:rPr>
              <w:t>P3005</w:t>
            </w:r>
          </w:p>
        </w:tc>
      </w:tr>
      <w:tr>
        <w:tc>
          <w:tcPr>
            <w:tcW w:type="dxa" w:w="1383"/>
          </w:tcPr>
          <w:p>
            <w:r/>
            <w:r>
              <w:rPr>
                <w:rFonts w:ascii="Calibri" w:hAnsi="Calibri" w:eastAsia="微软雅黑"/>
                <w:b w:val="0"/>
                <w:i w:val="0"/>
                <w:sz w:val="18"/>
              </w:rPr>
              <w:t>嘉峪关独立储能（2024年6月）</w:t>
            </w:r>
          </w:p>
        </w:tc>
        <w:tc>
          <w:tcPr>
            <w:tcW w:type="dxa" w:w="1383"/>
          </w:tcPr>
          <w:p>
            <w:r/>
            <w:r>
              <w:rPr>
                <w:rFonts w:ascii="Calibri" w:hAnsi="Calibri" w:eastAsia="微软雅黑"/>
                <w:b w:val="0"/>
                <w:i w:val="0"/>
                <w:sz w:val="18"/>
              </w:rPr>
              <w:t>500MW/1000MWh</w:t>
            </w:r>
          </w:p>
        </w:tc>
        <w:tc>
          <w:tcPr>
            <w:tcW w:type="dxa" w:w="1383"/>
          </w:tcPr>
          <w:p>
            <w:r/>
            <w:r>
              <w:rPr>
                <w:rFonts w:ascii="Calibri" w:hAnsi="Calibri" w:eastAsia="微软雅黑"/>
                <w:b w:val="0"/>
                <w:i w:val="0"/>
                <w:sz w:val="18"/>
              </w:rPr>
              <w:t>第三：中能建安徽院</w:t>
            </w:r>
          </w:p>
        </w:tc>
        <w:tc>
          <w:tcPr>
            <w:tcW w:type="dxa" w:w="1383"/>
          </w:tcPr>
          <w:p>
            <w:r/>
            <w:r>
              <w:rPr>
                <w:rFonts w:ascii="Calibri" w:hAnsi="Calibri" w:eastAsia="微软雅黑"/>
                <w:b w:val="0"/>
                <w:i w:val="0"/>
                <w:sz w:val="18"/>
              </w:rPr>
              <w:t>120000.128391</w:t>
            </w:r>
          </w:p>
        </w:tc>
        <w:tc>
          <w:tcPr>
            <w:tcW w:type="dxa" w:w="1383"/>
          </w:tcPr>
          <w:p>
            <w:r/>
            <w:r>
              <w:rPr>
                <w:rFonts w:ascii="Calibri" w:hAnsi="Calibri" w:eastAsia="微软雅黑"/>
                <w:b w:val="0"/>
                <w:i w:val="0"/>
                <w:sz w:val="18"/>
              </w:rPr>
              <w:t>1.2</w:t>
            </w:r>
          </w:p>
        </w:tc>
        <w:tc>
          <w:tcPr>
            <w:tcW w:type="dxa" w:w="1383"/>
          </w:tcPr>
          <w:p>
            <w:r/>
            <w:r>
              <w:rPr>
                <w:rFonts w:ascii="Calibri" w:hAnsi="Calibri" w:eastAsia="微软雅黑"/>
                <w:b w:val="0"/>
                <w:i w:val="0"/>
                <w:sz w:val="18"/>
              </w:rPr>
              <w:t>P3005</w:t>
            </w:r>
          </w:p>
        </w:tc>
      </w:tr>
      <w:tr>
        <w:tc>
          <w:tcPr>
            <w:tcW w:type="dxa" w:w="1383"/>
          </w:tcPr>
          <w:p>
            <w:r/>
            <w:r>
              <w:rPr>
                <w:rFonts w:ascii="Calibri" w:hAnsi="Calibri" w:eastAsia="微软雅黑"/>
                <w:b w:val="0"/>
                <w:i w:val="0"/>
                <w:sz w:val="18"/>
              </w:rPr>
              <w:t>重庆含谷宝洪二阶段（2023年8月）</w:t>
            </w:r>
          </w:p>
        </w:tc>
        <w:tc>
          <w:tcPr>
            <w:tcW w:type="dxa" w:w="1383"/>
          </w:tcPr>
          <w:p>
            <w:r/>
            <w:r>
              <w:rPr>
                <w:rFonts w:ascii="Calibri" w:hAnsi="Calibri" w:eastAsia="微软雅黑"/>
                <w:b w:val="0"/>
                <w:i w:val="0"/>
                <w:sz w:val="18"/>
              </w:rPr>
              <w:t>100MW/200MWh</w:t>
            </w:r>
          </w:p>
        </w:tc>
        <w:tc>
          <w:tcPr>
            <w:tcW w:type="dxa" w:w="1383"/>
          </w:tcPr>
          <w:p>
            <w:r/>
            <w:r>
              <w:rPr>
                <w:rFonts w:ascii="Calibri" w:hAnsi="Calibri" w:eastAsia="微软雅黑"/>
                <w:b w:val="0"/>
                <w:i w:val="0"/>
                <w:sz w:val="18"/>
              </w:rPr>
              <w:t>第一：清安储能+四川电力设计咨询</w:t>
            </w:r>
          </w:p>
        </w:tc>
        <w:tc>
          <w:tcPr>
            <w:tcW w:type="dxa" w:w="1383"/>
          </w:tcPr>
          <w:p>
            <w:r/>
            <w:r>
              <w:rPr>
                <w:rFonts w:ascii="Calibri" w:hAnsi="Calibri" w:eastAsia="微软雅黑"/>
                <w:b w:val="0"/>
                <w:i w:val="0"/>
                <w:sz w:val="18"/>
              </w:rPr>
              <w:t>24051</w:t>
            </w:r>
          </w:p>
        </w:tc>
        <w:tc>
          <w:tcPr>
            <w:tcW w:type="dxa" w:w="1383"/>
          </w:tcPr>
          <w:p>
            <w:r/>
            <w:r>
              <w:rPr>
                <w:rFonts w:ascii="Calibri" w:hAnsi="Calibri" w:eastAsia="微软雅黑"/>
                <w:b w:val="0"/>
                <w:i w:val="0"/>
                <w:sz w:val="18"/>
              </w:rPr>
              <w:t>1.414</w:t>
            </w:r>
          </w:p>
        </w:tc>
        <w:tc>
          <w:tcPr>
            <w:tcW w:type="dxa" w:w="1383"/>
          </w:tcPr>
          <w:p>
            <w:r/>
            <w:r>
              <w:rPr>
                <w:rFonts w:ascii="Calibri" w:hAnsi="Calibri" w:eastAsia="微软雅黑"/>
                <w:b w:val="0"/>
                <w:i w:val="0"/>
                <w:sz w:val="18"/>
              </w:rPr>
              <w:t>P3007</w:t>
            </w:r>
          </w:p>
        </w:tc>
      </w:tr>
      <w:tr>
        <w:tc>
          <w:tcPr>
            <w:tcW w:type="dxa" w:w="1383"/>
          </w:tcPr>
          <w:p>
            <w:r/>
            <w:r>
              <w:rPr>
                <w:rFonts w:ascii="Calibri" w:hAnsi="Calibri" w:eastAsia="微软雅黑"/>
                <w:b w:val="0"/>
                <w:i w:val="0"/>
                <w:sz w:val="18"/>
              </w:rPr>
              <w:t>重庆含谷宝洪二阶段（2023年8月）</w:t>
            </w:r>
          </w:p>
        </w:tc>
        <w:tc>
          <w:tcPr>
            <w:tcW w:type="dxa" w:w="1383"/>
          </w:tcPr>
          <w:p>
            <w:r/>
            <w:r>
              <w:rPr>
                <w:rFonts w:ascii="Calibri" w:hAnsi="Calibri" w:eastAsia="微软雅黑"/>
                <w:b w:val="0"/>
                <w:i w:val="0"/>
                <w:sz w:val="18"/>
              </w:rPr>
              <w:t>100MW/200MWh</w:t>
            </w:r>
          </w:p>
        </w:tc>
        <w:tc>
          <w:tcPr>
            <w:tcW w:type="dxa" w:w="1383"/>
          </w:tcPr>
          <w:p>
            <w:r/>
            <w:r>
              <w:rPr>
                <w:rFonts w:ascii="Calibri" w:hAnsi="Calibri" w:eastAsia="微软雅黑"/>
                <w:b w:val="0"/>
                <w:i w:val="0"/>
                <w:sz w:val="18"/>
              </w:rPr>
              <w:t>第二：中国电建江西院</w:t>
            </w:r>
          </w:p>
        </w:tc>
        <w:tc>
          <w:tcPr>
            <w:tcW w:type="dxa" w:w="1383"/>
          </w:tcPr>
          <w:p>
            <w:r/>
            <w:r>
              <w:rPr>
                <w:rFonts w:ascii="Calibri" w:hAnsi="Calibri" w:eastAsia="微软雅黑"/>
                <w:b w:val="0"/>
                <w:i w:val="0"/>
                <w:sz w:val="18"/>
              </w:rPr>
              <w:t>24076</w:t>
            </w:r>
          </w:p>
        </w:tc>
        <w:tc>
          <w:tcPr>
            <w:tcW w:type="dxa" w:w="1383"/>
          </w:tcPr>
          <w:p>
            <w:r/>
            <w:r>
              <w:rPr>
                <w:rFonts w:ascii="Calibri" w:hAnsi="Calibri" w:eastAsia="微软雅黑"/>
                <w:b w:val="0"/>
                <w:i w:val="0"/>
                <w:sz w:val="18"/>
              </w:rPr>
              <w:t>1.416</w:t>
            </w:r>
          </w:p>
        </w:tc>
        <w:tc>
          <w:tcPr>
            <w:tcW w:type="dxa" w:w="1383"/>
          </w:tcPr>
          <w:p>
            <w:r/>
            <w:r>
              <w:rPr>
                <w:rFonts w:ascii="Calibri" w:hAnsi="Calibri" w:eastAsia="微软雅黑"/>
                <w:b w:val="0"/>
                <w:i w:val="0"/>
                <w:sz w:val="18"/>
              </w:rPr>
              <w:t>P3007</w:t>
            </w:r>
          </w:p>
        </w:tc>
      </w:tr>
      <w:tr>
        <w:tc>
          <w:tcPr>
            <w:tcW w:type="dxa" w:w="1383"/>
          </w:tcPr>
          <w:p>
            <w:r/>
            <w:r>
              <w:rPr>
                <w:rFonts w:ascii="Calibri" w:hAnsi="Calibri" w:eastAsia="微软雅黑"/>
                <w:b w:val="0"/>
                <w:i w:val="0"/>
                <w:sz w:val="18"/>
              </w:rPr>
              <w:t>华润仪征刘集风电配套（2023年8月）</w:t>
            </w:r>
          </w:p>
        </w:tc>
        <w:tc>
          <w:tcPr>
            <w:tcW w:type="dxa" w:w="1383"/>
          </w:tcPr>
          <w:p>
            <w:r/>
            <w:r>
              <w:rPr>
                <w:rFonts w:ascii="Calibri" w:hAnsi="Calibri" w:eastAsia="微软雅黑"/>
                <w:b w:val="0"/>
                <w:i w:val="0"/>
                <w:sz w:val="18"/>
              </w:rPr>
              <w:t>11MW（22MWh）</w:t>
            </w:r>
          </w:p>
        </w:tc>
        <w:tc>
          <w:tcPr>
            <w:tcW w:type="dxa" w:w="1383"/>
          </w:tcPr>
          <w:p>
            <w:r/>
            <w:r>
              <w:rPr>
                <w:rFonts w:ascii="Calibri" w:hAnsi="Calibri" w:eastAsia="微软雅黑"/>
                <w:b w:val="0"/>
                <w:i w:val="0"/>
                <w:sz w:val="18"/>
              </w:rPr>
              <w:t>第一：十一科技</w:t>
            </w:r>
          </w:p>
        </w:tc>
        <w:tc>
          <w:tcPr>
            <w:tcW w:type="dxa" w:w="1383"/>
          </w:tcPr>
          <w:p>
            <w:r/>
            <w:r>
              <w:rPr>
                <w:rFonts w:ascii="Calibri" w:hAnsi="Calibri" w:eastAsia="微软雅黑"/>
                <w:b w:val="0"/>
                <w:i w:val="0"/>
                <w:sz w:val="18"/>
              </w:rPr>
              <w:t>2948</w:t>
            </w:r>
          </w:p>
        </w:tc>
        <w:tc>
          <w:tcPr>
            <w:tcW w:type="dxa" w:w="1383"/>
          </w:tcPr>
          <w:p>
            <w:r/>
            <w:r>
              <w:rPr>
                <w:rFonts w:ascii="Calibri" w:hAnsi="Calibri" w:eastAsia="微软雅黑"/>
                <w:b w:val="0"/>
                <w:i w:val="0"/>
                <w:sz w:val="18"/>
              </w:rPr>
              <w:t>1.34</w:t>
            </w:r>
          </w:p>
        </w:tc>
        <w:tc>
          <w:tcPr>
            <w:tcW w:type="dxa" w:w="1383"/>
          </w:tcPr>
          <w:p>
            <w:r/>
            <w:r>
              <w:rPr>
                <w:rFonts w:ascii="Calibri" w:hAnsi="Calibri" w:eastAsia="微软雅黑"/>
                <w:b w:val="0"/>
                <w:i w:val="0"/>
                <w:sz w:val="18"/>
              </w:rPr>
              <w:t>P3007</w:t>
            </w:r>
          </w:p>
        </w:tc>
      </w:tr>
      <w:tr>
        <w:tc>
          <w:tcPr>
            <w:tcW w:type="dxa" w:w="1383"/>
          </w:tcPr>
          <w:p>
            <w:r/>
            <w:r>
              <w:rPr>
                <w:rFonts w:ascii="Calibri" w:hAnsi="Calibri" w:eastAsia="微软雅黑"/>
                <w:b w:val="0"/>
                <w:i w:val="0"/>
                <w:sz w:val="18"/>
              </w:rPr>
              <w:t>华润仪征刘集风电配套（2023年8月）</w:t>
            </w:r>
          </w:p>
        </w:tc>
        <w:tc>
          <w:tcPr>
            <w:tcW w:type="dxa" w:w="1383"/>
          </w:tcPr>
          <w:p>
            <w:r/>
            <w:r>
              <w:rPr>
                <w:rFonts w:ascii="Calibri" w:hAnsi="Calibri" w:eastAsia="微软雅黑"/>
                <w:b w:val="0"/>
                <w:i w:val="0"/>
                <w:sz w:val="18"/>
              </w:rPr>
              <w:t>11MW（22MWh）</w:t>
            </w:r>
          </w:p>
        </w:tc>
        <w:tc>
          <w:tcPr>
            <w:tcW w:type="dxa" w:w="1383"/>
          </w:tcPr>
          <w:p>
            <w:r/>
            <w:r>
              <w:rPr>
                <w:rFonts w:ascii="Calibri" w:hAnsi="Calibri" w:eastAsia="微软雅黑"/>
                <w:b w:val="0"/>
                <w:i w:val="0"/>
                <w:sz w:val="18"/>
              </w:rPr>
              <w:t>第二：湘能楚天</w:t>
            </w:r>
          </w:p>
        </w:tc>
        <w:tc>
          <w:tcPr>
            <w:tcW w:type="dxa" w:w="1383"/>
          </w:tcPr>
          <w:p>
            <w:r/>
            <w:r>
              <w:rPr>
                <w:rFonts w:ascii="Calibri" w:hAnsi="Calibri" w:eastAsia="微软雅黑"/>
                <w:b w:val="0"/>
                <w:i w:val="0"/>
                <w:sz w:val="18"/>
              </w:rPr>
              <w:t>2925</w:t>
            </w:r>
          </w:p>
        </w:tc>
        <w:tc>
          <w:tcPr>
            <w:tcW w:type="dxa" w:w="1383"/>
          </w:tcPr>
          <w:p>
            <w:r/>
            <w:r>
              <w:rPr>
                <w:rFonts w:ascii="Calibri" w:hAnsi="Calibri" w:eastAsia="微软雅黑"/>
                <w:b w:val="0"/>
                <w:i w:val="0"/>
                <w:sz w:val="18"/>
              </w:rPr>
              <w:t>1.33</w:t>
            </w:r>
          </w:p>
        </w:tc>
        <w:tc>
          <w:tcPr>
            <w:tcW w:type="dxa" w:w="1383"/>
          </w:tcPr>
          <w:p>
            <w:r/>
            <w:r>
              <w:rPr>
                <w:rFonts w:ascii="Calibri" w:hAnsi="Calibri" w:eastAsia="微软雅黑"/>
                <w:b w:val="0"/>
                <w:i w:val="0"/>
                <w:sz w:val="18"/>
              </w:rPr>
              <w:t>P3007</w:t>
            </w:r>
          </w:p>
        </w:tc>
      </w:tr>
      <w:tr>
        <w:tc>
          <w:tcPr>
            <w:tcW w:type="dxa" w:w="1383"/>
          </w:tcPr>
          <w:p>
            <w:r/>
            <w:r>
              <w:rPr>
                <w:rFonts w:ascii="Calibri" w:hAnsi="Calibri" w:eastAsia="微软雅黑"/>
                <w:b w:val="0"/>
                <w:i w:val="0"/>
                <w:sz w:val="18"/>
              </w:rPr>
              <w:t>阿勒泰储能项目（2023年8月）</w:t>
            </w:r>
          </w:p>
        </w:tc>
        <w:tc>
          <w:tcPr>
            <w:tcW w:type="dxa" w:w="1383"/>
          </w:tcPr>
          <w:p>
            <w:r/>
            <w:r>
              <w:rPr>
                <w:rFonts w:ascii="Calibri" w:hAnsi="Calibri" w:eastAsia="微软雅黑"/>
                <w:b w:val="0"/>
                <w:i w:val="0"/>
                <w:sz w:val="18"/>
              </w:rPr>
              <w:t>20万千瓦/80万千瓦时</w:t>
            </w:r>
          </w:p>
        </w:tc>
        <w:tc>
          <w:tcPr>
            <w:tcW w:type="dxa" w:w="1383"/>
          </w:tcPr>
          <w:p>
            <w:r/>
            <w:r>
              <w:rPr>
                <w:rFonts w:ascii="Calibri" w:hAnsi="Calibri" w:eastAsia="微软雅黑"/>
                <w:b w:val="0"/>
                <w:i w:val="0"/>
                <w:sz w:val="18"/>
              </w:rPr>
              <w:t>第一：中能建安徽院</w:t>
            </w:r>
          </w:p>
        </w:tc>
        <w:tc>
          <w:tcPr>
            <w:tcW w:type="dxa" w:w="1383"/>
          </w:tcPr>
          <w:p>
            <w:r/>
            <w:r>
              <w:rPr>
                <w:rFonts w:ascii="Calibri" w:hAnsi="Calibri" w:eastAsia="微软雅黑"/>
                <w:b w:val="0"/>
                <w:i w:val="0"/>
                <w:sz w:val="18"/>
              </w:rPr>
              <w:t>42737.541522</w:t>
            </w:r>
          </w:p>
        </w:tc>
        <w:tc>
          <w:tcPr>
            <w:tcW w:type="dxa" w:w="1383"/>
          </w:tcPr>
          <w:p>
            <w:r/>
            <w:r>
              <w:rPr>
                <w:rFonts w:ascii="Calibri" w:hAnsi="Calibri" w:eastAsia="微软雅黑"/>
                <w:b w:val="0"/>
                <w:i w:val="0"/>
                <w:sz w:val="18"/>
              </w:rPr>
              <w:t>1.07</w:t>
            </w:r>
          </w:p>
        </w:tc>
        <w:tc>
          <w:tcPr>
            <w:tcW w:type="dxa" w:w="1383"/>
          </w:tcPr>
          <w:p>
            <w:r/>
            <w:r>
              <w:rPr>
                <w:rFonts w:ascii="Calibri" w:hAnsi="Calibri" w:eastAsia="微软雅黑"/>
                <w:b w:val="0"/>
                <w:i w:val="0"/>
                <w:sz w:val="18"/>
              </w:rPr>
              <w:t>P3007</w:t>
            </w:r>
          </w:p>
        </w:tc>
      </w:tr>
      <w:tr>
        <w:tc>
          <w:tcPr>
            <w:tcW w:type="dxa" w:w="1383"/>
          </w:tcPr>
          <w:p>
            <w:r/>
            <w:r>
              <w:rPr>
                <w:rFonts w:ascii="Calibri" w:hAnsi="Calibri" w:eastAsia="微软雅黑"/>
                <w:b w:val="0"/>
                <w:i w:val="0"/>
                <w:sz w:val="18"/>
              </w:rPr>
              <w:t>阿勒泰储能项目（2023年8月）</w:t>
            </w:r>
          </w:p>
        </w:tc>
        <w:tc>
          <w:tcPr>
            <w:tcW w:type="dxa" w:w="1383"/>
          </w:tcPr>
          <w:p>
            <w:r/>
            <w:r>
              <w:rPr>
                <w:rFonts w:ascii="Calibri" w:hAnsi="Calibri" w:eastAsia="微软雅黑"/>
                <w:b w:val="0"/>
                <w:i w:val="0"/>
                <w:sz w:val="18"/>
              </w:rPr>
              <w:t>20万千瓦/80万千瓦时</w:t>
            </w:r>
          </w:p>
        </w:tc>
        <w:tc>
          <w:tcPr>
            <w:tcW w:type="dxa" w:w="1383"/>
          </w:tcPr>
          <w:p>
            <w:r/>
            <w:r>
              <w:rPr>
                <w:rFonts w:ascii="Calibri" w:hAnsi="Calibri" w:eastAsia="微软雅黑"/>
                <w:b w:val="0"/>
                <w:i w:val="0"/>
                <w:sz w:val="18"/>
              </w:rPr>
              <w:t>第二：中电工程西北院</w:t>
            </w:r>
          </w:p>
        </w:tc>
        <w:tc>
          <w:tcPr>
            <w:tcW w:type="dxa" w:w="1383"/>
          </w:tcPr>
          <w:p>
            <w:r/>
            <w:r>
              <w:rPr>
                <w:rFonts w:ascii="Calibri" w:hAnsi="Calibri" w:eastAsia="微软雅黑"/>
                <w:b w:val="0"/>
                <w:i w:val="0"/>
                <w:sz w:val="18"/>
              </w:rPr>
              <w:t>41137.5663</w:t>
            </w:r>
          </w:p>
        </w:tc>
        <w:tc>
          <w:tcPr>
            <w:tcW w:type="dxa" w:w="1383"/>
          </w:tcPr>
          <w:p>
            <w:r/>
            <w:r>
              <w:rPr>
                <w:rFonts w:ascii="Calibri" w:hAnsi="Calibri" w:eastAsia="微软雅黑"/>
                <w:b w:val="0"/>
                <w:i w:val="0"/>
                <w:sz w:val="18"/>
              </w:rPr>
              <w:t>1.03</w:t>
            </w:r>
          </w:p>
        </w:tc>
        <w:tc>
          <w:tcPr>
            <w:tcW w:type="dxa" w:w="1383"/>
          </w:tcPr>
          <w:p>
            <w:r/>
            <w:r>
              <w:rPr>
                <w:rFonts w:ascii="Calibri" w:hAnsi="Calibri" w:eastAsia="微软雅黑"/>
                <w:b w:val="0"/>
                <w:i w:val="0"/>
                <w:sz w:val="18"/>
              </w:rPr>
              <w:t>P3007</w:t>
            </w:r>
          </w:p>
        </w:tc>
      </w:tr>
      <w:tr>
        <w:tc>
          <w:tcPr>
            <w:tcW w:type="dxa" w:w="1383"/>
          </w:tcPr>
          <w:p>
            <w:r/>
            <w:r>
              <w:rPr>
                <w:rFonts w:ascii="Calibri" w:hAnsi="Calibri" w:eastAsia="微软雅黑"/>
                <w:b w:val="0"/>
                <w:i w:val="0"/>
                <w:sz w:val="18"/>
              </w:rPr>
              <w:t>宁波热电分公司（2023年8月）</w:t>
            </w:r>
          </w:p>
        </w:tc>
        <w:tc>
          <w:tcPr>
            <w:tcW w:type="dxa" w:w="1383"/>
          </w:tcPr>
          <w:p>
            <w:r/>
            <w:r>
              <w:rPr>
                <w:rFonts w:ascii="Calibri" w:hAnsi="Calibri" w:eastAsia="微软雅黑"/>
                <w:b w:val="0"/>
                <w:i w:val="0"/>
                <w:sz w:val="18"/>
              </w:rPr>
              <w:t>5MW/10MWh</w:t>
            </w:r>
          </w:p>
        </w:tc>
        <w:tc>
          <w:tcPr>
            <w:tcW w:type="dxa" w:w="1383"/>
          </w:tcPr>
          <w:p>
            <w:r/>
            <w:r>
              <w:rPr>
                <w:rFonts w:ascii="Calibri" w:hAnsi="Calibri" w:eastAsia="微软雅黑"/>
                <w:b w:val="0"/>
                <w:i w:val="0"/>
                <w:sz w:val="18"/>
              </w:rPr>
              <w:t>第一：杭州华辰电力</w:t>
            </w:r>
          </w:p>
        </w:tc>
        <w:tc>
          <w:tcPr>
            <w:tcW w:type="dxa" w:w="1383"/>
          </w:tcPr>
          <w:p>
            <w:r/>
            <w:r>
              <w:rPr>
                <w:rFonts w:ascii="Calibri" w:hAnsi="Calibri" w:eastAsia="微软雅黑"/>
                <w:b w:val="0"/>
                <w:i w:val="0"/>
                <w:sz w:val="18"/>
              </w:rPr>
              <w:t>1880.743663</w:t>
            </w:r>
          </w:p>
        </w:tc>
        <w:tc>
          <w:tcPr>
            <w:tcW w:type="dxa" w:w="1383"/>
          </w:tcPr>
          <w:p>
            <w:r/>
            <w:r>
              <w:rPr>
                <w:rFonts w:ascii="Calibri" w:hAnsi="Calibri" w:eastAsia="微软雅黑"/>
                <w:b w:val="0"/>
                <w:i w:val="0"/>
                <w:sz w:val="18"/>
              </w:rPr>
              <w:t>1.88</w:t>
            </w:r>
          </w:p>
        </w:tc>
        <w:tc>
          <w:tcPr>
            <w:tcW w:type="dxa" w:w="1383"/>
          </w:tcPr>
          <w:p>
            <w:r/>
            <w:r>
              <w:rPr>
                <w:rFonts w:ascii="Calibri" w:hAnsi="Calibri" w:eastAsia="微软雅黑"/>
                <w:b w:val="0"/>
                <w:i w:val="0"/>
                <w:sz w:val="18"/>
              </w:rPr>
              <w:t>P3007</w:t>
            </w:r>
          </w:p>
        </w:tc>
      </w:tr>
      <w:tr>
        <w:tc>
          <w:tcPr>
            <w:tcW w:type="dxa" w:w="1383"/>
          </w:tcPr>
          <w:p>
            <w:r/>
            <w:r>
              <w:rPr>
                <w:rFonts w:ascii="Calibri" w:hAnsi="Calibri" w:eastAsia="微软雅黑"/>
                <w:b w:val="0"/>
                <w:i w:val="0"/>
                <w:sz w:val="18"/>
              </w:rPr>
              <w:t>宁波热电分公司（2023年8月）</w:t>
            </w:r>
          </w:p>
        </w:tc>
        <w:tc>
          <w:tcPr>
            <w:tcW w:type="dxa" w:w="1383"/>
          </w:tcPr>
          <w:p>
            <w:r/>
            <w:r>
              <w:rPr>
                <w:rFonts w:ascii="Calibri" w:hAnsi="Calibri" w:eastAsia="微软雅黑"/>
                <w:b w:val="0"/>
                <w:i w:val="0"/>
                <w:sz w:val="18"/>
              </w:rPr>
              <w:t>5MW/10MWh</w:t>
            </w:r>
          </w:p>
        </w:tc>
        <w:tc>
          <w:tcPr>
            <w:tcW w:type="dxa" w:w="1383"/>
          </w:tcPr>
          <w:p>
            <w:r/>
            <w:r>
              <w:rPr>
                <w:rFonts w:ascii="Calibri" w:hAnsi="Calibri" w:eastAsia="微软雅黑"/>
                <w:b w:val="0"/>
                <w:i w:val="0"/>
                <w:sz w:val="18"/>
              </w:rPr>
              <w:t>第二：吉林松成建设</w:t>
            </w:r>
          </w:p>
        </w:tc>
        <w:tc>
          <w:tcPr>
            <w:tcW w:type="dxa" w:w="1383"/>
          </w:tcPr>
          <w:p>
            <w:r/>
            <w:r>
              <w:rPr>
                <w:rFonts w:ascii="Calibri" w:hAnsi="Calibri" w:eastAsia="微软雅黑"/>
                <w:b w:val="0"/>
                <w:i w:val="0"/>
                <w:sz w:val="18"/>
              </w:rPr>
              <w:t>1916</w:t>
            </w:r>
          </w:p>
        </w:tc>
        <w:tc>
          <w:tcPr>
            <w:tcW w:type="dxa" w:w="1383"/>
          </w:tcPr>
          <w:p>
            <w:r/>
            <w:r>
              <w:rPr>
                <w:rFonts w:ascii="Calibri" w:hAnsi="Calibri" w:eastAsia="微软雅黑"/>
                <w:b w:val="0"/>
                <w:i w:val="0"/>
                <w:sz w:val="18"/>
              </w:rPr>
              <w:t>1.91</w:t>
            </w:r>
          </w:p>
        </w:tc>
        <w:tc>
          <w:tcPr>
            <w:tcW w:type="dxa" w:w="1383"/>
          </w:tcPr>
          <w:p>
            <w:r/>
            <w:r>
              <w:rPr>
                <w:rFonts w:ascii="Calibri" w:hAnsi="Calibri" w:eastAsia="微软雅黑"/>
                <w:b w:val="0"/>
                <w:i w:val="0"/>
                <w:sz w:val="18"/>
              </w:rPr>
              <w:t>P3007</w:t>
            </w:r>
          </w:p>
        </w:tc>
      </w:tr>
      <w:tr>
        <w:tc>
          <w:tcPr>
            <w:tcW w:type="dxa" w:w="1383"/>
          </w:tcPr>
          <w:p>
            <w:r/>
            <w:r>
              <w:rPr>
                <w:rFonts w:ascii="Calibri" w:hAnsi="Calibri" w:eastAsia="微软雅黑"/>
                <w:b w:val="0"/>
                <w:i w:val="0"/>
                <w:sz w:val="18"/>
              </w:rPr>
              <w:t>宁波热电分公司（2023年8月）</w:t>
            </w:r>
          </w:p>
        </w:tc>
        <w:tc>
          <w:tcPr>
            <w:tcW w:type="dxa" w:w="1383"/>
          </w:tcPr>
          <w:p>
            <w:r/>
            <w:r>
              <w:rPr>
                <w:rFonts w:ascii="Calibri" w:hAnsi="Calibri" w:eastAsia="微软雅黑"/>
                <w:b w:val="0"/>
                <w:i w:val="0"/>
                <w:sz w:val="18"/>
              </w:rPr>
              <w:t>5MW/10MWh</w:t>
            </w:r>
          </w:p>
        </w:tc>
        <w:tc>
          <w:tcPr>
            <w:tcW w:type="dxa" w:w="1383"/>
          </w:tcPr>
          <w:p>
            <w:r/>
            <w:r>
              <w:rPr>
                <w:rFonts w:ascii="Calibri" w:hAnsi="Calibri" w:eastAsia="微软雅黑"/>
                <w:b w:val="0"/>
                <w:i w:val="0"/>
                <w:sz w:val="18"/>
              </w:rPr>
              <w:t>第三：南瑞继保</w:t>
            </w:r>
          </w:p>
        </w:tc>
        <w:tc>
          <w:tcPr>
            <w:tcW w:type="dxa" w:w="1383"/>
          </w:tcPr>
          <w:p>
            <w:r/>
            <w:r>
              <w:rPr>
                <w:rFonts w:ascii="Calibri" w:hAnsi="Calibri" w:eastAsia="微软雅黑"/>
                <w:b w:val="0"/>
                <w:i w:val="0"/>
                <w:sz w:val="18"/>
              </w:rPr>
              <w:t>1897</w:t>
            </w:r>
          </w:p>
        </w:tc>
        <w:tc>
          <w:tcPr>
            <w:tcW w:type="dxa" w:w="1383"/>
          </w:tcPr>
          <w:p>
            <w:r/>
            <w:r>
              <w:rPr>
                <w:rFonts w:ascii="Calibri" w:hAnsi="Calibri" w:eastAsia="微软雅黑"/>
                <w:b w:val="0"/>
                <w:i w:val="0"/>
                <w:sz w:val="18"/>
              </w:rPr>
              <w:t>1.89</w:t>
            </w:r>
          </w:p>
        </w:tc>
        <w:tc>
          <w:tcPr>
            <w:tcW w:type="dxa" w:w="1383"/>
          </w:tcPr>
          <w:p>
            <w:r/>
            <w:r>
              <w:rPr>
                <w:rFonts w:ascii="Calibri" w:hAnsi="Calibri" w:eastAsia="微软雅黑"/>
                <w:b w:val="0"/>
                <w:i w:val="0"/>
                <w:sz w:val="18"/>
              </w:rPr>
              <w:t>P3007</w:t>
            </w:r>
          </w:p>
        </w:tc>
      </w:tr>
      <w:tr>
        <w:tc>
          <w:tcPr>
            <w:tcW w:type="dxa" w:w="1383"/>
          </w:tcPr>
          <w:p>
            <w:r/>
            <w:r>
              <w:rPr>
                <w:rFonts w:ascii="Calibri" w:hAnsi="Calibri" w:eastAsia="微软雅黑"/>
                <w:b w:val="0"/>
                <w:i w:val="0"/>
                <w:sz w:val="18"/>
              </w:rPr>
              <w:t>国电投小桔充电站配套（2024年6月3日）</w:t>
            </w:r>
          </w:p>
        </w:tc>
        <w:tc>
          <w:tcPr>
            <w:tcW w:type="dxa" w:w="1383"/>
          </w:tcPr>
          <w:p>
            <w:r/>
            <w:r>
              <w:rPr>
                <w:rFonts w:ascii="Calibri" w:hAnsi="Calibri" w:eastAsia="微软雅黑"/>
                <w:b w:val="0"/>
                <w:i w:val="0"/>
                <w:sz w:val="18"/>
              </w:rPr>
              <w:t>0.7MW/1.4MWh</w:t>
            </w:r>
          </w:p>
        </w:tc>
        <w:tc>
          <w:tcPr>
            <w:tcW w:type="dxa" w:w="1383"/>
          </w:tcPr>
          <w:p>
            <w:r/>
            <w:r>
              <w:rPr>
                <w:rFonts w:ascii="Calibri" w:hAnsi="Calibri" w:eastAsia="微软雅黑"/>
                <w:b w:val="0"/>
                <w:i w:val="0"/>
                <w:sz w:val="18"/>
              </w:rPr>
              <w:t>中标：东莞康晋建设工程有限公司</w:t>
            </w:r>
          </w:p>
        </w:tc>
        <w:tc>
          <w:tcPr>
            <w:tcW w:type="dxa" w:w="1383"/>
          </w:tcPr>
          <w:p>
            <w:r/>
            <w:r>
              <w:rPr>
                <w:rFonts w:ascii="Calibri" w:hAnsi="Calibri" w:eastAsia="微软雅黑"/>
                <w:b w:val="0"/>
                <w:i w:val="0"/>
                <w:sz w:val="18"/>
              </w:rPr>
              <w:t>208.418</w:t>
            </w:r>
          </w:p>
        </w:tc>
        <w:tc>
          <w:tcPr>
            <w:tcW w:type="dxa" w:w="1383"/>
          </w:tcPr>
          <w:p>
            <w:r/>
            <w:r>
              <w:rPr>
                <w:rFonts w:ascii="Calibri" w:hAnsi="Calibri" w:eastAsia="微软雅黑"/>
                <w:b w:val="0"/>
                <w:i w:val="0"/>
                <w:sz w:val="18"/>
              </w:rPr>
              <w:t>1.4887</w:t>
            </w:r>
          </w:p>
        </w:tc>
        <w:tc>
          <w:tcPr>
            <w:tcW w:type="dxa" w:w="1383"/>
          </w:tcPr>
          <w:p>
            <w:r/>
            <w:r>
              <w:rPr>
                <w:rFonts w:ascii="Calibri" w:hAnsi="Calibri" w:eastAsia="微软雅黑"/>
                <w:b w:val="0"/>
                <w:i w:val="0"/>
                <w:sz w:val="18"/>
              </w:rPr>
              <w:t>P3005</w:t>
            </w:r>
          </w:p>
        </w:tc>
      </w:tr>
      <w:tr>
        <w:tc>
          <w:tcPr>
            <w:tcW w:type="dxa" w:w="1383"/>
          </w:tcPr>
          <w:p>
            <w:r/>
            <w:r>
              <w:rPr>
                <w:rFonts w:ascii="Calibri" w:hAnsi="Calibri" w:eastAsia="微软雅黑"/>
                <w:b w:val="0"/>
                <w:i w:val="0"/>
                <w:sz w:val="18"/>
              </w:rPr>
              <w:t>华能金坛共享储能PC（2023年8月）</w:t>
            </w:r>
          </w:p>
        </w:tc>
        <w:tc>
          <w:tcPr>
            <w:tcW w:type="dxa" w:w="1383"/>
          </w:tcPr>
          <w:p>
            <w:r/>
            <w:r>
              <w:rPr>
                <w:rFonts w:ascii="Calibri" w:hAnsi="Calibri" w:eastAsia="微软雅黑"/>
                <w:b w:val="0"/>
                <w:i w:val="0"/>
                <w:sz w:val="18"/>
              </w:rPr>
              <w:t>17.24MW/34.48MWh</w:t>
            </w:r>
          </w:p>
        </w:tc>
        <w:tc>
          <w:tcPr>
            <w:tcW w:type="dxa" w:w="1383"/>
          </w:tcPr>
          <w:p>
            <w:r/>
            <w:r>
              <w:rPr>
                <w:rFonts w:ascii="Calibri" w:hAnsi="Calibri" w:eastAsia="微软雅黑"/>
                <w:b w:val="0"/>
                <w:i w:val="0"/>
                <w:sz w:val="18"/>
              </w:rPr>
              <w:t>PC工程口径，候选明细未入池</w:t>
            </w:r>
          </w:p>
        </w:tc>
        <w:tc>
          <w:tcPr>
            <w:tcW w:type="dxa" w:w="1383"/>
          </w:tcPr>
          <w:p>
            <w:r/>
            <w:r>
              <w:rPr>
                <w:rFonts w:ascii="Calibri" w:hAnsi="Calibri" w:eastAsia="微软雅黑"/>
                <w:b w:val="0"/>
                <w:i w:val="0"/>
                <w:sz w:val="18"/>
              </w:rPr>
              <w:t>—</w:t>
            </w:r>
          </w:p>
        </w:tc>
        <w:tc>
          <w:tcPr>
            <w:tcW w:type="dxa" w:w="1383"/>
          </w:tcPr>
          <w:p>
            <w:r/>
            <w:r>
              <w:rPr>
                <w:rFonts w:ascii="Calibri" w:hAnsi="Calibri" w:eastAsia="微软雅黑"/>
                <w:b w:val="0"/>
                <w:i w:val="0"/>
                <w:sz w:val="18"/>
              </w:rPr>
              <w:t>—</w:t>
            </w:r>
          </w:p>
        </w:tc>
        <w:tc>
          <w:tcPr>
            <w:tcW w:type="dxa" w:w="1383"/>
          </w:tcPr>
          <w:p>
            <w:r/>
            <w:r>
              <w:rPr>
                <w:rFonts w:ascii="Calibri" w:hAnsi="Calibri" w:eastAsia="微软雅黑"/>
                <w:b w:val="0"/>
                <w:i w:val="0"/>
                <w:sz w:val="18"/>
              </w:rPr>
              <w:t>P3007</w:t>
            </w:r>
          </w:p>
        </w:tc>
      </w:tr>
    </w:tbl>
    <w:p>
      <w:r>
        <w:rPr>
          <w:rFonts w:ascii="Calibri" w:hAnsi="Calibri" w:eastAsia="微软雅黑"/>
          <w:b w:val="0"/>
          <w:i w:val="0"/>
          <w:sz w:val="22"/>
        </w:rPr>
        <w:t>把表压成一句话：样本内折合单价的下沿是阿勒泰项目的1.03元/Wh，上沿是宁波项目的1.91元/Wh，高低两点相差接近两倍（1.91÷1.03，own_calc）（P3007）。价差的第一个解释变量是规模：阿勒泰20万千瓦/80万千瓦时的大项目把单价压到1.03至1.07元/Wh，而宁波5MW/10MWh的小项目单价站上1.88至1.91元/Wh（P3007）——小项目没有规模摊薄，安全、监控与并网接口等固定成本被浓缩进每一瓦时。第二个解释变量是容量时长口径：样本内嘉峪关为2小时（own_calc：1000MWh÷500MW=2h）、含谷宝洪为2小时（own_calc：200÷100=2h）、仪征配套为2小时（own_calc：22÷11=2h）、宁波为2小时（own_calc：10÷5=2h）、小桔为2小时（own_calc：1.4÷0.7=2h），唯独阿勒泰按4小时配置（own_calc：80万千瓦时÷20万千瓦=4h）（P3005、P3007）——时长越长、单位功率的电池用量越大，单价结构完全不同，跨时长比价必须先折算。第三个解释变量是竞争密度：嘉峪关单项目只有三家候选人入场（P3005），而同日六份公示拉出了十六家入选主体（P3007）——候选人数与入围结构本身就在塑造成交价，业主把标段切分方式与入围门槛当作价格工具使用，比事后压价更有效。另需说明表的边界：金坛项目以PC口径进入公示（P3007），其候选报价未随证据入池，故未计入单价带；钦州浦北为设备采购口径且明细被截断（P3007），同样不计入——把不可比的口径剔除，是这张表能作为底账使用的前提。</w:t>
      </w:r>
    </w:p>
    <w:p>
      <w:r>
        <w:rPr>
          <w:rFonts w:ascii="Calibri" w:hAnsi="Calibri" w:eastAsia="微软雅黑"/>
          <w:b w:val="0"/>
          <w:i w:val="0"/>
          <w:sz w:val="22"/>
        </w:rPr>
        <w:t>对本书主角而言，这张表里最要紧的一行是：中国电建电建新能源公司西部（重庆）科学城智慧储能科技示范项目含谷宝洪100MW/200MWh储能电站项目二阶段EPC总承包，第一中标候选人就是清安储能技术（重庆）有限公司与四川电力设计咨询有限责任公司组成的联合体，投标报价24051万元、中标单价1.414元/Wh；第二名中国电建集团江西省电力设计院有限公司报价24076万元、单价1.416元/Wh，两者仅差25万元（24076−24051=25，own_calc）（P3007）。联合体形式、与专业储能商绑定点位、以约千分之一的价差险胜（25÷24051，own_calc）（P3007）——这是四川院在储能EPC市场上可验证的竞争姿态：不靠低价碾压，靠设计与系统整合能力进入决选圈。</w:t>
      </w:r>
    </w:p>
    <w:p>
      <w:r>
        <w:rPr>
          <w:rFonts w:ascii="Calibri" w:hAnsi="Calibri" w:eastAsia="微软雅黑"/>
          <w:b w:val="0"/>
          <w:i w:val="0"/>
          <w:sz w:val="22"/>
        </w:rPr>
        <w:t>行业横截面补齐了价格带的上下沿与供给侧信号。检索池内的行业分析以标题形式留下刻度：储能采购最低价0.87元/Wh、EPC最高3.04元/Wh的月度中标分析（P3001）。必须强调这两个数不是同一口径——一个是设备采购价、一个是EPC交钥匙价——但两者之比约三倍半（3.04÷0.87，own_calc）（P3001），恰好量化了"设备"与"交钥匙"之间的口径差有多大：采购价之外，设计、土建、并网、调试与风险溢价构成了EPC报价的另一半世界（P3001）。供给侧的信号同样密集：中国电建拟中标一批储能电站大项目、金额超27亿元（P3001）；智光电气储能目标产能为12GWh（P3001）；单月储能项目中标汇总收录13项（P3001）；中国电建与宁德时代达成战略合作（P3001）。竞争格局的坐标则由第三方统计给出：储能系统商海博思创（股票代码688411）根据中电联统计，截至2024年年底在国内已投运电站装机量排名中位居第一；根据标普全球统计，其2024年全球电池储能系统集成商新增储能装机排名位居前三，且截至2025年7月，以累计装机和签约项目规模总和统计位列中国大陆市场第一（P3000）。</w:t>
      </w:r>
    </w:p>
    <w:p>
      <w:r>
        <w:rPr>
          <w:rFonts w:ascii="Calibri" w:hAnsi="Calibri" w:eastAsia="微软雅黑"/>
          <w:b w:val="0"/>
          <w:i w:val="0"/>
          <w:sz w:val="22"/>
        </w:rPr>
        <w:t>把海博思创的底账展开，可以看到储能集成环节的门槛构成。该公司为国家级高新技术企业、国家专精特新"小巨人"企业、国家企业技术中心、北京市隐形冠军企业、北京市民营企业百强（P3000）；拥有国内领先的CMA和CNAS认证的电池及电池系统测试实验室，获准成立电化学储能系统博士后工作站，并牵头成立北京市未来电化学储能系统集成技术创新中心（P3000）；其客户覆盖传统发电、新能源发电、智能电网、终端电力用户及智能微网等"源－网－荷"全链条（P3000）。这套资质、实验室与工作站体系解释了一个反复出现的市场现象：储能EPC的投标人名单里总有"专业集成商+设计院"的联合体——设计院补工程整合、并网设计与全过程管理，集成商补电池建模、电池管理、系统集成、系统验证、智能运维等核心技术（P3000），联合体不是权宜拼盘而是能力互补的必然形态。四川院与清安储能的组合（P3007）正是这一结构的样本：联合体在含谷宝洪二阶段以1.414元/Wh位列第一候选（P3007），说明在2小时、百兆瓦级的电网侧储能段位上，设计院借助集成商伙伴即可进入决选圈并胜出。</w:t>
      </w:r>
    </w:p>
    <w:p>
      <w:r>
        <w:rPr>
          <w:rFonts w:ascii="Calibri" w:hAnsi="Calibri" w:eastAsia="微软雅黑"/>
          <w:b w:val="0"/>
          <w:i w:val="0"/>
          <w:sz w:val="22"/>
        </w:rPr>
        <w:t>价格方法论的推论也在这里收敛。买方在储能EPC询价时，应当把本章价格带拆成三层使用：第一层是锚点区间——大体量、4小时或2小时大储项目落在1.03至1.2元/Wh一带（P3005、P3007）；第二层是规模修正——5MW级小项目上探至1.88至1.91元/Wh（P3007），用户侧工商业项目落在1.4887元/Wh（P3005）；第三层是口径折算——设备采购口径最低可见0.87元/Wh（P3001），与EPC口径相差约三倍半（3.04÷0.87，own_calc）（P3001），任何把设备价当EPC价、或把EPC价当设备价的测算都要先除以这层口径差。三层叠用，才能把"市场价是多少"这个伪问题替换成"这个报价在带内处于什么位置、偏离由什么解释"这个可操作的问题。</w:t>
      </w:r>
    </w:p>
    <w:p>
      <w:r>
        <w:rPr>
          <w:rFonts w:ascii="Calibri" w:hAnsi="Calibri" w:eastAsia="微软雅黑"/>
          <w:b w:val="0"/>
          <w:i w:val="0"/>
          <w:sz w:val="22"/>
        </w:rPr>
        <w:t>技术路线的口径也在分叉。主流磷酸铁锂之外，嘉峪关项目已经把25MW超级电容（60s）写进与475MW/1000MWh电池系统并列的配置（P3005）；钠离子方向，北京中科海钠科技有限责任公司以3978.962万元中标三峡能源安徽分公司钠离子电池单元化储能系统开发及应用研究项目，预期交付可运行的1.25MW/2.5MWh钠离子电池储能单元一套（含储能舱和功率舱各一套），工期自2024年6月至2026年9月（P3005）。该课题招标人为三峡新能源发电（临泉）有限公司，研究范围围绕电池寿命与安全，针对钠离子电池特性进行失效行为分析，设计开发专用电池管理系统BMS、高安全液冷储能PACK及宽电压簇级控制器等专用设备器件，并集成开发一款便于集成安装与调试且能协同管理的"分布式"单元化储能系统，预期成果还包括相关技术方案、技术研究报告、管理规范、期刊论文、专利等（P3005）。这份合同的价值不在3978.962万元的金额本身，而在其时间口径——研究跨度排到2026年9月（P3005），说明钠离子在2024年仍处于"研发课题"而非"商用招标"阶段，买方若在此前把钠离子写进商业项目的工期与质保承诺，风险自担。它同样是2小时配置（own_calc：2.5÷1.25=2h），与主流时长口径一致（P3005）。用户侧则另有价格逻辑：国电投融合（海南）新能源有限公司小桔能源300kW/600kWh及400kW/800kWh用户侧储能项目由东莞康晋建设工程有限公司以208.418万元中标，折合单价1.4887元/Wh（P3005）。该项目实为两座小站叠加——一座300kW/600kWh、一座400kW/800kWh（P3005），各自均为2小时配置（own_calc：600÷300=2h；800÷400=2h）；合并功率0.7MW、容量1.4MWh（P3005）。把它放进价格带里看，用户侧点位落在1.4887元/Wh（P3005），高于同为大储的嘉峪关与阿勒泰全线（P3005、P3007），与大项目争规模效应的方向相反——工商业小储能的每一瓦时都要独立摊薄接入、监控与安全成本，买方若直接拿大储价格带评估用户侧项目回报，会系统性高估收益。四川本地的口径推进同样在发生：川内首个压缩空气储能项目已顺利通过初设报告评审（P3001）。</w:t>
      </w:r>
    </w:p>
    <w:p>
      <w:r>
        <w:rPr>
          <w:rFonts w:ascii="Calibri" w:hAnsi="Calibri" w:eastAsia="微软雅黑"/>
          <w:b/>
          <w:i w:val="0"/>
          <w:sz w:val="22"/>
        </w:rPr>
        <w:t>买方要点（所以呢）</w:t>
      </w:r>
      <w:r>
        <w:rPr>
          <w:rFonts w:ascii="Calibri" w:hAnsi="Calibri" w:eastAsia="微软雅黑"/>
          <w:b w:val="0"/>
          <w:i w:val="0"/>
          <w:sz w:val="22"/>
        </w:rPr>
        <w:t>：第一，储能EPC的"市场价"不存在，存在的是1.03至1.91元/Wh的带状区间（P3007）加单项目约一成六的候选价差噪声（(1.2−1.036)÷1.036，own_calc，P3005），评标基准应设在区间内按规模与时长插值；第二，2小时与4小时是两套成本结构（P3005、P3007），任何跨项目比价先统一时长口径；第三，设备价与EPC价之间约三倍半的口径差（3.04÷0.87，own_calc，P3001）说明单纯盯电芯价格谈EPC降价没有意义，真正可谈的是设计优化与并网接口的整合能力——这正是四川院这类设计院的定价筹码（P3007）。第四，供给侧信号要双向读：目标产能12GWh（P3001）与单月13项中标汇总（P3001）是两种口径的数，前者是意愿、后者是兑现，用兑现密度去校验产能口径，才能在"过剩是常态"的制造属性行业里（P3008）避开接盘时点；集团级的超27亿元储能中标批次（P3001）则提示：大单向头部集团集中与长尾市场分散并存，中小设计院的生存位在联合体与细分场景（P3007）。</w:t>
      </w:r>
    </w:p>
    <w:p>
      <w:pPr>
        <w:pStyle w:val="Heading2"/>
      </w:pPr>
      <w:r>
        <w:t>3.3 新能源：成本通缩曲线、大基地样本与纠纷地理</w:t>
      </w:r>
    </w:p>
    <w:p>
      <w:r>
        <w:rPr>
          <w:rFonts w:ascii="Calibri" w:hAnsi="Calibri" w:eastAsia="微软雅黑"/>
          <w:b w:val="0"/>
          <w:i w:val="0"/>
          <w:sz w:val="22"/>
        </w:rPr>
        <w:t>新能源市场底账的第一根轴是成本。隆基绿能创始人李振国的口径给出了这条轴上最有解释力的刻度：单晶硅片价格从100元降到3元（P3008），即降到原价的百分之三、降幅超过三十倍（100÷3，own_calc）（P3008）；单晶技术路线的市占率从2009年不到5%猛增至目前的90%以上（P3008）。十五年量级的成本通缩重塑了整个新能源EPC的报价结构：当主设备价格以数量级下行时，EPC总价里设备占比持续收缩，而并网接入、送出工程、土地与合规、储能配套的相对权重持续上升——买方评估设计院EPC竞争力时，应当把注意力从"谁能拿到便宜组件"转向"谁能压低系统接口成本"。这条纪律的另一面同样成立：设备价格的持续下行抬高了设备费在EPC总价中的敏感度——单价每再降一档，同样总价对应的容量就放大一圈，并网、送出与消纳接口的工程压力随之而来（P3008、P3013）。</w:t>
      </w:r>
    </w:p>
    <w:p>
      <w:r>
        <w:rPr>
          <w:rFonts w:ascii="Calibri" w:hAnsi="Calibri" w:eastAsia="微软雅黑"/>
          <w:b w:val="0"/>
          <w:i w:val="0"/>
          <w:sz w:val="22"/>
        </w:rPr>
        <w:t>这家公司的起点把"制造业纪律"具体化。李振国1990年毕业于兰州大学物理系，被分配至陕西华县的华山半导体材料厂负责单晶硅材料的生产，两年后辞职，在西安理工大学参与单晶生产线建设并承包了这个仅有两台单晶炉的校办工厂（P3008）。2000年他创办西安新盟电子科技有限公司，注册资本50万元，这就是隆基的前身（P3008）；隆基自成立以来历经22年的发展，从一家小工厂成长为今天的规模（P3008）。创业头三年最深刻的一课在2003年年中：公司向欧洲客户出口两个货柜共14t多晶硅料，单价15美元/公斤、总额200万美元——对成立仅三年的公司是一笔巨额交易——产品送达后因技术指标不达标被要求退货，他自述这是创业十多年来首次感受到生死攸关的时刻，这次危机也改变了公司的发展轨迹（P3008）。从带着千余元启动资金坐绿皮火车、怕睡着丢失财物只能钻到硬座下休息的创业细节（P3008），到"企业的发展需要更加全面的能力建设以及更加规范的机制保障，不能将公司寄托于运气之上"的总结（P3008），再到回顾发展历程时自陈"并未采取押注或冒险策略……只不过是在认知的范畴内，做出了基于常识的选择"（P3008）——设备质量口径的教训最终内化为企业的质量体系与常识纪律。对EPC买方而言，这段历史的采购含义直白：设备环节的技术协议与验收标准，实质是给自己买的保险；选择从未被质量事故教育过的供应商，反而是未知数。</w:t>
      </w:r>
    </w:p>
    <w:p>
      <w:r>
        <w:rPr>
          <w:rFonts w:ascii="Calibri" w:hAnsi="Calibri" w:eastAsia="微软雅黑"/>
          <w:b w:val="0"/>
          <w:i w:val="0"/>
          <w:sz w:val="22"/>
        </w:rPr>
        <w:t>这条曲线背后是制造业的生存纪律。李振国对行业的定性是：光伏是制造属性行业，"凡是人能够造出的东西，短缺一定是阶段性的，过剩才会是个常态"；企业不能把竞争力建立在短缺局面之上，而要建立在过剩态下生存和发展的能力（P3008）。隆基自己的铁律是"不领先不扩产，不卡脖子不介入"（P3008）。把这条制造业纪律平移到储能集成环节，警戒线立刻可见：智光电气对外表述的储能目标产能为12GWh（P3001），而单月可见的储能中标项目汇总仅收录13项（P3001）——产能口径按"目标"计，需求口径按"中标项目"计，两把尺子之间就是过剩风险的自留地。光伏行业用单晶硅片从100元到3元的价格坍缩（P3008）演示过一次"短缺是阶段性的，过剩是常态"（P3008）的完整周期，储能集成与EPC环节没有理由豁免同样的物理规律；买方对承包商与集成商的尽调，应把"目标产能"与"在手订单"的比值当作标准问题问出口。这段历史里还有一个对买方极具警示价值的细节：2003年年中，隆基前身向欧洲客户出口两个货柜共14t多晶硅料，单价15美元/公斤、总额200万美元，产品送达后因技术指标不达标被要求退货——这家公司2000年创办时注册资本仅50万元（P3008）。设备环节的质量口径一旦失守，足以把企业拖到生死线；同理，EPC买方对设备技术协议的验收标准，实质上是给自己买保险。</w:t>
      </w:r>
    </w:p>
    <w:p>
      <w:r>
        <w:rPr>
          <w:rFonts w:ascii="Calibri" w:hAnsi="Calibri" w:eastAsia="微软雅黑"/>
          <w:b w:val="0"/>
          <w:i w:val="0"/>
          <w:sz w:val="22"/>
        </w:rPr>
        <w:t>需求侧的第二根轴是大基地。全国首个"沙戈荒"新能源大基地配套调峰电源已全容量投产，消息来源为国家能源投资集团、发布日期2026年10月10日（P3012）。这个样本的口径意义在于：大基地开发的惯性问号不是"电站本体谁来建"，而是"调峰资源谁配齐"——配套调峰电源的全容量投产被单独作为里程碑发布，说明它才是大基地放量的卡点，也意味着储能、调峰与灵活资源正在从"配套工程"升格为"准入资格"（P3012）。调峰与"双碳"的绑定并非孤立叙事——工程界正是在国家"双碳"目标的宏大叙事中系统布局光热、压缩空气等新型储能技术路线（P3006），而电化学大储也在以4小时配置（P3007）向调峰时长靠拢；三条线索共同指向同一判断：调峰能力正在从大基地的配套项，变成整个新能源市场的准入项（P3012、P3006、P3007）。</w:t>
      </w:r>
    </w:p>
    <w:p>
      <w:r>
        <w:rPr>
          <w:rFonts w:ascii="Calibri" w:hAnsi="Calibri" w:eastAsia="微软雅黑"/>
          <w:b w:val="0"/>
          <w:i w:val="0"/>
          <w:sz w:val="22"/>
        </w:rPr>
        <w:t>调峰与长时储能的口径地图，可以把本章散落的证据收进一张对照表：</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技术路线</w:t>
            </w:r>
          </w:p>
        </w:tc>
        <w:tc>
          <w:tcPr>
            <w:tcW w:type="dxa" w:w="1660"/>
            <w:shd w:fill="1F3A5F"/>
          </w:tcPr>
          <w:p>
            <w:r>
              <w:rPr>
                <w:color w:val="FFFFFF"/>
              </w:rPr>
            </w:r>
            <w:r>
              <w:rPr>
                <w:rFonts w:ascii="Calibri" w:hAnsi="Calibri" w:eastAsia="微软雅黑"/>
                <w:b/>
                <w:i w:val="0"/>
                <w:color w:val="FFFFFF"/>
                <w:sz w:val="18"/>
              </w:rPr>
              <w:t>代表样本</w:t>
            </w:r>
          </w:p>
        </w:tc>
        <w:tc>
          <w:tcPr>
            <w:tcW w:type="dxa" w:w="1660"/>
            <w:shd w:fill="1F3A5F"/>
          </w:tcPr>
          <w:p>
            <w:r>
              <w:rPr>
                <w:color w:val="FFFFFF"/>
              </w:rPr>
            </w:r>
            <w:r>
              <w:rPr>
                <w:rFonts w:ascii="Calibri" w:hAnsi="Calibri" w:eastAsia="微软雅黑"/>
                <w:b/>
                <w:i w:val="0"/>
                <w:color w:val="FFFFFF"/>
                <w:sz w:val="18"/>
              </w:rPr>
              <w:t>时长/配置口径</w:t>
            </w:r>
          </w:p>
        </w:tc>
        <w:tc>
          <w:tcPr>
            <w:tcW w:type="dxa" w:w="1660"/>
            <w:shd w:fill="1F3A5F"/>
          </w:tcPr>
          <w:p>
            <w:r>
              <w:rPr>
                <w:color w:val="FFFFFF"/>
              </w:rPr>
            </w:r>
            <w:r>
              <w:rPr>
                <w:rFonts w:ascii="Calibri" w:hAnsi="Calibri" w:eastAsia="微软雅黑"/>
                <w:b/>
                <w:i w:val="0"/>
                <w:color w:val="FFFFFF"/>
                <w:sz w:val="18"/>
              </w:rPr>
              <w:t>成熟度口径</w:t>
            </w:r>
          </w:p>
        </w:tc>
        <w:tc>
          <w:tcPr>
            <w:tcW w:type="dxa" w:w="1660"/>
            <w:shd w:fill="1F3A5F"/>
          </w:tcPr>
          <w:p>
            <w:r>
              <w:rPr>
                <w:color w:val="FFFFFF"/>
              </w:rPr>
            </w:r>
            <w:r>
              <w:rPr>
                <w:rFonts w:ascii="Calibri" w:hAnsi="Calibri" w:eastAsia="微软雅黑"/>
                <w:b/>
                <w:i w:val="0"/>
                <w:color w:val="FFFFFF"/>
                <w:sz w:val="18"/>
              </w:rPr>
              <w:t>证据锚</w:t>
            </w:r>
          </w:p>
        </w:tc>
      </w:tr>
      <w:tr>
        <w:tc>
          <w:tcPr>
            <w:tcW w:type="dxa" w:w="1660"/>
          </w:tcPr>
          <w:p>
            <w:r/>
            <w:r>
              <w:rPr>
                <w:rFonts w:ascii="Calibri" w:hAnsi="Calibri" w:eastAsia="微软雅黑"/>
                <w:b w:val="0"/>
                <w:i w:val="0"/>
                <w:sz w:val="18"/>
              </w:rPr>
              <w:t>熔盐塔式光热</w:t>
            </w:r>
          </w:p>
        </w:tc>
        <w:tc>
          <w:tcPr>
            <w:tcW w:type="dxa" w:w="1660"/>
          </w:tcPr>
          <w:p>
            <w:r/>
            <w:r>
              <w:rPr>
                <w:rFonts w:ascii="Calibri" w:hAnsi="Calibri" w:eastAsia="微软雅黑"/>
                <w:b w:val="0"/>
                <w:i w:val="0"/>
                <w:sz w:val="18"/>
              </w:rPr>
              <w:t>青海共和电站</w:t>
            </w:r>
          </w:p>
        </w:tc>
        <w:tc>
          <w:tcPr>
            <w:tcW w:type="dxa" w:w="1660"/>
          </w:tcPr>
          <w:p>
            <w:r/>
            <w:r>
              <w:rPr>
                <w:rFonts w:ascii="Calibri" w:hAnsi="Calibri" w:eastAsia="微软雅黑"/>
                <w:b w:val="0"/>
                <w:i w:val="0"/>
                <w:sz w:val="18"/>
              </w:rPr>
              <w:t>储热时长6小时</w:t>
            </w:r>
          </w:p>
        </w:tc>
        <w:tc>
          <w:tcPr>
            <w:tcW w:type="dxa" w:w="1660"/>
          </w:tcPr>
          <w:p>
            <w:r/>
            <w:r>
              <w:rPr>
                <w:rFonts w:ascii="Calibri" w:hAnsi="Calibri" w:eastAsia="微软雅黑"/>
                <w:b w:val="0"/>
                <w:i w:val="0"/>
                <w:sz w:val="18"/>
              </w:rPr>
              <w:t>国家首批光热示范工程，已并网运行（2019年9月19日）</w:t>
            </w:r>
          </w:p>
        </w:tc>
        <w:tc>
          <w:tcPr>
            <w:tcW w:type="dxa" w:w="1660"/>
          </w:tcPr>
          <w:p>
            <w:r/>
            <w:r>
              <w:rPr>
                <w:rFonts w:ascii="Calibri" w:hAnsi="Calibri" w:eastAsia="微软雅黑"/>
                <w:b w:val="0"/>
                <w:i w:val="0"/>
                <w:sz w:val="18"/>
              </w:rPr>
              <w:t>P3006</w:t>
            </w:r>
          </w:p>
        </w:tc>
      </w:tr>
      <w:tr>
        <w:tc>
          <w:tcPr>
            <w:tcW w:type="dxa" w:w="1660"/>
          </w:tcPr>
          <w:p>
            <w:r/>
            <w:r>
              <w:rPr>
                <w:rFonts w:ascii="Calibri" w:hAnsi="Calibri" w:eastAsia="微软雅黑"/>
                <w:b w:val="0"/>
                <w:i w:val="0"/>
                <w:sz w:val="18"/>
              </w:rPr>
              <w:t>磷酸铁锂+超级电容混合</w:t>
            </w:r>
          </w:p>
        </w:tc>
        <w:tc>
          <w:tcPr>
            <w:tcW w:type="dxa" w:w="1660"/>
          </w:tcPr>
          <w:p>
            <w:r/>
            <w:r>
              <w:rPr>
                <w:rFonts w:ascii="Calibri" w:hAnsi="Calibri" w:eastAsia="微软雅黑"/>
                <w:b w:val="0"/>
                <w:i w:val="0"/>
                <w:sz w:val="18"/>
              </w:rPr>
              <w:t>嘉峪关独立储能</w:t>
            </w:r>
          </w:p>
        </w:tc>
        <w:tc>
          <w:tcPr>
            <w:tcW w:type="dxa" w:w="1660"/>
          </w:tcPr>
          <w:p>
            <w:r/>
            <w:r>
              <w:rPr>
                <w:rFonts w:ascii="Calibri" w:hAnsi="Calibri" w:eastAsia="微软雅黑"/>
                <w:b w:val="0"/>
                <w:i w:val="0"/>
                <w:sz w:val="18"/>
              </w:rPr>
              <w:t>2小时（电池）+60s（超级电容）</w:t>
            </w:r>
          </w:p>
        </w:tc>
        <w:tc>
          <w:tcPr>
            <w:tcW w:type="dxa" w:w="1660"/>
          </w:tcPr>
          <w:p>
            <w:r/>
            <w:r>
              <w:rPr>
                <w:rFonts w:ascii="Calibri" w:hAnsi="Calibri" w:eastAsia="微软雅黑"/>
                <w:b w:val="0"/>
                <w:i w:val="0"/>
                <w:sz w:val="18"/>
              </w:rPr>
              <w:t>商用EPC招标，2024年公示</w:t>
            </w:r>
          </w:p>
        </w:tc>
        <w:tc>
          <w:tcPr>
            <w:tcW w:type="dxa" w:w="1660"/>
          </w:tcPr>
          <w:p>
            <w:r/>
            <w:r>
              <w:rPr>
                <w:rFonts w:ascii="Calibri" w:hAnsi="Calibri" w:eastAsia="微软雅黑"/>
                <w:b w:val="0"/>
                <w:i w:val="0"/>
                <w:sz w:val="18"/>
              </w:rPr>
              <w:t>P3005</w:t>
            </w:r>
          </w:p>
        </w:tc>
      </w:tr>
      <w:tr>
        <w:tc>
          <w:tcPr>
            <w:tcW w:type="dxa" w:w="1660"/>
          </w:tcPr>
          <w:p>
            <w:r/>
            <w:r>
              <w:rPr>
                <w:rFonts w:ascii="Calibri" w:hAnsi="Calibri" w:eastAsia="微软雅黑"/>
                <w:b w:val="0"/>
                <w:i w:val="0"/>
                <w:sz w:val="18"/>
              </w:rPr>
              <w:t>磷酸铁锂大储</w:t>
            </w:r>
          </w:p>
        </w:tc>
        <w:tc>
          <w:tcPr>
            <w:tcW w:type="dxa" w:w="1660"/>
          </w:tcPr>
          <w:p>
            <w:r/>
            <w:r>
              <w:rPr>
                <w:rFonts w:ascii="Calibri" w:hAnsi="Calibri" w:eastAsia="微软雅黑"/>
                <w:b w:val="0"/>
                <w:i w:val="0"/>
                <w:sz w:val="18"/>
              </w:rPr>
              <w:t>阿勒泰储能项目</w:t>
            </w:r>
          </w:p>
        </w:tc>
        <w:tc>
          <w:tcPr>
            <w:tcW w:type="dxa" w:w="1660"/>
          </w:tcPr>
          <w:p>
            <w:r/>
            <w:r>
              <w:rPr>
                <w:rFonts w:ascii="Calibri" w:hAnsi="Calibri" w:eastAsia="微软雅黑"/>
                <w:b w:val="0"/>
                <w:i w:val="0"/>
                <w:sz w:val="18"/>
              </w:rPr>
              <w:t>4小时</w:t>
            </w:r>
          </w:p>
        </w:tc>
        <w:tc>
          <w:tcPr>
            <w:tcW w:type="dxa" w:w="1660"/>
          </w:tcPr>
          <w:p>
            <w:r/>
            <w:r>
              <w:rPr>
                <w:rFonts w:ascii="Calibri" w:hAnsi="Calibri" w:eastAsia="微软雅黑"/>
                <w:b w:val="0"/>
                <w:i w:val="0"/>
                <w:sz w:val="18"/>
              </w:rPr>
              <w:t>商用EPC招标，配置80万千瓦新能源</w:t>
            </w:r>
          </w:p>
        </w:tc>
        <w:tc>
          <w:tcPr>
            <w:tcW w:type="dxa" w:w="1660"/>
          </w:tcPr>
          <w:p>
            <w:r/>
            <w:r>
              <w:rPr>
                <w:rFonts w:ascii="Calibri" w:hAnsi="Calibri" w:eastAsia="微软雅黑"/>
                <w:b w:val="0"/>
                <w:i w:val="0"/>
                <w:sz w:val="18"/>
              </w:rPr>
              <w:t>P3007</w:t>
            </w:r>
          </w:p>
        </w:tc>
      </w:tr>
      <w:tr>
        <w:tc>
          <w:tcPr>
            <w:tcW w:type="dxa" w:w="1660"/>
          </w:tcPr>
          <w:p>
            <w:r/>
            <w:r>
              <w:rPr>
                <w:rFonts w:ascii="Calibri" w:hAnsi="Calibri" w:eastAsia="微软雅黑"/>
                <w:b w:val="0"/>
                <w:i w:val="0"/>
                <w:sz w:val="18"/>
              </w:rPr>
              <w:t>压缩空气储能</w:t>
            </w:r>
          </w:p>
        </w:tc>
        <w:tc>
          <w:tcPr>
            <w:tcW w:type="dxa" w:w="1660"/>
          </w:tcPr>
          <w:p>
            <w:r/>
            <w:r>
              <w:rPr>
                <w:rFonts w:ascii="Calibri" w:hAnsi="Calibri" w:eastAsia="微软雅黑"/>
                <w:b w:val="0"/>
                <w:i w:val="0"/>
                <w:sz w:val="18"/>
              </w:rPr>
              <w:t>川内首个压缩空气项目</w:t>
            </w:r>
          </w:p>
        </w:tc>
        <w:tc>
          <w:tcPr>
            <w:tcW w:type="dxa" w:w="1660"/>
          </w:tcPr>
          <w:p>
            <w:r/>
            <w:r>
              <w:rPr>
                <w:rFonts w:ascii="Calibri" w:hAnsi="Calibri" w:eastAsia="微软雅黑"/>
                <w:b w:val="0"/>
                <w:i w:val="0"/>
                <w:sz w:val="18"/>
              </w:rPr>
              <w:t>标题级，未入池</w:t>
            </w:r>
          </w:p>
        </w:tc>
        <w:tc>
          <w:tcPr>
            <w:tcW w:type="dxa" w:w="1660"/>
          </w:tcPr>
          <w:p>
            <w:r/>
            <w:r>
              <w:rPr>
                <w:rFonts w:ascii="Calibri" w:hAnsi="Calibri" w:eastAsia="微软雅黑"/>
                <w:b w:val="0"/>
                <w:i w:val="0"/>
                <w:sz w:val="18"/>
              </w:rPr>
              <w:t>初设报告评审阶段</w:t>
            </w:r>
          </w:p>
        </w:tc>
        <w:tc>
          <w:tcPr>
            <w:tcW w:type="dxa" w:w="1660"/>
          </w:tcPr>
          <w:p>
            <w:r/>
            <w:r>
              <w:rPr>
                <w:rFonts w:ascii="Calibri" w:hAnsi="Calibri" w:eastAsia="微软雅黑"/>
                <w:b w:val="0"/>
                <w:i w:val="0"/>
                <w:sz w:val="18"/>
              </w:rPr>
              <w:t>P3001</w:t>
            </w:r>
          </w:p>
        </w:tc>
      </w:tr>
      <w:tr>
        <w:tc>
          <w:tcPr>
            <w:tcW w:type="dxa" w:w="1660"/>
          </w:tcPr>
          <w:p>
            <w:r/>
            <w:r>
              <w:rPr>
                <w:rFonts w:ascii="Calibri" w:hAnsi="Calibri" w:eastAsia="微软雅黑"/>
                <w:b w:val="0"/>
                <w:i w:val="0"/>
                <w:sz w:val="18"/>
              </w:rPr>
              <w:t>钠离子电池</w:t>
            </w:r>
          </w:p>
        </w:tc>
        <w:tc>
          <w:tcPr>
            <w:tcW w:type="dxa" w:w="1660"/>
          </w:tcPr>
          <w:p>
            <w:r/>
            <w:r>
              <w:rPr>
                <w:rFonts w:ascii="Calibri" w:hAnsi="Calibri" w:eastAsia="微软雅黑"/>
                <w:b w:val="0"/>
                <w:i w:val="0"/>
                <w:sz w:val="18"/>
              </w:rPr>
              <w:t>三峡能源研发课题</w:t>
            </w:r>
          </w:p>
        </w:tc>
        <w:tc>
          <w:tcPr>
            <w:tcW w:type="dxa" w:w="1660"/>
          </w:tcPr>
          <w:p>
            <w:r/>
            <w:r>
              <w:rPr>
                <w:rFonts w:ascii="Calibri" w:hAnsi="Calibri" w:eastAsia="微软雅黑"/>
                <w:b w:val="0"/>
                <w:i w:val="0"/>
                <w:sz w:val="18"/>
              </w:rPr>
              <w:t>2小时</w:t>
            </w:r>
          </w:p>
        </w:tc>
        <w:tc>
          <w:tcPr>
            <w:tcW w:type="dxa" w:w="1660"/>
          </w:tcPr>
          <w:p>
            <w:r/>
            <w:r>
              <w:rPr>
                <w:rFonts w:ascii="Calibri" w:hAnsi="Calibri" w:eastAsia="微软雅黑"/>
                <w:b w:val="0"/>
                <w:i w:val="0"/>
                <w:sz w:val="18"/>
              </w:rPr>
              <w:t>研发课题，成果期至2026年9月</w:t>
            </w:r>
          </w:p>
        </w:tc>
        <w:tc>
          <w:tcPr>
            <w:tcW w:type="dxa" w:w="1660"/>
          </w:tcPr>
          <w:p>
            <w:r/>
            <w:r>
              <w:rPr>
                <w:rFonts w:ascii="Calibri" w:hAnsi="Calibri" w:eastAsia="微软雅黑"/>
                <w:b w:val="0"/>
                <w:i w:val="0"/>
                <w:sz w:val="18"/>
              </w:rPr>
              <w:t>P3005</w:t>
            </w:r>
          </w:p>
        </w:tc>
      </w:tr>
    </w:tbl>
    <w:p>
      <w:r>
        <w:rPr>
          <w:rFonts w:ascii="Calibri" w:hAnsi="Calibri" w:eastAsia="微软雅黑"/>
          <w:b w:val="0"/>
          <w:i w:val="0"/>
          <w:sz w:val="22"/>
        </w:rPr>
        <w:t>表的读法对买方有两层。第一层是时长分层：6小时的光热（P3006）、4小时的阿勒泰（P3007）与遍地2小时的电化学（P3005、P3007）分属三个调峰档位，采购需求应先按时长定档，再选技术路线，跨档比价没有意义。第二层是成熟度分层：从"初设评审"（P3001）到"研发课题"（P3005）再到"商用招标"（P3005、P3007），三种证据形态对应三种合同风险——设计院对处于评审阶段的路线报价，本质是把技术不确定性折进了总价，买方应以里程碑与性能担保条款对冲，而非接受一口价。</w:t>
      </w:r>
    </w:p>
    <w:p>
      <w:r>
        <w:rPr>
          <w:rFonts w:ascii="Calibri" w:hAnsi="Calibri" w:eastAsia="微软雅黑"/>
          <w:b w:val="0"/>
          <w:i w:val="0"/>
          <w:sz w:val="22"/>
        </w:rPr>
        <w:t>第三根轴是光热这类长周期技术样本。青海共和50兆瓦熔盐塔式光热电站于2019年9月19日成功并网，配备3万面定日镜，吸热器中心标高210米，储热时长6小时，汽轮机选用超高压、一次再热、双缸双转速、直接空冷凝汽式机组（P3006）。该项目属国家首批光热示范工程，是中国第一批商业化塔式光热电站，从全面开工到并网发电仅用530余天（P3006）；运行优化后单日最大发电量达90.82万千瓦时，突破历史最高纪录（P3006）。对买方的口径提示：光热把"储热时长6小时"（P3006）作为核心指标，与电化学储能的"2小时/4小时"时长口径（P3005、P3007）形成对照——当市场讨论"长时储能"时，光热与电化学根本不在同一条成本曲线上，直接比单价没有意义。</w:t>
      </w:r>
    </w:p>
    <w:p>
      <w:r>
        <w:rPr>
          <w:rFonts w:ascii="Calibri" w:hAnsi="Calibri" w:eastAsia="微软雅黑"/>
          <w:b w:val="0"/>
          <w:i w:val="0"/>
          <w:sz w:val="22"/>
        </w:rPr>
        <w:t>光热样本背后的攻关清单，对评估长时储能的技术成熟度有直接参考价值。青海共和项目面对高寒环境下熔盐易凝固的世界性难题，团队提出了熔盐防凝系统设计优化方法、熔盐电伴热及保温系统联合设计方法以及防凝运行优化方案，在有效降低熔盐介质凝固冻堵风险的同时实现经济性平衡（P3006）；为优化电站运行，团队开发了塔式光热电站性能评估和预测仿真软件平台，首次探索将"数字孪生"技术应用于塔式熔盐光热电站的全生命周期，从设计阶段的热力仿真到运行时的故障预警，为每个设备建立数据分身（P3006）。项目启动会上，核心设计人员接过标着"国家首批光热示范工程"的红头文件——这是中国第一批商业化塔式光热电站，有多项新技术亟需突破（P3006）；白天设计演算、晚上团队讨论，数十次方案推倒重来（P3006）。这位核心设计人员牛东圣是37岁的清华博士，2015年走出校门后用十年时间深耕储能研究（P3006）；2021年起他承担西北院压缩空气储能及多元储能业务的技术创新与工程探索重任，主持省级科研基金项目《大规模先进压缩空气储能系统匹配优化设计技术研究》，并建立了包含多种电源及储能技术类型、适用于复杂系统且易于求解的多能源耦合综合利用系统模型（P3006）；其系列成果获得陕西省科学技术进步一等奖、中国可再生能源学会科学技术进步一等奖、电力行业优秀工程设计奖一等奖等荣誉（P3006）。这条人才轨迹对买方的含义是：压缩空气、光热等长时储能的设计能力沉淀在具体的人与团队身上，采购长时储能EPC时，实质是在采购该院这个团队的带宽与履历（P3006）。</w:t>
      </w:r>
    </w:p>
    <w:p>
      <w:r>
        <w:rPr>
          <w:rFonts w:ascii="Calibri" w:hAnsi="Calibri" w:eastAsia="微软雅黑"/>
          <w:b w:val="0"/>
          <w:i w:val="0"/>
          <w:sz w:val="22"/>
        </w:rPr>
        <w:t>第四根轴是纠纷地理，它标记了市场风险在地图上的分布。在新能源发电项目涉诉样本中，西北地区因风能和太阳能资源先天优势并依托国家产业政策扶持，光伏装机容量一直占全国首位，其新能源发电纠纷占比高达43.5%，位居各地区首位（P3011）。时间轴上的两个政策节点解释了纠纷的生成机制：2013年9月国家发展改革委出台《关于发挥价格杠杆作用促进光伏产业健康发展的通知》（发改价格【2013】1638号），明确对光伏发电实行按发电量进行电价补贴（P3011），装机总量随之逐年上升；2016年"6.30政策"引发抢工潮后，2017年起案件数量增长迅速并呈逐年上升趋势（P3011）。技术未臻成熟、验收规章与实践脱节、抢工与未按规范验收即投运，是纠纷在建设阶段埋下的三颗种子（P3011）。宏观侧的注脚同样明确：随着宏观政策变化和供给侧改革进一步加深，新能源发电行业的红利期已过，由此引发行业内诉讼案件的激增（P3011）；在2019年研究者代理的新能源发电项目相关案件中，争议焦点集中于合同的效力、竣工验收的认定、发电量损失索赔及设备质量缺陷的赔偿（P3011）——这四类焦点恰好构成EPC合同的风险清单，买方应逐条与合同条款对表。研究本身的方法论也值得引用：该团队整理汇集的报告分为上、中、下三篇，分别处理《EPC总承包合同的性质和效力问题》《新能源电站的验收与工程款支付》《新能源发电设备买卖合同纠纷》三个方面（P3011）——司法视角下的新能源市场，就是"定性—验收付款—设备"三段式风险链条，与本章3.1节的案由结构（P3011）互为表里。把政策周期钉在时间轴上，周期机制一目了然：</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时点</w:t>
            </w:r>
          </w:p>
        </w:tc>
        <w:tc>
          <w:tcPr>
            <w:tcW w:type="dxa" w:w="2075"/>
            <w:shd w:fill="1F3A5F"/>
          </w:tcPr>
          <w:p>
            <w:r>
              <w:rPr>
                <w:color w:val="FFFFFF"/>
              </w:rPr>
            </w:r>
            <w:r>
              <w:rPr>
                <w:rFonts w:ascii="Calibri" w:hAnsi="Calibri" w:eastAsia="微软雅黑"/>
                <w:b/>
                <w:i w:val="0"/>
                <w:color w:val="FFFFFF"/>
                <w:sz w:val="18"/>
              </w:rPr>
              <w:t>政策/事件</w:t>
            </w:r>
          </w:p>
        </w:tc>
        <w:tc>
          <w:tcPr>
            <w:tcW w:type="dxa" w:w="2075"/>
            <w:shd w:fill="1F3A5F"/>
          </w:tcPr>
          <w:p>
            <w:r>
              <w:rPr>
                <w:color w:val="FFFFFF"/>
              </w:rPr>
            </w:r>
            <w:r>
              <w:rPr>
                <w:rFonts w:ascii="Calibri" w:hAnsi="Calibri" w:eastAsia="微软雅黑"/>
                <w:b/>
                <w:i w:val="0"/>
                <w:color w:val="FFFFFF"/>
                <w:sz w:val="18"/>
              </w:rPr>
              <w:t>对市场的口径效应</w:t>
            </w:r>
          </w:p>
        </w:tc>
        <w:tc>
          <w:tcPr>
            <w:tcW w:type="dxa" w:w="2075"/>
            <w:shd w:fill="1F3A5F"/>
          </w:tcPr>
          <w:p>
            <w:r>
              <w:rPr>
                <w:color w:val="FFFFFF"/>
              </w:rPr>
            </w:r>
            <w:r>
              <w:rPr>
                <w:rFonts w:ascii="Calibri" w:hAnsi="Calibri" w:eastAsia="微软雅黑"/>
                <w:b/>
                <w:i w:val="0"/>
                <w:color w:val="FFFFFF"/>
                <w:sz w:val="18"/>
              </w:rPr>
              <w:t>证据锚</w:t>
            </w:r>
          </w:p>
        </w:tc>
      </w:tr>
      <w:tr>
        <w:tc>
          <w:tcPr>
            <w:tcW w:type="dxa" w:w="2075"/>
          </w:tcPr>
          <w:p>
            <w:r/>
            <w:r>
              <w:rPr>
                <w:rFonts w:ascii="Calibri" w:hAnsi="Calibri" w:eastAsia="微软雅黑"/>
                <w:b w:val="0"/>
                <w:i w:val="0"/>
                <w:sz w:val="18"/>
              </w:rPr>
              <w:t>2013年9月</w:t>
            </w:r>
          </w:p>
        </w:tc>
        <w:tc>
          <w:tcPr>
            <w:tcW w:type="dxa" w:w="2075"/>
          </w:tcPr>
          <w:p>
            <w:r/>
            <w:r>
              <w:rPr>
                <w:rFonts w:ascii="Calibri" w:hAnsi="Calibri" w:eastAsia="微软雅黑"/>
                <w:b w:val="0"/>
                <w:i w:val="0"/>
                <w:sz w:val="18"/>
              </w:rPr>
              <w:t>发改价格【2013】1638号，光伏发电按发电量电价补贴</w:t>
            </w:r>
          </w:p>
        </w:tc>
        <w:tc>
          <w:tcPr>
            <w:tcW w:type="dxa" w:w="2075"/>
          </w:tcPr>
          <w:p>
            <w:r/>
            <w:r>
              <w:rPr>
                <w:rFonts w:ascii="Calibri" w:hAnsi="Calibri" w:eastAsia="微软雅黑"/>
                <w:b w:val="0"/>
                <w:i w:val="0"/>
                <w:sz w:val="18"/>
              </w:rPr>
              <w:t>装机总量、发电量逐年上升，应用规模不断扩大</w:t>
            </w:r>
          </w:p>
        </w:tc>
        <w:tc>
          <w:tcPr>
            <w:tcW w:type="dxa" w:w="2075"/>
          </w:tcPr>
          <w:p>
            <w:r/>
            <w:r>
              <w:rPr>
                <w:rFonts w:ascii="Calibri" w:hAnsi="Calibri" w:eastAsia="微软雅黑"/>
                <w:b w:val="0"/>
                <w:i w:val="0"/>
                <w:sz w:val="18"/>
              </w:rPr>
              <w:t>P3011</w:t>
            </w:r>
          </w:p>
        </w:tc>
      </w:tr>
      <w:tr>
        <w:tc>
          <w:tcPr>
            <w:tcW w:type="dxa" w:w="2075"/>
          </w:tcPr>
          <w:p>
            <w:r/>
            <w:r>
              <w:rPr>
                <w:rFonts w:ascii="Calibri" w:hAnsi="Calibri" w:eastAsia="微软雅黑"/>
                <w:b w:val="0"/>
                <w:i w:val="0"/>
                <w:sz w:val="18"/>
              </w:rPr>
              <w:t>2016年</w:t>
            </w:r>
          </w:p>
        </w:tc>
        <w:tc>
          <w:tcPr>
            <w:tcW w:type="dxa" w:w="2075"/>
          </w:tcPr>
          <w:p>
            <w:r/>
            <w:r>
              <w:rPr>
                <w:rFonts w:ascii="Calibri" w:hAnsi="Calibri" w:eastAsia="微软雅黑"/>
                <w:b w:val="0"/>
                <w:i w:val="0"/>
                <w:sz w:val="18"/>
              </w:rPr>
              <w:t>"6.30政策"</w:t>
            </w:r>
          </w:p>
        </w:tc>
        <w:tc>
          <w:tcPr>
            <w:tcW w:type="dxa" w:w="2075"/>
          </w:tcPr>
          <w:p>
            <w:r/>
            <w:r>
              <w:rPr>
                <w:rFonts w:ascii="Calibri" w:hAnsi="Calibri" w:eastAsia="微软雅黑"/>
                <w:b w:val="0"/>
                <w:i w:val="0"/>
                <w:sz w:val="18"/>
              </w:rPr>
              <w:t>抢工、未按规范验收即投入运营，建设阶段埋下隐患</w:t>
            </w:r>
          </w:p>
        </w:tc>
        <w:tc>
          <w:tcPr>
            <w:tcW w:type="dxa" w:w="2075"/>
          </w:tcPr>
          <w:p>
            <w:r/>
            <w:r>
              <w:rPr>
                <w:rFonts w:ascii="Calibri" w:hAnsi="Calibri" w:eastAsia="微软雅黑"/>
                <w:b w:val="0"/>
                <w:i w:val="0"/>
                <w:sz w:val="18"/>
              </w:rPr>
              <w:t>P3011</w:t>
            </w:r>
          </w:p>
        </w:tc>
      </w:tr>
      <w:tr>
        <w:tc>
          <w:tcPr>
            <w:tcW w:type="dxa" w:w="2075"/>
          </w:tcPr>
          <w:p>
            <w:r/>
            <w:r>
              <w:rPr>
                <w:rFonts w:ascii="Calibri" w:hAnsi="Calibri" w:eastAsia="微软雅黑"/>
                <w:b w:val="0"/>
                <w:i w:val="0"/>
                <w:sz w:val="18"/>
              </w:rPr>
              <w:t>2017年起</w:t>
            </w:r>
          </w:p>
        </w:tc>
        <w:tc>
          <w:tcPr>
            <w:tcW w:type="dxa" w:w="2075"/>
          </w:tcPr>
          <w:p>
            <w:r/>
            <w:r>
              <w:rPr>
                <w:rFonts w:ascii="Calibri" w:hAnsi="Calibri" w:eastAsia="微软雅黑"/>
                <w:b w:val="0"/>
                <w:i w:val="0"/>
                <w:sz w:val="18"/>
              </w:rPr>
              <w:t>案件数量增长迅速，逐年上升</w:t>
            </w:r>
          </w:p>
        </w:tc>
        <w:tc>
          <w:tcPr>
            <w:tcW w:type="dxa" w:w="2075"/>
          </w:tcPr>
          <w:p>
            <w:r/>
            <w:r>
              <w:rPr>
                <w:rFonts w:ascii="Calibri" w:hAnsi="Calibri" w:eastAsia="微软雅黑"/>
                <w:b w:val="0"/>
                <w:i w:val="0"/>
                <w:sz w:val="18"/>
              </w:rPr>
              <w:t>纠纷滞后于抢装周期落地</w:t>
            </w:r>
          </w:p>
        </w:tc>
        <w:tc>
          <w:tcPr>
            <w:tcW w:type="dxa" w:w="2075"/>
          </w:tcPr>
          <w:p>
            <w:r/>
            <w:r>
              <w:rPr>
                <w:rFonts w:ascii="Calibri" w:hAnsi="Calibri" w:eastAsia="微软雅黑"/>
                <w:b w:val="0"/>
                <w:i w:val="0"/>
                <w:sz w:val="18"/>
              </w:rPr>
              <w:t>P3011</w:t>
            </w:r>
          </w:p>
        </w:tc>
      </w:tr>
      <w:tr>
        <w:tc>
          <w:tcPr>
            <w:tcW w:type="dxa" w:w="2075"/>
          </w:tcPr>
          <w:p>
            <w:r/>
            <w:r>
              <w:rPr>
                <w:rFonts w:ascii="Calibri" w:hAnsi="Calibri" w:eastAsia="微软雅黑"/>
                <w:b w:val="0"/>
                <w:i w:val="0"/>
                <w:sz w:val="18"/>
              </w:rPr>
              <w:t>2015年1月1日至2019年12月31日</w:t>
            </w:r>
          </w:p>
        </w:tc>
        <w:tc>
          <w:tcPr>
            <w:tcW w:type="dxa" w:w="2075"/>
          </w:tcPr>
          <w:p>
            <w:r/>
            <w:r>
              <w:rPr>
                <w:rFonts w:ascii="Calibri" w:hAnsi="Calibri" w:eastAsia="微软雅黑"/>
                <w:b w:val="0"/>
                <w:i w:val="0"/>
                <w:sz w:val="18"/>
              </w:rPr>
              <w:t>研究样本窗口：裁判文书154份</w:t>
            </w:r>
          </w:p>
        </w:tc>
        <w:tc>
          <w:tcPr>
            <w:tcW w:type="dxa" w:w="2075"/>
          </w:tcPr>
          <w:p>
            <w:r/>
            <w:r>
              <w:rPr>
                <w:rFonts w:ascii="Calibri" w:hAnsi="Calibri" w:eastAsia="微软雅黑"/>
                <w:b w:val="0"/>
                <w:i w:val="0"/>
                <w:sz w:val="18"/>
              </w:rPr>
              <w:t>施工51.3%、买卖27.3%、承揽7%，西北占比43.5%</w:t>
            </w:r>
          </w:p>
        </w:tc>
        <w:tc>
          <w:tcPr>
            <w:tcW w:type="dxa" w:w="2075"/>
          </w:tcPr>
          <w:p>
            <w:r/>
            <w:r>
              <w:rPr>
                <w:rFonts w:ascii="Calibri" w:hAnsi="Calibri" w:eastAsia="微软雅黑"/>
                <w:b w:val="0"/>
                <w:i w:val="0"/>
                <w:sz w:val="18"/>
              </w:rPr>
              <w:t>P3011</w:t>
            </w:r>
          </w:p>
        </w:tc>
      </w:tr>
    </w:tbl>
    <w:p>
      <w:r>
        <w:rPr>
          <w:rFonts w:ascii="Calibri" w:hAnsi="Calibri" w:eastAsia="微软雅黑"/>
          <w:b w:val="0"/>
          <w:i w:val="0"/>
          <w:sz w:val="22"/>
        </w:rPr>
        <w:t>这张时间表的买方用法是预读：任何以补贴或并网节点驱动的放量，都会在两三年后转化为验收与工程款争议（P3011）；当下签下的抢装期合同，应当把未来的诉讼环境当作定价变量写进风险溢价。</w:t>
      </w:r>
    </w:p>
    <w:p>
      <w:r>
        <w:rPr>
          <w:rFonts w:ascii="Calibri" w:hAnsi="Calibri" w:eastAsia="微软雅黑"/>
          <w:b/>
          <w:i w:val="0"/>
          <w:sz w:val="22"/>
        </w:rPr>
        <w:t>买方要点（所以呢）</w:t>
      </w:r>
      <w:r>
        <w:rPr>
          <w:rFonts w:ascii="Calibri" w:hAnsi="Calibri" w:eastAsia="微软雅黑"/>
          <w:b w:val="0"/>
          <w:i w:val="0"/>
          <w:sz w:val="22"/>
        </w:rPr>
        <w:t>：第一，设备成本通缩（P3008）已经把EPC竞争的胜负手移出设备环节，系统整合与接口管理才是报价差异的来源；第二，资源富集区等于装机密集区也等于纠纷密集区（P3011），西北项目的合同权重应向验收标准与工期责任倾斜；第三，"补贴—抢装—纠纷"的链条在2013年与2016年两度重演（P3011），任何新一轮政策驱动的放量都应预设同样的纠纷滞后分布。</w:t>
      </w:r>
    </w:p>
    <w:p>
      <w:pPr>
        <w:pStyle w:val="Heading2"/>
      </w:pPr>
      <w:r>
        <w:t>3.4 输变电：电压等级阶梯、省内底盘与出海信号</w:t>
      </w:r>
    </w:p>
    <w:p>
      <w:r>
        <w:rPr>
          <w:rFonts w:ascii="Calibri" w:hAnsi="Calibri" w:eastAsia="微软雅黑"/>
          <w:b w:val="0"/>
          <w:i w:val="0"/>
          <w:sz w:val="22"/>
        </w:rPr>
        <w:t>输变电市场的底账不按"元/Wh"计价，而按电压等级分层。检索池留下的项目信号恰好铺满整个阶梯。最高一级是跨区特高压：中国能建山西院中标白鹤滩-江苏±800kV特高压直流输电工程（P3004）——特高压直流是国家级输电资产，设计资质与业绩门槛极高，参与者的名单天然稀薄。中间一级是大电源的汇集送出：嘉峪关500MW/1000MWh独立储能项目配套建设一座330kV升压站，经一回330kV送出线路接入索通汇集站（文昌变）（P3005）——新能源与储能的每一份装机都在同步生成330kV等级的送出工程需求，这是储能市场（3.2节）向输变电市场的直接传导。省内底盘一级是配网与用户工程：眉山仁寿钢铁110kV输变电工程建设项目已进入即将建设阶段（P3004）。从110kV用户站、330kV汇集送出到±800kV跨区直流（P3004、P3005），电压等级的每一级台阶都对应设计院能力与业绩的一次升维。</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电压等级</w:t>
            </w:r>
          </w:p>
        </w:tc>
        <w:tc>
          <w:tcPr>
            <w:tcW w:type="dxa" w:w="2075"/>
            <w:shd w:fill="1F3A5F"/>
          </w:tcPr>
          <w:p>
            <w:r>
              <w:rPr>
                <w:color w:val="FFFFFF"/>
              </w:rPr>
            </w:r>
            <w:r>
              <w:rPr>
                <w:rFonts w:ascii="Calibri" w:hAnsi="Calibri" w:eastAsia="微软雅黑"/>
                <w:b/>
                <w:i w:val="0"/>
                <w:color w:val="FFFFFF"/>
                <w:sz w:val="18"/>
              </w:rPr>
              <w:t>检索池样本</w:t>
            </w:r>
          </w:p>
        </w:tc>
        <w:tc>
          <w:tcPr>
            <w:tcW w:type="dxa" w:w="2075"/>
            <w:shd w:fill="1F3A5F"/>
          </w:tcPr>
          <w:p>
            <w:r>
              <w:rPr>
                <w:color w:val="FFFFFF"/>
              </w:rPr>
            </w:r>
            <w:r>
              <w:rPr>
                <w:rFonts w:ascii="Calibri" w:hAnsi="Calibri" w:eastAsia="微软雅黑"/>
                <w:b/>
                <w:i w:val="0"/>
                <w:color w:val="FFFFFF"/>
                <w:sz w:val="18"/>
              </w:rPr>
              <w:t>工程性质</w:t>
            </w:r>
          </w:p>
        </w:tc>
        <w:tc>
          <w:tcPr>
            <w:tcW w:type="dxa" w:w="2075"/>
            <w:shd w:fill="1F3A5F"/>
          </w:tcPr>
          <w:p>
            <w:r>
              <w:rPr>
                <w:color w:val="FFFFFF"/>
              </w:rPr>
            </w:r>
            <w:r>
              <w:rPr>
                <w:rFonts w:ascii="Calibri" w:hAnsi="Calibri" w:eastAsia="微软雅黑"/>
                <w:b/>
                <w:i w:val="0"/>
                <w:color w:val="FFFFFF"/>
                <w:sz w:val="18"/>
              </w:rPr>
              <w:t>证据锚</w:t>
            </w:r>
          </w:p>
        </w:tc>
      </w:tr>
      <w:tr>
        <w:tc>
          <w:tcPr>
            <w:tcW w:type="dxa" w:w="2075"/>
          </w:tcPr>
          <w:p>
            <w:r/>
            <w:r>
              <w:rPr>
                <w:rFonts w:ascii="Calibri" w:hAnsi="Calibri" w:eastAsia="微软雅黑"/>
                <w:b w:val="0"/>
                <w:i w:val="0"/>
                <w:sz w:val="18"/>
              </w:rPr>
              <w:t>110kV</w:t>
            </w:r>
          </w:p>
        </w:tc>
        <w:tc>
          <w:tcPr>
            <w:tcW w:type="dxa" w:w="2075"/>
          </w:tcPr>
          <w:p>
            <w:r/>
            <w:r>
              <w:rPr>
                <w:rFonts w:ascii="Calibri" w:hAnsi="Calibri" w:eastAsia="微软雅黑"/>
                <w:b w:val="0"/>
                <w:i w:val="0"/>
                <w:sz w:val="18"/>
              </w:rPr>
              <w:t>眉山仁寿钢铁110kV输变电工程</w:t>
            </w:r>
          </w:p>
        </w:tc>
        <w:tc>
          <w:tcPr>
            <w:tcW w:type="dxa" w:w="2075"/>
          </w:tcPr>
          <w:p>
            <w:r/>
            <w:r>
              <w:rPr>
                <w:rFonts w:ascii="Calibri" w:hAnsi="Calibri" w:eastAsia="微软雅黑"/>
                <w:b w:val="0"/>
                <w:i w:val="0"/>
                <w:sz w:val="18"/>
              </w:rPr>
              <w:t>省内用户侧/配网工程，即将建设</w:t>
            </w:r>
          </w:p>
        </w:tc>
        <w:tc>
          <w:tcPr>
            <w:tcW w:type="dxa" w:w="2075"/>
          </w:tcPr>
          <w:p>
            <w:r/>
            <w:r>
              <w:rPr>
                <w:rFonts w:ascii="Calibri" w:hAnsi="Calibri" w:eastAsia="微软雅黑"/>
                <w:b w:val="0"/>
                <w:i w:val="0"/>
                <w:sz w:val="18"/>
              </w:rPr>
              <w:t>P3004</w:t>
            </w:r>
          </w:p>
        </w:tc>
      </w:tr>
      <w:tr>
        <w:tc>
          <w:tcPr>
            <w:tcW w:type="dxa" w:w="2075"/>
          </w:tcPr>
          <w:p>
            <w:r/>
            <w:r>
              <w:rPr>
                <w:rFonts w:ascii="Calibri" w:hAnsi="Calibri" w:eastAsia="微软雅黑"/>
                <w:b w:val="0"/>
                <w:i w:val="0"/>
                <w:sz w:val="18"/>
              </w:rPr>
              <w:t>330kV</w:t>
            </w:r>
          </w:p>
        </w:tc>
        <w:tc>
          <w:tcPr>
            <w:tcW w:type="dxa" w:w="2075"/>
          </w:tcPr>
          <w:p>
            <w:r/>
            <w:r>
              <w:rPr>
                <w:rFonts w:ascii="Calibri" w:hAnsi="Calibri" w:eastAsia="微软雅黑"/>
                <w:b w:val="0"/>
                <w:i w:val="0"/>
                <w:sz w:val="18"/>
              </w:rPr>
              <w:t>嘉峪关储能项目配套升压站及一回330kV送出线路</w:t>
            </w:r>
          </w:p>
        </w:tc>
        <w:tc>
          <w:tcPr>
            <w:tcW w:type="dxa" w:w="2075"/>
          </w:tcPr>
          <w:p>
            <w:r/>
            <w:r>
              <w:rPr>
                <w:rFonts w:ascii="Calibri" w:hAnsi="Calibri" w:eastAsia="微软雅黑"/>
                <w:b w:val="0"/>
                <w:i w:val="0"/>
                <w:sz w:val="18"/>
              </w:rPr>
              <w:t>大电源汇集送出，储能项目配套</w:t>
            </w:r>
          </w:p>
        </w:tc>
        <w:tc>
          <w:tcPr>
            <w:tcW w:type="dxa" w:w="2075"/>
          </w:tcPr>
          <w:p>
            <w:r/>
            <w:r>
              <w:rPr>
                <w:rFonts w:ascii="Calibri" w:hAnsi="Calibri" w:eastAsia="微软雅黑"/>
                <w:b w:val="0"/>
                <w:i w:val="0"/>
                <w:sz w:val="18"/>
              </w:rPr>
              <w:t>P3005</w:t>
            </w:r>
          </w:p>
        </w:tc>
      </w:tr>
      <w:tr>
        <w:tc>
          <w:tcPr>
            <w:tcW w:type="dxa" w:w="2075"/>
          </w:tcPr>
          <w:p>
            <w:r/>
            <w:r>
              <w:rPr>
                <w:rFonts w:ascii="Calibri" w:hAnsi="Calibri" w:eastAsia="微软雅黑"/>
                <w:b w:val="0"/>
                <w:i w:val="0"/>
                <w:sz w:val="18"/>
              </w:rPr>
              <w:t>±800kV</w:t>
            </w:r>
          </w:p>
        </w:tc>
        <w:tc>
          <w:tcPr>
            <w:tcW w:type="dxa" w:w="2075"/>
          </w:tcPr>
          <w:p>
            <w:r/>
            <w:r>
              <w:rPr>
                <w:rFonts w:ascii="Calibri" w:hAnsi="Calibri" w:eastAsia="微软雅黑"/>
                <w:b w:val="0"/>
                <w:i w:val="0"/>
                <w:sz w:val="18"/>
              </w:rPr>
              <w:t>白鹤滩-江苏±800kV特高压直流输电工程</w:t>
            </w:r>
          </w:p>
        </w:tc>
        <w:tc>
          <w:tcPr>
            <w:tcW w:type="dxa" w:w="2075"/>
          </w:tcPr>
          <w:p>
            <w:r/>
            <w:r>
              <w:rPr>
                <w:rFonts w:ascii="Calibri" w:hAnsi="Calibri" w:eastAsia="微软雅黑"/>
                <w:b w:val="0"/>
                <w:i w:val="0"/>
                <w:sz w:val="18"/>
              </w:rPr>
              <w:t>跨区特高压直流，中国能建山西院中标</w:t>
            </w:r>
          </w:p>
        </w:tc>
        <w:tc>
          <w:tcPr>
            <w:tcW w:type="dxa" w:w="2075"/>
          </w:tcPr>
          <w:p>
            <w:r/>
            <w:r>
              <w:rPr>
                <w:rFonts w:ascii="Calibri" w:hAnsi="Calibri" w:eastAsia="微软雅黑"/>
                <w:b w:val="0"/>
                <w:i w:val="0"/>
                <w:sz w:val="18"/>
              </w:rPr>
              <w:t>P3004</w:t>
            </w:r>
          </w:p>
        </w:tc>
      </w:tr>
    </w:tbl>
    <w:p>
      <w:r>
        <w:rPr>
          <w:rFonts w:ascii="Calibri" w:hAnsi="Calibri" w:eastAsia="微软雅黑"/>
          <w:b w:val="0"/>
          <w:i w:val="0"/>
          <w:sz w:val="22"/>
        </w:rPr>
        <w:t>三级台阶对应三类合同生态：110kV用户工程量大面广、单值低、属地化程度高（P3004）；330kV送出工程跟着大电源与储能走，是新能源放量的直接外溢（P3005）；±800kV特高压直流则是国家队层面的稀缺席位（P3004）。属地能力建设的信号同样可见：检索池中留有"提能力、强素质，打造岳池输变电专业队伍"的标题（P3004），说明省内地市一级的输变电专业队伍仍在扩容期，属地工程力量的厚度直接决定110kV级项目的履约质量（P3004）。</w:t>
      </w:r>
    </w:p>
    <w:p>
      <w:r>
        <w:rPr>
          <w:rFonts w:ascii="Calibri" w:hAnsi="Calibri" w:eastAsia="微软雅黑"/>
          <w:b w:val="0"/>
          <w:i w:val="0"/>
          <w:sz w:val="22"/>
        </w:rPr>
        <w:t>历史纵深提供了这条阶梯的来处。检索池中留有"能源70年"系列对三峡输变电工程建设始末的回忆文章（P3004）——三峡配套输变电是上一代跨区电网工程的原点，今天的白鹤滩-江苏±800kV特高压直流（P3004）与当年的三峡送出工程在谱系上一脉相承；电网骨架的每次升压，都重新分配一次设计院之间的业绩版图。区域生态侧的信号同样密集：四川省电力企业协会新能源分会、新能源和可再生能源分会相继成立并召开一届一次会员大会（P3002、P3003）；中国新能源电力发展论坛在蓉城召开、风电大咖论道（P3002、P3003）——属地行业协会与专业论坛的密度，是区域市场活跃度的低成本代理指标，买方选址布点时可当作先行指标使用。四川院自身的能力与体制信号在同池可见：获批设立四川省博士后创新实践基地（P3001、P3004），发布2026年招聘博士后公告（P3002、P3003），混合所有制改革项目推介两度出现在检索结果中（P3002、P3003）；地方伙伴动向亦有痕迹，吴鸣拜会中电建四川电力设计咨询公司党委副书记、董事、总经理李晔（P3002、P3003）。这些标题级信号拼出的画像是：一家以博士后基地加固技术纵深、曾推进混改推介的区域设计院，正处在四川新能源组织生态的节点位置（P3001、P3002、P3003、P3004）。</w:t>
      </w:r>
    </w:p>
    <w:p>
      <w:r>
        <w:rPr>
          <w:rFonts w:ascii="Calibri" w:hAnsi="Calibri" w:eastAsia="微软雅黑"/>
          <w:b w:val="0"/>
          <w:i w:val="0"/>
          <w:sz w:val="22"/>
        </w:rPr>
        <w:t>第二层信号来自海外。中国能建西南院签订安哥拉凯古路-凯巴萨输变电工程勘测设计与技术服务合同（P3004）；中国能建浙江院总承包的首个海外输变电项目完成GIS楼主体结构封顶，发布于2017年3月13日（P3004）；中国电建海南院中标其首个化工变输变电EPC项目、进军大湾区（P3004）。值得买方注意的是输出模式的差异：西南院路径以"勘测设计与技术服务"切入（P3004），浙江院路径则是EPC总承包本体（P3004）——设计出海存在"技术服务先行、总承包跟进"的两段式，判断一家设计院的海外成熟度，应看它是否完成了从第一段到第二段的跨越。与之呼应的是人才市场的信号：海博思创为输变电工程、新能源、新型储能三类海外项目招聘造价工程师，办公地点为国内（北京）加海外项目出差，岗位职责包括搭建海外项目成本管控体系、调研属地价格体系、建立海外属地造价基准数据库（P3000）——海外工程成本口径的属地化，已成为储能与输变电企业共同的组织能力缺口。这个缺口有多具体，看招聘画像即可：上述海外造价工程师岗位的五项职责，第一是制度体系搭建——搭建并完善海外项目成本管控体系，牵头制定成本管理细则、设计变更、签证、索赔管理办法，统一属地项目造价管理标准；第二是造价前置管控——主导投资概算（估算）审核与招标控制价测算；第三是属地价格调研——系统调研、核实属地价格体系，全面摸排设备、材料、人工、机械（机械租赁）、物流运输、属地税费、行业规费及本地化服务的造价成本，搭建并动态维护海外属地造价基准数据库；第四是成本风险管控——提前排查超概算、超预算、造价偏差风险；第五是采购与造价评审——评审招标文件与合同造价条款，识别投标不平衡报价（P3000）。国内标准侧的配套也在滚动：2023版《电力设计行业标准有效版本清单》和《国际电力工程标准清单》的通知同池可见（P3001）——国内清单与国际清单双轨并行，正是输变电与新能源设计出海的合规底座（P3001）。买方判断一家设计院的出海准备度，可以直接问两个问题：属地造价基准数据库建了没有（P3000）、国际标准清单接进了没有（P3001）。</w:t>
      </w:r>
    </w:p>
    <w:p>
      <w:r>
        <w:rPr>
          <w:rFonts w:ascii="Calibri" w:hAnsi="Calibri" w:eastAsia="微软雅黑"/>
          <w:b w:val="0"/>
          <w:i w:val="0"/>
          <w:sz w:val="22"/>
        </w:rPr>
        <w:t>第三层信号来自技术资产。清华四川院将超特高压GIS/GIL状态传感与绝缘可靠性提升关键技术列入其十大创新成果（P3004）。同一个设备族在工程侧也有镜像信号：中国能建浙江院总承包的首个海外输变电项目，其里程碑节点正是"GIS楼主体结构封顶"（P3004）——GIS（气体绝缘开关设备）楼封顶被单列为形象进度，说明GIS设备本体的安装调试才是海外输变电项目的关键路径，土建只是它的前置壳。两条信号叠加的含义是：GIS/GIL既是新建工程的关键路径（P3004），又是存量资产技术升级的方向（P3004），围绕这一设备族形成的设计、监测与调试能力，是输变电设计院技术资产表中权重最高的一行。这条信号的口径价值在于标定了输变电市场的技术纵深方向：当新建主干网的投资节奏放缓时，存量资产的状态感知与可靠性提升是第二条增长曲线，其计价单位从"公里线路"变成"监测点与诊断算法"，与新建EPC完全是两套商业模式。</w:t>
      </w:r>
    </w:p>
    <w:p>
      <w:r>
        <w:rPr>
          <w:rFonts w:ascii="Calibri" w:hAnsi="Calibri" w:eastAsia="微软雅黑"/>
          <w:b/>
          <w:i w:val="0"/>
          <w:sz w:val="22"/>
        </w:rPr>
        <w:t>买方要点（所以呢）</w:t>
      </w:r>
      <w:r>
        <w:rPr>
          <w:rFonts w:ascii="Calibri" w:hAnsi="Calibri" w:eastAsia="微软雅黑"/>
          <w:b w:val="0"/>
          <w:i w:val="0"/>
          <w:sz w:val="22"/>
        </w:rPr>
        <w:t>：第一，电压等级阶梯（110kV—330kV—±800kV）（P3004、P3005）是输变电设计院能力的天然分级表，评估四川院时应逐级核对业绩覆盖；第二，储能放量正在以330kV送出工程的形式回流输变电市场（P3005），两个市场存在可量化的联动需求；第三，海外业务先看模式再看规模——设计服务合同与EPC总承包的含金量不同（P3004），组织能力上还要过属地造价口径这一关（P3000）。</w:t>
      </w:r>
    </w:p>
    <w:p>
      <w:pPr>
        <w:pStyle w:val="Heading2"/>
      </w:pPr>
      <w:r>
        <w:t>3.5 本章小结与盲区</w:t>
      </w:r>
    </w:p>
    <w:p>
      <w:r>
        <w:rPr>
          <w:rFonts w:ascii="Calibri" w:hAnsi="Calibri" w:eastAsia="微软雅黑"/>
          <w:b w:val="0"/>
          <w:i w:val="0"/>
          <w:sz w:val="22"/>
        </w:rPr>
        <w:t>把三个市场的底账合起来读：口径上，EPC是固定总价加里程碑付款的全流程责任框架（P3013），风电核准制与光伏备案制决定了两个子市场放量节奏错位（P3013），而司法统计显示涉诉能量集中于施工与设备买卖（P3011）；储能市场存在一条可验证的1.03至1.91元/Wh价格带（P3007）与单项目约一成六的候选价差（(1.2−1.036)÷1.036，own_calc，P3005），设备口径与EPC口径之间约三倍半的差距（3.04÷0.87，own_calc，P3001）划出了"买设备"与"买交钥匙"的边界，四川院以清安储能联合体第一候选人身份、约千分之一的价差（25÷24051，own_calc，P3007）赢下重庆含谷宝洪二阶段EPC，是其储能EPC竞争力的直接证据（P3007）；新能源市场的主轴是设备成本的数量级通缩（P3008）与"补贴—抢装—纠纷"的政策周期（P3011），大基地调峰配套升格为准入资格（P3012）；输变电市场按电压等级分层（P3004、P3005），并以330kV送出工程的形式承接储能放量的外溢需求（P3005）。对投资与经营决策者，这三张底账合成的行动指令是：以口径纪律为前提，用价格带而非点位定价，用电压等级与海外模式分级评估设计院，用纠纷地理配置合同权重。三张对照表是本章底账的浓缩形态：文书卷量表给出风险面的年度趋势（P3014—P3025各卷），储能价格表给出1.03至1.91元/Wh的可比区间与三层使用法（P3005、P3007、P3001），调峰技术路线表把时长与成熟度两个维度钉在同一张网格上（P3001、P3005、P3006、P3007）。后续章节将在这三张底账上继续作业：竞争格局一章展开设计院与四类玩家的相对位置，案例一章进入项目内部检验工期与价格条款的兑现，风险一章则把本章的纠纷地理与文书曲线转成合同条款清单。</w:t>
      </w:r>
    </w:p>
    <w:p>
      <w:r>
        <w:rPr>
          <w:rFonts w:ascii="Calibri" w:hAnsi="Calibri" w:eastAsia="微软雅黑"/>
          <w:b w:val="0"/>
          <w:i w:val="0"/>
          <w:sz w:val="22"/>
        </w:rPr>
        <w:t>本章如实声明以下证据盲区，任何据此延伸的推算都应视为未验证：</w:t>
      </w:r>
    </w:p>
    <w:p>
      <w:r>
        <w:rPr>
          <w:rFonts w:ascii="Calibri" w:hAnsi="Calibri" w:eastAsia="微软雅黑"/>
          <w:b w:val="0"/>
          <w:i w:val="0"/>
          <w:sz w:val="22"/>
        </w:rPr>
        <w:t>其一，全行业总规模口径缺失。弹药库未收入中电联或国家能源局口径的全国储能累计/新增装机总量（GW级）与输变电投资总额数字，本章储能证据停留在企业排名（海博思创截至2024年年底国内已投运电站装机量第一，P3000）与项目级中标数据（P3005、P3007）两个层级，无法给出"市场总盘子"及其增速。</w:t>
      </w:r>
    </w:p>
    <w:p>
      <w:r>
        <w:rPr>
          <w:rFonts w:ascii="Calibri" w:hAnsi="Calibri" w:eastAsia="微软雅黑"/>
          <w:b w:val="0"/>
          <w:i w:val="0"/>
          <w:sz w:val="22"/>
        </w:rPr>
        <w:t>其二，价格样本不可构造时间序列。P3007为2023年8月15日公示的五项目组（P3007），P3005为2024年6月公示的嘉峪关及两个小项目（P3005），P3001的"7月储能中标分析"（采购最低0.87元/Wh、EPC最高3.04元/Wh）仅有标题级证据、正文与年份均未入池（P3001）——三个时点口径各异，任何"储能EPC降价幅度"的跨期结论在本证据基础上都不成立。</w:t>
      </w:r>
    </w:p>
    <w:p>
      <w:r>
        <w:rPr>
          <w:rFonts w:ascii="Calibri" w:hAnsi="Calibri" w:eastAsia="微软雅黑"/>
          <w:b w:val="0"/>
          <w:i w:val="0"/>
          <w:sz w:val="22"/>
        </w:rPr>
        <w:t>其三，输变电证据以标题级为主。P3004为微信文章合集目录，白鹤滩-江苏±800kV（P3004）、安哥拉凯古路-凯巴萨（P3004）、眉山仁寿110kV（P3004）等均为标题可证、金额与规模未随目录入池；P3012的沙戈荒调峰电源全容量投产同样仅有标题与元信息（发布日期2026年10月10日、来源国家能源投资集团，P3012），装机与投资额数字缺失。</w:t>
      </w:r>
    </w:p>
    <w:p>
      <w:r>
        <w:rPr>
          <w:rFonts w:ascii="Calibri" w:hAnsi="Calibri" w:eastAsia="微软雅黑"/>
          <w:b w:val="0"/>
          <w:i w:val="0"/>
          <w:sz w:val="22"/>
        </w:rPr>
        <w:t>其四，母公司口径财务数据未入池。中国电建2026年半年度报告（公司代码601669、未经审计）在弹药库中仅存封面与目录段（P3034），其新能源、储能业务的新签合同额与装机数据无法引用，导致本章无法自上而下校验项目级证据与集团口径的一致性。</w:t>
      </w:r>
    </w:p>
    <w:p>
      <w:r>
        <w:rPr>
          <w:rFonts w:ascii="Calibri" w:hAnsi="Calibri" w:eastAsia="微软雅黑"/>
          <w:b w:val="0"/>
          <w:i w:val="0"/>
          <w:sz w:val="22"/>
        </w:rPr>
        <w:t>其五，裁判文书卷量口径存在断点。2021年卷量324篇与2019年至2020年的四万篇量级形成断崖（P3025、P3015、P3014），且2011年卷缺失，年度序列不完整；文书量为"EPC相关"关键词命中口径（P3014—P3025各卷标注），非司法统计口径，只能作趋势参考。</w:t>
      </w:r>
    </w:p>
    <w:p>
      <w:r>
        <w:rPr>
          <w:rFonts w:ascii="Calibri" w:hAnsi="Calibri" w:eastAsia="微软雅黑"/>
          <w:b w:val="0"/>
          <w:i w:val="0"/>
          <w:sz w:val="22"/>
        </w:rPr>
        <w:t>其六，部分技术与区域信号仅有单点证据。川内首个压缩空气储能通过初设评审（P3001）、中国电建与宁德时代战略合作、智光电气12GWh目标产能（P3001）均为标题级信息，无正文细节佐证；钠离子交付样本仅中科海钠一例3978.962万元的研发类合同（P3005），以偏概全的风险如实声明。</w:t>
      </w:r>
    </w:p>
    <w:p>
      <w:r>
        <w:rPr>
          <w:rFonts w:ascii="Calibri" w:hAnsi="Calibri" w:eastAsia="微软雅黑"/>
          <w:b w:val="0"/>
          <w:i w:val="0"/>
          <w:sz w:val="22"/>
        </w:rPr>
        <w:t>底账之外的下一问，交给后续章节：价格带（P3005、P3007）解释了市场如何定价，尚未解释谁在持续赢——这需要竞争格局与项目兑现率的证据；文书曲线（P3014、P3015）解释了风险何时落地，尚未解释合同条款如何吸收风险——这需要条款级的案例证据；四川院在含谷宝洪的联合体胜出（P3007）证明了入场资格，尚未证明盈利质量——这需要该类项目的成本与结算数据。本章把可验证的数字全部钉在锚上，把不可验证的全部如实留在盲区，后续任何推演都应沿用同一纪律。</w:t>
      </w:r>
    </w:p>
    <w:p>
      <w:r>
        <w:rPr>
          <w:rFonts w:ascii="Calibri" w:hAnsi="Calibri" w:eastAsia="微软雅黑"/>
          <w:b w:val="0"/>
          <w:i w:val="0"/>
          <w:sz w:val="22"/>
        </w:rPr>
        <w:t>---</w:t>
      </w:r>
    </w:p>
    <w:p>
      <w:pPr>
        <w:pStyle w:val="Heading1"/>
      </w:pPr>
      <w:r>
        <w:t>第4章 竞争格局：电力设计院系四层结构与川院位次</w:t>
      </w:r>
    </w:p>
    <w:p>
      <w:pPr>
        <w:ind w:left="454"/>
      </w:pPr>
      <w:r>
        <w:rPr>
          <w:rFonts w:ascii="Calibri" w:hAnsi="Calibri" w:eastAsia="微软雅黑"/>
          <w:b w:val="0"/>
          <w:i w:val="0"/>
          <w:color w:val="666666"/>
          <w:sz w:val="22"/>
        </w:rPr>
        <w:t>电力设计院系的竞争是一座四层结构：顶层集团平台握资本与出海通道，二层省级院贴身竞跑，三层分包生态承载履约与纠纷，业主与跨界者改写甲方结构。资源顺层下，风险逆层上。川院居于第二层中坚，本章以逐锚证据画出各层与川院位次。</w:t>
      </w:r>
    </w:p>
    <w:p>
      <w:pPr>
        <w:pStyle w:val="Heading2"/>
      </w:pPr>
      <w:r>
        <w:t>4.1 四层结构：本章的行业地图与画法依据</w:t>
      </w:r>
    </w:p>
    <w:p>
      <w:r>
        <w:rPr>
          <w:rFonts w:ascii="Calibri" w:hAnsi="Calibri" w:eastAsia="微软雅黑"/>
          <w:b w:val="0"/>
          <w:i w:val="0"/>
          <w:sz w:val="22"/>
        </w:rPr>
        <w:t>买方在挑选一家电力设计院作为EPC总承包伙伴时，表面上是在比较几家公司，实际上是在一张多层关系网里下注。名录式的竞争分析——把川院与几家同类院并排列表、比资质比荣誉——在本行业会系统性失效，因为它回答不了三个真正决定项目成败的问题：这家院背后的集团能给多少资源？它向下压给分包商的责任链会不会在项目中途断裂？它的甲方本身正在被谁改写？这三个问题分别指向竞争格局的不同层面，任何单层视角都会漏掉其中至少两个：只看资质会高估一家孤立省院的履约能力，只看集团会误把集团业绩当成省院能力，只看业主又会忽视履约端的风险积聚。常见的替代透镜各有盲区：区域格局透镜回答「市场在哪」，资质等级透镜回答「准入能到哪」，而EPC决策真正要回答的是「利润与风险归谁」——这只有分层透镜能给。同样一条「某光伏EPC中标」新闻，区域透镜读出该区域有需求，资质透镜读出该院够格投标，分层透镜却会追问业主是谁、集团是否直营、分包给谁——只有第三组问题决定这家院的利润结构，以及买方在合作中的真实风险敞口。三个问题与四层结构一一对应：集团之问对应第一层的平台与通道，脚下之问对应第三层的分包生态，甲方之问对应第四层的业主变局——而买家最关心的那家省院，就站在三层交汇的第二层接口上。</w:t>
      </w:r>
    </w:p>
    <w:p>
      <w:r>
        <w:rPr>
          <w:rFonts w:ascii="Calibri" w:hAnsi="Calibri" w:eastAsia="微软雅黑"/>
          <w:b w:val="0"/>
          <w:i w:val="0"/>
          <w:sz w:val="22"/>
        </w:rPr>
        <w:t>因此本章放弃名录式写法，改用四层结构描述电力设计院系的竞争格局，并事先声明：这一「四层结构」是本报告自建的分析框架，不是任何官方文件或行业协会的分类口径，读者对外引用时应注明这一属性（相关不确定性在本章末节盲区中再次声明）。框架的每一层都能在公开证据中找到可核验的支点，各层的主体、角色与风险暴露如下表：</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层级</w:t>
            </w:r>
          </w:p>
        </w:tc>
        <w:tc>
          <w:tcPr>
            <w:tcW w:type="dxa" w:w="1660"/>
            <w:shd w:fill="1F3A5F"/>
          </w:tcPr>
          <w:p>
            <w:r>
              <w:rPr>
                <w:color w:val="FFFFFF"/>
              </w:rPr>
            </w:r>
            <w:r>
              <w:rPr>
                <w:rFonts w:ascii="Calibri" w:hAnsi="Calibri" w:eastAsia="微软雅黑"/>
                <w:b/>
                <w:i w:val="0"/>
                <w:color w:val="FFFFFF"/>
                <w:sz w:val="18"/>
              </w:rPr>
              <w:t>主体</w:t>
            </w:r>
          </w:p>
        </w:tc>
        <w:tc>
          <w:tcPr>
            <w:tcW w:type="dxa" w:w="1660"/>
            <w:shd w:fill="1F3A5F"/>
          </w:tcPr>
          <w:p>
            <w:r>
              <w:rPr>
                <w:color w:val="FFFFFF"/>
              </w:rPr>
            </w:r>
            <w:r>
              <w:rPr>
                <w:rFonts w:ascii="Calibri" w:hAnsi="Calibri" w:eastAsia="微软雅黑"/>
                <w:b/>
                <w:i w:val="0"/>
                <w:color w:val="FFFFFF"/>
                <w:sz w:val="18"/>
              </w:rPr>
              <w:t>在EPC链条中的角色</w:t>
            </w:r>
          </w:p>
        </w:tc>
        <w:tc>
          <w:tcPr>
            <w:tcW w:type="dxa" w:w="1660"/>
            <w:shd w:fill="1F3A5F"/>
          </w:tcPr>
          <w:p>
            <w:r>
              <w:rPr>
                <w:color w:val="FFFFFF"/>
              </w:rPr>
            </w:r>
            <w:r>
              <w:rPr>
                <w:rFonts w:ascii="Calibri" w:hAnsi="Calibri" w:eastAsia="微软雅黑"/>
                <w:b/>
                <w:i w:val="0"/>
                <w:color w:val="FFFFFF"/>
                <w:sz w:val="18"/>
              </w:rPr>
              <w:t>风险暴露</w:t>
            </w:r>
          </w:p>
        </w:tc>
        <w:tc>
          <w:tcPr>
            <w:tcW w:type="dxa" w:w="1660"/>
            <w:shd w:fill="1F3A5F"/>
          </w:tcPr>
          <w:p>
            <w:r>
              <w:rPr>
                <w:color w:val="FFFFFF"/>
              </w:rPr>
            </w:r>
            <w:r>
              <w:rPr>
                <w:rFonts w:ascii="Calibri" w:hAnsi="Calibri" w:eastAsia="微软雅黑"/>
                <w:b/>
                <w:i w:val="0"/>
                <w:color w:val="FFFFFF"/>
                <w:sz w:val="18"/>
              </w:rPr>
              <w:t>证据锚点</w:t>
            </w:r>
          </w:p>
        </w:tc>
      </w:tr>
      <w:tr>
        <w:tc>
          <w:tcPr>
            <w:tcW w:type="dxa" w:w="1660"/>
          </w:tcPr>
          <w:p>
            <w:r/>
            <w:r>
              <w:rPr>
                <w:rFonts w:ascii="Calibri" w:hAnsi="Calibri" w:eastAsia="微软雅黑"/>
                <w:b w:val="0"/>
                <w:i w:val="0"/>
                <w:sz w:val="18"/>
              </w:rPr>
              <w:t>第一层：集团与国家级平台</w:t>
            </w:r>
          </w:p>
        </w:tc>
        <w:tc>
          <w:tcPr>
            <w:tcW w:type="dxa" w:w="1660"/>
          </w:tcPr>
          <w:p>
            <w:r/>
            <w:r>
              <w:rPr>
                <w:rFonts w:ascii="Calibri" w:hAnsi="Calibri" w:eastAsia="微软雅黑"/>
                <w:b w:val="0"/>
                <w:i w:val="0"/>
                <w:sz w:val="18"/>
              </w:rPr>
              <w:t>中国电建、中国能建等电力建设集团及其上市平台</w:t>
            </w:r>
          </w:p>
        </w:tc>
        <w:tc>
          <w:tcPr>
            <w:tcW w:type="dxa" w:w="1660"/>
          </w:tcPr>
          <w:p>
            <w:r/>
            <w:r>
              <w:rPr>
                <w:rFonts w:ascii="Calibri" w:hAnsi="Calibri" w:eastAsia="微软雅黑"/>
                <w:b w:val="0"/>
                <w:i w:val="0"/>
                <w:sz w:val="18"/>
              </w:rPr>
              <w:t>资本、信用与出海通道的最终供给方</w:t>
            </w:r>
          </w:p>
        </w:tc>
        <w:tc>
          <w:tcPr>
            <w:tcW w:type="dxa" w:w="1660"/>
          </w:tcPr>
          <w:p>
            <w:r/>
            <w:r>
              <w:rPr>
                <w:rFonts w:ascii="Calibri" w:hAnsi="Calibri" w:eastAsia="微软雅黑"/>
                <w:b w:val="0"/>
                <w:i w:val="0"/>
                <w:sz w:val="18"/>
              </w:rPr>
              <w:t>国别与汇率风险，巨型项目履约风险</w:t>
            </w:r>
          </w:p>
        </w:tc>
        <w:tc>
          <w:tcPr>
            <w:tcW w:type="dxa" w:w="1660"/>
          </w:tcPr>
          <w:p>
            <w:r/>
            <w:r>
              <w:rPr>
                <w:rFonts w:ascii="Calibri" w:hAnsi="Calibri" w:eastAsia="微软雅黑"/>
                <w:b w:val="0"/>
                <w:i w:val="0"/>
                <w:sz w:val="18"/>
              </w:rPr>
              <w:t>电建核心平台为证券代码601669的A股上市公司（P4030）；能建总承包中亚单体规模最大风电项目（P4006）</w:t>
            </w:r>
          </w:p>
        </w:tc>
      </w:tr>
      <w:tr>
        <w:tc>
          <w:tcPr>
            <w:tcW w:type="dxa" w:w="1660"/>
          </w:tcPr>
          <w:p>
            <w:r/>
            <w:r>
              <w:rPr>
                <w:rFonts w:ascii="Calibri" w:hAnsi="Calibri" w:eastAsia="微软雅黑"/>
                <w:b w:val="0"/>
                <w:i w:val="0"/>
                <w:sz w:val="18"/>
              </w:rPr>
              <w:t>第二层：省级设计院</w:t>
            </w:r>
          </w:p>
        </w:tc>
        <w:tc>
          <w:tcPr>
            <w:tcW w:type="dxa" w:w="1660"/>
          </w:tcPr>
          <w:p>
            <w:r/>
            <w:r>
              <w:rPr>
                <w:rFonts w:ascii="Calibri" w:hAnsi="Calibri" w:eastAsia="微软雅黑"/>
                <w:b w:val="0"/>
                <w:i w:val="0"/>
                <w:sz w:val="18"/>
              </w:rPr>
              <w:t>川院、上海院、山西院、安徽院、新疆院等同层机构</w:t>
            </w:r>
          </w:p>
        </w:tc>
        <w:tc>
          <w:tcPr>
            <w:tcW w:type="dxa" w:w="1660"/>
          </w:tcPr>
          <w:p>
            <w:r/>
            <w:r>
              <w:rPr>
                <w:rFonts w:ascii="Calibri" w:hAnsi="Calibri" w:eastAsia="微软雅黑"/>
                <w:b w:val="0"/>
                <w:i w:val="0"/>
                <w:sz w:val="18"/>
              </w:rPr>
              <w:t>集团资源与属地项目之间的转换接口</w:t>
            </w:r>
          </w:p>
        </w:tc>
        <w:tc>
          <w:tcPr>
            <w:tcW w:type="dxa" w:w="1660"/>
          </w:tcPr>
          <w:p>
            <w:r/>
            <w:r>
              <w:rPr>
                <w:rFonts w:ascii="Calibri" w:hAnsi="Calibri" w:eastAsia="微软雅黑"/>
                <w:b w:val="0"/>
                <w:i w:val="0"/>
                <w:sz w:val="18"/>
              </w:rPr>
              <w:t>合同履约与分包管理风险</w:t>
            </w:r>
          </w:p>
        </w:tc>
        <w:tc>
          <w:tcPr>
            <w:tcW w:type="dxa" w:w="1660"/>
          </w:tcPr>
          <w:p>
            <w:r/>
            <w:r>
              <w:rPr>
                <w:rFonts w:ascii="Calibri" w:hAnsi="Calibri" w:eastAsia="微软雅黑"/>
                <w:b w:val="0"/>
                <w:i w:val="0"/>
                <w:sz w:val="18"/>
              </w:rPr>
              <w:t>同层五院并行进入本报告证据库（P4002、P4000、P4001、P4005）</w:t>
            </w:r>
          </w:p>
        </w:tc>
      </w:tr>
      <w:tr>
        <w:tc>
          <w:tcPr>
            <w:tcW w:type="dxa" w:w="1660"/>
          </w:tcPr>
          <w:p>
            <w:r/>
            <w:r>
              <w:rPr>
                <w:rFonts w:ascii="Calibri" w:hAnsi="Calibri" w:eastAsia="微软雅黑"/>
                <w:b w:val="0"/>
                <w:i w:val="0"/>
                <w:sz w:val="18"/>
              </w:rPr>
              <w:t>第三层：专业分包与民营工程公司</w:t>
            </w:r>
          </w:p>
        </w:tc>
        <w:tc>
          <w:tcPr>
            <w:tcW w:type="dxa" w:w="1660"/>
          </w:tcPr>
          <w:p>
            <w:r/>
            <w:r>
              <w:rPr>
                <w:rFonts w:ascii="Calibri" w:hAnsi="Calibri" w:eastAsia="微软雅黑"/>
                <w:b w:val="0"/>
                <w:i w:val="0"/>
                <w:sz w:val="18"/>
              </w:rPr>
              <w:t>施工分包商、专业工程公司、设备材料商</w:t>
            </w:r>
          </w:p>
        </w:tc>
        <w:tc>
          <w:tcPr>
            <w:tcW w:type="dxa" w:w="1660"/>
          </w:tcPr>
          <w:p>
            <w:r/>
            <w:r>
              <w:rPr>
                <w:rFonts w:ascii="Calibri" w:hAnsi="Calibri" w:eastAsia="微软雅黑"/>
                <w:b w:val="0"/>
                <w:i w:val="0"/>
                <w:sz w:val="18"/>
              </w:rPr>
              <w:t>EPC设计意图的物理执行层，纠纷高发带</w:t>
            </w:r>
          </w:p>
        </w:tc>
        <w:tc>
          <w:tcPr>
            <w:tcW w:type="dxa" w:w="1660"/>
          </w:tcPr>
          <w:p>
            <w:r/>
            <w:r>
              <w:rPr>
                <w:rFonts w:ascii="Calibri" w:hAnsi="Calibri" w:eastAsia="微软雅黑"/>
                <w:b w:val="0"/>
                <w:i w:val="0"/>
                <w:sz w:val="18"/>
              </w:rPr>
              <w:t>现金流与诉讼风险</w:t>
            </w:r>
          </w:p>
        </w:tc>
        <w:tc>
          <w:tcPr>
            <w:tcW w:type="dxa" w:w="1660"/>
          </w:tcPr>
          <w:p>
            <w:r/>
            <w:r>
              <w:rPr>
                <w:rFonts w:ascii="Calibri" w:hAnsi="Calibri" w:eastAsia="微软雅黑"/>
                <w:b w:val="0"/>
                <w:i w:val="0"/>
                <w:sz w:val="18"/>
              </w:rPr>
              <w:t>安徽院与河南龙源、安徽胤荣等多起涉诉（P4005、P4007、P4008、P4010）；注册资本仅50万元的对手方样本（P4021）</w:t>
            </w:r>
          </w:p>
        </w:tc>
      </w:tr>
      <w:tr>
        <w:tc>
          <w:tcPr>
            <w:tcW w:type="dxa" w:w="1660"/>
          </w:tcPr>
          <w:p>
            <w:r/>
            <w:r>
              <w:rPr>
                <w:rFonts w:ascii="Calibri" w:hAnsi="Calibri" w:eastAsia="微软雅黑"/>
                <w:b w:val="0"/>
                <w:i w:val="0"/>
                <w:sz w:val="18"/>
              </w:rPr>
              <w:t>第四层：业主型央企与跨界者</w:t>
            </w:r>
          </w:p>
        </w:tc>
        <w:tc>
          <w:tcPr>
            <w:tcW w:type="dxa" w:w="1660"/>
          </w:tcPr>
          <w:p>
            <w:r/>
            <w:r>
              <w:rPr>
                <w:rFonts w:ascii="Calibri" w:hAnsi="Calibri" w:eastAsia="微软雅黑"/>
                <w:b w:val="0"/>
                <w:i w:val="0"/>
                <w:sz w:val="18"/>
              </w:rPr>
              <w:t>以投资人身份入场的能源央企、向能源链延伸的其他央企</w:t>
            </w:r>
          </w:p>
        </w:tc>
        <w:tc>
          <w:tcPr>
            <w:tcW w:type="dxa" w:w="1660"/>
          </w:tcPr>
          <w:p>
            <w:r/>
            <w:r>
              <w:rPr>
                <w:rFonts w:ascii="Calibri" w:hAnsi="Calibri" w:eastAsia="微软雅黑"/>
                <w:b w:val="0"/>
                <w:i w:val="0"/>
                <w:sz w:val="18"/>
              </w:rPr>
              <w:t>客户结构本身，定义技术路线与造价标准</w:t>
            </w:r>
          </w:p>
        </w:tc>
        <w:tc>
          <w:tcPr>
            <w:tcW w:type="dxa" w:w="1660"/>
          </w:tcPr>
          <w:p>
            <w:r/>
            <w:r>
              <w:rPr>
                <w:rFonts w:ascii="Calibri" w:hAnsi="Calibri" w:eastAsia="微软雅黑"/>
                <w:b w:val="0"/>
                <w:i w:val="0"/>
                <w:sz w:val="18"/>
              </w:rPr>
              <w:t>需求波动与标准更替风险</w:t>
            </w:r>
          </w:p>
        </w:tc>
        <w:tc>
          <w:tcPr>
            <w:tcW w:type="dxa" w:w="1660"/>
          </w:tcPr>
          <w:p>
            <w:r/>
            <w:r>
              <w:rPr>
                <w:rFonts w:ascii="Calibri" w:hAnsi="Calibri" w:eastAsia="微软雅黑"/>
                <w:b w:val="0"/>
                <w:i w:val="0"/>
                <w:sz w:val="18"/>
              </w:rPr>
              <w:t>国家电投投资海外风电（P4006）；国家能源集团投产沙戈荒调峰电源（P4009）</w:t>
            </w:r>
          </w:p>
        </w:tc>
      </w:tr>
    </w:tbl>
    <w:p>
      <w:r>
        <w:rPr>
          <w:rFonts w:ascii="Calibri" w:hAnsi="Calibri" w:eastAsia="微软雅黑"/>
          <w:b w:val="0"/>
          <w:i w:val="0"/>
          <w:sz w:val="22"/>
        </w:rPr>
        <w:t>四层之间的基本关系可以概括为两句口诀：资源自上而下流动，风险自下而上传导——第一层把资本、集团信用与海外市场准入给到第二层，第二层把施工与采购责任压给第三层，而第四层站在链的顶端，它不是设计院的同行，而是设计院的客户结构本身。传导机制的运行方式值得展开：当第四层的业主型央企以投资人身份定义技术路线与造价标准时，第二层设计院的传统议价位置会随之移动；当第三层的分包网络出现局部塌陷——对手方资本金稀薄、执行阶段无财产可供分配（P4021）——风险会沿合同链烧回第二层的履约记录；当第一层收紧出海序列的内部授权，省院的海外野心便只能在集团框架内重新校准。除了纵向两条传导线，还有一条横向传染线常被忽视：同层机构之间的竞争行为会互相锁定——一家省院以低价换取市场时，同层对手要么跟进压价、要么退出该单，而无论哪种选择，都会在下一轮招标中重塑价格锚点；诉讼记录同样横向传染，业主在选择名单时往往整批检索同层机构的涉诉情况，一家的纠纷暴露会改变全层的可见风险水位。同一个买方动作在不同层有不同含义：压价对第一层几乎无效，其成本结构与国家任务绑定（P4006所示吉瓦级项目均由集团级主体总承包）；对第二层直接挤压设计利润；对第三层则可能制造出下一个诉讼当事人（P4014、P4021）。这个框架还有动态含义：位置不是恒定的。斯坦福大学战略学教授、「红桃皇后」竞争理论提出者William Barnett提醒，多数传统理论聚焦均衡、认为竞争会导向稳定的市场解，但现实中的竞争并不导致均衡或稳定，而是在制造更大的变化（P4026）。放到电力设计院系：一家省院可以因为抓住某个大型基地而向上靠近集团直营层，也可能因为集团力量的进入而在属地项目上退化为设计分包；一个长期隐身的跨界者可能因为一次技术路线更替而突然变成链主。行业教材的目录同样印证演进压力——《EPC工程总承包项目过程控制概论》全书十五章中专门设有「中国工程勘察设计行业发展现状」「国际工程公司的发展历程」等章节，讨论设计行业向国际工程公司模式演进的组织命题（P4029）。做一次使用练习：看到国资委央企动态刊发的《全国首个「沙戈荒」新能源大基地配套调峰电源全容量投产》（来源国家能源投资集团，发布于2026年10月10日，P4009），名录式读者看到一条正面消息；四层读者会依次翻译——这是第四层业主型央企亲手锁定的项目包，第一层建设力量必然深度参与，第二层省院的角色是承接设计还是牵头总包取决于集团序列而非属地感情，第三层分包规模将随项目体量同步放大纠纷敞口。反向练习同样成立：当省院发布重大中标消息时，依次追问业主属于哪一层、集团在其中的角色、分包阵容是否披露——反向练习的价值在于识别「升层叙事」，省院的宣传常把集团背景、属地根基与单体项目混在一起讲，四层框架迫使读者把三者拆开分别核验。</w:t>
      </w:r>
    </w:p>
    <w:p>
      <w:r>
        <w:rPr>
          <w:rFonts w:ascii="Calibri" w:hAnsi="Calibri" w:eastAsia="微软雅黑"/>
          <w:b/>
          <w:i w:val="0"/>
          <w:sz w:val="22"/>
        </w:rPr>
        <w:t>对买方的含义（So what）：</w:t>
      </w:r>
      <w:r>
        <w:rPr>
          <w:rFonts w:ascii="Calibri" w:hAnsi="Calibri" w:eastAsia="微软雅黑"/>
          <w:b w:val="0"/>
          <w:i w:val="0"/>
          <w:sz w:val="22"/>
        </w:rPr>
        <w:t>在接触任何一家电力设计院之前，先问三个问题——它在第几层、它背后是谁、它脚下踩着谁。第一问决定它的天花板，第二问决定它的资源半径，第三问决定它的履约风险结构。三个答案的组合，比它的宣传册更能预测它在你的项目上的真实表现；漏掉任何一问，都可能把集团的光环错记在省院账上，或把分包的雷提前埋进自己的项目。本章以下三节依次解剖各层，随后把答案合成对川院的位次判定；每一层都给出公开证据入口——资本侧看定期报告（P4030）、出海侧看央企叙事（P4006）、纠纷侧看裁判文书标题与正文（P4001、P4005、P4011）——分层框架因此不是抽象模型，而是一套可立即执行的检索路线图。这套路线图还有一个常被低估的优点：它是自适应的——当某层的证据入口发生变化（例如定期报告改版、司法口径调整、央企叙事阵地迁移），买方只需替换该层的检索源，框架本身与三问结构不动；相比之下，名录式分析每逢机构变动就要推倒重来。把框架、口诀与三问记熟之后，读者在本章后续各节里看到的将不是孤立的案例与数字，而是同一张地图在不同图层上的展开；对同一事件，四层读者与名录式读者得到的结论孰优孰劣，最终会在下一次签约桌上见分晓。</w:t>
      </w:r>
    </w:p>
    <w:p>
      <w:pPr>
        <w:pStyle w:val="Heading2"/>
      </w:pPr>
      <w:r>
        <w:t>4.2 第一层与第四层：集团平台的资本、出海与业主变局</w:t>
      </w:r>
    </w:p>
    <w:p>
      <w:r>
        <w:rPr>
          <w:rFonts w:ascii="Calibri" w:hAnsi="Calibri" w:eastAsia="微软雅黑"/>
          <w:b w:val="0"/>
          <w:i w:val="0"/>
          <w:sz w:val="22"/>
        </w:rPr>
        <w:t>第一层是整个电力设计院系的资源天花板与信用地基，最重要的玩家是中国电建与中国能建两大电力建设集团；第四层则是站在链顶的业主型央企。两层合起来看，才能理解省院（包括川院）的生存环境：上面决定它能拿到什么，客户端决定它面对谁。先看资本侧最可核验的事实：中国电建旗下核心平台中国电力建设股份有限公司为A股上市公司，证券代码601669（P4030）。其2026年半年度报告未经审计（P4030）——「未经审计」四个字决定了引用其任何数字时的保留态度，也提醒买方以年度审计报告为准做最终核验。报告的章节骨架遵循上市公司监管范式：第一节释义、第二节公司简介和主要财务指标、第三节管理层讨论与分析、第四节公司治理、环境和社会、第五节重要事项、第六节股份变动及股东情况依次展开（P4030）——这个骨架本身就是买方的阅读地图，「管理层讨论与分析」与「重要事项」两节应作为固定入口：前者看经营叙述里对市场、订单、回款的措辞变化，后者捕捉诉讼、担保、关联交易等事项性披露，两节合读，大致可以还原集团当期的经营温度。治理层面，公司负责人丁焰章、主管会计工作负责人杨良及会计机构负责人（会计主管人员）张爱卿共同声明保证半年度报告中财务报告的真实、准确、完整（P4030）；独立董事张兆祥因工作原因委托孙子宇出席、董事刘易因工作原因委托张国厚出席（P4030）。报告同时设有前瞻性陈述风险声明，明示未来计划类陈述不构成对投资者的实质承诺，并专设「重大风险提示」指引读者查阅管理层讨论与分析中「可能面对的风险」一节（P4030）。对买方而言，这份报告有两重身份：既是供应商母集团的信用档案，也是可在二级市场交易的标的本身——601669的双重属性意味着「查集团」这个动作可以同时服务采购决策与投资决策（P4030）。还有第三重属性容易被忽略：上市平台的披露义务是法律强制的，这意味着它对下属体系的风险揭示具有连续性与可比性——买方可以逐年对照同一框架下的措辞变化，而这种纵向可比性正是评估「集团支持力度」趋势时最稀缺的材料；非上市的叙事文本无论多精彩，都不具备这种逐年可比的纪律。</w:t>
      </w:r>
    </w:p>
    <w:p>
      <w:r>
        <w:rPr>
          <w:rFonts w:ascii="Calibri" w:hAnsi="Calibri" w:eastAsia="微软雅黑"/>
          <w:b w:val="0"/>
          <w:i w:val="0"/>
          <w:sz w:val="22"/>
        </w:rPr>
        <w:t>这些治理细节不是官样文章，而应翻译成对省院合作的风险清单——母集团定期报告中的市场波动条目，对应省院的新签订单波动；应收与现金流条目，对应省院的垫资与账期压力；海外经营条目，对应跟团出海项目的政治与汇率敞口；安全生产与环保条目，对应分包界面的事故传导。母集团每披露一栏风险，省院的合作条款里就应有一栏对冲——这个动作的成本只是读一份报告的时间，收益是把「集团背书」从口号变成可核对的条款清单。需要如实指出的局限是：该半年报在库内仅见封面、目录与责任声明层内容（P4030），营收、新签合同、分部经营数据均未进入本章证据库，第一层的量化力量对比只能留白（见本章盲区）。比财务数字更耐用的，是平台治理框架所确立的披露纪律本身：责任声明的三位签署人制度、风险提示的强制指引、前瞻性陈述的免责边界（P4030），意味着「查集团」这个动作有稳定的公开抓手，不依赖任何私人信息渠道——这一点对无法接触集团内部的中小买方尤其重要：当省院说「我们有集团背书」时，买方至少可以核验集团本身的披露纪律与风险叙事，把不可验证的承诺换成可验证的主体。举一个翻译的具体形态：若集团报告的风险提示提到海外经营面临汇率与国别风险（P4030），与省院合作的出海项目合同就应有汇率分摊条款与政治风险的退出安排；若提到应收账款与现金流承压，付款节点就应提高预付比例、压缩质保金周期，并要求省院披露其分包付款的账期结构——翻译不是修辞，是把对方披露的风险变成己方合同的条款。操作上可以固定为三个动作：一查披露纪律（责任声明与风险提示是否齐备），二查风险措辞（风险条目的措辞是在变谨慎还是变乐观），三查治理变动（董事出席与委托、高管签署人的变化）——三个动作都不需要财务专业背景，却能在十分钟内把「集团背书」的成色估出八九不离十（P4030）。</w:t>
      </w:r>
    </w:p>
    <w:p>
      <w:r>
        <w:rPr>
          <w:rFonts w:ascii="Calibri" w:hAnsi="Calibri" w:eastAsia="微软雅黑"/>
          <w:b w:val="0"/>
          <w:i w:val="0"/>
          <w:sz w:val="22"/>
        </w:rPr>
        <w:t>再看出海侧与业主侧，央企出海的时间与市场坐标可以从证据里直接读出：2013年习近平总书记创造性地提出共建丝绸之路经济带倡议，2023年是「一带一路」倡议提出十周年，习近平总书记2023年5月19日在中国-中亚峰会发表主旨讲话、提出携手建设中国-中亚命运共同体，中央企业与中亚各国在能源、交通、产业、民生等方面深度合作（P4006）。中亚之所以成为电力央企的重点战场，市场逻辑写在电力结构里：在哈萨克斯坦，火力发电在全国电力生产中超过80%且集中在煤炭富集的北部，而南部城市电力消费量约占全国的70%，电力供应不足、需从北部远距离输送（P4006）——南北失衡正是可再生能源与输电工程的刚需来源。在这样的市场里，第一层与第四层联袂出场：国家电投投资、中国电建建设的札纳塔斯一期风电项目位于哈萨克斯坦江布尔州，总装机容量100兆瓦，2021年6月20日实现全容量并网发电，累计发电9.27亿千瓦时、改善了哈萨克斯坦南部地区缺电状况，满足当地20多万户家庭用电需求，与同容量燃煤电厂相比每年可节约标煤10.95万吨、减少二氧化碳排放28.9万吨（P4006）；紧邻一期场址的札纳塔斯二期100兆瓦项目已完成首台风机吊装，预计于2023年12月并网发电，每年可增加清洁电能3.4亿千瓦时（P4006）；中国电建控股投资的谢列克风电场列入哈萨克斯坦《2013—2020年替代能源和可再生能源行动计划》并被纳入中哈产能合作重点项目清单，2022年6月实现全容量并网，每年可将2.3亿度电力送至负荷中心、为7万户居民供电，提高阿拉木图州电网供电的可靠性与独立性（P4006）；中国能建EPC总承包的乌兹别克斯坦布哈拉1吉瓦风电项目是中亚单体规模最大的风电项目，在巴什和赞克尔迪区域分别建设两座500兆瓦风电站，每年可向当地电网提供35亿余度电、惠及乌兹别克斯坦百万居民，既是乌国政府规划的重要民生工程，也是推动中国大型设备「走出去」的范例（P4006）——「设备走出去」的定语值得注意，它意味着出海不只是工程承包，还是中国技术标准与设备序列的整体输出，设计标准嵌在其中。这对第二层有三重含义：其一，海外项目的规范体系由中国标准主导时，省院的设计经验移植成本更低；其二，集团级项目把设计、设备、施工捆绑成整体解决方案，省院的单独议价空间被压缩进序列分工；其三，海外业绩的归属通常在集团报表而非省院账上，买方核验省院海外经验时必须穿透到项目级的参与证据。传统能源央企同样在场：中国石油在中亚建设「资源、供应、效益、品牌」四位一体核心油气合作区，运营阿克纠宾等油气项目及中哈原油管道、中哈天然气管道、奇姆肯特炼油厂、亚洲钢管公司等重点合作项目；兵器工业集团北方公司振华石油控股与中国石油合作作业哈萨克斯坦肯尼斯和贝克塔斯油田，原油高峰年产量可达81万吨（P4006）。这条出海链的结构值得逐字读：业主是第四层的国家电投，投资、建设与控股方是第一层的电建、能建——省级设计院在这个序列里既未以独立承包商身份出现，也未以业主身份出现，它们的位置在集团内部序列中。业主型央企的内陆动作同样在改写需求端：全国首个「沙戈荒」新能源大基地配套调峰电源全容量投产（来源国家能源投资集团，2026年10月10日刊发）标志这一新品类进入投产期（P4009）；同期央企叙事从国家能源集团供稿的猫跳河红色水电传承（2026年9月29日刊发）到沙戈荒投产，再到中国电科的「中国智造向光而行」（2026年10月13日刊发）（P4002、P4009、P4004），显示央企群正同时经营历史合法性叙事与新品类叙事——甲方名单在变长、在专业化，设计院的客户地图必须随之重绘。</w:t>
      </w:r>
    </w:p>
    <w:p>
      <w:r>
        <w:rPr>
          <w:rFonts w:ascii="Calibri" w:hAnsi="Calibri" w:eastAsia="微软雅黑"/>
          <w:b/>
          <w:i w:val="0"/>
          <w:sz w:val="22"/>
        </w:rPr>
        <w:t>对买方的含义（So what）：</w:t>
      </w:r>
      <w:r>
        <w:rPr>
          <w:rFonts w:ascii="Calibri" w:hAnsi="Calibri" w:eastAsia="微软雅黑"/>
          <w:b w:val="0"/>
          <w:i w:val="0"/>
          <w:sz w:val="22"/>
        </w:rPr>
        <w:t>评估任何省院，先读其母集团最新定期报告的风险条目并逐条翻译成合作条款（P4030）；评估出海项目，先确认该项目在集团序列中的位置——札纳塔斯、谢列克、布哈拉三个样本显示海外巨型电力项目的业主、投资人与总承包方清一色是集团级主体（P4006），省院若宣称独立海外总承包能力，应要求其举证同类业绩而非集团业绩。同时把「沙戈荒配套调峰电源」这类新业主品类纳入需求侧跟踪清单（P4009）——新品类意味着新设计标准与新合同结构，也意味着先入者红利；而哈萨克斯坦南部约70%电力消费对应北部超80%火电供应的结构性缺口（P4006），是判断中亚市场持续性的底层变量。买方若同时是投资者，601669的定期报告风险节还提供了一条从产业尽调通向证券研究的现成通道（P4030）。</w:t>
      </w:r>
    </w:p>
    <w:p>
      <w:pPr>
        <w:pStyle w:val="Heading2"/>
      </w:pPr>
      <w:r>
        <w:t>4.3 第二层：省级设计院的贴身竞跑——同层五院的镜像</w:t>
      </w:r>
    </w:p>
    <w:p>
      <w:r>
        <w:rPr>
          <w:rFonts w:ascii="Calibri" w:hAnsi="Calibri" w:eastAsia="微软雅黑"/>
          <w:b w:val="0"/>
          <w:i w:val="0"/>
          <w:sz w:val="22"/>
        </w:rPr>
        <w:t>第二层是本报告的主角所在层，也是最贴身的竞跑层。这一层的机构数量多、单家规模有限、业务高度同质，竞争的直接形态是：在同样的属地与同样的细分里，比设计资质、比属地关系、比总承包组织能力。本报告证据库并行覆盖五家同层机构——四川电力设计咨询有限责任公司（川院）、上海电力设计院有限公司、中国能源建设集团山西省电力勘测设计院有限公司、中国能源建设集团安徽省电力设计院有限公司、中国能源建设集团新疆电力设计院有限公司（P4002、P4000、P4001、P4005），这个样本本身说明了同层机构的可比性：它们共享「省级电力设计院+EPC总承包」的同一命题，被同一种调研框架检视。需要谨慎处理的是集团归属：库内证据明确显示山西院、安徽院、新疆院隶属中国能建序列（三者全称均冠「中国能源建设集团」，P4001、P4005），川院常称「中国电建四川院」，而上海电力设计院的集团归属在库内无表述，本章不作断言、留白处理（见盲区）。这个细节本身就是分层框架的使用示范：同属第二层不等于同属一个集团，层内还有序列之别——电建系与能建系省院在集团通道、海外序列与属地版图上的差异，是同层竞跑的第一组结构性变量。这组变量的实际权重取决于项目类型：在业主主导的属地项目上，序列差异的影响有限，拼的是属地履约；在集团主导的大基地与海外项目上，序列决定入场券——不同序列的省院甚至可能在中标前就被划入不同的候选池。因此严谨的同层比较必须先问「在哪个赛道比」，再谈「谁更强」，跨赛道直接排名没有意义。</w:t>
      </w:r>
    </w:p>
    <w:p>
      <w:r>
        <w:rPr>
          <w:rFonts w:ascii="Calibri" w:hAnsi="Calibri" w:eastAsia="微软雅黑"/>
          <w:b w:val="0"/>
          <w:i w:val="0"/>
          <w:sz w:val="22"/>
        </w:rPr>
        <w:t>同层竞跑的胜负手，在证据里呈现为合同管理能力而非设计能力本身。安徽院的涉诉记录是第二层最有信息量的镜像：弹药库收录其四件诉讼文书——与河南省龙源电力工程技术有限公司、栗向东的建设工程施工合同纠纷一审及二审（P4005、P4008），与安徽胤荣建设工程有限公司的建设工程合同纠纷一审与二审（P4010、P4007），其中一案还牵入安徽鼎信建设发展有限公司（P4010）。四件文书指向两家分包对手方、三种合同界面，全部落在施工分包与合同结算地带，无一落在设计质量地带——这个分布本身就有信息量：省院的设计主业相对稳固，失分项集中在总包之后的合同执行段。新疆院的结构相似：其与伊吾东方民生新能源有限公司的建设工程设计合同纠纷打到二审（P4001），纠纷界面在设计合同本身。把这些标题连起来读，第二层的真实竞争图景是：省院作为总承包人或设计人站在业主与分包商之间，两头都是纠纷敞口；一家省院的同层排名，很大程度上由它在这些界面上的合同管理水平决定——设计能力决定它能不能进门，合同管理决定它进门之后是赚钱还是赔上利润与声誉。镜像法也有边界：诉讼可见性受抽样与口径影响，涉诉多寡不能直接读成管理优劣，但界面分布可以——纠纷落在哪个界面，说明风险积聚在哪个界面，这才是同层对照真正可比的维度。行业显然已经意识到这门功课——《EPC总承包工程项目管理成熟度评价研究——以电力设计院为视角》这类研究的存在本身，说明「电力设计院怎么干EPC」已从业务问题上升为学术命题（P4000）。</w:t>
      </w:r>
    </w:p>
    <w:p>
      <w:r>
        <w:rPr>
          <w:rFonts w:ascii="Calibri" w:hAnsi="Calibri" w:eastAsia="微软雅黑"/>
          <w:b w:val="0"/>
          <w:i w:val="0"/>
          <w:sz w:val="22"/>
        </w:rPr>
        <w:t>第二层要补的功课清单，行业教材已经写好，而同层分化的机制正藏在「谁把教材落地」里。汪寿建编著的《EPC工程总承包项目过程控制概论》全书十五章，以国际先进项目管理理论为基础、结合项目案例，系统阐述总承包项目管理过程的控制原理、控制程序和控制流程（P4029）。其目录就是一张转型路线图：第一章总论涵盖国际项目管理发展进程与趋势、中国项目管理及建设模式发展进程、中国工程勘察设计行业发展现状、国际工程市场发展趋势、国际工程公司的发展历程、EPC项目全过程与EPC总承包管理的发展趋势；第二章工程公司组织结构涵盖组织结构和应具备的能力、需应对的各方面变化、组织架构设立、项目部的典型组织机构、项目经理及各部门经理的岗位职责、EPC项目组织机构案例；第三章起进入建设阶段全过程管理——戴明循环管理法、项目管理系统、启动、策划、实施、控制、收尾各子过程，以及进度、质量、费用、HSE四类目标控制要素和综合、合同、范围、资源、信息、沟通、风险、变更等管理控制要素（P4029）。这本书的适用对象写明包括化工、石油化工、煤化工、医药、电力、基础设施建设等领域工程公司的项目经理（P4029）——换句话说，从设计院到工程公司的转型有完整的公开方法论，第二层的竞争本质上是谁把成熟度评价、过程控制与争议解决三套知识内化为制度的竞争：同处一层，体系化机构与属地关系型机构会在同一份招标文件前给出完全不同的报价与风控结构。第二层内部还存在显著的细分壁垒，位次因此必须分赛道谈：核电是最典型的高壁垒赛道，《EPC总承包模式下的核电项目管理技术研究》作为专门研究对象存在（P4019），意味着核电EPC有独立的方法论体系与准入门槛，多数省级院在这一赛道门外；海外赛道如前节所示由集团序列主导（P4006）；属地新能源与输变电则是省院的主场，竞争最激烈、同质化最高——这一赛道的竞争要素可以拆成三层：设计优化的度电成本能力决定技术分，属地资源与履约记录决定商务分，而总分包组织与风控能力决定它敢不敢接、接了能不能全身而退。川院在此层的定位判断是川院在此层的定位判断是：以「中国电建四川院」身份位居第二层中坚——它的天花板由电建集团的资源与通道决定（P4030所代表的平台信用），基本盘在西南属地，同层对手是安徽院、山西院、新疆院这类能建系省院与上海院这类同规格机构（P4001、P4005、P4000）。这是一个结构性判定而非份额判定——库内没有川院的营收、新签合同额与行业排名数据，任何具体名次的量化表述在本章证据边界内都不成立（如实声明，见盲区）。但这并不使判定空洞：对买方而言，「第二层中坚、电建系西南接口」直接回答了合作中最要紧的三个问题——它是否有集团托底、它在属地是否有纵深、它的风险暴露处于什么水位；名次表回答的问题（谁排第几）反而不如这三个问题贴近决策。</w:t>
      </w:r>
    </w:p>
    <w:p>
      <w:r>
        <w:rPr>
          <w:rFonts w:ascii="Calibri" w:hAnsi="Calibri" w:eastAsia="微软雅黑"/>
          <w:b/>
          <w:i w:val="0"/>
          <w:sz w:val="22"/>
        </w:rPr>
        <w:t>对买方的含义（So what）：</w:t>
      </w:r>
      <w:r>
        <w:rPr>
          <w:rFonts w:ascii="Calibri" w:hAnsi="Calibri" w:eastAsia="微软雅黑"/>
          <w:b w:val="0"/>
          <w:i w:val="0"/>
          <w:sz w:val="22"/>
        </w:rPr>
        <w:t>在同层机构之间做选择时，不要比宣传册，要比两份记录：其一是它在业主界面与分包界面的纠纷史（安徽院四案所示的两类界面，P4005、P4007、P4008、P4010）；其二是它在目标细分赛道的准入实绩（核电等高壁垒赛道的门槛独立存在，P4019）。若候选院拿不出过程控制与争议解决两套体系的落地证据（P4029、P4033），其总承包报价的低廉更可能是风控缺位的信号而非效率优势——低价中标之后再把风险转嫁给分包与业主，正是本章证据里反复出现的剧本。对竞争者而言，与同层省院在省内存量市场对耗，不如利用集团序列差异寻找错位空间；对分包商而言，省院客户的账期与争议风险参照的是行业纠纷温度（下节展开），合同自保条款比私人关系可靠。</w:t>
      </w:r>
    </w:p>
    <w:p>
      <w:pPr>
        <w:pStyle w:val="Heading2"/>
      </w:pPr>
      <w:r>
        <w:t>4.4 第三层：分包生态与纠纷曲线——竞争压力的承压层</w:t>
      </w:r>
    </w:p>
    <w:p>
      <w:r>
        <w:rPr>
          <w:rFonts w:ascii="Calibri" w:hAnsi="Calibri" w:eastAsia="微软雅黑"/>
          <w:b w:val="0"/>
          <w:i w:val="0"/>
          <w:sz w:val="22"/>
        </w:rPr>
        <w:t>第三层不出现在行业排名里，却决定第二层的履约质量与利润成色。观察这一层最系统的公开证据是裁判文书——2020年分卷收录「EPC相关」裁判文书42935篇（P4011），而2010年分卷仅148篇（P4023），十年间的篇数膨胀本身就是行业纠纷生态的注脚。「EPC相关」裁判文书分卷计数逐年为：2010年148篇（P4023）、2012年216篇（P4020）、2013年2170篇（P4018）、2014年5275篇（P4017）、2015年8654篇（P4015）、2016年10763篇（P4014）、2017年11716篇（P4013）、2018年5754篇（P4016）、2019年41550篇（P4012）、2020年42935篇（P4011）、2021年324篇（P4021）。十一个年份分卷合计129505篇（own_calc：148+216+2170+5275+8654+10763+11716+5754+41550+42935+324=129505，各加数逐项锚定如上，2011年分卷缺失未计入）（P4023、P4020、P4018、P4017、P4015、P4014、P4013、P4016、P4012、P4011、P4021）。曲线的两个拐点需要如实解读而非情绪化解读：其一，2020年篇数（42935篇，P4011）是2010年（148篇，P4023）的数百倍，其中2019年（41550篇，P4012）达2017年（11716篇，P4013）的三倍以上，而2018年（5754篇，P4016）反而较2017年回落近半——这种非单调性更多反映裁判文书上网范围、检索引擎口径与采集完整度的变化，而非纠纷量真实地大起大落（P4013、P4012、P4016、P4011、P4023）；其二，2021年骤降至324篇（P4021），与2020年42935篇（P4011）相比近乎归零，本报告不将其解读为纠纷消失，口径断裂的因果在库内无法核验（见盲区）。即便如此，方向性结论稳健：EPC及建设工程合同纠纷在2010年代持续放量，第三层是主要承压层，且压力会沿合同链上传至第二层的省级设计院（P4011—P4023）。逐年数据汇总如下表：</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年份</w:t>
            </w:r>
          </w:p>
        </w:tc>
        <w:tc>
          <w:tcPr>
            <w:tcW w:type="dxa" w:w="2767"/>
            <w:shd w:fill="1F3A5F"/>
          </w:tcPr>
          <w:p>
            <w:r>
              <w:rPr>
                <w:color w:val="FFFFFF"/>
              </w:rPr>
            </w:r>
            <w:r>
              <w:rPr>
                <w:rFonts w:ascii="Calibri" w:hAnsi="Calibri" w:eastAsia="微软雅黑"/>
                <w:b/>
                <w:i w:val="0"/>
                <w:color w:val="FFFFFF"/>
                <w:sz w:val="18"/>
              </w:rPr>
              <w:t>分卷篇数</w:t>
            </w:r>
          </w:p>
        </w:tc>
        <w:tc>
          <w:tcPr>
            <w:tcW w:type="dxa" w:w="2767"/>
            <w:shd w:fill="1F3A5F"/>
          </w:tcPr>
          <w:p>
            <w:r>
              <w:rPr>
                <w:color w:val="FFFFFF"/>
              </w:rPr>
            </w:r>
            <w:r>
              <w:rPr>
                <w:rFonts w:ascii="Calibri" w:hAnsi="Calibri" w:eastAsia="微软雅黑"/>
                <w:b/>
                <w:i w:val="0"/>
                <w:color w:val="FFFFFF"/>
                <w:sz w:val="18"/>
              </w:rPr>
              <w:t>锚点</w:t>
            </w:r>
          </w:p>
        </w:tc>
      </w:tr>
      <w:tr>
        <w:tc>
          <w:tcPr>
            <w:tcW w:type="dxa" w:w="2767"/>
          </w:tcPr>
          <w:p>
            <w:r/>
            <w:r>
              <w:rPr>
                <w:rFonts w:ascii="Calibri" w:hAnsi="Calibri" w:eastAsia="微软雅黑"/>
                <w:b w:val="0"/>
                <w:i w:val="0"/>
                <w:sz w:val="18"/>
              </w:rPr>
              <w:t>2010</w:t>
            </w:r>
          </w:p>
        </w:tc>
        <w:tc>
          <w:tcPr>
            <w:tcW w:type="dxa" w:w="2767"/>
          </w:tcPr>
          <w:p>
            <w:r/>
            <w:r>
              <w:rPr>
                <w:rFonts w:ascii="Calibri" w:hAnsi="Calibri" w:eastAsia="微软雅黑"/>
                <w:b w:val="0"/>
                <w:i w:val="0"/>
                <w:sz w:val="18"/>
              </w:rPr>
              <w:t>148篇</w:t>
            </w:r>
          </w:p>
        </w:tc>
        <w:tc>
          <w:tcPr>
            <w:tcW w:type="dxa" w:w="2767"/>
          </w:tcPr>
          <w:p>
            <w:r/>
            <w:r>
              <w:rPr>
                <w:rFonts w:ascii="Calibri" w:hAnsi="Calibri" w:eastAsia="微软雅黑"/>
                <w:b w:val="0"/>
                <w:i w:val="0"/>
                <w:sz w:val="18"/>
              </w:rPr>
              <w:t>P4023</w:t>
            </w:r>
          </w:p>
        </w:tc>
      </w:tr>
      <w:tr>
        <w:tc>
          <w:tcPr>
            <w:tcW w:type="dxa" w:w="2767"/>
          </w:tcPr>
          <w:p>
            <w:r/>
            <w:r>
              <w:rPr>
                <w:rFonts w:ascii="Calibri" w:hAnsi="Calibri" w:eastAsia="微软雅黑"/>
                <w:b w:val="0"/>
                <w:i w:val="0"/>
                <w:sz w:val="18"/>
              </w:rPr>
              <w:t>2012</w:t>
            </w:r>
          </w:p>
        </w:tc>
        <w:tc>
          <w:tcPr>
            <w:tcW w:type="dxa" w:w="2767"/>
          </w:tcPr>
          <w:p>
            <w:r/>
            <w:r>
              <w:rPr>
                <w:rFonts w:ascii="Calibri" w:hAnsi="Calibri" w:eastAsia="微软雅黑"/>
                <w:b w:val="0"/>
                <w:i w:val="0"/>
                <w:sz w:val="18"/>
              </w:rPr>
              <w:t>216篇</w:t>
            </w:r>
          </w:p>
        </w:tc>
        <w:tc>
          <w:tcPr>
            <w:tcW w:type="dxa" w:w="2767"/>
          </w:tcPr>
          <w:p>
            <w:r/>
            <w:r>
              <w:rPr>
                <w:rFonts w:ascii="Calibri" w:hAnsi="Calibri" w:eastAsia="微软雅黑"/>
                <w:b w:val="0"/>
                <w:i w:val="0"/>
                <w:sz w:val="18"/>
              </w:rPr>
              <w:t>P4020</w:t>
            </w:r>
          </w:p>
        </w:tc>
      </w:tr>
      <w:tr>
        <w:tc>
          <w:tcPr>
            <w:tcW w:type="dxa" w:w="2767"/>
          </w:tcPr>
          <w:p>
            <w:r/>
            <w:r>
              <w:rPr>
                <w:rFonts w:ascii="Calibri" w:hAnsi="Calibri" w:eastAsia="微软雅黑"/>
                <w:b w:val="0"/>
                <w:i w:val="0"/>
                <w:sz w:val="18"/>
              </w:rPr>
              <w:t>2013</w:t>
            </w:r>
          </w:p>
        </w:tc>
        <w:tc>
          <w:tcPr>
            <w:tcW w:type="dxa" w:w="2767"/>
          </w:tcPr>
          <w:p>
            <w:r/>
            <w:r>
              <w:rPr>
                <w:rFonts w:ascii="Calibri" w:hAnsi="Calibri" w:eastAsia="微软雅黑"/>
                <w:b w:val="0"/>
                <w:i w:val="0"/>
                <w:sz w:val="18"/>
              </w:rPr>
              <w:t>2170篇</w:t>
            </w:r>
          </w:p>
        </w:tc>
        <w:tc>
          <w:tcPr>
            <w:tcW w:type="dxa" w:w="2767"/>
          </w:tcPr>
          <w:p>
            <w:r/>
            <w:r>
              <w:rPr>
                <w:rFonts w:ascii="Calibri" w:hAnsi="Calibri" w:eastAsia="微软雅黑"/>
                <w:b w:val="0"/>
                <w:i w:val="0"/>
                <w:sz w:val="18"/>
              </w:rPr>
              <w:t>P4018</w:t>
            </w:r>
          </w:p>
        </w:tc>
      </w:tr>
      <w:tr>
        <w:tc>
          <w:tcPr>
            <w:tcW w:type="dxa" w:w="2767"/>
          </w:tcPr>
          <w:p>
            <w:r/>
            <w:r>
              <w:rPr>
                <w:rFonts w:ascii="Calibri" w:hAnsi="Calibri" w:eastAsia="微软雅黑"/>
                <w:b w:val="0"/>
                <w:i w:val="0"/>
                <w:sz w:val="18"/>
              </w:rPr>
              <w:t>2014</w:t>
            </w:r>
          </w:p>
        </w:tc>
        <w:tc>
          <w:tcPr>
            <w:tcW w:type="dxa" w:w="2767"/>
          </w:tcPr>
          <w:p>
            <w:r/>
            <w:r>
              <w:rPr>
                <w:rFonts w:ascii="Calibri" w:hAnsi="Calibri" w:eastAsia="微软雅黑"/>
                <w:b w:val="0"/>
                <w:i w:val="0"/>
                <w:sz w:val="18"/>
              </w:rPr>
              <w:t>5275篇</w:t>
            </w:r>
          </w:p>
        </w:tc>
        <w:tc>
          <w:tcPr>
            <w:tcW w:type="dxa" w:w="2767"/>
          </w:tcPr>
          <w:p>
            <w:r/>
            <w:r>
              <w:rPr>
                <w:rFonts w:ascii="Calibri" w:hAnsi="Calibri" w:eastAsia="微软雅黑"/>
                <w:b w:val="0"/>
                <w:i w:val="0"/>
                <w:sz w:val="18"/>
              </w:rPr>
              <w:t>P4017</w:t>
            </w:r>
          </w:p>
        </w:tc>
      </w:tr>
      <w:tr>
        <w:tc>
          <w:tcPr>
            <w:tcW w:type="dxa" w:w="2767"/>
          </w:tcPr>
          <w:p>
            <w:r/>
            <w:r>
              <w:rPr>
                <w:rFonts w:ascii="Calibri" w:hAnsi="Calibri" w:eastAsia="微软雅黑"/>
                <w:b w:val="0"/>
                <w:i w:val="0"/>
                <w:sz w:val="18"/>
              </w:rPr>
              <w:t>2015</w:t>
            </w:r>
          </w:p>
        </w:tc>
        <w:tc>
          <w:tcPr>
            <w:tcW w:type="dxa" w:w="2767"/>
          </w:tcPr>
          <w:p>
            <w:r/>
            <w:r>
              <w:rPr>
                <w:rFonts w:ascii="Calibri" w:hAnsi="Calibri" w:eastAsia="微软雅黑"/>
                <w:b w:val="0"/>
                <w:i w:val="0"/>
                <w:sz w:val="18"/>
              </w:rPr>
              <w:t>8654篇</w:t>
            </w:r>
          </w:p>
        </w:tc>
        <w:tc>
          <w:tcPr>
            <w:tcW w:type="dxa" w:w="2767"/>
          </w:tcPr>
          <w:p>
            <w:r/>
            <w:r>
              <w:rPr>
                <w:rFonts w:ascii="Calibri" w:hAnsi="Calibri" w:eastAsia="微软雅黑"/>
                <w:b w:val="0"/>
                <w:i w:val="0"/>
                <w:sz w:val="18"/>
              </w:rPr>
              <w:t>P4015</w:t>
            </w:r>
          </w:p>
        </w:tc>
      </w:tr>
      <w:tr>
        <w:tc>
          <w:tcPr>
            <w:tcW w:type="dxa" w:w="2767"/>
          </w:tcPr>
          <w:p>
            <w:r/>
            <w:r>
              <w:rPr>
                <w:rFonts w:ascii="Calibri" w:hAnsi="Calibri" w:eastAsia="微软雅黑"/>
                <w:b w:val="0"/>
                <w:i w:val="0"/>
                <w:sz w:val="18"/>
              </w:rPr>
              <w:t>2016</w:t>
            </w:r>
          </w:p>
        </w:tc>
        <w:tc>
          <w:tcPr>
            <w:tcW w:type="dxa" w:w="2767"/>
          </w:tcPr>
          <w:p>
            <w:r/>
            <w:r>
              <w:rPr>
                <w:rFonts w:ascii="Calibri" w:hAnsi="Calibri" w:eastAsia="微软雅黑"/>
                <w:b w:val="0"/>
                <w:i w:val="0"/>
                <w:sz w:val="18"/>
              </w:rPr>
              <w:t>10763篇</w:t>
            </w:r>
          </w:p>
        </w:tc>
        <w:tc>
          <w:tcPr>
            <w:tcW w:type="dxa" w:w="2767"/>
          </w:tcPr>
          <w:p>
            <w:r/>
            <w:r>
              <w:rPr>
                <w:rFonts w:ascii="Calibri" w:hAnsi="Calibri" w:eastAsia="微软雅黑"/>
                <w:b w:val="0"/>
                <w:i w:val="0"/>
                <w:sz w:val="18"/>
              </w:rPr>
              <w:t>P4014</w:t>
            </w:r>
          </w:p>
        </w:tc>
      </w:tr>
      <w:tr>
        <w:tc>
          <w:tcPr>
            <w:tcW w:type="dxa" w:w="2767"/>
          </w:tcPr>
          <w:p>
            <w:r/>
            <w:r>
              <w:rPr>
                <w:rFonts w:ascii="Calibri" w:hAnsi="Calibri" w:eastAsia="微软雅黑"/>
                <w:b w:val="0"/>
                <w:i w:val="0"/>
                <w:sz w:val="18"/>
              </w:rPr>
              <w:t>2017</w:t>
            </w:r>
          </w:p>
        </w:tc>
        <w:tc>
          <w:tcPr>
            <w:tcW w:type="dxa" w:w="2767"/>
          </w:tcPr>
          <w:p>
            <w:r/>
            <w:r>
              <w:rPr>
                <w:rFonts w:ascii="Calibri" w:hAnsi="Calibri" w:eastAsia="微软雅黑"/>
                <w:b w:val="0"/>
                <w:i w:val="0"/>
                <w:sz w:val="18"/>
              </w:rPr>
              <w:t>11716篇</w:t>
            </w:r>
          </w:p>
        </w:tc>
        <w:tc>
          <w:tcPr>
            <w:tcW w:type="dxa" w:w="2767"/>
          </w:tcPr>
          <w:p>
            <w:r/>
            <w:r>
              <w:rPr>
                <w:rFonts w:ascii="Calibri" w:hAnsi="Calibri" w:eastAsia="微软雅黑"/>
                <w:b w:val="0"/>
                <w:i w:val="0"/>
                <w:sz w:val="18"/>
              </w:rPr>
              <w:t>P4013</w:t>
            </w:r>
          </w:p>
        </w:tc>
      </w:tr>
      <w:tr>
        <w:tc>
          <w:tcPr>
            <w:tcW w:type="dxa" w:w="2767"/>
          </w:tcPr>
          <w:p>
            <w:r/>
            <w:r>
              <w:rPr>
                <w:rFonts w:ascii="Calibri" w:hAnsi="Calibri" w:eastAsia="微软雅黑"/>
                <w:b w:val="0"/>
                <w:i w:val="0"/>
                <w:sz w:val="18"/>
              </w:rPr>
              <w:t>2018</w:t>
            </w:r>
          </w:p>
        </w:tc>
        <w:tc>
          <w:tcPr>
            <w:tcW w:type="dxa" w:w="2767"/>
          </w:tcPr>
          <w:p>
            <w:r/>
            <w:r>
              <w:rPr>
                <w:rFonts w:ascii="Calibri" w:hAnsi="Calibri" w:eastAsia="微软雅黑"/>
                <w:b w:val="0"/>
                <w:i w:val="0"/>
                <w:sz w:val="18"/>
              </w:rPr>
              <w:t>5754篇</w:t>
            </w:r>
          </w:p>
        </w:tc>
        <w:tc>
          <w:tcPr>
            <w:tcW w:type="dxa" w:w="2767"/>
          </w:tcPr>
          <w:p>
            <w:r/>
            <w:r>
              <w:rPr>
                <w:rFonts w:ascii="Calibri" w:hAnsi="Calibri" w:eastAsia="微软雅黑"/>
                <w:b w:val="0"/>
                <w:i w:val="0"/>
                <w:sz w:val="18"/>
              </w:rPr>
              <w:t>P4016</w:t>
            </w:r>
          </w:p>
        </w:tc>
      </w:tr>
      <w:tr>
        <w:tc>
          <w:tcPr>
            <w:tcW w:type="dxa" w:w="2767"/>
          </w:tcPr>
          <w:p>
            <w:r/>
            <w:r>
              <w:rPr>
                <w:rFonts w:ascii="Calibri" w:hAnsi="Calibri" w:eastAsia="微软雅黑"/>
                <w:b w:val="0"/>
                <w:i w:val="0"/>
                <w:sz w:val="18"/>
              </w:rPr>
              <w:t>2019</w:t>
            </w:r>
          </w:p>
        </w:tc>
        <w:tc>
          <w:tcPr>
            <w:tcW w:type="dxa" w:w="2767"/>
          </w:tcPr>
          <w:p>
            <w:r/>
            <w:r>
              <w:rPr>
                <w:rFonts w:ascii="Calibri" w:hAnsi="Calibri" w:eastAsia="微软雅黑"/>
                <w:b w:val="0"/>
                <w:i w:val="0"/>
                <w:sz w:val="18"/>
              </w:rPr>
              <w:t>41550篇</w:t>
            </w:r>
          </w:p>
        </w:tc>
        <w:tc>
          <w:tcPr>
            <w:tcW w:type="dxa" w:w="2767"/>
          </w:tcPr>
          <w:p>
            <w:r/>
            <w:r>
              <w:rPr>
                <w:rFonts w:ascii="Calibri" w:hAnsi="Calibri" w:eastAsia="微软雅黑"/>
                <w:b w:val="0"/>
                <w:i w:val="0"/>
                <w:sz w:val="18"/>
              </w:rPr>
              <w:t>P4012</w:t>
            </w:r>
          </w:p>
        </w:tc>
      </w:tr>
      <w:tr>
        <w:tc>
          <w:tcPr>
            <w:tcW w:type="dxa" w:w="2767"/>
          </w:tcPr>
          <w:p>
            <w:r/>
            <w:r>
              <w:rPr>
                <w:rFonts w:ascii="Calibri" w:hAnsi="Calibri" w:eastAsia="微软雅黑"/>
                <w:b w:val="0"/>
                <w:i w:val="0"/>
                <w:sz w:val="18"/>
              </w:rPr>
              <w:t>2020</w:t>
            </w:r>
          </w:p>
        </w:tc>
        <w:tc>
          <w:tcPr>
            <w:tcW w:type="dxa" w:w="2767"/>
          </w:tcPr>
          <w:p>
            <w:r/>
            <w:r>
              <w:rPr>
                <w:rFonts w:ascii="Calibri" w:hAnsi="Calibri" w:eastAsia="微软雅黑"/>
                <w:b w:val="0"/>
                <w:i w:val="0"/>
                <w:sz w:val="18"/>
              </w:rPr>
              <w:t>42935篇</w:t>
            </w:r>
          </w:p>
        </w:tc>
        <w:tc>
          <w:tcPr>
            <w:tcW w:type="dxa" w:w="2767"/>
          </w:tcPr>
          <w:p>
            <w:r/>
            <w:r>
              <w:rPr>
                <w:rFonts w:ascii="Calibri" w:hAnsi="Calibri" w:eastAsia="微软雅黑"/>
                <w:b w:val="0"/>
                <w:i w:val="0"/>
                <w:sz w:val="18"/>
              </w:rPr>
              <w:t>P4011</w:t>
            </w:r>
          </w:p>
        </w:tc>
      </w:tr>
      <w:tr>
        <w:tc>
          <w:tcPr>
            <w:tcW w:type="dxa" w:w="2767"/>
          </w:tcPr>
          <w:p>
            <w:r/>
            <w:r>
              <w:rPr>
                <w:rFonts w:ascii="Calibri" w:hAnsi="Calibri" w:eastAsia="微软雅黑"/>
                <w:b w:val="0"/>
                <w:i w:val="0"/>
                <w:sz w:val="18"/>
              </w:rPr>
              <w:t>2021</w:t>
            </w:r>
          </w:p>
        </w:tc>
        <w:tc>
          <w:tcPr>
            <w:tcW w:type="dxa" w:w="2767"/>
          </w:tcPr>
          <w:p>
            <w:r/>
            <w:r>
              <w:rPr>
                <w:rFonts w:ascii="Calibri" w:hAnsi="Calibri" w:eastAsia="微软雅黑"/>
                <w:b w:val="0"/>
                <w:i w:val="0"/>
                <w:sz w:val="18"/>
              </w:rPr>
              <w:t>324篇</w:t>
            </w:r>
          </w:p>
        </w:tc>
        <w:tc>
          <w:tcPr>
            <w:tcW w:type="dxa" w:w="2767"/>
          </w:tcPr>
          <w:p>
            <w:r/>
            <w:r>
              <w:rPr>
                <w:rFonts w:ascii="Calibri" w:hAnsi="Calibri" w:eastAsia="微软雅黑"/>
                <w:b w:val="0"/>
                <w:i w:val="0"/>
                <w:sz w:val="18"/>
              </w:rPr>
              <w:t>P4021</w:t>
            </w:r>
          </w:p>
        </w:tc>
      </w:tr>
    </w:tbl>
    <w:p>
      <w:r>
        <w:rPr>
          <w:rFonts w:ascii="Calibri" w:hAnsi="Calibri" w:eastAsia="微软雅黑"/>
          <w:b w:val="0"/>
          <w:i w:val="0"/>
          <w:sz w:val="22"/>
        </w:rPr>
        <w:t>分卷中的样本案件把第三层的资金链与合同链画像补齐了。河南洛阳灵山案是最完整的一个：2013年12月3日双方签订塑石假山工程合同、造价按实际钢丝网片面积188元/㎡计算，2014年1月23日又签补充协议将温泉汤池工程按水池外围投影面积2000元/㎡结算，施工中因业主未提供设计图纸，5D电影院、儿童智慧城等园林景观及35项零星工程陆续交由同一施工方但未逐项签订书面合同，实际采取边设计、边施工、完工一处验收一处的方式，2014年11月工程全部完工交付（P4014）。账目随后彻底失控：施工方决算认定温泉假山、水上娱乐园假山、5D电影院、捉鱼城四项工程总造价8902476.4元，业主累计已付7432708元、尚欠1469768元（P4014）；温泉汤池、马车屋、树屋及23项零星工程经2014年11月18日与2015年5月22日两份结算单确认总价款12702400元（P4014）；另有12项零星工程总造价1017870元未经结算——三项合计即施工方主张的欠款总额15190038.4元（own_calc：1469768+12702400+1017870=15190038），诉讼中施工方因业主无力支付、为求快裁只主张结算单确认的12702400元、自行放弃2487638.4元（P4014）——一家施工方宁可放弃2487638.4元债权换取快裁（P4014），第三层的现金流压力由此可见。这个案例对设计院转型EPC的警示尤其直接：灵山案的业主未提供设计图纸、施工方边设计边施工，恰是EPC模式在缺乏设计主导方统筹时的溃败样本——当「设计」缺位而「施工」单兵突进，工程量与价款的失控几乎是结构性的；省院以设计为根基进入总承包，本应以设计统筹抑制这种失控，这也正是设计院系做EPC的立身之本与卖点所在。浙江引拓案显示了另一种失控——涉案工程款总计769734元、其中税金100400元，该案经湖州中院二审、浙江高院再审审查，施工方一审自认2015年1月27日之前已收57万元、2016年3月10日又收15万元，法院据此认定承包人已付共计72万元、超过不含税工程款数额，并因施工方未举证税金损失实际发生而驳回再审（P4013）。新乡一建案展示了违法分包的典型链条：三浦公司与一建公司2012年5月25日、10月15日分别签订发酵车间与空压站两份施工合同，两合同第三部分第十一项38.1均约定「本工程不允许分包」，但2013年5月31日一建公司工作人员李俊科——他曾在主合同上以一建公司委托代理人身份签名——以个人名义与刘春新签订铝合金窗施工合同，完工核算价315628元、已付40000元，欠条载明275000元，刘春新2015年5月28日起诉，主张李俊科系一建公司员工、工程款结算均与其进行（P4015）——「不允许分包」条款挡不住内部人的个人行为，表见代理与责任归属随即成为争点。中铁六局脚手架案则揭示央企项目部的凭证管理困境：茂湛铁路工程第一项目部租用脚手架，2012年11月15日投入使用、约定用至2013年5月31日，2013年5月24日双方结算确认租金合计246254元，2013年6月21日施工方申请付款并按对方要求到国税局开具发票，三天后的6月24日双方补签名为租赁协议、实为付款协议的文件，当天支付146254元、尚欠100000元，纠纷中还牵出225万元劳务费的发票争议（P4017）——发票与付款的顺序之争，把央企项目部与个体出租方同时拖入诉累。</w:t>
      </w:r>
    </w:p>
    <w:p>
      <w:r>
        <w:rPr>
          <w:rFonts w:ascii="Calibri" w:hAnsi="Calibri" w:eastAsia="微软雅黑"/>
          <w:b w:val="0"/>
          <w:i w:val="0"/>
          <w:sz w:val="22"/>
        </w:rPr>
        <w:t>链条末端与对手方资质的样本同样重要。湖南凤凰县堡坎案里，2014年4月业主们请施工方砌堡坎、约定全包每立方米280元，2014年底完工时共砌790多立方米石方、当时只付4万元，尚欠182415.2元引发诉讼，多名被告在庭上互相否认合伙关系与付款责任（P4016）。广东佛山陈松何案呈现完整的转包链：丰溪公司承接工程后非法分包给王祺、王祺再违法分包给余建盛，2010年10月至12月底施工方为余建盛勾土，2011年9月14日双方签订付款协议确认尚欠工程款62100元、分二期还款，到期未付成讼，丰溪公司当庭辩称与余建盛无合同关系、对欠款无法确认（P4020）。上海禧诚案揭示对手方资本实力的底线：这家装饰公司2011年5月由朱斌与浦方方夫妻共同设立，认缴注册资本仅50万元、朱斌持股90％、浦方方持股10％，2021年4月法定代表人变更为朱建华，申请执行人依生效判决申请执行时发现公司名下无任何财产可供执行，2021年9月27日听证转而申请追加夫妻股东为被执行人（P4021）。浙江乐清谢祥灯案展示了证据战争的成本：一宗2005年2月发包的民宅包工包料工程，2006年1月27日业主累计支付455000元工程款并取得载明「工程款已全部结清」的收条，此后历经造价鉴定、多家机构笔迹鉴定结论相互矛盾、发回重审，直到二审仍在争收条真伪（P4023）——程序把一笔小工程拖成了数年诉讼。程序性成本同样真实：建设工程施工合同纠纷按不动产纠纷确定管辖（P4011所示黑龙江省大兴安岭地区中级人民法院2020年12月1日终审裁定，工程地在马伦村、法院驳回按公司住所地移送的主张），异地应诉与执行是第三层玩家的常态成本；撤诉也非免费——一案按撤诉处理后案件受理费3914元减半收取1957元，另一案受理费16347元减半收取8173.50元（P4018），装饰公司之间的同类纠纷亦以撤诉收场（P4018）；还有案件因未在七日内预交受理费而按撤诉处理（P4012）。分卷口径的长尾性也需如实指出：2010年分卷首案即上述民宅收条之争（P4023），「EPC相关」检索口径会捞进大量与电力设计院无关的长尾案件，用它度量任何单一机构都需打折。把样本连起来看，第三层的画像清晰：合同界面粗放、税金与付款凭证管理随意、对手方资本金稀薄、程序成本琐碎——胜诉判决的含金量天然存疑。行业对此的知识供给已系统化：《工程总承包（EPC/DB）争议解决实战攻略》的目录覆盖EPC+O模式解析、PPP+EPC政府方投资控制、2017版银皮书的合同终止价格、DAAB争端解决机制、联合体成员诉讼仲裁路径、不平衡报价应对、设计失误与设计缺陷的责任分配、广东某火电扩建EPC停工索赔案、限额设计、材料涨价遭遇固定价格的调差僵局、固定总价结算后重新结算等专题（P4033）——这份清单几乎逐条对应第三层的失血点，也逐条对应第二层省院该建的内控。值得注意的是，这份清单把「设计」放进了争议中心——设计失误的责任分担、设计缺陷下设计人如何担责、限额设计未按约如何处理，都是设计院转型总承包后新增的法律暴露面，传统设计合同时代并无此类争点；省院读这份目录，读到的不是别人的故事，而是自己转型路上的风险地图。</w:t>
      </w:r>
    </w:p>
    <w:p>
      <w:r>
        <w:rPr>
          <w:rFonts w:ascii="Calibri" w:hAnsi="Calibri" w:eastAsia="微软雅黑"/>
          <w:b/>
          <w:i w:val="0"/>
          <w:sz w:val="22"/>
        </w:rPr>
        <w:t>对买方的含义（So what）：</w:t>
      </w:r>
      <w:r>
        <w:rPr>
          <w:rFonts w:ascii="Calibri" w:hAnsi="Calibri" w:eastAsia="微软雅黑"/>
          <w:b w:val="0"/>
          <w:i w:val="0"/>
          <w:sz w:val="22"/>
        </w:rPr>
        <w:t>把裁判文书检索写进尽调标准动作——查目标院及其常用分包商的涉诉记录，重点看业主界面与分包界面两个口径；把「对手方资本实力」写进合同审查——禧诚案50万元注册资本与零财产可供执行的对照（P4021）说明，对分包商的付款担保要求应与其资本实力挂钩；把灵山案的教训写进合同架构——边设计边施工模式下必须逐项签订书面合同并定期对账签证，否则灵山案8902476.4元级别的账目会在两年内滑向失控（P4014）；把「不允许分包」条款配上项目现场的人员核查——一建案显示一纸禁令挡不住内部人的个人行为（P4015）。对省院自身而言，第三层管理能力就是第二层竞争力：安徽院的四案（P4005、P4007、P4008、P4010）与灵山案、引拓案、脚手架案（P4014、P4013、P4017）共同标出了这门功课的考点；买方在与省院的总包合同里，也应要求其对关键分包设置资信门槛与过程对账机制，把第三层的失血点提前堵在签约桌上。一句话收束本节：第三层的每一个失血点，都是第二层的每一个扣分项、第一层的每一个声誉折价——承压层从不独自承压，这正是四层结构「风险自下而上传导」最直观的注脚。</w:t>
      </w:r>
    </w:p>
    <w:p>
      <w:pPr>
        <w:pStyle w:val="Heading2"/>
      </w:pPr>
      <w:r>
        <w:t>4.5 川院位次：证据允许说到哪里，买方应该做什么</w:t>
      </w:r>
    </w:p>
    <w:p>
      <w:r>
        <w:rPr>
          <w:rFonts w:ascii="Calibri" w:hAnsi="Calibri" w:eastAsia="微软雅黑"/>
          <w:b w:val="0"/>
          <w:i w:val="0"/>
          <w:sz w:val="22"/>
        </w:rPr>
        <w:t>综合四层证据，本章对川院的位次判定如下——结构性判定，分三条。第一条，层位：川院（全称四川电力设计咨询有限责任公司，业界通称中国电建四川院）位于四层结构的第二层，即省级电力设计院层，与其构成同层竞跑关系的是安徽院、山西院、新疆院等能建系省院及上海院等同规格机构（P4002、P4001、P4005、P4000）。第二条，背书：其资源天花板由第一层的电建集团平台决定——该平台是证券代码601669的上市公司（P4030），其信用可核验、其风险条目可翻译；出海通道同样系于集团，中亚三个样本项目的业主与总包方均为集团级主体（P4006）。第三条，脚下：其履约风险结构取决于第三层分包生态的行业纠纷温度——EPC相关裁判文书十一个年份分卷合计约129505篇的量级（own_calc，算式见本章第四节，P4011—P4023）意味着任何省院都运行在高纠纷密度的环境中，川院不例外；库内未检出川院涉诉判决标题，但受抽样与公开口径双重限制，这既不证明其涉诉少，也不构成零纠纷证明（如实声明）。据此，「第二层中坚、电建系西南接口」是本章证据能支撑的完整表述：它既不是「西南唯一的院」，也不是「小设计院」，而是一个可定位、可核验、可跟踪的合作对象；它的竞争力应取「集团接口×属地纵深」的乘积口径评估，而非任何单项指标——集团接口决定它能撬动的项目量级（P4030、P4006），属地纵深决定它在区域招标中的转化率，两者相乘而非相加，因为任一项趋零则整体趋零。判定的证据边界与买方的替代动作汇总如下：</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评估维度</w:t>
            </w:r>
          </w:p>
        </w:tc>
        <w:tc>
          <w:tcPr>
            <w:tcW w:type="dxa" w:w="2075"/>
            <w:shd w:fill="1F3A5F"/>
          </w:tcPr>
          <w:p>
            <w:r>
              <w:rPr>
                <w:color w:val="FFFFFF"/>
              </w:rPr>
            </w:r>
            <w:r>
              <w:rPr>
                <w:rFonts w:ascii="Calibri" w:hAnsi="Calibri" w:eastAsia="微软雅黑"/>
                <w:b/>
                <w:i w:val="0"/>
                <w:color w:val="FFFFFF"/>
                <w:sz w:val="18"/>
              </w:rPr>
              <w:t>本章可得证据</w:t>
            </w:r>
          </w:p>
        </w:tc>
        <w:tc>
          <w:tcPr>
            <w:tcW w:type="dxa" w:w="2075"/>
            <w:shd w:fill="1F3A5F"/>
          </w:tcPr>
          <w:p>
            <w:r>
              <w:rPr>
                <w:color w:val="FFFFFF"/>
              </w:rPr>
            </w:r>
            <w:r>
              <w:rPr>
                <w:rFonts w:ascii="Calibri" w:hAnsi="Calibri" w:eastAsia="微软雅黑"/>
                <w:b/>
                <w:i w:val="0"/>
                <w:color w:val="FFFFFF"/>
                <w:sz w:val="18"/>
              </w:rPr>
              <w:t>不可得指标</w:t>
            </w:r>
          </w:p>
        </w:tc>
        <w:tc>
          <w:tcPr>
            <w:tcW w:type="dxa" w:w="2075"/>
            <w:shd w:fill="1F3A5F"/>
          </w:tcPr>
          <w:p>
            <w:r>
              <w:rPr>
                <w:color w:val="FFFFFF"/>
              </w:rPr>
            </w:r>
            <w:r>
              <w:rPr>
                <w:rFonts w:ascii="Calibri" w:hAnsi="Calibri" w:eastAsia="微软雅黑"/>
                <w:b/>
                <w:i w:val="0"/>
                <w:color w:val="FFFFFF"/>
                <w:sz w:val="18"/>
              </w:rPr>
              <w:t>买方替代动作</w:t>
            </w:r>
          </w:p>
        </w:tc>
      </w:tr>
      <w:tr>
        <w:tc>
          <w:tcPr>
            <w:tcW w:type="dxa" w:w="2075"/>
          </w:tcPr>
          <w:p>
            <w:r/>
            <w:r>
              <w:rPr>
                <w:rFonts w:ascii="Calibri" w:hAnsi="Calibri" w:eastAsia="微软雅黑"/>
                <w:b w:val="0"/>
                <w:i w:val="0"/>
                <w:sz w:val="18"/>
              </w:rPr>
              <w:t>集团接口</w:t>
            </w:r>
          </w:p>
        </w:tc>
        <w:tc>
          <w:tcPr>
            <w:tcW w:type="dxa" w:w="2075"/>
          </w:tcPr>
          <w:p>
            <w:r/>
            <w:r>
              <w:rPr>
                <w:rFonts w:ascii="Calibri" w:hAnsi="Calibri" w:eastAsia="微软雅黑"/>
                <w:b w:val="0"/>
                <w:i w:val="0"/>
                <w:sz w:val="18"/>
              </w:rPr>
              <w:t>电建平台定期报告的治理与风险框架（P4030）</w:t>
            </w:r>
          </w:p>
        </w:tc>
        <w:tc>
          <w:tcPr>
            <w:tcW w:type="dxa" w:w="2075"/>
          </w:tcPr>
          <w:p>
            <w:r/>
            <w:r>
              <w:rPr>
                <w:rFonts w:ascii="Calibri" w:hAnsi="Calibri" w:eastAsia="微软雅黑"/>
                <w:b w:val="0"/>
                <w:i w:val="0"/>
                <w:sz w:val="18"/>
              </w:rPr>
              <w:t>集团对省院的实际注资、授信与内部通道</w:t>
            </w:r>
          </w:p>
        </w:tc>
        <w:tc>
          <w:tcPr>
            <w:tcW w:type="dxa" w:w="2075"/>
          </w:tcPr>
          <w:p>
            <w:r/>
            <w:r>
              <w:rPr>
                <w:rFonts w:ascii="Calibri" w:hAnsi="Calibri" w:eastAsia="微软雅黑"/>
                <w:b w:val="0"/>
                <w:i w:val="0"/>
                <w:sz w:val="18"/>
              </w:rPr>
              <w:t>查集团报告，并要求省院举证通道使用的既往实绩</w:t>
            </w:r>
          </w:p>
        </w:tc>
      </w:tr>
      <w:tr>
        <w:tc>
          <w:tcPr>
            <w:tcW w:type="dxa" w:w="2075"/>
          </w:tcPr>
          <w:p>
            <w:r/>
            <w:r>
              <w:rPr>
                <w:rFonts w:ascii="Calibri" w:hAnsi="Calibri" w:eastAsia="微软雅黑"/>
                <w:b w:val="0"/>
                <w:i w:val="0"/>
                <w:sz w:val="18"/>
              </w:rPr>
              <w:t>属地纵深</w:t>
            </w:r>
          </w:p>
        </w:tc>
        <w:tc>
          <w:tcPr>
            <w:tcW w:type="dxa" w:w="2075"/>
          </w:tcPr>
          <w:p>
            <w:r/>
            <w:r>
              <w:rPr>
                <w:rFonts w:ascii="Calibri" w:hAnsi="Calibri" w:eastAsia="微软雅黑"/>
                <w:b w:val="0"/>
                <w:i w:val="0"/>
                <w:sz w:val="18"/>
              </w:rPr>
              <w:t>川院作为同题调研五院之一，属地命题成立（P4002）</w:t>
            </w:r>
          </w:p>
        </w:tc>
        <w:tc>
          <w:tcPr>
            <w:tcW w:type="dxa" w:w="2075"/>
          </w:tcPr>
          <w:p>
            <w:r/>
            <w:r>
              <w:rPr>
                <w:rFonts w:ascii="Calibri" w:hAnsi="Calibri" w:eastAsia="微软雅黑"/>
                <w:b w:val="0"/>
                <w:i w:val="0"/>
                <w:sz w:val="18"/>
              </w:rPr>
              <w:t>川院在西南的市占率、业绩清单、复购率</w:t>
            </w:r>
          </w:p>
        </w:tc>
        <w:tc>
          <w:tcPr>
            <w:tcW w:type="dxa" w:w="2075"/>
          </w:tcPr>
          <w:p>
            <w:r/>
            <w:r>
              <w:rPr>
                <w:rFonts w:ascii="Calibri" w:hAnsi="Calibri" w:eastAsia="微软雅黑"/>
                <w:b w:val="0"/>
                <w:i w:val="0"/>
                <w:sz w:val="18"/>
              </w:rPr>
              <w:t>按属地逐单核对业主界面纠纷史与复购记录</w:t>
            </w:r>
          </w:p>
        </w:tc>
      </w:tr>
      <w:tr>
        <w:tc>
          <w:tcPr>
            <w:tcW w:type="dxa" w:w="2075"/>
          </w:tcPr>
          <w:p>
            <w:r/>
            <w:r>
              <w:rPr>
                <w:rFonts w:ascii="Calibri" w:hAnsi="Calibri" w:eastAsia="微软雅黑"/>
                <w:b w:val="0"/>
                <w:i w:val="0"/>
                <w:sz w:val="18"/>
              </w:rPr>
              <w:t>同层位次</w:t>
            </w:r>
          </w:p>
        </w:tc>
        <w:tc>
          <w:tcPr>
            <w:tcW w:type="dxa" w:w="2075"/>
          </w:tcPr>
          <w:p>
            <w:r/>
            <w:r>
              <w:rPr>
                <w:rFonts w:ascii="Calibri" w:hAnsi="Calibri" w:eastAsia="微软雅黑"/>
                <w:b w:val="0"/>
                <w:i w:val="0"/>
                <w:sz w:val="18"/>
              </w:rPr>
              <w:t>同层五院可横向对照（P4001、P4005、P4000）</w:t>
            </w:r>
          </w:p>
        </w:tc>
        <w:tc>
          <w:tcPr>
            <w:tcW w:type="dxa" w:w="2075"/>
          </w:tcPr>
          <w:p>
            <w:r/>
            <w:r>
              <w:rPr>
                <w:rFonts w:ascii="Calibri" w:hAnsi="Calibri" w:eastAsia="微软雅黑"/>
                <w:b w:val="0"/>
                <w:i w:val="0"/>
                <w:sz w:val="18"/>
              </w:rPr>
              <w:t>行业排名、营收规模等份额数据</w:t>
            </w:r>
          </w:p>
        </w:tc>
        <w:tc>
          <w:tcPr>
            <w:tcW w:type="dxa" w:w="2075"/>
          </w:tcPr>
          <w:p>
            <w:r/>
            <w:r>
              <w:rPr>
                <w:rFonts w:ascii="Calibri" w:hAnsi="Calibri" w:eastAsia="微软雅黑"/>
                <w:b w:val="0"/>
                <w:i w:val="0"/>
                <w:sz w:val="18"/>
              </w:rPr>
              <w:t>按纠纷界面横向检索，比结构不比宣传</w:t>
            </w:r>
          </w:p>
        </w:tc>
      </w:tr>
      <w:tr>
        <w:tc>
          <w:tcPr>
            <w:tcW w:type="dxa" w:w="2075"/>
          </w:tcPr>
          <w:p>
            <w:r/>
            <w:r>
              <w:rPr>
                <w:rFonts w:ascii="Calibri" w:hAnsi="Calibri" w:eastAsia="微软雅黑"/>
                <w:b w:val="0"/>
                <w:i w:val="0"/>
                <w:sz w:val="18"/>
              </w:rPr>
              <w:t>诉讼暴露</w:t>
            </w:r>
          </w:p>
        </w:tc>
        <w:tc>
          <w:tcPr>
            <w:tcW w:type="dxa" w:w="2075"/>
          </w:tcPr>
          <w:p>
            <w:r/>
            <w:r>
              <w:rPr>
                <w:rFonts w:ascii="Calibri" w:hAnsi="Calibri" w:eastAsia="微软雅黑"/>
                <w:b w:val="0"/>
                <w:i w:val="0"/>
                <w:sz w:val="18"/>
              </w:rPr>
              <w:t>行业纠纷温度计可测（P4011—P4023）</w:t>
            </w:r>
          </w:p>
        </w:tc>
        <w:tc>
          <w:tcPr>
            <w:tcW w:type="dxa" w:w="2075"/>
          </w:tcPr>
          <w:p>
            <w:r/>
            <w:r>
              <w:rPr>
                <w:rFonts w:ascii="Calibri" w:hAnsi="Calibri" w:eastAsia="微软雅黑"/>
                <w:b w:val="0"/>
                <w:i w:val="0"/>
                <w:sz w:val="18"/>
              </w:rPr>
              <w:t>川院自身涉诉量与案由结构</w:t>
            </w:r>
          </w:p>
        </w:tc>
        <w:tc>
          <w:tcPr>
            <w:tcW w:type="dxa" w:w="2075"/>
          </w:tcPr>
          <w:p>
            <w:r/>
            <w:r>
              <w:rPr>
                <w:rFonts w:ascii="Calibri" w:hAnsi="Calibri" w:eastAsia="微软雅黑"/>
                <w:b w:val="0"/>
                <w:i w:val="0"/>
                <w:sz w:val="18"/>
              </w:rPr>
              <w:t>用更全口径司法数据库补验</w:t>
            </w:r>
          </w:p>
        </w:tc>
      </w:tr>
      <w:tr>
        <w:tc>
          <w:tcPr>
            <w:tcW w:type="dxa" w:w="2075"/>
          </w:tcPr>
          <w:p>
            <w:r/>
            <w:r>
              <w:rPr>
                <w:rFonts w:ascii="Calibri" w:hAnsi="Calibri" w:eastAsia="微软雅黑"/>
                <w:b w:val="0"/>
                <w:i w:val="0"/>
                <w:sz w:val="18"/>
              </w:rPr>
              <w:t>细分准入</w:t>
            </w:r>
          </w:p>
        </w:tc>
        <w:tc>
          <w:tcPr>
            <w:tcW w:type="dxa" w:w="2075"/>
          </w:tcPr>
          <w:p>
            <w:r/>
            <w:r>
              <w:rPr>
                <w:rFonts w:ascii="Calibri" w:hAnsi="Calibri" w:eastAsia="微软雅黑"/>
                <w:b w:val="0"/>
                <w:i w:val="0"/>
                <w:sz w:val="18"/>
              </w:rPr>
              <w:t>核电等高壁垒赛道的门槛独立存在（P4019）</w:t>
            </w:r>
          </w:p>
        </w:tc>
        <w:tc>
          <w:tcPr>
            <w:tcW w:type="dxa" w:w="2075"/>
          </w:tcPr>
          <w:p>
            <w:r/>
            <w:r>
              <w:rPr>
                <w:rFonts w:ascii="Calibri" w:hAnsi="Calibri" w:eastAsia="微软雅黑"/>
                <w:b w:val="0"/>
                <w:i w:val="0"/>
                <w:sz w:val="18"/>
              </w:rPr>
              <w:t>川院各细分资质明细与准入清单</w:t>
            </w:r>
          </w:p>
        </w:tc>
        <w:tc>
          <w:tcPr>
            <w:tcW w:type="dxa" w:w="2075"/>
          </w:tcPr>
          <w:p>
            <w:r/>
            <w:r>
              <w:rPr>
                <w:rFonts w:ascii="Calibri" w:hAnsi="Calibri" w:eastAsia="微软雅黑"/>
                <w:b w:val="0"/>
                <w:i w:val="0"/>
                <w:sz w:val="18"/>
              </w:rPr>
              <w:t>查资质证书原件与业绩备案</w:t>
            </w:r>
          </w:p>
        </w:tc>
      </w:tr>
    </w:tbl>
    <w:p>
      <w:r>
        <w:rPr>
          <w:rFonts w:ascii="Calibri" w:hAnsi="Calibri" w:eastAsia="微软雅黑"/>
          <w:b w:val="0"/>
          <w:i w:val="0"/>
          <w:sz w:val="22"/>
        </w:rPr>
        <w:t>把川院放回同层对照组，还能读出一组容易被忽略的序列差异。本报告证据库里的能建系省院——安徽院、山西院、新疆院——其全称直接冠以「中国能源建设集团」（P4001、P4005），意味着它们在集团组织体系内的身份是显性的、可从名称核验的；川院的「中国电建四川院」通称同样指向电建序列，但库内未见其与电建集团股权关系的直接表述，本报告按业界通称处理并留白（见盲区）。这组差异对买方的实际影响在授权链条：与显性序列内的省院签约，集团品牌的背书传导更直接，纠纷时的责任主体链条也更清晰；而无论哪一种，判断省院承诺的集团支持是否可信，最终都要回到4.2节的可核验入口——集团定期报告框架（P4030）与集团级项目序列（P4006）——而不是省院自己的转述。同层对照还提示一个观察角度：能建系省院在本章证据中的存在感主要通过诉讼标题呈现（P4001、P4005、P4007、P4008、P4010），这不意味着能建系省院管理更差——正如4.4节反复强调的，抽样与口径决定可见性；但它确实说明，公开司法记录是同层机构之间少数人人可查的平行数据，买方应当用它，也应当只用它回答它能回答的问题。至于上海院的留白，处理逻辑同样原则化：当证据不足以断言一家机构的集团归属时，把它作为「同规格机构」而非「同序列机构」使用——规格可比性（省级电力设计院、同一调研命题）不依赖股权关系成立，而序列层面的比较则暂缓，待证据补齐后再进入框架。</w:t>
      </w:r>
    </w:p>
    <w:p>
      <w:r>
        <w:rPr>
          <w:rFonts w:ascii="Calibri" w:hAnsi="Calibri" w:eastAsia="微软雅黑"/>
          <w:b w:val="0"/>
          <w:i w:val="0"/>
          <w:sz w:val="22"/>
        </w:rPr>
        <w:t>位次判定还需要使用说明。其一，说川院是「第二层中坚」不等于它在每个细分都居中坚：在水电富集的西南属地市场，它的属地纵深权重更高；在核电EPC这类高壁垒细分（P4019），它与多数省院一样在门外；在海外赛道，它更可能以集团跟团者而非独立承包商身份出现（P4006所示的出海结构）。位次是期望值而非分布——具体到某个项目，仍要回到本章首节的三问逐单校准。其二，判定不是一次性结论，应预设更新触发器：集团定期报告出现结构性变化时（P4030），第二层机构的接口价值需要重估；沙戈荒大基地配套调峰电源从首例走向普及时（P4009），各层增量分配规则会重写；司法数据口径恢复或补充后（P4011—P4023所示分卷的局限被填补），诉讼暴露面的对照需要重算。其三，判定应随证据升级而升级：本章的结构性判断建立在标题级与叙事级证据之上，一旦裁判文书正文、集团报告正文、川院自身经营数据可用，判定应从结构层落到财务层，从「坐标」升级为「刻度」——届时「集团接口×属地纵深」的乘积口径可直接展开为量化排序的变量框架，而各层证据入口（P4030的定期报告、P4006的央企叙事、P4011—P4023的裁判文书）就是数据补采的现成路线。换句话说，本章的位次判定是可维护的资产而非一次性的结论：买方按季度重读集团报告、按年度重扫司法口径、按项目逐单核对属地记录，判定的三根支柱就能持续刷新，而不必等待任何权威榜单发布。</w:t>
      </w:r>
    </w:p>
    <w:p>
      <w:r>
        <w:rPr>
          <w:rFonts w:ascii="Calibri" w:hAnsi="Calibri" w:eastAsia="微软雅黑"/>
          <w:b/>
          <w:i w:val="0"/>
          <w:sz w:val="22"/>
        </w:rPr>
        <w:t>对买方的含义（So what）：</w:t>
      </w:r>
      <w:r>
        <w:rPr>
          <w:rFonts w:ascii="Calibri" w:hAnsi="Calibri" w:eastAsia="微软雅黑"/>
          <w:b w:val="0"/>
          <w:i w:val="0"/>
          <w:sz w:val="22"/>
        </w:rPr>
        <w:t>把川院放进供应商地图时，正确的坐标是「电建系西南接口+省级院中坚」。签约前重点尽调三件事：其一，集团资源调用实绩（而非可能性）——要求举证以往项目中集团授信、装备采购或海外通道的实际使用记录，可核验的入口是集团定期报告框架（P4030）；其二，目标项目所在省的属地履约记录——按本章第四节口径核对它与业主、分包商两个界面的纠纷史（P4005式检索）；其三，分包商名单与集中度——按安徽院样本的逻辑（P4007、P4008、P4010），识别是否存在单一分包商多界面涉诉的网络型风险。本章位次判定买的是「确定性」——四层位置、集团挂靠、同层竞跑与诉讼暴露四项都是证据可支撑的硬事实；买方需要付溢价去甄别的，是判定之外的软变量——管理层履约文化、分包商关系健康度、集团内部实际通道——这些恰是本章证据库覆盖不到的部分，需要现场尽调补足。还应注意位次判定的时间属性：本章证据横跨裁判文书时代与叙事时代，两者更新节奏不同——司法记录滞后于经营动作，央企叙事又领先于订单落地，买方在套用判定时应给每类证据配一个时效折价，把「结构不变、数据在变」作为默认假设，用持续检索代替一次性结论。最后提醒一个使用禁忌：不要把结构性判定当作压价工具——位次说的是合作形态与风险结构，不是报价高低的依据；用「你只是第二层」压价的买方，最终吸引到的只会是第三层式的合作者，反噬仍在合同链上（P4021所示的对手方脆弱性即其极端形态）。</w:t>
      </w:r>
    </w:p>
    <w:p>
      <w:pPr>
        <w:pStyle w:val="Heading2"/>
      </w:pPr>
      <w:r>
        <w:t>4.6 本章小结与盲区</w:t>
      </w:r>
    </w:p>
    <w:p>
      <w:r>
        <w:rPr>
          <w:rFonts w:ascii="Calibri" w:hAnsi="Calibri" w:eastAsia="微软雅黑"/>
          <w:b w:val="0"/>
          <w:i w:val="0"/>
          <w:sz w:val="22"/>
        </w:rPr>
        <w:t>本章小结有四条。第一，电力设计院系的竞争格局可拆为四层——集团平台层、省级设计院层、分包生态层与业主型央企层；资源自上而下流动、风险自下而上传导，任何一家设计院的真实竞争力由层内位置与跨层接口共同决定，且结构处于持续重排之中（P4026）。第二，第一层与第四层设定了省院的天花板与客户地图：电建平台的上市公司信用与风险披露框架可核验（P4030），电建、能建在中亚承接兆瓦级到吉瓦级项目显示海外巨型项目的集团主导格局（P4006），业主型央企的新品类动作（沙戈荒配套调峰电源投产，P4009）持续改写需求端。第三，第二层的同层竞跑以合同管理与体系落地为胜负手：安徽院四案与新疆院设计合同纠纷标出省院的两大纠纷界面（P4005、P4007、P4008、P4010、P4001），过程控制与争议解决的知识体系已成文（P4029、P4033），核电等高壁垒细分构成分赛道的准入门槛（P4019）。第四，第三层是竞争压力的承压层：EPC相关裁判文书分卷十一个年份合计约129505篇（own_calc，算式见本章第四节，P4011—P4023），样本案件显示合同粗放、税金与凭证管理随意、对手方资本稀薄三大病灶（P4014、P4013、P4015、P4017、P4021）。川院的位次判定为「第二层中坚、电建系西南接口」，竞争力按「集团接口×属地纵深」的乘积口径评估；买方动作浓缩为三问三查——问层位、问背书、问脚下；查集团授权实绩、查两界面纠纷史、查分包网络集中度。方法论上，本章同时给出三条人人可复用的证据入口：定期报告读集团（P4030）、央企叙事读出海（P4006）、裁判文书读纠纷（P4011—P4023）——竞争格局的监测不必依赖任何内部消息，只依赖公开证据的持续重读。本章与相邻各章的分工也在此交代：位次判定的财务深化交给财务透视一章，判例风险的展开交给风险档案一章，海外规则的细读交给国际对标一章——本章交付的是地图与坐标，后续各章在地图上填充图层。</w:t>
      </w:r>
    </w:p>
    <w:p>
      <w:r>
        <w:rPr>
          <w:rFonts w:ascii="Calibri" w:hAnsi="Calibri" w:eastAsia="微软雅黑"/>
          <w:b w:val="0"/>
          <w:i w:val="0"/>
          <w:sz w:val="22"/>
        </w:rPr>
        <w:t>本章证据盲区与不确定处，如实声明如下。其一，川院自身的经营数据——营收、净利润、新签合同额、装机业绩、行业排名——未进入本章证据库，位次判定只能是结构性的，无法落到财务与份额刻度；任何关于川院具体名次的量化表述在本章证据边界内不成立。其二，中国电建2026年半年度报告在库内仅见封面、目录与责任声明层内容（P4030），营收、新签合同、分部经营数据均未入库，本章无法量化集团对省院的支持力度；且该报告未经审计（P4030），引用其治理框架时应保留这一属性。其三，裁判文书分卷计数为分卷口径而非全口径：2011年分卷缺失，2021年分卷骤降至324篇（P4021）、与2020年42935篇（P4011）相比近乎归零，骤降更可能源于文书公开口径变化而非纠纷降温，因果无法在库内核验；且分卷抽样案件的主体多为通用建筑企业而非电力设计院（民宅、堡坎、装饰装修等案由混杂其中，P4023、P4016、P4021），用作「电力设计院涉诉量」会系统性失真——本章仅将其用作行业纠纷温度计。其四，「四层结构」为本报告自建分析框架，行业并无官方四层分类；层间边界的个别归属（如上海电力设计院的集团归属、川院与电建集团的股权关系表述）在库内无表述，本章留白不断言。其五，安徽院、新疆院等涉诉文书的正文为二进制格式，案情细节、涉案金额与裁判结果无法核验（P4001、P4005、P4007、P4008、P4010），涉诉叙述均为标题级而非量化。其六，中亚项目群的产能与减排数据（札纳塔斯、谢列克、布哈拉，P4006）均来自央企叙事文本，未经独立审计口径核验，作为能力证明使用时应保留意见。其七，库内未检出川院涉诉判决标题，受抽样与公开口径双重限制，不构成零纠纷证明，相关判断待更全口径司法数据补验。其八，样本案件的时间跨度较长，其间工程造价计价规范、司法解释与利率环境均有变化，跨期案件的金额与裁判口径不宜直接横向比较，本章引用均为个案事实而非基准数据。上述八条盲区同时构成本章的后续作业清单：补齐川院财务与业绩口径、穿透集团报告正文、接入更全的司法数据库，是把本章结构性判定升级为量化位次排序的三个前置条件。</w:t>
      </w:r>
    </w:p>
    <w:p>
      <w:r>
        <w:rPr>
          <w:rFonts w:ascii="Calibri" w:hAnsi="Calibri" w:eastAsia="微软雅黑"/>
          <w:b w:val="0"/>
          <w:i w:val="0"/>
          <w:sz w:val="22"/>
        </w:rPr>
        <w:t>---</w:t>
      </w:r>
    </w:p>
    <w:p>
      <w:pPr>
        <w:pStyle w:val="Heading1"/>
      </w:pPr>
      <w:r>
        <w:t>第5章 财务透视：营收、净利与应收账款现金流真相</w:t>
      </w:r>
    </w:p>
    <w:p>
      <w:pPr>
        <w:ind w:left="454"/>
      </w:pPr>
      <w:r>
        <w:rPr>
          <w:rFonts w:ascii="Calibri" w:hAnsi="Calibri" w:eastAsia="微软雅黑"/>
          <w:b w:val="0"/>
          <w:i w:val="0"/>
          <w:color w:val="666666"/>
          <w:sz w:val="22"/>
        </w:rPr>
        <w:t>电建2025年年报给四川电力设计咨询有限责任公司只留下三行可核验数字：总资产96.5亿元、净资产11.8亿元、净利润-7.35亿元，勘测设计序列唯一亏损（P5000）。本章以这三行数字为轴，交叉对照同表十五家兄弟设计院、十二卷EPC裁判文书与储能EPC价格带，把可核验与不可核验的财务真相分开说清。</w:t>
      </w:r>
    </w:p>
    <w:p>
      <w:pPr>
        <w:pStyle w:val="Heading2"/>
      </w:pPr>
      <w:r>
        <w:t>一、家底三行数：电建年报口径下的四川院</w:t>
      </w:r>
    </w:p>
    <w:p>
      <w:r>
        <w:rPr>
          <w:rFonts w:ascii="Calibri" w:hAnsi="Calibri" w:eastAsia="微软雅黑"/>
          <w:b w:val="0"/>
          <w:i w:val="0"/>
          <w:sz w:val="22"/>
        </w:rPr>
        <w:t>任何一份针对四川电力设计咨询有限责任公司（下称"四川院"）的商业尽调，起点都应当是中国电力建设股份有限公司（公司代码601669，P5021）年度报告中的分部披露。2026-04-24，中国电建2025年年度报告在上交所披露（P5000），其第34-36页"主要控股参股公司分析"（P5000）以"主要子公司及对公司净利润达10%以上的参股公司情况"表（P5000，单位：万元、币种：人民币）逐行列示主要子公司财务概要。四川院一行显示：公司类型为子公司，主要业务为勘测设计，注册资本80,000.00、总资产965,067.09、净资产117,834.36、净利润-73,467.86（均P5000，表内单位为万元）。折成常用口径，即总资产约96.5亿元、净资产约11.8亿元、净利润约-7.35亿元（P5000）。这张表的入选资格本身就是一个信息：上市公司只把"主要子公司及对净利润影响达10%以上的参股公司"放进这张表（P5000），四川院以-73,467.86（P5000，万元）的净利润入列，说明其对母公司合并利润表的影响足够重大——一家子公司亏掉7.35亿元（P5000）仍稳坐重要子公司清单，这个事实本身就是风险规模的旁证。还须提醒一个容易误读的地方：对设计咨询类公司，"总资产"的含金量与制造业完全不同，其中既有现金与应收债权，也可能堆着合同资产、存货与各类减值敏感科目，而三行数口径不提供任何结构信息，把96.5亿元（P5000）简单理解为"家底厚实"是危险的读法。买方必须先记住：这已经是公开渠道能拿到的、关于四川院财务状况的最完整截面——三行资产负债与损益数字，没有营业收入，没有应收账款，没有现金流量表，也没有任何关于亏损构成的附注。本章后续所有分析，都是在这三行数字的约束下展开的。约束之下也有方法论的红利：正因为可用数字极少，每一个数字的权重都被放大，任何一处口径误差都可能扭曲全局判断——所以本章把"折合""约""own_calc"的标签用到近乎繁琐的程度，宁可牺牲行文流畅，也不给四舍五入留下冒充原文的空间。本章体例随之定型：万元口径数字保留年报原样的千分位写法、单位在括注中说明；比率一律以小数或算式形态给出（0.10即一成）；凡派生值必随附own_calc算式与P锚——三重约定均为机器锚点核验与人工复核的双重可审计性服务。读者在转引本章数字时请保持同样的洁癖：原文数、派生数、区间数各归各位，一旦混用，这张只有三行数字的地基就会迅速被沙化。</w:t>
      </w:r>
    </w:p>
    <w:p>
      <w:r>
        <w:rPr>
          <w:rFonts w:ascii="Calibri" w:hAnsi="Calibri" w:eastAsia="微软雅黑"/>
          <w:b w:val="0"/>
          <w:i w:val="0"/>
          <w:sz w:val="22"/>
        </w:rPr>
        <w:t>以这三行数字做静态测算，可以派生出四个更有决策含量的指标。负债总额＝总资产−净资产＝965,067.09−117,834.36＝847,232.73（own_calc，基于P5000，单位：万元）；资产负债率＝847,232.73÷965,067.09，约0.878（own_calc，基于P5000）；净利润与净资产之比＝-73,467.86÷117,834.36，约-0.623（own_calc，基于P5000），意味着2025年度的亏损在账面上吞噬了净资产的约六成；总资产相当于注册资本的965,067.09÷80,000，约12.06（own_calc，基于P5000）。四个指标合起来是一幅清晰的画像：一家以8亿元注册资本（P5000）撬动近百亿元资产的高杠杆经营主体，在报告年度出现了相当于自身净资产三分之二的巨额亏损。对资产负债率还要多说一句：工程企业的负债里通常混着两类性质截然不同的钱——一类是对上下游的经营性占款（应付分包款、预收工程款），另一类是有息金融负债，前者的挤压对象是供应商与分包商，后者的挤压对象是银行与债券持有人；三行数口径无法拆分这笔总额847,232.73（own_calc，基于P5000，单位：万元）的负债的内部结构，因此对"杠杆风险落在谁头上"这个问题，买方只能保守地按"两类都可能存在"来做压力预案。会计层面同样有一个读数限制：净利润是收入扣除成本、费用、税金与减值损失等全部项目后的综合结果（此处为会计常识性说明，非源内数字），三行数无法拆分其中有多少来自经营性亏损、多少来自资产减值或一次性计提——但买方可以用"亏损÷净资产≈-0.623"（own_calc：-73,467.86÷117,834.36，基于P5000）这个比值作为股东权益消耗速度的压力测试起点。对交易对手而言，这些不是抽象的财务比率——它们直接决定你该不该接受这家公司的商票、该给多长的账期、该不该在合同里抬高履约担保与预付款比例。授信操作层面的建议是：把约0.878的资产负债率与约-0.623的权益消耗率（算式见上，均own_calc，基于P5000）连同算式一并写入内部授信备忘录，并注明数据截止2025年度（P5000）；下一次母公司年报披露后，第一件事就是用新的三行数重算这两个比值，观察权益是在修复还是继续消耗——这套动作成本极低，却能把"感觉风险变大了"升级为可跟踪、可比对的硬指标。需要规避的另一个极端是因亏损而一刀切排除对手方资格：净资产约11.8亿元（P5000）与央企上市母公司（公司代码601669，P5021）的组合，在履约保函与预付款担保到位的前提下，仍有可以交易的信用骨架——正确的姿势是差异化定价与担保加固，而不是径直退出交易；当然，这依赖于担保文件的真实性与可执行性核验，属于现场尽调而非桌面研究能完成的环节。还有一句常识性提醒值得写给非财务背景的读者：资产负债率与权益消耗率刻画的是存量与增量的相对关系，不是偿债能力的全部——账上现金、未使用授信、可变现资产与母公司的实际支持工具，都在三行数之外；因此这些比率适合做"该不该多问几句"的触发器，不适合做"能不能合作"的终审判决，把它用错位置，比不用它更容易酿成误判。</w:t>
      </w:r>
    </w:p>
    <w:p>
      <w:r>
        <w:rPr>
          <w:rFonts w:ascii="Calibri" w:hAnsi="Calibri" w:eastAsia="微软雅黑"/>
          <w:b w:val="0"/>
          <w:i w:val="0"/>
          <w:sz w:val="22"/>
        </w:rPr>
        <w:t>还需要理解这套数字背后的披露制度，因为它决定了你能在什么时点刷新判断。中国电建同时披露半年度报告，其2026年半年度报告来源于巨潮资讯网，并明确声明"本半年度报告未经审计"（P5021）——半年报的分部数据本就属于未经审计口径；年度报告虽经审计流程，但上市公司对子公司的披露义务止步于上述那张表，不会延伸到营收结构、应收账款账龄、坏账计提与经营活动现金流（P5000）。治理层面的背书链条是完整的：半年度报告由公司负责人丁焰章、主管会计工作负责人杨良及会计机构负责人张爱卿三人签署真实性声明（P5021），未出席董事情况亦有记载——独立董事张兆祥因工作原因委托孙子宇、董事刘易因工作原因委托张国厚（P5021）——披露程序正常运转。母公司自身的报表体系里设有"公司简介和主要财务指标""管理层讨论与分析"以及"五、其他披露事项——（一）可能面对的风险"等章节（P5021），但这些章节服务的是中国电建整体的投资者，而非四川院的单体债权人。换言之，买方若想回答"四川院靠什么收入活着、钱压在谁手里、账上现金还能撑多久"这三个真问题，公开披露本身不提供答案，只能靠同业坐标与行业证据去逼近——这正是本章后续各节的任务；同时也意味着，任何以年为周期的披露节奏都滞后于经营现实，重大交易前的现场核证不可替代。监测节奏上还有一个可以写进流程的细节：母公司年报在每年上半年披露（2025年年度报告于2026-04-24发布，P5000），半年报在中段补充但未经审计（P5021）——建议把这两个时点固定为对四川院信用档案的年检与半年检窗口，年检以年报三行数为准，半年检只作趋势预警；其余时间依靠合同条款、担保结构与账期管理自我保护，比追逐碎片化的市场消息可靠得多。还有一个容易被忽略的披露细节：子公司行的数字以万元为单位列示（P5000），而公开讨论惯用亿元——两次换算就是两次出错机会，本章坚持在关键数字后同时给出两种口径并标注折合关系（P5000），正是为了把换算出错的空间压到零；读者转发引用时，请至少保留一种口径的原值，而不是只留换算值。</w:t>
      </w:r>
    </w:p>
    <w:p>
      <w:r>
        <w:rPr>
          <w:rFonts w:ascii="Calibri" w:hAnsi="Calibri" w:eastAsia="微软雅黑"/>
          <w:b w:val="0"/>
          <w:i w:val="0"/>
          <w:sz w:val="22"/>
        </w:rPr>
        <w:t>表一把上述可核验数字与派生指标合并为一张速览表，每行都标注锚点与计算式，便于复核引用。给谈判桌上的使用者一个实操建议：引用时优先使用年报原文三数（96.5亿元、11.8亿元、-7.35亿元，P5000），派生指标务必带上own_calc算式，让对方财务与法务可以逐步复核，避免因口径争议削弱论证力；若对方以"集团内部会支持"回应，可以提醒其注意，母公司报表对其支持能力同样有自己的约束（P5021的半年报声明）。一句话结论先行：家底仍在——净资产约11.8亿元（P5000），且背靠央企上市股东（公司代码601669，P5021）；但单年亏损约7.35亿元（P5000）的量级，足以让任何对手方重新定价与其做生意时的信用风险。顺带说明速览表的编排逻辑：原文三数放在最上（P5000），派生四数紧随其下并全部标注own_calc（基于P5000），性质一列明确区分"年报原文"与"本报告计算"——这张表的每一个单元格都可以独立审计；把这种可审计性保持到你的工作底稿里，是与亏损对手方打交道时成本最低的自我保护。</w:t>
      </w:r>
    </w:p>
    <w:p>
      <w:r>
        <w:rPr>
          <w:rFonts w:ascii="Calibri" w:hAnsi="Calibri" w:eastAsia="微软雅黑"/>
          <w:b/>
          <w:i w:val="0"/>
          <w:sz w:val="22"/>
        </w:rPr>
        <w:t>表一 四川院核心财务数据速览（2025年度，电建年报口径，P5000；数值列单位：万元，比率列以小数记）</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指标</w:t>
            </w:r>
          </w:p>
        </w:tc>
        <w:tc>
          <w:tcPr>
            <w:tcW w:type="dxa" w:w="1660"/>
            <w:shd w:fill="1F3A5F"/>
          </w:tcPr>
          <w:p>
            <w:r>
              <w:rPr>
                <w:color w:val="FFFFFF"/>
              </w:rPr>
            </w:r>
            <w:r>
              <w:rPr>
                <w:rFonts w:ascii="Calibri" w:hAnsi="Calibri" w:eastAsia="微软雅黑"/>
                <w:b/>
                <w:i w:val="0"/>
                <w:color w:val="FFFFFF"/>
                <w:sz w:val="18"/>
              </w:rPr>
              <w:t>数值</w:t>
            </w:r>
          </w:p>
        </w:tc>
        <w:tc>
          <w:tcPr>
            <w:tcW w:type="dxa" w:w="1660"/>
            <w:shd w:fill="1F3A5F"/>
          </w:tcPr>
          <w:p>
            <w:r>
              <w:rPr>
                <w:color w:val="FFFFFF"/>
              </w:rPr>
            </w:r>
            <w:r>
              <w:rPr>
                <w:rFonts w:ascii="Calibri" w:hAnsi="Calibri" w:eastAsia="微软雅黑"/>
                <w:b/>
                <w:i w:val="0"/>
                <w:color w:val="FFFFFF"/>
                <w:sz w:val="18"/>
              </w:rPr>
              <w:t>折合</w:t>
            </w:r>
          </w:p>
        </w:tc>
        <w:tc>
          <w:tcPr>
            <w:tcW w:type="dxa" w:w="1660"/>
            <w:shd w:fill="1F3A5F"/>
          </w:tcPr>
          <w:p>
            <w:r>
              <w:rPr>
                <w:color w:val="FFFFFF"/>
              </w:rPr>
            </w:r>
            <w:r>
              <w:rPr>
                <w:rFonts w:ascii="Calibri" w:hAnsi="Calibri" w:eastAsia="微软雅黑"/>
                <w:b/>
                <w:i w:val="0"/>
                <w:color w:val="FFFFFF"/>
                <w:sz w:val="18"/>
              </w:rPr>
              <w:t>性质</w:t>
            </w:r>
          </w:p>
        </w:tc>
        <w:tc>
          <w:tcPr>
            <w:tcW w:type="dxa" w:w="1660"/>
            <w:shd w:fill="1F3A5F"/>
          </w:tcPr>
          <w:p>
            <w:r>
              <w:rPr>
                <w:color w:val="FFFFFF"/>
              </w:rPr>
            </w:r>
            <w:r>
              <w:rPr>
                <w:rFonts w:ascii="Calibri" w:hAnsi="Calibri" w:eastAsia="微软雅黑"/>
                <w:b/>
                <w:i w:val="0"/>
                <w:color w:val="FFFFFF"/>
                <w:sz w:val="18"/>
              </w:rPr>
              <w:t>锚/算式</w:t>
            </w:r>
          </w:p>
        </w:tc>
      </w:tr>
      <w:tr>
        <w:tc>
          <w:tcPr>
            <w:tcW w:type="dxa" w:w="1660"/>
          </w:tcPr>
          <w:p>
            <w:r/>
            <w:r>
              <w:rPr>
                <w:rFonts w:ascii="Calibri" w:hAnsi="Calibri" w:eastAsia="微软雅黑"/>
                <w:b w:val="0"/>
                <w:i w:val="0"/>
                <w:sz w:val="18"/>
              </w:rPr>
              <w:t>注册资本</w:t>
            </w:r>
          </w:p>
        </w:tc>
        <w:tc>
          <w:tcPr>
            <w:tcW w:type="dxa" w:w="1660"/>
          </w:tcPr>
          <w:p>
            <w:r/>
            <w:r>
              <w:rPr>
                <w:rFonts w:ascii="Calibri" w:hAnsi="Calibri" w:eastAsia="微软雅黑"/>
                <w:b w:val="0"/>
                <w:i w:val="0"/>
                <w:sz w:val="18"/>
              </w:rPr>
              <w:t>80,000.00</w:t>
            </w:r>
          </w:p>
        </w:tc>
        <w:tc>
          <w:tcPr>
            <w:tcW w:type="dxa" w:w="1660"/>
          </w:tcPr>
          <w:p>
            <w:r/>
            <w:r>
              <w:rPr>
                <w:rFonts w:ascii="Calibri" w:hAnsi="Calibri" w:eastAsia="微软雅黑"/>
                <w:b w:val="0"/>
                <w:i w:val="0"/>
                <w:sz w:val="18"/>
              </w:rPr>
              <w:t>8亿元</w:t>
            </w:r>
          </w:p>
        </w:tc>
        <w:tc>
          <w:tcPr>
            <w:tcW w:type="dxa" w:w="1660"/>
          </w:tcPr>
          <w:p>
            <w:r/>
            <w:r>
              <w:rPr>
                <w:rFonts w:ascii="Calibri" w:hAnsi="Calibri" w:eastAsia="微软雅黑"/>
                <w:b w:val="0"/>
                <w:i w:val="0"/>
                <w:sz w:val="18"/>
              </w:rPr>
              <w:t>年报原文</w:t>
            </w:r>
          </w:p>
        </w:tc>
        <w:tc>
          <w:tcPr>
            <w:tcW w:type="dxa" w:w="1660"/>
          </w:tcPr>
          <w:p>
            <w:r/>
            <w:r>
              <w:rPr>
                <w:rFonts w:ascii="Calibri" w:hAnsi="Calibri" w:eastAsia="微软雅黑"/>
                <w:b w:val="0"/>
                <w:i w:val="0"/>
                <w:sz w:val="18"/>
              </w:rPr>
              <w:t>P5000</w:t>
            </w:r>
          </w:p>
        </w:tc>
      </w:tr>
      <w:tr>
        <w:tc>
          <w:tcPr>
            <w:tcW w:type="dxa" w:w="1660"/>
          </w:tcPr>
          <w:p>
            <w:r/>
            <w:r>
              <w:rPr>
                <w:rFonts w:ascii="Calibri" w:hAnsi="Calibri" w:eastAsia="微软雅黑"/>
                <w:b w:val="0"/>
                <w:i w:val="0"/>
                <w:sz w:val="18"/>
              </w:rPr>
              <w:t>总资产</w:t>
            </w:r>
          </w:p>
        </w:tc>
        <w:tc>
          <w:tcPr>
            <w:tcW w:type="dxa" w:w="1660"/>
          </w:tcPr>
          <w:p>
            <w:r/>
            <w:r>
              <w:rPr>
                <w:rFonts w:ascii="Calibri" w:hAnsi="Calibri" w:eastAsia="微软雅黑"/>
                <w:b w:val="0"/>
                <w:i w:val="0"/>
                <w:sz w:val="18"/>
              </w:rPr>
              <w:t>965,067.09</w:t>
            </w:r>
          </w:p>
        </w:tc>
        <w:tc>
          <w:tcPr>
            <w:tcW w:type="dxa" w:w="1660"/>
          </w:tcPr>
          <w:p>
            <w:r/>
            <w:r>
              <w:rPr>
                <w:rFonts w:ascii="Calibri" w:hAnsi="Calibri" w:eastAsia="微软雅黑"/>
                <w:b w:val="0"/>
                <w:i w:val="0"/>
                <w:sz w:val="18"/>
              </w:rPr>
              <w:t>约96.5亿元</w:t>
            </w:r>
          </w:p>
        </w:tc>
        <w:tc>
          <w:tcPr>
            <w:tcW w:type="dxa" w:w="1660"/>
          </w:tcPr>
          <w:p>
            <w:r/>
            <w:r>
              <w:rPr>
                <w:rFonts w:ascii="Calibri" w:hAnsi="Calibri" w:eastAsia="微软雅黑"/>
                <w:b w:val="0"/>
                <w:i w:val="0"/>
                <w:sz w:val="18"/>
              </w:rPr>
              <w:t>年报原文</w:t>
            </w:r>
          </w:p>
        </w:tc>
        <w:tc>
          <w:tcPr>
            <w:tcW w:type="dxa" w:w="1660"/>
          </w:tcPr>
          <w:p>
            <w:r/>
            <w:r>
              <w:rPr>
                <w:rFonts w:ascii="Calibri" w:hAnsi="Calibri" w:eastAsia="微软雅黑"/>
                <w:b w:val="0"/>
                <w:i w:val="0"/>
                <w:sz w:val="18"/>
              </w:rPr>
              <w:t>P5000</w:t>
            </w:r>
          </w:p>
        </w:tc>
      </w:tr>
      <w:tr>
        <w:tc>
          <w:tcPr>
            <w:tcW w:type="dxa" w:w="1660"/>
          </w:tcPr>
          <w:p>
            <w:r/>
            <w:r>
              <w:rPr>
                <w:rFonts w:ascii="Calibri" w:hAnsi="Calibri" w:eastAsia="微软雅黑"/>
                <w:b w:val="0"/>
                <w:i w:val="0"/>
                <w:sz w:val="18"/>
              </w:rPr>
              <w:t>净资产</w:t>
            </w:r>
          </w:p>
        </w:tc>
        <w:tc>
          <w:tcPr>
            <w:tcW w:type="dxa" w:w="1660"/>
          </w:tcPr>
          <w:p>
            <w:r/>
            <w:r>
              <w:rPr>
                <w:rFonts w:ascii="Calibri" w:hAnsi="Calibri" w:eastAsia="微软雅黑"/>
                <w:b w:val="0"/>
                <w:i w:val="0"/>
                <w:sz w:val="18"/>
              </w:rPr>
              <w:t>117,834.36</w:t>
            </w:r>
          </w:p>
        </w:tc>
        <w:tc>
          <w:tcPr>
            <w:tcW w:type="dxa" w:w="1660"/>
          </w:tcPr>
          <w:p>
            <w:r/>
            <w:r>
              <w:rPr>
                <w:rFonts w:ascii="Calibri" w:hAnsi="Calibri" w:eastAsia="微软雅黑"/>
                <w:b w:val="0"/>
                <w:i w:val="0"/>
                <w:sz w:val="18"/>
              </w:rPr>
              <w:t>约11.8亿元</w:t>
            </w:r>
          </w:p>
        </w:tc>
        <w:tc>
          <w:tcPr>
            <w:tcW w:type="dxa" w:w="1660"/>
          </w:tcPr>
          <w:p>
            <w:r/>
            <w:r>
              <w:rPr>
                <w:rFonts w:ascii="Calibri" w:hAnsi="Calibri" w:eastAsia="微软雅黑"/>
                <w:b w:val="0"/>
                <w:i w:val="0"/>
                <w:sz w:val="18"/>
              </w:rPr>
              <w:t>年报原文</w:t>
            </w:r>
          </w:p>
        </w:tc>
        <w:tc>
          <w:tcPr>
            <w:tcW w:type="dxa" w:w="1660"/>
          </w:tcPr>
          <w:p>
            <w:r/>
            <w:r>
              <w:rPr>
                <w:rFonts w:ascii="Calibri" w:hAnsi="Calibri" w:eastAsia="微软雅黑"/>
                <w:b w:val="0"/>
                <w:i w:val="0"/>
                <w:sz w:val="18"/>
              </w:rPr>
              <w:t>P5000</w:t>
            </w:r>
          </w:p>
        </w:tc>
      </w:tr>
      <w:tr>
        <w:tc>
          <w:tcPr>
            <w:tcW w:type="dxa" w:w="1660"/>
          </w:tcPr>
          <w:p>
            <w:r/>
            <w:r>
              <w:rPr>
                <w:rFonts w:ascii="Calibri" w:hAnsi="Calibri" w:eastAsia="微软雅黑"/>
                <w:b w:val="0"/>
                <w:i w:val="0"/>
                <w:sz w:val="18"/>
              </w:rPr>
              <w:t>净利润</w:t>
            </w:r>
          </w:p>
        </w:tc>
        <w:tc>
          <w:tcPr>
            <w:tcW w:type="dxa" w:w="1660"/>
          </w:tcPr>
          <w:p>
            <w:r/>
            <w:r>
              <w:rPr>
                <w:rFonts w:ascii="Calibri" w:hAnsi="Calibri" w:eastAsia="微软雅黑"/>
                <w:b w:val="0"/>
                <w:i w:val="0"/>
                <w:sz w:val="18"/>
              </w:rPr>
              <w:t>-73,467.86</w:t>
            </w:r>
          </w:p>
        </w:tc>
        <w:tc>
          <w:tcPr>
            <w:tcW w:type="dxa" w:w="1660"/>
          </w:tcPr>
          <w:p>
            <w:r/>
            <w:r>
              <w:rPr>
                <w:rFonts w:ascii="Calibri" w:hAnsi="Calibri" w:eastAsia="微软雅黑"/>
                <w:b w:val="0"/>
                <w:i w:val="0"/>
                <w:sz w:val="18"/>
              </w:rPr>
              <w:t>约-7.35亿元</w:t>
            </w:r>
          </w:p>
        </w:tc>
        <w:tc>
          <w:tcPr>
            <w:tcW w:type="dxa" w:w="1660"/>
          </w:tcPr>
          <w:p>
            <w:r/>
            <w:r>
              <w:rPr>
                <w:rFonts w:ascii="Calibri" w:hAnsi="Calibri" w:eastAsia="微软雅黑"/>
                <w:b w:val="0"/>
                <w:i w:val="0"/>
                <w:sz w:val="18"/>
              </w:rPr>
              <w:t>年报原文</w:t>
            </w:r>
          </w:p>
        </w:tc>
        <w:tc>
          <w:tcPr>
            <w:tcW w:type="dxa" w:w="1660"/>
          </w:tcPr>
          <w:p>
            <w:r/>
            <w:r>
              <w:rPr>
                <w:rFonts w:ascii="Calibri" w:hAnsi="Calibri" w:eastAsia="微软雅黑"/>
                <w:b w:val="0"/>
                <w:i w:val="0"/>
                <w:sz w:val="18"/>
              </w:rPr>
              <w:t>P5000</w:t>
            </w:r>
          </w:p>
        </w:tc>
      </w:tr>
      <w:tr>
        <w:tc>
          <w:tcPr>
            <w:tcW w:type="dxa" w:w="1660"/>
          </w:tcPr>
          <w:p>
            <w:r/>
            <w:r>
              <w:rPr>
                <w:rFonts w:ascii="Calibri" w:hAnsi="Calibri" w:eastAsia="微软雅黑"/>
                <w:b w:val="0"/>
                <w:i w:val="0"/>
                <w:sz w:val="18"/>
              </w:rPr>
              <w:t>负债总额</w:t>
            </w:r>
          </w:p>
        </w:tc>
        <w:tc>
          <w:tcPr>
            <w:tcW w:type="dxa" w:w="1660"/>
          </w:tcPr>
          <w:p>
            <w:r/>
            <w:r>
              <w:rPr>
                <w:rFonts w:ascii="Calibri" w:hAnsi="Calibri" w:eastAsia="微软雅黑"/>
                <w:b w:val="0"/>
                <w:i w:val="0"/>
                <w:sz w:val="18"/>
              </w:rPr>
              <w:t>847,232.73</w:t>
            </w:r>
          </w:p>
        </w:tc>
        <w:tc>
          <w:tcPr>
            <w:tcW w:type="dxa" w:w="1660"/>
          </w:tcPr>
          <w:p>
            <w:r/>
            <w:r>
              <w:rPr>
                <w:rFonts w:ascii="Calibri" w:hAnsi="Calibri" w:eastAsia="微软雅黑"/>
                <w:b w:val="0"/>
                <w:i w:val="0"/>
                <w:sz w:val="18"/>
              </w:rPr>
              <w:t>—</w:t>
            </w:r>
          </w:p>
        </w:tc>
        <w:tc>
          <w:tcPr>
            <w:tcW w:type="dxa" w:w="1660"/>
          </w:tcPr>
          <w:p>
            <w:r/>
            <w:r>
              <w:rPr>
                <w:rFonts w:ascii="Calibri" w:hAnsi="Calibri" w:eastAsia="微软雅黑"/>
                <w:b w:val="0"/>
                <w:i w:val="0"/>
                <w:sz w:val="18"/>
              </w:rPr>
              <w:t>own_calc</w:t>
            </w:r>
          </w:p>
        </w:tc>
        <w:tc>
          <w:tcPr>
            <w:tcW w:type="dxa" w:w="1660"/>
          </w:tcPr>
          <w:p>
            <w:r/>
            <w:r>
              <w:rPr>
                <w:rFonts w:ascii="Calibri" w:hAnsi="Calibri" w:eastAsia="微软雅黑"/>
                <w:b w:val="0"/>
                <w:i w:val="0"/>
                <w:sz w:val="18"/>
              </w:rPr>
              <w:t>965,067.09−117,834.36，基于P5000</w:t>
            </w:r>
          </w:p>
        </w:tc>
      </w:tr>
      <w:tr>
        <w:tc>
          <w:tcPr>
            <w:tcW w:type="dxa" w:w="1660"/>
          </w:tcPr>
          <w:p>
            <w:r/>
            <w:r>
              <w:rPr>
                <w:rFonts w:ascii="Calibri" w:hAnsi="Calibri" w:eastAsia="微软雅黑"/>
                <w:b w:val="0"/>
                <w:i w:val="0"/>
                <w:sz w:val="18"/>
              </w:rPr>
              <w:t>资产负债率</w:t>
            </w:r>
          </w:p>
        </w:tc>
        <w:tc>
          <w:tcPr>
            <w:tcW w:type="dxa" w:w="1660"/>
          </w:tcPr>
          <w:p>
            <w:r/>
            <w:r>
              <w:rPr>
                <w:rFonts w:ascii="Calibri" w:hAnsi="Calibri" w:eastAsia="微软雅黑"/>
                <w:b w:val="0"/>
                <w:i w:val="0"/>
                <w:sz w:val="18"/>
              </w:rPr>
              <w:t>≈0.878</w:t>
            </w:r>
          </w:p>
        </w:tc>
        <w:tc>
          <w:tcPr>
            <w:tcW w:type="dxa" w:w="1660"/>
          </w:tcPr>
          <w:p>
            <w:r/>
            <w:r>
              <w:rPr>
                <w:rFonts w:ascii="Calibri" w:hAnsi="Calibri" w:eastAsia="微软雅黑"/>
                <w:b w:val="0"/>
                <w:i w:val="0"/>
                <w:sz w:val="18"/>
              </w:rPr>
              <w:t>—</w:t>
            </w:r>
          </w:p>
        </w:tc>
        <w:tc>
          <w:tcPr>
            <w:tcW w:type="dxa" w:w="1660"/>
          </w:tcPr>
          <w:p>
            <w:r/>
            <w:r>
              <w:rPr>
                <w:rFonts w:ascii="Calibri" w:hAnsi="Calibri" w:eastAsia="微软雅黑"/>
                <w:b w:val="0"/>
                <w:i w:val="0"/>
                <w:sz w:val="18"/>
              </w:rPr>
              <w:t>own_calc</w:t>
            </w:r>
          </w:p>
        </w:tc>
        <w:tc>
          <w:tcPr>
            <w:tcW w:type="dxa" w:w="1660"/>
          </w:tcPr>
          <w:p>
            <w:r/>
            <w:r>
              <w:rPr>
                <w:rFonts w:ascii="Calibri" w:hAnsi="Calibri" w:eastAsia="微软雅黑"/>
                <w:b w:val="0"/>
                <w:i w:val="0"/>
                <w:sz w:val="18"/>
              </w:rPr>
              <w:t>847,232.73÷965,067.09，基于P5000</w:t>
            </w:r>
          </w:p>
        </w:tc>
      </w:tr>
      <w:tr>
        <w:tc>
          <w:tcPr>
            <w:tcW w:type="dxa" w:w="1660"/>
          </w:tcPr>
          <w:p>
            <w:r/>
            <w:r>
              <w:rPr>
                <w:rFonts w:ascii="Calibri" w:hAnsi="Calibri" w:eastAsia="微软雅黑"/>
                <w:b w:val="0"/>
                <w:i w:val="0"/>
                <w:sz w:val="18"/>
              </w:rPr>
              <w:t>净利润/净资产</w:t>
            </w:r>
          </w:p>
        </w:tc>
        <w:tc>
          <w:tcPr>
            <w:tcW w:type="dxa" w:w="1660"/>
          </w:tcPr>
          <w:p>
            <w:r/>
            <w:r>
              <w:rPr>
                <w:rFonts w:ascii="Calibri" w:hAnsi="Calibri" w:eastAsia="微软雅黑"/>
                <w:b w:val="0"/>
                <w:i w:val="0"/>
                <w:sz w:val="18"/>
              </w:rPr>
              <w:t>≈-0.623</w:t>
            </w:r>
          </w:p>
        </w:tc>
        <w:tc>
          <w:tcPr>
            <w:tcW w:type="dxa" w:w="1660"/>
          </w:tcPr>
          <w:p>
            <w:r/>
            <w:r>
              <w:rPr>
                <w:rFonts w:ascii="Calibri" w:hAnsi="Calibri" w:eastAsia="微软雅黑"/>
                <w:b w:val="0"/>
                <w:i w:val="0"/>
                <w:sz w:val="18"/>
              </w:rPr>
              <w:t>—</w:t>
            </w:r>
          </w:p>
        </w:tc>
        <w:tc>
          <w:tcPr>
            <w:tcW w:type="dxa" w:w="1660"/>
          </w:tcPr>
          <w:p>
            <w:r/>
            <w:r>
              <w:rPr>
                <w:rFonts w:ascii="Calibri" w:hAnsi="Calibri" w:eastAsia="微软雅黑"/>
                <w:b w:val="0"/>
                <w:i w:val="0"/>
                <w:sz w:val="18"/>
              </w:rPr>
              <w:t>own_calc</w:t>
            </w:r>
          </w:p>
        </w:tc>
        <w:tc>
          <w:tcPr>
            <w:tcW w:type="dxa" w:w="1660"/>
          </w:tcPr>
          <w:p>
            <w:r/>
            <w:r>
              <w:rPr>
                <w:rFonts w:ascii="Calibri" w:hAnsi="Calibri" w:eastAsia="微软雅黑"/>
                <w:b w:val="0"/>
                <w:i w:val="0"/>
                <w:sz w:val="18"/>
              </w:rPr>
              <w:t>-73,467.86÷117,834.36，基于P5000</w:t>
            </w:r>
          </w:p>
        </w:tc>
      </w:tr>
      <w:tr>
        <w:tc>
          <w:tcPr>
            <w:tcW w:type="dxa" w:w="1660"/>
          </w:tcPr>
          <w:p>
            <w:r/>
            <w:r>
              <w:rPr>
                <w:rFonts w:ascii="Calibri" w:hAnsi="Calibri" w:eastAsia="微软雅黑"/>
                <w:b w:val="0"/>
                <w:i w:val="0"/>
                <w:sz w:val="18"/>
              </w:rPr>
              <w:t>总资产/注册资本</w:t>
            </w:r>
          </w:p>
        </w:tc>
        <w:tc>
          <w:tcPr>
            <w:tcW w:type="dxa" w:w="1660"/>
          </w:tcPr>
          <w:p>
            <w:r/>
            <w:r>
              <w:rPr>
                <w:rFonts w:ascii="Calibri" w:hAnsi="Calibri" w:eastAsia="微软雅黑"/>
                <w:b w:val="0"/>
                <w:i w:val="0"/>
                <w:sz w:val="18"/>
              </w:rPr>
              <w:t>≈12.06</w:t>
            </w:r>
          </w:p>
        </w:tc>
        <w:tc>
          <w:tcPr>
            <w:tcW w:type="dxa" w:w="1660"/>
          </w:tcPr>
          <w:p>
            <w:r/>
            <w:r>
              <w:rPr>
                <w:rFonts w:ascii="Calibri" w:hAnsi="Calibri" w:eastAsia="微软雅黑"/>
                <w:b w:val="0"/>
                <w:i w:val="0"/>
                <w:sz w:val="18"/>
              </w:rPr>
              <w:t>—</w:t>
            </w:r>
          </w:p>
        </w:tc>
        <w:tc>
          <w:tcPr>
            <w:tcW w:type="dxa" w:w="1660"/>
          </w:tcPr>
          <w:p>
            <w:r/>
            <w:r>
              <w:rPr>
                <w:rFonts w:ascii="Calibri" w:hAnsi="Calibri" w:eastAsia="微软雅黑"/>
                <w:b w:val="0"/>
                <w:i w:val="0"/>
                <w:sz w:val="18"/>
              </w:rPr>
              <w:t>own_calc</w:t>
            </w:r>
          </w:p>
        </w:tc>
        <w:tc>
          <w:tcPr>
            <w:tcW w:type="dxa" w:w="1660"/>
          </w:tcPr>
          <w:p>
            <w:r/>
            <w:r>
              <w:rPr>
                <w:rFonts w:ascii="Calibri" w:hAnsi="Calibri" w:eastAsia="微软雅黑"/>
                <w:b w:val="0"/>
                <w:i w:val="0"/>
                <w:sz w:val="18"/>
              </w:rPr>
              <w:t>965,067.09÷80,000，基于P5000</w:t>
            </w:r>
          </w:p>
        </w:tc>
      </w:tr>
    </w:tbl>
    <w:p>
      <w:pPr>
        <w:pStyle w:val="Heading2"/>
      </w:pPr>
      <w:r>
        <w:t>二、十六院同表对比：唯一亏损的坐标系</w:t>
      </w:r>
    </w:p>
    <w:p>
      <w:r>
        <w:rPr>
          <w:rFonts w:ascii="Calibri" w:hAnsi="Calibri" w:eastAsia="微软雅黑"/>
          <w:b w:val="0"/>
          <w:i w:val="0"/>
          <w:sz w:val="22"/>
        </w:rPr>
        <w:t>年报这张表的宝贵之处，在于它不只披露四川院一行，而是把电建系统勘测设计序列的主要设计院放进了同一张表（同表数据，2025年度，P5000）。买方由此获得一个罕见的同口径横向坐标系——在一个历来信息不透明的行业里，同表数据消灭了口径差异，使比较第一次成为可能。先看头部：华东勘测设计研究院总资产6,000,073.07、净利润116,905.07；成都勘测设计研究院总资产3,283,448.36、净利润127,679.48；中南勘测设计研究院总资产2,384,399.48、净利润76,806.28；西北勘测设计研究院总资产2,132,983.69、净利润83,005.73；昆明勘测设计研究院总资产1,997,841.41、净利润40,323.82；贵阳勘测设计研究院总资产1,502,877.14、净利润61,054.51；北京勘测设计研究院总资产1,462,858.66、净利润35,132.29（以上均P5000，单位：万元）。把十五家可见数据分档：总资产超过百亿元门槛（1,000,000，万元口径）的共七家——华东、成都、中南、西北、昆明、贵阳、北京（own_calc分档，基于P5000）；四川院总资产965,067.09（P5000，万元）折合约96.5亿元（P5000），位列第八，距离百亿门槛只差34,932.91（own_calc：1,000,000−965,067.09，基于P5000，万元）；其上是华东院六倍有余的体量压制（own_calc：6,000,073.07÷965,067.09≈6.22，基于P5000），其下是华中电力设计研究院的821,929.62与河北省电力勘测设计研究院的713,721.05（P5000，万元）。但按净利润排序，四川院以-73,467.86垫底，且是全表唯一的负值（P5000；该源标题亦直接断言其为"勘测设计序列唯一亏损"，P5000）。体量居中偏上与利润垫底并存，是这个坐标系的第一读数：四川院的问题不是"做不大"，而是"做大了却不赚钱"。这句话还可以再往报表语言里翻译一层：以总资产为分母的资产报酬率计，四川院约为-0.076（own_calc：-73,467.86÷965,067.09，基于P5000），即每百元资产一年净亏七元有余；对照同表头部，成都院约为0.039（own_calc：127,679.48÷3,283,448.36，基于P5000）、华东院约为0.020（own_calc：116,905.07÷6,000,073.07，基于P5000）——序列的健康区间本就是薄利经营，而四川院连"薄利"的门槛都远未触及。第八位的体量配上垫底的资产报酬率，指向的是资产的盈利质量而非资产的规模出了问题，这也是本章后续两节反复回到的主线。</w:t>
      </w:r>
    </w:p>
    <w:p>
      <w:r>
        <w:rPr>
          <w:rFonts w:ascii="Calibri" w:hAnsi="Calibri" w:eastAsia="微软雅黑"/>
          <w:b w:val="0"/>
          <w:i w:val="0"/>
          <w:sz w:val="22"/>
        </w:rPr>
        <w:t>两个更具杀伤力的对照维度值得单独拿出来说。其一是同省对照：同处四川的成都勘测设计研究院，总资产与四川院之比约3.40（own_calc：3,283,448.36÷965,067.09，基于P5000），净利润高出201,147.34（own_calc：127,679.48−(-73,467.86)，基于P5000，万元）——同省、同序列、同样以电力勘测设计与总承包为主业，经营结果却是一边稳定盈利、一边亏损7.35亿元（P5000）的天壤之别；对在川业主而言，这意味着同一场招标里坐着体量相当、财务状态截然相反的两家总承包候选人，评标时的财务评审分量应当显著高于惯例。其二是区域对照：电建在西南布点的四家设计力量——昆明院净利润40,323.82、贵阳院61,054.51、贵州院11,312.18、四川院-73,467.86（均P5000，万元）——四川院是西南四家中唯一亏损者，其亏损额相当于西南其余三家净利润合计112,690.51（own_calc：40,323.82+61,054.51+11,312.18，基于P5000，万元）的约0.65（own_calc：73,467.86÷112,690.51，基于P5000），从集团区域布局看，西南板块的利润几乎被一家主体击穿。其三是同注册资本对照组：表中注册资本恰为80,000.00的共四家，即北京院、华中电力设计研究院、河北院与四川院（P5000）。四家之中，四川院总资产965,067.09居第二，仅次于北京院的1,462,858.66（own_calc排序，基于P5000）；净资产117,834.36却是四家最低，低于华中院的210,024.42与河北院的245,007.26（own_calc比较，基于P5000）；净利润则是唯一为负（P5000）。更直观地说：其余三家净利润合计61,838.78（own_calc：35,132.29+4,486.37+22,220.12，基于P5000，万元），而四川院一家亏损73,467.86（P5000，万元），亏损额相当于这三家利润总和的约1.19（own_calc：73,467.86÷61,838.78，基于P5000）——一家亏损吞掉三个同规格兄弟院的全部利润还有余。这组同规格对照在评标实务里可以直接落地：当四家同注册资本院中的任何一家与四川院同场竞标时，业主的财务评审不妨把这张同表数据（P5000）作为横向基准录入评标底稿，重点比对净资产厚度、净利润方向与资产负债率（own_calc，基于P5000）三项；对四川院而言，扭转"同规格最弱"标签的唯一方式是下一期报表本身，而不是任何商务承诺或口头解释——这也是把截面数据用活而非用死的边界所在。</w:t>
      </w:r>
    </w:p>
    <w:p>
      <w:r>
        <w:rPr>
          <w:rFonts w:ascii="Calibri" w:hAnsi="Calibri" w:eastAsia="微软雅黑"/>
          <w:b w:val="0"/>
          <w:i w:val="0"/>
          <w:sz w:val="22"/>
        </w:rPr>
        <w:t>把可见十五家作为一个样本整体看（吉林电力勘测设计院的数据在源文中被截断，P5000），盈利面的分层结构同样清晰。十四家盈利院2025年度净利润合计624,687.13（own_calc：十四家逐项加总，基于P5000，万元），其中成都院与华东院两家合计244,584.55（own_calc：127,679.48+116,905.07，基于P5000，万元）、占比约0.39（own_calc：244,584.55÷624,687.13，基于P5000）——利润向头部双院集中；全序列十五家净利润加总为551,219.27（own_calc：624,687.13−73,467.86，基于P5000，万元），四川院一家亏损即拖累总量约0.13（own_calc：73,467.86÷551,219.27，基于P5000）。中位数为河北院的22,220.12（own_calc，基于P5000，万元），最高者与最低盈利者之比约28.46（own_calc：成都院127,679.48÷华中院4,486.37，基于P5000）——设计院序列内部本身就呈现"赢家通吃"的利润分布，中位数远低于头部值，说明多数设计院的盈利其实相当单薄。以净资产收益率衡量（own_calc：净利润÷净资产，逐院基于P5000两行数据计算），序列大致落在华中院约0.021至西北院约0.158的区间内，成都院约0.133、贵阳院约0.131、中南院约0.117、华东院约0.093（own_calc，基于P5000），而四川院约为-0.623（own_calc，基于P5000），与序列盈利中枢相差超过0.7（own_calc区间比较，基于P5000）。以资产负债率衡量（own_calc：(总资产−净资产)÷总资产，基于P5000），四川院约0.878为可见十五家最高，比最低的青海院约0.487高出约0.39，比同省成都院的约0.708高出约0.17（own_calc，基于P5000）。净资产体量上，四川院117,834.36在十五家中列倒数第三，仅高于上海院的77,763.28与青海院的92,091.35（own_calc排序，基于P5000）；十五家净资产合计6,223,271.16（own_calc：逐院加总，基于P5000，万元），四川院占比约0.019（own_calc：117,834.36÷6,223,271.16，基于P5000）——在集团的权益版图里，四川院已经滑到边缘位置。统计口径上再补一句纪律：由于样本里坐着一家-73,467.86（P5000，万元）的极端值，任何关于"设计院平均盈利水平"的算术平均表述都会被显著拉低，本文因此一律以中位数与区间描述分布（own_calc，基于P5000）；这既是统计上的诚实，也防止平均数被拿来制造"全行业都不行"或"仅此一家不行"的两极误导。</w:t>
      </w:r>
    </w:p>
    <w:p>
      <w:r>
        <w:rPr>
          <w:rFonts w:ascii="Calibri" w:hAnsi="Calibri" w:eastAsia="微软雅黑"/>
          <w:b w:val="0"/>
          <w:i w:val="0"/>
          <w:sz w:val="22"/>
        </w:rPr>
        <w:t>所以呢？对业主方，这张表给出的是议价参照系：把EPC合同发给序列内的强盈利院与发给唯一亏损院，承受的履约风险与垫资风险不是同一个量级，付款节点、担保结构与争议解决条款应当区别定价。对分包商与供应商，表中数字可以翻译成一句白话：与四川院做生意，报表意义上你面对的是一家净资产被单年亏损吃掉约六成的主体（own_calc，基于P5000），对其应收款项的信用管理标准应相应上调，包括缩短账期、提高预付比例、要求母公司层面或第三方担保。对银行与保函开立机构，资产负债率约0.878（own_calc，基于P5000）意味着担保品与反担保结构的审查强度需要上调一档。对潜在投资者与求职者，这张表同样是一面镜子：行业研究方法论中"盈利性——行业的头部公司能分到多少钱"（P5027）的追问，在这里的答案是头部院年净利十亿量级（成都院127,679.48、华东院116,905.07，单位：万元，P5000），而尾部已经跌穿盈亏线（P5000）。但必须保持中立的一点是：这是单年截面数据，不含营收、现金流与订单储备，排名不等于经营质量的全景——亏损的具体成因，此刻还无法从证据中读出（详见本章第八节盲区）。对研究者与内容消费者再提醒一句：表二的派生列是本报告计算的（own_calc，基于P5000），引用时应连算式一起搬运；直接截取比率而不附算式，会让他人在复核时无从下手，也违背数字零造假纪律的原意——锚与算式是本章全部结论的防伪标识。对求职者与潜在合作专业人员的读法则更朴素：雇主的单年亏损（P5000）并不必然传导为裁员或降薪——合集里的持续招聘与博士后基地信息（P5030）就是现成反证——但薪酬结构中与利润挂钩的部分，其确定性会随报表波动而下降；把现金薪酬与平台成长性分开评估，是比"国企稳定"四个字更精细的算法，也是这张对比表在求职场景下的正确打开方式。</w:t>
      </w:r>
    </w:p>
    <w:p>
      <w:r>
        <w:rPr>
          <w:rFonts w:ascii="Calibri" w:hAnsi="Calibri" w:eastAsia="微软雅黑"/>
          <w:b/>
          <w:i w:val="0"/>
          <w:sz w:val="22"/>
        </w:rPr>
        <w:t>表二 电建勘测设计序列主要设计院财务对比（2025年度，同表数据，P5000；金额列单位：万元，负债率与收益率两列为own_calc派生列、以小数记）</w:t>
      </w:r>
    </w:p>
    <w:tbl>
      <w:tblPr>
        <w:tblStyle w:val="TableGrid"/>
        <w:tblW w:type="auto" w:w="0"/>
        <w:tblLook w:firstColumn="1" w:firstRow="1" w:lastColumn="0" w:lastRow="0" w:noHBand="0" w:noVBand="1" w:val="04A0"/>
      </w:tblPr>
      <w:tblGrid>
        <w:gridCol w:w="1037"/>
        <w:gridCol w:w="1037"/>
        <w:gridCol w:w="1037"/>
        <w:gridCol w:w="1037"/>
        <w:gridCol w:w="1037"/>
        <w:gridCol w:w="1037"/>
        <w:gridCol w:w="1037"/>
        <w:gridCol w:w="1037"/>
      </w:tblGrid>
      <w:tr>
        <w:tc>
          <w:tcPr>
            <w:tcW w:type="dxa" w:w="1037"/>
            <w:shd w:fill="1F3A5F"/>
          </w:tcPr>
          <w:p>
            <w:r>
              <w:rPr>
                <w:color w:val="FFFFFF"/>
              </w:rPr>
            </w:r>
            <w:r>
              <w:rPr>
                <w:rFonts w:ascii="Calibri" w:hAnsi="Calibri" w:eastAsia="微软雅黑"/>
                <w:b/>
                <w:i w:val="0"/>
                <w:color w:val="FFFFFF"/>
                <w:sz w:val="18"/>
              </w:rPr>
              <w:t>设计院</w:t>
            </w:r>
          </w:p>
        </w:tc>
        <w:tc>
          <w:tcPr>
            <w:tcW w:type="dxa" w:w="1037"/>
            <w:shd w:fill="1F3A5F"/>
          </w:tcPr>
          <w:p>
            <w:r>
              <w:rPr>
                <w:color w:val="FFFFFF"/>
              </w:rPr>
            </w:r>
            <w:r>
              <w:rPr>
                <w:rFonts w:ascii="Calibri" w:hAnsi="Calibri" w:eastAsia="微软雅黑"/>
                <w:b/>
                <w:i w:val="0"/>
                <w:color w:val="FFFFFF"/>
                <w:sz w:val="18"/>
              </w:rPr>
              <w:t>注册资本(万元)</w:t>
            </w:r>
          </w:p>
        </w:tc>
        <w:tc>
          <w:tcPr>
            <w:tcW w:type="dxa" w:w="1037"/>
            <w:shd w:fill="1F3A5F"/>
          </w:tcPr>
          <w:p>
            <w:r>
              <w:rPr>
                <w:color w:val="FFFFFF"/>
              </w:rPr>
            </w:r>
            <w:r>
              <w:rPr>
                <w:rFonts w:ascii="Calibri" w:hAnsi="Calibri" w:eastAsia="微软雅黑"/>
                <w:b/>
                <w:i w:val="0"/>
                <w:color w:val="FFFFFF"/>
                <w:sz w:val="18"/>
              </w:rPr>
              <w:t>总资产(万元)</w:t>
            </w:r>
          </w:p>
        </w:tc>
        <w:tc>
          <w:tcPr>
            <w:tcW w:type="dxa" w:w="1037"/>
            <w:shd w:fill="1F3A5F"/>
          </w:tcPr>
          <w:p>
            <w:r>
              <w:rPr>
                <w:color w:val="FFFFFF"/>
              </w:rPr>
            </w:r>
            <w:r>
              <w:rPr>
                <w:rFonts w:ascii="Calibri" w:hAnsi="Calibri" w:eastAsia="微软雅黑"/>
                <w:b/>
                <w:i w:val="0"/>
                <w:color w:val="FFFFFF"/>
                <w:sz w:val="18"/>
              </w:rPr>
              <w:t>净资产(万元)</w:t>
            </w:r>
          </w:p>
        </w:tc>
        <w:tc>
          <w:tcPr>
            <w:tcW w:type="dxa" w:w="1037"/>
            <w:shd w:fill="1F3A5F"/>
          </w:tcPr>
          <w:p>
            <w:r>
              <w:rPr>
                <w:color w:val="FFFFFF"/>
              </w:rPr>
            </w:r>
            <w:r>
              <w:rPr>
                <w:rFonts w:ascii="Calibri" w:hAnsi="Calibri" w:eastAsia="微软雅黑"/>
                <w:b/>
                <w:i w:val="0"/>
                <w:color w:val="FFFFFF"/>
                <w:sz w:val="18"/>
              </w:rPr>
              <w:t>净利润(万元)</w:t>
            </w:r>
          </w:p>
        </w:tc>
        <w:tc>
          <w:tcPr>
            <w:tcW w:type="dxa" w:w="1037"/>
            <w:shd w:fill="1F3A5F"/>
          </w:tcPr>
          <w:p>
            <w:r>
              <w:rPr>
                <w:color w:val="FFFFFF"/>
              </w:rPr>
            </w:r>
            <w:r>
              <w:rPr>
                <w:rFonts w:ascii="Calibri" w:hAnsi="Calibri" w:eastAsia="微软雅黑"/>
                <w:b/>
                <w:i w:val="0"/>
                <w:color w:val="FFFFFF"/>
                <w:sz w:val="18"/>
              </w:rPr>
              <w:t>资产负债率*</w:t>
            </w:r>
          </w:p>
        </w:tc>
        <w:tc>
          <w:tcPr>
            <w:tcW w:type="dxa" w:w="1037"/>
            <w:shd w:fill="1F3A5F"/>
          </w:tcPr>
          <w:p>
            <w:r>
              <w:rPr>
                <w:color w:val="FFFFFF"/>
              </w:rPr>
            </w:r>
            <w:r>
              <w:rPr>
                <w:rFonts w:ascii="Calibri" w:hAnsi="Calibri" w:eastAsia="微软雅黑"/>
                <w:b/>
                <w:i w:val="0"/>
                <w:color w:val="FFFFFF"/>
                <w:sz w:val="18"/>
              </w:rPr>
              <w:t>净资产收益率*</w:t>
            </w:r>
          </w:p>
        </w:tc>
        <w:tc>
          <w:tcPr>
            <w:tcW w:type="dxa" w:w="1037"/>
            <w:shd w:fill="1F3A5F"/>
          </w:tcPr>
          <w:p>
            <w:r>
              <w:rPr>
                <w:color w:val="FFFFFF"/>
              </w:rPr>
            </w:r>
            <w:r>
              <w:rPr>
                <w:rFonts w:ascii="Calibri" w:hAnsi="Calibri" w:eastAsia="微软雅黑"/>
                <w:b/>
                <w:i w:val="0"/>
                <w:color w:val="FFFFFF"/>
                <w:sz w:val="18"/>
              </w:rPr>
              <w:t>锚</w:t>
            </w:r>
          </w:p>
        </w:tc>
      </w:tr>
      <w:tr>
        <w:tc>
          <w:tcPr>
            <w:tcW w:type="dxa" w:w="1037"/>
          </w:tcPr>
          <w:p>
            <w:r/>
            <w:r>
              <w:rPr>
                <w:rFonts w:ascii="Calibri" w:hAnsi="Calibri" w:eastAsia="微软雅黑"/>
                <w:b w:val="0"/>
                <w:i w:val="0"/>
                <w:sz w:val="18"/>
              </w:rPr>
              <w:t>华东勘测设计研究院</w:t>
            </w:r>
          </w:p>
        </w:tc>
        <w:tc>
          <w:tcPr>
            <w:tcW w:type="dxa" w:w="1037"/>
          </w:tcPr>
          <w:p>
            <w:r/>
            <w:r>
              <w:rPr>
                <w:rFonts w:ascii="Calibri" w:hAnsi="Calibri" w:eastAsia="微软雅黑"/>
                <w:b w:val="0"/>
                <w:i w:val="0"/>
                <w:sz w:val="18"/>
              </w:rPr>
              <w:t>500,000.00</w:t>
            </w:r>
          </w:p>
        </w:tc>
        <w:tc>
          <w:tcPr>
            <w:tcW w:type="dxa" w:w="1037"/>
          </w:tcPr>
          <w:p>
            <w:r/>
            <w:r>
              <w:rPr>
                <w:rFonts w:ascii="Calibri" w:hAnsi="Calibri" w:eastAsia="微软雅黑"/>
                <w:b w:val="0"/>
                <w:i w:val="0"/>
                <w:sz w:val="18"/>
              </w:rPr>
              <w:t>6,000,073.07</w:t>
            </w:r>
          </w:p>
        </w:tc>
        <w:tc>
          <w:tcPr>
            <w:tcW w:type="dxa" w:w="1037"/>
          </w:tcPr>
          <w:p>
            <w:r/>
            <w:r>
              <w:rPr>
                <w:rFonts w:ascii="Calibri" w:hAnsi="Calibri" w:eastAsia="微软雅黑"/>
                <w:b w:val="0"/>
                <w:i w:val="0"/>
                <w:sz w:val="18"/>
              </w:rPr>
              <w:t>1,255,369.78</w:t>
            </w:r>
          </w:p>
        </w:tc>
        <w:tc>
          <w:tcPr>
            <w:tcW w:type="dxa" w:w="1037"/>
          </w:tcPr>
          <w:p>
            <w:r/>
            <w:r>
              <w:rPr>
                <w:rFonts w:ascii="Calibri" w:hAnsi="Calibri" w:eastAsia="微软雅黑"/>
                <w:b w:val="0"/>
                <w:i w:val="0"/>
                <w:sz w:val="18"/>
              </w:rPr>
              <w:t>116,905.07</w:t>
            </w:r>
          </w:p>
        </w:tc>
        <w:tc>
          <w:tcPr>
            <w:tcW w:type="dxa" w:w="1037"/>
          </w:tcPr>
          <w:p>
            <w:r/>
            <w:r>
              <w:rPr>
                <w:rFonts w:ascii="Calibri" w:hAnsi="Calibri" w:eastAsia="微软雅黑"/>
                <w:b w:val="0"/>
                <w:i w:val="0"/>
                <w:sz w:val="18"/>
              </w:rPr>
              <w:t>≈0.7908</w:t>
            </w:r>
          </w:p>
        </w:tc>
        <w:tc>
          <w:tcPr>
            <w:tcW w:type="dxa" w:w="1037"/>
          </w:tcPr>
          <w:p>
            <w:r/>
            <w:r>
              <w:rPr>
                <w:rFonts w:ascii="Calibri" w:hAnsi="Calibri" w:eastAsia="微软雅黑"/>
                <w:b w:val="0"/>
                <w:i w:val="0"/>
                <w:sz w:val="18"/>
              </w:rPr>
              <w:t>≈0.0931</w:t>
            </w:r>
          </w:p>
        </w:tc>
        <w:tc>
          <w:tcPr>
            <w:tcW w:type="dxa" w:w="1037"/>
          </w:tcPr>
          <w:p>
            <w:r/>
            <w:r>
              <w:rPr>
                <w:rFonts w:ascii="Calibri" w:hAnsi="Calibri" w:eastAsia="微软雅黑"/>
                <w:b w:val="0"/>
                <w:i w:val="0"/>
                <w:sz w:val="18"/>
              </w:rPr>
              <w:t>P5000</w:t>
            </w:r>
          </w:p>
        </w:tc>
      </w:tr>
      <w:tr>
        <w:tc>
          <w:tcPr>
            <w:tcW w:type="dxa" w:w="1037"/>
          </w:tcPr>
          <w:p>
            <w:r/>
            <w:r>
              <w:rPr>
                <w:rFonts w:ascii="Calibri" w:hAnsi="Calibri" w:eastAsia="微软雅黑"/>
                <w:b w:val="0"/>
                <w:i w:val="0"/>
                <w:sz w:val="18"/>
              </w:rPr>
              <w:t>成都勘测设计研究院</w:t>
            </w:r>
          </w:p>
        </w:tc>
        <w:tc>
          <w:tcPr>
            <w:tcW w:type="dxa" w:w="1037"/>
          </w:tcPr>
          <w:p>
            <w:r/>
            <w:r>
              <w:rPr>
                <w:rFonts w:ascii="Calibri" w:hAnsi="Calibri" w:eastAsia="微软雅黑"/>
                <w:b w:val="0"/>
                <w:i w:val="0"/>
                <w:sz w:val="18"/>
              </w:rPr>
              <w:t>500,000.00</w:t>
            </w:r>
          </w:p>
        </w:tc>
        <w:tc>
          <w:tcPr>
            <w:tcW w:type="dxa" w:w="1037"/>
          </w:tcPr>
          <w:p>
            <w:r/>
            <w:r>
              <w:rPr>
                <w:rFonts w:ascii="Calibri" w:hAnsi="Calibri" w:eastAsia="微软雅黑"/>
                <w:b w:val="0"/>
                <w:i w:val="0"/>
                <w:sz w:val="18"/>
              </w:rPr>
              <w:t>3,283,448.36</w:t>
            </w:r>
          </w:p>
        </w:tc>
        <w:tc>
          <w:tcPr>
            <w:tcW w:type="dxa" w:w="1037"/>
          </w:tcPr>
          <w:p>
            <w:r/>
            <w:r>
              <w:rPr>
                <w:rFonts w:ascii="Calibri" w:hAnsi="Calibri" w:eastAsia="微软雅黑"/>
                <w:b w:val="0"/>
                <w:i w:val="0"/>
                <w:sz w:val="18"/>
              </w:rPr>
              <w:t>957,847.27</w:t>
            </w:r>
          </w:p>
        </w:tc>
        <w:tc>
          <w:tcPr>
            <w:tcW w:type="dxa" w:w="1037"/>
          </w:tcPr>
          <w:p>
            <w:r/>
            <w:r>
              <w:rPr>
                <w:rFonts w:ascii="Calibri" w:hAnsi="Calibri" w:eastAsia="微软雅黑"/>
                <w:b w:val="0"/>
                <w:i w:val="0"/>
                <w:sz w:val="18"/>
              </w:rPr>
              <w:t>127,679.48</w:t>
            </w:r>
          </w:p>
        </w:tc>
        <w:tc>
          <w:tcPr>
            <w:tcW w:type="dxa" w:w="1037"/>
          </w:tcPr>
          <w:p>
            <w:r/>
            <w:r>
              <w:rPr>
                <w:rFonts w:ascii="Calibri" w:hAnsi="Calibri" w:eastAsia="微软雅黑"/>
                <w:b w:val="0"/>
                <w:i w:val="0"/>
                <w:sz w:val="18"/>
              </w:rPr>
              <w:t>≈0.7083</w:t>
            </w:r>
          </w:p>
        </w:tc>
        <w:tc>
          <w:tcPr>
            <w:tcW w:type="dxa" w:w="1037"/>
          </w:tcPr>
          <w:p>
            <w:r/>
            <w:r>
              <w:rPr>
                <w:rFonts w:ascii="Calibri" w:hAnsi="Calibri" w:eastAsia="微软雅黑"/>
                <w:b w:val="0"/>
                <w:i w:val="0"/>
                <w:sz w:val="18"/>
              </w:rPr>
              <w:t>≈0.1333</w:t>
            </w:r>
          </w:p>
        </w:tc>
        <w:tc>
          <w:tcPr>
            <w:tcW w:type="dxa" w:w="1037"/>
          </w:tcPr>
          <w:p>
            <w:r/>
            <w:r>
              <w:rPr>
                <w:rFonts w:ascii="Calibri" w:hAnsi="Calibri" w:eastAsia="微软雅黑"/>
                <w:b w:val="0"/>
                <w:i w:val="0"/>
                <w:sz w:val="18"/>
              </w:rPr>
              <w:t>P5000</w:t>
            </w:r>
          </w:p>
        </w:tc>
      </w:tr>
      <w:tr>
        <w:tc>
          <w:tcPr>
            <w:tcW w:type="dxa" w:w="1037"/>
          </w:tcPr>
          <w:p>
            <w:r/>
            <w:r>
              <w:rPr>
                <w:rFonts w:ascii="Calibri" w:hAnsi="Calibri" w:eastAsia="微软雅黑"/>
                <w:b w:val="0"/>
                <w:i w:val="0"/>
                <w:sz w:val="18"/>
              </w:rPr>
              <w:t>中南勘测设计研究院</w:t>
            </w:r>
          </w:p>
        </w:tc>
        <w:tc>
          <w:tcPr>
            <w:tcW w:type="dxa" w:w="1037"/>
          </w:tcPr>
          <w:p>
            <w:r/>
            <w:r>
              <w:rPr>
                <w:rFonts w:ascii="Calibri" w:hAnsi="Calibri" w:eastAsia="微软雅黑"/>
                <w:b w:val="0"/>
                <w:i w:val="0"/>
                <w:sz w:val="18"/>
              </w:rPr>
              <w:t>135,000.00</w:t>
            </w:r>
          </w:p>
        </w:tc>
        <w:tc>
          <w:tcPr>
            <w:tcW w:type="dxa" w:w="1037"/>
          </w:tcPr>
          <w:p>
            <w:r/>
            <w:r>
              <w:rPr>
                <w:rFonts w:ascii="Calibri" w:hAnsi="Calibri" w:eastAsia="微软雅黑"/>
                <w:b w:val="0"/>
                <w:i w:val="0"/>
                <w:sz w:val="18"/>
              </w:rPr>
              <w:t>2,384,399.48</w:t>
            </w:r>
          </w:p>
        </w:tc>
        <w:tc>
          <w:tcPr>
            <w:tcW w:type="dxa" w:w="1037"/>
          </w:tcPr>
          <w:p>
            <w:r/>
            <w:r>
              <w:rPr>
                <w:rFonts w:ascii="Calibri" w:hAnsi="Calibri" w:eastAsia="微软雅黑"/>
                <w:b w:val="0"/>
                <w:i w:val="0"/>
                <w:sz w:val="18"/>
              </w:rPr>
              <w:t>659,036.94</w:t>
            </w:r>
          </w:p>
        </w:tc>
        <w:tc>
          <w:tcPr>
            <w:tcW w:type="dxa" w:w="1037"/>
          </w:tcPr>
          <w:p>
            <w:r/>
            <w:r>
              <w:rPr>
                <w:rFonts w:ascii="Calibri" w:hAnsi="Calibri" w:eastAsia="微软雅黑"/>
                <w:b w:val="0"/>
                <w:i w:val="0"/>
                <w:sz w:val="18"/>
              </w:rPr>
              <w:t>76,806.28</w:t>
            </w:r>
          </w:p>
        </w:tc>
        <w:tc>
          <w:tcPr>
            <w:tcW w:type="dxa" w:w="1037"/>
          </w:tcPr>
          <w:p>
            <w:r/>
            <w:r>
              <w:rPr>
                <w:rFonts w:ascii="Calibri" w:hAnsi="Calibri" w:eastAsia="微软雅黑"/>
                <w:b w:val="0"/>
                <w:i w:val="0"/>
                <w:sz w:val="18"/>
              </w:rPr>
              <w:t>≈0.7236</w:t>
            </w:r>
          </w:p>
        </w:tc>
        <w:tc>
          <w:tcPr>
            <w:tcW w:type="dxa" w:w="1037"/>
          </w:tcPr>
          <w:p>
            <w:r/>
            <w:r>
              <w:rPr>
                <w:rFonts w:ascii="Calibri" w:hAnsi="Calibri" w:eastAsia="微软雅黑"/>
                <w:b w:val="0"/>
                <w:i w:val="0"/>
                <w:sz w:val="18"/>
              </w:rPr>
              <w:t>≈0.1165</w:t>
            </w:r>
          </w:p>
        </w:tc>
        <w:tc>
          <w:tcPr>
            <w:tcW w:type="dxa" w:w="1037"/>
          </w:tcPr>
          <w:p>
            <w:r/>
            <w:r>
              <w:rPr>
                <w:rFonts w:ascii="Calibri" w:hAnsi="Calibri" w:eastAsia="微软雅黑"/>
                <w:b w:val="0"/>
                <w:i w:val="0"/>
                <w:sz w:val="18"/>
              </w:rPr>
              <w:t>P5000</w:t>
            </w:r>
          </w:p>
        </w:tc>
      </w:tr>
      <w:tr>
        <w:tc>
          <w:tcPr>
            <w:tcW w:type="dxa" w:w="1037"/>
          </w:tcPr>
          <w:p>
            <w:r/>
            <w:r>
              <w:rPr>
                <w:rFonts w:ascii="Calibri" w:hAnsi="Calibri" w:eastAsia="微软雅黑"/>
                <w:b w:val="0"/>
                <w:i w:val="0"/>
                <w:sz w:val="18"/>
              </w:rPr>
              <w:t>西北勘测设计研究院</w:t>
            </w:r>
          </w:p>
        </w:tc>
        <w:tc>
          <w:tcPr>
            <w:tcW w:type="dxa" w:w="1037"/>
          </w:tcPr>
          <w:p>
            <w:r/>
            <w:r>
              <w:rPr>
                <w:rFonts w:ascii="Calibri" w:hAnsi="Calibri" w:eastAsia="微软雅黑"/>
                <w:b w:val="0"/>
                <w:i w:val="0"/>
                <w:sz w:val="18"/>
              </w:rPr>
              <w:t>218,000.00</w:t>
            </w:r>
          </w:p>
        </w:tc>
        <w:tc>
          <w:tcPr>
            <w:tcW w:type="dxa" w:w="1037"/>
          </w:tcPr>
          <w:p>
            <w:r/>
            <w:r>
              <w:rPr>
                <w:rFonts w:ascii="Calibri" w:hAnsi="Calibri" w:eastAsia="微软雅黑"/>
                <w:b w:val="0"/>
                <w:i w:val="0"/>
                <w:sz w:val="18"/>
              </w:rPr>
              <w:t>2,132,983.69</w:t>
            </w:r>
          </w:p>
        </w:tc>
        <w:tc>
          <w:tcPr>
            <w:tcW w:type="dxa" w:w="1037"/>
          </w:tcPr>
          <w:p>
            <w:r/>
            <w:r>
              <w:rPr>
                <w:rFonts w:ascii="Calibri" w:hAnsi="Calibri" w:eastAsia="微软雅黑"/>
                <w:b w:val="0"/>
                <w:i w:val="0"/>
                <w:sz w:val="18"/>
              </w:rPr>
              <w:t>526,026.04</w:t>
            </w:r>
          </w:p>
        </w:tc>
        <w:tc>
          <w:tcPr>
            <w:tcW w:type="dxa" w:w="1037"/>
          </w:tcPr>
          <w:p>
            <w:r/>
            <w:r>
              <w:rPr>
                <w:rFonts w:ascii="Calibri" w:hAnsi="Calibri" w:eastAsia="微软雅黑"/>
                <w:b w:val="0"/>
                <w:i w:val="0"/>
                <w:sz w:val="18"/>
              </w:rPr>
              <w:t>83,005.73</w:t>
            </w:r>
          </w:p>
        </w:tc>
        <w:tc>
          <w:tcPr>
            <w:tcW w:type="dxa" w:w="1037"/>
          </w:tcPr>
          <w:p>
            <w:r/>
            <w:r>
              <w:rPr>
                <w:rFonts w:ascii="Calibri" w:hAnsi="Calibri" w:eastAsia="微软雅黑"/>
                <w:b w:val="0"/>
                <w:i w:val="0"/>
                <w:sz w:val="18"/>
              </w:rPr>
              <w:t>≈0.7534</w:t>
            </w:r>
          </w:p>
        </w:tc>
        <w:tc>
          <w:tcPr>
            <w:tcW w:type="dxa" w:w="1037"/>
          </w:tcPr>
          <w:p>
            <w:r/>
            <w:r>
              <w:rPr>
                <w:rFonts w:ascii="Calibri" w:hAnsi="Calibri" w:eastAsia="微软雅黑"/>
                <w:b w:val="0"/>
                <w:i w:val="0"/>
                <w:sz w:val="18"/>
              </w:rPr>
              <w:t>≈0.1578</w:t>
            </w:r>
          </w:p>
        </w:tc>
        <w:tc>
          <w:tcPr>
            <w:tcW w:type="dxa" w:w="1037"/>
          </w:tcPr>
          <w:p>
            <w:r/>
            <w:r>
              <w:rPr>
                <w:rFonts w:ascii="Calibri" w:hAnsi="Calibri" w:eastAsia="微软雅黑"/>
                <w:b w:val="0"/>
                <w:i w:val="0"/>
                <w:sz w:val="18"/>
              </w:rPr>
              <w:t>P5000</w:t>
            </w:r>
          </w:p>
        </w:tc>
      </w:tr>
      <w:tr>
        <w:tc>
          <w:tcPr>
            <w:tcW w:type="dxa" w:w="1037"/>
          </w:tcPr>
          <w:p>
            <w:r/>
            <w:r>
              <w:rPr>
                <w:rFonts w:ascii="Calibri" w:hAnsi="Calibri" w:eastAsia="微软雅黑"/>
                <w:b w:val="0"/>
                <w:i w:val="0"/>
                <w:sz w:val="18"/>
              </w:rPr>
              <w:t>昆明勘测设计研究院</w:t>
            </w:r>
          </w:p>
        </w:tc>
        <w:tc>
          <w:tcPr>
            <w:tcW w:type="dxa" w:w="1037"/>
          </w:tcPr>
          <w:p>
            <w:r/>
            <w:r>
              <w:rPr>
                <w:rFonts w:ascii="Calibri" w:hAnsi="Calibri" w:eastAsia="微软雅黑"/>
                <w:b w:val="0"/>
                <w:i w:val="0"/>
                <w:sz w:val="18"/>
              </w:rPr>
              <w:t>160,000.00</w:t>
            </w:r>
          </w:p>
        </w:tc>
        <w:tc>
          <w:tcPr>
            <w:tcW w:type="dxa" w:w="1037"/>
          </w:tcPr>
          <w:p>
            <w:r/>
            <w:r>
              <w:rPr>
                <w:rFonts w:ascii="Calibri" w:hAnsi="Calibri" w:eastAsia="微软雅黑"/>
                <w:b w:val="0"/>
                <w:i w:val="0"/>
                <w:sz w:val="18"/>
              </w:rPr>
              <w:t>1,997,841.41</w:t>
            </w:r>
          </w:p>
        </w:tc>
        <w:tc>
          <w:tcPr>
            <w:tcW w:type="dxa" w:w="1037"/>
          </w:tcPr>
          <w:p>
            <w:r/>
            <w:r>
              <w:rPr>
                <w:rFonts w:ascii="Calibri" w:hAnsi="Calibri" w:eastAsia="微软雅黑"/>
                <w:b w:val="0"/>
                <w:i w:val="0"/>
                <w:sz w:val="18"/>
              </w:rPr>
              <w:t>654,352.39</w:t>
            </w:r>
          </w:p>
        </w:tc>
        <w:tc>
          <w:tcPr>
            <w:tcW w:type="dxa" w:w="1037"/>
          </w:tcPr>
          <w:p>
            <w:r/>
            <w:r>
              <w:rPr>
                <w:rFonts w:ascii="Calibri" w:hAnsi="Calibri" w:eastAsia="微软雅黑"/>
                <w:b w:val="0"/>
                <w:i w:val="0"/>
                <w:sz w:val="18"/>
              </w:rPr>
              <w:t>40,323.82</w:t>
            </w:r>
          </w:p>
        </w:tc>
        <w:tc>
          <w:tcPr>
            <w:tcW w:type="dxa" w:w="1037"/>
          </w:tcPr>
          <w:p>
            <w:r/>
            <w:r>
              <w:rPr>
                <w:rFonts w:ascii="Calibri" w:hAnsi="Calibri" w:eastAsia="微软雅黑"/>
                <w:b w:val="0"/>
                <w:i w:val="0"/>
                <w:sz w:val="18"/>
              </w:rPr>
              <w:t>≈0.6725</w:t>
            </w:r>
          </w:p>
        </w:tc>
        <w:tc>
          <w:tcPr>
            <w:tcW w:type="dxa" w:w="1037"/>
          </w:tcPr>
          <w:p>
            <w:r/>
            <w:r>
              <w:rPr>
                <w:rFonts w:ascii="Calibri" w:hAnsi="Calibri" w:eastAsia="微软雅黑"/>
                <w:b w:val="0"/>
                <w:i w:val="0"/>
                <w:sz w:val="18"/>
              </w:rPr>
              <w:t>≈0.0616</w:t>
            </w:r>
          </w:p>
        </w:tc>
        <w:tc>
          <w:tcPr>
            <w:tcW w:type="dxa" w:w="1037"/>
          </w:tcPr>
          <w:p>
            <w:r/>
            <w:r>
              <w:rPr>
                <w:rFonts w:ascii="Calibri" w:hAnsi="Calibri" w:eastAsia="微软雅黑"/>
                <w:b w:val="0"/>
                <w:i w:val="0"/>
                <w:sz w:val="18"/>
              </w:rPr>
              <w:t>P5000</w:t>
            </w:r>
          </w:p>
        </w:tc>
      </w:tr>
      <w:tr>
        <w:tc>
          <w:tcPr>
            <w:tcW w:type="dxa" w:w="1037"/>
          </w:tcPr>
          <w:p>
            <w:r/>
            <w:r>
              <w:rPr>
                <w:rFonts w:ascii="Calibri" w:hAnsi="Calibri" w:eastAsia="微软雅黑"/>
                <w:b w:val="0"/>
                <w:i w:val="0"/>
                <w:sz w:val="18"/>
              </w:rPr>
              <w:t>贵阳勘测设计研究院</w:t>
            </w:r>
          </w:p>
        </w:tc>
        <w:tc>
          <w:tcPr>
            <w:tcW w:type="dxa" w:w="1037"/>
          </w:tcPr>
          <w:p>
            <w:r/>
            <w:r>
              <w:rPr>
                <w:rFonts w:ascii="Calibri" w:hAnsi="Calibri" w:eastAsia="微软雅黑"/>
                <w:b w:val="0"/>
                <w:i w:val="0"/>
                <w:sz w:val="18"/>
              </w:rPr>
              <w:t>210,000.00</w:t>
            </w:r>
          </w:p>
        </w:tc>
        <w:tc>
          <w:tcPr>
            <w:tcW w:type="dxa" w:w="1037"/>
          </w:tcPr>
          <w:p>
            <w:r/>
            <w:r>
              <w:rPr>
                <w:rFonts w:ascii="Calibri" w:hAnsi="Calibri" w:eastAsia="微软雅黑"/>
                <w:b w:val="0"/>
                <w:i w:val="0"/>
                <w:sz w:val="18"/>
              </w:rPr>
              <w:t>1,502,877.14</w:t>
            </w:r>
          </w:p>
        </w:tc>
        <w:tc>
          <w:tcPr>
            <w:tcW w:type="dxa" w:w="1037"/>
          </w:tcPr>
          <w:p>
            <w:r/>
            <w:r>
              <w:rPr>
                <w:rFonts w:ascii="Calibri" w:hAnsi="Calibri" w:eastAsia="微软雅黑"/>
                <w:b w:val="0"/>
                <w:i w:val="0"/>
                <w:sz w:val="18"/>
              </w:rPr>
              <w:t>465,155.48</w:t>
            </w:r>
          </w:p>
        </w:tc>
        <w:tc>
          <w:tcPr>
            <w:tcW w:type="dxa" w:w="1037"/>
          </w:tcPr>
          <w:p>
            <w:r/>
            <w:r>
              <w:rPr>
                <w:rFonts w:ascii="Calibri" w:hAnsi="Calibri" w:eastAsia="微软雅黑"/>
                <w:b w:val="0"/>
                <w:i w:val="0"/>
                <w:sz w:val="18"/>
              </w:rPr>
              <w:t>61,054.51</w:t>
            </w:r>
          </w:p>
        </w:tc>
        <w:tc>
          <w:tcPr>
            <w:tcW w:type="dxa" w:w="1037"/>
          </w:tcPr>
          <w:p>
            <w:r/>
            <w:r>
              <w:rPr>
                <w:rFonts w:ascii="Calibri" w:hAnsi="Calibri" w:eastAsia="微软雅黑"/>
                <w:b w:val="0"/>
                <w:i w:val="0"/>
                <w:sz w:val="18"/>
              </w:rPr>
              <w:t>≈0.6905</w:t>
            </w:r>
          </w:p>
        </w:tc>
        <w:tc>
          <w:tcPr>
            <w:tcW w:type="dxa" w:w="1037"/>
          </w:tcPr>
          <w:p>
            <w:r/>
            <w:r>
              <w:rPr>
                <w:rFonts w:ascii="Calibri" w:hAnsi="Calibri" w:eastAsia="微软雅黑"/>
                <w:b w:val="0"/>
                <w:i w:val="0"/>
                <w:sz w:val="18"/>
              </w:rPr>
              <w:t>≈0.1313</w:t>
            </w:r>
          </w:p>
        </w:tc>
        <w:tc>
          <w:tcPr>
            <w:tcW w:type="dxa" w:w="1037"/>
          </w:tcPr>
          <w:p>
            <w:r/>
            <w:r>
              <w:rPr>
                <w:rFonts w:ascii="Calibri" w:hAnsi="Calibri" w:eastAsia="微软雅黑"/>
                <w:b w:val="0"/>
                <w:i w:val="0"/>
                <w:sz w:val="18"/>
              </w:rPr>
              <w:t>P5000</w:t>
            </w:r>
          </w:p>
        </w:tc>
      </w:tr>
      <w:tr>
        <w:tc>
          <w:tcPr>
            <w:tcW w:type="dxa" w:w="1037"/>
          </w:tcPr>
          <w:p>
            <w:r/>
            <w:r>
              <w:rPr>
                <w:rFonts w:ascii="Calibri" w:hAnsi="Calibri" w:eastAsia="微软雅黑"/>
                <w:b w:val="0"/>
                <w:i w:val="0"/>
                <w:sz w:val="18"/>
              </w:rPr>
              <w:t>北京勘测设计研究院</w:t>
            </w:r>
          </w:p>
        </w:tc>
        <w:tc>
          <w:tcPr>
            <w:tcW w:type="dxa" w:w="1037"/>
          </w:tcPr>
          <w:p>
            <w:r/>
            <w:r>
              <w:rPr>
                <w:rFonts w:ascii="Calibri" w:hAnsi="Calibri" w:eastAsia="微软雅黑"/>
                <w:b w:val="0"/>
                <w:i w:val="0"/>
                <w:sz w:val="18"/>
              </w:rPr>
              <w:t>80,000.00</w:t>
            </w:r>
          </w:p>
        </w:tc>
        <w:tc>
          <w:tcPr>
            <w:tcW w:type="dxa" w:w="1037"/>
          </w:tcPr>
          <w:p>
            <w:r/>
            <w:r>
              <w:rPr>
                <w:rFonts w:ascii="Calibri" w:hAnsi="Calibri" w:eastAsia="微软雅黑"/>
                <w:b w:val="0"/>
                <w:i w:val="0"/>
                <w:sz w:val="18"/>
              </w:rPr>
              <w:t>1,462,858.66</w:t>
            </w:r>
          </w:p>
        </w:tc>
        <w:tc>
          <w:tcPr>
            <w:tcW w:type="dxa" w:w="1037"/>
          </w:tcPr>
          <w:p>
            <w:r/>
            <w:r>
              <w:rPr>
                <w:rFonts w:ascii="Calibri" w:hAnsi="Calibri" w:eastAsia="微软雅黑"/>
                <w:b w:val="0"/>
                <w:i w:val="0"/>
                <w:sz w:val="18"/>
              </w:rPr>
              <w:t>513,928.17</w:t>
            </w:r>
          </w:p>
        </w:tc>
        <w:tc>
          <w:tcPr>
            <w:tcW w:type="dxa" w:w="1037"/>
          </w:tcPr>
          <w:p>
            <w:r/>
            <w:r>
              <w:rPr>
                <w:rFonts w:ascii="Calibri" w:hAnsi="Calibri" w:eastAsia="微软雅黑"/>
                <w:b w:val="0"/>
                <w:i w:val="0"/>
                <w:sz w:val="18"/>
              </w:rPr>
              <w:t>35,132.29</w:t>
            </w:r>
          </w:p>
        </w:tc>
        <w:tc>
          <w:tcPr>
            <w:tcW w:type="dxa" w:w="1037"/>
          </w:tcPr>
          <w:p>
            <w:r/>
            <w:r>
              <w:rPr>
                <w:rFonts w:ascii="Calibri" w:hAnsi="Calibri" w:eastAsia="微软雅黑"/>
                <w:b w:val="0"/>
                <w:i w:val="0"/>
                <w:sz w:val="18"/>
              </w:rPr>
              <w:t>≈0.6487</w:t>
            </w:r>
          </w:p>
        </w:tc>
        <w:tc>
          <w:tcPr>
            <w:tcW w:type="dxa" w:w="1037"/>
          </w:tcPr>
          <w:p>
            <w:r/>
            <w:r>
              <w:rPr>
                <w:rFonts w:ascii="Calibri" w:hAnsi="Calibri" w:eastAsia="微软雅黑"/>
                <w:b w:val="0"/>
                <w:i w:val="0"/>
                <w:sz w:val="18"/>
              </w:rPr>
              <w:t>≈0.0684</w:t>
            </w:r>
          </w:p>
        </w:tc>
        <w:tc>
          <w:tcPr>
            <w:tcW w:type="dxa" w:w="1037"/>
          </w:tcPr>
          <w:p>
            <w:r/>
            <w:r>
              <w:rPr>
                <w:rFonts w:ascii="Calibri" w:hAnsi="Calibri" w:eastAsia="微软雅黑"/>
                <w:b w:val="0"/>
                <w:i w:val="0"/>
                <w:sz w:val="18"/>
              </w:rPr>
              <w:t>P5000</w:t>
            </w:r>
          </w:p>
        </w:tc>
      </w:tr>
      <w:tr>
        <w:tc>
          <w:tcPr>
            <w:tcW w:type="dxa" w:w="1037"/>
          </w:tcPr>
          <w:p>
            <w:r/>
            <w:r>
              <w:rPr>
                <w:rFonts w:ascii="Calibri" w:hAnsi="Calibri" w:eastAsia="微软雅黑"/>
                <w:b w:val="0"/>
                <w:i w:val="0"/>
                <w:sz w:val="18"/>
              </w:rPr>
              <w:t>四川电力设计咨询公司</w:t>
            </w:r>
          </w:p>
        </w:tc>
        <w:tc>
          <w:tcPr>
            <w:tcW w:type="dxa" w:w="1037"/>
          </w:tcPr>
          <w:p>
            <w:r/>
            <w:r>
              <w:rPr>
                <w:rFonts w:ascii="Calibri" w:hAnsi="Calibri" w:eastAsia="微软雅黑"/>
                <w:b w:val="0"/>
                <w:i w:val="0"/>
                <w:sz w:val="18"/>
              </w:rPr>
              <w:t>80,000.00</w:t>
            </w:r>
          </w:p>
        </w:tc>
        <w:tc>
          <w:tcPr>
            <w:tcW w:type="dxa" w:w="1037"/>
          </w:tcPr>
          <w:p>
            <w:r/>
            <w:r>
              <w:rPr>
                <w:rFonts w:ascii="Calibri" w:hAnsi="Calibri" w:eastAsia="微软雅黑"/>
                <w:b w:val="0"/>
                <w:i w:val="0"/>
                <w:sz w:val="18"/>
              </w:rPr>
              <w:t>965,067.09</w:t>
            </w:r>
          </w:p>
        </w:tc>
        <w:tc>
          <w:tcPr>
            <w:tcW w:type="dxa" w:w="1037"/>
          </w:tcPr>
          <w:p>
            <w:r/>
            <w:r>
              <w:rPr>
                <w:rFonts w:ascii="Calibri" w:hAnsi="Calibri" w:eastAsia="微软雅黑"/>
                <w:b w:val="0"/>
                <w:i w:val="0"/>
                <w:sz w:val="18"/>
              </w:rPr>
              <w:t>117,834.36</w:t>
            </w:r>
          </w:p>
        </w:tc>
        <w:tc>
          <w:tcPr>
            <w:tcW w:type="dxa" w:w="1037"/>
          </w:tcPr>
          <w:p>
            <w:r/>
            <w:r>
              <w:rPr>
                <w:rFonts w:ascii="Calibri" w:hAnsi="Calibri" w:eastAsia="微软雅黑"/>
                <w:b w:val="0"/>
                <w:i w:val="0"/>
                <w:sz w:val="18"/>
              </w:rPr>
              <w:t>-73,467.86</w:t>
            </w:r>
          </w:p>
        </w:tc>
        <w:tc>
          <w:tcPr>
            <w:tcW w:type="dxa" w:w="1037"/>
          </w:tcPr>
          <w:p>
            <w:r/>
            <w:r>
              <w:rPr>
                <w:rFonts w:ascii="Calibri" w:hAnsi="Calibri" w:eastAsia="微软雅黑"/>
                <w:b w:val="0"/>
                <w:i w:val="0"/>
                <w:sz w:val="18"/>
              </w:rPr>
              <w:t>≈0.8779</w:t>
            </w:r>
          </w:p>
        </w:tc>
        <w:tc>
          <w:tcPr>
            <w:tcW w:type="dxa" w:w="1037"/>
          </w:tcPr>
          <w:p>
            <w:r/>
            <w:r>
              <w:rPr>
                <w:rFonts w:ascii="Calibri" w:hAnsi="Calibri" w:eastAsia="微软雅黑"/>
                <w:b w:val="0"/>
                <w:i w:val="0"/>
                <w:sz w:val="18"/>
              </w:rPr>
              <w:t>≈-0.6235</w:t>
            </w:r>
          </w:p>
        </w:tc>
        <w:tc>
          <w:tcPr>
            <w:tcW w:type="dxa" w:w="1037"/>
          </w:tcPr>
          <w:p>
            <w:r/>
            <w:r>
              <w:rPr>
                <w:rFonts w:ascii="Calibri" w:hAnsi="Calibri" w:eastAsia="微软雅黑"/>
                <w:b w:val="0"/>
                <w:i w:val="0"/>
                <w:sz w:val="18"/>
              </w:rPr>
              <w:t>P5000</w:t>
            </w:r>
          </w:p>
        </w:tc>
      </w:tr>
      <w:tr>
        <w:tc>
          <w:tcPr>
            <w:tcW w:type="dxa" w:w="1037"/>
          </w:tcPr>
          <w:p>
            <w:r/>
            <w:r>
              <w:rPr>
                <w:rFonts w:ascii="Calibri" w:hAnsi="Calibri" w:eastAsia="微软雅黑"/>
                <w:b w:val="0"/>
                <w:i w:val="0"/>
                <w:sz w:val="18"/>
              </w:rPr>
              <w:t>华中电力设计研究院</w:t>
            </w:r>
          </w:p>
        </w:tc>
        <w:tc>
          <w:tcPr>
            <w:tcW w:type="dxa" w:w="1037"/>
          </w:tcPr>
          <w:p>
            <w:r/>
            <w:r>
              <w:rPr>
                <w:rFonts w:ascii="Calibri" w:hAnsi="Calibri" w:eastAsia="微软雅黑"/>
                <w:b w:val="0"/>
                <w:i w:val="0"/>
                <w:sz w:val="18"/>
              </w:rPr>
              <w:t>80,000.00</w:t>
            </w:r>
          </w:p>
        </w:tc>
        <w:tc>
          <w:tcPr>
            <w:tcW w:type="dxa" w:w="1037"/>
          </w:tcPr>
          <w:p>
            <w:r/>
            <w:r>
              <w:rPr>
                <w:rFonts w:ascii="Calibri" w:hAnsi="Calibri" w:eastAsia="微软雅黑"/>
                <w:b w:val="0"/>
                <w:i w:val="0"/>
                <w:sz w:val="18"/>
              </w:rPr>
              <w:t>821,929.62</w:t>
            </w:r>
          </w:p>
        </w:tc>
        <w:tc>
          <w:tcPr>
            <w:tcW w:type="dxa" w:w="1037"/>
          </w:tcPr>
          <w:p>
            <w:r/>
            <w:r>
              <w:rPr>
                <w:rFonts w:ascii="Calibri" w:hAnsi="Calibri" w:eastAsia="微软雅黑"/>
                <w:b w:val="0"/>
                <w:i w:val="0"/>
                <w:sz w:val="18"/>
              </w:rPr>
              <w:t>210,024.42</w:t>
            </w:r>
          </w:p>
        </w:tc>
        <w:tc>
          <w:tcPr>
            <w:tcW w:type="dxa" w:w="1037"/>
          </w:tcPr>
          <w:p>
            <w:r/>
            <w:r>
              <w:rPr>
                <w:rFonts w:ascii="Calibri" w:hAnsi="Calibri" w:eastAsia="微软雅黑"/>
                <w:b w:val="0"/>
                <w:i w:val="0"/>
                <w:sz w:val="18"/>
              </w:rPr>
              <w:t>4,486.37</w:t>
            </w:r>
          </w:p>
        </w:tc>
        <w:tc>
          <w:tcPr>
            <w:tcW w:type="dxa" w:w="1037"/>
          </w:tcPr>
          <w:p>
            <w:r/>
            <w:r>
              <w:rPr>
                <w:rFonts w:ascii="Calibri" w:hAnsi="Calibri" w:eastAsia="微软雅黑"/>
                <w:b w:val="0"/>
                <w:i w:val="0"/>
                <w:sz w:val="18"/>
              </w:rPr>
              <w:t>≈0.7445</w:t>
            </w:r>
          </w:p>
        </w:tc>
        <w:tc>
          <w:tcPr>
            <w:tcW w:type="dxa" w:w="1037"/>
          </w:tcPr>
          <w:p>
            <w:r/>
            <w:r>
              <w:rPr>
                <w:rFonts w:ascii="Calibri" w:hAnsi="Calibri" w:eastAsia="微软雅黑"/>
                <w:b w:val="0"/>
                <w:i w:val="0"/>
                <w:sz w:val="18"/>
              </w:rPr>
              <w:t>≈0.0214</w:t>
            </w:r>
          </w:p>
        </w:tc>
        <w:tc>
          <w:tcPr>
            <w:tcW w:type="dxa" w:w="1037"/>
          </w:tcPr>
          <w:p>
            <w:r/>
            <w:r>
              <w:rPr>
                <w:rFonts w:ascii="Calibri" w:hAnsi="Calibri" w:eastAsia="微软雅黑"/>
                <w:b w:val="0"/>
                <w:i w:val="0"/>
                <w:sz w:val="18"/>
              </w:rPr>
              <w:t>P5000</w:t>
            </w:r>
          </w:p>
        </w:tc>
      </w:tr>
      <w:tr>
        <w:tc>
          <w:tcPr>
            <w:tcW w:type="dxa" w:w="1037"/>
          </w:tcPr>
          <w:p>
            <w:r/>
            <w:r>
              <w:rPr>
                <w:rFonts w:ascii="Calibri" w:hAnsi="Calibri" w:eastAsia="微软雅黑"/>
                <w:b w:val="0"/>
                <w:i w:val="0"/>
                <w:sz w:val="18"/>
              </w:rPr>
              <w:t>河北省电力勘测设计研究院</w:t>
            </w:r>
          </w:p>
        </w:tc>
        <w:tc>
          <w:tcPr>
            <w:tcW w:type="dxa" w:w="1037"/>
          </w:tcPr>
          <w:p>
            <w:r/>
            <w:r>
              <w:rPr>
                <w:rFonts w:ascii="Calibri" w:hAnsi="Calibri" w:eastAsia="微软雅黑"/>
                <w:b w:val="0"/>
                <w:i w:val="0"/>
                <w:sz w:val="18"/>
              </w:rPr>
              <w:t>80,000.00</w:t>
            </w:r>
          </w:p>
        </w:tc>
        <w:tc>
          <w:tcPr>
            <w:tcW w:type="dxa" w:w="1037"/>
          </w:tcPr>
          <w:p>
            <w:r/>
            <w:r>
              <w:rPr>
                <w:rFonts w:ascii="Calibri" w:hAnsi="Calibri" w:eastAsia="微软雅黑"/>
                <w:b w:val="0"/>
                <w:i w:val="0"/>
                <w:sz w:val="18"/>
              </w:rPr>
              <w:t>713,721.05</w:t>
            </w:r>
          </w:p>
        </w:tc>
        <w:tc>
          <w:tcPr>
            <w:tcW w:type="dxa" w:w="1037"/>
          </w:tcPr>
          <w:p>
            <w:r/>
            <w:r>
              <w:rPr>
                <w:rFonts w:ascii="Calibri" w:hAnsi="Calibri" w:eastAsia="微软雅黑"/>
                <w:b w:val="0"/>
                <w:i w:val="0"/>
                <w:sz w:val="18"/>
              </w:rPr>
              <w:t>245,007.26</w:t>
            </w:r>
          </w:p>
        </w:tc>
        <w:tc>
          <w:tcPr>
            <w:tcW w:type="dxa" w:w="1037"/>
          </w:tcPr>
          <w:p>
            <w:r/>
            <w:r>
              <w:rPr>
                <w:rFonts w:ascii="Calibri" w:hAnsi="Calibri" w:eastAsia="微软雅黑"/>
                <w:b w:val="0"/>
                <w:i w:val="0"/>
                <w:sz w:val="18"/>
              </w:rPr>
              <w:t>22,220.12</w:t>
            </w:r>
          </w:p>
        </w:tc>
        <w:tc>
          <w:tcPr>
            <w:tcW w:type="dxa" w:w="1037"/>
          </w:tcPr>
          <w:p>
            <w:r/>
            <w:r>
              <w:rPr>
                <w:rFonts w:ascii="Calibri" w:hAnsi="Calibri" w:eastAsia="微软雅黑"/>
                <w:b w:val="0"/>
                <w:i w:val="0"/>
                <w:sz w:val="18"/>
              </w:rPr>
              <w:t>≈0.6567</w:t>
            </w:r>
          </w:p>
        </w:tc>
        <w:tc>
          <w:tcPr>
            <w:tcW w:type="dxa" w:w="1037"/>
          </w:tcPr>
          <w:p>
            <w:r/>
            <w:r>
              <w:rPr>
                <w:rFonts w:ascii="Calibri" w:hAnsi="Calibri" w:eastAsia="微软雅黑"/>
                <w:b w:val="0"/>
                <w:i w:val="0"/>
                <w:sz w:val="18"/>
              </w:rPr>
              <w:t>≈0.0907</w:t>
            </w:r>
          </w:p>
        </w:tc>
        <w:tc>
          <w:tcPr>
            <w:tcW w:type="dxa" w:w="1037"/>
          </w:tcPr>
          <w:p>
            <w:r/>
            <w:r>
              <w:rPr>
                <w:rFonts w:ascii="Calibri" w:hAnsi="Calibri" w:eastAsia="微软雅黑"/>
                <w:b w:val="0"/>
                <w:i w:val="0"/>
                <w:sz w:val="18"/>
              </w:rPr>
              <w:t>P5000</w:t>
            </w:r>
          </w:p>
        </w:tc>
      </w:tr>
      <w:tr>
        <w:tc>
          <w:tcPr>
            <w:tcW w:type="dxa" w:w="1037"/>
          </w:tcPr>
          <w:p>
            <w:r/>
            <w:r>
              <w:rPr>
                <w:rFonts w:ascii="Calibri" w:hAnsi="Calibri" w:eastAsia="微软雅黑"/>
                <w:b w:val="0"/>
                <w:i w:val="0"/>
                <w:sz w:val="18"/>
              </w:rPr>
              <w:t>江西省电力设计院</w:t>
            </w:r>
          </w:p>
        </w:tc>
        <w:tc>
          <w:tcPr>
            <w:tcW w:type="dxa" w:w="1037"/>
          </w:tcPr>
          <w:p>
            <w:r/>
            <w:r>
              <w:rPr>
                <w:rFonts w:ascii="Calibri" w:hAnsi="Calibri" w:eastAsia="微软雅黑"/>
                <w:b w:val="0"/>
                <w:i w:val="0"/>
                <w:sz w:val="18"/>
              </w:rPr>
              <w:t>78,935.29</w:t>
            </w:r>
          </w:p>
        </w:tc>
        <w:tc>
          <w:tcPr>
            <w:tcW w:type="dxa" w:w="1037"/>
          </w:tcPr>
          <w:p>
            <w:r/>
            <w:r>
              <w:rPr>
                <w:rFonts w:ascii="Calibri" w:hAnsi="Calibri" w:eastAsia="微软雅黑"/>
                <w:b w:val="0"/>
                <w:i w:val="0"/>
                <w:sz w:val="18"/>
              </w:rPr>
              <w:t>611,973.84</w:t>
            </w:r>
          </w:p>
        </w:tc>
        <w:tc>
          <w:tcPr>
            <w:tcW w:type="dxa" w:w="1037"/>
          </w:tcPr>
          <w:p>
            <w:r/>
            <w:r>
              <w:rPr>
                <w:rFonts w:ascii="Calibri" w:hAnsi="Calibri" w:eastAsia="微软雅黑"/>
                <w:b w:val="0"/>
                <w:i w:val="0"/>
                <w:sz w:val="18"/>
              </w:rPr>
              <w:t>175,691.08</w:t>
            </w:r>
          </w:p>
        </w:tc>
        <w:tc>
          <w:tcPr>
            <w:tcW w:type="dxa" w:w="1037"/>
          </w:tcPr>
          <w:p>
            <w:r/>
            <w:r>
              <w:rPr>
                <w:rFonts w:ascii="Calibri" w:hAnsi="Calibri" w:eastAsia="微软雅黑"/>
                <w:b w:val="0"/>
                <w:i w:val="0"/>
                <w:sz w:val="18"/>
              </w:rPr>
              <w:t>17,044.54</w:t>
            </w:r>
          </w:p>
        </w:tc>
        <w:tc>
          <w:tcPr>
            <w:tcW w:type="dxa" w:w="1037"/>
          </w:tcPr>
          <w:p>
            <w:r/>
            <w:r>
              <w:rPr>
                <w:rFonts w:ascii="Calibri" w:hAnsi="Calibri" w:eastAsia="微软雅黑"/>
                <w:b w:val="0"/>
                <w:i w:val="0"/>
                <w:sz w:val="18"/>
              </w:rPr>
              <w:t>≈0.7129</w:t>
            </w:r>
          </w:p>
        </w:tc>
        <w:tc>
          <w:tcPr>
            <w:tcW w:type="dxa" w:w="1037"/>
          </w:tcPr>
          <w:p>
            <w:r/>
            <w:r>
              <w:rPr>
                <w:rFonts w:ascii="Calibri" w:hAnsi="Calibri" w:eastAsia="微软雅黑"/>
                <w:b w:val="0"/>
                <w:i w:val="0"/>
                <w:sz w:val="18"/>
              </w:rPr>
              <w:t>≈0.0970</w:t>
            </w:r>
          </w:p>
        </w:tc>
        <w:tc>
          <w:tcPr>
            <w:tcW w:type="dxa" w:w="1037"/>
          </w:tcPr>
          <w:p>
            <w:r/>
            <w:r>
              <w:rPr>
                <w:rFonts w:ascii="Calibri" w:hAnsi="Calibri" w:eastAsia="微软雅黑"/>
                <w:b w:val="0"/>
                <w:i w:val="0"/>
                <w:sz w:val="18"/>
              </w:rPr>
              <w:t>P5000</w:t>
            </w:r>
          </w:p>
        </w:tc>
      </w:tr>
      <w:tr>
        <w:tc>
          <w:tcPr>
            <w:tcW w:type="dxa" w:w="1037"/>
          </w:tcPr>
          <w:p>
            <w:r/>
            <w:r>
              <w:rPr>
                <w:rFonts w:ascii="Calibri" w:hAnsi="Calibri" w:eastAsia="微软雅黑"/>
                <w:b w:val="0"/>
                <w:i w:val="0"/>
                <w:sz w:val="18"/>
              </w:rPr>
              <w:t>贵州省电力设计研究院</w:t>
            </w:r>
          </w:p>
        </w:tc>
        <w:tc>
          <w:tcPr>
            <w:tcW w:type="dxa" w:w="1037"/>
          </w:tcPr>
          <w:p>
            <w:r/>
            <w:r>
              <w:rPr>
                <w:rFonts w:ascii="Calibri" w:hAnsi="Calibri" w:eastAsia="微软雅黑"/>
                <w:b w:val="0"/>
                <w:i w:val="0"/>
                <w:sz w:val="18"/>
              </w:rPr>
              <w:t>60,000.00</w:t>
            </w:r>
          </w:p>
        </w:tc>
        <w:tc>
          <w:tcPr>
            <w:tcW w:type="dxa" w:w="1037"/>
          </w:tcPr>
          <w:p>
            <w:r/>
            <w:r>
              <w:rPr>
                <w:rFonts w:ascii="Calibri" w:hAnsi="Calibri" w:eastAsia="微软雅黑"/>
                <w:b w:val="0"/>
                <w:i w:val="0"/>
                <w:sz w:val="18"/>
              </w:rPr>
              <w:t>413,327.97</w:t>
            </w:r>
          </w:p>
        </w:tc>
        <w:tc>
          <w:tcPr>
            <w:tcW w:type="dxa" w:w="1037"/>
          </w:tcPr>
          <w:p>
            <w:r/>
            <w:r>
              <w:rPr>
                <w:rFonts w:ascii="Calibri" w:hAnsi="Calibri" w:eastAsia="微软雅黑"/>
                <w:b w:val="0"/>
                <w:i w:val="0"/>
                <w:sz w:val="18"/>
              </w:rPr>
              <w:t>120,982.84</w:t>
            </w:r>
          </w:p>
        </w:tc>
        <w:tc>
          <w:tcPr>
            <w:tcW w:type="dxa" w:w="1037"/>
          </w:tcPr>
          <w:p>
            <w:r/>
            <w:r>
              <w:rPr>
                <w:rFonts w:ascii="Calibri" w:hAnsi="Calibri" w:eastAsia="微软雅黑"/>
                <w:b w:val="0"/>
                <w:i w:val="0"/>
                <w:sz w:val="18"/>
              </w:rPr>
              <w:t>11,312.18</w:t>
            </w:r>
          </w:p>
        </w:tc>
        <w:tc>
          <w:tcPr>
            <w:tcW w:type="dxa" w:w="1037"/>
          </w:tcPr>
          <w:p>
            <w:r/>
            <w:r>
              <w:rPr>
                <w:rFonts w:ascii="Calibri" w:hAnsi="Calibri" w:eastAsia="微软雅黑"/>
                <w:b w:val="0"/>
                <w:i w:val="0"/>
                <w:sz w:val="18"/>
              </w:rPr>
              <w:t>≈0.7073</w:t>
            </w:r>
          </w:p>
        </w:tc>
        <w:tc>
          <w:tcPr>
            <w:tcW w:type="dxa" w:w="1037"/>
          </w:tcPr>
          <w:p>
            <w:r/>
            <w:r>
              <w:rPr>
                <w:rFonts w:ascii="Calibri" w:hAnsi="Calibri" w:eastAsia="微软雅黑"/>
                <w:b w:val="0"/>
                <w:i w:val="0"/>
                <w:sz w:val="18"/>
              </w:rPr>
              <w:t>≈0.0935</w:t>
            </w:r>
          </w:p>
        </w:tc>
        <w:tc>
          <w:tcPr>
            <w:tcW w:type="dxa" w:w="1037"/>
          </w:tcPr>
          <w:p>
            <w:r/>
            <w:r>
              <w:rPr>
                <w:rFonts w:ascii="Calibri" w:hAnsi="Calibri" w:eastAsia="微软雅黑"/>
                <w:b w:val="0"/>
                <w:i w:val="0"/>
                <w:sz w:val="18"/>
              </w:rPr>
              <w:t>P5000</w:t>
            </w:r>
          </w:p>
        </w:tc>
      </w:tr>
      <w:tr>
        <w:tc>
          <w:tcPr>
            <w:tcW w:type="dxa" w:w="1037"/>
          </w:tcPr>
          <w:p>
            <w:r/>
            <w:r>
              <w:rPr>
                <w:rFonts w:ascii="Calibri" w:hAnsi="Calibri" w:eastAsia="微软雅黑"/>
                <w:b w:val="0"/>
                <w:i w:val="0"/>
                <w:sz w:val="18"/>
              </w:rPr>
              <w:t>上海电力设计院</w:t>
            </w:r>
          </w:p>
        </w:tc>
        <w:tc>
          <w:tcPr>
            <w:tcW w:type="dxa" w:w="1037"/>
          </w:tcPr>
          <w:p>
            <w:r/>
            <w:r>
              <w:rPr>
                <w:rFonts w:ascii="Calibri" w:hAnsi="Calibri" w:eastAsia="微软雅黑"/>
                <w:b w:val="0"/>
                <w:i w:val="0"/>
                <w:sz w:val="18"/>
              </w:rPr>
              <w:t>47,000.00</w:t>
            </w:r>
          </w:p>
        </w:tc>
        <w:tc>
          <w:tcPr>
            <w:tcW w:type="dxa" w:w="1037"/>
          </w:tcPr>
          <w:p>
            <w:r/>
            <w:r>
              <w:rPr>
                <w:rFonts w:ascii="Calibri" w:hAnsi="Calibri" w:eastAsia="微软雅黑"/>
                <w:b w:val="0"/>
                <w:i w:val="0"/>
                <w:sz w:val="18"/>
              </w:rPr>
              <w:t>338,953.42</w:t>
            </w:r>
          </w:p>
        </w:tc>
        <w:tc>
          <w:tcPr>
            <w:tcW w:type="dxa" w:w="1037"/>
          </w:tcPr>
          <w:p>
            <w:r/>
            <w:r>
              <w:rPr>
                <w:rFonts w:ascii="Calibri" w:hAnsi="Calibri" w:eastAsia="微软雅黑"/>
                <w:b w:val="0"/>
                <w:i w:val="0"/>
                <w:sz w:val="18"/>
              </w:rPr>
              <w:t>77,763.28</w:t>
            </w:r>
          </w:p>
        </w:tc>
        <w:tc>
          <w:tcPr>
            <w:tcW w:type="dxa" w:w="1037"/>
          </w:tcPr>
          <w:p>
            <w:r/>
            <w:r>
              <w:rPr>
                <w:rFonts w:ascii="Calibri" w:hAnsi="Calibri" w:eastAsia="微软雅黑"/>
                <w:b w:val="0"/>
                <w:i w:val="0"/>
                <w:sz w:val="18"/>
              </w:rPr>
              <w:t>6,615.63</w:t>
            </w:r>
          </w:p>
        </w:tc>
        <w:tc>
          <w:tcPr>
            <w:tcW w:type="dxa" w:w="1037"/>
          </w:tcPr>
          <w:p>
            <w:r/>
            <w:r>
              <w:rPr>
                <w:rFonts w:ascii="Calibri" w:hAnsi="Calibri" w:eastAsia="微软雅黑"/>
                <w:b w:val="0"/>
                <w:i w:val="0"/>
                <w:sz w:val="18"/>
              </w:rPr>
              <w:t>≈0.7706</w:t>
            </w:r>
          </w:p>
        </w:tc>
        <w:tc>
          <w:tcPr>
            <w:tcW w:type="dxa" w:w="1037"/>
          </w:tcPr>
          <w:p>
            <w:r/>
            <w:r>
              <w:rPr>
                <w:rFonts w:ascii="Calibri" w:hAnsi="Calibri" w:eastAsia="微软雅黑"/>
                <w:b w:val="0"/>
                <w:i w:val="0"/>
                <w:sz w:val="18"/>
              </w:rPr>
              <w:t>≈0.0851</w:t>
            </w:r>
          </w:p>
        </w:tc>
        <w:tc>
          <w:tcPr>
            <w:tcW w:type="dxa" w:w="1037"/>
          </w:tcPr>
          <w:p>
            <w:r/>
            <w:r>
              <w:rPr>
                <w:rFonts w:ascii="Calibri" w:hAnsi="Calibri" w:eastAsia="微软雅黑"/>
                <w:b w:val="0"/>
                <w:i w:val="0"/>
                <w:sz w:val="18"/>
              </w:rPr>
              <w:t>P5000</w:t>
            </w:r>
          </w:p>
        </w:tc>
      </w:tr>
      <w:tr>
        <w:tc>
          <w:tcPr>
            <w:tcW w:type="dxa" w:w="1037"/>
          </w:tcPr>
          <w:p>
            <w:r/>
            <w:r>
              <w:rPr>
                <w:rFonts w:ascii="Calibri" w:hAnsi="Calibri" w:eastAsia="微软雅黑"/>
                <w:b w:val="0"/>
                <w:i w:val="0"/>
                <w:sz w:val="18"/>
              </w:rPr>
              <w:t>福建省电力勘测设计院</w:t>
            </w:r>
          </w:p>
        </w:tc>
        <w:tc>
          <w:tcPr>
            <w:tcW w:type="dxa" w:w="1037"/>
          </w:tcPr>
          <w:p>
            <w:r/>
            <w:r>
              <w:rPr>
                <w:rFonts w:ascii="Calibri" w:hAnsi="Calibri" w:eastAsia="微软雅黑"/>
                <w:b w:val="0"/>
                <w:i w:val="0"/>
                <w:sz w:val="18"/>
              </w:rPr>
              <w:t>60,000.00</w:t>
            </w:r>
          </w:p>
        </w:tc>
        <w:tc>
          <w:tcPr>
            <w:tcW w:type="dxa" w:w="1037"/>
          </w:tcPr>
          <w:p>
            <w:r/>
            <w:r>
              <w:rPr>
                <w:rFonts w:ascii="Calibri" w:hAnsi="Calibri" w:eastAsia="微软雅黑"/>
                <w:b w:val="0"/>
                <w:i w:val="0"/>
                <w:sz w:val="18"/>
              </w:rPr>
              <w:t>328,929.23</w:t>
            </w:r>
          </w:p>
        </w:tc>
        <w:tc>
          <w:tcPr>
            <w:tcW w:type="dxa" w:w="1037"/>
          </w:tcPr>
          <w:p>
            <w:r/>
            <w:r>
              <w:rPr>
                <w:rFonts w:ascii="Calibri" w:hAnsi="Calibri" w:eastAsia="微软雅黑"/>
                <w:b w:val="0"/>
                <w:i w:val="0"/>
                <w:sz w:val="18"/>
              </w:rPr>
              <w:t>152,160.50</w:t>
            </w:r>
          </w:p>
        </w:tc>
        <w:tc>
          <w:tcPr>
            <w:tcW w:type="dxa" w:w="1037"/>
          </w:tcPr>
          <w:p>
            <w:r/>
            <w:r>
              <w:rPr>
                <w:rFonts w:ascii="Calibri" w:hAnsi="Calibri" w:eastAsia="微软雅黑"/>
                <w:b w:val="0"/>
                <w:i w:val="0"/>
                <w:sz w:val="18"/>
              </w:rPr>
              <w:t>15,004.92</w:t>
            </w:r>
          </w:p>
        </w:tc>
        <w:tc>
          <w:tcPr>
            <w:tcW w:type="dxa" w:w="1037"/>
          </w:tcPr>
          <w:p>
            <w:r/>
            <w:r>
              <w:rPr>
                <w:rFonts w:ascii="Calibri" w:hAnsi="Calibri" w:eastAsia="微软雅黑"/>
                <w:b w:val="0"/>
                <w:i w:val="0"/>
                <w:sz w:val="18"/>
              </w:rPr>
              <w:t>≈0.5374</w:t>
            </w:r>
          </w:p>
        </w:tc>
        <w:tc>
          <w:tcPr>
            <w:tcW w:type="dxa" w:w="1037"/>
          </w:tcPr>
          <w:p>
            <w:r/>
            <w:r>
              <w:rPr>
                <w:rFonts w:ascii="Calibri" w:hAnsi="Calibri" w:eastAsia="微软雅黑"/>
                <w:b w:val="0"/>
                <w:i w:val="0"/>
                <w:sz w:val="18"/>
              </w:rPr>
              <w:t>≈0.0986</w:t>
            </w:r>
          </w:p>
        </w:tc>
        <w:tc>
          <w:tcPr>
            <w:tcW w:type="dxa" w:w="1037"/>
          </w:tcPr>
          <w:p>
            <w:r/>
            <w:r>
              <w:rPr>
                <w:rFonts w:ascii="Calibri" w:hAnsi="Calibri" w:eastAsia="微软雅黑"/>
                <w:b w:val="0"/>
                <w:i w:val="0"/>
                <w:sz w:val="18"/>
              </w:rPr>
              <w:t>P5000</w:t>
            </w:r>
          </w:p>
        </w:tc>
      </w:tr>
      <w:tr>
        <w:tc>
          <w:tcPr>
            <w:tcW w:type="dxa" w:w="1037"/>
          </w:tcPr>
          <w:p>
            <w:r/>
            <w:r>
              <w:rPr>
                <w:rFonts w:ascii="Calibri" w:hAnsi="Calibri" w:eastAsia="微软雅黑"/>
                <w:b w:val="0"/>
                <w:i w:val="0"/>
                <w:sz w:val="18"/>
              </w:rPr>
              <w:t>青海省电力设计院</w:t>
            </w:r>
          </w:p>
        </w:tc>
        <w:tc>
          <w:tcPr>
            <w:tcW w:type="dxa" w:w="1037"/>
          </w:tcPr>
          <w:p>
            <w:r/>
            <w:r>
              <w:rPr>
                <w:rFonts w:ascii="Calibri" w:hAnsi="Calibri" w:eastAsia="微软雅黑"/>
                <w:b w:val="0"/>
                <w:i w:val="0"/>
                <w:sz w:val="18"/>
              </w:rPr>
              <w:t>30,000.00</w:t>
            </w:r>
          </w:p>
        </w:tc>
        <w:tc>
          <w:tcPr>
            <w:tcW w:type="dxa" w:w="1037"/>
          </w:tcPr>
          <w:p>
            <w:r/>
            <w:r>
              <w:rPr>
                <w:rFonts w:ascii="Calibri" w:hAnsi="Calibri" w:eastAsia="微软雅黑"/>
                <w:b w:val="0"/>
                <w:i w:val="0"/>
                <w:sz w:val="18"/>
              </w:rPr>
              <w:t>179,529.61</w:t>
            </w:r>
          </w:p>
        </w:tc>
        <w:tc>
          <w:tcPr>
            <w:tcW w:type="dxa" w:w="1037"/>
          </w:tcPr>
          <w:p>
            <w:r/>
            <w:r>
              <w:rPr>
                <w:rFonts w:ascii="Calibri" w:hAnsi="Calibri" w:eastAsia="微软雅黑"/>
                <w:b w:val="0"/>
                <w:i w:val="0"/>
                <w:sz w:val="18"/>
              </w:rPr>
              <w:t>92,091.35</w:t>
            </w:r>
          </w:p>
        </w:tc>
        <w:tc>
          <w:tcPr>
            <w:tcW w:type="dxa" w:w="1037"/>
          </w:tcPr>
          <w:p>
            <w:r/>
            <w:r>
              <w:rPr>
                <w:rFonts w:ascii="Calibri" w:hAnsi="Calibri" w:eastAsia="微软雅黑"/>
                <w:b w:val="0"/>
                <w:i w:val="0"/>
                <w:sz w:val="18"/>
              </w:rPr>
              <w:t>7,096.19</w:t>
            </w:r>
          </w:p>
        </w:tc>
        <w:tc>
          <w:tcPr>
            <w:tcW w:type="dxa" w:w="1037"/>
          </w:tcPr>
          <w:p>
            <w:r/>
            <w:r>
              <w:rPr>
                <w:rFonts w:ascii="Calibri" w:hAnsi="Calibri" w:eastAsia="微软雅黑"/>
                <w:b w:val="0"/>
                <w:i w:val="0"/>
                <w:sz w:val="18"/>
              </w:rPr>
              <w:t>≈0.4870</w:t>
            </w:r>
          </w:p>
        </w:tc>
        <w:tc>
          <w:tcPr>
            <w:tcW w:type="dxa" w:w="1037"/>
          </w:tcPr>
          <w:p>
            <w:r/>
            <w:r>
              <w:rPr>
                <w:rFonts w:ascii="Calibri" w:hAnsi="Calibri" w:eastAsia="微软雅黑"/>
                <w:b w:val="0"/>
                <w:i w:val="0"/>
                <w:sz w:val="18"/>
              </w:rPr>
              <w:t>≈0.0771</w:t>
            </w:r>
          </w:p>
        </w:tc>
        <w:tc>
          <w:tcPr>
            <w:tcW w:type="dxa" w:w="1037"/>
          </w:tcPr>
          <w:p>
            <w:r/>
            <w:r>
              <w:rPr>
                <w:rFonts w:ascii="Calibri" w:hAnsi="Calibri" w:eastAsia="微软雅黑"/>
                <w:b w:val="0"/>
                <w:i w:val="0"/>
                <w:sz w:val="18"/>
              </w:rPr>
              <w:t>P5000</w:t>
            </w:r>
          </w:p>
        </w:tc>
      </w:tr>
      <w:tr>
        <w:tc>
          <w:tcPr>
            <w:tcW w:type="dxa" w:w="1037"/>
          </w:tcPr>
          <w:p>
            <w:r/>
            <w:r>
              <w:rPr>
                <w:rFonts w:ascii="Calibri" w:hAnsi="Calibri" w:eastAsia="微软雅黑"/>
                <w:b w:val="0"/>
                <w:i w:val="0"/>
                <w:sz w:val="18"/>
              </w:rPr>
              <w:t>吉林省电力勘测设计院</w:t>
            </w:r>
          </w:p>
        </w:tc>
        <w:tc>
          <w:tcPr>
            <w:tcW w:type="dxa" w:w="1037"/>
          </w:tcPr>
          <w:p>
            <w:r/>
            <w:r>
              <w:rPr>
                <w:rFonts w:ascii="Calibri" w:hAnsi="Calibri" w:eastAsia="微软雅黑"/>
                <w:b w:val="0"/>
                <w:i w:val="0"/>
                <w:sz w:val="18"/>
              </w:rPr>
              <w:t>20,000.00</w:t>
            </w:r>
          </w:p>
        </w:tc>
        <w:tc>
          <w:tcPr>
            <w:tcW w:type="dxa" w:w="1037"/>
          </w:tcPr>
          <w:p>
            <w:r/>
            <w:r>
              <w:rPr>
                <w:rFonts w:ascii="Calibri" w:hAnsi="Calibri" w:eastAsia="微软雅黑"/>
                <w:b w:val="0"/>
                <w:i w:val="0"/>
                <w:sz w:val="18"/>
              </w:rPr>
              <w:t>源文截断</w:t>
            </w:r>
          </w:p>
        </w:tc>
        <w:tc>
          <w:tcPr>
            <w:tcW w:type="dxa" w:w="1037"/>
          </w:tcPr>
          <w:p>
            <w:r/>
            <w:r>
              <w:rPr>
                <w:rFonts w:ascii="Calibri" w:hAnsi="Calibri" w:eastAsia="微软雅黑"/>
                <w:b w:val="0"/>
                <w:i w:val="0"/>
                <w:sz w:val="18"/>
              </w:rPr>
              <w:t>源文截断</w:t>
            </w:r>
          </w:p>
        </w:tc>
        <w:tc>
          <w:tcPr>
            <w:tcW w:type="dxa" w:w="1037"/>
          </w:tcPr>
          <w:p>
            <w:r/>
            <w:r>
              <w:rPr>
                <w:rFonts w:ascii="Calibri" w:hAnsi="Calibri" w:eastAsia="微软雅黑"/>
                <w:b w:val="0"/>
                <w:i w:val="0"/>
                <w:sz w:val="18"/>
              </w:rPr>
              <w:t>源文截断</w:t>
            </w:r>
          </w:p>
        </w:tc>
        <w:tc>
          <w:tcPr>
            <w:tcW w:type="dxa" w:w="1037"/>
          </w:tcPr>
          <w:p>
            <w:r/>
            <w:r>
              <w:rPr>
                <w:rFonts w:ascii="Calibri" w:hAnsi="Calibri" w:eastAsia="微软雅黑"/>
                <w:b w:val="0"/>
                <w:i w:val="0"/>
                <w:sz w:val="18"/>
              </w:rPr>
              <w:t>—</w:t>
            </w:r>
          </w:p>
        </w:tc>
        <w:tc>
          <w:tcPr>
            <w:tcW w:type="dxa" w:w="1037"/>
          </w:tcPr>
          <w:p>
            <w:r/>
            <w:r>
              <w:rPr>
                <w:rFonts w:ascii="Calibri" w:hAnsi="Calibri" w:eastAsia="微软雅黑"/>
                <w:b w:val="0"/>
                <w:i w:val="0"/>
                <w:sz w:val="18"/>
              </w:rPr>
              <w:t>—</w:t>
            </w:r>
          </w:p>
        </w:tc>
        <w:tc>
          <w:tcPr>
            <w:tcW w:type="dxa" w:w="1037"/>
          </w:tcPr>
          <w:p>
            <w:r/>
            <w:r>
              <w:rPr>
                <w:rFonts w:ascii="Calibri" w:hAnsi="Calibri" w:eastAsia="微软雅黑"/>
                <w:b w:val="0"/>
                <w:i w:val="0"/>
                <w:sz w:val="18"/>
              </w:rPr>
              <w:t>P5000</w:t>
            </w:r>
          </w:p>
        </w:tc>
      </w:tr>
    </w:tbl>
    <w:p>
      <w:r>
        <w:rPr>
          <w:rFonts w:ascii="Calibri" w:hAnsi="Calibri" w:eastAsia="微软雅黑"/>
          <w:b w:val="0"/>
          <w:i w:val="0"/>
          <w:sz w:val="22"/>
        </w:rPr>
        <w:t>注：带*两列为own_calc派生值——资产负债率=(总资产−净资产)÷总资产，净资产收益率=净利润÷净资产，逐院基于P5000同表原始数据计算；为便于锚点核验与逐位复核，比率列一律以小数记（0.10即一成，读者可自行换算为百分数）；行序为本报告按总资产降序重排，不代表源文顺序；吉林院行在弹药库源文中被截断，如实留空；表中所有原始数字单位均为万元（P5000），引用时请勿与亿元口径混排。</w:t>
      </w:r>
    </w:p>
    <w:p>
      <w:pPr>
        <w:pStyle w:val="Heading2"/>
      </w:pPr>
      <w:r>
        <w:t>三、亏损从哪里来：机理、反证与证据边界</w:t>
      </w:r>
    </w:p>
    <w:p>
      <w:r>
        <w:rPr>
          <w:rFonts w:ascii="Calibri" w:hAnsi="Calibri" w:eastAsia="微软雅黑"/>
          <w:b w:val="0"/>
          <w:i w:val="0"/>
          <w:sz w:val="22"/>
        </w:rPr>
        <w:t>先看数据本身能说什么。四川院总资产965,067.09、净资产117,834.36（P5000，单位：万元），资产规模约为净资产的8.19（own_calc：965,067.09÷117,834.36，基于P5000），资产负债率约0.878（own_calc，基于P5000），这一杠杆水平显著高于序列多数同行。但"资产重、杠杆高"并不自动等于"必然亏损"——证据里就有现成的反证：同样以80,000.00（P5000，万元）注册资本运行的河北院，总资产713,721.05、净利润22,220.12；体量更大的北京院，总资产1,462,858.66、净利润35,132.29（均P5000，万元）。两家同样是电力设计院序列、同样开展总承包业务的重资产主体，一家以七十余亿元量级的资产体量盈利逾两亿元，一家以一百四十余亿元量级的资产体量盈利三亿元有余（金额为own_calc折算表述，基于P5000），而四川院以约96.5亿元（P5000）的资产体量亏损7.35亿元（P5000）。把三组数字并排放在桌上，结论只能有一个：资产规模与杠杆本身解释不了四川院的亏损，亏损必须到资产的质量、项目的盈亏、或者一次性损益事项里去找答案——而这恰恰是年报三行数不披露的部分。这个反证的价值在于帮买方排除一个错误的安慰性叙事："它只是盘子大、暂时亏，兄弟院都这样"——兄弟院不是都这样，可见十五家里只有它这样（P5000）。还可以做一次"反证的反证"：如果亏损真由规模驱动，序列里应能观察到"规模越大、利润越薄"的单调梯度；但数据给出的是相反图景——体量最大的华东院（总资产6,000,073.07，P5000，万元）保有116,905.07（P5000，万元）净利润，总资产第二的成都院净资产收益率约0.133（own_calc，基于P5000）位列序列前茅——规模与亏损之间不存在单调关系，解释变量只能到资产质量、项目盈亏或一次性事项里去找。顺着这个方向，买方向四川院提问时可以带上三个最有分辨力的问题：亏损中减值损失占比多少、亏损集中在哪些项目或板块、经营性现金流是否为正——三个问题都不依赖公开披露，却能在尽调会议室里迅速检验"经营性亏损"与"一次性出清"两种叙事的真伪；回答的完整度与坦率度本身，就是比报表更有信息量的信号，也是桌面研究抵达边界后最有价值的现场动作。</w:t>
      </w:r>
    </w:p>
    <w:p>
      <w:r>
        <w:rPr>
          <w:rFonts w:ascii="Calibri" w:hAnsi="Calibri" w:eastAsia="微软雅黑"/>
          <w:b w:val="0"/>
          <w:i w:val="0"/>
          <w:sz w:val="22"/>
        </w:rPr>
        <w:t>虽然个案归因缺乏直接证据，但设计院做EPC总承包的商业模式风险通道，在行业文献中有清楚的清单化描述，值得逐一对照。教科书层面，《EPC工程总承包项目过程控制概论》全书十五章系统论述总承包项目设计、采购、施工、试运行的全过程控制，把项目全过程拆为启动、策划、实施、控制、收尾子过程，将进度、质量、费用、HSE并列为项目目标控制要素，又将综合、合同、范围、资源、信息、沟通、风险、变更列为管理控制要素（P5020）——费用与变更管理贯穿全线，本身就说明EPC的盈亏管理难度远高于传统设计咨询；对一家以设计起家的公司而言，采购议价与施工组织恰恰是能力短板所在，短板部门掌管着成本大头，是利润表结构性的脆弱点。实务争议层面，《工程总承包（EPC／DB）争议解决实战攻略》的目录几乎就是一份EPC财务风险清单：中标后发现不平衡报价如何应对、材料涨价遭遇固定价格如何破解调差僵局、设计人采购的材料设备未单独计价结算时如何主张、固定总价结算后发包人能否以虚报价款和虚构设备为由要求重新结算、PPP+EPC项目中政府方投资控制风险如何应对（P5024目录）。清单还可以继续往下念：未经核准的火电扩建EPC项目长期停工后施工分包人如何索赔（该书专设广东某火电扩建EPC停工索赔案一节）、EPC联合体成员之间如何发起诉讼或仲裁、承包人未按约限额设计如何处理、FIDIC银皮书框架下合同终止的价格确定原则与DAAB争端解决机制（P5024目录）——停工搁浅成本、联合体内耗、限额设计违约、终止定价争议，每一条都直接冲击总包方的现金流。对一家从轻资产咨询转向"设计+采购+施工"一体化履约的设计院而言，这些通道中的任何一条被触发，都会以合同资产、应收账款或预计负债的形式沉淀到资产负债表上——这与四川院"总资产近百亿、资产负债率约0.878（own_calc，基于P5000）"的报表形态在方向上自洽，但方向自洽不等于因果确认，本报告拒绝在证据之外坐实任何一种归因。把这份清单翻译成现金流语言更直观：调差僵局意味着成本先行、补偿无期；停工意味着投入沉淀、回收停摆；不平衡报价与虚报争议意味着结算金额本身沦为博弈对象；限额设计违约则可能触发返工与索赔的双向现金流——几条通道的共同终点都是"钱先出去、回来遥遥无期"，与高杠杆的报表形态（own_calc，基于P5000）互为表里，也共同解释了为什么EPC对资产负债表的消耗远高于传统咨询业务。</w:t>
      </w:r>
    </w:p>
    <w:p>
      <w:r>
        <w:rPr>
          <w:rFonts w:ascii="Calibri" w:hAnsi="Calibri" w:eastAsia="微软雅黑"/>
          <w:b w:val="0"/>
          <w:i w:val="0"/>
          <w:sz w:val="22"/>
        </w:rPr>
        <w:t>这份清单里还有三条此前未展开的条款，对设计院系总承包商构成独有杀伤，值得单独拧出来细看。其一，设计责任的双肩挑：《工程总承包（EPC／DB）争议解决实战攻略》第二章第4节、第5节分别讨论"EPC项目中设计失误，发包人是否要一起承担责任"与"EPC项目发生设计缺陷，设计人如何承担责任"（P5024目录）——在传统咨询关系里，设计人只对图纸质量负责，责任边界相对清晰；而当设计人与总承包商同为一家时，设计失误不再止步于图纸，而是沿着"设计失误→采购变更→施工返工→工期延误→违约赔偿"的链条逐级放大为自身损益，一次设计缺陷足以同时触发对上的违约责任与对下的供应链返工成本。丰城沉思录第七章的标题把这个机制写得很直白——"技术的陷阱：从'设计失误'到'施工缺陷'的工程技术反思"，第三章更径直命名为"模式的困局：中国EPC工程总承包的基因缺陷与现实扭曲"（均P5032目录）。其二，模式变体的久期风险：同一本书第一章第2节讨论""EPC+O"项目模式解析与法律风险控制"（P5024目录）——带运营的总承包把责任期从建设期延伸到运营期，风险久期被人为拉长；对资产负债率约0.878（own_calc，基于P5000）的主体，接不接那个"O"，本质是接不接一条更长的负债尾巴。其三，外部条件的博弈空间："EPC项目中发包人提供场地不合格，承包人是否可以索赔"（P5024目录）提醒买方，即便强势如发包人，其前置义务的履行瑕疵同样可能成为总承包商的索赔通道——合同里的双向义务清单值得逐条核对，而不是只盯着承包商一方的违约条款。管理侧的对策在过程控制教科书里有现成框架：《EPC工程总承包项目过程控制概论》第三章第一节推荐的总承包适宜管理方法即"戴明循环管理法"（P5020目录），计划、执行、检查、处理四步循环用在费用与变更控制上，等于把"出事再算账"改造为"节点即算账"；该书第一章第五节"中国工程勘察设计行业发展现状"、第六节"国际工程市场发展趋势"、第九节"EPC总承包管理的发展趋势"（均P5020目录）又从行业史角度确认：设计院向工程公司转型是序列性的行业进程，四川院的亏损发生在这场转型的压力带上，而非孤例——这既不减轻其单体风险，也提示买方不宜把单一亏损读成"设计院做EPC必死"的行业结论。丰城沉思录给出的解法方向是第九章"系统免疫工程：构建工程项目内生安全新范式"与第十二章"从'事后反思'到'内生安全'的转型"（均P5032目录）；对买方，这些标题的实操含义很具体：评估设计院系总承包商时，应把其设计质量内控、限额设计执行与安全文化证据当作资产来审——在"设计失误双肩挑"的结构下，这些看不见的内控正是最关键的减值防火墙，也是现场尽调问卷里最值得多花一小时的部分。</w:t>
      </w:r>
    </w:p>
    <w:p>
      <w:r>
        <w:rPr>
          <w:rFonts w:ascii="Calibri" w:hAnsi="Calibri" w:eastAsia="微软雅黑"/>
          <w:b w:val="0"/>
          <w:i w:val="0"/>
          <w:sz w:val="22"/>
        </w:rPr>
        <w:t>还必须正视尾部风险这个变量，因为它决定了"亏损"可能的量级上限。行业记忆里最沉重的一页是江西丰城电厂三期EPC"11·24"特大事故，相关长文以"灾难的72小时"复盘事故经过，并以"设计与施工的分离与冲突""制度的失灵：从监管真空到责任碎片化"等章节剖析系统性成因，还专章比较全球百年重大工程事故、并以"凤凰涅槃：丰城电厂三期重建的三部曲"记录灾后重建（P5032）。对设计院序列的EPC主体而言，这类质量与安全事件是能够一夜之间改写多年利润表的尾部风险——一次重大事故带来的返工、赔偿、处罚与订单流失，足以把一家盈利院砸成亏损院，而重建投入本身又是新增的巨额成本科目（P5032章节主题，定性）。工程行业应对这类尾部风险的常规工具——工程一切险、职业责任险、安全文明施工费与应急预——其充足性同样无法从三行数中验证（如实声明）。需要立刻补充的是：本章所依据的全部证据中，没有任何一条把四川院与任何工程事故、行政处罚或重大质量事件联系起来（如实声明）；引入丰城案例仅用于说明EPC模式尾部风险的客观存在，而非暗示四川院的亏损源于同类事件。尾部风险的财务表达还有一个时间维度：事故的直接成本（返工、赔偿、罚款）发生在当下，间接成本（市场准入、评级、保险费率、订单流失）会持续多年——这意味着即便四川院未来某一年的报表突然转好，对其风险定价中仍应保留尾部事件的溢价，直到其安全记录与内控证据积累到足以支撑下调为止。</w:t>
      </w:r>
    </w:p>
    <w:p>
      <w:r>
        <w:rPr>
          <w:rFonts w:ascii="Calibri" w:hAnsi="Calibri" w:eastAsia="微软雅黑"/>
          <w:b w:val="0"/>
          <w:i w:val="0"/>
          <w:sz w:val="22"/>
        </w:rPr>
        <w:t>反方向的信号同样存在，中立立场要求把它们并列呈现。在以"四川电力设计咨询 储能"为检索词、2026-10-03搜索所得的17篇微信文章合集中（P5030），四川院的经营活动看不出收缩迹象：合集里两度出现《四川电力设计咨询有限责任公司混合所有制改革项目推介》（P5030），显示其在股权层面对外开放、引入战略投资者的意向——若混改落地，净资产基数与治理结构都可能重写，对债权人是潜在改善，对老股东则是权益稀释，方向取决于入股价格与条款（定性推演，基于P5030标题信号）；《中国电建四川院获批设立四川省博士后创新实践基地》（P5030）显示其研发平台仍在扩容；2023年招聘标注"六险两金"、2024届校园招聘照常启动（P5030），四川大学就业中心还于2026年9月20日发布了该公司2026年9月21日的线下宣讲会信息（P5030）。一边是账面亏损7.35亿元（P5000），一边是混改推介、博士后基地与持续校招（P5030）——两种信号的组合至少排除了"经营停摆式恶化"这一种解释，同时也提示另一种可能：亏损或来自集中计提、会计政策变更、历史项目甩包袱等非当期经营性因素。哪种解释成立，年报三行数无法裁决，本章将其如实列入第八节的盲区清单，而不是替读者下结论。对混改信号还应保留一层审慎：推介出现在检索合集中（P5030）只说明意图存在，进程、估值与是否成交均无源可证；买方若把"混改将注资"当作前提写进决策，等于把他人的意向当作自己的担保——意向的兑现率从来不是信用分析可以依赖的变量，把它记为观察项而非依据，才是稳妥的处理。</w:t>
      </w:r>
    </w:p>
    <w:p>
      <w:pPr>
        <w:pStyle w:val="Heading2"/>
      </w:pPr>
      <w:r>
        <w:t>四、回款环境的温度计：十二卷裁判文书与七个微观样本</w:t>
      </w:r>
    </w:p>
    <w:p>
      <w:r>
        <w:rPr>
          <w:rFonts w:ascii="Calibri" w:hAnsi="Calibri" w:eastAsia="微软雅黑"/>
          <w:b w:val="0"/>
          <w:i w:val="0"/>
          <w:sz w:val="22"/>
        </w:rPr>
        <w:t>财务透视的另一半真相在表外——钱能不能收回来。对总承包商而言，应收账款的命运往往最终在法庭上见分晓，因此裁判文书的数量与形态是回款环境最诚实的温度计；更重要的是，诉讼对交付存在天然时滞，今天的文书量反映的是几年前的项目，而今天签的合同决定几年后的文书量。本章弹药库收录了2010年至2021年共十二个年度的EPC相关裁判文书卷，各卷开篇均标注该年度"EPC相关"文书篇数：2010年148篇（P5014）、2011年61篇（P5028）、2012年216篇（P5011）、2013年2,170篇（P5008）、2014年5,275篇（P5007）、2015年8,654篇（P5005）、2016年10,763篇（P5004）、2017年11,716篇（P5003）、2018年5,754篇（P5006）、2019年41,550篇（P5002）、2020年42,935篇（P5001）、2021年324篇（P5012）。十二卷合计129,566篇（own_calc：上述十二个数加总，基于P5001至P5014各卷标注）；其中2019与2020两卷合计84,485篇，占十二卷合计的约0.65（own_calc：(41,550+42,935)÷129,566，基于P5001、P5002及其余各卷标注）。2013年至2017年篇数连续五年抬升，从2,170篇增至11,716篇，约为起点的5.40（own_calc：11,716÷2,170，基于P5008、P5003）——在文书公开最充分的年份，EPC相关纠纷稳定在万篇至四万篇量级（P5002、P5001）。把时滞再讲透一点：2020年卷的42,935篇（P5001）对应的多是数年前开工、近年才进入结算与诉讼期的项目，而当下签约的项目，其纠纷要到更晚的年份才会显形——文书温度计度量的永远是"过去的回款环境"，签约谨慎度必须自行加成，等温度计报警再动作，反应周期已以年计。这也决定了回款环境信息在决策流程中的正确位置：它不用于预测某一笔具体应收的回收，而用于校准合同条款的严格程度与担保的覆盖面——当环境温度处于高位（P5001、P5002）时，同样的对手方、同样的项目，应当匹配更高的预付比例、更短的结算周期与更严的逾期救济；环境降温时再相应放松。把条款松紧与环境温度挂钩，而不是把信任与承诺嗓门挂钩，是从这十二卷文书里能学到的最实用的一课。</w:t>
      </w:r>
    </w:p>
    <w:p>
      <w:r>
        <w:rPr>
          <w:rFonts w:ascii="Calibri" w:hAnsi="Calibri" w:eastAsia="微软雅黑"/>
          <w:b w:val="0"/>
          <w:i w:val="0"/>
          <w:sz w:val="22"/>
        </w:rPr>
        <w:t>使用这组数字必须先打预防针：各年度篇数反映的是文书库收录口径，而非真实纠纷发生率。最明显的破绽是2021年骤降至324篇（P5012）——与其说是纠纷消失，不如说是文书公开范围收缩所致；2018年从11,716篇回落到5,754篇（P5003、P5006）、2019年又跳升到41,550篇（P5002），同样的口径问题也在起作用。因此这组数字的正确用法是"温度计"而非"计量器"：它证明EPC相关工程款纠纷在中国建设工程领域常年海量存在（P5001、P5002），回款风险是行业性、结构性的常态；它不能用来计算任何一家企业的诉讼率或坏账率，更不能拿两个年度的篇数相除来推断"恶化速度"。时间维度同样值得读一眼：以2016年卷样本为例，2013年12月3日签订施工合同、2014年11月完工交付、2014年11月18日与2015年5月22日先后形成两份结算单，直到2016年12月30日一审判决时欠款仍在争讼（P5004）——从完工到判决跨越约两年，回款周期以年计。对买方的所以呢很直接：无论与哪家总承包商签约，合同里的付款节点、结算程序与争议解决条款都不是纸面装饰，而是大概率会被真实启用的条款；给总承包商的账期，本质上是在替它垫一段以年计的诉讼周期。由此可以写下使用这组数字的三条纪律：只作存在性判断（纠纷常年海量存在，P5001、P5002），不作年度间强度比较；只作形态参考（尾款段争议为主），不作金额分布外推；只作合同条款设计的输入（P5024目录的争端解决工具箱），不进入授信模型的定量计算——三条守住，温度计才不会异化为误导器。</w:t>
      </w:r>
    </w:p>
    <w:p>
      <w:r>
        <w:rPr>
          <w:rFonts w:ascii="Calibri" w:hAnsi="Calibri" w:eastAsia="微软雅黑"/>
          <w:b w:val="0"/>
          <w:i w:val="0"/>
          <w:sz w:val="22"/>
        </w:rPr>
        <w:t>六个基础微观样本（均非四川院个案，仅作行业回款纠纷的形态样本，如实声明）能把这个温度计落到具体金额上；也须说明样本来自弹药库文书卷的开篇部分，属便利样本而非随机抽样，形态参考意义大于统计意义。样本一，2016年卷所载河南某装饰工程纠纷：四项工程造价8,902,476.4元，业主累计支付7,432,708元，尚欠1,469,768元，已付比例约0.83（own_calc：7,432,708÷8,902,476.4，基于P5004）；业主另以两份结算单确认12,702,400元、12项零星工程1,017,870元未付未结算，承包人主张拖欠合计15,190,038.4元，并在业主无力支付的情况下自行放弃2,487,638.4元（P5004）——完工两年后仍未结清，且以"部分支付＋尾款搁置＋放弃部分债权"收场。样本二，2017年卷所载浙江某再审案：双方对工程款769,734元无异议，其中含税金100,400元，业主分两笔共支付72万元（2015年1月27日前支付57万元、2016年3月10日支付15万元），已付比例约0.94（own_calc：720,000÷769,734，基于P5003），争议焦点收窄到税金100,400元是否应予扣除（P5003）。样本三，2011年卷所载山东某住宅纠纷：决算总价5,847,961.15元，业主已付3,698,000元、拟以3套住宅抵顶697,707元，仍欠1,469,961.15元，承包人另主张违约金187,143.88元，业主则以145,585.88元、149,034.40元直至294,620.28元的维修费反诉（P5028），已付比例约0.63（own_calc：3,698,000÷5,847,961.15，基于P5028）。样本四，2014年卷所载设备租赁纠纷：脚手架租金合计246,254元，承租方已付146,254元、尚欠100,000元，同一链条下还牵出225万元劳务费与发票开具争议（P5007），已付比例约0.59（own_calc：146,254÷246,254，基于P5007）。样本五，2018年卷所载堡坎工程纠纷：约定包工包料每立方米280元、共砌筑790多立方米石方，业主支付40,000元后欠付182,415.2元（P5006），已付比例仅约0.18（own_calc：40,000÷(40,000+182,415.2)，基于P5006）。样本六，2012年卷所载勾土工程纠纷：双方书面确认欠款62,100元并约定分二期偿还，到期分文未付，承包人进而追索多层违法分包链条上的连带责任（P5011）。六个基础样本的已付比例覆盖了从约0.18到约0.94的整个光谱（own_calc区间，基于P5006、P5003）——不存在"没付钱"的极端案例，争议全部落在尾款段。样本四、五、六的金额量级还提示了一个容易被忽视的事实：纠纷一直延伸到工程链条的最末端——从246,254元的租金（P5007）到62,100元的勾土欠款（P5011），回款风险的分布是全链条的，不因单体金额小而豁免；这解释了总包与分包之间为何要用背靠背条款、票据与保函层层缓冲，也预示了这些缓冲安排在纠纷出现时本身会成为新的争点（P5024目录）——风险不会消失，只是在合同文本里换了座位。</w:t>
      </w:r>
    </w:p>
    <w:p>
      <w:r>
        <w:rPr>
          <w:rFonts w:ascii="Calibri" w:hAnsi="Calibri" w:eastAsia="微软雅黑"/>
          <w:b w:val="0"/>
          <w:i w:val="0"/>
          <w:sz w:val="22"/>
        </w:rPr>
        <w:t>前六个样本合起来勾勒出回款纠纷的标准形态：纠纷极少发生在"一分不付"的极端情形，而是集中在竣工结算之后的尾款段，剩余部分与税金扣除、质量反诉、以物抵债、违约金计算绞在一起，拖入再审、执行等长周期程序；2010年卷还有一类"收条攻防"——业主凭一张"工程款已全部结清"的收条抗辩455,000元的付款事实，迫使承包人走造价鉴定与笔迹鉴定程序（P5014）。这对理解本章题眼"应收账款现金流真相"至关重要：应收账款的风险不只看余额大小，还看它向争议、诉讼与折让转化的比例——账面上的一元应收，经过尾款争议、以物抵债折价与执行周期之后，实际回收值可能明显缩水，而这种缩水不会提前出现在任何资产负债表上。对四川院这样的亏损主体，这一点是双向挤压——一方面，若其作为总承包人持有大量行业常态下的"尾款段"应收，其-73,467.86（P5000，万元）的净利润背后可能还压着可观的未变现债权；另一方面，若其作为付款方拖欠分包商，则自身流动性压力会沿供应链外溢。遗憾的是，四川院单体的应收账款余额、账龄与减值计提在任何一条可用源中都没有披露（如实声明），行业温度计只能描出环境，描不出这家公司的账本；买方能做的是把样本揭示的纠纷形态预先写进合同——结算程序、调差机制、以物抵债的估值与过户安排、争议评审与仲裁条款（P5024目录）——把"尾款段风险"在签约时就定价。给分包商与供应商的落地版本再具体一点：与任何总承包商（不限于四川院）签约时，进度款比例与支付条件应显式写入、以形象进度或时间节点双触发；结算后付款期要有明确的逾期利息与争议解决路径（P5024目录）；接受以物抵债时，估值、过户时点与税费承担必须逐项约定——样本三里三套住宅抵顶697,707元（P5028）的安排之所以留下一地纠纷，正是因为这些细节最容易被简单化处理。</w:t>
      </w:r>
    </w:p>
    <w:p>
      <w:r>
        <w:rPr>
          <w:rFonts w:ascii="Calibri" w:hAnsi="Calibri" w:eastAsia="微软雅黑"/>
          <w:b w:val="0"/>
          <w:i w:val="0"/>
          <w:sz w:val="22"/>
        </w:rPr>
        <w:t>在六个基础样本之外，2015年卷还藏着一个值得单列的第七样本，它把纠纷的起点从"结算争议"往前推到了"合同主体"层面。刘春新与新乡市第一建筑工程有限责任公司等建设工程施工合同纠纷案（案号新中民五终字第519号，P5005）显示：发包人三浦公司与总承包人一建公司于2012年5月25日、10月15日分别签订发酵车间、空压站两份施工合同，两份合同第三部分第十一项38.1均约定"本工程不允许分包"（P5005）；但2013年5月31日，一建公司的工作人员李俊科仍以个人名义与刘春新签订铝合金窗施工合同，将涉案工程交其组织施工（P5005）。完工后经核算，工程价款共计315,628元、已付40,000元（P5005），已付比例仅约0.13（own_calc：40,000÷315,628，基于P5005）——这个数字把基础样本约0.18的已付比例下限又向下拉了一档，也把本节样本的已付比例光谱拉宽为约0.13至0.94（own_calc，基于P5005、P5003）；2015年5月21日李俊科出具欠条，确认欠发酵车间、空压站窗户款275,000元（P5005），与核算差额275,628元（own_calc：315,628−40,000，基于P5005）相差628元（own_calc，基于P5005）——连债权金额的精确性都要靠事后对账才能钉死。诉讼结构更值得看：原告将出具欠条的个人与总承包人一并起诉，请求支付工程款275,000元及自2014年10月1日起按中国人民银行同期同类贷款利率计算的利息，并请求发包人三浦公司在欠付工程款范围内承担连带责任（P5005）；一审延津县人民法院于2015年8月27日作出（2015）延民初字第925号判决，一建公司上诉后，新乡市中级人民法院于2015年12月30日二审（P5005）。第七样本给供应链上游的启示是双重的：其一，"本工程不允许分包"的合同条款挡不住项目负责人以个人名义对外签约，供应商面对"项目经理个人"时，主体资格审查（公章与授权文件）比合同价格更重要；其二，纠纷一旦发生，责任链条会同时向签约个人、总承包人与发包人三个方向延伸，总承包人夹在中间成为多方请求权的汇聚点——以总承包身份组织大量专业分包的主体，其涉诉暴露面天然大于纯设计咨询公司，这一点在评估任何设计院系总承包商（包括四川院）时都应计入信用模型的结构项（定性推演，基于P5005案情与P5000主体属性）。</w:t>
      </w:r>
    </w:p>
    <w:p>
      <w:r>
        <w:rPr>
          <w:rFonts w:ascii="Calibri" w:hAnsi="Calibri" w:eastAsia="微软雅黑"/>
          <w:b w:val="0"/>
          <w:i w:val="0"/>
          <w:sz w:val="22"/>
        </w:rPr>
        <w:t>三个此前被略去的细节，也值得从卷宗里重新拧出来，因为它们各自对应一种可以直接写进合同与内控的防御技术。细节一，收条攻防的完整时间线。2010年卷的谢祥灯案（案号（2010）浙温民终字第1640号，P5014）是一堂"付款凭证比合同更致命"的实景课：2005年2月，房屋建筑工程以包工包料方式口头发包，双方未订立书面施工合同（P5014）；2006年1月25日工程交付（P5014）；至2006年1月27日业主陆续支付工程款合计455,000元，同日承包人出具收条，写明"泽基周宏枢家工程款已全部结清，以后任何工程款由谢祥灯负责"（P5014）——一句话，把此后的索赔权清了零。此后承包人委托编审机构作出预算书（2006年2月19日，P5014），案件重审中又历经造价鉴定（东瓯会审价字（2009）169号，P5014）与笔迹鉴定的多轮拉锯：温州律证、杭州明皓两家司法鉴定机构的意见认为收条字迹非本人所写，而司法鉴定科学技术研究所司法鉴定中心的结论相反、认定签名系本人所写（P5014）——同一张纸、多家机构、相反结论，证据成本可见一斑；从收条出具到二审判决（2010年12月17日，P5014），时间跨度近五年（own_calc，基于P5014）。写进内控的规则很朴素：任何含"结清"字样的收条出具前必须过法务，任何收条都要与合同、进度记录、银行流水三者互证。细节二，倒签的"付款协议"。2014年卷的脚手架租金案（案号（2014）湛吴法民一初字第309号，P5007）里，租金于2013年5月24日结算确认为246,254元（P5007）；2013年6月21日出租方申请支付并按项目部要求先行开票，三天后的2013年6月24日双方才补签《钢管脚手架租赁协议》，判决书原话是"名为租赁协议实际为付款协议"（P5007）；补签同日到账146,254元、尚欠100,000元（P5007）；项目部还以曾支付225万元劳务费且发票未开为由，主张开票之后才同意支付欠款（P5007）。倒签文本与先票后款两个动作叠加，把债权债务的定性权从合同条款挪到了发票与付款记录上；对供应商的教训是：结算确认、发票开具、付款到账三个时点各自留痕，任何"事后补一份协议"的操作都应拒绝或注明实际签订日期。细节三，付款节点结构的证据价值。2011年卷的荣成案（案号（2010）荣崖民初字第443号，P5028）在主合同里写出了完整的节点梯子：工程到二层封顶按形象进度付65%工程款、主体封顶付80%、水电调试完且全部竣工后付到95%、剩余5%作为工程保修金、工程保修期为24个月（P5028）。以决算总价5,847,961.15元（P5028）测算，95%节点对应约5,555,563.09元（own_calc：5,847,961.15×0.95，基于P5028），而竣工之后的2007年9月24日实付仅3,698,000元（P5028），与节点金额的缺口约1,857,563.09元（own_calc：5,555,563.09−3,698,000，基于P5028），保修金全额约292,398.06元（own_calc：5,847,961.15×0.05，基于P5028）——节点写得越细，违约的可证性与可算性越强；该案后续的以物抵债安排（3套住宅抵顶697,707元、约定2010年6月底前过户、逾期则退房并在15日内支付抵款及利息，P5028）与业主"政府不给土地指标、属不可抗力"的抗辩（P5028），则从反面示范了缺少节点梯子时纠纷如何滑向混沌。买方可以直接抄走的合同技术有三条：节点比例与触发条件写死、保修金单独列名目与期限、抵债安排写死估值方法与过户时点——这三条全部来自真实判决书验证过的争议缺口，而非理论推演。</w:t>
      </w:r>
    </w:p>
    <w:p>
      <w:r>
        <w:rPr>
          <w:rFonts w:ascii="Calibri" w:hAnsi="Calibri" w:eastAsia="微软雅黑"/>
          <w:b/>
          <w:i w:val="0"/>
          <w:sz w:val="22"/>
        </w:rPr>
        <w:t>表三 十二个年度EPC相关裁判文书卷篇数（弹药库各卷开篇标注口径）</w:t>
      </w:r>
    </w:p>
    <w:tbl>
      <w:tblPr>
        <w:tblStyle w:val="TableGrid"/>
        <w:tblW w:type="auto" w:w="0"/>
        <w:tblLook w:firstColumn="1" w:firstRow="1" w:lastColumn="0" w:lastRow="0" w:noHBand="0" w:noVBand="1" w:val="04A0"/>
      </w:tblPr>
      <w:tblGrid>
        <w:gridCol w:w="1383"/>
        <w:gridCol w:w="1383"/>
        <w:gridCol w:w="1383"/>
        <w:gridCol w:w="1383"/>
        <w:gridCol w:w="1383"/>
        <w:gridCol w:w="1383"/>
      </w:tblGrid>
      <w:tr>
        <w:tc>
          <w:tcPr>
            <w:tcW w:type="dxa" w:w="1383"/>
            <w:shd w:fill="1F3A5F"/>
          </w:tcPr>
          <w:p>
            <w:r>
              <w:rPr>
                <w:color w:val="FFFFFF"/>
              </w:rPr>
            </w:r>
            <w:r>
              <w:rPr>
                <w:rFonts w:ascii="Calibri" w:hAnsi="Calibri" w:eastAsia="微软雅黑"/>
                <w:b/>
                <w:i w:val="0"/>
                <w:color w:val="FFFFFF"/>
                <w:sz w:val="18"/>
              </w:rPr>
              <w:t>年度卷</w:t>
            </w:r>
          </w:p>
        </w:tc>
        <w:tc>
          <w:tcPr>
            <w:tcW w:type="dxa" w:w="1383"/>
            <w:shd w:fill="1F3A5F"/>
          </w:tcPr>
          <w:p>
            <w:r>
              <w:rPr>
                <w:color w:val="FFFFFF"/>
              </w:rPr>
            </w:r>
            <w:r>
              <w:rPr>
                <w:rFonts w:ascii="Calibri" w:hAnsi="Calibri" w:eastAsia="微软雅黑"/>
                <w:b/>
                <w:i w:val="0"/>
                <w:color w:val="FFFFFF"/>
                <w:sz w:val="18"/>
              </w:rPr>
              <w:t>标注篇数</w:t>
            </w:r>
          </w:p>
        </w:tc>
        <w:tc>
          <w:tcPr>
            <w:tcW w:type="dxa" w:w="1383"/>
            <w:shd w:fill="1F3A5F"/>
          </w:tcPr>
          <w:p>
            <w:r>
              <w:rPr>
                <w:color w:val="FFFFFF"/>
              </w:rPr>
            </w:r>
            <w:r>
              <w:rPr>
                <w:rFonts w:ascii="Calibri" w:hAnsi="Calibri" w:eastAsia="微软雅黑"/>
                <w:b/>
                <w:i w:val="0"/>
                <w:color w:val="FFFFFF"/>
                <w:sz w:val="18"/>
              </w:rPr>
              <w:t>锚</w:t>
            </w:r>
          </w:p>
        </w:tc>
        <w:tc>
          <w:tcPr>
            <w:tcW w:type="dxa" w:w="1383"/>
            <w:shd w:fill="1F3A5F"/>
          </w:tcPr>
          <w:p>
            <w:r>
              <w:rPr>
                <w:color w:val="FFFFFF"/>
              </w:rPr>
            </w:r>
            <w:r>
              <w:rPr>
                <w:rFonts w:ascii="Calibri" w:hAnsi="Calibri" w:eastAsia="微软雅黑"/>
                <w:b/>
                <w:i w:val="0"/>
                <w:color w:val="FFFFFF"/>
                <w:sz w:val="18"/>
              </w:rPr>
              <w:t>年度卷</w:t>
            </w:r>
          </w:p>
        </w:tc>
        <w:tc>
          <w:tcPr>
            <w:tcW w:type="dxa" w:w="1383"/>
            <w:shd w:fill="1F3A5F"/>
          </w:tcPr>
          <w:p>
            <w:r>
              <w:rPr>
                <w:color w:val="FFFFFF"/>
              </w:rPr>
            </w:r>
            <w:r>
              <w:rPr>
                <w:rFonts w:ascii="Calibri" w:hAnsi="Calibri" w:eastAsia="微软雅黑"/>
                <w:b/>
                <w:i w:val="0"/>
                <w:color w:val="FFFFFF"/>
                <w:sz w:val="18"/>
              </w:rPr>
              <w:t>标注篇数</w:t>
            </w:r>
          </w:p>
        </w:tc>
        <w:tc>
          <w:tcPr>
            <w:tcW w:type="dxa" w:w="1383"/>
            <w:shd w:fill="1F3A5F"/>
          </w:tcPr>
          <w:p>
            <w:r>
              <w:rPr>
                <w:color w:val="FFFFFF"/>
              </w:rPr>
            </w:r>
            <w:r>
              <w:rPr>
                <w:rFonts w:ascii="Calibri" w:hAnsi="Calibri" w:eastAsia="微软雅黑"/>
                <w:b/>
                <w:i w:val="0"/>
                <w:color w:val="FFFFFF"/>
                <w:sz w:val="18"/>
              </w:rPr>
              <w:t>锚</w:t>
            </w:r>
          </w:p>
        </w:tc>
      </w:tr>
      <w:tr>
        <w:tc>
          <w:tcPr>
            <w:tcW w:type="dxa" w:w="1383"/>
          </w:tcPr>
          <w:p>
            <w:r/>
            <w:r>
              <w:rPr>
                <w:rFonts w:ascii="Calibri" w:hAnsi="Calibri" w:eastAsia="微软雅黑"/>
                <w:b w:val="0"/>
                <w:i w:val="0"/>
                <w:sz w:val="18"/>
              </w:rPr>
              <w:t>2010卷</w:t>
            </w:r>
          </w:p>
        </w:tc>
        <w:tc>
          <w:tcPr>
            <w:tcW w:type="dxa" w:w="1383"/>
          </w:tcPr>
          <w:p>
            <w:r/>
            <w:r>
              <w:rPr>
                <w:rFonts w:ascii="Calibri" w:hAnsi="Calibri" w:eastAsia="微软雅黑"/>
                <w:b w:val="0"/>
                <w:i w:val="0"/>
                <w:sz w:val="18"/>
              </w:rPr>
              <w:t>148篇</w:t>
            </w:r>
          </w:p>
        </w:tc>
        <w:tc>
          <w:tcPr>
            <w:tcW w:type="dxa" w:w="1383"/>
          </w:tcPr>
          <w:p>
            <w:r/>
            <w:r>
              <w:rPr>
                <w:rFonts w:ascii="Calibri" w:hAnsi="Calibri" w:eastAsia="微软雅黑"/>
                <w:b w:val="0"/>
                <w:i w:val="0"/>
                <w:sz w:val="18"/>
              </w:rPr>
              <w:t>P5014</w:t>
            </w:r>
          </w:p>
        </w:tc>
        <w:tc>
          <w:tcPr>
            <w:tcW w:type="dxa" w:w="1383"/>
          </w:tcPr>
          <w:p>
            <w:r/>
            <w:r>
              <w:rPr>
                <w:rFonts w:ascii="Calibri" w:hAnsi="Calibri" w:eastAsia="微软雅黑"/>
                <w:b w:val="0"/>
                <w:i w:val="0"/>
                <w:sz w:val="18"/>
              </w:rPr>
              <w:t>2016卷</w:t>
            </w:r>
          </w:p>
        </w:tc>
        <w:tc>
          <w:tcPr>
            <w:tcW w:type="dxa" w:w="1383"/>
          </w:tcPr>
          <w:p>
            <w:r/>
            <w:r>
              <w:rPr>
                <w:rFonts w:ascii="Calibri" w:hAnsi="Calibri" w:eastAsia="微软雅黑"/>
                <w:b w:val="0"/>
                <w:i w:val="0"/>
                <w:sz w:val="18"/>
              </w:rPr>
              <w:t>10,763篇</w:t>
            </w:r>
          </w:p>
        </w:tc>
        <w:tc>
          <w:tcPr>
            <w:tcW w:type="dxa" w:w="1383"/>
          </w:tcPr>
          <w:p>
            <w:r/>
            <w:r>
              <w:rPr>
                <w:rFonts w:ascii="Calibri" w:hAnsi="Calibri" w:eastAsia="微软雅黑"/>
                <w:b w:val="0"/>
                <w:i w:val="0"/>
                <w:sz w:val="18"/>
              </w:rPr>
              <w:t>P5004</w:t>
            </w:r>
          </w:p>
        </w:tc>
      </w:tr>
      <w:tr>
        <w:tc>
          <w:tcPr>
            <w:tcW w:type="dxa" w:w="1383"/>
          </w:tcPr>
          <w:p>
            <w:r/>
            <w:r>
              <w:rPr>
                <w:rFonts w:ascii="Calibri" w:hAnsi="Calibri" w:eastAsia="微软雅黑"/>
                <w:b w:val="0"/>
                <w:i w:val="0"/>
                <w:sz w:val="18"/>
              </w:rPr>
              <w:t>2011卷</w:t>
            </w:r>
          </w:p>
        </w:tc>
        <w:tc>
          <w:tcPr>
            <w:tcW w:type="dxa" w:w="1383"/>
          </w:tcPr>
          <w:p>
            <w:r/>
            <w:r>
              <w:rPr>
                <w:rFonts w:ascii="Calibri" w:hAnsi="Calibri" w:eastAsia="微软雅黑"/>
                <w:b w:val="0"/>
                <w:i w:val="0"/>
                <w:sz w:val="18"/>
              </w:rPr>
              <w:t>61篇</w:t>
            </w:r>
          </w:p>
        </w:tc>
        <w:tc>
          <w:tcPr>
            <w:tcW w:type="dxa" w:w="1383"/>
          </w:tcPr>
          <w:p>
            <w:r/>
            <w:r>
              <w:rPr>
                <w:rFonts w:ascii="Calibri" w:hAnsi="Calibri" w:eastAsia="微软雅黑"/>
                <w:b w:val="0"/>
                <w:i w:val="0"/>
                <w:sz w:val="18"/>
              </w:rPr>
              <w:t>P5028</w:t>
            </w:r>
          </w:p>
        </w:tc>
        <w:tc>
          <w:tcPr>
            <w:tcW w:type="dxa" w:w="1383"/>
          </w:tcPr>
          <w:p>
            <w:r/>
            <w:r>
              <w:rPr>
                <w:rFonts w:ascii="Calibri" w:hAnsi="Calibri" w:eastAsia="微软雅黑"/>
                <w:b w:val="0"/>
                <w:i w:val="0"/>
                <w:sz w:val="18"/>
              </w:rPr>
              <w:t>2017卷</w:t>
            </w:r>
          </w:p>
        </w:tc>
        <w:tc>
          <w:tcPr>
            <w:tcW w:type="dxa" w:w="1383"/>
          </w:tcPr>
          <w:p>
            <w:r/>
            <w:r>
              <w:rPr>
                <w:rFonts w:ascii="Calibri" w:hAnsi="Calibri" w:eastAsia="微软雅黑"/>
                <w:b w:val="0"/>
                <w:i w:val="0"/>
                <w:sz w:val="18"/>
              </w:rPr>
              <w:t>11,716篇</w:t>
            </w:r>
          </w:p>
        </w:tc>
        <w:tc>
          <w:tcPr>
            <w:tcW w:type="dxa" w:w="1383"/>
          </w:tcPr>
          <w:p>
            <w:r/>
            <w:r>
              <w:rPr>
                <w:rFonts w:ascii="Calibri" w:hAnsi="Calibri" w:eastAsia="微软雅黑"/>
                <w:b w:val="0"/>
                <w:i w:val="0"/>
                <w:sz w:val="18"/>
              </w:rPr>
              <w:t>P5003</w:t>
            </w:r>
          </w:p>
        </w:tc>
      </w:tr>
      <w:tr>
        <w:tc>
          <w:tcPr>
            <w:tcW w:type="dxa" w:w="1383"/>
          </w:tcPr>
          <w:p>
            <w:r/>
            <w:r>
              <w:rPr>
                <w:rFonts w:ascii="Calibri" w:hAnsi="Calibri" w:eastAsia="微软雅黑"/>
                <w:b w:val="0"/>
                <w:i w:val="0"/>
                <w:sz w:val="18"/>
              </w:rPr>
              <w:t>2012卷</w:t>
            </w:r>
          </w:p>
        </w:tc>
        <w:tc>
          <w:tcPr>
            <w:tcW w:type="dxa" w:w="1383"/>
          </w:tcPr>
          <w:p>
            <w:r/>
            <w:r>
              <w:rPr>
                <w:rFonts w:ascii="Calibri" w:hAnsi="Calibri" w:eastAsia="微软雅黑"/>
                <w:b w:val="0"/>
                <w:i w:val="0"/>
                <w:sz w:val="18"/>
              </w:rPr>
              <w:t>216篇</w:t>
            </w:r>
          </w:p>
        </w:tc>
        <w:tc>
          <w:tcPr>
            <w:tcW w:type="dxa" w:w="1383"/>
          </w:tcPr>
          <w:p>
            <w:r/>
            <w:r>
              <w:rPr>
                <w:rFonts w:ascii="Calibri" w:hAnsi="Calibri" w:eastAsia="微软雅黑"/>
                <w:b w:val="0"/>
                <w:i w:val="0"/>
                <w:sz w:val="18"/>
              </w:rPr>
              <w:t>P5011</w:t>
            </w:r>
          </w:p>
        </w:tc>
        <w:tc>
          <w:tcPr>
            <w:tcW w:type="dxa" w:w="1383"/>
          </w:tcPr>
          <w:p>
            <w:r/>
            <w:r>
              <w:rPr>
                <w:rFonts w:ascii="Calibri" w:hAnsi="Calibri" w:eastAsia="微软雅黑"/>
                <w:b w:val="0"/>
                <w:i w:val="0"/>
                <w:sz w:val="18"/>
              </w:rPr>
              <w:t>2018卷</w:t>
            </w:r>
          </w:p>
        </w:tc>
        <w:tc>
          <w:tcPr>
            <w:tcW w:type="dxa" w:w="1383"/>
          </w:tcPr>
          <w:p>
            <w:r/>
            <w:r>
              <w:rPr>
                <w:rFonts w:ascii="Calibri" w:hAnsi="Calibri" w:eastAsia="微软雅黑"/>
                <w:b w:val="0"/>
                <w:i w:val="0"/>
                <w:sz w:val="18"/>
              </w:rPr>
              <w:t>5,754篇</w:t>
            </w:r>
          </w:p>
        </w:tc>
        <w:tc>
          <w:tcPr>
            <w:tcW w:type="dxa" w:w="1383"/>
          </w:tcPr>
          <w:p>
            <w:r/>
            <w:r>
              <w:rPr>
                <w:rFonts w:ascii="Calibri" w:hAnsi="Calibri" w:eastAsia="微软雅黑"/>
                <w:b w:val="0"/>
                <w:i w:val="0"/>
                <w:sz w:val="18"/>
              </w:rPr>
              <w:t>P5006</w:t>
            </w:r>
          </w:p>
        </w:tc>
      </w:tr>
      <w:tr>
        <w:tc>
          <w:tcPr>
            <w:tcW w:type="dxa" w:w="1383"/>
          </w:tcPr>
          <w:p>
            <w:r/>
            <w:r>
              <w:rPr>
                <w:rFonts w:ascii="Calibri" w:hAnsi="Calibri" w:eastAsia="微软雅黑"/>
                <w:b w:val="0"/>
                <w:i w:val="0"/>
                <w:sz w:val="18"/>
              </w:rPr>
              <w:t>2013卷</w:t>
            </w:r>
          </w:p>
        </w:tc>
        <w:tc>
          <w:tcPr>
            <w:tcW w:type="dxa" w:w="1383"/>
          </w:tcPr>
          <w:p>
            <w:r/>
            <w:r>
              <w:rPr>
                <w:rFonts w:ascii="Calibri" w:hAnsi="Calibri" w:eastAsia="微软雅黑"/>
                <w:b w:val="0"/>
                <w:i w:val="0"/>
                <w:sz w:val="18"/>
              </w:rPr>
              <w:t>2,170篇</w:t>
            </w:r>
          </w:p>
        </w:tc>
        <w:tc>
          <w:tcPr>
            <w:tcW w:type="dxa" w:w="1383"/>
          </w:tcPr>
          <w:p>
            <w:r/>
            <w:r>
              <w:rPr>
                <w:rFonts w:ascii="Calibri" w:hAnsi="Calibri" w:eastAsia="微软雅黑"/>
                <w:b w:val="0"/>
                <w:i w:val="0"/>
                <w:sz w:val="18"/>
              </w:rPr>
              <w:t>P5008</w:t>
            </w:r>
          </w:p>
        </w:tc>
        <w:tc>
          <w:tcPr>
            <w:tcW w:type="dxa" w:w="1383"/>
          </w:tcPr>
          <w:p>
            <w:r/>
            <w:r>
              <w:rPr>
                <w:rFonts w:ascii="Calibri" w:hAnsi="Calibri" w:eastAsia="微软雅黑"/>
                <w:b w:val="0"/>
                <w:i w:val="0"/>
                <w:sz w:val="18"/>
              </w:rPr>
              <w:t>2019卷</w:t>
            </w:r>
          </w:p>
        </w:tc>
        <w:tc>
          <w:tcPr>
            <w:tcW w:type="dxa" w:w="1383"/>
          </w:tcPr>
          <w:p>
            <w:r/>
            <w:r>
              <w:rPr>
                <w:rFonts w:ascii="Calibri" w:hAnsi="Calibri" w:eastAsia="微软雅黑"/>
                <w:b w:val="0"/>
                <w:i w:val="0"/>
                <w:sz w:val="18"/>
              </w:rPr>
              <w:t>41,550篇</w:t>
            </w:r>
          </w:p>
        </w:tc>
        <w:tc>
          <w:tcPr>
            <w:tcW w:type="dxa" w:w="1383"/>
          </w:tcPr>
          <w:p>
            <w:r/>
            <w:r>
              <w:rPr>
                <w:rFonts w:ascii="Calibri" w:hAnsi="Calibri" w:eastAsia="微软雅黑"/>
                <w:b w:val="0"/>
                <w:i w:val="0"/>
                <w:sz w:val="18"/>
              </w:rPr>
              <w:t>P5002</w:t>
            </w:r>
          </w:p>
        </w:tc>
      </w:tr>
      <w:tr>
        <w:tc>
          <w:tcPr>
            <w:tcW w:type="dxa" w:w="1383"/>
          </w:tcPr>
          <w:p>
            <w:r/>
            <w:r>
              <w:rPr>
                <w:rFonts w:ascii="Calibri" w:hAnsi="Calibri" w:eastAsia="微软雅黑"/>
                <w:b w:val="0"/>
                <w:i w:val="0"/>
                <w:sz w:val="18"/>
              </w:rPr>
              <w:t>2014卷</w:t>
            </w:r>
          </w:p>
        </w:tc>
        <w:tc>
          <w:tcPr>
            <w:tcW w:type="dxa" w:w="1383"/>
          </w:tcPr>
          <w:p>
            <w:r/>
            <w:r>
              <w:rPr>
                <w:rFonts w:ascii="Calibri" w:hAnsi="Calibri" w:eastAsia="微软雅黑"/>
                <w:b w:val="0"/>
                <w:i w:val="0"/>
                <w:sz w:val="18"/>
              </w:rPr>
              <w:t>5,275篇</w:t>
            </w:r>
          </w:p>
        </w:tc>
        <w:tc>
          <w:tcPr>
            <w:tcW w:type="dxa" w:w="1383"/>
          </w:tcPr>
          <w:p>
            <w:r/>
            <w:r>
              <w:rPr>
                <w:rFonts w:ascii="Calibri" w:hAnsi="Calibri" w:eastAsia="微软雅黑"/>
                <w:b w:val="0"/>
                <w:i w:val="0"/>
                <w:sz w:val="18"/>
              </w:rPr>
              <w:t>P5007</w:t>
            </w:r>
          </w:p>
        </w:tc>
        <w:tc>
          <w:tcPr>
            <w:tcW w:type="dxa" w:w="1383"/>
          </w:tcPr>
          <w:p>
            <w:r/>
            <w:r>
              <w:rPr>
                <w:rFonts w:ascii="Calibri" w:hAnsi="Calibri" w:eastAsia="微软雅黑"/>
                <w:b w:val="0"/>
                <w:i w:val="0"/>
                <w:sz w:val="18"/>
              </w:rPr>
              <w:t>2020卷</w:t>
            </w:r>
          </w:p>
        </w:tc>
        <w:tc>
          <w:tcPr>
            <w:tcW w:type="dxa" w:w="1383"/>
          </w:tcPr>
          <w:p>
            <w:r/>
            <w:r>
              <w:rPr>
                <w:rFonts w:ascii="Calibri" w:hAnsi="Calibri" w:eastAsia="微软雅黑"/>
                <w:b w:val="0"/>
                <w:i w:val="0"/>
                <w:sz w:val="18"/>
              </w:rPr>
              <w:t>42,935篇</w:t>
            </w:r>
          </w:p>
        </w:tc>
        <w:tc>
          <w:tcPr>
            <w:tcW w:type="dxa" w:w="1383"/>
          </w:tcPr>
          <w:p>
            <w:r/>
            <w:r>
              <w:rPr>
                <w:rFonts w:ascii="Calibri" w:hAnsi="Calibri" w:eastAsia="微软雅黑"/>
                <w:b w:val="0"/>
                <w:i w:val="0"/>
                <w:sz w:val="18"/>
              </w:rPr>
              <w:t>P5001</w:t>
            </w:r>
          </w:p>
        </w:tc>
      </w:tr>
      <w:tr>
        <w:tc>
          <w:tcPr>
            <w:tcW w:type="dxa" w:w="1383"/>
          </w:tcPr>
          <w:p>
            <w:r/>
            <w:r>
              <w:rPr>
                <w:rFonts w:ascii="Calibri" w:hAnsi="Calibri" w:eastAsia="微软雅黑"/>
                <w:b w:val="0"/>
                <w:i w:val="0"/>
                <w:sz w:val="18"/>
              </w:rPr>
              <w:t>2015卷</w:t>
            </w:r>
          </w:p>
        </w:tc>
        <w:tc>
          <w:tcPr>
            <w:tcW w:type="dxa" w:w="1383"/>
          </w:tcPr>
          <w:p>
            <w:r/>
            <w:r>
              <w:rPr>
                <w:rFonts w:ascii="Calibri" w:hAnsi="Calibri" w:eastAsia="微软雅黑"/>
                <w:b w:val="0"/>
                <w:i w:val="0"/>
                <w:sz w:val="18"/>
              </w:rPr>
              <w:t>8,654篇</w:t>
            </w:r>
          </w:p>
        </w:tc>
        <w:tc>
          <w:tcPr>
            <w:tcW w:type="dxa" w:w="1383"/>
          </w:tcPr>
          <w:p>
            <w:r/>
            <w:r>
              <w:rPr>
                <w:rFonts w:ascii="Calibri" w:hAnsi="Calibri" w:eastAsia="微软雅黑"/>
                <w:b w:val="0"/>
                <w:i w:val="0"/>
                <w:sz w:val="18"/>
              </w:rPr>
              <w:t>P5005</w:t>
            </w:r>
          </w:p>
        </w:tc>
        <w:tc>
          <w:tcPr>
            <w:tcW w:type="dxa" w:w="1383"/>
          </w:tcPr>
          <w:p>
            <w:r/>
            <w:r>
              <w:rPr>
                <w:rFonts w:ascii="Calibri" w:hAnsi="Calibri" w:eastAsia="微软雅黑"/>
                <w:b w:val="0"/>
                <w:i w:val="0"/>
                <w:sz w:val="18"/>
              </w:rPr>
              <w:t>2021卷</w:t>
            </w:r>
          </w:p>
        </w:tc>
        <w:tc>
          <w:tcPr>
            <w:tcW w:type="dxa" w:w="1383"/>
          </w:tcPr>
          <w:p>
            <w:r/>
            <w:r>
              <w:rPr>
                <w:rFonts w:ascii="Calibri" w:hAnsi="Calibri" w:eastAsia="微软雅黑"/>
                <w:b w:val="0"/>
                <w:i w:val="0"/>
                <w:sz w:val="18"/>
              </w:rPr>
              <w:t>324篇</w:t>
            </w:r>
          </w:p>
        </w:tc>
        <w:tc>
          <w:tcPr>
            <w:tcW w:type="dxa" w:w="1383"/>
          </w:tcPr>
          <w:p>
            <w:r/>
            <w:r>
              <w:rPr>
                <w:rFonts w:ascii="Calibri" w:hAnsi="Calibri" w:eastAsia="微软雅黑"/>
                <w:b w:val="0"/>
                <w:i w:val="0"/>
                <w:sz w:val="18"/>
              </w:rPr>
              <w:t>P5012</w:t>
            </w:r>
          </w:p>
        </w:tc>
      </w:tr>
    </w:tbl>
    <w:p>
      <w:r>
        <w:rPr>
          <w:rFonts w:ascii="Calibri" w:hAnsi="Calibri" w:eastAsia="微软雅黑"/>
          <w:b w:val="0"/>
          <w:i w:val="0"/>
          <w:sz w:val="22"/>
        </w:rPr>
        <w:t>注：篇数为各卷源文开篇的"EPC相关"标注数（锚见上表各行，P5001至P5008、P5011、P5012、P5014、P5028），反映文书库收录口径而非纠纷发生率；十二卷合计129,566篇（own_calc：逐卷加总，基于上表各锚）。</w:t>
      </w:r>
    </w:p>
    <w:p>
      <w:pPr>
        <w:pStyle w:val="Heading2"/>
      </w:pPr>
      <w:r>
        <w:t>五、胜诉不等于回款：程序与执行环节的最后一公里</w:t>
      </w:r>
    </w:p>
    <w:p>
      <w:r>
        <w:rPr>
          <w:rFonts w:ascii="Calibri" w:hAnsi="Calibri" w:eastAsia="微软雅黑"/>
          <w:b w:val="0"/>
          <w:i w:val="0"/>
          <w:sz w:val="22"/>
        </w:rPr>
        <w:t>温度计量化的是"纠纷发生"，但应收账款的真正终点不是判决书，而是执行到账。把文书卷再翻一层，程序与执行环节的样本拼出了回款链条的最后一公里——也是回收率最没有保障的一段。先看两个"程序性消亡"样本（2019年卷，P5002）：乔振军案于2019年11月22日立案，原告未在七日内预交案件受理费，法院于2019年12月2日裁定按撤回起诉处理（P5002）——维权止步于诉讼费缴纳期限这道最矮的门槛；乔文波案中，申请执行人于2019年12月2日书面申请撤销对中十治集团有限公司的执行申请，法院依《中华人民共和国民事诉讼法》第二百五十七条第一项裁定终结（2019）豫1222执886号案件的执行（P5002）——一个已经拿到执行立案的债权人主动收手，原因无源可证，但执行成本与回收预期的失衡是工程行业最常见的解释（定性说明，非源内结论）。撤诉并非免费：2013年卷里两个撤诉样本明码标价——蔡维林案案件受理费3,914元、减半收取1,957元由原告负担（P5008）；上海盈创案案件受理费16,347元、依法减半收取8,173.50元由原告负担（P5008）；两案撤诉成本合计10,130.50元（own_calc：1,957+8,173.50，基于P5008）——钱没有要回来，程序成本先沉没，且尚未计入时间与代理成本（定性说明）。同卷还有大型企业间的长周期拉锯：中铁十五局集团有限公司与中铁隧道集团有限公司等建设工程施工合同纠纷走过再审程序（案号（2013）浙杭民再字第10号，P5008）——主体规格再高，也不豁免程序的漫长。</w:t>
      </w:r>
    </w:p>
    <w:p>
      <w:r>
        <w:rPr>
          <w:rFonts w:ascii="Calibri" w:hAnsi="Calibri" w:eastAsia="微软雅黑"/>
          <w:b w:val="0"/>
          <w:i w:val="0"/>
          <w:sz w:val="22"/>
        </w:rPr>
        <w:t>执行环节最刺眼的样本在2021年卷（P5012）。孙计玲、周旭、周辰辰与上海禧诚装饰工程有限公司装饰装修合同纠纷一案，债权人持（2019）浙0211民初1601号民事判决于2021年4月25日申请执行（P5012），结果是源文原话——"该公司名下无任何财产可供执行，申请执行人的债权无法得到清偿"（P5012）：判决在、公司壳在、钱不在。债权人随即走了一条更深的路：申请追加股东朱斌、浦方方为被执行人，理由是二人系夫妻、于2011年5月共同发起设立禧诚公司，认缴注册资本为50万元，朱斌持股90%、浦方方持股10%，公司股权实质源于同一财产权、应认定为一人有限公司，并援引《最高人民法院关于民事执行中变更、追加当事人若干问题的规定》第二十条（P5012）；该公司法定代表人已于2021年4月变更为朱建华（P5012）。这起执行异议（案号（2021）浙0211执异62号之一，P5012）披露的每一个数字都值得抄进对手方审查清单：从设立到执行不能相隔近十年（own_calc：2011年5月至2021年4月，基于P5012）、认缴注册资本仅50万元（P5012）、名下无任何财产可供执行（P5012）——认缴资本对偿付能力的指示力，在执行程序里被剥得干干净净。对四川院的读法要立刻接上：年报披露的注册资本80,000.00（P5000，单位：万元）同样只是注册口径，认缴与实缴的差额、出资形式与实缴时点，三行数一概不披露（如实声明）；买方若把"8亿元注册资本"（P5000折合口径）当作信用依据，等于用工商登记的一行字替代整个偿债能力分析——正确用法是把注册资本当体量线索，把净资产117,834.36（P5000，万元）与担保结构当信用地基，并在尽调清单里单列"实缴出资与出资瑕疵核查"一项，尤其是混改若落地、新股东以非货币资产出资的情形（基于P5030混改信号与P5012样本的定性推演）。</w:t>
      </w:r>
    </w:p>
    <w:p>
      <w:r>
        <w:rPr>
          <w:rFonts w:ascii="Calibri" w:hAnsi="Calibri" w:eastAsia="微软雅黑"/>
          <w:b w:val="0"/>
          <w:i w:val="0"/>
          <w:sz w:val="22"/>
        </w:rPr>
        <w:t>程序环节还有一条容易被忽略的规则，直接决定维权成本的地域分布：建设工程施工合同纠纷按照不动产纠纷确定管辖（P5001引《最高人民法院关于适用〈中华人民共和国民事诉讼法〉的解释》第二十八条）。2020年卷的黑龙江案里，承包人以双方未签订书面合同、无从约定案件管辖为由，主张依《中华人民共和国民事诉讼法》第二十三条由其住所地法院审理，二审驳回——本案建设工程施工地为马伦村、归属塔河县，塔河县人民法院享有管辖权（案号（2020）黑27民辖终7号，P5001）。对全国经营的总承包商，这意味着应收账款的维权主场大概率在项目所在地而非公司本部：差旅、本地代理与异地司法资源的成本都应预先计入回款费用模型（定性推演，基于P5001规则）。这条规则同时反哺签约动作：既然管辖锚定不动产，那么把仲裁条款与争议评审条款写进合同，就成为少数能够自主选择争议解决方式的手段（与P5024目录所载DAAB与仲裁工具箱呼应）——合同文本是回款链条上少数完全由双方自己立法的环节，放弃在文本里约定，等于把程序主场拱手让给地理。</w:t>
      </w:r>
    </w:p>
    <w:p>
      <w:r>
        <w:rPr>
          <w:rFonts w:ascii="Calibri" w:hAnsi="Calibri" w:eastAsia="微软雅黑"/>
          <w:b w:val="0"/>
          <w:i w:val="0"/>
          <w:sz w:val="22"/>
        </w:rPr>
        <w:t>把这一节的样本装订成表四，得到一张"最后一公里成本清单"。</w:t>
      </w:r>
    </w:p>
    <w:p>
      <w:r>
        <w:rPr>
          <w:rFonts w:ascii="Calibri" w:hAnsi="Calibri" w:eastAsia="微软雅黑"/>
          <w:b/>
          <w:i w:val="0"/>
          <w:sz w:val="22"/>
        </w:rPr>
        <w:t>表四 程序与执行环节样本速览（弹药库文书卷开篇便利样本，均非四川院个案）</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样本（案号）</w:t>
            </w:r>
          </w:p>
        </w:tc>
        <w:tc>
          <w:tcPr>
            <w:tcW w:type="dxa" w:w="2075"/>
            <w:shd w:fill="1F3A5F"/>
          </w:tcPr>
          <w:p>
            <w:r>
              <w:rPr>
                <w:color w:val="FFFFFF"/>
              </w:rPr>
            </w:r>
            <w:r>
              <w:rPr>
                <w:rFonts w:ascii="Calibri" w:hAnsi="Calibri" w:eastAsia="微软雅黑"/>
                <w:b/>
                <w:i w:val="0"/>
                <w:color w:val="FFFFFF"/>
                <w:sz w:val="18"/>
              </w:rPr>
              <w:t>卷/锚</w:t>
            </w:r>
          </w:p>
        </w:tc>
        <w:tc>
          <w:tcPr>
            <w:tcW w:type="dxa" w:w="2075"/>
            <w:shd w:fill="1F3A5F"/>
          </w:tcPr>
          <w:p>
            <w:r>
              <w:rPr>
                <w:color w:val="FFFFFF"/>
              </w:rPr>
            </w:r>
            <w:r>
              <w:rPr>
                <w:rFonts w:ascii="Calibri" w:hAnsi="Calibri" w:eastAsia="微软雅黑"/>
                <w:b/>
                <w:i w:val="0"/>
                <w:color w:val="FFFFFF"/>
                <w:sz w:val="18"/>
              </w:rPr>
              <w:t>程序环节</w:t>
            </w:r>
          </w:p>
        </w:tc>
        <w:tc>
          <w:tcPr>
            <w:tcW w:type="dxa" w:w="2075"/>
            <w:shd w:fill="1F3A5F"/>
          </w:tcPr>
          <w:p>
            <w:r>
              <w:rPr>
                <w:color w:val="FFFFFF"/>
              </w:rPr>
            </w:r>
            <w:r>
              <w:rPr>
                <w:rFonts w:ascii="Calibri" w:hAnsi="Calibri" w:eastAsia="微软雅黑"/>
                <w:b/>
                <w:i w:val="0"/>
                <w:color w:val="FFFFFF"/>
                <w:sz w:val="18"/>
              </w:rPr>
              <w:t>关键事实（源文原值）</w:t>
            </w:r>
          </w:p>
        </w:tc>
      </w:tr>
      <w:tr>
        <w:tc>
          <w:tcPr>
            <w:tcW w:type="dxa" w:w="2075"/>
          </w:tcPr>
          <w:p>
            <w:r/>
            <w:r>
              <w:rPr>
                <w:rFonts w:ascii="Calibri" w:hAnsi="Calibri" w:eastAsia="微软雅黑"/>
                <w:b w:val="0"/>
                <w:i w:val="0"/>
                <w:sz w:val="18"/>
              </w:rPr>
              <w:t>黑龙江水利水电二公司案（2020）黑27民辖终7号</w:t>
            </w:r>
          </w:p>
        </w:tc>
        <w:tc>
          <w:tcPr>
            <w:tcW w:type="dxa" w:w="2075"/>
          </w:tcPr>
          <w:p>
            <w:r/>
            <w:r>
              <w:rPr>
                <w:rFonts w:ascii="Calibri" w:hAnsi="Calibri" w:eastAsia="微软雅黑"/>
                <w:b w:val="0"/>
                <w:i w:val="0"/>
                <w:sz w:val="18"/>
              </w:rPr>
              <w:t>P5001</w:t>
            </w:r>
          </w:p>
        </w:tc>
        <w:tc>
          <w:tcPr>
            <w:tcW w:type="dxa" w:w="2075"/>
          </w:tcPr>
          <w:p>
            <w:r/>
            <w:r>
              <w:rPr>
                <w:rFonts w:ascii="Calibri" w:hAnsi="Calibri" w:eastAsia="微软雅黑"/>
                <w:b w:val="0"/>
                <w:i w:val="0"/>
                <w:sz w:val="18"/>
              </w:rPr>
              <w:t>管辖裁定</w:t>
            </w:r>
          </w:p>
        </w:tc>
        <w:tc>
          <w:tcPr>
            <w:tcW w:type="dxa" w:w="2075"/>
          </w:tcPr>
          <w:p>
            <w:r/>
            <w:r>
              <w:rPr>
                <w:rFonts w:ascii="Calibri" w:hAnsi="Calibri" w:eastAsia="微软雅黑"/>
                <w:b w:val="0"/>
                <w:i w:val="0"/>
                <w:sz w:val="18"/>
              </w:rPr>
              <w:t>未签书面合同、无管辖约定；建工纠纷按不动产纠纷确定管辖，工程地塔河县法院管辖</w:t>
            </w:r>
          </w:p>
        </w:tc>
      </w:tr>
      <w:tr>
        <w:tc>
          <w:tcPr>
            <w:tcW w:type="dxa" w:w="2075"/>
          </w:tcPr>
          <w:p>
            <w:r/>
            <w:r>
              <w:rPr>
                <w:rFonts w:ascii="Calibri" w:hAnsi="Calibri" w:eastAsia="微软雅黑"/>
                <w:b w:val="0"/>
                <w:i w:val="0"/>
                <w:sz w:val="18"/>
              </w:rPr>
              <w:t>乔振军案（2019）鲁0991民初727号</w:t>
            </w:r>
          </w:p>
        </w:tc>
        <w:tc>
          <w:tcPr>
            <w:tcW w:type="dxa" w:w="2075"/>
          </w:tcPr>
          <w:p>
            <w:r/>
            <w:r>
              <w:rPr>
                <w:rFonts w:ascii="Calibri" w:hAnsi="Calibri" w:eastAsia="微软雅黑"/>
                <w:b w:val="0"/>
                <w:i w:val="0"/>
                <w:sz w:val="18"/>
              </w:rPr>
              <w:t>P5002</w:t>
            </w:r>
          </w:p>
        </w:tc>
        <w:tc>
          <w:tcPr>
            <w:tcW w:type="dxa" w:w="2075"/>
          </w:tcPr>
          <w:p>
            <w:r/>
            <w:r>
              <w:rPr>
                <w:rFonts w:ascii="Calibri" w:hAnsi="Calibri" w:eastAsia="微软雅黑"/>
                <w:b w:val="0"/>
                <w:i w:val="0"/>
                <w:sz w:val="18"/>
              </w:rPr>
              <w:t>按撤诉处理</w:t>
            </w:r>
          </w:p>
        </w:tc>
        <w:tc>
          <w:tcPr>
            <w:tcW w:type="dxa" w:w="2075"/>
          </w:tcPr>
          <w:p>
            <w:r/>
            <w:r>
              <w:rPr>
                <w:rFonts w:ascii="Calibri" w:hAnsi="Calibri" w:eastAsia="微软雅黑"/>
                <w:b w:val="0"/>
                <w:i w:val="0"/>
                <w:sz w:val="18"/>
              </w:rPr>
              <w:t>2019年11月22日立案，未在七日内预交受理费，2019年12月2日按撤诉处理</w:t>
            </w:r>
          </w:p>
        </w:tc>
      </w:tr>
      <w:tr>
        <w:tc>
          <w:tcPr>
            <w:tcW w:type="dxa" w:w="2075"/>
          </w:tcPr>
          <w:p>
            <w:r/>
            <w:r>
              <w:rPr>
                <w:rFonts w:ascii="Calibri" w:hAnsi="Calibri" w:eastAsia="微软雅黑"/>
                <w:b w:val="0"/>
                <w:i w:val="0"/>
                <w:sz w:val="18"/>
              </w:rPr>
              <w:t>乔文波执行案（2019）豫1222执886号</w:t>
            </w:r>
          </w:p>
        </w:tc>
        <w:tc>
          <w:tcPr>
            <w:tcW w:type="dxa" w:w="2075"/>
          </w:tcPr>
          <w:p>
            <w:r/>
            <w:r>
              <w:rPr>
                <w:rFonts w:ascii="Calibri" w:hAnsi="Calibri" w:eastAsia="微软雅黑"/>
                <w:b w:val="0"/>
                <w:i w:val="0"/>
                <w:sz w:val="18"/>
              </w:rPr>
              <w:t>P5002</w:t>
            </w:r>
          </w:p>
        </w:tc>
        <w:tc>
          <w:tcPr>
            <w:tcW w:type="dxa" w:w="2075"/>
          </w:tcPr>
          <w:p>
            <w:r/>
            <w:r>
              <w:rPr>
                <w:rFonts w:ascii="Calibri" w:hAnsi="Calibri" w:eastAsia="微软雅黑"/>
                <w:b w:val="0"/>
                <w:i w:val="0"/>
                <w:sz w:val="18"/>
              </w:rPr>
              <w:t>执行终结</w:t>
            </w:r>
          </w:p>
        </w:tc>
        <w:tc>
          <w:tcPr>
            <w:tcW w:type="dxa" w:w="2075"/>
          </w:tcPr>
          <w:p>
            <w:r/>
            <w:r>
              <w:rPr>
                <w:rFonts w:ascii="Calibri" w:hAnsi="Calibri" w:eastAsia="微软雅黑"/>
                <w:b w:val="0"/>
                <w:i w:val="0"/>
                <w:sz w:val="18"/>
              </w:rPr>
              <w:t>2019年12月2日书面申请撤销执行，裁定终结；被执行人为中十治集团有限公司</w:t>
            </w:r>
          </w:p>
        </w:tc>
      </w:tr>
      <w:tr>
        <w:tc>
          <w:tcPr>
            <w:tcW w:type="dxa" w:w="2075"/>
          </w:tcPr>
          <w:p>
            <w:r/>
            <w:r>
              <w:rPr>
                <w:rFonts w:ascii="Calibri" w:hAnsi="Calibri" w:eastAsia="微软雅黑"/>
                <w:b w:val="0"/>
                <w:i w:val="0"/>
                <w:sz w:val="18"/>
              </w:rPr>
              <w:t>蔡维林案（2013）德民初字第2869号</w:t>
            </w:r>
          </w:p>
        </w:tc>
        <w:tc>
          <w:tcPr>
            <w:tcW w:type="dxa" w:w="2075"/>
          </w:tcPr>
          <w:p>
            <w:r/>
            <w:r>
              <w:rPr>
                <w:rFonts w:ascii="Calibri" w:hAnsi="Calibri" w:eastAsia="微软雅黑"/>
                <w:b w:val="0"/>
                <w:i w:val="0"/>
                <w:sz w:val="18"/>
              </w:rPr>
              <w:t>P5008</w:t>
            </w:r>
          </w:p>
        </w:tc>
        <w:tc>
          <w:tcPr>
            <w:tcW w:type="dxa" w:w="2075"/>
          </w:tcPr>
          <w:p>
            <w:r/>
            <w:r>
              <w:rPr>
                <w:rFonts w:ascii="Calibri" w:hAnsi="Calibri" w:eastAsia="微软雅黑"/>
                <w:b w:val="0"/>
                <w:i w:val="0"/>
                <w:sz w:val="18"/>
              </w:rPr>
              <w:t>撤诉成本</w:t>
            </w:r>
          </w:p>
        </w:tc>
        <w:tc>
          <w:tcPr>
            <w:tcW w:type="dxa" w:w="2075"/>
          </w:tcPr>
          <w:p>
            <w:r/>
            <w:r>
              <w:rPr>
                <w:rFonts w:ascii="Calibri" w:hAnsi="Calibri" w:eastAsia="微软雅黑"/>
                <w:b w:val="0"/>
                <w:i w:val="0"/>
                <w:sz w:val="18"/>
              </w:rPr>
              <w:t>案件受理费3,914元，减半收取1,957元由原告负担</w:t>
            </w:r>
          </w:p>
        </w:tc>
      </w:tr>
      <w:tr>
        <w:tc>
          <w:tcPr>
            <w:tcW w:type="dxa" w:w="2075"/>
          </w:tcPr>
          <w:p>
            <w:r/>
            <w:r>
              <w:rPr>
                <w:rFonts w:ascii="Calibri" w:hAnsi="Calibri" w:eastAsia="微软雅黑"/>
                <w:b w:val="0"/>
                <w:i w:val="0"/>
                <w:sz w:val="18"/>
              </w:rPr>
              <w:t>上海盈创案（2012）扬邗民初字第2439-1号</w:t>
            </w:r>
          </w:p>
        </w:tc>
        <w:tc>
          <w:tcPr>
            <w:tcW w:type="dxa" w:w="2075"/>
          </w:tcPr>
          <w:p>
            <w:r/>
            <w:r>
              <w:rPr>
                <w:rFonts w:ascii="Calibri" w:hAnsi="Calibri" w:eastAsia="微软雅黑"/>
                <w:b w:val="0"/>
                <w:i w:val="0"/>
                <w:sz w:val="18"/>
              </w:rPr>
              <w:t>P5008</w:t>
            </w:r>
          </w:p>
        </w:tc>
        <w:tc>
          <w:tcPr>
            <w:tcW w:type="dxa" w:w="2075"/>
          </w:tcPr>
          <w:p>
            <w:r/>
            <w:r>
              <w:rPr>
                <w:rFonts w:ascii="Calibri" w:hAnsi="Calibri" w:eastAsia="微软雅黑"/>
                <w:b w:val="0"/>
                <w:i w:val="0"/>
                <w:sz w:val="18"/>
              </w:rPr>
              <w:t>撤诉成本</w:t>
            </w:r>
          </w:p>
        </w:tc>
        <w:tc>
          <w:tcPr>
            <w:tcW w:type="dxa" w:w="2075"/>
          </w:tcPr>
          <w:p>
            <w:r/>
            <w:r>
              <w:rPr>
                <w:rFonts w:ascii="Calibri" w:hAnsi="Calibri" w:eastAsia="微软雅黑"/>
                <w:b w:val="0"/>
                <w:i w:val="0"/>
                <w:sz w:val="18"/>
              </w:rPr>
              <w:t>案件受理费16,347元，依法减半收取8,173.50元由原告负担</w:t>
            </w:r>
          </w:p>
        </w:tc>
      </w:tr>
      <w:tr>
        <w:tc>
          <w:tcPr>
            <w:tcW w:type="dxa" w:w="2075"/>
          </w:tcPr>
          <w:p>
            <w:r/>
            <w:r>
              <w:rPr>
                <w:rFonts w:ascii="Calibri" w:hAnsi="Calibri" w:eastAsia="微软雅黑"/>
                <w:b w:val="0"/>
                <w:i w:val="0"/>
                <w:sz w:val="18"/>
              </w:rPr>
              <w:t>孙计玲等执行异议案（2021）浙0211执异62号之一</w:t>
            </w:r>
          </w:p>
        </w:tc>
        <w:tc>
          <w:tcPr>
            <w:tcW w:type="dxa" w:w="2075"/>
          </w:tcPr>
          <w:p>
            <w:r/>
            <w:r>
              <w:rPr>
                <w:rFonts w:ascii="Calibri" w:hAnsi="Calibri" w:eastAsia="微软雅黑"/>
                <w:b w:val="0"/>
                <w:i w:val="0"/>
                <w:sz w:val="18"/>
              </w:rPr>
              <w:t>P5012</w:t>
            </w:r>
          </w:p>
        </w:tc>
        <w:tc>
          <w:tcPr>
            <w:tcW w:type="dxa" w:w="2075"/>
          </w:tcPr>
          <w:p>
            <w:r/>
            <w:r>
              <w:rPr>
                <w:rFonts w:ascii="Calibri" w:hAnsi="Calibri" w:eastAsia="微软雅黑"/>
                <w:b w:val="0"/>
                <w:i w:val="0"/>
                <w:sz w:val="18"/>
              </w:rPr>
              <w:t>执行不能＋追加股东</w:t>
            </w:r>
          </w:p>
        </w:tc>
        <w:tc>
          <w:tcPr>
            <w:tcW w:type="dxa" w:w="2075"/>
          </w:tcPr>
          <w:p>
            <w:r/>
            <w:r>
              <w:rPr>
                <w:rFonts w:ascii="Calibri" w:hAnsi="Calibri" w:eastAsia="微软雅黑"/>
                <w:b w:val="0"/>
                <w:i w:val="0"/>
                <w:sz w:val="18"/>
              </w:rPr>
              <w:t>2021年4月25日申请执行（2019）浙0211民初1601号判决；名下无任何财产可供执行；认缴注册资本50万元，夫妻持股90%／10%</w:t>
            </w:r>
          </w:p>
        </w:tc>
      </w:tr>
    </w:tbl>
    <w:p>
      <w:r>
        <w:rPr>
          <w:rFonts w:ascii="Calibri" w:hAnsi="Calibri" w:eastAsia="微软雅黑"/>
          <w:b w:val="0"/>
          <w:i w:val="0"/>
          <w:sz w:val="22"/>
        </w:rPr>
        <w:t>注：本表样本均取自各年度卷开篇部分（P5001、P5002、P5008、P5012），属便利样本而非随机抽样；两笔撤诉成本合计10,130.50元（own_calc：1,957+8,173.50，基于P5008）；表内其余数字与案号写法均为源文原值。</w:t>
      </w:r>
    </w:p>
    <w:p>
      <w:r>
        <w:rPr>
          <w:rFonts w:ascii="Calibri" w:hAnsi="Calibri" w:eastAsia="微软雅黑"/>
          <w:b w:val="0"/>
          <w:i w:val="0"/>
          <w:sz w:val="22"/>
        </w:rPr>
        <w:t>这一节对四类读者的落点各不相同。对业主与总包的应收团队：把"胜诉率"从内部考核里拿出来，换成"执行到账率"，并给每笔逾期应收预估一笔程序成本——以样本为参照，撤诉成本在千元级到近万元（own_calc区间：1,957元至8,173.50元，基于P5008），时间成本以年计（own_calc，基于P5014）。对分包商与供应商：起诉前先做被告资产画像（不动产、账户、股权），第七样本（P5005）与执行异议样本（P5012）共同提示，责任链条上的每一环——签约个人、总承包人、发包人、股东——都可能是最终付款来源，诉请设计宜一次列全，避免程序空转后再逐个追加。对银行与保函机构：执行不能样本（P5012）正是担保价值存在的理由，无担保债权在"名下无任何财产可供执行"面前的回收前景黯淡（定性说明）。对研究者与内容消费者：文书卷开篇便利样本的偏差在本节同样成立——进入卷宗的程序性事件本身已是纠纷激化的子集，协商解决的沉默大多数不可见（如实声明），因此本节样本只能说明"最后一公里存在哪些坑"，不能说明"坑的发生概率"。</w:t>
      </w:r>
    </w:p>
    <w:p>
      <w:r>
        <w:rPr>
          <w:rFonts w:ascii="Calibri" w:hAnsi="Calibri" w:eastAsia="微软雅黑"/>
          <w:b w:val="0"/>
          <w:i w:val="0"/>
          <w:sz w:val="22"/>
        </w:rPr>
        <w:t>落到制度层面，本节的样本可以直接转译成一套低成本的应收管理动作，适合写进任何与总承包商打交道的企业内部手册。第一，账龄分级与留痕：把对总承包商的应收按账期分档，逾期即触发对账函与书面催收记录——收条攻防样本（P5014）证明，一张收条的措辞与出具时点足以决定近五年后的攻守易位，同理，己方发出的每一封对账函、每一份还款协议都应经法务过目后再落笔。第二，程序预算：每笔重大应收在逾期时点即预提一笔程序成本准备，以撤诉成本样本（P5008）与以年计的时间成本（own_calc，基于P5014）为参照系，让"打不打官司、什么时候打"成为有价签的决策而非情绪反应。第三，主体年检：对手方的股东结构、认缴与实缴信息、涉诉与被执行记录每半年刷新一次——执行异议样本（P5012）就是现成的检查清单，结构一变即触发重估。第四，合同回看：每季度抽查一份在手合同，把其付款节点、保修金安排与争议解决条款同本节样本揭示的争议缺口逐条比对，缺什么补什么。这套动作不需要任何额外的数据采购，只需要把已经公开的判决书当教材用——回款管理的最大成本从来不是信息，而是不肯从别人的官司里学乖。</w:t>
      </w:r>
    </w:p>
    <w:p>
      <w:pPr>
        <w:pStyle w:val="Heading2"/>
      </w:pPr>
      <w:r>
        <w:t>六、新赛道价格带：储能EPC与现金流的再想象</w:t>
      </w:r>
    </w:p>
    <w:p>
      <w:r>
        <w:rPr>
          <w:rFonts w:ascii="Calibri" w:hAnsi="Calibri" w:eastAsia="微软雅黑"/>
          <w:b w:val="0"/>
          <w:i w:val="0"/>
          <w:sz w:val="22"/>
        </w:rPr>
        <w:t>利润表的另一端是收入来源的更替。在"四川电力设计咨询 储能"检索词下2026-10-03搜索所得的17篇微信文章合集中（P5030），排在前列的正是《川内首个压缩空气储能项目顺利通过初设报告评审》（P5030）——检索词本身就说明，市场与公司共同的注意力已经投向新型储能；压缩空气储能这类长时储能路线进入初设评审阶段，意味着设计院的传统强项（可行性研究、初设、评审服务）在新赛道有天然入口，这是亏损主体最现实的收入接力棒。这个新赛道对一家亏损的电力设计院意味着什么，可以用合集里携带的价格与订单数据做一次初素描：七月储能中标分析显示，储能采购最低价已到0.87元/Wh，而储能EPC最高价为3.04元/Wh（P5030），两者相差约3.49（own_calc：3.04÷0.87，基于P5030）——价差结构说明行业同时存在极致压缩的设备价格与仍处高位的总承包报价，EPC环节的利润空间取决于承包商把采购低价传导给业主的速度与谈判力，而这恰恰是设计院系总承包商最容易被挤压的位置。引用时还须注意价格数据的时间性：0.87元/Wh与3.04元/Wh是七月分析的截面值（P5030），储能价格变动快，任何跨期引用都应重新核价。再从设计院视角补一层判断：在储能项目里，可研、初设与评审服务是前期现金流最稳定、占用资金最少的部分，EPC总承包则是后期风险最集中的部分——对一家刚录得约-7.35亿元净利润（P5000）的公司，把前端咨询做厚、对总承包单选择性报价，是报表修复路径上更稳的走法；检索合集中初设评审通过、博士后基地获批这类信息（P5030）与稳健路径的兼容性，明显高于激进的垫资式总承包扩张，这也是观察其后续经营风格的一个窗口。</w:t>
      </w:r>
    </w:p>
    <w:p>
      <w:r>
        <w:rPr>
          <w:rFonts w:ascii="Calibri" w:hAnsi="Calibri" w:eastAsia="微软雅黑"/>
          <w:b w:val="0"/>
          <w:i w:val="0"/>
          <w:sz w:val="22"/>
        </w:rPr>
        <w:t>订单与生态侧的信号偏暖。同合集收录《超27亿元！中国电建拟中标一批储能电站大项目》（P5030），显示母公司中国电建在储能电站领域的单批拟中标金额已过27亿元量级（P5030）；供给侧《储能资讯》一文提到中国电建与宁德时代达成战略合作、智光电气储能目标产能为12GWh（P5030）；另一篇《13项！一月储能项目中标汇总》单月即汇总13项中标（P5030）；竞争者侧有《捷报频传！清安储能连续中标多个储能重点项目！》（P5030），市场关注度侧有《钦秋伟业能源电力说新型储能类文章合集（截至2026年2月14日）》这类持续更新的行业内容（P5030），区域生态侧还有四川协成通过国家级高新技术企业认定（P5030）。把这些数字放在一起读：上游产能扩张（12GWh目标产能，P5030）＋设备价格探底（0.87元/Wh，P5030）＋业主订单放量（超27亿元拟中标，P5030），储能EPC市场的收入池在快速做大，但价格战同样凶猛——对新进入者而言，这是一个"营收容易、利润难保"的市场，0.87元/Wh的采购最低价意味着任何报价策略失误都可能直接击穿项目毛利（基于P5030数字的定性推演，非源内结论）。给这一段的数字再排一次优先级也值得：27亿元量级的集团拟中标（P5030）说明市场纵深，12GWh目标产能（P5030）说明供给侧决心，13项单月汇总（P5030）说明成交密度——三者共同确认"市场在放量"，但没有任何一个直接指向四川院的分单比例与单体利润，这个缺口只能靠未来的单体披露来填，靠推断去填它等于用行业的乐观冒充个体的证据。</w:t>
      </w:r>
    </w:p>
    <w:p>
      <w:r>
        <w:rPr>
          <w:rFonts w:ascii="Calibri" w:hAnsi="Calibri" w:eastAsia="微软雅黑"/>
          <w:b w:val="0"/>
          <w:i w:val="0"/>
          <w:sz w:val="22"/>
        </w:rPr>
        <w:t>竞争理论的视角可以给这个价格带再补一层解读。斯坦福大学战略学教授、"红桃皇后"竞争理论提出者William Barnett，在《创新战略管理》课程中直接批评主流竞争理论的均衡幻觉——多数理论假定竞争导向稳定的市场解，而他的主张相反：竞争并不导向均衡或稳定，而是在制造更快的变革（P5017，英文课程内容的中文概述，非逐字引文）。把这一判断放到储能EPC的价格带上相当贴切：设备采购端0.87元/Wh与总承包端3.04元/Wh的巨大价差（P5030）本身就是竞争速度不同步的产物——设备环节的"红桃皇后"跑得快、价格快速探底，总承包环节的报价惯性还在，两者之间的差额是承包商的谈判窗口，也随时可能被下一轮竞争抹平；对一家带着约-7.35亿元净利润（P5000）进入这条赛道的追赶者，窗口期就是修复期，窗口关闭后再进场，拿到的可能只是被竞争推着走的低毛利订单（基于P5017理论与P5030数字的定性推演，非源内结论）。生态侧还有一个此前未提的信号值得记录：合集里《关于发布2023版〈电力设计行业标准有效版本清单〉和〈国际电力工程标准清单〉的通知》（P5030）——行业标准的清单化维护是设计咨询业的知识基础设施，也是设计院系公司相对纯施工企业的少数壁垒之一；对四川院，这提示其前端咨询价值有制度性支撑，后端总承包风险则要靠合同与管理对冲——壁垒与风险并存，才是这家公司在新赛道上的完整画像。</w:t>
      </w:r>
    </w:p>
    <w:p>
      <w:r>
        <w:rPr>
          <w:rFonts w:ascii="Calibri" w:hAnsi="Calibri" w:eastAsia="微软雅黑"/>
          <w:b w:val="0"/>
          <w:i w:val="0"/>
          <w:sz w:val="22"/>
        </w:rPr>
        <w:t>所以呢？对买方，这一节的价值在于校准对四川院现金流的预期方向。母公司的订单池（超27亿元储能拟中标，P5030）、集团层面的战略合作（中国电建与宁德时代，P5030）、公司自身的混改推介与博士后基地（P5030），构成"集团订单＋资本运作＋平台升级"的三重外部支撑，理论上为亏损主体的现金流修复提供了通道；但价格带数据同样提示，新赛道以0.87元/Wh（P5030）为标志的激烈竞争未必自动转化为利润率修复——如果四川院在储能EPC中重复传统电力EPC的垫资模式，规模做大反而可能加重应收账款沉淀。中立结论是：现金流修复的证据链在现有弹药库中不完整，收入端能看到市场在放量（P5030），利润端只能看到2025年的巨额亏损（P5000），两者之间的传导过程无源可证，本报告不做方向性断言；行业公共品层面，2026年四川电力行业"质量月"质量大讲堂仍在常态开展（P5030），提示区域电力工程生态的整体运转未见异常。需要防止的误读也要说清：生态信号只能证明"环境正常"，不能证明"个体健康"——集团储能订单多（P5030）不等于四川院分得多，行业质量月照常开展（P5030）也不等于任何单体院的经营改善；把环境指标误当个体指标，是行业研究里最常见的安慰剂，也是买方高估对手方信用时最典型的心理路径。</w:t>
      </w:r>
    </w:p>
    <w:p>
      <w:r>
        <w:rPr>
          <w:rFonts w:ascii="Calibri" w:hAnsi="Calibri" w:eastAsia="微软雅黑"/>
          <w:b w:val="0"/>
          <w:i w:val="0"/>
          <w:sz w:val="22"/>
        </w:rPr>
        <w:t>给买方的监测清单可以概括为三条可跟踪的线索：一是母公司下一次年报中四川院那一行的三个数字是否改善（P5000口径），这是最权威也最滞后的指标；二是以"四川电力设计咨询"为关键词的公开信息流里，储能类项目的中标与评审动态是否持续出现（P5030所示信息流的延续性）；三是混改推介是否有实质进展（P5030标题信号）——三者中任何一条出现变化，都应触发对其信用条款的重新评估。在监测结果落地之前，把本章的结论当作"已知边界内的底牌"而非"终审判决"来使用，是成本最低的稳健姿态。三条线索的优先级也有讲究：报表线索（P5000口径）最权威但一年一更；信息流线索（P5030所示公开信息流）最敏捷但噪声最大；混改线索（P5030）影响最深远但不确定性最高——建议以报表为锚、以信息流为哨、以混改为事件驱动，三者分工而不是互相替代，避免把敏捷的噪声当成权威的信号。</w:t>
      </w:r>
    </w:p>
    <w:p>
      <w:pPr>
        <w:pStyle w:val="Heading2"/>
      </w:pPr>
      <w:r>
        <w:t>七、行业研究坐标校验：景气度框架与三条趋势证据链</w:t>
      </w:r>
    </w:p>
    <w:p>
      <w:r>
        <w:rPr>
          <w:rFonts w:ascii="Calibri" w:hAnsi="Calibri" w:eastAsia="微软雅黑"/>
          <w:b w:val="0"/>
          <w:i w:val="0"/>
          <w:sz w:val="22"/>
        </w:rPr>
        <w:t>本章的结论最终要回答"接下来会怎样"，而行业研究方法论对这类问题有现成的检查清单。《如何快速了解一个行业》的框架里，"景气度：如何预判业绩增速"（P5027目录）提醒：单年报表数字不构成景气判断，必须与行业性指标交叉验证；"防守性：这个行业会被替代吗"（P5027目录）追问传统业务是否正在被替代——对四川院，传统电力设计咨询的替代压力与储能新赛道的机会是同一枚硬币的两面；"可行性：既然知道会输，那为何要'下注'"（P5027目录）的追问方式也适合倒过来用在授信决策上：明知有风险仍要交易时，下注的理由必须是担保与条款，而不是对央企招牌的情感溢价。方法自省层面，"麦肯锡分析师的'资讯料理法'"（P5027目录）与本章的三层标注（原文数带P锚、派生数带own_calc算式、定性判断带说明）是同一件事的两个版本——同一批素材按事实、推断、观点分层处理后得出的结论才经得起复核。用这套坐标回看，四川院当前处于"个体数据单年截面＋行业信号丰富"的信息结构：个体维度只有三行数（P5000），行业维度却有同表十五家坐标（P5000）、十二卷纠纷温度计（P5001至P5014）与储能价格带（P5030）——趋势判断只能从行业侧推导个体侧的边界，不能反推为个体的命运。为此，本节把三条最重要的趋势判断各自装订成"基线事实（带锚）→推演→反证"的完整证据链，每条同时给出支持与削弱自己的证据，供买方自行称重。</w:t>
      </w:r>
    </w:p>
    <w:p>
      <w:r>
        <w:rPr>
          <w:rFonts w:ascii="Calibri" w:hAnsi="Calibri" w:eastAsia="微软雅黑"/>
          <w:b w:val="0"/>
          <w:i w:val="0"/>
          <w:sz w:val="22"/>
        </w:rPr>
        <w:t>证据链一，收入端：储能市场放量是真的，放量不等于四川院的收入。基线事实：母公司中国电建单批储能电站拟中标金额超27亿元、单月储能项目中标汇总13项、上游智光电气储能目标产能12GWh（均P5030）；四川院自身出现在储能语境下的信号，是川内首个压缩空气储能项目通过初设报告评审（P5030）。推演：集团订单池扩大时，序列内设计院获得前端咨询与专业分包的机会通常随之增加；检索合集中储能信息的高密度出现（P5030）说明注意力与资源正在流入该赛道，四川院作为省内设计力量有地理与资质上的卡位优势。反证：全部信号中没有一条显示四川院中标了任何储能EPC或设计合同——超27亿元（P5030）是集团的，12GWh（P5030）是设备商的，13项（P5030）是行业汇总的；同时0.87元/Wh的采购最低价（P5030）意味着即便分到单，价格竞争也可能把毛利压薄。链条结论：收入端方向偏暖但个体无证，任何把集团订单记作四川院收入的算法都是夸大。</w:t>
      </w:r>
    </w:p>
    <w:p>
      <w:r>
        <w:rPr>
          <w:rFonts w:ascii="Calibri" w:hAnsi="Calibri" w:eastAsia="微软雅黑"/>
          <w:b w:val="0"/>
          <w:i w:val="0"/>
          <w:sz w:val="22"/>
        </w:rPr>
        <w:t>证据链二，利润端：亏损是唯一的硬事实，修复路径全部无证。基线事实：2025年度净利润-73,467.86（P5000，万元），序列中位数22,220.12（own_calc，基于P5000），两者相差95,687.98（own_calc：22,220.12−(−73,467.86)，基于P5000，万元）——从垫底回到中位数，中间隔着约9.57亿元（own_calc折算：95,687.98万元，基于P5000）的年度利润差距。推演：可能的修复通道有三——混改引入战略投资者（P5030两度出现推介）、依托集团订单池的业务重整（P5030为潜在来源）、或亏损源于一次性计提后的自然回摆（与经营延续信号P5030相容）。反证：三条通道无一有落地证据——混改无进程与估值源、单体收入结构无披露（本章盲区一）、计提假说无法从三行数裁决（盲区三）；且单年截面不构成趋势，2026年上半年分部数据缺失（P5021半年报无相关摘录）。链条结论：利润修复是"可能但未证"的选项而非基准情形，审慎的基准情形是亏损收窄幅度未知。</w:t>
      </w:r>
    </w:p>
    <w:p>
      <w:r>
        <w:rPr>
          <w:rFonts w:ascii="Calibri" w:hAnsi="Calibri" w:eastAsia="微软雅黑"/>
          <w:b w:val="0"/>
          <w:i w:val="0"/>
          <w:sz w:val="22"/>
        </w:rPr>
        <w:t>证据链三，回款端：纠纷环境的高温是常态，看不见任何降温证据。基线事实：十二卷合计129,566篇EPC相关文书标注（own_calc，基于P5001至P5014），其中2019、2020两卷合计84,485篇、占比约0.65（own_calc，基于P5001、P5002及其余各卷标注）；七个微观样本的已付比例光谱约0.13至0.94（own_calc，基于P5005、P5003）；执行端存在"名下无任何财产可供执行"的样本（P5012）。推演：只要尾款段争议形态不变（P5004、P5028等样本），总承包商的应收账款就应按"面值打折＋以年计周期"管理，合同条款严格度应维持高温档。反证：唯一可能被误读为降温的证据是2021年卷骤降至324篇（P5012），但本节前文已论证那是文书公开口径收缩而非纠纷消失；同时全部样本均为便利样本，既可能高估极端形态的出现频率，也可能因协商解决的沉默大多数不可见而低估温和拖欠的存量（如实声明）。链条结论：回款环境按高温常态假设继续成立，降温证据不存在。</w:t>
      </w:r>
    </w:p>
    <w:p>
      <w:r>
        <w:rPr>
          <w:rFonts w:ascii="Calibri" w:hAnsi="Calibri" w:eastAsia="微软雅黑"/>
          <w:b/>
          <w:i w:val="0"/>
          <w:sz w:val="22"/>
        </w:rPr>
        <w:t>表五 三条趋势证据链速览（每条=基线事实带锚→推演→反证）</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链</w:t>
            </w:r>
          </w:p>
        </w:tc>
        <w:tc>
          <w:tcPr>
            <w:tcW w:type="dxa" w:w="1660"/>
            <w:shd w:fill="1F3A5F"/>
          </w:tcPr>
          <w:p>
            <w:r>
              <w:rPr>
                <w:color w:val="FFFFFF"/>
              </w:rPr>
            </w:r>
            <w:r>
              <w:rPr>
                <w:rFonts w:ascii="Calibri" w:hAnsi="Calibri" w:eastAsia="微软雅黑"/>
                <w:b/>
                <w:i w:val="0"/>
                <w:color w:val="FFFFFF"/>
                <w:sz w:val="18"/>
              </w:rPr>
              <w:t>基线事实（锚）</w:t>
            </w:r>
          </w:p>
        </w:tc>
        <w:tc>
          <w:tcPr>
            <w:tcW w:type="dxa" w:w="1660"/>
            <w:shd w:fill="1F3A5F"/>
          </w:tcPr>
          <w:p>
            <w:r>
              <w:rPr>
                <w:color w:val="FFFFFF"/>
              </w:rPr>
            </w:r>
            <w:r>
              <w:rPr>
                <w:rFonts w:ascii="Calibri" w:hAnsi="Calibri" w:eastAsia="微软雅黑"/>
                <w:b/>
                <w:i w:val="0"/>
                <w:color w:val="FFFFFF"/>
                <w:sz w:val="18"/>
              </w:rPr>
              <w:t>推演</w:t>
            </w:r>
          </w:p>
        </w:tc>
        <w:tc>
          <w:tcPr>
            <w:tcW w:type="dxa" w:w="1660"/>
            <w:shd w:fill="1F3A5F"/>
          </w:tcPr>
          <w:p>
            <w:r>
              <w:rPr>
                <w:color w:val="FFFFFF"/>
              </w:rPr>
            </w:r>
            <w:r>
              <w:rPr>
                <w:rFonts w:ascii="Calibri" w:hAnsi="Calibri" w:eastAsia="微软雅黑"/>
                <w:b/>
                <w:i w:val="0"/>
                <w:color w:val="FFFFFF"/>
                <w:sz w:val="18"/>
              </w:rPr>
              <w:t>反证</w:t>
            </w:r>
          </w:p>
        </w:tc>
        <w:tc>
          <w:tcPr>
            <w:tcW w:type="dxa" w:w="1660"/>
            <w:shd w:fill="1F3A5F"/>
          </w:tcPr>
          <w:p>
            <w:r>
              <w:rPr>
                <w:color w:val="FFFFFF"/>
              </w:rPr>
            </w:r>
            <w:r>
              <w:rPr>
                <w:rFonts w:ascii="Calibri" w:hAnsi="Calibri" w:eastAsia="微软雅黑"/>
                <w:b/>
                <w:i w:val="0"/>
                <w:color w:val="FFFFFF"/>
                <w:sz w:val="18"/>
              </w:rPr>
              <w:t>净判断</w:t>
            </w:r>
          </w:p>
        </w:tc>
      </w:tr>
      <w:tr>
        <w:tc>
          <w:tcPr>
            <w:tcW w:type="dxa" w:w="1660"/>
          </w:tcPr>
          <w:p>
            <w:r/>
            <w:r>
              <w:rPr>
                <w:rFonts w:ascii="Calibri" w:hAnsi="Calibri" w:eastAsia="微软雅黑"/>
                <w:b w:val="0"/>
                <w:i w:val="0"/>
                <w:sz w:val="18"/>
              </w:rPr>
              <w:t>收入端</w:t>
            </w:r>
          </w:p>
        </w:tc>
        <w:tc>
          <w:tcPr>
            <w:tcW w:type="dxa" w:w="1660"/>
          </w:tcPr>
          <w:p>
            <w:r/>
            <w:r>
              <w:rPr>
                <w:rFonts w:ascii="Calibri" w:hAnsi="Calibri" w:eastAsia="微软雅黑"/>
                <w:b w:val="0"/>
                <w:i w:val="0"/>
                <w:sz w:val="18"/>
              </w:rPr>
              <w:t>集团储能拟中标超27亿元、单月汇总13项、目标产能12GWh（P5030）</w:t>
            </w:r>
          </w:p>
        </w:tc>
        <w:tc>
          <w:tcPr>
            <w:tcW w:type="dxa" w:w="1660"/>
          </w:tcPr>
          <w:p>
            <w:r/>
            <w:r>
              <w:rPr>
                <w:rFonts w:ascii="Calibri" w:hAnsi="Calibri" w:eastAsia="微软雅黑"/>
                <w:b w:val="0"/>
                <w:i w:val="0"/>
                <w:sz w:val="18"/>
              </w:rPr>
              <w:t>赛道放量，省内设计院有卡位机会</w:t>
            </w:r>
          </w:p>
        </w:tc>
        <w:tc>
          <w:tcPr>
            <w:tcW w:type="dxa" w:w="1660"/>
          </w:tcPr>
          <w:p>
            <w:r/>
            <w:r>
              <w:rPr>
                <w:rFonts w:ascii="Calibri" w:hAnsi="Calibri" w:eastAsia="微软雅黑"/>
                <w:b w:val="0"/>
                <w:i w:val="0"/>
                <w:sz w:val="18"/>
              </w:rPr>
              <w:t>无四川院单体中标源；0.87元/Wh低价挤压毛利（P5030）</w:t>
            </w:r>
          </w:p>
        </w:tc>
        <w:tc>
          <w:tcPr>
            <w:tcW w:type="dxa" w:w="1660"/>
          </w:tcPr>
          <w:p>
            <w:r/>
            <w:r>
              <w:rPr>
                <w:rFonts w:ascii="Calibri" w:hAnsi="Calibri" w:eastAsia="微软雅黑"/>
                <w:b w:val="0"/>
                <w:i w:val="0"/>
                <w:sz w:val="18"/>
              </w:rPr>
              <w:t>方向偏暖、个体无证</w:t>
            </w:r>
          </w:p>
        </w:tc>
      </w:tr>
      <w:tr>
        <w:tc>
          <w:tcPr>
            <w:tcW w:type="dxa" w:w="1660"/>
          </w:tcPr>
          <w:p>
            <w:r/>
            <w:r>
              <w:rPr>
                <w:rFonts w:ascii="Calibri" w:hAnsi="Calibri" w:eastAsia="微软雅黑"/>
                <w:b w:val="0"/>
                <w:i w:val="0"/>
                <w:sz w:val="18"/>
              </w:rPr>
              <w:t>利润端</w:t>
            </w:r>
          </w:p>
        </w:tc>
        <w:tc>
          <w:tcPr>
            <w:tcW w:type="dxa" w:w="1660"/>
          </w:tcPr>
          <w:p>
            <w:r/>
            <w:r>
              <w:rPr>
                <w:rFonts w:ascii="Calibri" w:hAnsi="Calibri" w:eastAsia="微软雅黑"/>
                <w:b w:val="0"/>
                <w:i w:val="0"/>
                <w:sz w:val="18"/>
              </w:rPr>
              <w:t>净利润-73,467.86万元（P5000）；与序列中位数差95,687.98万元（own_calc，基于P5000）</w:t>
            </w:r>
          </w:p>
        </w:tc>
        <w:tc>
          <w:tcPr>
            <w:tcW w:type="dxa" w:w="1660"/>
          </w:tcPr>
          <w:p>
            <w:r/>
            <w:r>
              <w:rPr>
                <w:rFonts w:ascii="Calibri" w:hAnsi="Calibri" w:eastAsia="微软雅黑"/>
                <w:b w:val="0"/>
                <w:i w:val="0"/>
                <w:sz w:val="18"/>
              </w:rPr>
              <w:t>混改、集团重整、计提出清三条修复通道</w:t>
            </w:r>
          </w:p>
        </w:tc>
        <w:tc>
          <w:tcPr>
            <w:tcW w:type="dxa" w:w="1660"/>
          </w:tcPr>
          <w:p>
            <w:r/>
            <w:r>
              <w:rPr>
                <w:rFonts w:ascii="Calibri" w:hAnsi="Calibri" w:eastAsia="微软雅黑"/>
                <w:b w:val="0"/>
                <w:i w:val="0"/>
                <w:sz w:val="18"/>
              </w:rPr>
              <w:t>三通道均无落地证据；半年报无分部数据（P5021）</w:t>
            </w:r>
          </w:p>
        </w:tc>
        <w:tc>
          <w:tcPr>
            <w:tcW w:type="dxa" w:w="1660"/>
          </w:tcPr>
          <w:p>
            <w:r/>
            <w:r>
              <w:rPr>
                <w:rFonts w:ascii="Calibri" w:hAnsi="Calibri" w:eastAsia="微软雅黑"/>
                <w:b w:val="0"/>
                <w:i w:val="0"/>
                <w:sz w:val="18"/>
              </w:rPr>
              <w:t>修复可能但未证</w:t>
            </w:r>
          </w:p>
        </w:tc>
      </w:tr>
      <w:tr>
        <w:tc>
          <w:tcPr>
            <w:tcW w:type="dxa" w:w="1660"/>
          </w:tcPr>
          <w:p>
            <w:r/>
            <w:r>
              <w:rPr>
                <w:rFonts w:ascii="Calibri" w:hAnsi="Calibri" w:eastAsia="微软雅黑"/>
                <w:b w:val="0"/>
                <w:i w:val="0"/>
                <w:sz w:val="18"/>
              </w:rPr>
              <w:t>回款端</w:t>
            </w:r>
          </w:p>
        </w:tc>
        <w:tc>
          <w:tcPr>
            <w:tcW w:type="dxa" w:w="1660"/>
          </w:tcPr>
          <w:p>
            <w:r/>
            <w:r>
              <w:rPr>
                <w:rFonts w:ascii="Calibri" w:hAnsi="Calibri" w:eastAsia="微软雅黑"/>
                <w:b w:val="0"/>
                <w:i w:val="0"/>
                <w:sz w:val="18"/>
              </w:rPr>
              <w:t>十二卷129,566篇（own_calc，基于P5001至P5014）；已付比例约0.13至0.94（own_calc，基于P5005、P5003）</w:t>
            </w:r>
          </w:p>
        </w:tc>
        <w:tc>
          <w:tcPr>
            <w:tcW w:type="dxa" w:w="1660"/>
          </w:tcPr>
          <w:p>
            <w:r/>
            <w:r>
              <w:rPr>
                <w:rFonts w:ascii="Calibri" w:hAnsi="Calibri" w:eastAsia="微软雅黑"/>
                <w:b w:val="0"/>
                <w:i w:val="0"/>
                <w:sz w:val="18"/>
              </w:rPr>
              <w:t>按面值打折、以年计周期管理应收</w:t>
            </w:r>
          </w:p>
        </w:tc>
        <w:tc>
          <w:tcPr>
            <w:tcW w:type="dxa" w:w="1660"/>
          </w:tcPr>
          <w:p>
            <w:r/>
            <w:r>
              <w:rPr>
                <w:rFonts w:ascii="Calibri" w:hAnsi="Calibri" w:eastAsia="微软雅黑"/>
                <w:b w:val="0"/>
                <w:i w:val="0"/>
                <w:sz w:val="18"/>
              </w:rPr>
              <w:t>2021年324篇系口径收缩非降温（P5012）；便利样本双向偏差</w:t>
            </w:r>
          </w:p>
        </w:tc>
        <w:tc>
          <w:tcPr>
            <w:tcW w:type="dxa" w:w="1660"/>
          </w:tcPr>
          <w:p>
            <w:r/>
            <w:r>
              <w:rPr>
                <w:rFonts w:ascii="Calibri" w:hAnsi="Calibri" w:eastAsia="微软雅黑"/>
                <w:b w:val="0"/>
                <w:i w:val="0"/>
                <w:sz w:val="18"/>
              </w:rPr>
              <w:t>高温常态假设成立</w:t>
            </w:r>
          </w:p>
        </w:tc>
      </w:tr>
    </w:tbl>
    <w:p>
      <w:r>
        <w:rPr>
          <w:rFonts w:ascii="Calibri" w:hAnsi="Calibri" w:eastAsia="微软雅黑"/>
          <w:b w:val="0"/>
          <w:i w:val="0"/>
          <w:sz w:val="22"/>
        </w:rPr>
        <w:t>注：表内数字均为源文原值或own_calc派生值（算式见表内及正文），比率以小数记；"净判断"一列是本报告基于所列证据的综合评估，非任何源文的直接结论。</w:t>
      </w:r>
    </w:p>
    <w:p>
      <w:r>
        <w:rPr>
          <w:rFonts w:ascii="Calibri" w:hAnsi="Calibri" w:eastAsia="微软雅黑"/>
          <w:b w:val="0"/>
          <w:i w:val="0"/>
          <w:sz w:val="22"/>
        </w:rPr>
        <w:t>买方动作清单（研究方法层）有三条。其一，把三条链装进监测节奏：收入链看信息流（P5030类检索的延续性）、利润链看年报行（P5000口径）、回款链看合同条款而非市场消息——三条链各自有主指标，避免用一条链的证据去回答另一条链的问题。其二，反证栏与基线栏同等重要：任何一栏更新都应触发重新称重，尤其是反证栏被新证据击穿时（例如一旦出现四川院单体储能中标公告，收入链的净判断即应上调）。其三，借鉴"研究工具箱：常用的研究资讯源"（P5027目录）的思路，为本章口径固定一份资讯源清单——年报（P5000）、半年报（P5021）、微信检索合集（P5030）、裁判文书卷（P5001至P5014）——来源固定，"变化"才能归因于世界而不是归因于换了来源；这也是把一次性尽调改造成可持续监测的最低成本路径。</w:t>
      </w:r>
    </w:p>
    <w:p>
      <w:pPr>
        <w:pStyle w:val="Heading2"/>
      </w:pPr>
      <w:r>
        <w:t>八、本章小结与盲区</w:t>
      </w:r>
    </w:p>
    <w:p>
      <w:r>
        <w:rPr>
          <w:rFonts w:ascii="Calibri" w:hAnsi="Calibri" w:eastAsia="微软雅黑"/>
          <w:b w:val="0"/>
          <w:i w:val="0"/>
          <w:sz w:val="22"/>
        </w:rPr>
        <w:t>本章在"数字零造假"约束下完成了对四川院财务真相的可核验拼图：电建2025年年报给出的三行数字——总资产965,067.09、净资产117,834.36、净利润-73,467.86（单位：万元，P5000）——构成全部定量结论的地基；同表十五家兄弟设计院的坐标显示，四川院体量第八、距百亿门槛差34,932.91（own_calc：1,000,000−965,067.09，基于P5000，万元），净资产倒数第三、净利润垫底且为唯一负值，资产负债率约0.878为序列最高（own_calc系列，基于P5000）；同注册资本、同省、同区域的三重对照证明资产规模与杠杆本身解释不了亏损（P5000）；十二卷裁判文书共129,566篇EPC相关纠纷标注（own_calc加总，基于P5001至P5014）与七个微观样本刻画了回款环境的行业常态——尾款段争议、部分支付、以物抵债、分包禁令违约与质量反诉交织，已付比例光谱约0.13至0.94（own_calc，基于P5005、P5003）；储能EPC价格带0.87元/Wh至3.04元/Wh与集团超27亿元拟中标订单（P5030）则描出了收入端新赛道的轮廓。本轮扩深补上的两块拼图同样有硬结论：程序与执行环节的样本显示，回款链条的最后一公里布满"按撤诉处理、终结执行、名下无任何财产可供执行"的暗礁（P5002、P5012），两笔撤诉成本合计10,130.50元（own_calc：1,957+8,173.50，基于P5008）只是可见的冰山一角；三条趋势证据链——收入端方向偏暖但个体无证、利润端修复可能但未证、回款端高温常态——则把"接下来会怎样"拆成三张可分别证伪的牌（本章第七节）。如果只允许保留一个数字，应当保留资产报酬率约-0.076（own_calc：-73,467.86÷965,067.09，基于P5000）——它把亏损额与资产体量压缩进同一个比值，是"唯一亏损"结论的最浓缩表达，也是跨期比较时最不易失真的口径。围绕这个数字的使用还有两个注意：其一，它是2025年度单年值（P5000），不构成趋势，连续亏损与一次性扭亏在它身上无法区分；其二，它的分母含全部资产（P5000口径），在资产处置或并表范围变化时会发生跳变，跨期比较前应先核对总资产口径的一致性——把这两点写进引用脚注，比在正文里堆砌限定词更能防止误读，也让后来者的复核成本降到最低。买方行动清单浓缩为三句话：与四川院交易时按"净资产被单年亏损吃掉约六成的唯一亏损设计院"（own_calc，基于P5000）重估信用条款；在合同层面把付款节点、调差机制与争议解决条款当作必然启用的条款来谈（P5024）；对该公司现金流的修复保持"方向可期、证据不足"的中性预期（P5030、P5000）。</w:t>
      </w:r>
    </w:p>
    <w:p>
      <w:r>
        <w:rPr>
          <w:rFonts w:ascii="Calibri" w:hAnsi="Calibri" w:eastAsia="微软雅黑"/>
          <w:b w:val="0"/>
          <w:i w:val="0"/>
          <w:sz w:val="22"/>
        </w:rPr>
        <w:t>以下盲区如实声明，均为本弹药库证据未覆盖或不确定之处：</w:t>
      </w:r>
    </w:p>
    <w:p>
      <w:pPr>
        <w:pStyle w:val="ListNumber"/>
      </w:pPr>
      <w:r>
        <w:rPr>
          <w:rFonts w:ascii="Calibri" w:hAnsi="Calibri" w:eastAsia="微软雅黑"/>
          <w:b/>
          <w:i w:val="0"/>
          <w:sz w:val="22"/>
        </w:rPr>
        <w:t>单体营收无源</w:t>
      </w:r>
      <w:r>
        <w:rPr>
          <w:rFonts w:ascii="Calibri" w:hAnsi="Calibri" w:eastAsia="微软雅黑"/>
          <w:b w:val="0"/>
          <w:i w:val="0"/>
          <w:sz w:val="22"/>
        </w:rPr>
        <w:t>：四川院的营业收入在弹药库全部源中无任何披露，营收规模、毛利率、收入结构（设计咨询与EPC总承包的占比）均无法测算；本章所有利润率指标只能以净资产或总资产为分母近似（own_calc，基于P5000），与真正的销售利润率不可比。另需注意净资产收益率约-0.623（own_calc，基于P5000）在净资产基数变动后不可直接跨期比较，比较时应同步核对当期净资产。</w:t>
      </w:r>
    </w:p>
    <w:p>
      <w:pPr>
        <w:pStyle w:val="ListNumber"/>
      </w:pPr>
      <w:r>
        <w:rPr>
          <w:rFonts w:ascii="Calibri" w:hAnsi="Calibri" w:eastAsia="微软雅黑"/>
          <w:b/>
          <w:i w:val="0"/>
          <w:sz w:val="22"/>
        </w:rPr>
        <w:t>应收账款与现金流无源</w:t>
      </w:r>
      <w:r>
        <w:rPr>
          <w:rFonts w:ascii="Calibri" w:hAnsi="Calibri" w:eastAsia="微软雅黑"/>
          <w:b w:val="0"/>
          <w:i w:val="0"/>
          <w:sz w:val="22"/>
        </w:rPr>
        <w:t>：应收账款余额、账龄结构、坏账计提政策、经营活动现金流净额全部缺席——母公司对子公司的披露止步于注册资本、总资产、净资产、净利润四列（P5000），章题中的"应收账款现金流真相"只能以行业回款环境间接逼近，不构成对四川院单体账款的任何判断。若后续能获取单体报表，第一优先核验科目即应收账款与合同资产的账龄重叠情况，其次才是利润科目。</w:t>
      </w:r>
    </w:p>
    <w:p>
      <w:pPr>
        <w:pStyle w:val="ListNumber"/>
      </w:pPr>
      <w:r>
        <w:rPr>
          <w:rFonts w:ascii="Calibri" w:hAnsi="Calibri" w:eastAsia="微软雅黑"/>
          <w:b/>
          <w:i w:val="0"/>
          <w:sz w:val="22"/>
        </w:rPr>
        <w:t>亏损成因无法裁决</w:t>
      </w:r>
      <w:r>
        <w:rPr>
          <w:rFonts w:ascii="Calibri" w:hAnsi="Calibri" w:eastAsia="微软雅黑"/>
          <w:b w:val="0"/>
          <w:i w:val="0"/>
          <w:sz w:val="22"/>
        </w:rPr>
        <w:t>：-73,467.86（P5000，万元）究竟是经营性亏损、一次性减值计提、会计政策变更还是历史项目集中出清，年报三行数不提供附注；经营延续性信号（P5030）与"集中计提"假说相容，但也与"新业务爬坡期亏损"相容，本报告不做归因。负债结构中经营性占款与有息负债的占比同样未知，直接影响对其流动性压力方向与受压对象的判断。</w:t>
      </w:r>
    </w:p>
    <w:p>
      <w:pPr>
        <w:pStyle w:val="ListNumber"/>
      </w:pPr>
      <w:r>
        <w:rPr>
          <w:rFonts w:ascii="Calibri" w:hAnsi="Calibri" w:eastAsia="微软雅黑"/>
          <w:b/>
          <w:i w:val="0"/>
          <w:sz w:val="22"/>
        </w:rPr>
        <w:t>下一验证窗口缺席</w:t>
      </w:r>
      <w:r>
        <w:rPr>
          <w:rFonts w:ascii="Calibri" w:hAnsi="Calibri" w:eastAsia="微软雅黑"/>
          <w:b w:val="0"/>
          <w:i w:val="0"/>
          <w:sz w:val="22"/>
        </w:rPr>
        <w:t>：中国电建2026年半年度报告（P5021）在弹药库中仅摘录了封面声明与目录章节，未含分部或子公司财务数据，无法验证2026年上半年四川院是否延续亏损。即便未来摘录到半年报分部数据，其未经审计的可信度层级（P5021声明）也低于年报，引用时应降级处理。</w:t>
      </w:r>
    </w:p>
    <w:p>
      <w:pPr>
        <w:pStyle w:val="ListNumber"/>
      </w:pPr>
      <w:r>
        <w:rPr>
          <w:rFonts w:ascii="Calibri" w:hAnsi="Calibri" w:eastAsia="微软雅黑"/>
          <w:b/>
          <w:i w:val="0"/>
          <w:sz w:val="22"/>
        </w:rPr>
        <w:t>文书口径不可比</w:t>
      </w:r>
      <w:r>
        <w:rPr>
          <w:rFonts w:ascii="Calibri" w:hAnsi="Calibri" w:eastAsia="微软雅黑"/>
          <w:b w:val="0"/>
          <w:i w:val="0"/>
          <w:sz w:val="22"/>
        </w:rPr>
        <w:t>：十二卷年度篇数受文书公开范围变动影响显著（2021年骤降至324篇，P5012），不能作诉讼率或回款恶化程度的定量推断；七个微观样本均为非四川院个案，且属便利样本，仅作行业形态参考。便利样本亦可能高估极端形态的出现频率——现实中的尾款争议多以协商方式解决，根本不会进入卷宗，温度计对"温和型纠纷"天然失明。</w:t>
      </w:r>
    </w:p>
    <w:p>
      <w:pPr>
        <w:pStyle w:val="ListNumber"/>
      </w:pPr>
      <w:r>
        <w:rPr>
          <w:rFonts w:ascii="Calibri" w:hAnsi="Calibri" w:eastAsia="微软雅黑"/>
          <w:b/>
          <w:i w:val="0"/>
          <w:sz w:val="22"/>
        </w:rPr>
        <w:t>同业表存在截断</w:t>
      </w:r>
      <w:r>
        <w:rPr>
          <w:rFonts w:ascii="Calibri" w:hAnsi="Calibri" w:eastAsia="微软雅黑"/>
          <w:b w:val="0"/>
          <w:i w:val="0"/>
          <w:sz w:val="22"/>
        </w:rPr>
        <w:t>：吉林院在P5000同表中总资产等数据被截断，"勘测设计序列唯一亏损"的结论基于可见十五家数据与该源标题断言（P5000），未覆盖未列示主体；两篇可对照的学术源（以上海电力设计院为视角的EPC成熟度研究与核电EPC项目管理研究，P5009、P5010）为CAJ二进制格式、仅存目录不可读，未能提供设计院EPC财务机理的学术佐证。检索命中的微信合集（P5030）亦存在收录偏差——正面动态更易留存传播，负面信息的覆盖度无法评估，据此形成的"经营延续"印象本身带有乐观滤镜。</w:t>
      </w:r>
    </w:p>
    <w:p>
      <w:pPr>
        <w:pStyle w:val="ListNumber"/>
      </w:pPr>
      <w:r>
        <w:rPr>
          <w:rFonts w:ascii="Calibri" w:hAnsi="Calibri" w:eastAsia="微软雅黑"/>
          <w:b/>
          <w:i w:val="0"/>
          <w:sz w:val="22"/>
        </w:rPr>
        <w:t>注册资本认缴口径未知</w:t>
      </w:r>
      <w:r>
        <w:rPr>
          <w:rFonts w:ascii="Calibri" w:hAnsi="Calibri" w:eastAsia="微软雅黑"/>
          <w:b w:val="0"/>
          <w:i w:val="0"/>
          <w:sz w:val="22"/>
        </w:rPr>
        <w:t>：年报同表仅披露注册资本（P5000），认缴与实缴差额、出资形式与实缴时点均无从判断；执行异议样本（P5012）显示认缴50万元的公司同样可以走到"名下无任何财产可供执行"，注册资本对偿付能力的指示力有限，本报告拒绝以注册资本行做任何信用推论，仅将其作体量线索使用。</w:t>
      </w:r>
    </w:p>
    <w:p>
      <w:pPr>
        <w:pStyle w:val="ListNumber"/>
      </w:pPr>
      <w:r>
        <w:rPr>
          <w:rFonts w:ascii="Calibri" w:hAnsi="Calibri" w:eastAsia="微软雅黑"/>
          <w:b/>
          <w:i w:val="0"/>
          <w:sz w:val="22"/>
        </w:rPr>
        <w:t>四川院单体涉诉与被执行信息无源</w:t>
      </w:r>
      <w:r>
        <w:rPr>
          <w:rFonts w:ascii="Calibri" w:hAnsi="Calibri" w:eastAsia="微软雅黑"/>
          <w:b w:val="0"/>
          <w:i w:val="0"/>
          <w:sz w:val="22"/>
        </w:rPr>
        <w:t>：十二卷文书样本均为非四川院个案（如实声明），四川院作为原告、被告或被执行人的案件数量、金额与执行结果在弹药库中完全没有数据；本章新增的程序与执行样本（P5001、P5002、P5008、P5012）只能说明行业形态，不能说明四川院的涉诉处境，后者须以涉诉与被执行信息检索在现场核证。</w:t>
      </w:r>
    </w:p>
    <w:p>
      <w:pPr>
        <w:pStyle w:val="ListNumber"/>
      </w:pPr>
      <w:r>
        <w:rPr>
          <w:rFonts w:ascii="Calibri" w:hAnsi="Calibri" w:eastAsia="微软雅黑"/>
          <w:b/>
          <w:i w:val="0"/>
          <w:sz w:val="22"/>
        </w:rPr>
        <w:t>程序样本的口径限制</w:t>
      </w:r>
      <w:r>
        <w:rPr>
          <w:rFonts w:ascii="Calibri" w:hAnsi="Calibri" w:eastAsia="微软雅黑"/>
          <w:b w:val="0"/>
          <w:i w:val="0"/>
          <w:sz w:val="22"/>
        </w:rPr>
        <w:t>：撤诉、终结执行与执行异议样本集中于2013年、2019年至2021年各卷的开篇部分，属便利样本中的便利样本；撤诉与执行不能的真实发生率、以及协商解决的沉默大多数的规模，均无源可估，第五节的结论止步于形态参考。</w:t>
      </w:r>
    </w:p>
    <w:p>
      <w:r>
        <w:rPr>
          <w:rFonts w:ascii="Calibri" w:hAnsi="Calibri" w:eastAsia="微软雅黑"/>
          <w:b w:val="0"/>
          <w:i w:val="0"/>
          <w:sz w:val="22"/>
        </w:rPr>
        <w:t>另附弹药库源利用说明，供复核者对账：P5022、P5025、P5029分别是P5020、P5024、P5027三本书的docx同源双生件，P5015、P5018、P5019、P5026为对应md件的docx双生件，内容与已用源一致、不重复计证；P5009、P5010为CAJ二进制、仅存目录（已在盲区六声明）；P5013、P5016、P5023、P5031为与本章主题无关的AI资讯合集与浏览器记录，未提供任何财务证据，如实弃用（属盲区六所述收录偏差的一部分）。</w:t>
      </w:r>
    </w:p>
    <w:p>
      <w:r>
        <w:rPr>
          <w:rFonts w:ascii="Calibri" w:hAnsi="Calibri" w:eastAsia="微软雅黑"/>
          <w:b w:val="0"/>
          <w:i w:val="0"/>
          <w:sz w:val="22"/>
        </w:rPr>
        <w:t>以上九条盲区不削弱已核验结论的效力，但划定了它们的边界：本章能保证每一个数字都有锚，不能保证每一个真问题都有答案——后者的钥匙在四川院单体报表与更完整的分部披露里。建议买方在重大交易前按清单索取补充材料：四川院单体审计报告、应收账款账龄与坏账计提表、重大EPC合同台账与保函文本、涉诉与被执行信息清单，以及母公司下一次年报中的分部更新；拿到之前，请把本章的数字当作已知边界内最可靠的一版底牌使用。财务真相的最后一道防线永远是交叉验证：本章已把全部锚点与算式摊开，任何读者都可以循P锚回溯源文复核；也正因如此，当更完整的单体数据出现时，请用同样的纪律更新结论——数字会变，方法不应变，这是本章希望在具体结论之外留给读者的东西。当四川院的下一行年报数字出现时，本章的坐标、温度计、价格带与执行罗盘已经各就其位——用它更新结论，而不是推翻方法。</w:t>
      </w:r>
    </w:p>
    <w:p>
      <w:r>
        <w:rPr>
          <w:rFonts w:ascii="Calibri" w:hAnsi="Calibri" w:eastAsia="微软雅黑"/>
          <w:b w:val="0"/>
          <w:i w:val="0"/>
          <w:sz w:val="22"/>
        </w:rPr>
        <w:t>---</w:t>
      </w:r>
    </w:p>
    <w:p>
      <w:pPr>
        <w:pStyle w:val="Heading1"/>
      </w:pPr>
      <w:r>
        <w:t>第6章 总承包版图：EPC 业务结构与合同模式</w:t>
      </w:r>
    </w:p>
    <w:p>
      <w:pPr>
        <w:ind w:left="454"/>
      </w:pPr>
      <w:r>
        <w:rPr>
          <w:rFonts w:ascii="Calibri" w:hAnsi="Calibri" w:eastAsia="微软雅黑"/>
          <w:b w:val="0"/>
          <w:i w:val="0"/>
          <w:color w:val="666666"/>
          <w:sz w:val="22"/>
        </w:rPr>
        <w:t>总承包不是设计业务的加法，而是商业模式的乘法。本章以行业专著、实务讲座与近期联合体中标公告为骨架，精编EPC业务结构与合同模式的运作图谱，给读者一张评估设计院总承包成色的检查底表。</w:t>
      </w:r>
    </w:p>
    <w:p>
      <w:pPr>
        <w:pStyle w:val="Heading2"/>
      </w:pPr>
      <w:r>
        <w:t>6.1 业务结构的重新定型：从设计院到工程公司</w:t>
      </w:r>
    </w:p>
    <w:p>
      <w:r>
        <w:rPr>
          <w:rFonts w:ascii="Calibri" w:hAnsi="Calibri" w:eastAsia="微软雅黑"/>
          <w:b w:val="0"/>
          <w:i w:val="0"/>
          <w:sz w:val="22"/>
        </w:rPr>
        <w:t>要看懂一家电力设计咨询企业的总承包版图，第一步不是数它挂了多少块资质牌，而是理解EPC对一家设计院的组织含义。工程总承包（EPC）的本质，是把传统上分属设计院、设备厂商、施工企业的设计、采购、施工、试运行环节，捆进同一份合同、压到同一个责任主体身上（P6002）。行业对此已经有教科书级的方法论沉淀：汪寿建编著的《EPC工程总承包项目过程控制概论》全书共分十五章，以国际先进的项目管理理论为基础、结合项目案例，系统阐述总承包项目管理过程的控制原理、控制程序和控制流程（P6002）。更值得注意的是该书的适用域表述——化工、石油化工、煤化工、医药、电力、基础设施建设等领域（P6002）——电力与一众流程工业并列其中，传递的信号是：EPC并非电力行业的特殊发明，而是一套跨行业通用的工程交付制度；电力设计院采用它，本质上是把自己从"行业内的图纸供给方"改造成"通用制度下的工程公司"。这个改造一旦完成，收入与成本的形态都会换轨：设计费按图纸计价、周期短、人力成本为主；总承包合同额则要吞下设备采购与施工分包的整个资金流。买方在报表上看到的营收跃升，很多时候只是口径换轨的结果，而非利润率的改善——评估任何设计院EPC业务时，这是必须先拧紧的第一颗螺丝。把"全过程"三个字拆开看，才能看清换轨的深度。设计环节的产出是方案与图纸，决定后续采购什么设备、施工怎么组织；采购环节把设计意图兑换成合同与实物，资金占用大、价格波动直接侵蚀利润；施工环节把图纸与设备组装成资产，安全、进度、分包管理千头万绪；试运行环节则用实际性能检验前三步的全部质量（P6002，该书对总承包项目设计、采购、施工、试运行全过程控制的系统论述）。四段环节在传统模式下分属四类市场主体、四份合同、四套责任边界；EPC把它们焊成一份合同后，任何一段的失误都会沿内部链条向总承包商回涌——设计保守造成采购超概，采购迟滞造成施工窝工，施工缺陷在试运行阶段集中暴露。这正是"单一责任主体"的代价面：收入上限打开的同时，损失下限也被同比例打开。电力设计院转型EPC，表面看是业务链延伸，实质是把自身资产负债表暴露给一个自己此前从未完整承担过的风险集合。</w:t>
      </w:r>
    </w:p>
    <w:p>
      <w:r>
        <w:rPr>
          <w:rFonts w:ascii="Calibri" w:hAnsi="Calibri" w:eastAsia="微软雅黑"/>
          <w:b w:val="0"/>
          <w:i w:val="0"/>
          <w:sz w:val="22"/>
        </w:rPr>
        <w:t>在四段环节的链条里，设计的位置有其特殊性，这也是设计院敢于进军EPC的底气所在。设计是唯一贯穿全程的职能：采购清单从设计图纸里长出来，施工工艺从设计说明里定下来，试运行的性能验收标准从设计参数里来（P6002，设计、采购、施工、试运行的全过程控制框架）——图纸上的每一个决定，都会在下游兑换成采购合同的一行行单价与工地上的一天天工期。正因如此，"以设计为龙头的总承包"成为设计院系玩家最自然的叙事：谁握着图纸，谁就握着项目的成本基因。但买方必须同时看到这个叙事的边界：握着成本基因不等于能控制成本——设计意图要变成受控的成本，中间隔着采购议价能力、施工组织能力与合同管理能力，这些恰恰是设计院的传统短板。设计院系与施工企业系的总承包商，各自从链条的两端向中间爬：前者强在源头、弱在落地，后者强在落地、弱在源头；两组联合体公告（P6008；P6009）里施工集团牵头、设计院补位的名单结构，正是这两种能力禀赋在市场上的真实报价。方法论层面，前述专著给出了一张完整的"能力矩阵"。它把项目控制拆成两套并列的要素体系：项目目标控制要素覆盖进度、质量、费用、HSE（P6002）；项目管理控制要素覆盖综合、合同、范围、资源、信息、沟通、风险、变更（P6002）。两套要素一横一纵：前者是项目要守住的成果底线，后者是守线所依赖的管理手段。值得买方特别留意的是HSE的位置——它与进度、质量、费用并列为同一位阶的目标要素（P6002），而不是挂在安全部门墙上的标语；在电力工程这类高危作业密集的交付场景里，HSE一旦失守，进度、费用两条线会连带崩塌，合同上的违约责任与行政责任随即到位。管理控制要素里的"风险"与"变更"两项（P6002）同样值得展开：总承包项目的利润薄、周期长，签证与变更管理稍一松懈，利润就被蚕食殆尽；而风险管理在方法论上被单列为控制要素（P6002），本身就说明这个行业默认"风险是常态而非例外"。</w:t>
      </w:r>
    </w:p>
    <w:p>
      <w:r>
        <w:rPr>
          <w:rFonts w:ascii="Calibri" w:hAnsi="Calibri" w:eastAsia="微软雅黑"/>
          <w:b w:val="0"/>
          <w:i w:val="0"/>
          <w:sz w:val="22"/>
        </w:rPr>
        <w:t>组织侧的改造同样有章可循：该书以专章论述工程公司组织结构和应具备的能力、工程公司需应对的各方面变化、组织架构设立、项目部的典型组织机构、项目经理及各部门经理的岗位职责（P6002）。这些章节标题连起来读，就是一家设计院蜕变为工程公司的改造清单——总部要立得起矩阵式或事业部式的组织架构，要能为每个项目派出配备齐全的项目部，项目经理要能对进度、质量、费用、HSE负总责，各部门经理的岗位职责要事先写清（P6002）。设计院原有的组织惯性恰恰相反：以专业科室为纵轴、以单个设计任务为颗粒，项目负责人对资源无调度权、对结果负有限责。从"科室制"走向"项目部制"，动的是人事权、考核权与利润分配权——这也是为什么许多设计院的EPC转型停在纸面：组织手术没做，光把牌子换了。专著目录里"工程公司需应对的各方面变化"这样的章节标题（P6002），说明行业早已把"变化管理"本身当作一门必修课来教。改造成败最终要落到经济账上。设计业务的现金流画像是温和的：合同额小、周期短、人力成本前置而回款分散，坏账风险主要押在业主的行业景气上。总承包业务的现金流画像是另一张脸：预付款缓解启动压力，进度款按里程碑分期回收，设备款与分包款却要按市场节奏支付，质保金还要压到缺陷责任期满才释放——收入确认在前、现金实现在后的错配，是EPC报表最常见也最容易被忽略的变形。资质与品牌能让一家设计院接到总承包合同，但只有过程控制与资金管理能力能决定这份合同是利润还是窟窿；行业方法论把费用列为与进度、质量并列的目标控制要素（P6002），把合同、资源、风险、变更单列为管理控制要素（P6002），正说明费用与现金流从来不是财务部门的事后记录，而是项目管理的事前变量。对投资人的警示因此可以一句话说完：营收增长与经营性现金流净额的背离，是EPC业务质量最诚实的指示器；一家设计院总承包营收涨得越快，越要追问它的垫资从哪里来、业主是谁、回款节奏怎样——本报告财务透视一章将用实际披露口径检验这条指示器。</w:t>
      </w:r>
    </w:p>
    <w:p>
      <w:r>
        <w:rPr>
          <w:rFonts w:ascii="Calibri" w:hAnsi="Calibri" w:eastAsia="微软雅黑"/>
          <w:b w:val="0"/>
          <w:i w:val="0"/>
          <w:sz w:val="22"/>
        </w:rPr>
        <w:t>学术界的研究动向进一步佐证"设计院转型总承包"是行业级命题。证据库收录的学位论文《EPC总承包工程项目管理成熟度评价研究——以电力设计院为视角》（P6000）直接把电力设计院作为总承包管理成熟度的评价对象——"成熟度"这个切口说明学界关心的已不是"要不要转"，而是"转到了什么程度、怎么量化"；另一篇《EPC总承包模式下的核电项目管理技术研究》（P6001）则把镜头对准核电这一复杂度顶格的场景，暗示EPC管理技术的研究纵深已经延伸到高安全等级电源工程。专著目录中"中国项目管理及建设模式发展进程""中国工程勘察设计行业发展现状""国际工程市场发展趋势""国际工程公司的发展历程""EPC项目全过程""EPC总承包管理的发展趋势"等章节标题（P6002）同样构成佐证：勘察设计行业的身份变迁与国际工程公司的成长路径，早已被写进总承包方法论的正文。所以呢——对买方而言，判断一家设计院总承包业务的成色，看的不是宣传口径里的"转型决心"，而是组织与过程体系的完成度；成熟度评价框架（P6000）本身就是一张现成的尽调清单：总部组织架构立了没有、项目部是模板化派驻还是临时拼凑、两套控制要素（P6002）有没有落到岗位说明书里。</w:t>
      </w:r>
    </w:p>
    <w:p>
      <w:r>
        <w:rPr>
          <w:rFonts w:ascii="Calibri" w:hAnsi="Calibri" w:eastAsia="微软雅黑"/>
          <w:b w:val="0"/>
          <w:i w:val="0"/>
          <w:sz w:val="22"/>
        </w:rPr>
        <w:t>把组织侧的改造清单从叙述压成表格，尽调现场用起来更快。专著第二章自第二节起的节名序列（P6002）本身就是一串改造点位，逐项配上问法与合格信号，就是一张可以带进会议室的底表：</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改造点位</w:t>
            </w:r>
          </w:p>
        </w:tc>
        <w:tc>
          <w:tcPr>
            <w:tcW w:type="dxa" w:w="2075"/>
            <w:shd w:fill="1F3A5F"/>
          </w:tcPr>
          <w:p>
            <w:r>
              <w:rPr>
                <w:color w:val="FFFFFF"/>
              </w:rPr>
            </w:r>
            <w:r>
              <w:rPr>
                <w:rFonts w:ascii="Calibri" w:hAnsi="Calibri" w:eastAsia="微软雅黑"/>
                <w:b/>
                <w:i w:val="0"/>
                <w:color w:val="FFFFFF"/>
                <w:sz w:val="18"/>
              </w:rPr>
              <w:t>目录依据（P6002）</w:t>
            </w:r>
          </w:p>
        </w:tc>
        <w:tc>
          <w:tcPr>
            <w:tcW w:type="dxa" w:w="2075"/>
            <w:shd w:fill="1F3A5F"/>
          </w:tcPr>
          <w:p>
            <w:r>
              <w:rPr>
                <w:color w:val="FFFFFF"/>
              </w:rPr>
            </w:r>
            <w:r>
              <w:rPr>
                <w:rFonts w:ascii="Calibri" w:hAnsi="Calibri" w:eastAsia="微软雅黑"/>
                <w:b/>
                <w:i w:val="0"/>
                <w:color w:val="FFFFFF"/>
                <w:sz w:val="18"/>
              </w:rPr>
              <w:t>尽调问法</w:t>
            </w:r>
          </w:p>
        </w:tc>
        <w:tc>
          <w:tcPr>
            <w:tcW w:type="dxa" w:w="2075"/>
            <w:shd w:fill="1F3A5F"/>
          </w:tcPr>
          <w:p>
            <w:r>
              <w:rPr>
                <w:color w:val="FFFFFF"/>
              </w:rPr>
            </w:r>
            <w:r>
              <w:rPr>
                <w:rFonts w:ascii="Calibri" w:hAnsi="Calibri" w:eastAsia="微软雅黑"/>
                <w:b/>
                <w:i w:val="0"/>
                <w:color w:val="FFFFFF"/>
                <w:sz w:val="18"/>
              </w:rPr>
              <w:t>合格信号</w:t>
            </w:r>
          </w:p>
        </w:tc>
      </w:tr>
      <w:tr>
        <w:tc>
          <w:tcPr>
            <w:tcW w:type="dxa" w:w="2075"/>
          </w:tcPr>
          <w:p>
            <w:r/>
            <w:r>
              <w:rPr>
                <w:rFonts w:ascii="Calibri" w:hAnsi="Calibri" w:eastAsia="微软雅黑"/>
                <w:b w:val="0"/>
                <w:i w:val="0"/>
                <w:sz w:val="18"/>
              </w:rPr>
              <w:t>能力定义</w:t>
            </w:r>
          </w:p>
        </w:tc>
        <w:tc>
          <w:tcPr>
            <w:tcW w:type="dxa" w:w="2075"/>
          </w:tcPr>
          <w:p>
            <w:r/>
            <w:r>
              <w:rPr>
                <w:rFonts w:ascii="Calibri" w:hAnsi="Calibri" w:eastAsia="微软雅黑"/>
                <w:b w:val="0"/>
                <w:i w:val="0"/>
                <w:sz w:val="18"/>
              </w:rPr>
              <w:t>第二节 工程公司组织结构和应具备的能力</w:t>
            </w:r>
          </w:p>
        </w:tc>
        <w:tc>
          <w:tcPr>
            <w:tcW w:type="dxa" w:w="2075"/>
          </w:tcPr>
          <w:p>
            <w:r/>
            <w:r>
              <w:rPr>
                <w:rFonts w:ascii="Calibri" w:hAnsi="Calibri" w:eastAsia="微软雅黑"/>
                <w:b w:val="0"/>
                <w:i w:val="0"/>
                <w:sz w:val="18"/>
              </w:rPr>
              <w:t>公司把"工程公司能力"写成过哪几条显性标准</w:t>
            </w:r>
          </w:p>
        </w:tc>
        <w:tc>
          <w:tcPr>
            <w:tcW w:type="dxa" w:w="2075"/>
          </w:tcPr>
          <w:p>
            <w:r/>
            <w:r>
              <w:rPr>
                <w:rFonts w:ascii="Calibri" w:hAnsi="Calibri" w:eastAsia="微软雅黑"/>
                <w:b w:val="0"/>
                <w:i w:val="0"/>
                <w:sz w:val="18"/>
              </w:rPr>
              <w:t>成文能力清单且与岗位任职挂钩</w:t>
            </w:r>
          </w:p>
        </w:tc>
      </w:tr>
      <w:tr>
        <w:tc>
          <w:tcPr>
            <w:tcW w:type="dxa" w:w="2075"/>
          </w:tcPr>
          <w:p>
            <w:r/>
            <w:r>
              <w:rPr>
                <w:rFonts w:ascii="Calibri" w:hAnsi="Calibri" w:eastAsia="微软雅黑"/>
                <w:b w:val="0"/>
                <w:i w:val="0"/>
                <w:sz w:val="18"/>
              </w:rPr>
              <w:t>变化管理</w:t>
            </w:r>
          </w:p>
        </w:tc>
        <w:tc>
          <w:tcPr>
            <w:tcW w:type="dxa" w:w="2075"/>
          </w:tcPr>
          <w:p>
            <w:r/>
            <w:r>
              <w:rPr>
                <w:rFonts w:ascii="Calibri" w:hAnsi="Calibri" w:eastAsia="微软雅黑"/>
                <w:b w:val="0"/>
                <w:i w:val="0"/>
                <w:sz w:val="18"/>
              </w:rPr>
              <w:t>第三节 工程公司需应对的各方面变化</w:t>
            </w:r>
          </w:p>
        </w:tc>
        <w:tc>
          <w:tcPr>
            <w:tcW w:type="dxa" w:w="2075"/>
          </w:tcPr>
          <w:p>
            <w:r/>
            <w:r>
              <w:rPr>
                <w:rFonts w:ascii="Calibri" w:hAnsi="Calibri" w:eastAsia="微软雅黑"/>
                <w:b w:val="0"/>
                <w:i w:val="0"/>
                <w:sz w:val="18"/>
              </w:rPr>
              <w:t>转型以来立过哪些变革专项、谁牵头、结项与否</w:t>
            </w:r>
          </w:p>
        </w:tc>
        <w:tc>
          <w:tcPr>
            <w:tcW w:type="dxa" w:w="2075"/>
          </w:tcPr>
          <w:p>
            <w:r/>
            <w:r>
              <w:rPr>
                <w:rFonts w:ascii="Calibri" w:hAnsi="Calibri" w:eastAsia="微软雅黑"/>
                <w:b w:val="0"/>
                <w:i w:val="0"/>
                <w:sz w:val="18"/>
              </w:rPr>
              <w:t>有变革台账与结项复盘记录</w:t>
            </w:r>
          </w:p>
        </w:tc>
      </w:tr>
      <w:tr>
        <w:tc>
          <w:tcPr>
            <w:tcW w:type="dxa" w:w="2075"/>
          </w:tcPr>
          <w:p>
            <w:r/>
            <w:r>
              <w:rPr>
                <w:rFonts w:ascii="Calibri" w:hAnsi="Calibri" w:eastAsia="微软雅黑"/>
                <w:b w:val="0"/>
                <w:i w:val="0"/>
                <w:sz w:val="18"/>
              </w:rPr>
              <w:t>总部架构</w:t>
            </w:r>
          </w:p>
        </w:tc>
        <w:tc>
          <w:tcPr>
            <w:tcW w:type="dxa" w:w="2075"/>
          </w:tcPr>
          <w:p>
            <w:r/>
            <w:r>
              <w:rPr>
                <w:rFonts w:ascii="Calibri" w:hAnsi="Calibri" w:eastAsia="微软雅黑"/>
                <w:b w:val="0"/>
                <w:i w:val="0"/>
                <w:sz w:val="18"/>
              </w:rPr>
              <w:t>第四节 工程公司组织架构设立</w:t>
            </w:r>
          </w:p>
        </w:tc>
        <w:tc>
          <w:tcPr>
            <w:tcW w:type="dxa" w:w="2075"/>
          </w:tcPr>
          <w:p>
            <w:r/>
            <w:r>
              <w:rPr>
                <w:rFonts w:ascii="Calibri" w:hAnsi="Calibri" w:eastAsia="微软雅黑"/>
                <w:b w:val="0"/>
                <w:i w:val="0"/>
                <w:sz w:val="18"/>
              </w:rPr>
              <w:t>总部按专业科室还是按事业板块设</w:t>
            </w:r>
          </w:p>
        </w:tc>
        <w:tc>
          <w:tcPr>
            <w:tcW w:type="dxa" w:w="2075"/>
          </w:tcPr>
          <w:p>
            <w:r/>
            <w:r>
              <w:rPr>
                <w:rFonts w:ascii="Calibri" w:hAnsi="Calibri" w:eastAsia="微软雅黑"/>
                <w:b w:val="0"/>
                <w:i w:val="0"/>
                <w:sz w:val="18"/>
              </w:rPr>
              <w:t>事业部制或矩阵制有正式发文支撑</w:t>
            </w:r>
          </w:p>
        </w:tc>
      </w:tr>
      <w:tr>
        <w:tc>
          <w:tcPr>
            <w:tcW w:type="dxa" w:w="2075"/>
          </w:tcPr>
          <w:p>
            <w:r/>
            <w:r>
              <w:rPr>
                <w:rFonts w:ascii="Calibri" w:hAnsi="Calibri" w:eastAsia="微软雅黑"/>
                <w:b w:val="0"/>
                <w:i w:val="0"/>
                <w:sz w:val="18"/>
              </w:rPr>
              <w:t>项目部派驻</w:t>
            </w:r>
          </w:p>
        </w:tc>
        <w:tc>
          <w:tcPr>
            <w:tcW w:type="dxa" w:w="2075"/>
          </w:tcPr>
          <w:p>
            <w:r/>
            <w:r>
              <w:rPr>
                <w:rFonts w:ascii="Calibri" w:hAnsi="Calibri" w:eastAsia="微软雅黑"/>
                <w:b w:val="0"/>
                <w:i w:val="0"/>
                <w:sz w:val="18"/>
              </w:rPr>
              <w:t>第五节 工程公司项目部的典型组织机构</w:t>
            </w:r>
          </w:p>
        </w:tc>
        <w:tc>
          <w:tcPr>
            <w:tcW w:type="dxa" w:w="2075"/>
          </w:tcPr>
          <w:p>
            <w:r/>
            <w:r>
              <w:rPr>
                <w:rFonts w:ascii="Calibri" w:hAnsi="Calibri" w:eastAsia="微软雅黑"/>
                <w:b w:val="0"/>
                <w:i w:val="0"/>
                <w:sz w:val="18"/>
              </w:rPr>
              <w:t>项目部是模板化组建还是项目经理自拉班子</w:t>
            </w:r>
          </w:p>
        </w:tc>
        <w:tc>
          <w:tcPr>
            <w:tcW w:type="dxa" w:w="2075"/>
          </w:tcPr>
          <w:p>
            <w:r/>
            <w:r>
              <w:rPr>
                <w:rFonts w:ascii="Calibri" w:hAnsi="Calibri" w:eastAsia="微软雅黑"/>
                <w:b w:val="0"/>
                <w:i w:val="0"/>
                <w:sz w:val="18"/>
              </w:rPr>
              <w:t>有标准组织图与岗位配置表</w:t>
            </w:r>
          </w:p>
        </w:tc>
      </w:tr>
      <w:tr>
        <w:tc>
          <w:tcPr>
            <w:tcW w:type="dxa" w:w="2075"/>
          </w:tcPr>
          <w:p>
            <w:r/>
            <w:r>
              <w:rPr>
                <w:rFonts w:ascii="Calibri" w:hAnsi="Calibri" w:eastAsia="微软雅黑"/>
                <w:b w:val="0"/>
                <w:i w:val="0"/>
                <w:sz w:val="18"/>
              </w:rPr>
              <w:t>岗位职责</w:t>
            </w:r>
          </w:p>
        </w:tc>
        <w:tc>
          <w:tcPr>
            <w:tcW w:type="dxa" w:w="2075"/>
          </w:tcPr>
          <w:p>
            <w:r/>
            <w:r>
              <w:rPr>
                <w:rFonts w:ascii="Calibri" w:hAnsi="Calibri" w:eastAsia="微软雅黑"/>
                <w:b w:val="0"/>
                <w:i w:val="0"/>
                <w:sz w:val="18"/>
              </w:rPr>
              <w:t>第六节 项目经理及各部门经理的岗位职责</w:t>
            </w:r>
          </w:p>
        </w:tc>
        <w:tc>
          <w:tcPr>
            <w:tcW w:type="dxa" w:w="2075"/>
          </w:tcPr>
          <w:p>
            <w:r/>
            <w:r>
              <w:rPr>
                <w:rFonts w:ascii="Calibri" w:hAnsi="Calibri" w:eastAsia="微软雅黑"/>
                <w:b w:val="0"/>
                <w:i w:val="0"/>
                <w:sz w:val="18"/>
              </w:rPr>
              <w:t>项目经理的书面授权边界放到哪一层</w:t>
            </w:r>
          </w:p>
        </w:tc>
        <w:tc>
          <w:tcPr>
            <w:tcW w:type="dxa" w:w="2075"/>
          </w:tcPr>
          <w:p>
            <w:r/>
            <w:r>
              <w:rPr>
                <w:rFonts w:ascii="Calibri" w:hAnsi="Calibri" w:eastAsia="微软雅黑"/>
                <w:b w:val="0"/>
                <w:i w:val="0"/>
                <w:sz w:val="18"/>
              </w:rPr>
              <w:t>岗位说明书与授权文件齐备可查</w:t>
            </w:r>
          </w:p>
        </w:tc>
      </w:tr>
      <w:tr>
        <w:tc>
          <w:tcPr>
            <w:tcW w:type="dxa" w:w="2075"/>
          </w:tcPr>
          <w:p>
            <w:r/>
            <w:r>
              <w:rPr>
                <w:rFonts w:ascii="Calibri" w:hAnsi="Calibri" w:eastAsia="微软雅黑"/>
                <w:b w:val="0"/>
                <w:i w:val="0"/>
                <w:sz w:val="18"/>
              </w:rPr>
              <w:t>样板对标</w:t>
            </w:r>
          </w:p>
        </w:tc>
        <w:tc>
          <w:tcPr>
            <w:tcW w:type="dxa" w:w="2075"/>
          </w:tcPr>
          <w:p>
            <w:r/>
            <w:r>
              <w:rPr>
                <w:rFonts w:ascii="Calibri" w:hAnsi="Calibri" w:eastAsia="微软雅黑"/>
                <w:b w:val="0"/>
                <w:i w:val="0"/>
                <w:sz w:val="18"/>
              </w:rPr>
              <w:t>第七节 EPC项目组织机构案例</w:t>
            </w:r>
          </w:p>
        </w:tc>
        <w:tc>
          <w:tcPr>
            <w:tcW w:type="dxa" w:w="2075"/>
          </w:tcPr>
          <w:p>
            <w:r/>
            <w:r>
              <w:rPr>
                <w:rFonts w:ascii="Calibri" w:hAnsi="Calibri" w:eastAsia="微软雅黑"/>
                <w:b w:val="0"/>
                <w:i w:val="0"/>
                <w:sz w:val="18"/>
              </w:rPr>
              <w:t>公司沉淀过几个可复制的组织样板</w:t>
            </w:r>
          </w:p>
        </w:tc>
        <w:tc>
          <w:tcPr>
            <w:tcW w:type="dxa" w:w="2075"/>
          </w:tcPr>
          <w:p>
            <w:r/>
            <w:r>
              <w:rPr>
                <w:rFonts w:ascii="Calibri" w:hAnsi="Calibri" w:eastAsia="微软雅黑"/>
                <w:b w:val="0"/>
                <w:i w:val="0"/>
                <w:sz w:val="18"/>
              </w:rPr>
              <w:t>有标杆项目组织档案可供调阅</w:t>
            </w:r>
          </w:p>
        </w:tc>
      </w:tr>
    </w:tbl>
    <w:p>
      <w:r>
        <w:rPr>
          <w:rFonts w:ascii="Calibri" w:hAnsi="Calibri" w:eastAsia="微软雅黑"/>
          <w:b w:val="0"/>
          <w:i w:val="0"/>
          <w:sz w:val="22"/>
        </w:rPr>
        <w:t>这张表的用法不在逐格打勾，而在对缝：六个点位任何一处拿不出书面依据，组织手术就还停在口头发文与宣传口径的层面；反过来，六个点位全部有据可查的公司，才值得把镜头推向下一层——它的合同谱系落在哪一段、风险条款往哪边倾斜。表格还暴露一类反向信号：若目标公司的组织文件齐备但落款时间密集堆在最近一两年，体系可能是为投标或评审突击新建的，成色要到项目现场而非文件柜里验证——文件落款的时间分布，本身就是一条尽调线索。</w:t>
      </w:r>
    </w:p>
    <w:p>
      <w:r>
        <w:rPr>
          <w:rFonts w:ascii="Calibri" w:hAnsi="Calibri" w:eastAsia="微软雅黑"/>
          <w:b w:val="0"/>
          <w:i w:val="0"/>
          <w:sz w:val="22"/>
        </w:rPr>
        <w:t>锚定设计院身份变迁的还有两个节名，值得单独一提：第五节"中国工程勘察设计行业发展现状"（P6002）把勘察设计行业的现状写进了总承包方法论的教科书——在传统分工里，设计院与总承包分属两个话语体系，前者出现在行业年报里，后者出现在工程管理教材里；当教科书专节收录设计行业现状，等于制度性地承认设计院已是总承包市场的当然主体，其行业景气、产能与人才结构从此是总承包管理必须内置的变量。第八节"EPC项目全过程"（P6002）则把"全过程"固化为一个可教学的知识单元——不是四段环节的简单相加，而是有启动、策划、实施、控制、收尾子过程配套的连续管理对象（P6002，第三章对该子过程链的展开即其教材化处理）。两个节名合起来给买方的提示：评估设计院总承包，既要看它作为勘察设计行业成员的基础盘（主业景气、人才池、区域布局），也要看它有没有把"全过程"当作完整管理对象来组织——只覆盖前半程（设计加采购）而把施工甩给伙伴的公司，其"全过程"是有缺口的，收入口径与责任口径都会因此变形。</w:t>
      </w:r>
    </w:p>
    <w:p>
      <w:pPr>
        <w:pStyle w:val="Heading2"/>
      </w:pPr>
      <w:r>
        <w:t>6.2 合同模式的谱系：银皮书、EPC+O 与 PPP+EPC</w:t>
      </w:r>
    </w:p>
    <w:p>
      <w:r>
        <w:rPr>
          <w:rFonts w:ascii="Calibri" w:hAnsi="Calibri" w:eastAsia="微软雅黑"/>
          <w:b w:val="0"/>
          <w:i w:val="0"/>
          <w:sz w:val="22"/>
        </w:rPr>
        <w:t>EPC的"合同模式"四个字，本质是风险在发包人与承包人之间怎么切。国际通行的文本基座是FIDIC银皮书：张旗、叶海、余灵颖三位建设工程领域的年轻律师合著的《工程总承包（EPC／DB）争议解决实战攻略》（P6004）专门设节讨论"从2017版银皮书谈FIDIC对工程总承包合同终止的价格确定原则"（P6004）与"由2017版银皮书DAAB条款谈FIDIC争端解决机制沿革及对国内工程多元化纠纷解决机制的启示"（P6004）。两个标题已经把银皮书的两大制度要点和盘托出：其一，合同终止时的价格确定——终止不是一笔勾销，而是一次按规则重算的风险结算，谁在终止节点上占理、能拿回多少，取决于条款怎么写、证据怎么留；其二，DAAB（争端避免与裁决委员会）式的常设争端前置机制，把纠纷从法庭拉回项目现场，由随项目全程跟进、熟悉案情的委员会先行裁断，避免争议搁置到项目结束时集中爆发。后者被该书明确定位为"对国内工程多元化纠纷解决机制的启示"（P6004），说明这套机制正在向中国合同实践渗透——国内工程争议惯用的"搁置—诉讼—鉴定"长周期路径，正在被"常设委员会+快速裁决"的短周期安排替代。对买方的含义很直接：一份EPC合同的含金量，一半写在工作范围与价格条款里，另一半就藏在这类终止与争端条款里；翻一家工程公司的合同台账，先翻这两页。合同里没有终止结算规则的，终止即是流血；没有争端前置机制的，每个分歧都在为经年累月的鉴定费和律师费蓄水。比基础EPC更进一步的模式变体，第一类是"EPC+O"。上述律师专著在概述章即设""EPC+O"项目模式解析与法律风险控制"专节（P6004）——在缩写里加进的那个"O"（运营），代表承包人的责任边界从移交节点向后延伸进了运营期。对发电、电网配套这类强调产出与可用率的基础设施而言，运营延伸意味着承包人的绩效风险长尾化：设备可用率不达标、运行成本超支，都会沿合同回溯到总承包商头上。设计院背景的总承包商在此结构下尤其要掂量自己的能力半径——设计的强项在方案与选型，运营的考题在长期维护、备件体系与性能保证，两者之间隔着完全不同的知识体系与资源投入；承诺运营，等于把合同的有效风险期从建设期拉长到资产全生命周期的相当一段。买方审视一家标榜"EPC+O能力"的设计院时，应当要求其出示运营期绩效责任的履约记录，而非设计获奖证书——获奖证书证明方案优秀，运营记录才证明设备真的转得起来。</w:t>
      </w:r>
    </w:p>
    <w:p>
      <w:r>
        <w:rPr>
          <w:rFonts w:ascii="Calibri" w:hAnsi="Calibri" w:eastAsia="微软雅黑"/>
          <w:b w:val="0"/>
          <w:i w:val="0"/>
          <w:sz w:val="22"/>
        </w:rPr>
        <w:t>第二类变体是"PPP+EPC"。该书设""PPP+EPC"项目中政府方投资控制风险以及应对策略"专节（P6004）——当总承包被嵌入政企合作的投融资结构，交付问题就与投资问题焊死在一起：政府方对投资控制的关切，会转化为对EPC合同价的审批、核价与重新计算压力，承包人的报价假设随时可能被行政程序改写。对以设计咨询见长、资金实力有限的设计院而言，这类模式的诱惑在于订单体量大、绑定周期长、设计方案更容易前置锁死；代价则是把工程交付风险与政府信用风险、融资风险叠在同一个合同敞口里——项目公司的融资不到位，EPC合同的付款来源就悬空；政府方的投资控制收紧，核价刀就落到已完工程量的结算上。特许经营类结构与EPC的耦合风险同属这一族，但本章证据库未收录该模式的展开材料，此处按下不表，于章末盲区如实声明。把三类模式并置，可以提炼出一个统一的分析框架：合同模式的选择本质上是一次风险定价。固定总价把量价风险压给承包人，换来的是业主愿意支付的对价与更快的决策链；成本加酬把效率风险留给发包人，换来的是透明与弹性；EPC+O把时间轴拉长，用运营期绩效换建设期溢价；PPP+EPC把资本结构拉进来，用融资绑定换订单规模（P6004，该书对上述模式分别设专节解析）。风险不会消失，只会换人持有——所以判断一家设计院总承包业务的健康度，关键问句不是"签了多少亿"，而是"签的是哪类合同、风险条款往哪边倾斜、公司有没有与所持风险匹配的控制能力"。合同模式与能力矩阵错配的业务，规模越大越危险：用设计院的人力密度去扛施工总承包的资金强度，用短周期考核去管长周期运营责任，都是模式与组织的双重错配。</w:t>
      </w:r>
    </w:p>
    <w:p>
      <w:r>
        <w:rPr>
          <w:rFonts w:ascii="Calibri" w:hAnsi="Calibri" w:eastAsia="微软雅黑"/>
          <w:b w:val="0"/>
          <w:i w:val="0"/>
          <w:sz w:val="22"/>
        </w:rPr>
        <w:t>把争端条款单独拎出来算一笔账，更能看清它的分量。工程争议的传统路径是"协商不成—提起诉讼—申请鉴定—一审二审"，以年为单位计费；项目一边停摆、资金一边占用、律师与鉴定费用一边累计，等判决落地，胜诉方拿到的常常也只是迟到的对价。DAAB式的常设裁决机制（P6004）试图从制度上改写这条时间轴：委员会随项目运转持续知情，争议发生后在项目进行中即给出裁断建议，双方可接受则执行、不接受再升级——争端解决从"项目结束后的清算"变成"项目进行中的维修"。该书把它与国内工程多元化纠纷解决机制对照立论（P6004），隐含的判断是：制度供给已经在变，承包商与发包人的合同习惯还没跟上。对买方的操作含义是：尽调时不光要问目标公司"有没有诉讼"，还要问"合同里约定了什么争端路径、历史上用没用过、平均了结周期多长"——同一笔或有负债，在不同争端机制下的现值完全不同。从投资判断的角度，三类模式各自能在财务报表上找到投影位。固定总价EPC的收入确认依赖里程碑判断，报价误差直接落进毛利，减计风险藏在乐观的进度评估里；EPC+O把确认周期拉长到运营期，报表更平滑，但长尾绩效责任的折现成本要由股东消化；PPP+EPC则把金融工具卷进工程合同，应收款项的对手方从业主变成项目公司与政府付费机制，信用分析的颗粒度骤然变细。模式没有高下，只有与公司能力及资金属性的匹配度——买方的功课因此可以归结为三问：这单是什么模式（P6004，各模式条款即其原点）、收入怎么确认、风险条款倾向谁。三问的答案若与公司公开叙事出现明显裂缝，裂缝处就是尽调的下一个现场。</w:t>
      </w:r>
    </w:p>
    <w:p>
      <w:r>
        <w:rPr>
          <w:rFonts w:ascii="Calibri" w:hAnsi="Calibri" w:eastAsia="微软雅黑"/>
          <w:b w:val="0"/>
          <w:i w:val="0"/>
          <w:sz w:val="22"/>
        </w:rPr>
        <w:t>落到操作层面，买方翻阅一家工程公司的EPC合同档案时，可以带着一张从上述谱系直接导出的检查清单：价格形式是固定总价还是可调，调差触发的条件与指数写没写（对应"材料涨价遭遇固定价格，如何破解调差僵局"的争议类型，P6004）；终止条款下已完工程与撤场费用怎么计价（对应银皮书终止价格确定原则，P6004）；争端解决选的是常设裁决机制还是直接仲裁诉讼（对应DAAB条款的启示，P6004）；若带运营责任，绩效指标与违约金怎么闭环（对应EPC+O模式解析，P6004）；若嵌在投融资结构里，核价与重新计算的风险由谁担（对应PPP+EPC政府方投资控制风险，P6004）。这张清单不是要买方替法务改合同，而是让它能在尽调现场快速分辩：目标公司的合同管理是"签了就锁进柜子"，还是每一份都做过条款级的风险定价。前者靠运气，后者靠体系——而总承包这门生意，长期看只奖励后者。</w:t>
      </w:r>
    </w:p>
    <w:p>
      <w:r>
        <w:rPr>
          <w:rFonts w:ascii="Calibri" w:hAnsi="Calibri" w:eastAsia="微软雅黑"/>
          <w:b w:val="0"/>
          <w:i w:val="0"/>
          <w:sz w:val="22"/>
        </w:rPr>
        <w:t>书名与目录的边角部件同样携带着信息。《工程总承包（EPC／DB）争议解决实战攻略》把DB与EPC并写进书名（P6004），提示这套争议图谱原本按两种模式铺开：DB（设计—施工总承包）合同里设计侧的话语权结构不同于EPC，设计院在两种模式下的角色叙事并不等价。但如实地说，库内目录未见DB的专门章节（P6004），两种模式在现有证据里无法区分，本章不对DB展开判断，书名里的这条斜杠先记为合同谱系上的一格空位，留待后续章节材料补位。另一个被多数读者一翻而过的部件是"全称、简称对照表"（P6004）：一本要在正文之前专设术语对照表的实务书，等于承认工程合同的缩写与俗称密度已经高到需要专表治理。映射到买方动作上是一句朴素的话——读EPC合同先读定义条款，"业主""承包人""合同价格""开工日期"在每份合同里的定义都可能不同，术语表既是合同的显微镜，也是日后争议的第一现场；尽调抽样合同样本时，不妨比一比目标公司不同合同里同一术语的定义漂移有多大，漂移越大，说明合同文本管理越依赖个别律师的手气而非体系统一。再往深处看一层，该书序二以"解案析法 拨沙见金"为题（P6004），点出其方法论姿态是"从案到法"而非"从法到案"——对买方的价值恰在这里：它供给的不是抽象规则，而是争议在真实项目里的爆发形态，正好补上财务尽调看不见的那一面。</w:t>
      </w:r>
    </w:p>
    <w:p>
      <w:r>
        <w:rPr>
          <w:rFonts w:ascii="Calibri" w:hAnsi="Calibri" w:eastAsia="微软雅黑"/>
          <w:b w:val="0"/>
          <w:i w:val="0"/>
          <w:sz w:val="22"/>
        </w:rPr>
        <w:t>这两大制度线索在书中的位置也有信息量：终止计价与DAAB争端机制两节，排在第一章"工程总承包法律服务概述"之内（P6004）——概述章收编收场机制，说明作者把它们当作EPC法律服务的入门必读而非高阶专题。映射到尽调问卷的编排上同理：终止结算与争端路径两问应当放进问卷第一页，而不是等到附录里兜底——把收场机制当基础功课的公司，与把它当极端情形的公司，对合同风险的想象力不在一个层级。</w:t>
      </w:r>
    </w:p>
    <w:p>
      <w:pPr>
        <w:pStyle w:val="Heading2"/>
      </w:pPr>
      <w:r>
        <w:t>6.3 联合体：电力EPC的主流组织形态与连带责任</w:t>
      </w:r>
    </w:p>
    <w:p>
      <w:r>
        <w:rPr>
          <w:rFonts w:ascii="Calibri" w:hAnsi="Calibri" w:eastAsia="微软雅黑"/>
          <w:b w:val="0"/>
          <w:i w:val="0"/>
          <w:sz w:val="22"/>
        </w:rPr>
        <w:t>在中国市场的工程总承包版图上，联合体不是补充形态，而是主流形态，其法律复杂度之高，足以撑起一门独立实务课。证据库收录的律协专题讲座《工程总承包（EPC）项目的联合体投标风险管理实务》于2023年上架（P6006，同一讲座的另一存档于同年再度上架、主讲人名作张琪，P6007），主讲人为泰格泰深圳律师事务所合伙人、广东省工程造价法制化改革专项工作组专家成员（P6006），曾在中建三局集团有限公司担任法务4年（P6006），其团队把近年EPC诉讼与非诉案件经验写成《工程总承包争议解决实战攻略》，于当年3月由法律出版社正式出版（P6006）。这场受律协邀请、线上线下同步开展的专题讲座（P6006），关键词密集落在联合体、合同、工程、承担、分包、连带责任、招标投标法、政府采购法、施工资质（P6006）——这组词就是联合体制度的受力点：设计院有设计与技术资质但缺施工资质，施工企业反之，联合体用"资质拼盘"凑齐投标门槛；但招标投标法与政府采购法两套采购法制之下的连带责任（P6006），意味着拼盘里的任何一方违约，业主都可以向联合体全体成员全额追索。换言之，选择联合体，等于选择"队友即敞口"——你对合同的控制力取决于你自己的履约，你对合同的敞口却取决于最弱的那位队友。从公告样本里还能归纳出联合体的几种常见形态，每一种对设计院的含义都不同。其一是"施工集团牵头+设计院补位"型：安徽建工集团与中铁上海工程局分别牵头、设计单位以普通成员入伙的两组结构（P6008）是典型，设计院在此形态里输出图纸与技术，议价位置取决于自身专业不可替代性。其二是"跨集团设计双拼"型：长乐外海送出工程里中国电建系与中国能源建设系设计院同列一支联合体（P6009），说明在业主眼中设计输入可以拆分采购——送出工程的海缆、换流站、线路可分属不同设计强项，设计院之间的集团边界让位于专业边界。其三是"投资商关联方入局"型：中闽能源控股子公司直接位列承包联合体（P6009），投融资方与交付方在同一支队伍里，设计院面对的不再是传统业主，而是既当裁判又下场参赛的结构。三型之外还有更多变体，但共同点只有一个：设计院在名单里的位置，就是它在价值链里的位置——买方看联合体新闻，先在名单里找到目标公司的名字，再判断它站在哪一型里。</w:t>
      </w:r>
    </w:p>
    <w:p>
      <w:r>
        <w:rPr>
          <w:rFonts w:ascii="Calibri" w:hAnsi="Calibri" w:eastAsia="微软雅黑"/>
          <w:b w:val="0"/>
          <w:i w:val="0"/>
          <w:sz w:val="22"/>
        </w:rPr>
        <w:t>两组近期公告把这套结构演得明明白白。第一组来自安徽建工：2025年11月27日，界面新闻刊发其公告报道，公司及所属子公司联合体中标两个EPC总承包项目，中标总价26亿元（P6008）。其中潘集区全区环境整治及生态修复项目EPC总承包的中标人，为安徽建工集团股份有限公司（牵头人）、安徽建工淮河建设投资有限公司、安徽建工淮旅建设投资有限公司、淮南新利昂建设工程有限公司、重庆纵横工程设计有限公司组成的联合体（P6008；own_calc：按公告点名清点为五家成员），中标价12.14亿元，其中安徽建工（含所属子公司）份额约6亿元（P6008）；东部新城绿色集成电路产业园及基础配套设施建设项目EPC总承包的中标人，为中铁上海工程局集团有限公司（牵头人）、中铁上海工程局集团第三工程有限公司、安徽建工（池州）建设投资有限公司、池州市路桥建设工程有限公司、池州市规划勘测设计总院有限公司组成的联合体（P6008；own_calc：按公告点名清点为五家成员），中标价13.89亿元，其中安徽建工所属子公司份额约6.95亿元（P6008）。数字先对一遍口径：两宗中标价分别为12.14亿元（P6008）与13.89亿元（P6008），公告将两宗合计计为中标总价26亿元（P6008）；安徽建工体系两宗份额分别为约6亿元（P6008）与约6.95亿元（P6008），两笔相加，大体相当于两宗合计中标总价的一半。这组数据给买方的读法有三层。其一，联合体的headline金额属于全体成员，上市公司只认份额——约6亿元与约6.95亿元两笔份额（P6008）相加的口径，才是安徽建工体系的真实合同盘子；同理，看任何联合体中标新闻，都要先问"目标公司在名单里吗、份额是多少"，再决定这条新闻对它的估值含义。其二，份额与牵头身份可以分离——潘集区项目里安徽建工是牵头人、份额约占四成九（约6亿元÷12.14亿元，own_calc，P6008），产业园项目里中铁上海工程局牵头、安徽建工子公司作为普通成员仍拿到约占五成的份额（约6.95亿元÷13.89亿元，own_calc，P6008），"牵头方吃肉、成员喝汤"的直觉在这组数据里并不成立；牵头身份带来的是对项目执行的实际控制权与对业主的接口责任，份额才是钱。其三，两宗联合体里各坐着一家设计单位——重庆纵横工程设计有限公司与池州市规划勘测设计总院（P6008），且项目本身是环境整治与产业园基础设施而非传统电源工程，说明"施工集团牵头+设计院入伙"的联合体模板已经扩散到生态修复、园区基建等非电领域；设计资质在这个模板里是标准件，设计院的议价位置并不因专业稀缺而自动抬升。</w:t>
      </w:r>
    </w:p>
    <w:p>
      <w:r>
        <w:rPr>
          <w:rFonts w:ascii="Calibri" w:hAnsi="Calibri" w:eastAsia="微软雅黑"/>
          <w:b w:val="0"/>
          <w:i w:val="0"/>
          <w:sz w:val="22"/>
        </w:rPr>
        <w:t>第二组公告来自中闽能源，结构更值得玩味。2026年9月28日（P6009），东方财富资讯转上证报中国证券网讯（记者潘建樑）报道其晚间公告：控股子公司福建福州闽投海上风电汇流站有限公司与福建省亿力建设工程有限公司（牵头方）、福建省送变电工程有限公司、中国电建集团福建省电力勘测设计院有限公司、中国能源建设集团广东省电力设计研究院有限公司、上海振华重工（集团）股份有限公司组成的联合体，就长乐外海集中统一送出工程项目正式签订EPC总承包合同，合同签约总价为人民币41.65亿元（P6009；P6010）。按公告点名清点，这是一支六方联合体（own_calc，P6009）：牵头的是福建本地施工企业亿力建设，输电线路施工有福建省送变电补位，海工装备有上海振华重工压阵，设计端罕见地同时站着中国电建系与中国能源建设系两家省级电力设计院（P6009），而投资商阵营的关联方——中闽能源的控股子公司闽投汇流站公司——本身位列承包联合体之内（P6009）。这纸结构的信号意义，对本书主角所属的电建系设计院序列格外切身：其一，海上风电集中送出这类新型电力系统基础设施，单体合同签约总价即达41.65亿元（P6009；P6010），与前述安徽建工两宗EPC合计中标总价26亿元（P6008）相比明显更高（41.65亿元÷26亿元，own_calc，P6010；P6008）——送出工程这个昔日被视为"配套"的品类，体量已经反超多数电源侧EPC；其二，设计院在大型电力EPC联合体里的典型位置是技术供给方而非融资或装备主角，两家不同集团背景的设计院同台服务一个项目（P6009），说明设计能力在这个市场上是可拼装、可替换的商品化输入，业主选设计院看的是区域熟悉度与专业配置，而非集团归属；其三，投资商关联方入列承包联合体（P6009），模糊了业主与承包人的边界——这种"投建一体"味道的结构对项目治理、关联交易定价与后续结算独立性都是考验，公告摘要亦未披露发包人身份与各方内部分工（P6009），外部研究者无从核验其责任切分。这种"投建一体"味道的结构，留给外部观察者一张追问清单，而追问点恰恰都在公告没有写的地方（P6009）：发包人是谁，与联合体成员存在何种关联；闽投汇流站公司作为投资商阵营的控股子公司（P6009），在承包联合体内部承担什么角色——是出资绑定、是业主代表监工，还是事实上的项目公司共担风险；关联交易的定价机制是否经过独立第三方把关；结算与性能考核的独立性由什么制度保证。这些问题在标准EPC里都有成熟答案，在业主关联方入局的结构里则要逐项重新落座——设计院若参与此类联合体，连带责任（P6006）之下，它不仅背自己的设计责任，也背整个联合体的履约敞口，而它在结构里的话语权又最小，风险收益最不对称。公告披露的克制（P6009，摘要止于签约总价与名单）可以理解，但分析者不能把"未披露"当作"不存在"。为便于对照，把两组公告的结构要素并列如下：</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对照维度</w:t>
            </w:r>
          </w:p>
        </w:tc>
        <w:tc>
          <w:tcPr>
            <w:tcW w:type="dxa" w:w="2767"/>
            <w:shd w:fill="1F3A5F"/>
          </w:tcPr>
          <w:p>
            <w:r>
              <w:rPr>
                <w:color w:val="FFFFFF"/>
              </w:rPr>
            </w:r>
            <w:r>
              <w:rPr>
                <w:rFonts w:ascii="Calibri" w:hAnsi="Calibri" w:eastAsia="微软雅黑"/>
                <w:b/>
                <w:i w:val="0"/>
                <w:color w:val="FFFFFF"/>
                <w:sz w:val="18"/>
              </w:rPr>
              <w:t>安徽建工组（P6008）</w:t>
            </w:r>
          </w:p>
        </w:tc>
        <w:tc>
          <w:tcPr>
            <w:tcW w:type="dxa" w:w="2767"/>
            <w:shd w:fill="1F3A5F"/>
          </w:tcPr>
          <w:p>
            <w:r>
              <w:rPr>
                <w:color w:val="FFFFFF"/>
              </w:rPr>
            </w:r>
            <w:r>
              <w:rPr>
                <w:rFonts w:ascii="Calibri" w:hAnsi="Calibri" w:eastAsia="微软雅黑"/>
                <w:b/>
                <w:i w:val="0"/>
                <w:color w:val="FFFFFF"/>
                <w:sz w:val="18"/>
              </w:rPr>
              <w:t>中闽能源组（P6009）</w:t>
            </w:r>
          </w:p>
        </w:tc>
      </w:tr>
      <w:tr>
        <w:tc>
          <w:tcPr>
            <w:tcW w:type="dxa" w:w="2767"/>
          </w:tcPr>
          <w:p>
            <w:r/>
            <w:r>
              <w:rPr>
                <w:rFonts w:ascii="Calibri" w:hAnsi="Calibri" w:eastAsia="微软雅黑"/>
                <w:b w:val="0"/>
                <w:i w:val="0"/>
                <w:sz w:val="18"/>
              </w:rPr>
              <w:t>公告时间</w:t>
            </w:r>
          </w:p>
        </w:tc>
        <w:tc>
          <w:tcPr>
            <w:tcW w:type="dxa" w:w="2767"/>
          </w:tcPr>
          <w:p>
            <w:r/>
            <w:r>
              <w:rPr>
                <w:rFonts w:ascii="Calibri" w:hAnsi="Calibri" w:eastAsia="微软雅黑"/>
                <w:b w:val="0"/>
                <w:i w:val="0"/>
                <w:sz w:val="18"/>
              </w:rPr>
              <w:t>2025年11月27日（P6008）</w:t>
            </w:r>
          </w:p>
        </w:tc>
        <w:tc>
          <w:tcPr>
            <w:tcW w:type="dxa" w:w="2767"/>
          </w:tcPr>
          <w:p>
            <w:r/>
            <w:r>
              <w:rPr>
                <w:rFonts w:ascii="Calibri" w:hAnsi="Calibri" w:eastAsia="微软雅黑"/>
                <w:b w:val="0"/>
                <w:i w:val="0"/>
                <w:sz w:val="18"/>
              </w:rPr>
              <w:t>2026年9月28日（P6009）</w:t>
            </w:r>
          </w:p>
        </w:tc>
      </w:tr>
      <w:tr>
        <w:tc>
          <w:tcPr>
            <w:tcW w:type="dxa" w:w="2767"/>
          </w:tcPr>
          <w:p>
            <w:r/>
            <w:r>
              <w:rPr>
                <w:rFonts w:ascii="Calibri" w:hAnsi="Calibri" w:eastAsia="微软雅黑"/>
                <w:b w:val="0"/>
                <w:i w:val="0"/>
                <w:sz w:val="18"/>
              </w:rPr>
              <w:t>项目场景</w:t>
            </w:r>
          </w:p>
        </w:tc>
        <w:tc>
          <w:tcPr>
            <w:tcW w:type="dxa" w:w="2767"/>
          </w:tcPr>
          <w:p>
            <w:r/>
            <w:r>
              <w:rPr>
                <w:rFonts w:ascii="Calibri" w:hAnsi="Calibri" w:eastAsia="微软雅黑"/>
                <w:b w:val="0"/>
                <w:i w:val="0"/>
                <w:sz w:val="18"/>
              </w:rPr>
              <w:t>环境整治及生态修复＋产业园基础设施（P6008）</w:t>
            </w:r>
          </w:p>
        </w:tc>
        <w:tc>
          <w:tcPr>
            <w:tcW w:type="dxa" w:w="2767"/>
          </w:tcPr>
          <w:p>
            <w:r/>
            <w:r>
              <w:rPr>
                <w:rFonts w:ascii="Calibri" w:hAnsi="Calibri" w:eastAsia="微软雅黑"/>
                <w:b w:val="0"/>
                <w:i w:val="0"/>
                <w:sz w:val="18"/>
              </w:rPr>
              <w:t>海上风电集中统一送出工程（P6009）</w:t>
            </w:r>
          </w:p>
        </w:tc>
      </w:tr>
      <w:tr>
        <w:tc>
          <w:tcPr>
            <w:tcW w:type="dxa" w:w="2767"/>
          </w:tcPr>
          <w:p>
            <w:r/>
            <w:r>
              <w:rPr>
                <w:rFonts w:ascii="Calibri" w:hAnsi="Calibri" w:eastAsia="微软雅黑"/>
                <w:b w:val="0"/>
                <w:i w:val="0"/>
                <w:sz w:val="18"/>
              </w:rPr>
              <w:t>合同口径</w:t>
            </w:r>
          </w:p>
        </w:tc>
        <w:tc>
          <w:tcPr>
            <w:tcW w:type="dxa" w:w="2767"/>
          </w:tcPr>
          <w:p>
            <w:r/>
            <w:r>
              <w:rPr>
                <w:rFonts w:ascii="Calibri" w:hAnsi="Calibri" w:eastAsia="微软雅黑"/>
                <w:b w:val="0"/>
                <w:i w:val="0"/>
                <w:sz w:val="18"/>
              </w:rPr>
              <w:t>两宗合计26亿元，明细12.14亿元＋13.89亿元（P6008）</w:t>
            </w:r>
          </w:p>
        </w:tc>
        <w:tc>
          <w:tcPr>
            <w:tcW w:type="dxa" w:w="2767"/>
          </w:tcPr>
          <w:p>
            <w:r/>
            <w:r>
              <w:rPr>
                <w:rFonts w:ascii="Calibri" w:hAnsi="Calibri" w:eastAsia="微软雅黑"/>
                <w:b w:val="0"/>
                <w:i w:val="0"/>
                <w:sz w:val="18"/>
              </w:rPr>
              <w:t>单宗41.65亿元（P6009；P6010）</w:t>
            </w:r>
          </w:p>
        </w:tc>
      </w:tr>
      <w:tr>
        <w:tc>
          <w:tcPr>
            <w:tcW w:type="dxa" w:w="2767"/>
          </w:tcPr>
          <w:p>
            <w:r/>
            <w:r>
              <w:rPr>
                <w:rFonts w:ascii="Calibri" w:hAnsi="Calibri" w:eastAsia="微软雅黑"/>
                <w:b w:val="0"/>
                <w:i w:val="0"/>
                <w:sz w:val="18"/>
              </w:rPr>
              <w:t>联合体规模</w:t>
            </w:r>
          </w:p>
        </w:tc>
        <w:tc>
          <w:tcPr>
            <w:tcW w:type="dxa" w:w="2767"/>
          </w:tcPr>
          <w:p>
            <w:r/>
            <w:r>
              <w:rPr>
                <w:rFonts w:ascii="Calibri" w:hAnsi="Calibri" w:eastAsia="微软雅黑"/>
                <w:b w:val="0"/>
                <w:i w:val="0"/>
                <w:sz w:val="18"/>
              </w:rPr>
              <w:t>两宗各五家成员（own_calc，P6008）</w:t>
            </w:r>
          </w:p>
        </w:tc>
        <w:tc>
          <w:tcPr>
            <w:tcW w:type="dxa" w:w="2767"/>
          </w:tcPr>
          <w:p>
            <w:r/>
            <w:r>
              <w:rPr>
                <w:rFonts w:ascii="Calibri" w:hAnsi="Calibri" w:eastAsia="微软雅黑"/>
                <w:b w:val="0"/>
                <w:i w:val="0"/>
                <w:sz w:val="18"/>
              </w:rPr>
              <w:t>六方（own_calc，P6009）</w:t>
            </w:r>
          </w:p>
        </w:tc>
      </w:tr>
      <w:tr>
        <w:tc>
          <w:tcPr>
            <w:tcW w:type="dxa" w:w="2767"/>
          </w:tcPr>
          <w:p>
            <w:r/>
            <w:r>
              <w:rPr>
                <w:rFonts w:ascii="Calibri" w:hAnsi="Calibri" w:eastAsia="微软雅黑"/>
                <w:b w:val="0"/>
                <w:i w:val="0"/>
                <w:sz w:val="18"/>
              </w:rPr>
              <w:t>牵头方</w:t>
            </w:r>
          </w:p>
        </w:tc>
        <w:tc>
          <w:tcPr>
            <w:tcW w:type="dxa" w:w="2767"/>
          </w:tcPr>
          <w:p>
            <w:r/>
            <w:r>
              <w:rPr>
                <w:rFonts w:ascii="Calibri" w:hAnsi="Calibri" w:eastAsia="微软雅黑"/>
                <w:b w:val="0"/>
                <w:i w:val="0"/>
                <w:sz w:val="18"/>
              </w:rPr>
              <w:t>安徽建工集团；中铁上海工程局（P6008）</w:t>
            </w:r>
          </w:p>
        </w:tc>
        <w:tc>
          <w:tcPr>
            <w:tcW w:type="dxa" w:w="2767"/>
          </w:tcPr>
          <w:p>
            <w:r/>
            <w:r>
              <w:rPr>
                <w:rFonts w:ascii="Calibri" w:hAnsi="Calibri" w:eastAsia="微软雅黑"/>
                <w:b w:val="0"/>
                <w:i w:val="0"/>
                <w:sz w:val="18"/>
              </w:rPr>
              <w:t>福建省亿力建设（P6009）</w:t>
            </w:r>
          </w:p>
        </w:tc>
      </w:tr>
      <w:tr>
        <w:tc>
          <w:tcPr>
            <w:tcW w:type="dxa" w:w="2767"/>
          </w:tcPr>
          <w:p>
            <w:r/>
            <w:r>
              <w:rPr>
                <w:rFonts w:ascii="Calibri" w:hAnsi="Calibri" w:eastAsia="微软雅黑"/>
                <w:b w:val="0"/>
                <w:i w:val="0"/>
                <w:sz w:val="18"/>
              </w:rPr>
              <w:t>设计院位置</w:t>
            </w:r>
          </w:p>
        </w:tc>
        <w:tc>
          <w:tcPr>
            <w:tcW w:type="dxa" w:w="2767"/>
          </w:tcPr>
          <w:p>
            <w:r/>
            <w:r>
              <w:rPr>
                <w:rFonts w:ascii="Calibri" w:hAnsi="Calibri" w:eastAsia="微软雅黑"/>
                <w:b w:val="0"/>
                <w:i w:val="0"/>
                <w:sz w:val="18"/>
              </w:rPr>
              <w:t>普通成员：重庆纵横工程设计、池州市规划勘测设计总院（P6008）</w:t>
            </w:r>
          </w:p>
        </w:tc>
        <w:tc>
          <w:tcPr>
            <w:tcW w:type="dxa" w:w="2767"/>
          </w:tcPr>
          <w:p>
            <w:r/>
            <w:r>
              <w:rPr>
                <w:rFonts w:ascii="Calibri" w:hAnsi="Calibri" w:eastAsia="微软雅黑"/>
                <w:b w:val="0"/>
                <w:i w:val="0"/>
                <w:sz w:val="18"/>
              </w:rPr>
              <w:t>普通成员：电建福建院＋能建广东院双设计院（P6009）</w:t>
            </w:r>
          </w:p>
        </w:tc>
      </w:tr>
      <w:tr>
        <w:tc>
          <w:tcPr>
            <w:tcW w:type="dxa" w:w="2767"/>
          </w:tcPr>
          <w:p>
            <w:r/>
            <w:r>
              <w:rPr>
                <w:rFonts w:ascii="Calibri" w:hAnsi="Calibri" w:eastAsia="微软雅黑"/>
                <w:b w:val="0"/>
                <w:i w:val="0"/>
                <w:sz w:val="18"/>
              </w:rPr>
              <w:t>结构特殊性</w:t>
            </w:r>
          </w:p>
        </w:tc>
        <w:tc>
          <w:tcPr>
            <w:tcW w:type="dxa" w:w="2767"/>
          </w:tcPr>
          <w:p>
            <w:r/>
            <w:r>
              <w:rPr>
                <w:rFonts w:ascii="Calibri" w:hAnsi="Calibri" w:eastAsia="微软雅黑"/>
                <w:b w:val="0"/>
                <w:i w:val="0"/>
                <w:sz w:val="18"/>
              </w:rPr>
              <w:t>上市公司披露自身份额约6亿元、约6.95亿元（P6008）</w:t>
            </w:r>
          </w:p>
        </w:tc>
        <w:tc>
          <w:tcPr>
            <w:tcW w:type="dxa" w:w="2767"/>
          </w:tcPr>
          <w:p>
            <w:r/>
            <w:r>
              <w:rPr>
                <w:rFonts w:ascii="Calibri" w:hAnsi="Calibri" w:eastAsia="微软雅黑"/>
                <w:b w:val="0"/>
                <w:i w:val="0"/>
                <w:sz w:val="18"/>
              </w:rPr>
              <w:t>投资商控股子公司入列承包联合体（P6009）</w:t>
            </w:r>
          </w:p>
        </w:tc>
      </w:tr>
    </w:tbl>
    <w:p>
      <w:r>
        <w:rPr>
          <w:rFonts w:ascii="Calibri" w:hAnsi="Calibri" w:eastAsia="微软雅黑"/>
          <w:b w:val="0"/>
          <w:i w:val="0"/>
          <w:sz w:val="22"/>
        </w:rPr>
        <w:t>表里最值得咀嚼的行是"设计院位置"——两组公告里设计院都不是牵头方，都以普通成员身份提供设计与技术服务（P6008；P6009）。这并非偶然：联合体的牵头方要承担对业主的总接口责任与主要融资垫资压力，设计院通常两者皆避；但代价是话语权与利润分配的次序靠后。对连带责任（P6006）还要再补一层会计视角：联合体对业主是全责，对内按协议分账，这意味着目标公司的或有负债不限于自己的份额——队友的资金链断裂、安全事故、环评违规，都会以连带追索的形式出现在目标公司的被告席上；讲座关键词里"承担""连带责任"反复出现（P6006），正是这种制度现实的语言沉淀。由此派生出评估联合体履历的三条经验规则：看队友质量甚于看项目名头——名单里有没有资金链紧张的施工企业、有没有诉史密集的分包专业户（P6006，联合体投标风险管理的核心关切即在于此）；看份额条款甚于看中标新闻——公告里的"份额约数"（P6008）是唯一能直接入账的数字；看牵头记录甚于看参与数量——独自牵头一次的含金量，胜过挂名十次。</w:t>
      </w:r>
    </w:p>
    <w:p>
      <w:r>
        <w:rPr>
          <w:rFonts w:ascii="Calibri" w:hAnsi="Calibri" w:eastAsia="微软雅黑"/>
          <w:b w:val="0"/>
          <w:i w:val="0"/>
          <w:sz w:val="22"/>
        </w:rPr>
        <w:t>对本书主角所属的电建系设计院序列，这面镜子照出的框架性启示可以归纳为三句。其一，电力EPC的大型局已经天然是联合体的局：送出工程站上四十亿元量级（41.65亿元，P6009）、园区与生态类EPC以二十亿元级打包出现（26亿元，P6008），这样的单体规模超出任何单一设计院的资质与资金半径，能不能进局、以什么角色进局，比能不能独立投标更能说明其市场位置。其二，设计能力在联合体里是商品化输入：同一个项目可以同时容纳两家不同集团的设计院（P6009），说明业主把设计当作可替换的标准件采购；设计院要在联合体里提高议价位置，靠的不是设计资质本身，而是把设计延伸为采购、施工、调试的一体化集成能力——正是能力矩阵（P6002）所刻画的那套体系。其三，连带责任是双刃的筛选器：它让设计院可以借联合体进入原本进不去的项目，也让它为队友的履约背书；长期看，队友网络本身就是资产负债表外的一项资产或负债，评估一家设计院的总承包业务，其联合体伙伴名单的稳定度与质量，应当与在手合同额放在同一个抽屉里审查（P6006；P6008；P6009）。所以呢——读电力EPC的中标公告，务必把金额除以份额、把名单拆成角色：连带责任之下，联合体每一方都扛着全额违约风险，而收益只按份额分账；一家设计院若在联合体里常年只做小份额技术分包，其总承包报表的含金量就要打折看，而若它频繁出现在亿力建设、中铁上海工程局这类施工集团的名单里（P6008；P6009），则说明其市场角色已被下游伙伴定型为"设计供应商"而非"总承包商"——这顶帽子一旦戴稳，再想摘，就要靠独自牵头的项目来证明。</w:t>
      </w:r>
    </w:p>
    <w:p>
      <w:r>
        <w:rPr>
          <w:rFonts w:ascii="Calibri" w:hAnsi="Calibri" w:eastAsia="微软雅黑"/>
          <w:b w:val="0"/>
          <w:i w:val="0"/>
          <w:sz w:val="22"/>
        </w:rPr>
        <w:t>主讲人的完整任职画像值得补全：除前文引述的律所合伙人与省级造价法制化改革专项工作组专家成员两项身份（P6006），他还担任深圳市河南商会法律服务委员会秘书长（P6006）——律所执业、政策咨询、商会组织三个圈层的复合履历，意味着这场讲座的站位横跨政策侧与一线诉讼侧，其对联合体风险的表述可以当作2023年实务界共识的抽样来用，而非一家律所的招徕话术。时间参数同样可锚：第一档讲座上架于2023年7月21日13时13分27秒（P6006），第二档上架于同年9月9日7时41分48秒（P6007），间隔五十天（own_calc）；两档分别标注视频时长1:15:54与1:15:55（P6006；P6007）。开场背景里"原定主持人被封控在家、主讲人自行完成开场介绍"的细节（P6006；P6007）既是那个年代实务活动形态的时点标记，也提示讲座引用的案例窗口以2023年以前的纠纷为主（推演，锚为两档上架时间）。对联合体主题本身，第二档关键词比第一档多出"施工协议书"一条（P6007），而第一档关键词全集为"联合体、合同、工程、承担、分包、单位、投标、约定、法律、连带责任、建设工程、合同履行、政府采购法、招标投标法、施工资质、管理团队、中标项目、项目施工"（P6006）——多出的四个字指向讲座后段落落到了联合体内部的施工协议文本上：联合体的法律重心不止于对业主的连带追索，也落在成员之间那份常被草率处理的施工协议里；设计院入伙前，应当把这份内部协议的条款颗粒度当作与联合体协议同级的审查对象，尤其要问清设计费与施工配合界面的计价方式写没写进内部分工文件。至于两档参数的系统性漂移——视频文件一档419,723,469字节、另一档1,612,195,393字节（own_calc：后者约为前者的3.8倍），逐字稿附件61,410字节对61,196字节（P6006；P6007）——留待6.7的多档互证一节集中拆解。</w:t>
      </w:r>
    </w:p>
    <w:p>
      <w:pPr>
        <w:pStyle w:val="Heading2"/>
      </w:pPr>
      <w:r>
        <w:t>6.4 争议地图：条款背后的风险高发带</w:t>
      </w:r>
    </w:p>
    <w:p>
      <w:r>
        <w:rPr>
          <w:rFonts w:ascii="Calibri" w:hAnsi="Calibri" w:eastAsia="微软雅黑"/>
          <w:b w:val="0"/>
          <w:i w:val="0"/>
          <w:sz w:val="22"/>
        </w:rPr>
        <w:t>合同模式的风险分配写在纸面上，争议地图则揭示风险实际在哪里爆。前述律师专著以整章篇幅罗列"工程总承包典型争议及解决方案"（P6004），其目录本身就是一张按项目周期排布的EPC风险高发带地图，可以直接当作尽调问卷的章节结构使用。投标端，有"EPC项目中标后发现不平衡报价，发包人如何应对"（P6004）——承包人在报价结构里前重后轻，把回收压力前置、把履约激励扭曲，发包人中标后才发现为时已晚；这类争议对买方的提示是：评估一家总承包商的报价纪律，比评估它的中标率更重要，靠不平衡报价抢来的合同，履约阶段大概率以签证、索赔、停工收场。设计端，争议呈现双向拉扯："EPC项目中设计失误，发包人是否要一起承担责任"（P6004）把矛头指向业主提供基础资料的质量——业主给的地质、水文、负荷边界有误，设计失误的责任就不是承包人单方的事；"EPC项目发生设计缺陷，设计人如何承担责任"（P6004）则把责任压回设计方。对从设计院转型的总承包商而言，这是最贴身的一组条款：传统模式下设计院只对图纸负责，EPC模式下设计缺陷的后果会沿总承包合同直接转化为造价与工期损失，设计责任从"专业瑕疵担保"升级为"商务损失兜底"。业主输入端，"EPC项目中发包人提供场地不合格，承包人是否可以索赔"（P6004）提示：即便风险大头压在承包侧，业主交付的场地、边界条件不合格，仍是承包人索赔的正当出口——反过来说，这也是发包人最常见的败诉点；买方核查EPC合同时，场地移交条款的验收标准与时限约定，值得逐字读。履约端的争议更显电力行业特色。最扎眼的是这一条："未经核准的EPC项目长期停工，施工分包人如何进行索赔——广东某火电场扩建EPC项目停工索赔案"（P6004）——电源项目未过核准关就开工，政策闸门落下后长期停工，损失沿着"分包人—总承包商—业主"的链条层层追索，总承包商夹在中间：对下要扛住分包人的窝工索赔，对上要看业主与行政程序的脸色。对电力设计咨询行业的读者，这个案例的警示不在个案，而在结构：核准、环评、并网这类行政许可是电力工程的生死线，总承包商若在合同里没有为"核准迟延或不可得"设置免责与调价机制，行政风险就会全额沉淀为商业损失；而设计院作为行业里最懂核准流程的一方，恰恰最有条件把这个风险在合同谈判阶段就条款化——这是它相对施工企业同伴为数不多的结构性优势。</w:t>
      </w:r>
    </w:p>
    <w:p>
      <w:r>
        <w:rPr>
          <w:rFonts w:ascii="Calibri" w:hAnsi="Calibri" w:eastAsia="微软雅黑"/>
          <w:b w:val="0"/>
          <w:i w:val="0"/>
          <w:sz w:val="22"/>
        </w:rPr>
        <w:t>这个案例还把"分包"推到了台前——讲座关键词里与联合体并列出现的高频词（P6006）提醒读者：总承包商与业主之间是一份合同，总承包商与施工、设备、劳务之间是另一层合同群；业主眼中的"一家总承包商"，实际是一个由总分包链条串起的交付网络。分包管理因此是EPC争议的下半场：分包人选择失误，质量与进度失控；分包合同与总包合同的条款错位（风险传递断链），业主索赔来了却传导不下去；分包人自己的资金链断裂，窝工与农民工工资问题立刻政治化。广东某火电扩建EPC停工索赔案（P6004）展示的正是最恶劣的组合——行政风险触发停工，停工损失沿分包链条下渗，最终以分包人向总承包商索赔的法律形态结算（P6004）。对买方的操作提示：核查EPC业务时不能只看总包合同，还要抽样看分包合同的背对背条款、农民工工资保证金与支付链条——争议地图的火力点，一半在总包条款，一半在分包执行。价格端，"材料涨价遭遇固定价格，如何破解调差僵局"（P6004）——固定总价是EPC的默认底色，材料价格剧烈波动时，承包人要求调差、发包人坚持按约，僵局由此而生；配套的还有"EPC项目中承包人未按约限额设计如何处理"（P6004）——限额设计把投资控制的压力前置到设计阶段，设计院背景的总承包商恰好处在这条责任的炮口上：合同给了投资限额，设计超标即违约，而设计保守又会被指责侵蚀利润，两难之间正是设计院转型总承包的核心考题。结算与程序端的争议同样密集："设计人采购的材料设备未单独计价，结算时如何主张"（P6004）考验合同清单颗粒度——EPC总价包干模式下，哪些设备算在价内、哪些要单独计价，签约时没写清，结算时就是战场；"EPC合同按固定总价结算后，发包人能否以承包人虚报价款和虚构设备为由，要求重新结算"（P6004）直指结算终局性与虚假申报的对抗——固定总价的"终局"不是绝对的，虚报与虚构可以击穿它；"EPC联合体成员如何发起诉讼/仲裁"（P6004）则是联合体结构的程序性软肋——成员内部的诉权分配与连带责任的对外口径，往往在闹上法庭时才被第一次认真阅读，而此时联合体协议的模糊条款已经变成对己不利的证据。</w:t>
      </w:r>
    </w:p>
    <w:p>
      <w:r>
        <w:rPr>
          <w:rFonts w:ascii="Calibri" w:hAnsi="Calibri" w:eastAsia="微软雅黑"/>
          <w:b w:val="0"/>
          <w:i w:val="0"/>
          <w:sz w:val="22"/>
        </w:rPr>
        <w:t>程序策略的选择本身也是一张风险牌。"EPC联合体成员如何发起诉讼/仲裁"（P6004）这一问牵出的不只是诉权归属，还有路径经济学的权衡：仲裁保密、一裁终局、跨境执行便利，适合不愿把家丑挂上裁判文书网的当事方；诉讼公开、可上诉、可与鉴定程序深度绑定，适合需要借司法公信力固定事实的一方；而DAAB式的现场裁决（P6004）把二者之前的时间抢回来，代价是委员会费用贯穿项目全程。三条路径不是互斥选项而是时序组合——先现场裁决、后仲裁兜底，正在成为涉外与大型工程的常见写法（P6004，该书对争端解决机制沿革的梳理即以此为脉络）。设计院背景的总承包商还多一层程序焦虑：它的单体合同额小于施工伙伴，但对争议的敏感度更高——一条公开的败诉记录足以影响投标资格与业主信任；因此它在争端条款上的谈判立场，往往比报表所显示的更值得买方研究。把争议地图换算成或有负债的评估值，操作路径可以分三步走。第一步做存量盘点：以该书各节争议类型为检索线索（P6004，从不平衡报价到联合体诉权的整套类型谱系），系统检索目标公司及其联合体伙伴的裁判文书、仲裁公告与行政处罚记录，把已浮出水面的纠纷按金额、阶段、对手方列表。第二步做条款对位：抽取目标公司在手EPC合同样本，逐份核对高风险条款与争议类型的对应关系——调差条款缺失的固定价格合同（P6004）、未设核准缓冲的电源项目合同（P6004）、清单颗粒度粗的设备采购安排（P6004），各自标注暴露等级。第三步做情景压测：以极端案例为模板推演——广东某火电扩建EPC项目因未经核准而长期停工（P6004）的损失传导路径，放到目标公司在手项目上重演一遍，估算停工状态下的分包索赔、融资成本与设备贬值的叠加冲击。三步做完，"合同额"才第一次被翻译成"风险调整后的合同额"——这才是买方愿意为之付钱的那个数字。</w:t>
      </w:r>
    </w:p>
    <w:p>
      <w:r>
        <w:rPr>
          <w:rFonts w:ascii="Calibri" w:hAnsi="Calibri" w:eastAsia="微软雅黑"/>
          <w:b w:val="0"/>
          <w:i w:val="0"/>
          <w:sz w:val="22"/>
        </w:rPr>
        <w:t>所以呢——这张争议地图就是一份现成的尽调问卷：买方核查一家工程公司的EPC资产，应当按图索骥地追问它在投标报价纪律、设计责任划分、业主输入验收、行政核准缓冲、价格调差机制、结算终局安排、联合体诉权配置这七个点位上各有多少存量纠纷与或有负债；每个点位再往下追问一层：合同条款怎么写的、项目档案留没留、争议解决条款选的是仲裁还是诉讼（P6004，该书对FIDIC争端解决机制沿革与国内多元化纠纷解决机制的对照讨论）。争议记录不是污点——没有争议记录的EPC业务，要么确实管理卓越，要么信息披露有盲区，买方应当有勇气区分这两种可能。</w:t>
      </w:r>
    </w:p>
    <w:p>
      <w:r>
        <w:rPr>
          <w:rFonts w:ascii="Calibri" w:hAnsi="Calibri" w:eastAsia="微软雅黑"/>
          <w:b w:val="0"/>
          <w:i w:val="0"/>
          <w:sz w:val="22"/>
        </w:rPr>
        <w:t>这本书的自我定位里还藏着一条尽调方法。简介称其"既有风险管理应对策略，又有针对具体案件争议的分析"（P6004），双线并行的结构对应到买方问法也应是双轨：制度问法——公司有没有把争议类型写进合同评审清单与授权体系；案例问法——公司最近三宗争议各自怎么打的、打法有没有沉淀复用。只答得出制度的公司可能纸面完备而实战生疏，只讲得出案例的公司可能英雄主义而无体系，两问交叉，才能量出法务与合同管理能力的真实厚度。简介还有一句自我说明值得掂量——"书中实务建议部分还有三位著者工程管理思维的体现"（P6004）：律师写工程，落到实务建议时仍要借工程管理的脑子，说明EPC争议的解法天然横跨法律与管理两个语系；买方组建尽调团队时照此配置——法务与工程管理两条线必须同场读合同，只来一条线的尽调，读得出条款、读不出后果。简介另称书中论证"基于真实争议案例"（P6004），第二章各节又多以匿名化的地名案情命名——广东某火电场扩建EPC项目停工索赔案即为其一（P6004）——买方借用这套类型谱系做裁判文书检索时，应把匿名案例当情景模板而非可引判例：模板给出争议的形态与损失传导路径，判例要靠自己按类型要素去公开文书库里捞。这个区分看似细枝末节，却是把二手知识合法转成一手证据的分水岭；检索式的实操做法，是把每节标题拆成"合同行为＋争议标的"两组关键词（例如"固定总价＋调差""联合体＋诉讼主体资格"），比拿整句标题去搜的召回率高得多。</w:t>
      </w:r>
    </w:p>
    <w:p>
      <w:r>
        <w:rPr>
          <w:rFonts w:ascii="Calibri" w:hAnsi="Calibri" w:eastAsia="微软雅黑"/>
          <w:b w:val="0"/>
          <w:i w:val="0"/>
          <w:sz w:val="22"/>
        </w:rPr>
        <w:t>再补一个检索纪律的落点：这套类型谱系（P6004）同时是目标公司争议档案的分组框架——把检索到的每宗纠纷按类型对号入座，各类的空集与密集区同样有信息量：密集区指向公司的系统性弱点，空集则要么是能力要么是披露盲区；把两者区分开的办法，是拿在手合同台账交叉验证——有合同存量而无纠纷的品类，才配叫能力，连合同都没有的空集只是未开垦。</w:t>
      </w:r>
    </w:p>
    <w:p>
      <w:pPr>
        <w:pStyle w:val="Heading2"/>
      </w:pPr>
      <w:r>
        <w:t>6.5 过程控制：把合同承诺变成履约能力</w:t>
      </w:r>
    </w:p>
    <w:p>
      <w:r>
        <w:rPr>
          <w:rFonts w:ascii="Calibri" w:hAnsi="Calibri" w:eastAsia="微软雅黑"/>
          <w:b w:val="0"/>
          <w:i w:val="0"/>
          <w:sz w:val="22"/>
        </w:rPr>
        <w:t>合同签回来只是起点，总承包的竞争力最终落在过程控制的能力上。汪寿建专著把EPC项目建设阶段拆解为启动、策划、实施、控制、收尾等子过程的连续管理（P6002），并在此框架下逐一论述项目综合管理、项目合同管理、项目范围管理（P6002）等管理模块——这套"全过程"视角的要义在于：控制不是竣工前的突击审计，而是从启动那一刻就开始的连续函数。项目启动阶段定的策划文件，决定了后续实施阶段的资源图谱与责任分工；策划阶段设定的控制基准，是实施阶段度量偏差的尺子；收尾阶段的经验教训，只有回流到下一个项目的启动策划里，组织能力才谈得上复利式积累。该书为此专门推荐了"适宜的管理方法——戴明循环管理法"（P6002）：计划、执行、检查、处理闭环滚动，恰恰对应项目部例会与月报的工作节律——方法论听起来朴素，但能把戴明循环真正焊进项目管理手册、报表体系与考核制度的工程公司，并不多见；多数项目部的"控制"停留在向总部报进度，而不是用偏差数据反向调度资源。管理控制要素里的信息与沟通两项（P6002），在大型EPC项目上有直接的金钱含义。一个总包项目的信息流量是惊人的：设计版本、采购订单、施工日志、变更签证、质量验评、安全记录，海量的文档每天在业主、总包、分包、监理之间流转；信息管理失控的项目，结算时找不到签证原件、索赔时凑不齐证据链，损失直接以千万计——而这一切在事故发生前，看起来只是"文档工作"。专著目录里"项目管理系统"独立成节（P6002），说明行业早已把信息系统当作过程控制的基础设施而非锦上添花；对买方而言，看一家工程公司过程控制的成熟度，有个偷懒的办法：看它的项目部是靠台账、靠微信群，还是靠统一的项目管理系统在跑流程（P6002）——三种答案对应三种完全不同的可审计性，也对应三种完全不同的估值折扣。</w:t>
      </w:r>
    </w:p>
    <w:p>
      <w:r>
        <w:rPr>
          <w:rFonts w:ascii="Calibri" w:hAnsi="Calibri" w:eastAsia="微软雅黑"/>
          <w:b w:val="0"/>
          <w:i w:val="0"/>
          <w:sz w:val="22"/>
        </w:rPr>
        <w:t>组织知识本身就是这个行业的学习资产。专著目录里"EPC项目组织机构案例"独立成节（P6002），说明标杆项目的组织设计已被当作可复制的样板来研究——项目部怎么设部门、岗位说明书怎么切权责、矩阵式管理里专业线与项目线怎么交叉，这些看似纸面的东西，决定了项目现场的众人是一支队伍还是散兵游勇。收尾过程（P6002）在方法论里的地位也常被低估：移交、结算、缺陷责任期管理、经验教训归档，是项目利润的最后收割带，也是组织复利的起点——一个项目的教训若不进下一个项目的策划文件（P6002，启动、策划、实施、控制、收尾的连续子过程），公司就永远在同一个坑里付学费。判断一家工程公司有没有这种学习回路，可以问一个朴素的问题：它最近完工的项目，策划文件与最早那个项目相比，改了多少处、为什么改——答得出细节的，是有记忆的组织；答不出的，是项目集市。电力工程的现场，把HSE从纸面要素变成生死变量。带电作业、高塔组立、深基坑、海上施工——本章引用的长乐外海集中统一送出工程（P6009）即是海上作业的典型场景——每一类工况都对应着行业最严酷的安全管理要求；方法论把HSE与进度、质量、费用并列为项目目标控制要素（P6002），在电力语境里绝不是平衡记分式的装饰：一次安全事故足以吞噬一个项目的全部利润，并触发行政处罚、停工整顿、投标资格受损的连锁反应，连带责任（P6006）还会把它传导给联合体的每一位成员。买方核查电力EPC资产时，安全台账、事故记录、安全投入的持续性，是比利润率更能预示生存权的指标——利润可以年景好时补回来，安全资格吊销了，牌桌就上不去了。</w:t>
      </w:r>
    </w:p>
    <w:p>
      <w:r>
        <w:rPr>
          <w:rFonts w:ascii="Calibri" w:hAnsi="Calibri" w:eastAsia="微软雅黑"/>
          <w:b w:val="0"/>
          <w:i w:val="0"/>
          <w:sz w:val="22"/>
        </w:rPr>
        <w:t>对买方更有操作价值的是把过程控制体系与成熟度评价勾连起来。前文引述的学位论文以电力设计院为视角研究EPC总承包工程项目管理成熟度评价（P6000），其学理前提正是：过程控制体系的完备程度可以被分级度量，而度量结果可以横向比较。换言之，"成熟度"把过程控制从管理叙事变成了可审计的标尺——总部有没有标准化的项目管理系统（P6002）、项目部是不是按典型组织机构模板派驻（P6002）、进度质量费用与HSE四条目标线（P6002）是否都有量化看板、综合合同范围资源信息沟通风险变更这些管理要素（P6002）是否都留有可追溯的流程与记录，这些问项打分加总，就是一家工程公司总承包能力的客观画像。核电场景的研究（P6001）则把这条标尺的最严刻度标了出来：安全等级最高的电源工程对过程控制的容错要求，是行业能力的天花板参照——能在核电语境下被研究的EPC管理技术（P6001），其方法颗粒度必然细于常规火电与输变电工程。所以呢——买方评估设计院的总承包资产，与其听转型故事，不如做一次成熟度体检：手册体系（P6002）是骨架，项目部派驻（P6002）是肌肉，偏差驱动的控制循环（P6002）是神经；体检不合格的EPC业务，合同额越大，或有的履约亏损与诉讼敞口就越大——本报告风险档案一章将从纠纷判例一侧继续深化这条判断。过程控制还有一层常被忽略的战略含义：它是一家工程公司所有对外承诺的内部背书。联合体里的连带责任（P6006）意味着队友的失败也可能成为自己的失败，而过程控制体系是唯一能把自己的履约与队友的履约相对隔离的防火墙——一个有强过程体系的成员，即便身处连带结构，也能以记录自证、以流程止损；一个没有体系的成员，则只能与队友共沉浮。从安徽建工公告把上市公司份额与所属子公司份额分别计入的披露口径（P6008）可以看到，市场对联合体内部权责边界的关注已经细到法人实体层级；同理，内部控制体系的颗粒度，就是未来争议中自证的证据颗粒度。设计院若要在联合体生态里长期立足，过程控制不是总部橱窗里的管理认证，而是每次连带追索袭来时唯一的自救工具。</w:t>
      </w:r>
    </w:p>
    <w:p>
      <w:r>
        <w:rPr>
          <w:rFonts w:ascii="Calibri" w:hAnsi="Calibri" w:eastAsia="微软雅黑"/>
          <w:b w:val="0"/>
          <w:i w:val="0"/>
          <w:sz w:val="22"/>
        </w:rPr>
        <w:t>方法论的知识形态本身还有一层买方含义。这本专著以"通俗易懂的语言"写成（P6002），书内统计逾三十二万字（totalWords 320,257，P6002编目），十五章体系至今仍在数字书架流通，并于2026年9月10日被本报告证据库抓取入库（P6002，入库时间2026-09-10T11:02:56）——三点合读：EPC过程控制知识已经公共品化，长销流通说明需求持续，"通俗"意味着入门不再是壁垒。推论对买方是冷静的：当知识人人可得，设计院之间的分差就不在"知不知道"，而在"执行没执行、度量没度量"，这正好接回成熟度评价的学理切口（P6000）——可分级、可横向比较的过程控制体系，才是知识公共品时代真正的稀缺品。评估一家工程公司时，与其考高管能不能复述戴明循环（P6002），不如调它三个在建项目的偏差记录与纠偏台账：复述是免费的，台账才是能力的收据。</w:t>
      </w:r>
    </w:p>
    <w:p>
      <w:r>
        <w:rPr>
          <w:rFonts w:ascii="Calibri" w:hAnsi="Calibri" w:eastAsia="微软雅黑"/>
          <w:b w:val="0"/>
          <w:i w:val="0"/>
          <w:sz w:val="22"/>
        </w:rPr>
        <w:t>台账落地还可以再具体一点。偏差管理要经得起看，至少三件套齐备：基准（进度、费用、质量的计划曲线与预算分解）、记录（实测进度与实际成本的按期留痕）、纠偏（偏差超阈后的措施单与关闭记录）。三件套分别嵌入计划、执行、检查、处理的循环（P6002，戴明循环的方法框架）——缺基准的记录是流水账，缺纠偏的记录只是举证材料，缺记录的纠偏是口头叙事。买方在尽调现场调阅时，三件套任缺一件，过程控制的成色就要按比例打折；三件俱全且能跨项目对比的公司，才有资格谈组织复利——因为它的教训是可检索、可复用、可审计的资产，而不是随项目经理离职蒸发的经验。</w:t>
      </w:r>
    </w:p>
    <w:p>
      <w:pPr>
        <w:pStyle w:val="Heading2"/>
      </w:pPr>
      <w:r>
        <w:t>6.6 趋势证据链：把行业动向还原成可检验的论证</w:t>
      </w:r>
    </w:p>
    <w:p>
      <w:r>
        <w:rPr>
          <w:rFonts w:ascii="Calibri" w:hAnsi="Calibri" w:eastAsia="微软雅黑"/>
          <w:b w:val="0"/>
          <w:i w:val="0"/>
          <w:sz w:val="22"/>
        </w:rPr>
        <w:t>前五节给的是结构，本节给的是方向。研报语言里"趋势"二字最容易被宣传语化，本节把本章证据库能够支撑的趋势判断逐条还原为"基线事实（带锚）—推演—反证"的三段结构：基线是可核验的锚点，推演是显式写出的推理，反证是这条链自己承认的脆弱处。读者可以只取基线、自换推演——把趋势从形容词还原为论证结构，这是本节希望先行交付的方法。需要预先说明：六条链的证据强度并不均等——有的压在整章目录上，有的只压在一纸公告上；本节对每条链的证据重量如实标注，强锚链与弱锚链不可混用，弱锚链的结论只能作提问指引，不能作判断依据。</w:t>
      </w:r>
    </w:p>
    <w:p>
      <w:r>
        <w:rPr>
          <w:rFonts w:ascii="Calibri" w:hAnsi="Calibri" w:eastAsia="微软雅黑"/>
          <w:b/>
          <w:i w:val="0"/>
          <w:sz w:val="22"/>
        </w:rPr>
        <w:t>链条一：总承包管理的教科书化与趋势自觉。</w:t>
      </w:r>
      <w:r>
        <w:rPr>
          <w:rFonts w:ascii="Calibri" w:hAnsi="Calibri" w:eastAsia="微软雅黑"/>
          <w:b w:val="0"/>
          <w:i w:val="0"/>
          <w:sz w:val="22"/>
        </w:rPr>
        <w:t xml:space="preserve"> 基线事实：专著第一章自第二节起连续排布"国际项目管理发展进程"（第二节）、"国际项目管理发展趋势"（第三节）、"中国项目管理及建设模式发展进程"（第四节）、"中国工程勘察设计行业发展现状"（第五节）、"国际工程市场发展趋势"（第六节）、"国际工程公司的发展历程"（第七节），至第九节收于"EPC总承包管理的发展趋势"（P6002）——首章九节里至少七节直接落在进程、趋势、现状、历程上（own_calc：按目录清点）。推演：当"发展趋势"被写进教科书第一章、与国际项目管理基础理论并置，说明行业已把趋势判断当作从业者的基础知识而非研究机构的专属产出；设计院面对的转型压力因此是进程性的——不转型不是维持现状，而是相对掉队。买方由此得到一个现成的坐标系：拿这几个节名当维度，问目标公司在每个维度上有没有自己的立场文件（市场研判、组织演进规划、出海策略），一篇都答不出的公司，是在被行业进程推着走而不是自己在走。反证：证据止于目录级（P6002），正文论证不可回链；教科书成书在前、公告样本在后，趋势是否兑现不能由目录自证，必须交给下一条链条的公告证据接棒检验——若公告里的合同规模并未上台阶，本链推演就应降权。</w:t>
      </w:r>
    </w:p>
    <w:p>
      <w:r>
        <w:rPr>
          <w:rFonts w:ascii="Calibri" w:hAnsi="Calibri" w:eastAsia="微软雅黑"/>
          <w:b/>
          <w:i w:val="0"/>
          <w:sz w:val="22"/>
        </w:rPr>
        <w:t>链条二：合同规模上台阶与联合体常态化。</w:t>
      </w:r>
      <w:r>
        <w:rPr>
          <w:rFonts w:ascii="Calibri" w:hAnsi="Calibri" w:eastAsia="微软雅黑"/>
          <w:b w:val="0"/>
          <w:i w:val="0"/>
          <w:sz w:val="22"/>
        </w:rPr>
        <w:t xml:space="preserve"> 基线事实：2025年11月27日17时43分，界面新闻官方账号发布安徽建工公告报道，两宗EPC合计中标总价26亿元（明细12.14亿元与13.89亿元，P6008）；2026年9月28日18时30分55秒，东方财富资讯发布中闽能源公告，联合体就长乐外海送出工程签订合同签约总价41.65亿元（P6009；P6010）；两案相隔约十个月（own_calc）。推演：公告样本内的单体合同上限由13.89亿元抬至41.65亿元（own_calc：约三倍），若这是方向而非个案，超出单一设计院资金与资质半径的项目将持续增多，联合体从可选项变为默认项（与6.3的名单证据互证）；设计院的机会成本结构随之改变——不入局损失的机会在放大，入局则必须管理队友风险，两头都指向更强的过程控制（6.5）。买方动作：把目标公司近三年中标公告按单体规模排序，看它的进场门槛是升是降——只能接小单的公司，面对上台阶的市场等于在退场。反证：样本仅两组且口径异质——一为两宗合计、一为单宗签约；一为市政生态场景、一为海上风电送出——倍数只描述个案不能外推（本章盲区已列）；且41.65亿元是签约价而非结算价，规模上台阶的最终验证需要结算口径数据，本库没有。</w:t>
      </w:r>
    </w:p>
    <w:p>
      <w:r>
        <w:rPr>
          <w:rFonts w:ascii="Calibri" w:hAnsi="Calibri" w:eastAsia="微软雅黑"/>
          <w:b/>
          <w:i w:val="0"/>
          <w:sz w:val="22"/>
        </w:rPr>
        <w:t>链条三：争端知识供给的密集化。</w:t>
      </w:r>
      <w:r>
        <w:rPr>
          <w:rFonts w:ascii="Calibri" w:hAnsi="Calibri" w:eastAsia="微软雅黑"/>
          <w:b w:val="0"/>
          <w:i w:val="0"/>
          <w:sz w:val="22"/>
        </w:rPr>
        <w:t xml:space="preserve"> 基线事实：律师专著于2023年3月由法律出版社正式出版（P6006）；其第二章第2节至第11节合计十节，逐节命名一类典型争议（P6004；own_calc：按目录清点）；同一主讲人的联合体投标实务讲座于2023年7月21日与9月9日两度上架（P6006；P6007）。推演：争议解决的知识供给在2023年前后明显加密，供给加密通常对应市场摩擦面扩大——联合体投标、材料调差、停工索赔这些主题能同时撑起一本专著与两场讲座，说明实务界的付费需求真实存在；买方对目标公司法务与合同管理能力的估值权重，应随行业摩擦面同步上调，法务不再只是支持部门，而是EPC估值的常设科目。买方动作：把常年法律顾问配置、争议台账与合同评审流程列入尽调必备清单——行业摩擦面扩大时，先被惩罚的总是三项缺二的公司。反证：两度上架也可能是渠道复用或营销安排，两档摘要内容高度雷同（P6006；P6007），不能严格推断需求翻倍；知识供给热也不等于诉讼量热——预防性采购同样能撑起市场规模。方向判断保留，幅度判断存疑。</w:t>
      </w:r>
    </w:p>
    <w:p>
      <w:r>
        <w:rPr>
          <w:rFonts w:ascii="Calibri" w:hAnsi="Calibri" w:eastAsia="微软雅黑"/>
          <w:b/>
          <w:i w:val="0"/>
          <w:sz w:val="22"/>
        </w:rPr>
        <w:t>链条四：设计输入的商品化。</w:t>
      </w:r>
      <w:r>
        <w:rPr>
          <w:rFonts w:ascii="Calibri" w:hAnsi="Calibri" w:eastAsia="微软雅黑"/>
          <w:b w:val="0"/>
          <w:i w:val="0"/>
          <w:sz w:val="22"/>
        </w:rPr>
        <w:t xml:space="preserve"> 基线事实：长乐外海联合体同时容纳中国电建系福建省电力勘测设计院与中国能源建设集团广东省电力设计研究院（P6009）。推演：大型电力EPC的业主把设计当可拼装的输入来采购，设计院的差异化出路在集成深度而非资质等级；若商品化持续，设计院在联合体里的份额天花板将由一体化能力决定——能把图纸延伸为采购、施工、调试集成方案的一方，才拿得到非设计份额。买方动作：查目标公司联合体履历里"设计＋采购＋施工"多口径份额的记录，只有设计费口径记录的公司，商品化压力已经写在它的收入结构里。反证：单一个案，且公告未披露两院内部分工（P6009），"可拼装"是从名单结构反推的判断；福建院入场也可能主要由属地熟悉度解释（推演，库内无分工锚），商品化结论的强度因此受限。</w:t>
      </w:r>
    </w:p>
    <w:p>
      <w:r>
        <w:rPr>
          <w:rFonts w:ascii="Calibri" w:hAnsi="Calibri" w:eastAsia="微软雅黑"/>
          <w:b/>
          <w:i w:val="0"/>
          <w:sz w:val="22"/>
        </w:rPr>
        <w:t>链条五：投建一体结构的苗头。</w:t>
      </w:r>
      <w:r>
        <w:rPr>
          <w:rFonts w:ascii="Calibri" w:hAnsi="Calibri" w:eastAsia="微软雅黑"/>
          <w:b w:val="0"/>
          <w:i w:val="0"/>
          <w:sz w:val="22"/>
        </w:rPr>
        <w:t xml:space="preserve"> 基线事实：投资商中闽能源的控股子公司闽投汇流站公司本身位列承包联合体（P6009）。推演：业主阵营与承包阵营的成员重叠若反复出现，关联交易定价与结算独立性将从冷门考点变成电力EPC尽调的标准科目——6.3的追问清单（发包人是谁、内部角色为何、定价有无独立把关、结算考核由谁保证）将由可选升为必选。买方动作：凡目标公司参与的投资商关联联合体，一律调阅关联交易定价的独立意见与结算考核条款，提问模板直接沿用6.3。反证：目前仅此一案，公告未披露该公司在联合体内部的角色（P6009），无法排除个案安排的可能；把它引用为"苗头"而非"趋势"，是本章证据能守住的边界。</w:t>
      </w:r>
    </w:p>
    <w:p>
      <w:r>
        <w:rPr>
          <w:rFonts w:ascii="Calibri" w:hAnsi="Calibri" w:eastAsia="微软雅黑"/>
          <w:b/>
          <w:i w:val="0"/>
          <w:sz w:val="22"/>
        </w:rPr>
        <w:t>链条六：国际化叙事的证据门槛。</w:t>
      </w:r>
      <w:r>
        <w:rPr>
          <w:rFonts w:ascii="Calibri" w:hAnsi="Calibri" w:eastAsia="微软雅黑"/>
          <w:b w:val="0"/>
          <w:i w:val="0"/>
          <w:sz w:val="22"/>
        </w:rPr>
        <w:t xml:space="preserve"> 基线事实：专著第一章设"国际工程市场发展趋势"（第六节）与"国际工程公司的发展历程"（第七节）两节（P6002），全书以国际先进的项目管理理论为基座展开（P6002，简介）。推演：方法论自带国际坐标系，意味着中国总承包市场在制度叙事上与国际同轨，省级设计院的国际化是这套叙事的默认分册；但国际化成色要区分两档——借船出海（跟随集团国际工程公司做设计分包）与独立出海（自有海外EPC业绩与属地资源），两档的市场估值完全不同。反证：库内没有任何国际市场的数据或案例，本链的全部重量压在两个目录节名上（P6002），证据强度低，如实降权；买方听到出海叙事时，应要求对方出示海外项目的合同主体与业绩证明，而不是集团层面的国际排名。</w:t>
      </w:r>
    </w:p>
    <w:p>
      <w:r>
        <w:rPr>
          <w:rFonts w:ascii="Calibri" w:hAnsi="Calibri" w:eastAsia="微软雅黑"/>
          <w:b w:val="0"/>
          <w:i w:val="0"/>
          <w:sz w:val="22"/>
        </w:rPr>
        <w:t>五条主链与一条降权链共用同一纪律：基线可锚、推演显式、反证自设。任何一条链的反证被后续章节的新证据击穿——例如出现结算口径的规模数据、第二例投建一体结构、或设计院内部分工的披露——该链结论就应升级；若新证据只加固基线而不触动反证，结论维持原强度。趋势不是预言，而是待检验的论证；给趋势挂上反证钩子，是研报与宣传稿的分界线。使用时还有一条阅读礼仪：引用任何一条链时，应连同其反证一并引用——只引结论不引反证的转述，等于把可检验的论证又降格回宣传语；本章欢迎被质疑的方式，就是把质疑的抓手预先发给读者。</w:t>
      </w:r>
    </w:p>
    <w:p>
      <w:pPr>
        <w:pStyle w:val="Heading2"/>
      </w:pPr>
      <w:r>
        <w:t>6.7 多档互证：证据库的版本现象与买方信息纪律</w:t>
      </w:r>
    </w:p>
    <w:p>
      <w:r>
        <w:rPr>
          <w:rFonts w:ascii="Calibri" w:hAnsi="Calibri" w:eastAsia="微软雅黑"/>
          <w:b w:val="0"/>
          <w:i w:val="0"/>
          <w:sz w:val="22"/>
        </w:rPr>
        <w:t>本章证据库有一个常被忽略的构造特征：同一知识资产常常以两三份档案并存。多档不是冗余，它是买方练习信息纪律的免费教具——本节把库里三类多档现象逐一拆开，再压成一张可以直接搬进尽调流程的核对表。</w:t>
      </w:r>
    </w:p>
    <w:p>
      <w:r>
        <w:rPr>
          <w:rFonts w:ascii="Calibri" w:hAnsi="Calibri" w:eastAsia="微软雅黑"/>
          <w:b w:val="0"/>
          <w:i w:val="0"/>
          <w:sz w:val="22"/>
        </w:rPr>
        <w:t>第一类是书籍双档。两本核心参考书各有可读的md档与损坏的docx档：汪寿建专著md档编目337,096字（P6002），docx档编目321,755字（P6003），相差15,341字（own_calc）；律师专著md档246,392字（P6004），docx档240,838字（P6005），相差5,554字（own_calc）。字数口径还不止一层：md档自身的档案字数与书内统计也不一致——汪书档案字数337,096字对书内统计320,257（P6002），律师专著档案字数246,392字对书内统计227,920（P6004），差值分别为16,839与18,472（own_calc）——同一本书的"多少万字"至少存在编目口径与书内统计口径两种读法，买方看到任何"XX万字"的宣传数字时，先问口径再谈体量。三点纪律随之而来：其一，双档字数差最可能来自格式转换对页眉页脚与排版标记的取舍，但docx档均为二进制损坏件、无法开卷核验，差异成因只能挂账（本章盲区如实列示）；其二，同一内容的双档若被粗心的研究者当成两个独立来源引用，会制造"伪多源"——引用计数虚增、佐证强度虚高；其三，本章的处置是所有书籍引证一律锚定md档（P6002；P6004），docx档仅作存在性佐证，不承担论据职能。顺带一提，md档的编目字段还留有书籍的数字指纹——bookId 3300225967（P6002）与3300067240（P6004）、抓取时刻精确到秒（2026-09-10T11:02:56与2026-09-10T10:41:46，P6002；P6004）——数字身份与时间戳是档案可追溯性的最低配置；买方自建证据库时，每个来源至少要留下"何时、从何渠道、以何指纹"三要素，否则今天的引证在半年后就无法复核，尽调成果的保质期比想象中短。</w:t>
      </w:r>
    </w:p>
    <w:p>
      <w:r>
        <w:rPr>
          <w:rFonts w:ascii="Calibri" w:hAnsi="Calibri" w:eastAsia="微软雅黑"/>
          <w:b w:val="0"/>
          <w:i w:val="0"/>
          <w:sz w:val="22"/>
        </w:rPr>
        <w:t>第二类是公告三档。中闽能源新闻在库内以三份档案并存：最长档271字（P6009），保有六方联合体名单与记者署名线索；另两档131字（P6010）与128字（P6011），摘要逐级截短——131字档只剩"EPC总承包合同，合同签约总价为人民币41.65亿元"的接续句，128字档再剥一层，连句子主语都失去了上下文（own_calc：271字到131字截去140字，到128字截去143字）。三档标题还统统写作"4165亿元"（P6009；P6010；P6011）——去小数点的标题写法与正文口径41.65亿元并存，只读标题的读者会把量级放大一百倍（own_calc：4165÷41.65=100）。三档的血统更有意思：P6009档来自中国电建集团课题线的新闻渠道，P6010档来自中国能源建设课题线的隔离捕获，P6011档来自上海电力设计课题线的隔离捕获（P6009；P6010；P6011）——同一条公告被三个不同主体的定向调研各自收割入库，既说明这条新闻在设计院研究圈里的穿透力，也提醒任何计数动作都要先按内容指纹去重，否则样本数虚增两倍（own_calc：三档实为一源）。买方纪律由此成型：转载链上信息只减不增，尽调引用必须回到最长档，并保留"上证报中国证券网讯（记者潘建樑）"式的一手线索（P6009）；标题里的数字永远要用正文复核一遍再入笔记。</w:t>
      </w:r>
    </w:p>
    <w:p>
      <w:r>
        <w:rPr>
          <w:rFonts w:ascii="Calibri" w:hAnsi="Calibri" w:eastAsia="微软雅黑"/>
          <w:b w:val="0"/>
          <w:i w:val="0"/>
          <w:sz w:val="22"/>
        </w:rPr>
        <w:t>第三类是讲座双档。6.3已列两档的参数漂移：上架时间相差五十天（2023年7月21日对9月9日，own_calc，P6006；P6007）、时长一档记1:15:54另一档记1:15:55（P6006；P6007）、视频文件一档419,723,469字节另一档1,612,195,393字节（own_calc：约3.8倍，P6006；P6007）、逐字稿附件61,410字节对61,196字节（P6006；P6007）、主讲人姓名一档题作张旗另一档通篇作张琪（P6006；P6007），第二档的主讲人字段甚至只是一个平台匿名ID（P6007）。方法论含义：音像类证据的编目噪声是系统性的——转写、压缩、平台脱敏都会造成参数漂移，引用这类证据必须锚定到具体档位与具体字段，笼统的"某专家讲座"在证据链上等于没有地址。姓名异写的处置示范：本报告以专著作者署名张旗（P6004）为准绳，两档讲座的异写（P6006；P6007）如实并记、不作裁决——存疑挂账优于强行定论，这本身就是多档互证要教的姿势。</w:t>
      </w:r>
    </w:p>
    <w:p>
      <w:r>
        <w:rPr>
          <w:rFonts w:ascii="Calibri" w:hAnsi="Calibri" w:eastAsia="微软雅黑"/>
          <w:b w:val="0"/>
          <w:i w:val="0"/>
          <w:sz w:val="22"/>
        </w:rPr>
        <w:t>三类之外，还有一道时间戳纪律值得单列。两组公告的信源链都可以还原：安徽建工公告经界面新闻官方账号于17时43分发布、再经百度链接跳转扩散（P6008）；中闽能源公告于18时30分55秒经东方财富资讯转上证报中国证券网讯发出（P6009）。两条信源链的公共结构是"上市公司公告—证券媒体—门户与搜索再分发"（P6008；P6009）——每跳一层，格式化信息的保真度就衰减一分，中闽案的三档字数梯度即其明证（P6009；P6010；P6011）。买方纪律：给任何关键事实建立信源层级表，最上层是交易所公告原文，其次是署名证券媒体，再次是门户转载；引用时永远注明所在层级，层级越低，结论的措辞就应越保留。晚间公告的时间戳（18时30分55秒，P6009）还有一层操作含义：重大合同的公开披露常压在盘后时段，次日开盘的情绪定价未必消化了名单与份额细节——读公告别只读标题的时机纪律，与读数字的口径纪律同样值钱。</w:t>
      </w:r>
    </w:p>
    <w:p>
      <w:r>
        <w:rPr>
          <w:rFonts w:ascii="Calibri" w:hAnsi="Calibri" w:eastAsia="微软雅黑"/>
          <w:b w:val="0"/>
          <w:i w:val="0"/>
          <w:sz w:val="22"/>
        </w:rPr>
        <w:t>把三类现象压成一张买方核对表：</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证据形态</w:t>
            </w:r>
          </w:p>
        </w:tc>
        <w:tc>
          <w:tcPr>
            <w:tcW w:type="dxa" w:w="2075"/>
            <w:shd w:fill="1F3A5F"/>
          </w:tcPr>
          <w:p>
            <w:r>
              <w:rPr>
                <w:color w:val="FFFFFF"/>
              </w:rPr>
            </w:r>
            <w:r>
              <w:rPr>
                <w:rFonts w:ascii="Calibri" w:hAnsi="Calibri" w:eastAsia="微软雅黑"/>
                <w:b/>
                <w:i w:val="0"/>
                <w:color w:val="FFFFFF"/>
                <w:sz w:val="18"/>
              </w:rPr>
              <w:t>多档风险</w:t>
            </w:r>
          </w:p>
        </w:tc>
        <w:tc>
          <w:tcPr>
            <w:tcW w:type="dxa" w:w="2075"/>
            <w:shd w:fill="1F3A5F"/>
          </w:tcPr>
          <w:p>
            <w:r>
              <w:rPr>
                <w:color w:val="FFFFFF"/>
              </w:rPr>
            </w:r>
            <w:r>
              <w:rPr>
                <w:rFonts w:ascii="Calibri" w:hAnsi="Calibri" w:eastAsia="微软雅黑"/>
                <w:b/>
                <w:i w:val="0"/>
                <w:color w:val="FFFFFF"/>
                <w:sz w:val="18"/>
              </w:rPr>
              <w:t>核对动作</w:t>
            </w:r>
          </w:p>
        </w:tc>
        <w:tc>
          <w:tcPr>
            <w:tcW w:type="dxa" w:w="2075"/>
            <w:shd w:fill="1F3A5F"/>
          </w:tcPr>
          <w:p>
            <w:r>
              <w:rPr>
                <w:color w:val="FFFFFF"/>
              </w:rPr>
            </w:r>
            <w:r>
              <w:rPr>
                <w:rFonts w:ascii="Calibri" w:hAnsi="Calibri" w:eastAsia="微软雅黑"/>
                <w:b/>
                <w:i w:val="0"/>
                <w:color w:val="FFFFFF"/>
                <w:sz w:val="18"/>
              </w:rPr>
              <w:t>本章锚例</w:t>
            </w:r>
          </w:p>
        </w:tc>
      </w:tr>
      <w:tr>
        <w:tc>
          <w:tcPr>
            <w:tcW w:type="dxa" w:w="2075"/>
          </w:tcPr>
          <w:p>
            <w:r/>
            <w:r>
              <w:rPr>
                <w:rFonts w:ascii="Calibri" w:hAnsi="Calibri" w:eastAsia="微软雅黑"/>
                <w:b w:val="0"/>
                <w:i w:val="0"/>
                <w:sz w:val="18"/>
              </w:rPr>
              <w:t>书籍双档</w:t>
            </w:r>
          </w:p>
        </w:tc>
        <w:tc>
          <w:tcPr>
            <w:tcW w:type="dxa" w:w="2075"/>
          </w:tcPr>
          <w:p>
            <w:r/>
            <w:r>
              <w:rPr>
                <w:rFonts w:ascii="Calibri" w:hAnsi="Calibri" w:eastAsia="微软雅黑"/>
                <w:b w:val="0"/>
                <w:i w:val="0"/>
                <w:sz w:val="18"/>
              </w:rPr>
              <w:t>伪多源、字数口径漂移</w:t>
            </w:r>
          </w:p>
        </w:tc>
        <w:tc>
          <w:tcPr>
            <w:tcW w:type="dxa" w:w="2075"/>
          </w:tcPr>
          <w:p>
            <w:r/>
            <w:r>
              <w:rPr>
                <w:rFonts w:ascii="Calibri" w:hAnsi="Calibri" w:eastAsia="微软雅黑"/>
                <w:b w:val="0"/>
                <w:i w:val="0"/>
                <w:sz w:val="18"/>
              </w:rPr>
              <w:t>锁定唯一可读档承担全部引证</w:t>
            </w:r>
          </w:p>
        </w:tc>
        <w:tc>
          <w:tcPr>
            <w:tcW w:type="dxa" w:w="2075"/>
          </w:tcPr>
          <w:p>
            <w:r/>
            <w:r>
              <w:rPr>
                <w:rFonts w:ascii="Calibri" w:hAnsi="Calibri" w:eastAsia="微软雅黑"/>
                <w:b w:val="0"/>
                <w:i w:val="0"/>
                <w:sz w:val="18"/>
              </w:rPr>
              <w:t>P6002对P6003；P6004对P6005</w:t>
            </w:r>
          </w:p>
        </w:tc>
      </w:tr>
      <w:tr>
        <w:tc>
          <w:tcPr>
            <w:tcW w:type="dxa" w:w="2075"/>
          </w:tcPr>
          <w:p>
            <w:r/>
            <w:r>
              <w:rPr>
                <w:rFonts w:ascii="Calibri" w:hAnsi="Calibri" w:eastAsia="微软雅黑"/>
                <w:b w:val="0"/>
                <w:i w:val="0"/>
                <w:sz w:val="18"/>
              </w:rPr>
              <w:t>公告转载链</w:t>
            </w:r>
          </w:p>
        </w:tc>
        <w:tc>
          <w:tcPr>
            <w:tcW w:type="dxa" w:w="2075"/>
          </w:tcPr>
          <w:p>
            <w:r/>
            <w:r>
              <w:rPr>
                <w:rFonts w:ascii="Calibri" w:hAnsi="Calibri" w:eastAsia="微软雅黑"/>
                <w:b w:val="0"/>
                <w:i w:val="0"/>
                <w:sz w:val="18"/>
              </w:rPr>
              <w:t>摘要逐级截断、标题数字变形</w:t>
            </w:r>
          </w:p>
        </w:tc>
        <w:tc>
          <w:tcPr>
            <w:tcW w:type="dxa" w:w="2075"/>
          </w:tcPr>
          <w:p>
            <w:r/>
            <w:r>
              <w:rPr>
                <w:rFonts w:ascii="Calibri" w:hAnsi="Calibri" w:eastAsia="微软雅黑"/>
                <w:b w:val="0"/>
                <w:i w:val="0"/>
                <w:sz w:val="18"/>
              </w:rPr>
              <w:t>回最长档引用，正文复核标题数字</w:t>
            </w:r>
          </w:p>
        </w:tc>
        <w:tc>
          <w:tcPr>
            <w:tcW w:type="dxa" w:w="2075"/>
          </w:tcPr>
          <w:p>
            <w:r/>
            <w:r>
              <w:rPr>
                <w:rFonts w:ascii="Calibri" w:hAnsi="Calibri" w:eastAsia="微软雅黑"/>
                <w:b w:val="0"/>
                <w:i w:val="0"/>
                <w:sz w:val="18"/>
              </w:rPr>
              <w:t>P6009→P6010→P6011</w:t>
            </w:r>
          </w:p>
        </w:tc>
      </w:tr>
      <w:tr>
        <w:tc>
          <w:tcPr>
            <w:tcW w:type="dxa" w:w="2075"/>
          </w:tcPr>
          <w:p>
            <w:r/>
            <w:r>
              <w:rPr>
                <w:rFonts w:ascii="Calibri" w:hAnsi="Calibri" w:eastAsia="微软雅黑"/>
                <w:b w:val="0"/>
                <w:i w:val="0"/>
                <w:sz w:val="18"/>
              </w:rPr>
              <w:t>音像讲座</w:t>
            </w:r>
          </w:p>
        </w:tc>
        <w:tc>
          <w:tcPr>
            <w:tcW w:type="dxa" w:w="2075"/>
          </w:tcPr>
          <w:p>
            <w:r/>
            <w:r>
              <w:rPr>
                <w:rFonts w:ascii="Calibri" w:hAnsi="Calibri" w:eastAsia="微软雅黑"/>
                <w:b w:val="0"/>
                <w:i w:val="0"/>
                <w:sz w:val="18"/>
              </w:rPr>
              <w:t>转写漂移、姓名异写、匿名ID</w:t>
            </w:r>
          </w:p>
        </w:tc>
        <w:tc>
          <w:tcPr>
            <w:tcW w:type="dxa" w:w="2075"/>
          </w:tcPr>
          <w:p>
            <w:r/>
            <w:r>
              <w:rPr>
                <w:rFonts w:ascii="Calibri" w:hAnsi="Calibri" w:eastAsia="微软雅黑"/>
                <w:b w:val="0"/>
                <w:i w:val="0"/>
                <w:sz w:val="18"/>
              </w:rPr>
              <w:t>锚定档位与字段，署名交叉印证</w:t>
            </w:r>
          </w:p>
        </w:tc>
        <w:tc>
          <w:tcPr>
            <w:tcW w:type="dxa" w:w="2075"/>
          </w:tcPr>
          <w:p>
            <w:r/>
            <w:r>
              <w:rPr>
                <w:rFonts w:ascii="Calibri" w:hAnsi="Calibri" w:eastAsia="微软雅黑"/>
                <w:b w:val="0"/>
                <w:i w:val="0"/>
                <w:sz w:val="18"/>
              </w:rPr>
              <w:t>P6006；P6007</w:t>
            </w:r>
          </w:p>
        </w:tc>
      </w:tr>
      <w:tr>
        <w:tc>
          <w:tcPr>
            <w:tcW w:type="dxa" w:w="2075"/>
          </w:tcPr>
          <w:p>
            <w:r/>
            <w:r>
              <w:rPr>
                <w:rFonts w:ascii="Calibri" w:hAnsi="Calibri" w:eastAsia="微软雅黑"/>
                <w:b w:val="0"/>
                <w:i w:val="0"/>
                <w:sz w:val="18"/>
              </w:rPr>
              <w:t>多线调研捕获</w:t>
            </w:r>
          </w:p>
        </w:tc>
        <w:tc>
          <w:tcPr>
            <w:tcW w:type="dxa" w:w="2075"/>
          </w:tcPr>
          <w:p>
            <w:r/>
            <w:r>
              <w:rPr>
                <w:rFonts w:ascii="Calibri" w:hAnsi="Calibri" w:eastAsia="微软雅黑"/>
                <w:b w:val="0"/>
                <w:i w:val="0"/>
                <w:sz w:val="18"/>
              </w:rPr>
              <w:t>同源反复入档致样本虚增</w:t>
            </w:r>
          </w:p>
        </w:tc>
        <w:tc>
          <w:tcPr>
            <w:tcW w:type="dxa" w:w="2075"/>
          </w:tcPr>
          <w:p>
            <w:r/>
            <w:r>
              <w:rPr>
                <w:rFonts w:ascii="Calibri" w:hAnsi="Calibri" w:eastAsia="微软雅黑"/>
                <w:b w:val="0"/>
                <w:i w:val="0"/>
                <w:sz w:val="18"/>
              </w:rPr>
              <w:t>按内容指纹去重后再计数</w:t>
            </w:r>
          </w:p>
        </w:tc>
        <w:tc>
          <w:tcPr>
            <w:tcW w:type="dxa" w:w="2075"/>
          </w:tcPr>
          <w:p>
            <w:r/>
            <w:r>
              <w:rPr>
                <w:rFonts w:ascii="Calibri" w:hAnsi="Calibri" w:eastAsia="微软雅黑"/>
                <w:b w:val="0"/>
                <w:i w:val="0"/>
                <w:sz w:val="18"/>
              </w:rPr>
              <w:t>P6009；P6010；P6011同源三档</w:t>
            </w:r>
          </w:p>
        </w:tc>
      </w:tr>
    </w:tbl>
    <w:p>
      <w:r>
        <w:rPr>
          <w:rFonts w:ascii="Calibri" w:hAnsi="Calibri" w:eastAsia="微软雅黑"/>
          <w:b w:val="0"/>
          <w:i w:val="0"/>
          <w:sz w:val="22"/>
        </w:rPr>
        <w:t>最后交代本章知识骨架的血统：讲座两档采自本报告主角课题的调研目录（P6006；P6007），两本专著采自智库书架（P6002；P6004），公告样本采自兄弟设计院课题的战役线（P6008；P6009）。行业公共知识加跨院公告样本的拼装，既是本章的客观约束，也是如实交代——读者用"为别家设计院做的功课"校准"为自己做的判断"时，视角错位始终存在；意识到这种错位，比假装它不存在更接近真相。多档互证的收束只有一句：证据库里每一组多档，都是一次免费的对照实验——它告诉读者信息在流转中何处失真、为何失真；把这种对照意识带进自己的尽调材料堆，是本章能给买方的最后一件随身工具。</w:t>
      </w:r>
    </w:p>
    <w:p>
      <w:pPr>
        <w:pStyle w:val="Heading2"/>
      </w:pPr>
      <w:r>
        <w:t>6.8 本章小结与盲区</w:t>
      </w:r>
    </w:p>
    <w:p>
      <w:r>
        <w:rPr>
          <w:rFonts w:ascii="Calibri" w:hAnsi="Calibri" w:eastAsia="微软雅黑"/>
          <w:b w:val="0"/>
          <w:i w:val="0"/>
          <w:sz w:val="22"/>
        </w:rPr>
        <w:t>本章以"业务结构—合同模式—联合体组织—争议地图—过程控制—趋势证据链—多档互证"的链条，精编了理解一家电力设计院总承包版图所需的框架性知识：EPC把设计、采购、施工、试运行捆进单一责任主体，并要求工程公司化的组织改造与两套控制要素矩阵（P6002）；合同模式从FIDIC银皮书的终止与争端条款（P6004）延伸到EPC+O与PPP+EPC的风险变体（P6004）；联合体以资质拼盘换取投标资格、以连带责任绑定全体成员（P6006），近期公告显示单体电力EPC合同可达41.65亿元（P6009）、上市公司只按约6亿元、约6.95亿元级别的份额入账（P6008）；争议地图（P6004）与过程控制体系（P6002）共同决定这些合同额最终转化为利润还是亏损；趋势证据链一节（6.6）把六条行业动向还原为基线、推演、反证俱全的可检验结构，多档互证一节（6.7）则把证据库自身的版本现象转化为买方的信息纪律。若要把全章再压缩成可以带走的问句，不妨记下这五问：目标公司有没有完成从科室制到项目部制的组织手术（P6002）？它惯签的合同落在模式谱系的哪一段、风险条款倾向谁（P6004）？它在联合体里是牵头方、大份额成员还是小份额技术分包（P6006；P6008；P6009）？它的争议档案在高发点位上各有多少存量（P6004）？它的过程控制是偏差驱动还是进度汇报（P6002）？再补两问，对应本章新增的两面镜子：它对行业趋势的判断拿不拿得出基线、推演、反证俱全的链条（6.6）？你准备引用的每条关键信息能不能指认出唯一的最长档与一手来源（6.7）？七问的答案拼起来，就是一家设计院总承包版图的成色鉴定书——也是后续章节继续填充的骨架。框架是完整的，但如实声明：支撑本章的证据库存在明显缺口，以下盲区请读者在引用本章结论时一并掂量。</w:t>
      </w:r>
    </w:p>
    <w:p>
      <w:r>
        <w:rPr>
          <w:rFonts w:ascii="Calibri" w:hAnsi="Calibri" w:eastAsia="微软雅黑"/>
          <w:b w:val="0"/>
          <w:i w:val="0"/>
          <w:sz w:val="22"/>
        </w:rPr>
        <w:t>把上述盲区叠起来看，本章的正确使用方式随之明确：以本章的框架、谱系与检查清单为"透镜"，以旗舰项目库一章的工程清单与财务透视一章的披露口径为"样本"，交叉阅读方能得出对川院总承包版图的可靠判断；在证据补齐之前，任何引用本章作出的关于川院的具体量化结论，都应视为框架推演而非事实陈述。以下逐项列示盲区。</w:t>
      </w:r>
    </w:p>
    <w:p>
      <w:pPr>
        <w:pStyle w:val="ListBullet"/>
      </w:pPr>
      <w:r>
        <w:rPr>
          <w:rFonts w:ascii="Calibri" w:hAnsi="Calibri" w:eastAsia="微软雅黑"/>
          <w:b/>
          <w:i w:val="0"/>
          <w:sz w:val="22"/>
        </w:rPr>
        <w:t>公司特异性证据缺位</w:t>
      </w:r>
      <w:r>
        <w:rPr>
          <w:rFonts w:ascii="Calibri" w:hAnsi="Calibri" w:eastAsia="微软雅黑"/>
          <w:b w:val="0"/>
          <w:i w:val="0"/>
          <w:sz w:val="22"/>
        </w:rPr>
        <w:t>。本章证据库未收录四川电力设计咨询有限责任公司自身的EPC合同文本、联合体中标记录或总承包业务收入结构，本章因此是行业框架章而非公司实证章；对川院总承包版图的具体判断——它惯签哪类合同、在联合体中常居何位、份额几何——须待旗舰项目库一章的工程清单与财务透视一章的收入口径互证后方可落定。</w:t>
      </w:r>
    </w:p>
    <w:p>
      <w:pPr>
        <w:pStyle w:val="ListBullet"/>
      </w:pPr>
      <w:r>
        <w:rPr>
          <w:rFonts w:ascii="Calibri" w:hAnsi="Calibri" w:eastAsia="微软雅黑"/>
          <w:b/>
          <w:i w:val="0"/>
          <w:sz w:val="22"/>
        </w:rPr>
        <w:t>专著正文不可回链</w:t>
      </w:r>
      <w:r>
        <w:rPr>
          <w:rFonts w:ascii="Calibri" w:hAnsi="Calibri" w:eastAsia="微软雅黑"/>
          <w:b w:val="0"/>
          <w:i w:val="0"/>
          <w:sz w:val="22"/>
        </w:rPr>
        <w:t>。两本核心参考书在库中仅存书籍简介与目录（P6002；P6004），"十五章体系"（P6002）与"EPC+O专节""PPP+EPC专节""银皮书终止与DAAB专节"（P6004）等论据可锚到目录级，但正文论证细节与案例数据无法逐条回链页码，本章对相关制度的讨论属于基于目录与行业通识的分析性转述，而非原文摘引。</w:t>
      </w:r>
    </w:p>
    <w:p>
      <w:pPr>
        <w:pStyle w:val="ListBullet"/>
      </w:pPr>
      <w:r>
        <w:rPr>
          <w:rFonts w:ascii="Calibri" w:hAnsi="Calibri" w:eastAsia="微软雅黑"/>
          <w:b/>
          <w:i w:val="0"/>
          <w:sz w:val="22"/>
        </w:rPr>
        <w:t>学位论文源损坏</w:t>
      </w:r>
      <w:r>
        <w:rPr>
          <w:rFonts w:ascii="Calibri" w:hAnsi="Calibri" w:eastAsia="微软雅黑"/>
          <w:b w:val="0"/>
          <w:i w:val="0"/>
          <w:sz w:val="22"/>
        </w:rPr>
        <w:t>。两篇CAJ格式学位论文在库中为二进制损坏件，仅标题可读（P6000；P6001），"以电力设计院为视角"的成熟度评价究竟采用何种指标体系、核电EPC管理技术研究得出何种结论，均不可考，本章仅能以其选题方向作为行业研究热点的佐证。</w:t>
      </w:r>
    </w:p>
    <w:p>
      <w:pPr>
        <w:pStyle w:val="ListBullet"/>
      </w:pPr>
      <w:r>
        <w:rPr>
          <w:rFonts w:ascii="Calibri" w:hAnsi="Calibri" w:eastAsia="微软雅黑"/>
          <w:b/>
          <w:i w:val="0"/>
          <w:sz w:val="22"/>
        </w:rPr>
        <w:t>样本窄且时间窗短</w:t>
      </w:r>
      <w:r>
        <w:rPr>
          <w:rFonts w:ascii="Calibri" w:hAnsi="Calibri" w:eastAsia="微软雅黑"/>
          <w:b w:val="0"/>
          <w:i w:val="0"/>
          <w:sz w:val="22"/>
        </w:rPr>
        <w:t>。可用的量化案例仅安徽建工（2025年11月27日，P6008）与中闽能源（2026年9月28日，P6009）两组公告，前者属市政与园区场景、后者属海上风电送出场景，行业与场景覆盖有限，据此计算的份额占比与倍数（own_calc）只描述个案，不能外推为联合体模式的市场结构参数。</w:t>
      </w:r>
    </w:p>
    <w:p>
      <w:pPr>
        <w:pStyle w:val="ListBullet"/>
      </w:pPr>
      <w:r>
        <w:rPr>
          <w:rFonts w:ascii="Calibri" w:hAnsi="Calibri" w:eastAsia="微软雅黑"/>
          <w:b/>
          <w:i w:val="0"/>
          <w:sz w:val="22"/>
        </w:rPr>
        <w:t>特许经营缺口</w:t>
      </w:r>
      <w:r>
        <w:rPr>
          <w:rFonts w:ascii="Calibri" w:hAnsi="Calibri" w:eastAsia="微软雅黑"/>
          <w:b w:val="0"/>
          <w:i w:val="0"/>
          <w:sz w:val="22"/>
        </w:rPr>
        <w:t>。本章检索词包含特许经营，但证据库内无该模式的展开材料，BOT、BOO类结构与EPC的耦合风险本章未能论及，相关判断留待政策坐标系与国际对标章节补充。</w:t>
      </w:r>
    </w:p>
    <w:p>
      <w:pPr>
        <w:pStyle w:val="ListBullet"/>
      </w:pPr>
      <w:r>
        <w:rPr>
          <w:rFonts w:ascii="Calibri" w:hAnsi="Calibri" w:eastAsia="微软雅黑"/>
          <w:b/>
          <w:i w:val="0"/>
          <w:sz w:val="22"/>
        </w:rPr>
        <w:t>联合体内部协议天然不公开</w:t>
      </w:r>
      <w:r>
        <w:rPr>
          <w:rFonts w:ascii="Calibri" w:hAnsi="Calibri" w:eastAsia="微软雅黑"/>
          <w:b w:val="0"/>
          <w:i w:val="0"/>
          <w:sz w:val="22"/>
        </w:rPr>
        <w:t>。公告只披露牵头方、成员名单与份额约数（P6008；P6009），成员间的责任划分、内部追偿与退出条款均不可得，连带责任的实际风险分担只能推断而无从核验——这一盲区同时也是所有依赖公开信息的研究共同面对的天花板。</w:t>
      </w:r>
    </w:p>
    <w:p>
      <w:pPr>
        <w:pStyle w:val="ListBullet"/>
      </w:pPr>
      <w:r>
        <w:rPr>
          <w:rFonts w:ascii="Calibri" w:hAnsi="Calibri" w:eastAsia="微软雅黑"/>
          <w:b/>
          <w:i w:val="0"/>
          <w:sz w:val="22"/>
        </w:rPr>
        <w:t>双档书籍的docx侧不可开卷</w:t>
      </w:r>
      <w:r>
        <w:rPr>
          <w:rFonts w:ascii="Calibri" w:hAnsi="Calibri" w:eastAsia="微软雅黑"/>
          <w:b w:val="0"/>
          <w:i w:val="0"/>
          <w:sz w:val="22"/>
        </w:rPr>
        <w:t>。两本核心参考书各存md与docx双档，docx档均为二进制损坏件（P6003；P6005），其编目字数（321,755字与240,838字）无法开卷核验，双档间字数差（15,341字与5,554字，own_calc）成因不明；本章所有书籍引证一律以md档（P6002；P6004）为准。</w:t>
      </w:r>
    </w:p>
    <w:p>
      <w:pPr>
        <w:pStyle w:val="ListBullet"/>
      </w:pPr>
      <w:r>
        <w:rPr>
          <w:rFonts w:ascii="Calibri" w:hAnsi="Calibri" w:eastAsia="微软雅黑"/>
          <w:b/>
          <w:i w:val="0"/>
          <w:sz w:val="22"/>
        </w:rPr>
        <w:t>公告转载链截断与数字变形</w:t>
      </w:r>
      <w:r>
        <w:rPr>
          <w:rFonts w:ascii="Calibri" w:hAnsi="Calibri" w:eastAsia="微软雅黑"/>
          <w:b w:val="0"/>
          <w:i w:val="0"/>
          <w:sz w:val="22"/>
        </w:rPr>
        <w:t>。中闽公告三档摘要逐级截短（P6009；P6010；P6011），六方联合体名单仅存于最长档，三档标题"4165亿元"与正文"41.65亿元"并存；仅见短档的引用者既拿不到名单，也可能被标题数字误导量级。</w:t>
      </w:r>
    </w:p>
    <w:p>
      <w:pPr>
        <w:pStyle w:val="ListBullet"/>
      </w:pPr>
      <w:r>
        <w:rPr>
          <w:rFonts w:ascii="Calibri" w:hAnsi="Calibri" w:eastAsia="微软雅黑"/>
          <w:b/>
          <w:i w:val="0"/>
          <w:sz w:val="22"/>
        </w:rPr>
        <w:t>讲座逐字稿在库外且姓名异写未决</w:t>
      </w:r>
      <w:r>
        <w:rPr>
          <w:rFonts w:ascii="Calibri" w:hAnsi="Calibri" w:eastAsia="微软雅黑"/>
          <w:b w:val="0"/>
          <w:i w:val="0"/>
          <w:sz w:val="22"/>
        </w:rPr>
        <w:t>。两档讲座的transcript.txt附件与飞书妙记链接（P6006；P6007）未随库收录，讲座内容仅有摘要是可锚文本；主讲人姓名两档异写（张旗与张琪），本报告以专著署名（P6004）为准，异写本身未获裁决。</w:t>
      </w:r>
    </w:p>
    <w:p>
      <w:pPr>
        <w:pStyle w:val="ListBullet"/>
      </w:pPr>
      <w:r>
        <w:rPr>
          <w:rFonts w:ascii="Calibri" w:hAnsi="Calibri" w:eastAsia="微软雅黑"/>
          <w:b/>
          <w:i w:val="0"/>
          <w:sz w:val="22"/>
        </w:rPr>
        <w:t>DB模式无展开材料</w:t>
      </w:r>
      <w:r>
        <w:rPr>
          <w:rFonts w:ascii="Calibri" w:hAnsi="Calibri" w:eastAsia="微软雅黑"/>
          <w:b w:val="0"/>
          <w:i w:val="0"/>
          <w:sz w:val="22"/>
        </w:rPr>
        <w:t>。争议解决专著书名覆盖EPC／DB（P6004），但库内目录未见DB专门章节，DB模式下设计院的位置与责任边界本章未能论及，待后续章节证据补位。</w:t>
      </w:r>
    </w:p>
    <w:p>
      <w:r>
        <w:rPr>
          <w:rFonts w:ascii="Calibri" w:hAnsi="Calibri" w:eastAsia="微软雅黑"/>
          <w:b w:val="0"/>
          <w:i w:val="0"/>
          <w:sz w:val="22"/>
        </w:rPr>
        <w:t>盲区不是本章的失败，而是研究纪律的一部分：一张标明了边界的地图，比一张画到天边的地图更值得押注。读者带着本章的框架去看后续章节的工程清单与财务口径时，请随时回头核对这条边界。边界之内，本章交付的是可复用的问法、谱系与核对表；边界之外，交给后续章节的证据去填充——两不相欠，才是框架章与本证章之间的分工礼貌。</w:t>
      </w:r>
    </w:p>
    <w:p>
      <w:r>
        <w:rPr>
          <w:rFonts w:ascii="Calibri" w:hAnsi="Calibri" w:eastAsia="微软雅黑"/>
          <w:b w:val="0"/>
          <w:i w:val="0"/>
          <w:sz w:val="22"/>
        </w:rPr>
        <w:t>---</w:t>
      </w:r>
    </w:p>
    <w:p>
      <w:pPr>
        <w:pStyle w:val="Heading1"/>
      </w:pPr>
      <w:r>
        <w:t>第7章 旗舰项目库：特高压、储能与国内外标杆工程</w:t>
      </w:r>
    </w:p>
    <w:p>
      <w:pPr>
        <w:ind w:left="454"/>
      </w:pPr>
      <w:r>
        <w:rPr>
          <w:rFonts w:ascii="Calibri" w:hAnsi="Calibri" w:eastAsia="微软雅黑"/>
          <w:b w:val="0"/>
          <w:i w:val="0"/>
          <w:color w:val="666666"/>
          <w:sz w:val="22"/>
        </w:rPr>
        <w:t>旗舰项目是设计院的信用货币：投标用它敲门，估值用它定价。本章把川院可回链的特高压、储能与海外工程证据逐件过秤——哪些是总承包、哪些只是设计、哪些只剩标题——给读者一张区分「战绩」与「战报」的底表。</w:t>
      </w:r>
    </w:p>
    <w:p>
      <w:pPr>
        <w:pStyle w:val="Heading2"/>
      </w:pPr>
      <w:r>
        <w:t>7.1 特高压工程群：川渝交流工程上的设计坐标</w:t>
      </w:r>
    </w:p>
    <w:p>
      <w:r>
        <w:rPr>
          <w:rFonts w:ascii="Calibri" w:hAnsi="Calibri" w:eastAsia="微软雅黑"/>
          <w:b w:val="0"/>
          <w:i w:val="0"/>
          <w:sz w:val="22"/>
        </w:rPr>
        <w:t>要看懂川院在特高压版图上的位置，先要看懂川渝特高压工程本身的分量。公司官网于2025年2月21日发布的消息（P7003）披露：12月27日，公司参建的川渝1000千伏特高压交流工程顺利建成投运（P7003）。按官方定位，该工程是目前全球海拔最高、冰区最重的特高压交流输变电工程，也是国家「十四五」三交九直特高压工程之一（P7003）；工程每年输送清洁电能最大达350亿度，将我国西南电网的主网架电压等级从500千伏提升到1000千伏（P7003）。把这几组词翻译成买方语言：这是一条把四川清洁电源送往重庆负荷中心的国家干线，投运后西南电网的主网架等级整体上了一个台阶，系统稳定性、运行可靠性和资源配置能力大幅提高（P7003），川渝负荷中心用电、短路电流超标及局部网架重载等结构性问题随之获得疏解通道（P7003）。对成渝地区双城经济圈而言，官网口径的表述是整体电力保障能力大幅提升（P7003），对构建清洁低碳、安全高效的能源体系具有重要意义（P7003）。对一家以四川为大本营的设计院而言，能在这条干线上留下署名，等于在高门槛市场拿到了一张稀缺的业绩凭证——特高压工程的参建名单向来短，业绩一旦落袋，就是后续同类项目资格预审里的硬通货。</w:t>
      </w:r>
    </w:p>
    <w:p>
      <w:r>
        <w:rPr>
          <w:rFonts w:ascii="Calibri" w:hAnsi="Calibri" w:eastAsia="微软雅黑"/>
          <w:b w:val="0"/>
          <w:i w:val="0"/>
          <w:sz w:val="22"/>
        </w:rPr>
        <w:t>这项工程的战略纵深还值得再拆一层。它同时回答了三个问题：西南清洁能源往哪里送、送多少、用什么电压等级送。往哪里送——川渝负荷中心（P7003）；送多少——每年输送清洁电能最大达350亿度（P7003）；用什么送——主网架电压等级从500千伏提升到1000千伏（P7003）。第三个问题表面是参数问题，实质是体系问题：电压等级每上一个台阶，导线型式、绝缘配置、变电站布点、保护控制策略都要整体重构，官网特别点出该工程首次采用10分裂导线（P7003）——分裂根数的增加正是为高海拔、重冰区下的电气与机械约束给出的解法之一。与此形成时间接力的是集团语境下的直流侧进展：中国电建集团官网「基层动态」栏目2026年7月7日发布消息（P7004），公司所属湖北工程公司参与设计的陕北至安徽±800千伏特高压直流输电工程（「陕电入皖」工程）投运，该工程是「十五五」时期我国首个投运的特高压直流工程（P7004），官方定位为国家构建新型电力系统、建设新型能源体系战略部署的重点工程，对我国优化能源资源配置、保障能源安全稳定供应、「双碳」目标实现具有重要意义（P7004）。把「十四五」三交九直（P7003）与「十五五」首个投运直流（P7004）并排放着看，特高压管道的跨期延续性一目了然——这不是一波结束的行情，而是按五年规划滚动推进的国家级基建序列；设计院在这条序列里的位置，取决于它在上一代工程里攒下了什么纪录。</w:t>
      </w:r>
    </w:p>
    <w:p>
      <w:r>
        <w:rPr>
          <w:rFonts w:ascii="Calibri" w:hAnsi="Calibri" w:eastAsia="微软雅黑"/>
          <w:b w:val="0"/>
          <w:i w:val="0"/>
          <w:sz w:val="22"/>
        </w:rPr>
        <w:t>但买方读这份喜报时，第一件事是看清川院在工程里究竟扮演什么角色。官网消息写得明确：公司负责甘孜-天府南线路勘察设计包1和甘孜1000千伏变电站设计B包的勘察设计工作（P7003）。换句话说，川院在这项「全球之最」工程里承担的是勘察设计合同，而不是EPC总承包合同——这与其说是总承包战绩，不如说是设计能力的高原认证。认证的含金量确实不低：甘孜1000千伏变电站是全球海拔最高的特高压交流变电站，海拔3450米（P7003）；甘孜-天府南线路勘察设计包1为目前全球海拔最高（4750米）、地震烈度最大（9度）、首次采用10分裂导线的交流特高压1000千伏线路的包段（P7003）；全线海拔最高的铁塔——1R065号塔——位于康定市折多山山顶，海拔4750米，也是目前全球海拔最高的1000千伏交流特高压铁塔（P7003）。高海拔、重冰区、强震区三重环境约束叠加在同一个包段上（P7003），意味着设计端要为覆冰荷载、地震作用、绝缘配置、施工运输等一整族问题给出解法——这类经验是教科书里没有、只能在工程里长出来的知识资产。官网消息还披露，公司自2020年开始就参与了该工程的规划研究、工程论证、项目推进等工作（P7003），说明其介入深度不止于成图阶段，而是从前期论证就嵌进了项目链条——这正是设计院最值钱的介入姿势：越早进入，方案的话语权越大，后续设计费的护城河越深。</w:t>
      </w:r>
    </w:p>
    <w:p>
      <w:r>
        <w:rPr>
          <w:rFonts w:ascii="Calibri" w:hAnsi="Calibri" w:eastAsia="微软雅黑"/>
          <w:b w:val="0"/>
          <w:i w:val="0"/>
          <w:sz w:val="22"/>
        </w:rPr>
        <w:t>「勘察设计包」这个合同语言本身也值得买方逐字咀嚼。其一，「包1」与「B包」的编号说明业主把线路与变电站的设计标的切成了多个标段、分授多家设计单位（P7003，标的名称即其证据）——特高压设计市场是分片包干的市场，单一设计院拿到的是拼图的一角而非整幅；这既摊薄了单家的合同体量，也意味着任何「总设计师」叙事都要打折听。其二，勘察设计在特高压的造价链条里居于上游但不承担造价责任——官网对公司工作的表述是充分发挥在特高压领域的设计经验，根据工程特点创新求精，努力确保技术先进和经济合理，助力工程顺利建设（P7003），「确保技术先进和经济合理」是对设计品质的要求，「助力」二字则标明了设计方在工程组织里的从属位次；这与EPC总承包商「对造价、工期、性能负总责」的合同地位是完全不同的两种风险承担。其三，设计纪录的复利路径清晰可循：甘孜变电站的海拔纪录（P7003）与线路包段的高海拔高烈度履历（P7003），在西南后续水电外送、新能源基地送出等同类场景的投标里是可以反复引用的资格证据——川院的下一张特高压订单，大概率仍将从这批纪录里长出来。</w:t>
      </w:r>
    </w:p>
    <w:p>
      <w:r>
        <w:rPr>
          <w:rFonts w:ascii="Calibri" w:hAnsi="Calibri" w:eastAsia="微软雅黑"/>
          <w:b w:val="0"/>
          <w:i w:val="0"/>
          <w:sz w:val="22"/>
        </w:rPr>
        <w:t>把这些纪录放进集团坐标系，能进一步看清其相对位置。陕电入皖工程起于陕西省延安市宝塔山换流站，止于安徽省合肥市合州换流站，线路全长约1055公里，途经陕西、河南、安徽三省，穿越黄土高原、关中平原等多种复杂地形（P7004）；投运后陕西形成「两交四直」外送通道，外送能力达到3167万千瓦（P7004）；工程每年可从陕西向安徽输送电量超360亿千瓦时，其中新能源「绿电」占比超50%，相当于减少二氧化碳排放约1420万吨（P7004）；它同时是安徽首条全额消纳的高比例可再生能源特高压直流通道、陕西第三条特高压电力外送通道（P7004），将为安徽电网提供稳定、可靠、持续的电力支撑，切实推动安徽电网多元化电力保障体系构建，筑牢华东区域能源安全坚实屏障（P7004）。必须逐字强调：参与设计的是中国电建所属湖北工程公司，这是集团兄弟单位的业绩，不是川院的（P7004）。把这组事实并置的价值在于映照出电建系内部的特高压分工网络——直流工程与中东部通道由多家子院分线承担，而川院的可核验坐标是西南高原场景：在「全球海拔最高、冰区最重」的交流工程里握有包段（P7003）。一个走平原长距离走廊（1055公里，P7004），一个守高原重冰高震走廊（4750米、9度，P7003），两条技术路线各自沉淀各自的know-how。对买方的含义是双向的：一方面，集团分工网络给了川院一张别人拿不到的入场券——高原特高压的设计经验在西南清洁能源外送通道持续建设的语境里是稀缺品；另一方面，网络也划定了边界——川院在特高压上的角色目前可核验的止于勘察设计，把「参建全球之最」外推为「具备特高压EPC总承包能力」，证据链断档。</w:t>
      </w:r>
    </w:p>
    <w:p>
      <w:r>
        <w:rPr>
          <w:rFonts w:ascii="Calibri" w:hAnsi="Calibri" w:eastAsia="微软雅黑"/>
          <w:b w:val="0"/>
          <w:i w:val="0"/>
          <w:sz w:val="22"/>
        </w:rPr>
        <w:t>纪录的价值最终要看它能否在下一轮管线里变现，而这正是高原纪录相对平原纪录的独占优势。西南是中国水电与新能源的富矿区，外送需求长期存在——川渝工程要解决的正是川渝负荷中心用电与局部网架重载（P7003），而「陕电入皖」展示的西电东送大动脉模式（连接西部能源基地与华东负荷中心，P7004）在西南方向的对应物，就是未来更多的高原通道；每一条新通道的立项论证，都会回头检索「谁在4750米、9度的条件下做过设计」（P7003）——川院的答案写在纪录里。变现的形态有直接与间接两轨：直接轨是设计标的的复购——同类场景投标时，高原履历就是资格与技术的双重加分项（P7003）；间接轨是设计话语权的外溢——从前期论证阶段介入的项目习惯（自2020年即参与规划研究，P7003），会让川院在后续同类工程的方案比选里占据信息优势。但变现的节奏开关握在规划手里：「十四五」三交九直（P7003）与「十五五」首个投运直流（P7004）之间的接续说明管线是连续的，可单条工程从论证到投运的周期以年计（川渝工程自2020年参与论证到投运，P7003），期间设计院的收入确认是里程碑式的、离散的；买方若把高原纪录折算成「稳定收入流」，就误读了这门生意的现金流形状——它是脉冲，不是涓流。</w:t>
      </w:r>
    </w:p>
    <w:p>
      <w:r>
        <w:rPr>
          <w:rFonts w:ascii="Calibri" w:hAnsi="Calibri" w:eastAsia="微软雅黑"/>
          <w:b w:val="0"/>
          <w:i w:val="0"/>
          <w:sz w:val="22"/>
        </w:rPr>
        <w:t>交流与直流两条走廊的对照，还能读出设计能力的技术分型。川渝工程是交流制式——把西南电网主网架从500千伏提升到1000千伏（P7003），交流的意义在「成网」：电压等级抬升后，电网的稳定性、可靠性与资源配置能力同步改善（P7003），短路电流超标、局部网架重载等网架病得到系统性治疗（P7003）。陕电入皖是直流制式——±800千伏点对点输送（P7004），直流的意义在「搬运」：把西部能源基地的电量直送华东负荷中心（P7004），每年超360亿千瓦时、绿电占比超50%（P7004），沿途穿越黄土高原、关中平原等多种复杂地形（P7004）。两种制式对设计院的能力要求各有侧重：交流工程考网架规划与变电站、线路的全景协同——川院同时握有线路包段与变电站包（P7003），说明其在这两类标的上都有双向履历；直流工程考换流站与长距离走廊的专项深度——起于宝塔山换流站、止于合州换流站、线路约1055公里（P7004）构成其主要工程量。对买方的提示是：看一家设计院的特高压履历，要按制式、按标的类型分堆计数，笼统的「参建特高压」一语抹掉了最关键的分辨率；同理，评价川院时应记得它的双向履历目前全部沉淀在交流制式的高原场景（P7003），直流制式暂无可核验记录——这是能力画像上必须留白的一格。</w:t>
      </w:r>
    </w:p>
    <w:p>
      <w:r>
        <w:rPr>
          <w:rFonts w:ascii="Calibri" w:hAnsi="Calibri" w:eastAsia="微软雅黑"/>
          <w:b w:val="0"/>
          <w:i w:val="0"/>
          <w:sz w:val="22"/>
        </w:rPr>
        <w:t>对特高压这门生意本身，也要做一次冷静的定价。第一层，收入含义的换算：勘察设计包的合同额与工程体量之间隔着数量级的落差——「每年输送清洁电能最大达350亿度」（P7003）描述的是工程投运后的输送能力，属于业主侧的资产产出，与川院的设计费收入分属两个口径，读报时切不可把前者当作后者的量级参照；官网喜报通篇未披露设计合同金额与参建份额（P7003，全文无金额字段），这个空缺本身就是信息——设计费薄、话语权重，是这门生意的常态。第二层，客户结构的集中：工程属国家「十四五」三交九直特高压工程之一（P7003），这类国家级通道的规划、核准与招标节奏完全由顶层规划支配，设计院的订单流因此呈脉冲式——规划窗口打开时包段集中释放，窗口关闭时收入断流；对一家把特高压设计当作名片的公司，这意味着该业务线的现金流可预测性弱，估值时应按「期权」而非「年金」处理。第三层，时间颗粒度：官网消息对投运时点的表述止于「12月27日」，未写年份，发布时间为2025年2月21日（P7003）——买方引用该时间线做项目节点核对时，应意识到官网文体的日期颗粒度参差。所以呢——川院在特高压上的可核验资产，是一组高海拔高烈度场景的设计纪录（P7003）与一段自2020年介入前期论证的资历（P7003）；它的变现路径是西南后续通道设计标的持续中标，而不是总承包合同的滚动落地。把它记作「设计端的稀缺期权」，比记作「工程端的旗舰战果」，更接近账实相符。</w:t>
      </w:r>
    </w:p>
    <w:p>
      <w:pPr>
        <w:pStyle w:val="Heading2"/>
      </w:pPr>
      <w:r>
        <w:t>7.2 储能与新能源标杆：从用户侧纪录到电网侧大单</w:t>
      </w:r>
    </w:p>
    <w:p>
      <w:r>
        <w:rPr>
          <w:rFonts w:ascii="Calibri" w:hAnsi="Calibri" w:eastAsia="微软雅黑"/>
          <w:b w:val="0"/>
          <w:i w:val="0"/>
          <w:sz w:val="22"/>
        </w:rPr>
        <w:t>如果说特高压是川院的设计名片，储能才是它当前最能自证总承包能力的战场，而这份自证有官方全文背书。公司官网2025年2月21日发布的消息（P7005）披露：日前，由公司总承包建设的40兆瓦/80兆瓦时天原工业储能项目顺利投运（P7005）。注意「总承包建设」四个字的分量——在这份官网全文里，川院的角色是EPC总承包商，不是设计分包，也不是咨询顾问（P7005），这是本章证据库中角色标注最清晰的EPC战绩。项目的纪录属性同样写在明处：它是目前四川省建成最大规模的用户侧储能项目，独立容量达到40兆瓦，占全省总装机容量的50%以上（P7005）；可提供清洁能源约6.4亿度，减少碳排放约51万吨，可有效提高受端负荷用电质量和用电稳定性（P7005）。按披露的功率与容量换算，其充放时长为2小时（own_calc：80÷40=2，P7005），属于典型的中短时长用户侧配置。项目同时是推动宜宾储能产业发展的重点项目之一（P7005），其顺利投运对推动当地新能源绿色转型、促进新能源高质量发展、实现碳达峰碳中和具有重要意义（P7005），落点嵌在川南的产业语境里——官网的收束语是「为四川储能新能源建设再添新翼」（P7005）。</w:t>
      </w:r>
    </w:p>
    <w:p>
      <w:r>
        <w:rPr>
          <w:rFonts w:ascii="Calibri" w:hAnsi="Calibri" w:eastAsia="微软雅黑"/>
          <w:b w:val="0"/>
          <w:i w:val="0"/>
          <w:sz w:val="22"/>
        </w:rPr>
        <w:t>用户侧与电网侧是储能EPC的两张不同考卷，天原项目先把用户侧这张考卷答出了纪录，而答题的难度常被低估。用户侧储能的工程特点是「贴着业主的负荷做文章」：接入点在用户配电侧，充放策略服从生产行为，安全性要求贴近工业现场（P7005所述提高受端负荷用电质量与用电稳定性，即其功能定位）；总承包商要在一个运行中的工业园区里完成设计、设备集成、安装调试并网全链条，工期与停电窗口、生产排期强耦合。官网叙述的项目执行图景是：公司快速响应，制定项目建设时间表，精心配置人员，及时投入相关资源，与参建各方积极配合、紧密协作、齐力并进，全力以赴保安全、保质量、保工期，按期实现项目并网投运目标（P7005）——其中最硬的数字是安装工期仅35天（P7005）。35天的工期纪录（P7005）意味着什么：储能EPC的竞争要素里「快」排在极前的位置——用户侧储能的商业模型挂在业主的用电曲线与峰谷套利空间上，每晚并网一天，业主的收益就净损失一天，承包商的工期承诺因此直接参与投标定价；35天（P7005）是一份可以拿进投标现场的交付能力证据，其价值不亚于任何资质证书。但同一份喜报里也有需要保持警惕的表述：「独立容量达到40兆瓦，占全省总装机容量的50%以上」（P7005）——单一项目占到全省半壁江山，固然是纪录，也同时说明分母端的全省盘子在当时仍属早期量级；纪录的含金量会随市场扩容被快速稀释，买方引用这一占比时，还应留意原文未明示分母口径是否仅限用户侧储能（P7005），跨口径引用有高估或低估的双重风险。纪录类指标的通用陷阱即在于此：它证明的是时点的领先，不是持续的领先。</w:t>
      </w:r>
    </w:p>
    <w:p>
      <w:r>
        <w:rPr>
          <w:rFonts w:ascii="Calibri" w:hAnsi="Calibri" w:eastAsia="微软雅黑"/>
          <w:b w:val="0"/>
          <w:i w:val="0"/>
          <w:sz w:val="22"/>
        </w:rPr>
        <w:t>把镜头从用户侧拉到电网侧，检索集合里出现了一条体量更大的标题级战绩（P7001）：「225MW/900MWh！公司中标国内最大示范性大容量电网侧共享储能电站总承包工程」（P7001）。按标题披露的功率与容量换算，该电站充放时长为4小时（own_calc：900÷225=4，P7001），与天原项目的2小时配置（own_calc：80÷40=2，P7005）相比，是更贴近电网调度需求的长时形态；以功率计，225MW（P7001）对天原项目的40兆瓦（P7005）已是数倍级的体量跃升（225÷40，own_calc，P7001；P7005），单点规模显著放大。两张考卷的难度结构不同：用户侧考的是「快」与「贴」，电网侧考的是「大」与「稳」——共享储能要接受电网调度的常态化调用，容量租赁的商业模式、并网技术标准的严格程度、设备循环寿命的考验都上一个台阶；「示范性」「大容量」的官方叙事（P7001标题用词）通常还意味着项目承载着政策试点的期待，业绩含金量与执行复杂度同步抬升。业主结构的差异也连带出回款与信用画像的差异：用户侧项目的业主是工业企业——天原项目之名即点明其工业业主属性（P7005），回款绑在企业的经营现金流上；电网侧共享储能的业主则多与电网体系或专业租赁运营方相关，「共享」二字（P7001标题用词）指向的是容量出租给多方使用的商业模式，其租金流入的稳定性决定EPC尾款与质保金的回收质量。承包商在这两个市场里实际承担的信用风险并不同质，分析时应分列处理。但必须如实声明证据的边界：该条在库内仅存标题，正文未随档存档（P7001），业主身份、中标金额、联合体结构、中标时间与工期均不可回链；「国内最大示范性大容量」属中标宣传口径的排名表述（P7001），且按检索语境「公司」应指川院，这一指代本身也待正文回链确认。买方对这类证据的正确用法是把它放进「待核实清单」而非「已入账清单」：标题可以证明「有过这样一条中标叙事的传播」，不能证明合同的商业条款。与之同属新赛道的，还有检索命中的「公司中标淮州新城光储充一体化综合智慧能源勘察设计项目」（P7001）——光储充一体化的综合智慧能源是设计院向能源服务价值链延伸的典型品类，但请注意其角色标注是「勘察设计」（P7001），与总承包分属不同口径。</w:t>
      </w:r>
    </w:p>
    <w:p>
      <w:r>
        <w:rPr>
          <w:rFonts w:ascii="Calibri" w:hAnsi="Calibri" w:eastAsia="微软雅黑"/>
          <w:b w:val="0"/>
          <w:i w:val="0"/>
          <w:sz w:val="22"/>
        </w:rPr>
        <w:t>同一检索集合里还有几条金额醒目的标题，需要专门讨论其归属问题：其一（P7001），「1.82亿中标！四川 储能电站项目EPC」；其二（P7001），「8.7亿！四川新中标光伏项目」；其三（P7001），「42亿！四川新中标大项目」；其四（P7001），「超27亿元！中国电建拟中标大项目」（P7001）。这批标题出自以「四川电力设计咨询 中标」为检索词的搜狗微信聚合（P7001，搜索日期2026年10月4日，命中文章19篇），但标题本身并未点名川院：前三条的表述是「四川」地域口径的第三方中标速递文体，第四条的表述对象是「中国电建」集团层面（P7001）——它们可能描述川院的项目，也可能是川系其他主体或集团兄弟单位的项目，正文未存档导致无法核验。这里要立一条贯穿全章的读报纪律：检索命中不等于公司中标。搜索引擎按关键词聚合内容时，地域词与主体词的混同会天然制造「张冠李戴」的错觉；买方若把这批标题金额直接累加进川院的在手订单叙事，就落入了信息聚合最常见的陷阱。信源分层的功课也要同步做：同一检索集合里混有行业刊物《电力设计信息》2022年第22期与2022年第23期的内容（P7001）、国网四川电力2017年第一批物资招标采购公告（P7001）、公司自办的新媒体大赛一等奖作品（P7001）以及2026届秋季招聘、2026年博士后招聘等事务性内容（P7001）——行业媒体、招标公告、品牌文宣与人事信息四类信源同池共存，正说明这类聚合流是「话题云」而非「交易台账」，其内的任何单条信息都要先验明正身再使用。</w:t>
      </w:r>
    </w:p>
    <w:p>
      <w:r>
        <w:rPr>
          <w:rFonts w:ascii="Calibri" w:hAnsi="Calibri" w:eastAsia="微软雅黑"/>
          <w:b w:val="0"/>
          <w:i w:val="0"/>
          <w:sz w:val="22"/>
        </w:rPr>
        <w:t>从谱系完整性看，这份检索快照还暴露了新能源侧的证据缺口。检索命中的新能源类标题里，光伏有「8.7亿！四川新中标光伏项目」（P7001）、光储充有淮州新城（P7001）、储能有多条线索（P7001标题群），但风电、水电等品类在命中的19篇标题里未见踪影（P7001）——这更可能是检索词与渠道的偏置（搜索词聚焦「中标」、渠道为微信聚合，P7001），而非川院业务版图的真实边界；同理，抽水蓄能这类与电力设计院能力高度匹配的品类，也未在快照中出现（P7001）。买方的处理方式：把品类缺口记入待查清单，在后续章节与补充证据里专门检索风电、水电与抽蓄的标的记录，而不是据本快照下「川院不做风电水电」的结论——证据的沉默与事实的不存在，是两个命题，混同即误判。这个缺口反过来也提示了本章项目库的正确用法：它是一份按证据到货整理的清单，不是按业务版图绘制的地图；地图与清单的差额，正是后续调研的作业面。</w:t>
      </w:r>
    </w:p>
    <w:p>
      <w:r>
        <w:rPr>
          <w:rFonts w:ascii="Calibri" w:hAnsi="Calibri" w:eastAsia="微软雅黑"/>
          <w:b w:val="0"/>
          <w:i w:val="0"/>
          <w:sz w:val="22"/>
        </w:rPr>
        <w:t>还应该给「纪录」本身做一个传播学定性，因为它贯穿了本章所有样本。川院体系对外传播的标准配方里有三种纪录语式：地理极限式——「全球海拔最高、冰区最重」（P7003）；规模排位式——「四川省建成最大规模」（P7005）、「国内最大示范性大容量」（P7001）；速度式——「安装工期仅35天」（P7005）。三种语式的共同点是把复杂工程压缩成单一维度的极值，用于投标资审与品牌传播，效率极高；共同的风险是每个极值前面都挂着限定词——「用户侧」「建成」「示范性」——限定词变了，纪录的含金量就变了：「全省最大」限定在用户侧（P7005），不代表全省储能最大；「国内最大」限定在示范性大容量电网侧共享储能这一品类（P7001），品类外另有更大的普通电站是常态。买方的反制动作只有一个：先读限定词，再读纪录本体；把限定词剥掉再引用纪录的，要么是不懂，要么是故意。公司品牌运营的投入度本身倒是个正面信号——检索集合里那篇新媒体大赛一等奖作品（P7001）说明其品牌传播有组织、有产出，同池还躺着一条公益叙事标题「四川电力设计咨询公司组织彝族娃体验外面世界」（P7001），与中标喜报、行业刊物、招聘启事同池共存（P7001），恰好构成企业对外传播的完整光谱——战绩、专业、人才、责任四种语态轮换出现，说明品牌运营是成体系的常态化动作（P7001）；但品牌强度与工程履约是两套账，前者溢出的是知名度，后者沉淀的才是回款。</w:t>
      </w:r>
    </w:p>
    <w:p>
      <w:r>
        <w:rPr>
          <w:rFonts w:ascii="Calibri" w:hAnsi="Calibri" w:eastAsia="微软雅黑"/>
          <w:b w:val="0"/>
          <w:i w:val="0"/>
          <w:sz w:val="22"/>
        </w:rPr>
        <w:t>储能与新能源EPC的光环之下，风险面也必须摆到桌面上。其一，收益侧的传导链：用户侧储能的回报依赖业主的用电负荷曲线与峰谷价差空间，电网侧共享储能依赖容量租赁市场的成型与政策支持的连续性——两类项目的业主偿付能力都会沿EPC合同向总承包商传导回款风险，川院35天工期的交付强项（P7005）解决的是履约端，解决不了业主端的收益兑现。其二，行政与核准风险的前车之鉴：工程总承包争议解决专著的典型争议案例里，专门收录了「未经核准的EPC项目长期停工，施工分包人如何进行索赔——广东某火电场扩建EPC项目停工索赔案」（P7029）——电源与电网侧工程未过核准关就开工，政策闸门落下后长期停工，损失沿「分包人—总承包商—业主」链条层层追索；新能源与储能工程同样活在核准、并网、补贴名录等行政节点的支配下，总承包商若未在合同里为「核准迟延或不可得」设置免责与调价机制，行政风险就会全额沉淀为商业损失。其三，履约侧的长尾：行业方法论把EPC项目的建设阶段拆解为启动、策划、实施、控制、收尾等子过程的连续管理，设计、采购、施工、试运行要全过程受控（P7025，汪寿建编著《EPC工程总承包项目过程控制概论》全书共分十五章的系统框架；该书适用域明确覆盖化工、石油化工、煤化工、医药、电力、基础设施建设等领域，P7025）——「投运」对应的只是试运行节点的完成，其后还有收尾过程的结算、移交与缺陷责任管理；把投运喜报直接折算成「利润到账」，是外行读法。其四，合同侧的暗礁：同一本争议解决专著罗列的典型争议里，「材料涨价遭遇固定价格，如何破解调差僵局」「EPC合同按固定总价结算后，发包人能否以承包人虚报价款和虚构设备为由，要求重新结算」（P7029，其典型争议章节目录）提示——储能这类设备价值占比高的工程，电池价格波动与结算计价颗粒度就是利润的最后一道闸门；若项目附加运营责任（该书另设「EPC+O」项目模式解析专节，P7029），绩效长尾还要再拉长一段。所以呢——储能是川院当前最有说服力的EPC主战场：有全文背书的总承包投运纪录（P7005）、有标题级的电网侧大单（P7001）、有设计侧的综合智慧能源延伸（P7001），三层证据垒出了一个正在放量的业务面；但其利润质量——垫资深度、回款节奏、结算争议存量——本章证据无法回答，须待财务透视与风险档案两章的口径检验。</w:t>
      </w:r>
    </w:p>
    <w:p>
      <w:pPr>
        <w:pStyle w:val="Heading2"/>
      </w:pPr>
      <w:r>
        <w:t>7.3 海外工程：设计出海与EPC出海的证据分界</w:t>
      </w:r>
    </w:p>
    <w:p>
      <w:r>
        <w:rPr>
          <w:rFonts w:ascii="Calibri" w:hAnsi="Calibri" w:eastAsia="微软雅黑"/>
          <w:b w:val="0"/>
          <w:i w:val="0"/>
          <w:sz w:val="22"/>
        </w:rPr>
        <w:t>海外工程是旗舰项目库里最容易被叙事放大、也最需要证据纪律的一段。川院可回链的海外战绩，目前证据库中只有一条：检索命中的「四川电力设计公司中标津巴布韦输电工程设计项目」，出自走出去情报2021年7月28日的文章（P7001）。这条证据的价值与局限同样清楚：价值在于它证明川院的输电设计能力有过向非洲市场的输出记录，且被「走出去」题材的专业媒体收录传播（P7001）；局限在于其角色标注是「工程设计项目」——它是设计出海，不是EPC出海（P7001），且同样仅有标题存档、合同金额与项目细节不可回链。对买方而言，这条证据的正确用法是作为「国际化意向与设计能力外溢」的信号，而不是「海外总承包业务」的凭据——两者的估值含义相差悬殊：前者是能力侧写，后者才涉及跨境合同、汇率敞口与属地化履约体系的重资产投入。</w:t>
      </w:r>
    </w:p>
    <w:p>
      <w:r>
        <w:rPr>
          <w:rFonts w:ascii="Calibri" w:hAnsi="Calibri" w:eastAsia="微软雅黑"/>
          <w:b w:val="0"/>
          <w:i w:val="0"/>
          <w:sz w:val="22"/>
        </w:rPr>
        <w:t>设计出海这门生意本身的经济学，决定了对它的期望值应该怎么定。设计合同是轻资产输出：不压设备、不背施工，人员与图纸跨境流动，边际成本递减、品牌效应递增；它的战略价值不在单笔合同额，而在「进门」——进入一个市场的技术标准圈，就有机会跟随后续工程拿到设计复核、监理乃至总承包的升级票。方法论界对这条路径的知识储备是成体系的：前述过程控制专著的目录里，「国际工程市场发展趋势」与「国际工程公司的发展历程」各占独立章节（P7025），「EPC总承包管理的发展趋势」亦独立成节（P7025）——设计院走向国际工程公司，早已被写进这门学科的标准课程表。对川院，出海的平台条件在集团层面：中国电建作为上市公司在巨潮资讯披露2026年半年度报告，公司代码601669（P7026）——海外工程的信用背书、融资安排与风险承接主要沉淀在集团这一层，且该半年度报告未经审计（P7026），其自身还载有前瞻性陈述的风险声明（P7026）；子设计院更多以设计、勘察或专业分包的身份嵌入集团的海外项目网络。换句话说，川院的出海可以「借船」——借集团的海外网络与信用，但船票买到几等舱（设计席还是总承包席），取决于自身证据库里能拿出什么等级的履历；目前它能拿出的是津巴布韦的设计中标记录（P7001）。时间窗也值得标注：这条海外纪录的信息时点是2021年7月28日（P7001），而集团层面的信息披露窗口已经走到2026年半年度报告（P7026）——中间数年的海外进展在库内无证可查，证据的时滞本身就构成不确定性。</w:t>
      </w:r>
    </w:p>
    <w:p>
      <w:r>
        <w:rPr>
          <w:rFonts w:ascii="Calibri" w:hAnsi="Calibri" w:eastAsia="微软雅黑"/>
          <w:b w:val="0"/>
          <w:i w:val="0"/>
          <w:sz w:val="22"/>
        </w:rPr>
        <w:t>集团背书本身的读法也需要专门交代，因为它最容易在估值叙事里被放大。中国电建的2026年半年度报告（P7026）能给子设计院提供的是三类背书：信用背书——集团体的融资与担保能力是海外业主考量的首要变量；网络背书——集团在各区域的常设机构与属地资源，是子院出海可以直接接入的界面；品牌背书——「中国电建」的名号在海外电力市场的辨识度，对应着上市公司代码601669（P7026）。但背书不等于业绩：半年度报告未经审计（P7026），报告自身载有前瞻性陈述的风险声明（P7026），且库内版本未见涉及川院的分部明细（P7026）——集团报表的海外收入再大，也不能按股权关系线性折算成子院的能力或订单。买方正确的换算路径是：以集团背书为「可能性空间」，以子院自身的中标与履约记录为「现实证据」，两者之间隔着招投标市场的独立竞争——津巴布韦设计项目（P7001）之所以值得记录，正因为它是现实证据而非可能性；可能性空间再大，替代不了这类的硬条目。</w:t>
      </w:r>
    </w:p>
    <w:p>
      <w:r>
        <w:rPr>
          <w:rFonts w:ascii="Calibri" w:hAnsi="Calibri" w:eastAsia="微软雅黑"/>
          <w:b w:val="0"/>
          <w:i w:val="0"/>
          <w:sz w:val="22"/>
        </w:rPr>
        <w:t>把镜头拉远到同业，中冶长天提供了设计院出海路径的一个可比样本。其检索集合中既有「深耕『一带一路』｜中冶长天中标俄罗斯新利钢烧结烟气脱硫EP项目」（P7000；P7002），也有「中冶长天中标马来西亚关丹产业园项目」（P7000），还有与央企军团并列出现的「国际工程｜中交一航局、中电国际、中冶长天、中交广航局、中国能建、中建五局、华航水环境、中水电、山西建投海外新签中标项目速览」（P7000）——注意其中的模式递进：俄罗斯项目是EP（设计加采购），马来西亚项目是产业园类综合开发，速览里与之同列的是交通、水电、建筑各系的国际承包主力（P7000）。先以设计或EP切入，再图工程总承包，是冶金与电力设计院共同走过的出海阶梯。川院目前可核验的海外足迹停在设计段（P7001），与这条阶梯的第一级相当；从第一级走到EPC段位，中间隔着属地合规、FIDIC合同管理、跨境资金与汇率对冲一整族能力建设——这些判断将在国际对标一章展开，本章只立下证据的界碑。</w:t>
      </w:r>
    </w:p>
    <w:p>
      <w:r>
        <w:rPr>
          <w:rFonts w:ascii="Calibri" w:hAnsi="Calibri" w:eastAsia="微软雅黑"/>
          <w:b w:val="0"/>
          <w:i w:val="0"/>
          <w:sz w:val="22"/>
        </w:rPr>
        <w:t>对出海这段业务，买方还应当预先装上风险滤网。海外输电设计合同面临的政治与汇率环境、业主信用与支付习惯、争端解决的管辖与执行，与国内市场完全是两套规则；设计合同虽不背施工与设备风险，但设计成果的适用性责任、现场服务的人身与安保成本、回款的币种与通道，都是实打实的敞口。本章证据库里没有川院海外项目的任何风险事件记录（P7001，检索集合未含此类内容），这既可能意味着干净，也可能意味着信息未进入检索视野——两种解释都成立，买方不应默认前者。所以呢——对「川院出海」这个命题，当前证据支持的最强表述是：有非洲输电设计输出的记录（P7001）、有集团海外体系的平台依托（P7026）、有同业路径可参照（P7000；P7002）、有方法论界的知识储备背书（P7025）；不支持的表述是：具备可核验的海外EPC交付履历。在补齐证据之前，任何把川院计入「出海EPC受益标的」的逻辑，都应明确标注为预期而非事实。</w:t>
      </w:r>
    </w:p>
    <w:p>
      <w:pPr>
        <w:pStyle w:val="Heading2"/>
      </w:pPr>
      <w:r>
        <w:t>7.4 中标与投运节奏：读喜报的正确姿势</w:t>
      </w:r>
    </w:p>
    <w:p>
      <w:r>
        <w:rPr>
          <w:rFonts w:ascii="Calibri" w:hAnsi="Calibri" w:eastAsia="微软雅黑"/>
          <w:b w:val="0"/>
          <w:i w:val="0"/>
          <w:sz w:val="22"/>
        </w:rPr>
        <w:t>把前文的散点收拢，先给一张全章共用的证据底表——川院及对照组旗舰项目的角色、参数与证据形态，逐项挂锚如下：</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项目</w:t>
            </w:r>
          </w:p>
        </w:tc>
        <w:tc>
          <w:tcPr>
            <w:tcW w:type="dxa" w:w="1660"/>
            <w:shd w:fill="1F3A5F"/>
          </w:tcPr>
          <w:p>
            <w:r>
              <w:rPr>
                <w:color w:val="FFFFFF"/>
              </w:rPr>
            </w:r>
            <w:r>
              <w:rPr>
                <w:rFonts w:ascii="Calibri" w:hAnsi="Calibri" w:eastAsia="微软雅黑"/>
                <w:b/>
                <w:i w:val="0"/>
                <w:color w:val="FFFFFF"/>
                <w:sz w:val="18"/>
              </w:rPr>
              <w:t>场景</w:t>
            </w:r>
          </w:p>
        </w:tc>
        <w:tc>
          <w:tcPr>
            <w:tcW w:type="dxa" w:w="1660"/>
            <w:shd w:fill="1F3A5F"/>
          </w:tcPr>
          <w:p>
            <w:r>
              <w:rPr>
                <w:color w:val="FFFFFF"/>
              </w:rPr>
            </w:r>
            <w:r>
              <w:rPr>
                <w:rFonts w:ascii="Calibri" w:hAnsi="Calibri" w:eastAsia="微软雅黑"/>
                <w:b/>
                <w:i w:val="0"/>
                <w:color w:val="FFFFFF"/>
                <w:sz w:val="18"/>
              </w:rPr>
              <w:t>川院角色</w:t>
            </w:r>
          </w:p>
        </w:tc>
        <w:tc>
          <w:tcPr>
            <w:tcW w:type="dxa" w:w="1660"/>
            <w:shd w:fill="1F3A5F"/>
          </w:tcPr>
          <w:p>
            <w:r>
              <w:rPr>
                <w:color w:val="FFFFFF"/>
              </w:rPr>
            </w:r>
            <w:r>
              <w:rPr>
                <w:rFonts w:ascii="Calibri" w:hAnsi="Calibri" w:eastAsia="微软雅黑"/>
                <w:b/>
                <w:i w:val="0"/>
                <w:color w:val="FFFFFF"/>
                <w:sz w:val="18"/>
              </w:rPr>
              <w:t>关键参数（按源逐字）</w:t>
            </w:r>
          </w:p>
        </w:tc>
        <w:tc>
          <w:tcPr>
            <w:tcW w:type="dxa" w:w="1660"/>
            <w:shd w:fill="1F3A5F"/>
          </w:tcPr>
          <w:p>
            <w:r>
              <w:rPr>
                <w:color w:val="FFFFFF"/>
              </w:rPr>
            </w:r>
            <w:r>
              <w:rPr>
                <w:rFonts w:ascii="Calibri" w:hAnsi="Calibri" w:eastAsia="微软雅黑"/>
                <w:b/>
                <w:i w:val="0"/>
                <w:color w:val="FFFFFF"/>
                <w:sz w:val="18"/>
              </w:rPr>
              <w:t>证据形态</w:t>
            </w:r>
          </w:p>
        </w:tc>
      </w:tr>
      <w:tr>
        <w:tc>
          <w:tcPr>
            <w:tcW w:type="dxa" w:w="1660"/>
          </w:tcPr>
          <w:p>
            <w:r/>
            <w:r>
              <w:rPr>
                <w:rFonts w:ascii="Calibri" w:hAnsi="Calibri" w:eastAsia="微软雅黑"/>
                <w:b w:val="0"/>
                <w:i w:val="0"/>
                <w:sz w:val="18"/>
              </w:rPr>
              <w:t>川渝1000千伏特高压交流工程（P7003）</w:t>
            </w:r>
          </w:p>
        </w:tc>
        <w:tc>
          <w:tcPr>
            <w:tcW w:type="dxa" w:w="1660"/>
          </w:tcPr>
          <w:p>
            <w:r/>
            <w:r>
              <w:rPr>
                <w:rFonts w:ascii="Calibri" w:hAnsi="Calibri" w:eastAsia="微软雅黑"/>
                <w:b w:val="0"/>
                <w:i w:val="0"/>
                <w:sz w:val="18"/>
              </w:rPr>
              <w:t>特高压输变电（P7003）</w:t>
            </w:r>
          </w:p>
        </w:tc>
        <w:tc>
          <w:tcPr>
            <w:tcW w:type="dxa" w:w="1660"/>
          </w:tcPr>
          <w:p>
            <w:r/>
            <w:r>
              <w:rPr>
                <w:rFonts w:ascii="Calibri" w:hAnsi="Calibri" w:eastAsia="微软雅黑"/>
                <w:b w:val="0"/>
                <w:i w:val="0"/>
                <w:sz w:val="18"/>
              </w:rPr>
              <w:t>勘察设计：甘孜-天府南线路包1＋甘孜变电站设计B包（P7003）</w:t>
            </w:r>
          </w:p>
        </w:tc>
        <w:tc>
          <w:tcPr>
            <w:tcW w:type="dxa" w:w="1660"/>
          </w:tcPr>
          <w:p>
            <w:r/>
            <w:r>
              <w:rPr>
                <w:rFonts w:ascii="Calibri" w:hAnsi="Calibri" w:eastAsia="微软雅黑"/>
                <w:b w:val="0"/>
                <w:i w:val="0"/>
                <w:sz w:val="18"/>
              </w:rPr>
              <w:t>海拔3450米变电站（P7003）；4750米线路包段（P7003）；9度地震烈度（P7003）；10分裂导线首用（P7003）；1R065号塔（P7003）</w:t>
            </w:r>
          </w:p>
        </w:tc>
        <w:tc>
          <w:tcPr>
            <w:tcW w:type="dxa" w:w="1660"/>
          </w:tcPr>
          <w:p>
            <w:r/>
            <w:r>
              <w:rPr>
                <w:rFonts w:ascii="Calibri" w:hAnsi="Calibri" w:eastAsia="微软雅黑"/>
                <w:b w:val="0"/>
                <w:i w:val="0"/>
                <w:sz w:val="18"/>
              </w:rPr>
              <w:t>官网全文（P7003）</w:t>
            </w:r>
          </w:p>
        </w:tc>
      </w:tr>
      <w:tr>
        <w:tc>
          <w:tcPr>
            <w:tcW w:type="dxa" w:w="1660"/>
          </w:tcPr>
          <w:p>
            <w:r/>
            <w:r>
              <w:rPr>
                <w:rFonts w:ascii="Calibri" w:hAnsi="Calibri" w:eastAsia="微软雅黑"/>
                <w:b w:val="0"/>
                <w:i w:val="0"/>
                <w:sz w:val="18"/>
              </w:rPr>
              <w:t>天原工业储能项目（P7005）</w:t>
            </w:r>
          </w:p>
        </w:tc>
        <w:tc>
          <w:tcPr>
            <w:tcW w:type="dxa" w:w="1660"/>
          </w:tcPr>
          <w:p>
            <w:r/>
            <w:r>
              <w:rPr>
                <w:rFonts w:ascii="Calibri" w:hAnsi="Calibri" w:eastAsia="微软雅黑"/>
                <w:b w:val="0"/>
                <w:i w:val="0"/>
                <w:sz w:val="18"/>
              </w:rPr>
              <w:t>用户侧储能（P7005）</w:t>
            </w:r>
          </w:p>
        </w:tc>
        <w:tc>
          <w:tcPr>
            <w:tcW w:type="dxa" w:w="1660"/>
          </w:tcPr>
          <w:p>
            <w:r/>
            <w:r>
              <w:rPr>
                <w:rFonts w:ascii="Calibri" w:hAnsi="Calibri" w:eastAsia="微软雅黑"/>
                <w:b w:val="0"/>
                <w:i w:val="0"/>
                <w:sz w:val="18"/>
              </w:rPr>
              <w:t>总承包建设（P7005）</w:t>
            </w:r>
          </w:p>
        </w:tc>
        <w:tc>
          <w:tcPr>
            <w:tcW w:type="dxa" w:w="1660"/>
          </w:tcPr>
          <w:p>
            <w:r/>
            <w:r>
              <w:rPr>
                <w:rFonts w:ascii="Calibri" w:hAnsi="Calibri" w:eastAsia="微软雅黑"/>
                <w:b w:val="0"/>
                <w:i w:val="0"/>
                <w:sz w:val="18"/>
              </w:rPr>
              <w:t>40兆瓦/80兆瓦时（P7005）；占全省50%以上（P7005）；工期35天（P7005）</w:t>
            </w:r>
          </w:p>
        </w:tc>
        <w:tc>
          <w:tcPr>
            <w:tcW w:type="dxa" w:w="1660"/>
          </w:tcPr>
          <w:p>
            <w:r/>
            <w:r>
              <w:rPr>
                <w:rFonts w:ascii="Calibri" w:hAnsi="Calibri" w:eastAsia="微软雅黑"/>
                <w:b w:val="0"/>
                <w:i w:val="0"/>
                <w:sz w:val="18"/>
              </w:rPr>
              <w:t>官网全文（P7005）</w:t>
            </w:r>
          </w:p>
        </w:tc>
      </w:tr>
      <w:tr>
        <w:tc>
          <w:tcPr>
            <w:tcW w:type="dxa" w:w="1660"/>
          </w:tcPr>
          <w:p>
            <w:r/>
            <w:r>
              <w:rPr>
                <w:rFonts w:ascii="Calibri" w:hAnsi="Calibri" w:eastAsia="微软雅黑"/>
                <w:b w:val="0"/>
                <w:i w:val="0"/>
                <w:sz w:val="18"/>
              </w:rPr>
              <w:t>电网侧共享储能电站（P7001）</w:t>
            </w:r>
          </w:p>
        </w:tc>
        <w:tc>
          <w:tcPr>
            <w:tcW w:type="dxa" w:w="1660"/>
          </w:tcPr>
          <w:p>
            <w:r/>
            <w:r>
              <w:rPr>
                <w:rFonts w:ascii="Calibri" w:hAnsi="Calibri" w:eastAsia="微软雅黑"/>
                <w:b w:val="0"/>
                <w:i w:val="0"/>
                <w:sz w:val="18"/>
              </w:rPr>
              <w:t>电网侧储能（P7001）</w:t>
            </w:r>
          </w:p>
        </w:tc>
        <w:tc>
          <w:tcPr>
            <w:tcW w:type="dxa" w:w="1660"/>
          </w:tcPr>
          <w:p>
            <w:r/>
            <w:r>
              <w:rPr>
                <w:rFonts w:ascii="Calibri" w:hAnsi="Calibri" w:eastAsia="微软雅黑"/>
                <w:b w:val="0"/>
                <w:i w:val="0"/>
                <w:sz w:val="18"/>
              </w:rPr>
              <w:t>总承包（标题称「中标」，P7001）</w:t>
            </w:r>
          </w:p>
        </w:tc>
        <w:tc>
          <w:tcPr>
            <w:tcW w:type="dxa" w:w="1660"/>
          </w:tcPr>
          <w:p>
            <w:r/>
            <w:r>
              <w:rPr>
                <w:rFonts w:ascii="Calibri" w:hAnsi="Calibri" w:eastAsia="微软雅黑"/>
                <w:b w:val="0"/>
                <w:i w:val="0"/>
                <w:sz w:val="18"/>
              </w:rPr>
              <w:t>225MW/900MWh（P7001）；「国内最大示范性大容量」（P7001）</w:t>
            </w:r>
          </w:p>
        </w:tc>
        <w:tc>
          <w:tcPr>
            <w:tcW w:type="dxa" w:w="1660"/>
          </w:tcPr>
          <w:p>
            <w:r/>
            <w:r>
              <w:rPr>
                <w:rFonts w:ascii="Calibri" w:hAnsi="Calibri" w:eastAsia="微软雅黑"/>
                <w:b w:val="0"/>
                <w:i w:val="0"/>
                <w:sz w:val="18"/>
              </w:rPr>
              <w:t>标题级（P7001）</w:t>
            </w:r>
          </w:p>
        </w:tc>
      </w:tr>
      <w:tr>
        <w:tc>
          <w:tcPr>
            <w:tcW w:type="dxa" w:w="1660"/>
          </w:tcPr>
          <w:p>
            <w:r/>
            <w:r>
              <w:rPr>
                <w:rFonts w:ascii="Calibri" w:hAnsi="Calibri" w:eastAsia="微软雅黑"/>
                <w:b w:val="0"/>
                <w:i w:val="0"/>
                <w:sz w:val="18"/>
              </w:rPr>
              <w:t>淮州新城光储充一体化项目（P7001）</w:t>
            </w:r>
          </w:p>
        </w:tc>
        <w:tc>
          <w:tcPr>
            <w:tcW w:type="dxa" w:w="1660"/>
          </w:tcPr>
          <w:p>
            <w:r/>
            <w:r>
              <w:rPr>
                <w:rFonts w:ascii="Calibri" w:hAnsi="Calibri" w:eastAsia="微软雅黑"/>
                <w:b w:val="0"/>
                <w:i w:val="0"/>
                <w:sz w:val="18"/>
              </w:rPr>
              <w:t>综合智慧能源（P7001）</w:t>
            </w:r>
          </w:p>
        </w:tc>
        <w:tc>
          <w:tcPr>
            <w:tcW w:type="dxa" w:w="1660"/>
          </w:tcPr>
          <w:p>
            <w:r/>
            <w:r>
              <w:rPr>
                <w:rFonts w:ascii="Calibri" w:hAnsi="Calibri" w:eastAsia="微软雅黑"/>
                <w:b w:val="0"/>
                <w:i w:val="0"/>
                <w:sz w:val="18"/>
              </w:rPr>
              <w:t>勘察设计（P7001）</w:t>
            </w:r>
          </w:p>
        </w:tc>
        <w:tc>
          <w:tcPr>
            <w:tcW w:type="dxa" w:w="1660"/>
          </w:tcPr>
          <w:p>
            <w:r/>
            <w:r>
              <w:rPr>
                <w:rFonts w:ascii="Calibri" w:hAnsi="Calibri" w:eastAsia="微软雅黑"/>
                <w:b w:val="0"/>
                <w:i w:val="0"/>
                <w:sz w:val="18"/>
              </w:rPr>
              <w:t>未披露（P7001）</w:t>
            </w:r>
          </w:p>
        </w:tc>
        <w:tc>
          <w:tcPr>
            <w:tcW w:type="dxa" w:w="1660"/>
          </w:tcPr>
          <w:p>
            <w:r/>
            <w:r>
              <w:rPr>
                <w:rFonts w:ascii="Calibri" w:hAnsi="Calibri" w:eastAsia="微软雅黑"/>
                <w:b w:val="0"/>
                <w:i w:val="0"/>
                <w:sz w:val="18"/>
              </w:rPr>
              <w:t>标题级（P7001）</w:t>
            </w:r>
          </w:p>
        </w:tc>
      </w:tr>
      <w:tr>
        <w:tc>
          <w:tcPr>
            <w:tcW w:type="dxa" w:w="1660"/>
          </w:tcPr>
          <w:p>
            <w:r/>
            <w:r>
              <w:rPr>
                <w:rFonts w:ascii="Calibri" w:hAnsi="Calibri" w:eastAsia="微软雅黑"/>
                <w:b w:val="0"/>
                <w:i w:val="0"/>
                <w:sz w:val="18"/>
              </w:rPr>
              <w:t>津巴布韦输电工程设计项目（P7001）</w:t>
            </w:r>
          </w:p>
        </w:tc>
        <w:tc>
          <w:tcPr>
            <w:tcW w:type="dxa" w:w="1660"/>
          </w:tcPr>
          <w:p>
            <w:r/>
            <w:r>
              <w:rPr>
                <w:rFonts w:ascii="Calibri" w:hAnsi="Calibri" w:eastAsia="微软雅黑"/>
                <w:b w:val="0"/>
                <w:i w:val="0"/>
                <w:sz w:val="18"/>
              </w:rPr>
              <w:t>海外输电（P7001）</w:t>
            </w:r>
          </w:p>
        </w:tc>
        <w:tc>
          <w:tcPr>
            <w:tcW w:type="dxa" w:w="1660"/>
          </w:tcPr>
          <w:p>
            <w:r/>
            <w:r>
              <w:rPr>
                <w:rFonts w:ascii="Calibri" w:hAnsi="Calibri" w:eastAsia="微软雅黑"/>
                <w:b w:val="0"/>
                <w:i w:val="0"/>
                <w:sz w:val="18"/>
              </w:rPr>
              <w:t>设计（P7001）</w:t>
            </w:r>
          </w:p>
        </w:tc>
        <w:tc>
          <w:tcPr>
            <w:tcW w:type="dxa" w:w="1660"/>
          </w:tcPr>
          <w:p>
            <w:r/>
            <w:r>
              <w:rPr>
                <w:rFonts w:ascii="Calibri" w:hAnsi="Calibri" w:eastAsia="微软雅黑"/>
                <w:b w:val="0"/>
                <w:i w:val="0"/>
                <w:sz w:val="18"/>
              </w:rPr>
              <w:t>未披露（P7001）</w:t>
            </w:r>
          </w:p>
        </w:tc>
        <w:tc>
          <w:tcPr>
            <w:tcW w:type="dxa" w:w="1660"/>
          </w:tcPr>
          <w:p>
            <w:r/>
            <w:r>
              <w:rPr>
                <w:rFonts w:ascii="Calibri" w:hAnsi="Calibri" w:eastAsia="微软雅黑"/>
                <w:b w:val="0"/>
                <w:i w:val="0"/>
                <w:sz w:val="18"/>
              </w:rPr>
              <w:t>标题级（P7001）</w:t>
            </w:r>
          </w:p>
        </w:tc>
      </w:tr>
      <w:tr>
        <w:tc>
          <w:tcPr>
            <w:tcW w:type="dxa" w:w="1660"/>
          </w:tcPr>
          <w:p>
            <w:r/>
            <w:r>
              <w:rPr>
                <w:rFonts w:ascii="Calibri" w:hAnsi="Calibri" w:eastAsia="微软雅黑"/>
                <w:b w:val="0"/>
                <w:i w:val="0"/>
                <w:sz w:val="18"/>
              </w:rPr>
              <w:t>陕电入皖±800千伏直流工程（P7004）</w:t>
            </w:r>
          </w:p>
        </w:tc>
        <w:tc>
          <w:tcPr>
            <w:tcW w:type="dxa" w:w="1660"/>
          </w:tcPr>
          <w:p>
            <w:r/>
            <w:r>
              <w:rPr>
                <w:rFonts w:ascii="Calibri" w:hAnsi="Calibri" w:eastAsia="微软雅黑"/>
                <w:b w:val="0"/>
                <w:i w:val="0"/>
                <w:sz w:val="18"/>
              </w:rPr>
              <w:t>特高压直流（P7004）</w:t>
            </w:r>
          </w:p>
        </w:tc>
        <w:tc>
          <w:tcPr>
            <w:tcW w:type="dxa" w:w="1660"/>
          </w:tcPr>
          <w:p>
            <w:r/>
            <w:r>
              <w:rPr>
                <w:rFonts w:ascii="Calibri" w:hAnsi="Calibri" w:eastAsia="微软雅黑"/>
                <w:b w:val="0"/>
                <w:i w:val="0"/>
                <w:sz w:val="18"/>
              </w:rPr>
              <w:t>集团兄弟院湖北工程公司参与设计，非川院（P7004）</w:t>
            </w:r>
          </w:p>
        </w:tc>
        <w:tc>
          <w:tcPr>
            <w:tcW w:type="dxa" w:w="1660"/>
          </w:tcPr>
          <w:p>
            <w:r/>
            <w:r>
              <w:rPr>
                <w:rFonts w:ascii="Calibri" w:hAnsi="Calibri" w:eastAsia="微软雅黑"/>
                <w:b w:val="0"/>
                <w:i w:val="0"/>
                <w:sz w:val="18"/>
              </w:rPr>
              <w:t>线路约1055公里（P7004）；外送能力3167万千瓦（P7004）；年输电量超360亿千瓦时（P7004）</w:t>
            </w:r>
          </w:p>
        </w:tc>
        <w:tc>
          <w:tcPr>
            <w:tcW w:type="dxa" w:w="1660"/>
          </w:tcPr>
          <w:p>
            <w:r/>
            <w:r>
              <w:rPr>
                <w:rFonts w:ascii="Calibri" w:hAnsi="Calibri" w:eastAsia="微软雅黑"/>
                <w:b w:val="0"/>
                <w:i w:val="0"/>
                <w:sz w:val="18"/>
              </w:rPr>
              <w:t>集团官网全文（对照组，P7004）</w:t>
            </w:r>
          </w:p>
        </w:tc>
      </w:tr>
    </w:tbl>
    <w:p>
      <w:r>
        <w:rPr>
          <w:rFonts w:ascii="Calibri" w:hAnsi="Calibri" w:eastAsia="微软雅黑"/>
          <w:b w:val="0"/>
          <w:i w:val="0"/>
          <w:sz w:val="22"/>
        </w:rPr>
        <w:t>这张表本身就是结论的一半：川院可回链的旗舰证据里，官网全文级的只有特高压设计（P7003）与用户侧储能总承包（P7005）两件，其余皆止于标题（P7001）；把表从左往右读是项目库，从右往左读是信息披露质量的梯度——买方对右侧两列的每一格，都应按其证据形态打折使用。</w:t>
      </w:r>
    </w:p>
    <w:p>
      <w:r>
        <w:rPr>
          <w:rFonts w:ascii="Calibri" w:hAnsi="Calibri" w:eastAsia="微软雅黑"/>
          <w:b w:val="0"/>
          <w:i w:val="0"/>
          <w:sz w:val="22"/>
        </w:rPr>
        <w:t>节奏维度的解读同样要分层。川院一侧，官网与检索集合呈现的中标叙事是零散而跨期的：「快讯｜8月，公司连续中标电网总承包项目」（P7001）说明电网总承包的中标有连续性，但未存档具体项目与金额；共享储能大单（P7001）、淮州新城设计（P7001）、津巴布韦设计（P7001）散布在不同时点；同一集合里还混着2026届秋季招聘启事、2026年博士后招聘公告（P7001）——人才端的持续招募侧证了业务扩张的取向，但也说明这类检索聚合天然喜讯与事务混流，不能当成交台账读。同业对照一侧，中冶长天的中标叙事密度明显更高：同一检索窗口（搜索日期2026年9月29日）命中25篇（P7000）与23篇（P7002）中标签约类文章，项目谱系横跨烧结EPC（安钢周口265平米烧结EPC项目，P7000）、采选设计（马坑矿业1000万t/a采选扩能工程设计项目，P7000）、海外环保EP（俄罗斯新利钢烧结烟气脱硫EP项目，P7000）、房建EPC（两个装配式EPC总承包学校项目，P7000；中国医学科学院肿瘤医院分院（廊坊院区）EPC项目，P7000）、联合体总承包（国家癌症中心科研及动物实验中心项目、龙钢公司白云岩矿加工厂EPC总承包项目，P7000）、烟气治理（永锋集团临港二期烧结机烟气净化EPC项目，P7000；「中冶长天环能公司又中标一烧结烟气超低排放项目」，P7000）与全过程咨询（深圳金洲科技大楼全过程工程咨询项目，P7000）；时间标定点从2019年开门红的烧结总承包合同（P7000），到2023年12月27日的马坑矿业报道（P7000），再到2026年4月3日的首季开门红连中多单（P7002）——一条连续多年的中标叙事线。</w:t>
      </w:r>
    </w:p>
    <w:p>
      <w:r>
        <w:rPr>
          <w:rFonts w:ascii="Calibri" w:hAnsi="Calibri" w:eastAsia="微软雅黑"/>
          <w:b w:val="0"/>
          <w:i w:val="0"/>
          <w:sz w:val="22"/>
        </w:rPr>
        <w:t>人才端的节奏侧证同样值得记录。川院检索集合里的校招线索横跨多个年度——「校招！四川电力设计咨询公司2021届校园招聘开始了！」「国企！中国电建四川电力设计咨询公司2024届校园招聘」（P7001），到「【央企编制】中国电建四川电力设计咨询有限责任公司2026届秋季招聘启事」（P7001），再加上「四川电力设计咨询有限责任公司博士后创新实践基地2026年招聘博士后公告」（P7001）——校招的连续性说明组织编制在滚动扩张，博士后创新实践基地的设站与招聘（P7001）则说明其向高端人才市场要技术增量的意图。对买方，这类人事侧证的价值在于交叉验证：业务扩张叙事（中标喜报，P7001）与组织扩张叙事（校招启事，P7001）若同向，扩张为真的概率抬升；若背离——订单涨而招聘缩——则要警惕叙事先行于业务。本章快照里两者同向（P7001），扩张取向成立，但扩张的质量——人均产出、人才结构、编制效率——仍待组织与人才一章检验。</w:t>
      </w:r>
    </w:p>
    <w:p>
      <w:r>
        <w:rPr>
          <w:rFonts w:ascii="Calibri" w:hAnsi="Calibri" w:eastAsia="微软雅黑"/>
          <w:b w:val="0"/>
          <w:i w:val="0"/>
          <w:sz w:val="22"/>
        </w:rPr>
        <w:t>这面镜子的含义不是比大小，而是比模式，值得再深挖一层。中冶长天样本展示了设计院系企业EPC扩张的「跨域扩散」形态：从烧结、料场、脱硫这些冶金本行（P7000），溢出到学校（两个装配式EPC总承包学校项目，P7000）、医院（肿瘤医院分院EPC，P7000）、科研设施（国家癌症中心项目联合体，P7000）、产业园（马来西亚关丹，P7000）乃至大楼咨询（深圳金洲科技大楼全过程工程咨询，P7000）；区域上则反复深耕同一经济圈——检索集合里「中冶长天中标粤港澳大湾区又一项目」的标题反复出现（P7000；P7002），显示其在一个区域市场的滚动渗透。驱动这种扩散的机制，是设计资质与工程业绩的复用：甲级设计资质加EPC业绩背书，可以横移到房建与市政类标的，联合体模式（国家癌症中心、龙钢白云岩矿两案均为联合体中标，P7000）则补足施工资质与资金短板。川院的可核验叙事呈现另一种形态：电网总承包（P7001）、储能总承包（P7005）、特高压设计（P7003）、综合智慧能源设计（P7001）——高度集中在电力本行，深度有余、跨度未显。两种路线无优劣，但买方应知道自己在买哪一种：本行纵深型看专业壁垒与单一行业景气的绑定度，跨域扩散型看组织复制能力与区域渗透率；对川院的估值模型里，电网投资与新能源装机的行业beta应占更大权重，而房建周期的beta几乎可以忽略。</w:t>
      </w:r>
    </w:p>
    <w:p>
      <w:r>
        <w:rPr>
          <w:rFonts w:ascii="Calibri" w:hAnsi="Calibri" w:eastAsia="微软雅黑"/>
          <w:b w:val="0"/>
          <w:i w:val="0"/>
          <w:sz w:val="22"/>
        </w:rPr>
        <w:t>比中标节奏更值得警惕的，是「报喜」与「报忧」两套信息系统的结构性不对称。官网与微信渠道沉淀的是投运、中标、纪录类的喜报（P7003；P7005；P7001），而工程行业的另一本账记在裁判文书里。证据库收录的按年分卷裁判文书聚合文件，逐卷标注了「EPC相关」篇数：2010年148篇（P7019）、2011年61篇（P7033）、2012年216篇（P7016）、2013年2170篇（P7013）、2014年5275篇（P7012）、2015年8654篇（P7010）、2016年10763篇（P7009）、2017年11716篇（P7008）、2018年5754篇（P7011）、2019年41550篇（P7007）、2020年42935篇（P7006）、2021年324篇（P7017）。以首尾两卷对照，2020年对2010年放大了两个数量级还多（42935÷148，own_calc，P7006；P7019）——工程总承包大规模铺开的这些年，正是纠纷判例同步膨胀的年份；喜报的增速有多快，裁判文书库里躺着的对手方就有多少。卷内个案的形态也说明了这类纠纷的日常性：2020年卷的卷首案例即黑龙江省水利水电集团第二工程有限公司与塔河县红平运输队的建设工程施工合同纠纷管辖裁定，案号（2020）黑27民辖终7号，裁判日期2020年12月1日（P7006）——连管辖权归属都要打到中级法院终审，工程合同当事方的对抗烈度可见一斑。但这个序列自身也要先消毒再使用：2018年的回落与2021年的骤降（5754篇、324篇，P7011；P7017）更可能反映采集口径与完整性的变化而非市场真实降温——文书公开政策、采集批次与年份分卷方式都会在序列上刻下人工的锯齿，把它直接当市场趋势曲线引用是数据纪律不允许的。消毒后的可用结论只有一条定性判断：EPC相关纠纷的存量基数庞大且长期存在（P7006至P7017各卷），任何旗舰项目的完美喜报都只是故事的正面，背面写着结算、索赔与质保——那一面由本报告风险档案一章专章清点。</w:t>
      </w:r>
    </w:p>
    <w:p>
      <w:r>
        <w:rPr>
          <w:rFonts w:ascii="Calibri" w:hAnsi="Calibri" w:eastAsia="微软雅黑"/>
          <w:b w:val="0"/>
          <w:i w:val="0"/>
          <w:sz w:val="22"/>
        </w:rPr>
        <w:t>对买方更可操作的，是把这套不对称转化成一套尽调流程。第一步，以喜报清单为索引反查合同要素：把目标公司历次投运与中标喜报列成台账，逐条补齐角色（设计/EP/EPC/咨询）、业主、金额、联合体份额、工期五要素——本章对川院做的正是这件事，底表显示五要素齐备的条目占比很低（全文级两件亦缺金额，P7003；P7005），这本身就是尽调发现的第一个结论。第二步，以裁判文书库为镜像反查风险要素：按目标公司及其常任联合体伙伴的名称检索裁判文书，按案由（施工合同纠纷、装饰装修、设备租赁、管辖异议等——证据库各卷即按此类案由聚合，P7006至P7017）与对手方分层归档，得到与喜报对称的另一张台账。第三步，以过程控制成熟度检验交付体系：项目目标控制要素（进度、质量、费用、HSE）与管理控制要素（综合、合同、范围、资源、信息、沟通、风险、变更）是否落到台账与岗位（P7025），决定前两张台账之间的缺口会不会继续扩大。三步合起来，喜报的「正面」与文书的「背面」才能在同一个档案架上对账。</w:t>
      </w:r>
    </w:p>
    <w:p>
      <w:r>
        <w:rPr>
          <w:rFonts w:ascii="Calibri" w:hAnsi="Calibri" w:eastAsia="微软雅黑"/>
          <w:b w:val="0"/>
          <w:i w:val="0"/>
          <w:sz w:val="22"/>
        </w:rPr>
        <w:t>两本台账对完账，结论要落回估值语言才有用。喜报台账给出的输入是三件套：能力信号——高原特高压设计纪录（P7003）；交付纪录——35天的用户侧储能安装工期（P7005）；订单线索——标题级的电网侧与综合智慧能源中标（P7001）。判例台账给出的对冲输入同样清晰：行业纠纷基数庞大且长期存在（P7006至P7017各卷），价格调差与结算终局是高发案由（P7029），收尾与缺陷责任是喜报不写的长尾（P7025）。合成到估值上的正确姿势，是把前者记入「收入端的可能性」，把后者记入「成本端的或有」，而不是让喜报单独上桌。落到具体科目可以更直白：未披露金额的设计包（P7003）不进订单储备，只进资格档案；标题级中标（P7001）按未确认事项处理、按线索持续管理；全文级的总承包投运纪录（P7005）可作为能力证据进入定性评分，但其财务贡献仍以报表口径为准；集团对照组业绩（P7004）从公司口径中剔除，只作坐标系。这套记账规则朴素，却能把「旗舰项目库」从宣传册素材变成尽调底稿——买方据此得到的不是一个更乐观或更悲观的川院，而是一个边界清晰、可被后续证据持续修正的川院；边界清晰的判断才配得上价格，这正是本章全部工艺的落点。</w:t>
      </w:r>
    </w:p>
    <w:p>
      <w:r>
        <w:rPr>
          <w:rFonts w:ascii="Calibri" w:hAnsi="Calibri" w:eastAsia="微软雅黑"/>
          <w:b w:val="0"/>
          <w:i w:val="0"/>
          <w:sz w:val="22"/>
        </w:rPr>
        <w:t>最后一层方法论提醒：投运不是终点，喜报不是账本。行业专著把EPC项目建设阶段拆解为启动、策划、实施、控制、收尾等子过程，并对设计、采购、施工、试运行实施全过程控制（P7025）——「投运」二字在过程谱系里对应试运行节点的完成，其后收尾过程的结算、移交、缺陷责任与经验归档（P7025）才是利润的最终收割带；收尾做不好，前面所有的「顺利投运」都只是把亏损推迟入账。方法论还给这种节律性管理起了名字——该专著把「适宜的管理方法——戴明循环管理法」列为建设阶段管理的开篇章节（P7025），计划、执行、检查、处理的闭环滚动，对应的正是项目部例会与月报的工作节律；能把闭环真正焊进日常报表体系的工程公司，收尾阶段的教训才会回流到下一个项目的启动策划里（P7025，启动、策划、实施、控制、收尾的子过程体系），组织能力才算有了复利回路。争议解决专著的目录进一步把这段暗线写实：从「材料涨价遭遇固定价格，如何破解调差僵局」到「EPC合同按固定总价结算后……要求重新结算」，典型争议密集分布在价格与结算两端（P7029）——恰是喜报文体天然不写的段落。由此可以立下读报的操作规程，供买方在翻阅任何一份投运喜报时套用：先验角色——把「参建」「勘察设计」「总承包建设」「中标」逐字分拣，设计、EP、EPC、咨询四类角色的收入与风险含义各不相同（P7003；P7005；P7001）；再核主体——标题里的「公司」「四川」「中国电建」是否指向目标公司，正文不在档的按存疑处理（P7001；P7026）；后查份额——联合体结构、合同金额、付款节奏未披露的，一律按信息披露不完全定价（P7003；P7005）。拿本章自己的样本走一遍规程：川渝特高压喜报，角色为勘察设计包1与变电站设计B包（P7003）、主体为公司官网自述（P7003）、金额与份额未披露（P7003），定级为「设计期权」；天原储能喜报，角色为总承包建设（P7005）、交付纪录为35天（P7005）、占比口径待核（P7005），定级为「EPC凭据、财务口径待验」；共享储能标题，角色自称总承包（P7001）、五要素全缺（P7001），定级为「待核实线索」。三份证据三种定级，同一家公司、同一个章节之内——这就是喜报世界的真实分辨率。所以呢——中标与投运节奏的正确读法，不是数喜报的篇数，而是给每篇喜报做角色分拣与证据分级；本章这张底表就是示范：两件全文级（P7003；P7005）、若干标题级（P7001）、一件对照组（P7004），各自的估值权重由此而异。</w:t>
      </w:r>
    </w:p>
    <w:p>
      <w:pPr>
        <w:pStyle w:val="Heading2"/>
      </w:pPr>
      <w:r>
        <w:t>7.5 本章小结与盲区</w:t>
      </w:r>
    </w:p>
    <w:p>
      <w:r>
        <w:rPr>
          <w:rFonts w:ascii="Calibri" w:hAnsi="Calibri" w:eastAsia="微软雅黑"/>
          <w:b w:val="0"/>
          <w:i w:val="0"/>
          <w:sz w:val="22"/>
        </w:rPr>
        <w:t>本章把川院的旗舰项目证据按「特高压设计—储能总承包—海外设计—中标节奏」重新过秤，得到的核心图景可以压缩为几句：特高压方向，川院握有川渝1000千伏交流工程的勘察设计包段与一组全球海拔纪录（P7003），这是设计端的高原认证而非EPC战绩，集团同期投运的陕电入皖±800千伏直流属兄弟院业绩（P7004），映照出电建系内部分工网络中川院的西南场景坐标；储能方向，40兆瓦/80兆瓦时天原工业储能项目以「总承包建设」身份投运、安装工期35天（P7005），是证据库中角色最清晰的EPC凭据，电网侧另有225MW/900MWh共享储能的标题级中标（P7001），充放时长按容量换算为4小时（own_calc：900÷225=4，P7001）；海外方向，可核验战绩止于津巴布韦输电工程设计一条标题（P7001）；节奏方向，同业中冶长天的跨域中标谱系（P7000；P7002）与裁判文书库庞大的EPC相关判例存量（P7006至P7017各卷）共同构成「喜报之外」的两翼参照。全章反复锤打的是同一个分析范式：角色分野（设计还是总承包）、证据分野（全文还是标题）、口径分野（工程产出还是公司收入）——对买方的总提醒只有一条：在这份项目库里，这三道分野比任何单项纪录都更值得逐格核对。框架如此，证据的缺口也必须如实摊开——以下盲区请读者在引用本章任何结论时一并掂量。</w:t>
      </w:r>
    </w:p>
    <w:p>
      <w:pPr>
        <w:pStyle w:val="ListBullet"/>
      </w:pPr>
      <w:r>
        <w:rPr>
          <w:rFonts w:ascii="Calibri" w:hAnsi="Calibri" w:eastAsia="微软雅黑"/>
          <w:b/>
          <w:i w:val="0"/>
          <w:sz w:val="22"/>
        </w:rPr>
        <w:t>标题级证据占比过高，关键商业条款全面缺失</w:t>
      </w:r>
      <w:r>
        <w:rPr>
          <w:rFonts w:ascii="Calibri" w:hAnsi="Calibri" w:eastAsia="微软雅黑"/>
          <w:b w:val="0"/>
          <w:i w:val="0"/>
          <w:sz w:val="22"/>
        </w:rPr>
        <w:t>。电网侧共享储能（225MW/900MWh）、淮州新城光储充、津巴布韦输电设计等战绩在库内仅存标题（P7001），业主身份、中标金额、联合体结构与份额、合同模式、工期均不可回链；「1.82亿储能EPC」「8.7亿光伏」「42亿大项目」「超27亿元中国电建拟中标」等金额标题（P7001）连中标主体是否为川院都无法核验，本章已按存疑处理，读者切勿将其计入川院订单。</w:t>
      </w:r>
    </w:p>
    <w:p>
      <w:pPr>
        <w:pStyle w:val="ListBullet"/>
      </w:pPr>
      <w:r>
        <w:rPr>
          <w:rFonts w:ascii="Calibri" w:hAnsi="Calibri" w:eastAsia="微软雅黑"/>
          <w:b/>
          <w:i w:val="0"/>
          <w:sz w:val="22"/>
        </w:rPr>
        <w:t>特高压战绩属勘察设计口径，不能外推总承包能力</w:t>
      </w:r>
      <w:r>
        <w:rPr>
          <w:rFonts w:ascii="Calibri" w:hAnsi="Calibri" w:eastAsia="微软雅黑"/>
          <w:b w:val="0"/>
          <w:i w:val="0"/>
          <w:sz w:val="22"/>
        </w:rPr>
        <w:t>。川院在川渝特高压工程中的角色是线路勘察设计包1与变电站设计B包（P7003），官网全文未披露设计合同金额与份额；据此判断川院「具备特高压EPC能力」缺乏证据支撑，本章仅认定其高原特高压设计纪录（P7003）。</w:t>
      </w:r>
    </w:p>
    <w:p>
      <w:pPr>
        <w:pStyle w:val="ListBullet"/>
      </w:pPr>
      <w:r>
        <w:rPr>
          <w:rFonts w:ascii="Calibri" w:hAnsi="Calibri" w:eastAsia="微软雅黑"/>
          <w:b/>
          <w:i w:val="0"/>
          <w:sz w:val="22"/>
        </w:rPr>
        <w:t>海外EPC业绩库缺位</w:t>
      </w:r>
      <w:r>
        <w:rPr>
          <w:rFonts w:ascii="Calibri" w:hAnsi="Calibri" w:eastAsia="微软雅黑"/>
          <w:b w:val="0"/>
          <w:i w:val="0"/>
          <w:sz w:val="22"/>
        </w:rPr>
        <w:t>。可核验的海外证据只有设计项目一条标题（P7001），海外总承包的合同、履约与风险记录在本章证据库中为零；「出海EPC」相关判断须待国际对标章与后续证据补齐。</w:t>
      </w:r>
    </w:p>
    <w:p>
      <w:pPr>
        <w:pStyle w:val="ListBullet"/>
      </w:pPr>
      <w:r>
        <w:rPr>
          <w:rFonts w:ascii="Calibri" w:hAnsi="Calibri" w:eastAsia="微软雅黑"/>
          <w:b/>
          <w:i w:val="0"/>
          <w:sz w:val="22"/>
        </w:rPr>
        <w:t>财务口径全缺位，项目与报表无法勾稽</w:t>
      </w:r>
      <w:r>
        <w:rPr>
          <w:rFonts w:ascii="Calibri" w:hAnsi="Calibri" w:eastAsia="微软雅黑"/>
          <w:b w:val="0"/>
          <w:i w:val="0"/>
          <w:sz w:val="22"/>
        </w:rPr>
        <w:t>。所有旗舰项目均无川院侧收入、利润、回款数据；母集团层面虽有中国电建2026年半年度报告入库（P7026），但库内版本未见涉及川院的分部明细，且该报告未经审计（P7026）——旗舰项目对营收利润的真实贡献度，须与财务透视一章交叉验证后方可落定。</w:t>
      </w:r>
    </w:p>
    <w:p>
      <w:pPr>
        <w:pStyle w:val="ListBullet"/>
      </w:pPr>
      <w:r>
        <w:rPr>
          <w:rFonts w:ascii="Calibri" w:hAnsi="Calibri" w:eastAsia="微软雅黑"/>
          <w:b/>
          <w:i w:val="0"/>
          <w:sz w:val="22"/>
        </w:rPr>
        <w:t>官网喜报文体的信息损失</w:t>
      </w:r>
      <w:r>
        <w:rPr>
          <w:rFonts w:ascii="Calibri" w:hAnsi="Calibri" w:eastAsia="微软雅黑"/>
          <w:b w:val="0"/>
          <w:i w:val="0"/>
          <w:sz w:val="22"/>
        </w:rPr>
        <w:t>。投运时点仅到「12月27日」的日粒度、年份未在文内写明（P7003），工程纪录均无对照口径说明（P7005的「占全省总装机容量的50%以上」未明示分母是否仅限用户侧）；引用这些表述做量化分析时，颗粒度风险由引用者自担。</w:t>
      </w:r>
    </w:p>
    <w:p>
      <w:pPr>
        <w:pStyle w:val="ListBullet"/>
      </w:pPr>
      <w:r>
        <w:rPr>
          <w:rFonts w:ascii="Calibri" w:hAnsi="Calibri" w:eastAsia="微软雅黑"/>
          <w:b/>
          <w:i w:val="0"/>
          <w:sz w:val="22"/>
        </w:rPr>
        <w:t>判例篇数序列受采集完整性干扰</w:t>
      </w:r>
      <w:r>
        <w:rPr>
          <w:rFonts w:ascii="Calibri" w:hAnsi="Calibri" w:eastAsia="微软雅黑"/>
          <w:b w:val="0"/>
          <w:i w:val="0"/>
          <w:sz w:val="22"/>
        </w:rPr>
        <w:t>。裁判文书聚合卷标注的EPC相关篇数在2018年回落、2021年骤降（P7011；P7017），与采集口径的关系大于与市场景气的关系，本章仅将其用于定性证明判例存量庞大（P7006至P7017），未作趋势推断；纠纷的个案清点留待风险档案一章。</w:t>
      </w:r>
    </w:p>
    <w:p>
      <w:pPr>
        <w:pStyle w:val="ListBullet"/>
      </w:pPr>
      <w:r>
        <w:rPr>
          <w:rFonts w:ascii="Calibri" w:hAnsi="Calibri" w:eastAsia="微软雅黑"/>
          <w:b/>
          <w:i w:val="0"/>
          <w:sz w:val="22"/>
        </w:rPr>
        <w:t>对照组业绩的边界</w:t>
      </w:r>
      <w:r>
        <w:rPr>
          <w:rFonts w:ascii="Calibri" w:hAnsi="Calibri" w:eastAsia="微软雅黑"/>
          <w:b w:val="0"/>
          <w:i w:val="0"/>
          <w:sz w:val="22"/>
        </w:rPr>
        <w:t>。陕电入皖±800千伏工程（P7004）为湖北工程公司业绩、中冶长天项目群（P7000；P7002）为冶金行业同业样本，两者仅作坐标参照，不属于川院项目库，汇总任何「集团加总」口径时须先行剔除。</w:t>
      </w:r>
    </w:p>
    <w:p>
      <w:r>
        <w:rPr>
          <w:rFonts w:ascii="Calibri" w:hAnsi="Calibri" w:eastAsia="微软雅黑"/>
          <w:b w:val="0"/>
          <w:i w:val="0"/>
          <w:sz w:val="22"/>
        </w:rPr>
        <w:t>盲区不是本章的失败，而是研究纪律的一部分：一张标明了边界的项目库，比一张画到天边的战绩图更值得押注。还应说明的是，本章的全部证据以官网全文、集团官网与微信检索聚合为限（P7003；P7004；P7005；P7001；P7000；P7002），招投标公告平台、上市公司公告与业主侧披露等更硬的合同级信源未进入本章证据池——这既是检索设计的取舍，也是后续补证的方向。读者带着这张底表进入后续章节——以财务透视章检验这些项目的收入兑现、以风险档案章检验其纠纷背面、以国际对标章检验出海叙事——每一步交叉核对，都是在替自己的决策账户做一次对账；而对账完成之日，才是「旗舰项目」从宣传语还原为资产清单之时。</w:t>
      </w:r>
    </w:p>
    <w:p>
      <w:r>
        <w:rPr>
          <w:rFonts w:ascii="Calibri" w:hAnsi="Calibri" w:eastAsia="微软雅黑"/>
          <w:b w:val="0"/>
          <w:i w:val="0"/>
          <w:sz w:val="22"/>
        </w:rPr>
        <w:t>---</w:t>
      </w:r>
    </w:p>
    <w:p>
      <w:pPr>
        <w:pStyle w:val="Heading1"/>
      </w:pPr>
      <w:r>
        <w:t>第8章 风险档案：纠纷判例、失败案例与风险因子</w:t>
      </w:r>
    </w:p>
    <w:p>
      <w:pPr>
        <w:ind w:left="454"/>
      </w:pPr>
      <w:r>
        <w:rPr>
          <w:rFonts w:ascii="Calibri" w:hAnsi="Calibri" w:eastAsia="微软雅黑"/>
          <w:b w:val="0"/>
          <w:i w:val="0"/>
          <w:color w:val="666666"/>
          <w:sz w:val="22"/>
        </w:rPr>
        <w:t>风险不靠形容词，靠判例丈量。本章潜入EPC相关裁判文书的密集区，逐案拆解工程款、分包、挂靠、主体资格与合同结构等风险因子的败局现场：钱在哪里丢、责任从哪里烧过来、哪一道门没有关。</w:t>
      </w:r>
    </w:p>
    <w:p>
      <w:pPr>
        <w:pStyle w:val="Heading2"/>
      </w:pPr>
      <w:r>
        <w:t>8.1 诉讼全景：十二万篇裁判文书里的分布与信号</w:t>
      </w:r>
    </w:p>
    <w:p>
      <w:r>
        <w:rPr>
          <w:rFonts w:ascii="Calibri" w:hAnsi="Calibri" w:eastAsia="微软雅黑"/>
          <w:b w:val="0"/>
          <w:i w:val="0"/>
          <w:sz w:val="22"/>
        </w:rPr>
        <w:t>先看量级。本章弹药库收录的裁判文书年度卷宗给出了一个逐年序列：以"EPC相关"为检索口径，2010年全国裁判文书为148篇（P8013），2011年为61篇（P8015），2012年为216篇（P8011），2013年为2170篇（P8010），2014年为5275篇（P8009），2015年为8654篇（P8007），2016年为10763篇（P8006），2017年为11716篇（P8005），2018年为5754篇（P8008），2019年为41550篇（P8004），2020年为42935篇（P8003），2021年为324篇（P8012）。十二年合计129566篇（own_calc：148+61+216+2170+5275+8654+10763+11716+5754+41550+42935+324=129566）。从2010年的148篇（P8013）到2020年的42935篇（P8003），年度篇数放大约290倍（42935÷148，own_calc）。这个序列传递的第一个信号是：工程总承包及其上下游链条上的诉讼早已是高频事件而非小概率意外，任何一份EPC合同在签订之时，就应当默认自己未来可能出现在某个案号里——问题只在于以什么身份出现、以多少钱收场。把判例当风险教材还有一层方法论理由：与事故报告、舆情碎片相比，裁判文书经过双方对抗与法官审查，事实认定自带程序背书——本章引用的每一个金额、每一个日期，都出自这样的对抗性文本，而非任何一方的单方陈述（P8003、P8006、P8015等卷宗）。买方据此可以做一件在别的领域很难做的事：用对手的败诉记录，直接校准自己的合同条款。第二个信号是结构性的：篇数在2013年至2017年间连续抬升（从2170篇到11716篇，P8010、P8005），说明随着工程总承包模式在政策推动下的铺开，诉讼基盘同步扩大，模式普及的速度与纠纷积累的速度是同一枚硬币的两面。对政策制定者与企业管理者，这组序列的共同含义是：推广工程总承包的宏观收益（压缩管理层级、统一责任主体、缩短建设周期）与微观诉讼成本是同时到账的；企业享受模式红利的前提，是把法务、造价、项目管理的能力建设提到与市场开拓相同的优先级。判例数量的连续抬升期，恰是行业能力建设欠账的集中暴露期——谁在扩张期补课，谁就在诉讼周期里少付学费。</w:t>
      </w:r>
    </w:p>
    <w:p>
      <w:r>
        <w:rPr>
          <w:rFonts w:ascii="Calibri" w:hAnsi="Calibri" w:eastAsia="微软雅黑"/>
          <w:b w:val="0"/>
          <w:i w:val="0"/>
          <w:sz w:val="22"/>
        </w:rPr>
        <w:t>曲线的后半段需要审慎解读。2019年篇数从上一年的5754篇跳升至41550篇（P8004、P8008），2021年又骤降至324篇（P8012），这种断崖式波动更多反映裁判文书上网范围、检索引擎口径与采集完整度的变化，而不是纠纷量的真实起落——本报告不将2019年与2021年的极端值解读为市场信号，只将其作为"公开数据存在结构性缺口"的证据（该局限亦列入本章盲区）。但即便取最保守的观察窗口，2018年仍有5754篇EPC相关文书沉淀在公开渠道（P8008），足以支撑类型学分析；而2020年的42935篇（P8003）与2019年的41550篇（P8004）两个高位年份连续出现，至少说明在文书上网最充分的时段，这类纠纷的公开存量是数万件量级。对买方的含义（So what）有三层：其一，不能用"我们这个行业诉讼少"来做风险定价，公开可见的部分已经足够密集，真实存量只会更大；其二，检索口径本身是变量，做竞对尽调或合作方涉诉筛查时，必须交叉多个数据源而非依赖单一文书库；其三，逐年序列的价值不在绝对数，而在它划出了风险管理必须覆盖的时间纵深——一个跨五年建设的EPC项目，必然穿越至少五个"数万篇"的纠纷年份。把这一点折算成管理语言：同时执行多个跨省项目的总承包商，面对的不是若干份合同风险的简单叠加，而是多个工程所在地法院的管辖格局、多组分包商的信用敞口、以及可能同时断裂的多条付款链；公开判例库里的每一类败局，都可能在任何一个在建项目上重演。风险档案的价值因此不是预言，而是让管理者在签约之前就看见最坏剧本的形状。</w:t>
      </w:r>
    </w:p>
    <w:p>
      <w:r>
        <w:rPr>
          <w:rFonts w:ascii="Calibri" w:hAnsi="Calibri" w:eastAsia="微软雅黑"/>
          <w:b w:val="0"/>
          <w:i w:val="0"/>
          <w:sz w:val="22"/>
        </w:rPr>
        <w:t>从本章收录的判例看，纠纷类型的谱系至少覆盖六类。其一，工程款结算与拖欠：宜阳县假山工程纠纷中，被告累计拖欠原告工程款15190038.4元（P8006）；荣成住宅楼纠纷中，被告欠付本金即达1469961.15元，另加违约金主张187143.88元（P8015）；乐清房屋建设纠纷中，双方在收条上为455000元是否"全部结清"缠讼多年（P8013）。其二，质量与工期反诉：荣成案中被告以工程质量为由反诉，称已花修理费145585.88元、待修部分估算149034.40元，合并请求维修费294620.28元（P8015）。其三，分包与转包连环诉讼：新乡铝合金窗分包纠纷中，总包合同明确约定"本工程不允许分包"，分包照样发生并诉至二审（P8007）；佛山农田改造工程中，承包、非法分包、再违法分包形成三层转包链，连带责任请求随之而来（P8011）；湛江脚手架租金纠纷的被告一方还是中铁六局集团的项目部（P8009）。其四，设备与周转材料欠款：该湛江案中结算租金246254元、尚欠100000元（P8009）。其五，执行不能与股东追加：宁波装饰公司执行案中，被执行公司名下无任何财产可供执行，债权人转而申请追加夫妻股东为被执行人（P8012）。其六，程序性争点：管辖异议、按撤诉处理、撤诉负担诉讼费、终结执行等（P8003、P8004、P8010）。六类谱系说明，EPC的风险不是单点的，而是沿"业主—总包—分包—实际施工人—材料设备商—劳动者"整条链条分布；任何一环断裂，都会以诉讼形式在链条上显性化，而诉讼发生的位置，往往离合同签订的位置很远——这正是风险管理的难点所在。还应看到，六类风险在本章样本中的分量并不均匀：工程款类案件证据链最长、金额最大（宜阳案拖欠总额达15190038.4元，P8006；荣成案欠付本金1469961.15元，P8015），程序类案件金额小但环节多（撤诉案件受理费从1957元到8173.50元不等，P8010），执行类案件则决定前两者的最终含金量（P8012）。买方应把风险预算按三条线分别列支：实体败诉预算、程序消耗预算、执行落空预算。六类之间还会相互转化：工程款拖欠催生质量反诉，分包纠纷牵出设备租赁欠款，执行不能倒逼股东追加——诉讼一旦启动，很少停留在单一案由里。阅读任何一份EPC投标文件时，不妨把投标人的涉诉类型分布当作其管理质量的X光片：频当工程款被告的企业，多半现金流紧张；被分包商反复起诉的企业，多半分包管控失序；常陷管辖争执的企业，多半合同文本粗疏。这比任何资质证书都诚实。</w:t>
      </w:r>
    </w:p>
    <w:p>
      <w:r>
        <w:rPr>
          <w:rFonts w:ascii="Calibri" w:hAnsi="Calibri" w:eastAsia="微软雅黑"/>
          <w:b w:val="0"/>
          <w:i w:val="0"/>
          <w:sz w:val="22"/>
        </w:rPr>
        <w:t>更值得四川院读者注意的是被告席与原告席上的熟悉面孔。中国能源建设集团系统内至少有五个案件在库：江苏省电力建设第三工程有限公司与十一冶建设集团的施工合同纠纷打到二审（P8000）；广东泰扬电生电力建设工程有限公司与中国能源建设集团广东电力工程局有限公司被一并起诉（P8016）；中国能源建设集团广东火电工程有限公司与广东建安消防机电工程有限公司第九分公司的施工合同纠纷同样进入二审（P8018）；伊吾东方民生新能源有限公司起诉中国能源建设集团新疆电力设计院有限公司的建设工程设计合同纠纷进入二审（P8019）；中国能源建设集团东北电力第二工程有限公司则作为原告起诉黔西南州元豪投资有限公司、贵州元豪发电有限公司（P8020）。设计院身份直接站在被告席的还有攀枝花一案：业主攀枝花中禾矿业有限公司将攀钢集团设计研究院有限公司与中冶长天国际工程有限责任公司一并列为被告（P8001）。央企巨头之间的对垒也非孤例：中铁十五局集团有限公司与中铁隧道集团有限公司及其杭州公司的施工合同纠纷进入再审程序（P8010）；重庆半山一号房地产有限公司与望建（集团）有限公司的纠纷打到再审审查（P8005）。这批文书中部分正文在采集时损坏，判决金额与裁判要旨无法提取，本章只能定性引用（详见盲区），但案件的存在本身就是信号：电力设计咨询与EPC承包链条上的每一家机构——无论央企子公司、省级设计院还是民营分包商——都会被卷入诉讼机器。判例的存在还有一层尽调价值：裁判文书是公开、可检索、带时间戳的行为记录，一家合作方过去的案由结构、败诉比例、执行记录，都可以在签约前低成本取得；放弃使用这个信息源，等于闭着眼睛选择对手方。从行业对照看，本库年度卷宗覆盖的场景还包括水利水电施工（P8003）与铁路站房工程（P8009），说明纠纷并不挑行业；电力EPC在公开判例中相对安静，未必因为风险更低，更可能因为项目集中度高、争议多以协商方式在体系内消化——这恰意味着公开判例低估而非高估了电力行业的真实纠纷面。程序层面的成本同样真实：泰安乔振军案中，原告因未在七日内预交案件受理费，案件被按撤诉处理（P8004）；三门峡乔文波与中十治集团有限公司执行案中，申请执行人于2019年12月2日书面申请撤销执行申请，法院裁定终结（2019）豫1222执886号案件的执行（P8004）；德化蔡维林案中，原告以"本案事实无法查清"申请撤诉，负担案件受理费3914元减半收取的1957元（P8010）；扬州盈创案撤诉，负担受理费16347元减半收取的8173.50元（P8010）。So what：评估任何EPC合作方时，涉诉记录应作为常规尽调项而非禁忌话题；而自身维权时，立案、保全、缴费、执行每一步都有独立的失败模式，需要在合约签订前就预留证据与预算。把程序成本也算进风险预算的理由很直接：实体上能赢的案子，可能倒在缴费期限上（P8004）；执得回来的债权，可能因一纸撤销申请而终结（P8004）；而"事实无法查清"的撤诉理由（P8010），往往意味着证据管理在项目现场就已经输掉了——程序失败几乎总能向前追溯到现场管理的某个缺口。</w:t>
      </w:r>
    </w:p>
    <w:p>
      <w:pPr>
        <w:pStyle w:val="Heading2"/>
      </w:pPr>
      <w:r>
        <w:t>8.2 工程款之殇：结算、证据与票证的三个败局现场</w:t>
      </w:r>
    </w:p>
    <w:p>
      <w:r>
        <w:rPr>
          <w:rFonts w:ascii="Calibri" w:hAnsi="Calibri" w:eastAsia="微软雅黑"/>
          <w:b w:val="0"/>
          <w:i w:val="0"/>
          <w:sz w:val="22"/>
        </w:rPr>
        <w:t>工程款是建设工程纠纷的绝对主线，本章选取三组证据链完整的案件做解剖。第一组是荣成住宅楼案，它几乎是一部"付款条款如何一步步失灵"的教科书。2006年5月1日，荣成市建筑安装有限公司与开发商荣成市水木龙江置业有限公司签订建筑工程合同，承建29号、31号住宅楼，包工包料，约定竣工日期为2006年11月20日；付款方式按形象进度分四档：工程开工后到二层封顶、水电预留跟上，原告报形象进度后两周内付65%工程款；主体封顶按形象进度付80%；水电调试完毕、全部工程竣工后，工程款付到95%；剩余5%作为工程保修金，保修期24个月（P8015）。此后每一个节点都在漂移：2006年7月4日双方签补充合同，将29号楼竣工日期改为2006年12月5日；工程实际于2007年5月20日竣工；至2007年9月24日，开发商仅支付工程款3698000元（P8015）。2008年1月9日，双方签订付款协议，确认已付3698000元，约定自签订协议之日再付50万元、另以3套住宅楼抵顶工程款697707元，剩余款项扣除5%质量保修金后于工程决算定案之日起15日内支付，开发商并承诺于2010年6月底前将3套房产过户给原告（P8015）。2008年6月4日双方完成决算，工程总价款为5847961.15元；至诉讼时保修期已满，原告主张被告共计欠付工程款1469961.15元，并请求按协议支付利息及违约金187143.88元（P8015）。被告的抗辩同样典型：一是质量反诉——称原告承建楼房存在严重质量问题，多次要求修理未果，找他人修复花费145585.88元，另有部分未修尚需修理费149034.40元，请求原告支付维修费用294620.28元（P8015）；二是为抵房条款开脱——称不能办理过户的原因是荣成市政府不给土地指标、无法取得土地使用权证，属不可抗力，且约定违约金过高应按银行同期贷款利息计算（P8015）。值得玩味的是双方立场的完整镜像：原告要钱，被告以质量与不可抗力挡钱——这是绝大多数工程款纠纷的标准阵型。对承包方的启示是，进入诉讼之前就要完成质量自检与证据固定，否则对方的反诉请求（本案为294620.28元，P8015）会在调解与判决中持续稀释本金的回收率；对业主方的启示则是，质量抗辩必须建立在可验证的修复支出与鉴定结论上，本案被告给出的已修与待修两组数字（P8015）正是这类抗辩的证据骨架。</w:t>
      </w:r>
    </w:p>
    <w:p>
      <w:r>
        <w:rPr>
          <w:rFonts w:ascii="Calibri" w:hAnsi="Calibri" w:eastAsia="微软雅黑"/>
          <w:b w:val="0"/>
          <w:i w:val="0"/>
          <w:sz w:val="22"/>
        </w:rPr>
        <w:t>荣成案的教训值得逐条拆给买方。第一，形象进度付款条款若无对账与签证机制配套，合同里65%、80%、95%的数字（P8015）会在争议中变成谈判筹码而非自动触发的付款义务——本案从二层封顶到竣工结算，每一次支付都滞后于合同时点，最终靠2008年的补充付款协议重新洗牌（P8015）。第二，以物抵债条款的价值实现完全取决于过户能力：3套住宅作价697707元抵顶工程款（P8015），听起来清偿了大半债务，但过户义务悬挂在外部行政审批（土地指标）上时，承包人拿到的是"纸面资产"；而法院对"政府不给指标属不可抗力"的抗辩显然持保留态度，因为案件最终还是以欠款与违约金的全面清算收场（P8015）。第三，保修金条款（本例为5%、保修期24个月，P8015）必须写明返还条件与时点，本案原告要专门论证"保修期已满"才能主张权利。第四，质量反诉是拖欠工程款案件的标准配置——本案反诉请求294620.28元（P8015），恰好可以对冲部分本金诉求；总承包商在向业主主张欠款时，应预留质量抗辩的应诉预算与自检证据。第五，抵债资产的选择权应在合同中保留替换与折价条款，当过户不能时直接转为金钱债务并起算利息，避免"等指标"式的无限期悬置（P8015）。这些教训的底层逻辑是一致的：付款条款的本质不是财务安排而是证据安排，每一笔支付都应当对应一份可归档的双签文件。还应看到，荣成案的全部争议都发生在结算定案之后（2008年6月4日决算，P8015）——结算并未终结风险，抵债履行与保修责任又开辟了第二战场；买方由此得到的推论是：合同必须为"结算后世界"立法，写明结算定案后各方的残余义务、抵债不能时的转换机制与保修回复程序，否则结算单只是中场哨而非终场哨。换言之，风险档案提醒买方把目光从签约日移开，投向付款日、结算日与保修期满日——合同风险的大头从来不在缔约瞬间，而在履约的时间轴上。So what：付款结构设计不是文本游戏，而是未来诉讼的弹药库；节点定义、对账机制、抵债估值、保修金返还四件事，签合同前每多写一句，案发后就少付一笔学费（P8015）。</w:t>
      </w:r>
    </w:p>
    <w:p>
      <w:r>
        <w:rPr>
          <w:rFonts w:ascii="Calibri" w:hAnsi="Calibri" w:eastAsia="微软雅黑"/>
          <w:b w:val="0"/>
          <w:i w:val="0"/>
          <w:sz w:val="22"/>
        </w:rPr>
        <w:t>第二组是宜阳假山案，它展示的是"边设计、边施工、无逐项合同"的结算战场。2013年12月3日，河南汇河建筑装饰工程有限公司与洛阳灵山国诚旅游发展有限公司签订塑石假山工程合同，造价按实际钢丝网片面积以188元/㎡计算；2014年1月23日双方又签补充协议，将温泉汤池工程也交其施工，按水池外围投影面积以2000元/㎡结算（P8006）。此后工程范围持续膨胀：施工过程中，被告又将5D电影院、儿童智慧城、捉鱼城、马车屋、树屋等园林景观工程及35项零星工程陆续交由原告施工，但均未逐项签订书面施工合同；由于被告未提供设计图纸，所有施工内容采取"原告边设计、边施工，完工一处、验收一处"的方式进行（P8006）。2014年11月工程全部完工并交付投入使用后，账目彻底失控：原告决算认为温泉假山、水上娱乐园假山、5D电影院、捉鱼城四项工程总造价8902476.4元，施工期间及其后被告累计支付7432708元，四项工程尚欠1469768元（P8006）；温泉汤池、马车屋、树屋及23项零星工程，经2014年11月18日与2015年5月22日两份结算单确认总价款12702400元；另有12项零星工程总造价1017870元，双方没有进行结算（P8006）。几项合计，被告共计拖欠原告工程款15190038.4元；鉴于被告无力支付全部欠款，原告只主张两份结算单确认的12702400元，其余未结清部分2487638.4元自行放弃（P8006）。这个"放弃"二字价值二百余万元——在被告无偿付能力时，确认之诉的金额越大，预交的诉讼费与执行不能的风险越大，原告被迫做了债权人最痛苦的选择题。更值得注意的是生成机制：本案不是承包人恶意，而是业主侧项目管理缺位的必然产物——无图纸交付、无单价清单、无逐项合同，"完工一处验收一处"的柔性安排在诉讼中会变成"谁也说不清一处值多少钱"（P8006）。So what：对总承包商而言，业主的每一次口头加项都是一次未定价的风险敞口；变更指令必须"先补价、再进场"，哪怕牺牲一点工期默契，也比事后在法庭上重建全部事实便宜（P8006）。本案还有一个容易忽略的细节：双方在2014年11月18日与2015年5月22日签过两份结算单，确认了12702400元（P8006）——正是这两份结算单，后来成为原告唯一敢于主张的债权部分；没有结算单支撑的工程量（四项主工程决算与12项零星，P8006）在对方无力付款时几乎等于自动放弃。项目管理的第一纪律因此可以写成一句话：可以晚开工，不可以晚签单。换到财务视角，"自行放弃"还意味着坏账确认与维权成本的重新配比：当被告已无偿付能力，把诉讼金额压到有结算单支撑的部分，既降低诉讼费预交基数，也提高执行命中率；放弃的部分并非消灭，只是不再经本案主张——债权人是在用诉权的收缩换执行的效率。总承包商的应收账款管理应当学习这种现实主义：区分"账面债权"与"可实现债权"，对后者配置诉讼资源，对前者尽早计提减值，而不是让报表停留在全额应收的幻觉里。</w:t>
      </w:r>
    </w:p>
    <w:p>
      <w:r>
        <w:rPr>
          <w:rFonts w:ascii="Calibri" w:hAnsi="Calibri" w:eastAsia="微软雅黑"/>
          <w:b w:val="0"/>
          <w:i w:val="0"/>
          <w:sz w:val="22"/>
        </w:rPr>
        <w:t>第三组是两起"票证与自认"的小案，金额不大，规则极硬。浙江引拓案中，涉案工程款总计769734元、含税金100400元；原告王卓成一审起诉时自认2015年1月27日之前承包人已支付工程款57万元，2016年3月10日又收到15万元，法院据此认定承包人已付共计72万元、超过不含税工程款数额；王卓成再审主张银行记录只能证明付了56万元、税金应按26540元认定，均未被采纳，再审申请被驳回（P8005）。此案的教训是双面的：自认一旦作出，即成为对方免证的武器，56万元的主张撞上57万元加15万元的自认记录，法院选择后者（P8005）；而"税金损失"若拿不出现金流凭证，法院会按造价咨询报告确认的税金总额100400元直接从应得工程款中扣除——原告因为拿不出发票等证据证明税金损失确已产生，等于替国家垫了一笔收不回的税（P8005）。湛江脚手架案则把发票问题摆到了台前：脚手架2012年11月15日投入吴川火车站工程使用、约定用至2013年5月31日，2013年5月24日双方结算确认租金合计246254元；原告2013年6月21日申请付款，当天按被告中铁六局项目部要求到国税局开具了发票；三天后的2013年6月24日双方补签租赁协议（名为租赁、实为付款协议），被告当天支付146254元、尚欠100000元（P8009）。被告拒付的理由堪称强势方模板：项目部辩称此前曾支付一笔225万元劳务费给原告而原告未开具发票，"只有原告开具该发票后，才同意支付所欠的100000元租金"（P8009）。法院并未让这一抗辩当然成立，但纠纷本身已不可逆地发生（P8009）。两个案件叠加给出的起草要点是明确的：发票条款应写明"开票是收款方的协力义务而非付款前提"，或至少约定开票与付款的明确先后与期限；对账与自认文件应附"仅为对账目的、不构成质量与数量的最终确认"的保留声明；企业对员工对外确认行为的授权边界（本案李俊科的一纸欠条即为整案债权凭证，P8007）必须事先管住。归根结底，工程款风险的管理单位不是"合同"而是"凭证流"：合同锁定权利框架，过程凭证决定权利能否兑现。设计院出身的总承包商尤其容易低估后者——设计交付物的评审记录天然完备，而施工现场的签收、对账、开票记录却常常散落在分包商与班组手里；补上凭证流这条短板，比追加任何担保条款都更接近问题的根。把这组案件放进设计院EPC的语境里还有一层针对性：设计咨询企业的收入确认习惯以交付物为节点，而施工链条的债权以过程凭证为生命线；两种习惯在同一个项目里共存时，若不刻意建立施工现场的凭证制度，设计出身的总包方几乎必然在纠纷中处于证据劣势——这正是转型企业最应先补的一课（P8005、P8006、P8009、P8013）。把三组案件叠起来看，工程款风险的生成路径清晰可见：合同付款条款失灵（荣成案的节点漂移）→履约过程失证（宜阳案的无图无单）→结算与票证失控（引拓案的自认与税金扣除、湛江案的以票控款）。对四川院这类以设计咨询为基座向上承接EPC的企业，这条链条的每一环都对应一个内部管理动作：进度款审批必须绑定经双方签认的形象进度对账单；变更与新增项目必须先补价再进场；收付款、发票、收条、欠条必须由项目与财务双线归档。这些动作不产生收入，但决定了未来某个案号里，你是拿着证据链的原告，还是只能"自行放弃"2487638.4元的债权人（P8006）。</w:t>
      </w:r>
    </w:p>
    <w:p>
      <w:pPr>
        <w:pStyle w:val="Heading2"/>
      </w:pPr>
      <w:r>
        <w:t>8.3 分包、挂靠与主体陷阱：连环诉讼如何烧到总承包商</w:t>
      </w:r>
    </w:p>
    <w:p>
      <w:r>
        <w:rPr>
          <w:rFonts w:ascii="Calibri" w:hAnsi="Calibri" w:eastAsia="微软雅黑"/>
          <w:b w:val="0"/>
          <w:i w:val="0"/>
          <w:sz w:val="22"/>
        </w:rPr>
        <w:t>分包是EPC风险传导的主通道，新乡铝合金窗案把穿透路径演示得清清楚楚。2012年5月25日与10月15日，河南三浦百草生物工程有限公司与河南省新乡市第一建筑工程有限责任公司分别签订发酵车间、空压站两份施工合同；两份合同第三部分第十一项38.1均约定"本工程不允许分包"（P8007）。2013年5月31日，一建公司的工作人员李俊科——他曾在空压站主合同上以一建公司委托代理人身份签名——以个人名义与刘春新签订铝合金窗施工合同，将发酵车间及空压站车间中的铝合金窗工程交其施工（P8007）。几个细节决定了风险走向：合同抬头甲方显示为新乡一建、乙方显示为"通利建筑装饰"，而通利建筑装饰是刘春新本人开办、未进行工商登记的门市（P8007）；刘春新称李俊科当时自称系一建公司员工及委托代理人、铝合金窗项目是一建公司的工程，施工中李俊科也在工地具体负责，工程款结算也与他进行（P8007）。完工后双方核算，工程价款共计315628元、已付40000元，李俊科于2015年5月21日出具欠条，确认欠发酵车间、空压站窗户款275000元（P8007）。2015年5月28日刘春新起诉，请求一建公司与李俊科支付275000元及利息（利息自2014年10月1日起按中国人民银行同期同类贷款利率计），并由三浦公司在欠付工程款范围内承担连带责任；延津县法院2015年8月27日作出一审判决后，一建公司上诉至二审（P8007）。So what有三条：其一，"本工程不允许分包"的合同条款挡不住事实分包——员工以个人名义对外签约，但工地管理、结算行为与委托代理人身份构成了指向总包公司的责任外观（P8007）；其二，对手方连工商登记都没有，说明总包对分包方的资质审查完全让位于"熟人可用"；其三，欠条是双刃剑——它让实际施工人的债权清晰化，也让签署人的身份关联彻底暴露（P8007）。总承包商对项目章、授权委托书、员工对外签约权限的每一处失控，都会在分包链条末端变成一笔以自己名义欠下的债务。从责任外观的构成看，法院关心的从来不是合同抬头写了谁，而是相对人有理由相信谁：委托代理人在主合同上的签名、工地上的实际指挥、结算时的对账行为，三者叠加足以把个人行为升格为公司行为。管理上的对应动作因此非常具体——授权委托书必须一事一授权并载明金额上限，项目部印章必须分级保管并留痕使用，员工对外签署任何结算文件必须经法务前置审核；这些程序在顺境里显得官僚，在诉讼里就是责任的隔离带（P8007）。</w:t>
      </w:r>
    </w:p>
    <w:p>
      <w:r>
        <w:rPr>
          <w:rFonts w:ascii="Calibri" w:hAnsi="Calibri" w:eastAsia="微软雅黑"/>
          <w:b w:val="0"/>
          <w:i w:val="0"/>
          <w:sz w:val="22"/>
        </w:rPr>
        <w:t>第二层穿透是违法分包的连带责任链。佛山陈松何案中，2010年10月至同年12月底，原告为余建盛在高明区更合镇利川凤尾农田改造工程中勾土，工程完工后余建盛未结清款项；2011年9月14日双方签订付款协议书，确认余建盛尚欠工程款共计62100元、分二期还款，到期后分文未付（P8011）。而工程的真实结构是：江西丰溪建筑工程有限公司承接涉案项目后，将工程非法分包给王祺，王祺再将工程违法分包给余建盛（P8011）。原告据此请求丰溪公司与王祺对余建盛的债务承担连带清偿责任，并主张利息从2012年1月1日起按中国人民银行同期贷款利率的四倍计算（P8011）。三层转包、两道连带请求，这正是EPC分包管理的日常反面：链条每加一层，付款义务人就多一个"没钱的人"，而连带责任请求则把链条上最有钱的公司拉回法庭；丰溪公司的抗辩也很典型——"工程不是分包给余建盛的、欠款与己无关、对原告不认识"（P8011），但案件仍需整套证据攻防才能厘清。与之同构的还有分公司问题：中国能源建设集团广东火电工程有限公司与广东建安消防机电工程有限公司第九分公司的施工合同纠纷打到二审（P8018）——以分公司名义签约时，分公司不具有独立法人财产，责任最终由总公司兜底，这一主体结构在能源建设系统的项目实践中并不罕见（P8018）。缺席审判的风险同样值得记录：湛江案中，中铁六局集团呼和浩特铁路建设有限公司经法院合法传唤、无正当理由拒不到庭，法院视为放弃质证权利（P8009）——应诉管理本身就是风控。So what：总承包商选择分包商时的资质与主体审查（是否具备独立法人资格、是否有履约资产、是否为分支机构）不是合规走形式，而是在选择未来诉讼中的对手方与责任缓冲垫（P8011、P8018）。违法分包的另一个后果是合同效力瑕疵的连锁：转包与违法分包合同无效后，实际施工人的工程款请求、总包的管理费预期、业主的质量追责都要在无效框架下重新计算，争议复杂性成倍放大。分包准入的负面清单可以非常具体：无独立法人资格的分支机构（如以第九分公司身份签约的对手方，P8018）、注册资本与履约义务明显失衡的壳公司（禧诚案50万元注册资本，P8012）、已有未了结执行案件的主体——三类对手方都应触发升级审批或直接排除（P8011）。</w:t>
      </w:r>
    </w:p>
    <w:p>
      <w:r>
        <w:rPr>
          <w:rFonts w:ascii="Calibri" w:hAnsi="Calibri" w:eastAsia="微软雅黑"/>
          <w:b w:val="0"/>
          <w:i w:val="0"/>
          <w:sz w:val="22"/>
        </w:rPr>
        <w:t>第三层是挂靠与管辖——建设工程领域最隐蔽也最纠缠的结构。上海市建纬律师事务所徐寅哲律师归纳的两起亲办案件展示了同案不同判的管辖困局：案件一中，挂靠人张某通过被挂靠企业江苏蓝天建筑公司承揽工程，业主将工程款支付到被挂靠企业账户后，该账户因被挂靠企业涉及其他债务纠纷而被查封，款项无法向挂靠人转付；挂靠人向被挂靠企业住所地法院起诉要求付款并申请财产保全，法院却以双方纠纷系因工程项目引起、应适用不动产纠纷专属管辖为由不予受理，要求其向工程所在地法院起诉（P8021）。案件二中，浙江白云建筑公司因挂靠人李某在承包经营期间私刻公章，导致公司对外垫付工程材料款、劳务班组劳务费，公司凭双方签订的内部承包经营协议书向工程所在地法院起诉追偿；法院却认为双方之间不存在施工合同发承包关系、系企业内部承包经营关系，不适用不动产专属管辖，应由被告住所地法院管辖（P8021）。两个案件、两种定性、两种管辖结论——挂靠纠纷从立案第一步就充满不确定性。专属管辖规则本身在一般施工纠纷中是刚性的：大兴安岭中院2020年12月1日终审的管辖案中，上诉人黑龙江省水利水电集团第二工程有限公司主张与塔河县红平运输队未签订书面合同、无从约定管辖，依民事诉讼法第二十三条应由其住所地哈尔滨阿城区法院审理；法院审查认为，依《最高人民法院关于适用〈中华人民共和国民事诉讼法〉的解释》第二十八条，建设工程施工合同纠纷按照不动产纠纷确定管辖，本案工程建设地为马伦村、归属黑龙江省塔河县，故塔河县法院享有管辖权，驳回上诉、维持原裁定（P8003）。更深的风险在实体层面：挂靠人起诉被挂靠企业的典型情形有两类——被挂靠企业收取工程款或返还保证金后因挪用、查封冻结而无法转付；挂靠人借鉴2004年最高院施工合同司法解释第二十六条的规定，要求被挂靠企业与发包人一道承担付款责任（P8021）。被挂靠企业起诉挂靠人的情形有三类——挂靠人对外商事行为（材料买卖、机械设备租赁、劳务分包）欠款导致垫付；业主追究质量、工期责任致被挂靠企业遭索赔后追偿；挂靠人施工中发生安全事故，遭务工人员索赔或政府主管部门处罚，被挂靠企业担责后追偿（P8021）。对设计院系EPC总承包商，这份情形清单的价值在于：挂靠与"内部承包"的防火墙并不按合同文本划线，安全事故与农民工索赔会直接穿透到被挂靠企业；而管辖的不确定性意味着，同一笔纠纷可能要在错误的法院先打一轮程序仗再回实体（P8021、P8003）。这条专属管辖规则的实务分量在于：施工方无法通过"未签书面合同、无管辖约定"来转移战场（P8003），业主也无法通过选择注册地法院获得主场；对跨省经营的电力设计院与总承包商，每一个项目所在地都是潜在的诉讼主场，合同中关于送达、争议解决的条款都必须按"将在当地打官司"的最坏假设来设计。管辖策略对被告也非纯程序小事：工程所在地、被告住所地、合同履行地之间的选择，直接影响诉讼成本、证据调取与执行便利；在专属管辖允许的范围内预先写明管辖条款，是成本最低的诉讼布局。而对挂靠结构，最重要的结论是治本而非治标——不进入挂靠，远比在挂靠发生后精研管辖技巧便宜（P8021）。</w:t>
      </w:r>
    </w:p>
    <w:p>
      <w:r>
        <w:rPr>
          <w:rFonts w:ascii="Calibri" w:hAnsi="Calibri" w:eastAsia="微软雅黑"/>
          <w:b w:val="0"/>
          <w:i w:val="0"/>
          <w:sz w:val="22"/>
        </w:rPr>
        <w:t>第四层是主体资格与执行层面的陷阱，宁波禧诚案是"小注册资本公司"的标准样本。2011年5月，朱斌与浦方方夫妻二人共同发起设立上海禧诚装饰工程有限公司，认缴注册资本仅50万元，朱斌持股90％、浦方方持股10％；2021年4月公司法定代表人变更为朱建华（P8012）。2021年4月25日，债权人依据（2019）浙0211民初1601号民事判决申请执行，发现该公司名下无任何财产可供执行，债权无法清偿（P8012）。债权人随即申请追加夫妻股东为被执行人，理由是：注册资本来源于夫妻共同财产、公司全部股权实质来源于同一财产权并为一个所有权共同享有和支配，被执行人应认定为一人有限公司，依据《最高人民法院关于民事执行中变更、追加当事人若干问题的规定》第二十条追究股东连带责任（P8012）。与禧诚案相映的是两起"熟人无合同"纠纷：凤凰县堡坎案中，2014年4月双方口头约定砌堡坎全包包工包料每立方米280元，因是朋友关系未签书面合同，完工结算共砌790多立方米石方、当时支付4万元、尚欠182415.2元，此后多次催讨未果，案件2018年11月1日受理、12月14日开庭（P8008）。堡坎案还提示了证据的另一面：口头约定的单价（每立方米280元，P8008）与工程量（790多立方米，P8008）最终能够查明，靠的是完工结算时对方的确认行为；没有这类事后确认的口头交易，连起诉的起点都凑不齐——"朋友价"的真正价格，是将来在法庭上证明朋友说过什么。乐清谢祥灯案中，2005年2月房主将房屋建筑工程口头发包给施工人包工包料，口头约定竣工后按实际结算付清；至2006年1月27日房主已陆续支付工程款合计455000元，施工人出具收条载明"工程款已全部结清，以后任何工程款由谢祥灯负责"；事后施工人委托浙江省建设工程概预算编审资格管理办公室重算造价（2006年2月19日出具预算书），认为455000元离实际支出相差甚远，遂起诉；案经重审，温州律证、杭州明皓两份司法鉴定意见认为收条签名非本人所写，而司法鉴定科学技术研究所司法鉴定中心的鉴定确认签名系本人所写，法院采信后者（P8013）。三案合并的So what：交易对手的资本实力（禧诚案的50万元注册资本与零财产可供执行，P8012）决定了胜诉判决的含金量；"熟人免合同"的每一笔交易，最终都要靠造价鉴定（谢祥灯案中法院委托温州东瓯会计事务所出具东瓯会审价字（2009）169号鉴定报告，P8013）与法庭来重建事实；而收款方的每一张收条，都可能成为对方免证的铁证。总承包商在选择分包商、联合体成员乃至垫资项目的业主时，对手方的偿付能力尽调应与资质尽调同级（P8012、P8008、P8013）。执行阶段的自救手段同样应当预案化：诉前与诉中财产保全的时机、对股东出资与人格混同证据的日常留存、对抵债资产权属的即时核查，都决定判决生效后债权能否落地。禧诚案展示的追加股东路径（P8012）之所以可用，正是因为债权人抓住了"夫妻共同财产出资"这一人格混同线索——这类线索往往在交易早期就已存在，只是无人记录；总承包商在与小规模民企对手方交易时，应当在签约档案里同步保存其股权结构与出资来源信息，为可能的追加之诉预存弹药。</w:t>
      </w:r>
    </w:p>
    <w:p>
      <w:pPr>
        <w:pStyle w:val="Heading2"/>
      </w:pPr>
      <w:r>
        <w:t>8.4 设计院做EPC的结构性风险：合同拆分、背靠背与转型代价</w:t>
      </w:r>
    </w:p>
    <w:p>
      <w:r>
        <w:rPr>
          <w:rFonts w:ascii="Calibri" w:hAnsi="Calibri" w:eastAsia="微软雅黑"/>
          <w:b w:val="0"/>
          <w:i w:val="0"/>
          <w:sz w:val="22"/>
        </w:rPr>
        <w:t>对以四川院为样本的设计咨询企业，最相关的风险结构有三组。第一组是合同拆分签订与背靠背条款，中冶东方案是完整标本。案号为（2017）辽04民终834号、由抚顺市中级人民法院二审的这起纠纷中，涉诉主体中冶东方工程技术有限公司秦皇岛研究设计院系中冶东方工程技术有限公司的下属机构（P8002）。合同结构是这样的：2015年2月6日，该设计院以自己名义与业主抚顺新钢铁有限责任公司签订《建安工程施工合同》，承包新建石灰竖窑建安工程（土建、安装、电气工程）等涉及的全部工作内容，承包方式为包工包料、计价方式为总价包干（P8002）；仅仅一个月后的2015年3月6日，设计院又与辽宁建设安装集团有限公司抚顺分公司签订另一份《建安工程施工合同》，将土建、安装等工程转手分包，承包方式同样为包工包料、总价包干（P8002）。分包合同的付款条款是教科书级的背靠背安排：各项指标达产考核合格、承包人提供完整的竣工资料和竣工验收报告、工程结算核对完毕、经抚顺新钢铁有限责任公司审计部门审计定案后，方支付剩余结算款（扣除钢筋材料款）；且各项合同内付款均约定在业主实际付款后、按业主付款的比例等比例支付（P8002）。这组条款的实质是：设计院把业主的付款风险与审计风险原封不动地转嫁给分包商，自己充当"风险过道"。一旦业主拖欠、达产考核拖延或审计迟迟不定案，分包商的工程款就无限期悬空，诉状就会沿着这份合同打上门来——本案正是分包商起诉后一路打到二审的（P8002）。So what有两条：其一，背靠背条款并非万能护身符，它无法对抗的事实是签约主体、施工现场与付款流向都指向设计院，司法实践中分包商完全可以主张该条款显失公平或以已满足条件为由击穿（P8002）；其二，对设计院系EPC，"以谁的名义签合同、以谁的账户走款、以谁的资质投标"直接决定追加责任与诉讼管辖的落点，下属机构以自己名义对外签约的模式，会让集团对项目的风险敞口失去清晰边界（P8002）。更一般地看，工程总承包合同的拆分签订——先签一份合同锁定部分内容、再逐段补签——在本案的演化中扮演了关键角色（P8002）：一个月内先后成立的两份总价包干合同，把设计、施工的界面切进了不同文件，也把工期、审计、付款条件的重担压给了下游。拆分签订在商业上便于分批启动，在法律上却制造界面真空：谁对达产考核负责、谁对审计配合、谁对总工期兜底，都需要在拆分时书面闭合，否则每个真空点都是未来对方的诉讼请求权。背靠背条款还有一个常被忽视的时间维度：审计定案与达产考核都是业主侧主导、时长不可控的事件（P8002），分包商的资金占用成本在等待期里持续累积；当等待超过其承受力，诉讼就成为分包商唯一的现金流工具——这解释了为什么背靠背安排越是严丝合缝，越容易在下游憋出官司。</w:t>
      </w:r>
    </w:p>
    <w:p>
      <w:r>
        <w:rPr>
          <w:rFonts w:ascii="Calibri" w:hAnsi="Calibri" w:eastAsia="微软雅黑"/>
          <w:b w:val="0"/>
          <w:i w:val="0"/>
          <w:sz w:val="22"/>
        </w:rPr>
        <w:t>第二组是设计院转型的能力结构性落差。无讼平台2018年9月29日刊发、署名金帅言的行业分析直言（P8017）：专业的工程公司相比传统设计院，由于在组织结构、项目管控体系、人员结构等构成上的不同，在工程总承包模式上具有天然优势（P8017）。把这句话反过来读，就是设计院做EPC的三块短板：组织结构上缺乏采购与施工管理的常设职能，项目管控体系上缺少进度、成本、安全的全流程抓手，人员结构上缺少懂建安、懂合同、懂索赔的复合团队（P8017）。政策端则在强力推高这一转型的紧迫性：我国《建筑法》的相关法律规定、住建部发布的《关于培育和发展工程总承包和工程项目管理企业的指导意见》以及《住房城乡建设事业"十三五"规划纲要》均明确表明，大力推进工程总承包项目建设是当前建筑市场的大势所趋，传统设计院需要在推进工程总承包的大背景下实现"优雅的转身"（P8017）。但本章前三节的判例群提示：转身的代价并不优雅——工程款结算、分包连带、挂靠穿透、主体执行四类风险，对管理短板企业的杀伤力远大于成熟工程公司；设计院每向总承包链条上游走一步，就多接一层自己不熟悉的诉讼类型（P8017结合本章案例群）。三块短板各有对应的补课动作：组织结构上，把采购与施工管理从"项目临时抽调"改为常设职能条线，让懂施工的人常驻项目；管控体系上，把进度、成本、安全三张表并成一张项目驾驶舱，让设计与施工的偏差在周度层面可见；人员结构上，派"设计+合同"双背景团队去谈EPC合同，而不是让纯设计团队在签约桌上独自面对成熟承包商的法务。短板补不齐时的替代方案是收缩业务边界——只做设计牵头、施工深度联合的模式，把不熟悉的风险让渡给熟悉的伙伴，用联合体协议而非裸奔来隔离责任。该文的检索语境（查询词"设计院 EPC 转型 亏损 风险"，P8017）本身也说明，设计院转型EPC的亏损与风险已是行业关注的热词，市场的警觉先于学术的总结。设计责任本身也不会因EPC打包而稀释：伊吾东方民生新能源有限公司与中国能源建设集团新疆电力设计院有限公司的建设工程设计合同纠纷打到二审（P8019），说明业主对设计成果不满时，设计合同是独立可诉的追责通道，"都在EPC一个大合同里"不构成隔离墙；攀枝花中禾矿业有限公司则把攀钢集团设计研究院有限公司与中冶长天国际工程有限责任公司一并推上被告席（P8001），联合体或设计牵头模式下的连带 exposure 直接可见。So what：设计牵头模式下，设计深度不足、勘察失误、工期建议失准的赔偿责任会直接落到设计院头上；联合体协议中的内部责任划分条款，必须与对外的连带风险做对冲设计，否则联合体不是风险分担工具，而是风险放大器（P8019、P8001）。</w:t>
      </w:r>
    </w:p>
    <w:p>
      <w:r>
        <w:rPr>
          <w:rFonts w:ascii="Calibri" w:hAnsi="Calibri" w:eastAsia="微软雅黑"/>
          <w:b w:val="0"/>
          <w:i w:val="0"/>
          <w:sz w:val="22"/>
        </w:rPr>
        <w:t>第三组是集团层面的风险治理对照。中国电力建设股份有限公司（公司代码601669）2026年半年度报告虽然未经审计，但报告首部由董事会及董事、高级管理人员作出真实性保证，并作出两项否定性披露：不存在被控股股东及其他关联方非经营性占用资金的情况；不存在违反规定决策程序对外提供担保的情况；同时专设"重大风险提示"，指引投资者查阅"第三节管理层讨论与分析"中"可能面对的风险"一节（P8014）。这份文件对本章的意义不在于其财务数据，而在于它示范了上市主体用披露纪律管理风险预期的机制：资金占用、违规担保、重大风险提示，都是制度化、可核验、留痕的动作，而不是依赖某个项目经理的自觉（P8014）。四川院作为集团内的设计咨询企业，其EPC项目的风险敞口——应收账款沉淀、分包连带、安全生产责任——最终都会汇入集团口径的风险治理与披露体系；反过来，集团层面的披露纪律也会逐级传导为对企业内控的硬约束（P8014）。对买方的含义：考察一家EPC承包商的风控成熟度，可以看三样东西——它是否对合作伙伴有系统的涉诉与偿付能力尽调、它的分包与挂靠管理是否有负面清单、它的风险信息是否有制度化的上报与披露出口；本章判例群中所有败局，本质上都是这三样东西缺位的具体形态（P8014结合本章案例群）。对买方还有一层实操含义：在EPC招标的评价办法里给"风控体系"设实质性分项，要求投标人提交分包管理负面清单、涉诉自查说明与应收账款账龄结构，把本章的判例清单转译为评分项——供应商筛选阶段的一次认真审查，胜过纠纷发生后的多次开庭。最后需要指出，风险档案不是拒绝转型的理由：判例的价值在于为风险定价而非放大恐惧；当企业能够用本章清单逐项自检并给出整改证据时，EPC扩张反而是风险管理能力的展示窗口——真正危险的不是涉诉，而是对涉诉模式的无知。</w:t>
      </w:r>
    </w:p>
    <w:p>
      <w:r>
        <w:rPr>
          <w:rFonts w:ascii="Calibri" w:hAnsi="Calibri" w:eastAsia="微软雅黑"/>
          <w:b w:val="0"/>
          <w:i w:val="0"/>
          <w:sz w:val="22"/>
        </w:rPr>
        <w:t>综合本章证据，可以把EPC风险因子归纳为一张可操作的清单：合同结构风险（拆分签订、背靠背传导、以物抵债、付款节点漂移，见P8002、P8015）；结算证据风险（无图施工、无逐项合同、自认与收条失控、造价鉴定对抗，见P8006、P8005、P8013）；分包连带风险（事实分包穿透"不允许分包"条款、多层转包连带、分公司主体，见P8007、P8011、P8018）；挂靠与安全风险（两类起诉加三类追偿的情形格局、事故追偿穿透，见P8021）；对手方信用风险（小注册资本、无财产可供执行、熟人交易无合同，见P8012、P8008）；程序与管辖风险（不动产专属管辖的刚性适用与挂靠案件的定性分歧、撤诉与执行循环，见P8003、P8021、P8004、P8010）。每一项都对应判例中的真实金额与真实成本，而非抽象警示——这张清单可以直接转写为EPC合同评审的检查表与项目尽职调查的问卷。</w:t>
      </w:r>
    </w:p>
    <w:p>
      <w:pPr>
        <w:pStyle w:val="Heading2"/>
      </w:pPr>
      <w:r>
        <w:t>8.5 本章小结与盲区</w:t>
      </w:r>
    </w:p>
    <w:p>
      <w:r>
        <w:rPr>
          <w:rFonts w:ascii="Calibri" w:hAnsi="Calibri" w:eastAsia="微软雅黑"/>
          <w:b w:val="0"/>
          <w:i w:val="0"/>
          <w:sz w:val="22"/>
        </w:rPr>
        <w:t>本章小结：第一，EPC相关诉讼在公开裁判文书层面十二年累计129566篇（own_calc），2010年至2020年年度篇数放大约290倍（42935÷148，own_calc）（P8003、P8013），风险显性化已是行业常态而非例外（P8003至P8015的年度卷宗）。第二，工程款纠纷的生成遵循"付款条款失灵—履约失证—结算票证失控"三步路径：荣成案（欠付本金1469961.15元、违约金主张187143.88元、质量反诉294620.28元，P8015）、宜阳案（拖欠15190038.4元、原告被迫放弃2487638.4元，P8006）、引拓案（税金100400元被扣除，P8005）与湛江案（以票控款拖欠100000元，P8009）分别展示了各步的终局形态。第三，分包、挂靠与主体结构是责任穿透的三大通道："本工程不允许分包"挡不住表见外观（P8007），挂靠诉讼格局下安全事故可直达被挂靠企业（P8021），50万元注册资本的空壳对手方会让胜诉判决归零（P8012）。第四，对设计院系企业，合同拆分与背靠背条款（P8002）、转型能力落差（P8017）、设计合同独立追责与联合体连带（P8019、P8001）构成三类结构性特有风险，而集团层面的披露纪律（P8014）是风险治理的对锚。第五，程序与对手方维度同样不可轻视：管辖规则对施工纠纷的刚性适用（P8003）、空壳主体的执行不能（P8012）与熟人交易的事实重建成本（P8008、P8013）提示，风险管理必须同时覆盖"实体权利"与"程序落地"两端，缺一端则另一端的风险归零。第六，本章归纳的六项风险因子清单——合同结构、结算证据、分包连带、挂靠与安全、对手方信用、程序与管辖——可直接转写为EPC合同评审的检查表与合作方尽调问卷，每一项都有判例金额背书，这是本章区别于一般风险提示文字的方法论特征。方法论上，本章刻意让每一个风险命题都落在具体案号与具体金额上：荣成案的以物抵债、宜阳案的结算单通货、引拓案的自认、湛江案的以票控款、刘春新案的委托代理人外观、陈松何案的三层转包、禧诚案的夫妻公司、谢祥灯案的收条鉴定、中冶东方案的背靠背（P8015、P8006、P8005、P8009、P8007、P8011、P8012、P8013、P8002），九案各守一个风险节点。这种写法的代价是样本偏房建市政，收益是每一句话都可回溯核验——读者不同意结论时，可以直接去查那份判决书本身。</w:t>
      </w:r>
    </w:p>
    <w:p>
      <w:r>
        <w:rPr>
          <w:rFonts w:ascii="Calibri" w:hAnsi="Calibri" w:eastAsia="微软雅黑"/>
          <w:b w:val="0"/>
          <w:i w:val="0"/>
          <w:sz w:val="22"/>
        </w:rPr>
        <w:t>本章盲区（证据未覆盖与不确定处，如实声明）：其一，弹药库中六个判决书源文件（P8000、P8001、P8016、P8018、P8019、P8020）在采集时发生二进制损坏，仅存案由与当事人等卷面信息，判决金额、责任认定与裁判要旨均无法提取，本章对能源央企与设计院判例只能作存在性与定性引用，不能作定量分析。其二，"EPC相关"年度篇数为检索口径下的命中量，2019年的41550篇与2021年的324篇（P8004、P8012）受裁判文书上网政策与采集完整度影响剧烈，本报告不将其解读为纠纷量的真实升降；基于该数列的合计与倍数（own_calc）仅作规模量级参考，不构成趋势结论。其三，库内未获得四川院自身的涉诉记录、行政处罚记录与项目亏损数据，中国电建2026年半年度报告节选（P8014）亦未包含"可能面对的风险"一节的具体条目，故本章风险因子均来自行业判例与制度分析，未与四川院个案直接对账；该对接需待企业涉诉与处罚数据源补充后完成。其四，本章判例以房建、市政、园林与一般建安领域为主，电力专属场景（输变电、新能源场站EPC）的判例证据在库内不足，风险因子向电力EPC的外推存在场景折扣，宜阳案之类的文旅工程判例对电力项目的参照力有限（P8006）。同理，房建领域的保修金比例与以物抵债惯例（P8015）能否平移到电力EPC的结算框架，也需结合行业合同范本另行验证，本报告不作默认移植。其五，P8017原文因编码损坏仅恢复部分内容，其关于设计院管理难点的完整条目清单未能逐字核验，本章对该源仅作定性转述（P8017）。</w:t>
      </w:r>
    </w:p>
    <w:p>
      <w:r>
        <w:rPr>
          <w:rFonts w:ascii="Calibri" w:hAnsi="Calibri" w:eastAsia="微软雅黑"/>
          <w:b w:val="0"/>
          <w:i w:val="0"/>
          <w:sz w:val="22"/>
        </w:rPr>
        <w:t>---</w:t>
      </w:r>
    </w:p>
    <w:p>
      <w:pPr>
        <w:pStyle w:val="Heading1"/>
      </w:pPr>
      <w:r>
        <w:t>第9章 技术底座：核心技术方案、数字化与专利标准</w:t>
      </w:r>
    </w:p>
    <w:p>
      <w:pPr>
        <w:ind w:left="454"/>
      </w:pPr>
      <w:r>
        <w:rPr>
          <w:rFonts w:ascii="Calibri" w:hAnsi="Calibri" w:eastAsia="微软雅黑"/>
          <w:b w:val="0"/>
          <w:i w:val="0"/>
          <w:color w:val="666666"/>
          <w:sz w:val="22"/>
        </w:rPr>
        <w:t>技术底座不是宣传册上的专利计数，而是标准、模型与现场执行互相咬合的系统能力：标准划定能做什么，模型决定怎么做，数字化决定是否可核验。本章以证据库为边界逐层拆解，并如实标注证据未覆盖之处，供买方据此定价能力与风险。</w:t>
      </w:r>
    </w:p>
    <w:p>
      <w:pPr>
        <w:pStyle w:val="Heading2"/>
      </w:pPr>
      <w:r>
        <w:t>标准先行：全生命周期规范与过程控制的双重骨架</w:t>
      </w:r>
    </w:p>
    <w:p>
      <w:r>
        <w:rPr>
          <w:rFonts w:ascii="Calibri" w:hAnsi="Calibri" w:eastAsia="微软雅黑"/>
          <w:b w:val="0"/>
          <w:i w:val="0"/>
          <w:sz w:val="22"/>
        </w:rPr>
        <w:t>对以设计为根的EPC总承包商而言，技术底座的第一层不是某项专利，而是覆盖工程全生命周期的标准框架——它同时决定企业"能做什么、按什么口径做、出了分歧用什么尺子裁量"。电力行业的这条合规线由《电力工程建设规范》给出：该规范依据GB/T51051-2015（P9011）及相关技术标准编制，适用于电力工程建设全过程的规划、设计、施工、验收及运维等阶段；篇章自第1章总则起，经项目立项与审批、项目勘察与设计、项目施工与工程管理、项目设备与材料采购、项目运行与维护，止于第7章项目验收与移交，构成七章式的全生命周期结构（P9011）。适用范围同时划出工程类型边界：220kV及以上的输电工程、110kV及以下的配电工程（P9011），新能源发电项目（如风电、光伏、储能等）、智能电网建设项目，以及电力系统改造与升级、电力设施的扩建改建拆除工程（P9011）。值得注意的是规范自述的编制原则——科学性与实用性结合、统一性与可操作性、前瞻性与适应性、安全环保经济高效（P9011）——制定者把"可执行、可监督"写进了目标函数，标准因此不是学术文本，而是可以直接进入合同附件与验收清单的操作依据。对买方的第一层含义由此而来：评估一家电力设计院的EPC承接能力，先核对其业务是否落在标准框架的适用射程内；射程内的项目有现成标尺，报价的风险溢价可以被压缩到合理区间，越出射程的项目则意味着所有口径都要重新议定，总承包商要么以高价对冲不确定性，要么以侥幸承接埋下争议伏笔。对总承包商自身，标准同样是成本基线与组织模板的来源——投标阶段的技术偏差表、施工阶段的验收条款、结算阶段的依据链，都从同一套标准文本出发生成；对标准边界的熟悉程度，直接决定报价测算里措施费与风险费的科学程度。买方在评审中据此可多做一个动作：要求投标人对关键工序逐条标注所依据的标准条文，答不出条文出处的技术方案，其成熟度自然存疑（P9011）。</w:t>
      </w:r>
    </w:p>
    <w:p>
      <w:r>
        <w:rPr>
          <w:rFonts w:ascii="Calibri" w:hAnsi="Calibri" w:eastAsia="微软雅黑"/>
          <w:b w:val="0"/>
          <w:i w:val="0"/>
          <w:sz w:val="22"/>
        </w:rPr>
        <w:t>标准框架并非凭空悬置，而是挂在一串法规锚点上：其编制依据包括《中华人民共和国电力法》《电力工程勘察设计规范》《电力工程招标投标管理办法》《建设工程质量管理条例》《电力设施保护条例》等法律法规及国家、行业相关标准（P9011）；适用对象覆盖建设单位、施工单位、设计单位、监理单位、运维单位等各方主体以及相关政府部门和监管机构（P9011）。EPC总承包商的特殊性在于，它在同一个项目里同时扮演设计与采购施工的组织者，跨越规范列举的多个主体角色，合规颗粒度被成倍放大：设计文件编制与审查、设计变更管理要过一道，采购管理规范、采购合同管理、供应商管理与评价要过一道，施工组织设计、施工进度与质量控制、工程验收与交付再过一道，末端还延伸到运行数据与档案管理、项目后评估与持续改进（P9011）——规范的章节结构本身就是按这条业务链展开的控制地图。尤其值得放大的是第7章对应的项目后评估与持续改进环节：全生命周期标准把"交钥匙"延伸到"交钥匙之后"，运维期的运行数据与档案管理进入规范射程（P9011），这意味着以运维期数据反哺设计优化的企业，能在下一个项目中拿到标准鼓励的改进空间；把工程当一次性买卖的企业，则永远在下一个项目里重复交学费。买方因此可以把标准框架当作合规尽调的索引表：逐章核对承包商的制度、流程与人员配置是否与七章结构一一对应，缺哪一格，风险就藏在哪一格；对自称"全能力"却在某一章对应环节拿不出制度文本的企业，缺口的含义比缺口本身更大。验收与移交环节还有一层商务含义：移交清单与档案的完整性直接关联质保期责任的起算与范围，档案缺项往往在数年后的缺陷责任争议中才显形，届时补证的窗口早已关闭（P9011）。</w:t>
      </w:r>
    </w:p>
    <w:p>
      <w:r>
        <w:rPr>
          <w:rFonts w:ascii="Calibri" w:hAnsi="Calibri" w:eastAsia="微软雅黑"/>
          <w:b w:val="0"/>
          <w:i w:val="0"/>
          <w:sz w:val="22"/>
        </w:rPr>
        <w:t>标准划出边界之后，第二层骨架是控制方法论，行业对此已有成熟沉淀。汪寿建编著的《EPC工程总承包项目过程控制概论》以国际先进的项目管理理论为基础，全书共分十五章（P9032），系统介绍项目管理国内外的发展历程、工程公司及总承包项目组织结构，并对总承包项目设计、采购、施工、试运行全过程控制，各过程中的启动、策划、实施、控制、收尾子过程，项目目标控制要素（进度、质量、费用、HSE）与管理控制要素（综合、合同、范围、资源、信息、沟通、风险、变更）逐一展开论述（P9032）。其目录本身就是一张行业地图：第一章总论覆盖国际项目管理发展进程、中国项目管理及建设模式发展进程、中国工程勘察设计行业发展现状、国际工程市场发展趋势与国际工程公司的发展历程，落点于EPC项目全过程与EPC总承包管理的发展趋势；第二章论工程公司组织结构和应具备的能力、项目部典型组织机构、项目经理及各部门经理的岗位职责，并给出EPC项目组织机构案例（P9032）。方法论基础上，该书第三章第一节直接以"适宜的管理方法——戴明循环管理法"命名，把PDCA循环确立为项目建设阶段全过程管理的基本方法（P9032）。该书自述可供化工、石油化工、煤化工、医药、电力、基础设施建设等领域的工程公司参考（P9032），说明这套控制框架是跨行业通用件而非电力孤本。把要素清单映射到EPC场景：进度与费用对应里程碑与请款节奏，质量与HSE对应过程试验与安全文明施工，信息与沟通对应编码与台账载体，风险与变更对应闭环流程（P9032）——这张清单与后文现场端数字化工具族的输出几乎一一对应，说明方法论与工具是同一枚硬币的两面。对买方的含义是：过程控制能力存在公开的知识基准线，承包商若连这套通用框架都无法完整对应，其EPC管理成熟度便低于行业常识水位；能拿出与进度、质量、费用、HSE和各管理要素一一对应的制度文本与运行记录的企业，才具备进一步考察技术方案与数字化成色的前提。</w:t>
      </w:r>
    </w:p>
    <w:p>
      <w:r>
        <w:rPr>
          <w:rFonts w:ascii="Calibri" w:hAnsi="Calibri" w:eastAsia="微软雅黑"/>
          <w:b w:val="0"/>
          <w:i w:val="0"/>
          <w:sz w:val="22"/>
        </w:rPr>
        <w:t>把标准框架与控制框架叠加，技术底座第一层的验收标准就清晰了：不是"有没有资质证书"，而是标准与流程是否内化为组织日常。标准决定能做什么，技术方案决定怎么做，数字化决定做得是否可核验——三者层层递进，而"可核验"恰恰是买方验收付款与承包商申请收款共同依赖的地基。第一层的买方动作由此可以具体化为三步：对投标技术方案中的关键工序做标准条文溯源，检验其对规范边界的熟悉程度；对制度文本按七章结构抽样，检验体系覆盖的完整性；对项目现场的实际运行记录抽查，检验纸面制度与执行的一致性——三步走完，"标准长在流程里"还是"标准挂在墙上"便一目了然（P9011；P9032）。后两节依次进入设计端与现场端，本章末节再回到这种内化的物质形态：可复用的模板文件库与知识资产，以及集团坐标下的证据断层。</w:t>
      </w:r>
    </w:p>
    <w:p>
      <w:pPr>
        <w:pStyle w:val="Heading2"/>
      </w:pPr>
      <w:r>
        <w:t>设计端核心技术：模型驱动的设计—制造—造价闭环</w:t>
      </w:r>
    </w:p>
    <w:p>
      <w:r>
        <w:rPr>
          <w:rFonts w:ascii="Calibri" w:hAnsi="Calibri" w:eastAsia="微软雅黑"/>
          <w:b w:val="0"/>
          <w:i w:val="0"/>
          <w:sz w:val="22"/>
        </w:rPr>
        <w:t>设计院做EPC，最锋利的差异化武器藏在设计源头。传统模式下，设计成果交到施工与制造环节还要经历一次人工翻译——工程量拆算、工艺参数确定、作业指导编制——每一道翻译都是误差与争议的入口。行业前沿给出的替代路线是"模型驱动"，其最新样本来自钢结构焊接场景：建筑钢结构多层多道焊接长期存在工艺参数自适应控制不足、全流程数据贯通的局限，BIM设计模型与机器人实际作业过程之间存在语义信息断层（P9009）。翻译成经营语言：设计院交出去的模型"看得懂画不出来"，现场的自动化装备"画得出却不知道设计意图"，两头各自为政，误差就在断层里沉淀成返工、焊缝缺陷与工期损失。2026年9月（P9009），华中科技大学土木与水利工程学院与中建三局第一建设工程有限责任公司的研究团队（刘琦、文江涛、李步遥、鲁亦凡、周炜）在"施工技术"公众号（关注者达52万人）刊发成果，提出模型驱动的钢结构多层多道焊接机器人作业系统：以BIM深化模型为载体，通过实体关系重构与模型语义信息增强方法，构建融合几何拓扑特征与焊接工艺属性的焊接工艺模型，实现从BIM设计源头到机器人执行终端的全流程模型驱动闭环（P9009）。产学研与头部施工企业联合署名，说明该路线已越出实验室阶段。把坐标移回电力工程场景，适配面比字面上更宽：电力项目中的钢结构多层多道焊接并不冷门，变电构架、设备支架、管廊、厂房等环节普遍存在厚板多道焊缝，而电力EPC以设计院为龙头，天然握有从初步设计到深化设计的模型资产；研究路线的几处接口恰好对接设计院系总包的传统抓手——Tekla深化模型对应设计院的图纸交付物，节点工艺库与焊缝焊接工艺库对应设计院的规范与标准图集习惯，GUID索引下的构件—部件—零件层级对应设计院的工程量清单分解结构（P9009）。换句话说，这条技术路线不是要设计院另起炉灶，而是把它已有的模型资产沿工艺维度再加工一遍——难点不在建模，而在工艺语料的积累与跨部门打通。但必须立即申明：证据库内并无四川院引入或自研同类系统的记录，本节把它当作校准"技术底座"含金量的行业标尺，而非该院既有能力。</w:t>
      </w:r>
    </w:p>
    <w:p>
      <w:r>
        <w:rPr>
          <w:rFonts w:ascii="Calibri" w:hAnsi="Calibri" w:eastAsia="微软雅黑"/>
          <w:b w:val="0"/>
          <w:i w:val="0"/>
          <w:sz w:val="22"/>
        </w:rPr>
        <w:t>拆开这条链路，可以看到设计模型的工业化用法。系统总体架构由离线规划与在线执行两阶段组成（P9009）。离线规划阶段依托制造执行系统（MES）进行模型信息提取与工艺参数匹配，建立从BIM构件几何属性到焊接工艺参数的逻辑映射关系，形成包含完整制造信息的焊接任务包；随后借助计算机辅助制造系统（CAM），将任务包中的关键几何信息与工艺参数解析为焊接工作站控制系统可直接读取的焊接任务，工作站据此完成工件的自动定位与参数化建模，生成初始的多层多道焊道排布方案（P9009）。模型侧的输入输出同样标准化：输入Tekla钢结构深化模型，采用节点工艺库建立符合制造逻辑的部件层次结构，再基于焊缝焊接工艺库生成具体的焊缝实体信息，把原本仅含几何信息的深化设计模型输出为包含完整部件层级和焊缝实体信息的制造模型，最终导出包含三维几何信息的IFC文件与记录焊缝详情信息的JSON文件（P9009）。一份设计模型、两种机器可读出口——IFC承载几何、JSON承载工艺语义——这正是"设计即制造指令"的工程形态。MES与CAM在链路中的位置同样有商务含义：任务包一经形成便是可调度的生产指令，跨项目、跨工作站复用的边际成本趋近于零，设计院的中台系统由此从"图纸管理器"升级为"产能组织器"（P9009）。它同时意味着竣工资料的形态迁移：可被执行、可被审计、可被估值的结构化数据包，开始取代无法被机器消费的纸质卷宗与扫描件；从审计视角看，结构化交付物让"过程技术文件"具备了机器可验证的完整性——哪些焊缝有记录、哪些参数被修正、修正发生在何时，都可以程序化核对，这与后文现场端凭证链共用同一套数据底座，模型驱动与凭证归档因此不是两套系统，而是一条数据链的两端（P9009）。</w:t>
      </w:r>
    </w:p>
    <w:p>
      <w:r>
        <w:rPr>
          <w:rFonts w:ascii="Calibri" w:hAnsi="Calibri" w:eastAsia="微软雅黑"/>
          <w:b w:val="0"/>
          <w:i w:val="0"/>
          <w:sz w:val="22"/>
        </w:rPr>
        <w:t>模型内部的结构化改造与在线纠偏，是这条路线真正值钱的部分。为克服BIM深化设计模型缺失制造工艺逻辑、难以直接驱动自动生产的局限（P9009），系统在模型内部引入"部件"作为中间层级，构建"构件—部件—零件"三级实体架构：在复杂节点区域依据几何关联性、利用GUID建立索引，将原本分散于构件下的关联零件归集封装为独立的部件对象，使拓扑关系匹配实际焊接工序；每条焊缝被精准分配至对应的部件节点，并同步提取母材材质、板厚及坡口特征等几何与材料属性，作为工艺知识库智能检索与参数匹配的关键索引（P9009）。在线执行阶段则引入基于激光视觉的闭环控制技术，将焊接过程中实时扫描的焊道点云数据与BIM深化设计模型进行配准，计算焊道高度与宽度偏差，再利用自适应算法动态修正后续焊道的工艺参数，把焊接从预设轨迹执行升级为实时感知与纠偏控制，以应对实际作业中的工况扰动；全过程焊接工艺数据实时回传至CAM与MES系统，为后续作业提供初始化的工艺参数依据（P9009）。研究还专门构建了焊接工艺数据集、焊接工艺知识库与焊接工艺模型的层级结构，让知识与数据互为支撑（P9009）。这个安排对设计院系总承包商的含义比机器人本体更深：电力设计院长于几何语义——图纸、模型、规范条文是它的母语；但模型驱动制造需要的是工艺语料，坡口形式对应什么参数区间、什么板厚配什么焊道层数、什么节点归集为什么部件，这些知识历史上掌握在焊工与工艺员的手感与笔记本里，从不进设计院的档案室。谁先把工艺语料沉淀成可检索、可复用、可训练的知识库，谁的深化模型才能越过"看得懂"直达"造得出"；数据回流水位则意味着系统自带知识积累飞轮，每个项目都在为下一个项目垫高工艺参数的起点——焊缝质量从"焊工手感加事后探伤"变为可记录、可追溯、可定价的过程数据，设计模型也由此获得了可执行、可作证的商务身份。评估模型驱动能力时，真正要问的不是对方买了几套软件，而是工艺知识库由谁维护、项目之间是否复用、新项目冷启动要多久（P9009）。</w:t>
      </w:r>
    </w:p>
    <w:p>
      <w:r>
        <w:rPr>
          <w:rFonts w:ascii="Calibri" w:hAnsi="Calibri" w:eastAsia="微软雅黑"/>
          <w:b w:val="0"/>
          <w:i w:val="0"/>
          <w:sz w:val="22"/>
        </w:rPr>
        <w:t>设计端的第二重价值通向造价与合同管理。BIM-概算动态调价模型以初步设计图尺寸、类似工程造价数据、地区人材机差异系数K1～K4为输入，输出结构变化修正概算指标及拟建工程动态成本单价D（P9000），把概算编制从静态套定额推进到随设计深化而动态收敛。对业主，动态收敛的概算意味着控制价与报价之间多了一层可复核的中间态——每次设计深化后的概算修正都有算式与系数可查，报价不再是一个黑箱数字；对总承包，概算随设计深化滚动修正，是抵御"低价中标、变更找回"恶性循环的技术手段，也是内部目标成本分解的动态基准线（P9000）。对买方的检验建议由此变得具体：与其问设计院"你们有没有BIM"，不如问"你的模型能否直接生成采购清单与施工作业包、能否输出概算调价结果"——前一个问题只区分姿势，后一个问题区分能力。能对后一问题给出可演示答案的承包商，设计—采购—施工的接口损耗、工程量口径之争与变更签证的灰色空间都会显著收窄，而这正是EPC毛利与纠纷率的双向改善来源。同时要给热情校准，反证检验至少有三条：其一，该成果的载体是行业公众号文章而非公开的工程验收数据，落地深度、复制成本与故障率未经证据库内独立来源交叉验证，读者应以试点项目的实测数据为准（P9009）；其二，电力EPC的作业主体并非全是钢结构厚板焊接，电气安装、电缆敷设、调试的自动化路径与之完全不同，把焊接机器人的进展外推为全项目自动化属于以偏概全（P9009）；其三，从工艺论文到工地标配中间还隔着成本、维护与人才的重重关卡，商业化与规模化是另一段长征（P9009）。技术存在与技术可用应当分开计价：前者看论文与演示，后者看在建项目的实测节拍与故障记录。</w:t>
      </w:r>
    </w:p>
    <w:p>
      <w:pPr>
        <w:pStyle w:val="Heading2"/>
      </w:pPr>
      <w:r>
        <w:t>现场端数字化：智能物资、履约凭证链与现金流</w:t>
      </w:r>
    </w:p>
    <w:p>
      <w:r>
        <w:rPr>
          <w:rFonts w:ascii="Calibri" w:hAnsi="Calibri" w:eastAsia="微软雅黑"/>
          <w:b w:val="0"/>
          <w:i w:val="0"/>
          <w:sz w:val="22"/>
        </w:rPr>
        <w:t>现场端数字化的起点，是两个在工程行业内几乎无须论证的痛点。其一在物资：传统工业、电力及化工EPC工程现场，焊材、合金管材等高价值设备材料领用粗放，偷漏损耗过高、领发料台账不清（P9000）；其二在数据流：设计BIM模型数据流与施工现场工程量及形象进度严重脱节，导致节点付款所需的"履约证据链"撕裂与不全（P9000）。为什么台账不清是必然发生而非偶发失误？工程现场的作业主体是流动的——班组轮换、分包更替、夜间领料，纸质台账在这种环境下天然趋于失真；高价值焊材的烘干温控与发放节奏又直接绑定工艺质量，台账一乱，损耗与质量风险同时放大（P9000）。痛点的财务翻译极其直白：总承包方在申请里程碑节点工程进度款时，极易因无法提供完整的过程技术文件而引发发包方依法行使先履行抗辩权拒付工程款（据《2018中国建设工程争议解决年度观察》引述，P9000）——先履行抗辩的机制在于，发包方可主张承包方未完成对待给付而暂停自身付款义务，一旦过程技术文件出现缺口，付款义务便悬空；在合同终止或解除时，又易陷入现场物权归属不清、分包商侵权强占现场及债务交叉纠纷（P9000）。技术缺陷最终以现金流断裂与诉讼成本的形式入账——这是数字化投入最坚实的理由：它不是形象工程，而是收款工程的组成部分。</w:t>
      </w:r>
    </w:p>
    <w:p>
      <w:r>
        <w:rPr>
          <w:rFonts w:ascii="Calibri" w:hAnsi="Calibri" w:eastAsia="微软雅黑"/>
          <w:b w:val="0"/>
          <w:i w:val="0"/>
          <w:sz w:val="22"/>
        </w:rPr>
        <w:t>行业方法论给出的工具族呈递进结构：末端感知、中台台账、顶层凭证。无人超市式智能焊材库系统以RFID/AI领用人身份识别、BIM焊缝节点工程量、烘干出库记录为输入，输出物资领用实名台账、过程材料损耗控减报告及铺底流动资金优化方案（P9000）；节点请款凭证AI自动归档链以节点完工报告、实际完成工程量表、设备/材料工厂试验标准与记录为输入，输出符合合同第5.2.3条要求的5类请款文件包及《进度款支付证明》签署件（P9000）；解约撤场物权AI盘点资产清册以现场AI视觉影像、设备/材料进场及检验记录、施工日志为输入，输出不可篡改的现场物权清册与优先受偿权主张证据链（P9000）。其适用场景被明确界定为化工、电力、环保及新能源工程EPC项目现场物资防偷防漏、AI智慧工地实时感知管控及里程碑节点自动化凭证核验（P9000）——电力EPC恰在射程中心。递进逻辑也值得点破：末端感知解决"数据从哪来"，中台台账解决"数据对不对得上"，顶层凭证解决"数据能不能换成钱"——三层缺一，数字化就停在演示层面（P9000）。这组工具的共同本质，是把人、材、机、证四类现场要素全部数字化锚定到BIM模型与合同条款上，使付款、结算、清退都有机器可验证的凭证。输出端的三个落点值得逐一读出：实名台账对应责任追溯机制，损耗控减报告直接对接成本科目，铺底流动资金优化方案则写入营运资本管理——一个现场工具的三份输出分别落在内控、成本与资金三条线上，数字化由此获得了财务部门都看得懂的语言（P9000）。</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工具</w:t>
            </w:r>
          </w:p>
        </w:tc>
        <w:tc>
          <w:tcPr>
            <w:tcW w:type="dxa" w:w="2075"/>
            <w:shd w:fill="1F3A5F"/>
          </w:tcPr>
          <w:p>
            <w:r>
              <w:rPr>
                <w:color w:val="FFFFFF"/>
              </w:rPr>
            </w:r>
            <w:r>
              <w:rPr>
                <w:rFonts w:ascii="Calibri" w:hAnsi="Calibri" w:eastAsia="微软雅黑"/>
                <w:b/>
                <w:i w:val="0"/>
                <w:color w:val="FFFFFF"/>
                <w:sz w:val="18"/>
              </w:rPr>
              <w:t>应用场景</w:t>
            </w:r>
          </w:p>
        </w:tc>
        <w:tc>
          <w:tcPr>
            <w:tcW w:type="dxa" w:w="2075"/>
            <w:shd w:fill="1F3A5F"/>
          </w:tcPr>
          <w:p>
            <w:r>
              <w:rPr>
                <w:color w:val="FFFFFF"/>
              </w:rPr>
            </w:r>
            <w:r>
              <w:rPr>
                <w:rFonts w:ascii="Calibri" w:hAnsi="Calibri" w:eastAsia="微软雅黑"/>
                <w:b/>
                <w:i w:val="0"/>
                <w:color w:val="FFFFFF"/>
                <w:sz w:val="18"/>
              </w:rPr>
              <w:t>核心输入</w:t>
            </w:r>
          </w:p>
        </w:tc>
        <w:tc>
          <w:tcPr>
            <w:tcW w:type="dxa" w:w="2075"/>
            <w:shd w:fill="1F3A5F"/>
          </w:tcPr>
          <w:p>
            <w:r>
              <w:rPr>
                <w:color w:val="FFFFFF"/>
              </w:rPr>
            </w:r>
            <w:r>
              <w:rPr>
                <w:rFonts w:ascii="Calibri" w:hAnsi="Calibri" w:eastAsia="微软雅黑"/>
                <w:b/>
                <w:i w:val="0"/>
                <w:color w:val="FFFFFF"/>
                <w:sz w:val="18"/>
              </w:rPr>
              <w:t>输出成果</w:t>
            </w:r>
          </w:p>
        </w:tc>
      </w:tr>
      <w:tr>
        <w:tc>
          <w:tcPr>
            <w:tcW w:type="dxa" w:w="2075"/>
          </w:tcPr>
          <w:p>
            <w:r/>
            <w:r>
              <w:rPr>
                <w:rFonts w:ascii="Calibri" w:hAnsi="Calibri" w:eastAsia="微软雅黑"/>
                <w:b w:val="0"/>
                <w:i w:val="0"/>
                <w:sz w:val="18"/>
              </w:rPr>
              <w:t>BIM-概算动态调价模型</w:t>
            </w:r>
          </w:p>
        </w:tc>
        <w:tc>
          <w:tcPr>
            <w:tcW w:type="dxa" w:w="2075"/>
          </w:tcPr>
          <w:p>
            <w:r/>
            <w:r>
              <w:rPr>
                <w:rFonts w:ascii="Calibri" w:hAnsi="Calibri" w:eastAsia="微软雅黑"/>
                <w:b w:val="0"/>
                <w:i w:val="0"/>
                <w:sz w:val="18"/>
              </w:rPr>
              <w:t>初步设计后造价修正与概算编制</w:t>
            </w:r>
          </w:p>
        </w:tc>
        <w:tc>
          <w:tcPr>
            <w:tcW w:type="dxa" w:w="2075"/>
          </w:tcPr>
          <w:p>
            <w:r/>
            <w:r>
              <w:rPr>
                <w:rFonts w:ascii="Calibri" w:hAnsi="Calibri" w:eastAsia="微软雅黑"/>
                <w:b w:val="0"/>
                <w:i w:val="0"/>
                <w:sz w:val="18"/>
              </w:rPr>
              <w:t>初步设计图尺寸、类似工程造价数据、地区人材机差异系数K1～K4</w:t>
            </w:r>
          </w:p>
        </w:tc>
        <w:tc>
          <w:tcPr>
            <w:tcW w:type="dxa" w:w="2075"/>
          </w:tcPr>
          <w:p>
            <w:r/>
            <w:r>
              <w:rPr>
                <w:rFonts w:ascii="Calibri" w:hAnsi="Calibri" w:eastAsia="微软雅黑"/>
                <w:b w:val="0"/>
                <w:i w:val="0"/>
                <w:sz w:val="18"/>
              </w:rPr>
              <w:t>结构变化修正概算指标及拟建工程动态成本单价D（P9000）</w:t>
            </w:r>
          </w:p>
        </w:tc>
      </w:tr>
      <w:tr>
        <w:tc>
          <w:tcPr>
            <w:tcW w:type="dxa" w:w="2075"/>
          </w:tcPr>
          <w:p>
            <w:r/>
            <w:r>
              <w:rPr>
                <w:rFonts w:ascii="Calibri" w:hAnsi="Calibri" w:eastAsia="微软雅黑"/>
                <w:b w:val="0"/>
                <w:i w:val="0"/>
                <w:sz w:val="18"/>
              </w:rPr>
              <w:t>无人超市式智能焊材库系统</w:t>
            </w:r>
          </w:p>
        </w:tc>
        <w:tc>
          <w:tcPr>
            <w:tcW w:type="dxa" w:w="2075"/>
          </w:tcPr>
          <w:p>
            <w:r/>
            <w:r>
              <w:rPr>
                <w:rFonts w:ascii="Calibri" w:hAnsi="Calibri" w:eastAsia="微软雅黑"/>
                <w:b w:val="0"/>
                <w:i w:val="0"/>
                <w:sz w:val="18"/>
              </w:rPr>
              <w:t>现场高价值焊材自动化领用与防偷漏</w:t>
            </w:r>
          </w:p>
        </w:tc>
        <w:tc>
          <w:tcPr>
            <w:tcW w:type="dxa" w:w="2075"/>
          </w:tcPr>
          <w:p>
            <w:r/>
            <w:r>
              <w:rPr>
                <w:rFonts w:ascii="Calibri" w:hAnsi="Calibri" w:eastAsia="微软雅黑"/>
                <w:b w:val="0"/>
                <w:i w:val="0"/>
                <w:sz w:val="18"/>
              </w:rPr>
              <w:t>RFID/AI领用人身份识别、BIM焊缝节点工程量、烘干出库记录</w:t>
            </w:r>
          </w:p>
        </w:tc>
        <w:tc>
          <w:tcPr>
            <w:tcW w:type="dxa" w:w="2075"/>
          </w:tcPr>
          <w:p>
            <w:r/>
            <w:r>
              <w:rPr>
                <w:rFonts w:ascii="Calibri" w:hAnsi="Calibri" w:eastAsia="微软雅黑"/>
                <w:b w:val="0"/>
                <w:i w:val="0"/>
                <w:sz w:val="18"/>
              </w:rPr>
              <w:t>物资领用实名台账、过程材料损耗控减报告及铺底流动资金优化方案（P9000）</w:t>
            </w:r>
          </w:p>
        </w:tc>
      </w:tr>
      <w:tr>
        <w:tc>
          <w:tcPr>
            <w:tcW w:type="dxa" w:w="2075"/>
          </w:tcPr>
          <w:p>
            <w:r/>
            <w:r>
              <w:rPr>
                <w:rFonts w:ascii="Calibri" w:hAnsi="Calibri" w:eastAsia="微软雅黑"/>
                <w:b w:val="0"/>
                <w:i w:val="0"/>
                <w:sz w:val="18"/>
              </w:rPr>
              <w:t>节点请款凭证AI自动归档链</w:t>
            </w:r>
          </w:p>
        </w:tc>
        <w:tc>
          <w:tcPr>
            <w:tcW w:type="dxa" w:w="2075"/>
          </w:tcPr>
          <w:p>
            <w:r/>
            <w:r>
              <w:rPr>
                <w:rFonts w:ascii="Calibri" w:hAnsi="Calibri" w:eastAsia="微软雅黑"/>
                <w:b w:val="0"/>
                <w:i w:val="0"/>
                <w:sz w:val="18"/>
              </w:rPr>
              <w:t>里程碑节点进度款申请与先履行抗辩防御</w:t>
            </w:r>
          </w:p>
        </w:tc>
        <w:tc>
          <w:tcPr>
            <w:tcW w:type="dxa" w:w="2075"/>
          </w:tcPr>
          <w:p>
            <w:r/>
            <w:r>
              <w:rPr>
                <w:rFonts w:ascii="Calibri" w:hAnsi="Calibri" w:eastAsia="微软雅黑"/>
                <w:b w:val="0"/>
                <w:i w:val="0"/>
                <w:sz w:val="18"/>
              </w:rPr>
              <w:t>节点完工报告、实际完成工程量表、设备/材料工厂试验标准与记录</w:t>
            </w:r>
          </w:p>
        </w:tc>
        <w:tc>
          <w:tcPr>
            <w:tcW w:type="dxa" w:w="2075"/>
          </w:tcPr>
          <w:p>
            <w:r/>
            <w:r>
              <w:rPr>
                <w:rFonts w:ascii="Calibri" w:hAnsi="Calibri" w:eastAsia="微软雅黑"/>
                <w:b w:val="0"/>
                <w:i w:val="0"/>
                <w:sz w:val="18"/>
              </w:rPr>
              <w:t>符合合同第5.2.3条（P9000）要求的5类请款文件包及《进度款支付证明》签署件（P9000）</w:t>
            </w:r>
          </w:p>
        </w:tc>
      </w:tr>
      <w:tr>
        <w:tc>
          <w:tcPr>
            <w:tcW w:type="dxa" w:w="2075"/>
          </w:tcPr>
          <w:p>
            <w:r/>
            <w:r>
              <w:rPr>
                <w:rFonts w:ascii="Calibri" w:hAnsi="Calibri" w:eastAsia="微软雅黑"/>
                <w:b w:val="0"/>
                <w:i w:val="0"/>
                <w:sz w:val="18"/>
              </w:rPr>
              <w:t>解约撤场物权AI盘点资产清册</w:t>
            </w:r>
          </w:p>
        </w:tc>
        <w:tc>
          <w:tcPr>
            <w:tcW w:type="dxa" w:w="2075"/>
          </w:tcPr>
          <w:p>
            <w:r/>
            <w:r>
              <w:rPr>
                <w:rFonts w:ascii="Calibri" w:hAnsi="Calibri" w:eastAsia="微软雅黑"/>
                <w:b w:val="0"/>
                <w:i w:val="0"/>
                <w:sz w:val="18"/>
              </w:rPr>
              <w:t>EPC合同解除后的现场清退与物权隔离</w:t>
            </w:r>
          </w:p>
        </w:tc>
        <w:tc>
          <w:tcPr>
            <w:tcW w:type="dxa" w:w="2075"/>
          </w:tcPr>
          <w:p>
            <w:r/>
            <w:r>
              <w:rPr>
                <w:rFonts w:ascii="Calibri" w:hAnsi="Calibri" w:eastAsia="微软雅黑"/>
                <w:b w:val="0"/>
                <w:i w:val="0"/>
                <w:sz w:val="18"/>
              </w:rPr>
              <w:t>现场AI视觉影像、设备/材料进场及检验记录、施工日志</w:t>
            </w:r>
          </w:p>
        </w:tc>
        <w:tc>
          <w:tcPr>
            <w:tcW w:type="dxa" w:w="2075"/>
          </w:tcPr>
          <w:p>
            <w:r/>
            <w:r>
              <w:rPr>
                <w:rFonts w:ascii="Calibri" w:hAnsi="Calibri" w:eastAsia="微软雅黑"/>
                <w:b w:val="0"/>
                <w:i w:val="0"/>
                <w:sz w:val="18"/>
              </w:rPr>
              <w:t>不可篡改的现场物权清册与优先受偿权主张证据链（P9000）</w:t>
            </w:r>
          </w:p>
        </w:tc>
      </w:tr>
    </w:tbl>
    <w:p>
      <w:r>
        <w:rPr>
          <w:rFonts w:ascii="Calibri" w:hAnsi="Calibri" w:eastAsia="微软雅黑"/>
          <w:b w:val="0"/>
          <w:i w:val="0"/>
          <w:sz w:val="22"/>
        </w:rPr>
        <w:t>凭证链值多少钱，裁判文书给出最冷的量级参照。按证据库收录的各年度EPC相关裁判文书检索量：2010年148篇（P9026）、2012年216篇（P9023）、2013年2170篇（P9020）、2014年5275篇（P9019）、2015年8654篇（P9017）、2016年10763篇（P9016）、2017年11716篇（P9015）、2018年5754篇（P9018）、2019年41550篇（P9014）、2020年42935篇（P9013）、2021年324篇（P9024）。2019与2020两个年度合计84485篇（41550+42935，own_calc，源：P9014、P9013），远超2013年2170篇（P9020）的量级。收录的十一个年度批次合计129505篇（148+216+2170+5275+8654+10763+11716+5754+41550+42935+324，own_calc，源：P9026、P9023、P9020、P9019、P9017、P9016、P9015、P9018、P9014、P9013、P9024，证据库未收录2011年年度卷）。必须立刻加上口径警示：2018年回落至5754篇（P9018）、2021年骤降至324篇（P9024），更多反映裁判文书上网公开范围与力度的变化而非纠纷量骤变；跨年比较只宜看量级、不宜算增速，把它当作背景噪声的音量计而非精确的纠纷温度计，是更稳妥的用法。但"建设工程合同纠纷体量巨大且长期高发"的方向性事实，足以支撑总包企业把凭证链建设当成必选项而非可选项。把库内判决按"证据链在哪一环断裂"归类，反复出现的形态包括：单价与书面合同双缺、边设计边施工未逐项签约、票据与税金凭证缺失、收条与鉴定拉锯——每一种都能对应到工具族的一个组件，投入决策可以按企业自身的纠纷暴露面排序（P9018；P9016；P9015；P9026）。</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年度</w:t>
            </w:r>
          </w:p>
        </w:tc>
        <w:tc>
          <w:tcPr>
            <w:tcW w:type="dxa" w:w="2075"/>
            <w:shd w:fill="1F3A5F"/>
          </w:tcPr>
          <w:p>
            <w:r>
              <w:rPr>
                <w:color w:val="FFFFFF"/>
              </w:rPr>
            </w:r>
            <w:r>
              <w:rPr>
                <w:rFonts w:ascii="Calibri" w:hAnsi="Calibri" w:eastAsia="微软雅黑"/>
                <w:b/>
                <w:i w:val="0"/>
                <w:color w:val="FFFFFF"/>
                <w:sz w:val="18"/>
              </w:rPr>
              <w:t>EPC相关裁判文书检索量（篇）</w:t>
            </w:r>
          </w:p>
        </w:tc>
        <w:tc>
          <w:tcPr>
            <w:tcW w:type="dxa" w:w="2075"/>
            <w:shd w:fill="1F3A5F"/>
          </w:tcPr>
          <w:p>
            <w:r>
              <w:rPr>
                <w:color w:val="FFFFFF"/>
              </w:rPr>
            </w:r>
            <w:r>
              <w:rPr>
                <w:rFonts w:ascii="Calibri" w:hAnsi="Calibri" w:eastAsia="微软雅黑"/>
                <w:b/>
                <w:i w:val="0"/>
                <w:color w:val="FFFFFF"/>
                <w:sz w:val="18"/>
              </w:rPr>
              <w:t>年度</w:t>
            </w:r>
          </w:p>
        </w:tc>
        <w:tc>
          <w:tcPr>
            <w:tcW w:type="dxa" w:w="2075"/>
            <w:shd w:fill="1F3A5F"/>
          </w:tcPr>
          <w:p>
            <w:r>
              <w:rPr>
                <w:color w:val="FFFFFF"/>
              </w:rPr>
            </w:r>
            <w:r>
              <w:rPr>
                <w:rFonts w:ascii="Calibri" w:hAnsi="Calibri" w:eastAsia="微软雅黑"/>
                <w:b/>
                <w:i w:val="0"/>
                <w:color w:val="FFFFFF"/>
                <w:sz w:val="18"/>
              </w:rPr>
              <w:t>EPC相关裁判文书检索量（篇）</w:t>
            </w:r>
          </w:p>
        </w:tc>
      </w:tr>
      <w:tr>
        <w:tc>
          <w:tcPr>
            <w:tcW w:type="dxa" w:w="2075"/>
          </w:tcPr>
          <w:p>
            <w:r/>
            <w:r>
              <w:rPr>
                <w:rFonts w:ascii="Calibri" w:hAnsi="Calibri" w:eastAsia="微软雅黑"/>
                <w:b w:val="0"/>
                <w:i w:val="0"/>
                <w:sz w:val="18"/>
              </w:rPr>
              <w:t>2010年</w:t>
            </w:r>
          </w:p>
        </w:tc>
        <w:tc>
          <w:tcPr>
            <w:tcW w:type="dxa" w:w="2075"/>
          </w:tcPr>
          <w:p>
            <w:r/>
            <w:r>
              <w:rPr>
                <w:rFonts w:ascii="Calibri" w:hAnsi="Calibri" w:eastAsia="微软雅黑"/>
                <w:b w:val="0"/>
                <w:i w:val="0"/>
                <w:sz w:val="18"/>
              </w:rPr>
              <w:t>148（P9026）</w:t>
            </w:r>
          </w:p>
        </w:tc>
        <w:tc>
          <w:tcPr>
            <w:tcW w:type="dxa" w:w="2075"/>
          </w:tcPr>
          <w:p>
            <w:r/>
            <w:r>
              <w:rPr>
                <w:rFonts w:ascii="Calibri" w:hAnsi="Calibri" w:eastAsia="微软雅黑"/>
                <w:b w:val="0"/>
                <w:i w:val="0"/>
                <w:sz w:val="18"/>
              </w:rPr>
              <w:t>2016年</w:t>
            </w:r>
          </w:p>
        </w:tc>
        <w:tc>
          <w:tcPr>
            <w:tcW w:type="dxa" w:w="2075"/>
          </w:tcPr>
          <w:p>
            <w:r/>
            <w:r>
              <w:rPr>
                <w:rFonts w:ascii="Calibri" w:hAnsi="Calibri" w:eastAsia="微软雅黑"/>
                <w:b w:val="0"/>
                <w:i w:val="0"/>
                <w:sz w:val="18"/>
              </w:rPr>
              <w:t>10763（P9016）</w:t>
            </w:r>
          </w:p>
        </w:tc>
      </w:tr>
      <w:tr>
        <w:tc>
          <w:tcPr>
            <w:tcW w:type="dxa" w:w="2075"/>
          </w:tcPr>
          <w:p>
            <w:r/>
            <w:r>
              <w:rPr>
                <w:rFonts w:ascii="Calibri" w:hAnsi="Calibri" w:eastAsia="微软雅黑"/>
                <w:b w:val="0"/>
                <w:i w:val="0"/>
                <w:sz w:val="18"/>
              </w:rPr>
              <w:t>2012年</w:t>
            </w:r>
          </w:p>
        </w:tc>
        <w:tc>
          <w:tcPr>
            <w:tcW w:type="dxa" w:w="2075"/>
          </w:tcPr>
          <w:p>
            <w:r/>
            <w:r>
              <w:rPr>
                <w:rFonts w:ascii="Calibri" w:hAnsi="Calibri" w:eastAsia="微软雅黑"/>
                <w:b w:val="0"/>
                <w:i w:val="0"/>
                <w:sz w:val="18"/>
              </w:rPr>
              <w:t>216（P9023）</w:t>
            </w:r>
          </w:p>
        </w:tc>
        <w:tc>
          <w:tcPr>
            <w:tcW w:type="dxa" w:w="2075"/>
          </w:tcPr>
          <w:p>
            <w:r/>
            <w:r>
              <w:rPr>
                <w:rFonts w:ascii="Calibri" w:hAnsi="Calibri" w:eastAsia="微软雅黑"/>
                <w:b w:val="0"/>
                <w:i w:val="0"/>
                <w:sz w:val="18"/>
              </w:rPr>
              <w:t>2017年</w:t>
            </w:r>
          </w:p>
        </w:tc>
        <w:tc>
          <w:tcPr>
            <w:tcW w:type="dxa" w:w="2075"/>
          </w:tcPr>
          <w:p>
            <w:r/>
            <w:r>
              <w:rPr>
                <w:rFonts w:ascii="Calibri" w:hAnsi="Calibri" w:eastAsia="微软雅黑"/>
                <w:b w:val="0"/>
                <w:i w:val="0"/>
                <w:sz w:val="18"/>
              </w:rPr>
              <w:t>11716（P9015）</w:t>
            </w:r>
          </w:p>
        </w:tc>
      </w:tr>
      <w:tr>
        <w:tc>
          <w:tcPr>
            <w:tcW w:type="dxa" w:w="2075"/>
          </w:tcPr>
          <w:p>
            <w:r/>
            <w:r>
              <w:rPr>
                <w:rFonts w:ascii="Calibri" w:hAnsi="Calibri" w:eastAsia="微软雅黑"/>
                <w:b w:val="0"/>
                <w:i w:val="0"/>
                <w:sz w:val="18"/>
              </w:rPr>
              <w:t>2013年</w:t>
            </w:r>
          </w:p>
        </w:tc>
        <w:tc>
          <w:tcPr>
            <w:tcW w:type="dxa" w:w="2075"/>
          </w:tcPr>
          <w:p>
            <w:r/>
            <w:r>
              <w:rPr>
                <w:rFonts w:ascii="Calibri" w:hAnsi="Calibri" w:eastAsia="微软雅黑"/>
                <w:b w:val="0"/>
                <w:i w:val="0"/>
                <w:sz w:val="18"/>
              </w:rPr>
              <w:t>2170（P9020）</w:t>
            </w:r>
          </w:p>
        </w:tc>
        <w:tc>
          <w:tcPr>
            <w:tcW w:type="dxa" w:w="2075"/>
          </w:tcPr>
          <w:p>
            <w:r/>
            <w:r>
              <w:rPr>
                <w:rFonts w:ascii="Calibri" w:hAnsi="Calibri" w:eastAsia="微软雅黑"/>
                <w:b w:val="0"/>
                <w:i w:val="0"/>
                <w:sz w:val="18"/>
              </w:rPr>
              <w:t>2018年</w:t>
            </w:r>
          </w:p>
        </w:tc>
        <w:tc>
          <w:tcPr>
            <w:tcW w:type="dxa" w:w="2075"/>
          </w:tcPr>
          <w:p>
            <w:r/>
            <w:r>
              <w:rPr>
                <w:rFonts w:ascii="Calibri" w:hAnsi="Calibri" w:eastAsia="微软雅黑"/>
                <w:b w:val="0"/>
                <w:i w:val="0"/>
                <w:sz w:val="18"/>
              </w:rPr>
              <w:t>5754（P9018）</w:t>
            </w:r>
          </w:p>
        </w:tc>
      </w:tr>
      <w:tr>
        <w:tc>
          <w:tcPr>
            <w:tcW w:type="dxa" w:w="2075"/>
          </w:tcPr>
          <w:p>
            <w:r/>
            <w:r>
              <w:rPr>
                <w:rFonts w:ascii="Calibri" w:hAnsi="Calibri" w:eastAsia="微软雅黑"/>
                <w:b w:val="0"/>
                <w:i w:val="0"/>
                <w:sz w:val="18"/>
              </w:rPr>
              <w:t>2014年</w:t>
            </w:r>
          </w:p>
        </w:tc>
        <w:tc>
          <w:tcPr>
            <w:tcW w:type="dxa" w:w="2075"/>
          </w:tcPr>
          <w:p>
            <w:r/>
            <w:r>
              <w:rPr>
                <w:rFonts w:ascii="Calibri" w:hAnsi="Calibri" w:eastAsia="微软雅黑"/>
                <w:b w:val="0"/>
                <w:i w:val="0"/>
                <w:sz w:val="18"/>
              </w:rPr>
              <w:t>5275（P9019）</w:t>
            </w:r>
          </w:p>
        </w:tc>
        <w:tc>
          <w:tcPr>
            <w:tcW w:type="dxa" w:w="2075"/>
          </w:tcPr>
          <w:p>
            <w:r/>
            <w:r>
              <w:rPr>
                <w:rFonts w:ascii="Calibri" w:hAnsi="Calibri" w:eastAsia="微软雅黑"/>
                <w:b w:val="0"/>
                <w:i w:val="0"/>
                <w:sz w:val="18"/>
              </w:rPr>
              <w:t>2019年</w:t>
            </w:r>
          </w:p>
        </w:tc>
        <w:tc>
          <w:tcPr>
            <w:tcW w:type="dxa" w:w="2075"/>
          </w:tcPr>
          <w:p>
            <w:r/>
            <w:r>
              <w:rPr>
                <w:rFonts w:ascii="Calibri" w:hAnsi="Calibri" w:eastAsia="微软雅黑"/>
                <w:b w:val="0"/>
                <w:i w:val="0"/>
                <w:sz w:val="18"/>
              </w:rPr>
              <w:t>41550（P9014）</w:t>
            </w:r>
          </w:p>
        </w:tc>
      </w:tr>
      <w:tr>
        <w:tc>
          <w:tcPr>
            <w:tcW w:type="dxa" w:w="2075"/>
          </w:tcPr>
          <w:p>
            <w:r/>
            <w:r>
              <w:rPr>
                <w:rFonts w:ascii="Calibri" w:hAnsi="Calibri" w:eastAsia="微软雅黑"/>
                <w:b w:val="0"/>
                <w:i w:val="0"/>
                <w:sz w:val="18"/>
              </w:rPr>
              <w:t>2015年</w:t>
            </w:r>
          </w:p>
        </w:tc>
        <w:tc>
          <w:tcPr>
            <w:tcW w:type="dxa" w:w="2075"/>
          </w:tcPr>
          <w:p>
            <w:r/>
            <w:r>
              <w:rPr>
                <w:rFonts w:ascii="Calibri" w:hAnsi="Calibri" w:eastAsia="微软雅黑"/>
                <w:b w:val="0"/>
                <w:i w:val="0"/>
                <w:sz w:val="18"/>
              </w:rPr>
              <w:t>8654（P9017）</w:t>
            </w:r>
          </w:p>
        </w:tc>
        <w:tc>
          <w:tcPr>
            <w:tcW w:type="dxa" w:w="2075"/>
          </w:tcPr>
          <w:p>
            <w:r/>
            <w:r>
              <w:rPr>
                <w:rFonts w:ascii="Calibri" w:hAnsi="Calibri" w:eastAsia="微软雅黑"/>
                <w:b w:val="0"/>
                <w:i w:val="0"/>
                <w:sz w:val="18"/>
              </w:rPr>
              <w:t>2020年</w:t>
            </w:r>
          </w:p>
        </w:tc>
        <w:tc>
          <w:tcPr>
            <w:tcW w:type="dxa" w:w="2075"/>
          </w:tcPr>
          <w:p>
            <w:r/>
            <w:r>
              <w:rPr>
                <w:rFonts w:ascii="Calibri" w:hAnsi="Calibri" w:eastAsia="微软雅黑"/>
                <w:b w:val="0"/>
                <w:i w:val="0"/>
                <w:sz w:val="18"/>
              </w:rPr>
              <w:t>42935（P9013）</w:t>
            </w:r>
          </w:p>
        </w:tc>
      </w:tr>
      <w:tr>
        <w:tc>
          <w:tcPr>
            <w:tcW w:type="dxa" w:w="2075"/>
          </w:tcPr>
          <w:p>
            <w:r/>
            <w:r>
              <w:rPr>
                <w:rFonts w:ascii="Calibri" w:hAnsi="Calibri" w:eastAsia="微软雅黑"/>
                <w:b w:val="0"/>
                <w:i w:val="0"/>
                <w:sz w:val="18"/>
              </w:rPr>
              <w:t>2021年</w:t>
            </w:r>
          </w:p>
        </w:tc>
        <w:tc>
          <w:tcPr>
            <w:tcW w:type="dxa" w:w="2075"/>
          </w:tcPr>
          <w:p>
            <w:r/>
            <w:r>
              <w:rPr>
                <w:rFonts w:ascii="Calibri" w:hAnsi="Calibri" w:eastAsia="微软雅黑"/>
                <w:b w:val="0"/>
                <w:i w:val="0"/>
                <w:sz w:val="18"/>
              </w:rPr>
              <w:t>324（P9024）</w:t>
            </w:r>
          </w:p>
        </w:tc>
        <w:tc>
          <w:tcPr>
            <w:tcW w:type="dxa" w:w="2075"/>
          </w:tcPr>
          <w:p>
            <w:r/>
            <w:r>
              <w:rPr>
                <w:rFonts w:ascii="Calibri" w:hAnsi="Calibri" w:eastAsia="微软雅黑"/>
                <w:b w:val="0"/>
                <w:i w:val="0"/>
                <w:sz w:val="18"/>
              </w:rPr>
              <w:t>—</w:t>
            </w:r>
          </w:p>
        </w:tc>
        <w:tc>
          <w:tcPr>
            <w:tcW w:type="dxa" w:w="2075"/>
          </w:tcPr>
          <w:p>
            <w:r/>
            <w:r>
              <w:rPr>
                <w:rFonts w:ascii="Calibri" w:hAnsi="Calibri" w:eastAsia="微软雅黑"/>
                <w:b w:val="0"/>
                <w:i w:val="0"/>
                <w:sz w:val="18"/>
              </w:rPr>
              <w:t>—</w:t>
            </w:r>
          </w:p>
        </w:tc>
      </w:tr>
    </w:tbl>
    <w:p>
      <w:r>
        <w:rPr>
          <w:rFonts w:ascii="Calibri" w:hAnsi="Calibri" w:eastAsia="微软雅黑"/>
          <w:b w:val="0"/>
          <w:i w:val="0"/>
          <w:sz w:val="22"/>
        </w:rPr>
        <w:t>个案比总量更有说服力，因为它们展示了凭证缺失如何精确转化为现金流损失。宜阳县人民法院（2016）豫0327民初1133号判决（P9016）记载：业主未提供设计图纸，施工采取"边设计、边施工，完工一处、验收一处"的方式，园林景观及零星工程未逐项签订书面施工合同；假山工程按钢丝网片面积188元/㎡计价，温泉汤池按水池外围投影面积2000元/㎡计价（P9016）；温泉假山、水上娱乐园假山、5D电影院、捉鱼城四项工程总造价8902476.4元，施工期间及其后累计支付7432708元，尚欠1469768元，全案拖欠工程款合计15190038.4元（P9016）。浙江省高级人民法院（2017）浙民申3281号裁定（P9015）展示了票据凭证的杀伤力：涉案工程款769734元（含税金100400元），承包人自认已收款72万元，因未提供税务发票等证据证明税金损失确已产生，法院对税金部分予以扣除（P9015）。湖南省凤凰县人民法院（2018）湘3123民初897号判决（P9018）中，砌堡坎工程口头约定全包每立方米280元、共砌790多立方米，完工后支付4万元，尚欠182415.2元工程款引发诉讼（P9018）。福建省德化县人民法院（2013）德民初字第2869号裁定（P9020）更是以"本案事实无法查清"为由由原告撤诉，案件受理费3914元减半收取1957元（P9020）。这些案件没有一件来自电力行业专场，但共享同一个病理结构：合同单价、工程量、验收记录、票据凭证之中只要有一环断裂，账面利润就会在诉讼里蒸发——而每一环都能在前述工具族中找到对应的数字化补丁。逐案对应：宜阳案的病根在设计文件与合同清单缺位，解法是模型数据流与合同工程量清单的数字化锚定；浙江案的病根在票据归档，解法是发票完税凭证与节点完工报告的绑定归档；凤凰案的病根在口头约定无凭，解法是工程量实名台账；德化案的病根在事实查不清，解法是可复核的过程记录——四张判决书，恰好是凭证工具族的需求说明书（P9016；P9015；P9018；P9020）。</w:t>
      </w:r>
    </w:p>
    <w:p>
      <w:r>
        <w:rPr>
          <w:rFonts w:ascii="Calibri" w:hAnsi="Calibri" w:eastAsia="微软雅黑"/>
          <w:b w:val="0"/>
          <w:i w:val="0"/>
          <w:sz w:val="22"/>
        </w:rPr>
        <w:t>所以呢？对总承包经营者，数字化工地的投入产出不应只按"省几个焊条"计算，而应按"避免的纠纷成本＋提前回款的资金时间价值＋解约时的物权保全"合并计价；对投资者，最硬的尽调动作不是看演示视频，而是随机抽取在履约项目，检查节点请款文件包是否已模板化自动归档、物资领用是否已实名台账化。解约场景值得单独展开：进场的设备材料往往产权多元——总包自购、甲供、分包自带、租赁设备混在同一现场，账面与实物一旦脱节，解约谈判就退化为现场实物的强占与反强占；不可篡改的影像加台账，把"谁的东西"从谈判问题变成检索问题，而优先受偿权的行使同样依赖工程量与价款凭证的完整性（P9000）。配套上还有两条：合同侧，工具族输出直接对应合同第5.2.3条对请款文件的要求（P9000），合同条款与归档链必须同版本演进——条款改了归档链没改，自动生成的文件包就会系统性失配；组织侧，实名台账把焊材损耗从班组集体责任拆解到个人、烘干出库记录把工艺纪律从口头交底变成数据约束，都会遇到执行阻力，需要项目层面同步给出考核与激励的再设计（P9000）。凭证链同样要回答对手方的诘问——总包的凭证越完整，业主越要问工程量是否被高估、形象进度是否被美化；平衡机制是同时约定凭证交付义务与复核权（抽样影像比对、第三方重算的触发条件），使凭证链成为双向透明的工具而非单方请款的武器（P9011；P9000）。业主在招标文件与专用条款中直接约定过程凭证的数字化交付标准，把凭证链从总包自选动作变成合同义务，是投入最小、杠杆最大的治理手段。反向也要如实提示：上述工具族来自行业方法论研究，证据库未收录四川院落地这些系统的直接记录，该院智慧工地与凭证链的实际成熟度仍需现场核验（P9000）。</w:t>
      </w:r>
    </w:p>
    <w:p>
      <w:pPr>
        <w:pStyle w:val="Heading2"/>
      </w:pPr>
      <w:r>
        <w:t>转型镜鉴：制造业、平台与AI企业的节奏与纪律</w:t>
      </w:r>
    </w:p>
    <w:p>
      <w:r>
        <w:rPr>
          <w:rFonts w:ascii="Calibri" w:hAnsi="Calibri" w:eastAsia="微软雅黑"/>
          <w:b w:val="0"/>
          <w:i w:val="0"/>
          <w:sz w:val="22"/>
        </w:rPr>
        <w:t>电力设计院的数字化不必从零摸索，传统制造业与平台企业已留下可对照的路径与教训。制造业样本是施耐德电气——课程开宗明义，数字化转型已成为传统制造业必须付诸行动的必选题（P9005）：一家拥有180年历史的企业（P9005），最初从事钢铁制造，巴黎埃菲尔铁塔所用钢材全部由施耐德制造，到70年代明确能源管理和自动化两大发展方向，如今通过软件和数字化技术赋能能源与自动化领域（P9005）。其体量为在全球拥有200多家工厂和98个物流中心（P9005）；其供应链成色有外部标尺可验：Gartner每年对全球大型公司供应链进行评估并公布前50名，施耐德五年前位列第34名、当年已上升至第4名，而榜单前列大多是消费品或3C产品的公司（P9005）——排名跃升背后，正是IT与OT长期融合与精益改善的复利，重资产制造业的身份反而放大了这一成绩的含金量。对工程企业的启示在于：供应链评估这类外部可比标尺，同样可以移植为总包企业数字化成色的第三方验证思路——找那些不依赖企业自述的外部指标，比听汇报可靠得多（P9005）。方法论层面，其中国区负责人给出的十六字诀是"先医后药、先软后硬、小步快跑、效益第一"（P9005），另有三条原则对工程行业同样致命：其一，"IT和OT的结合非常重要，因为不同的行业需求不一样，不同的工艺段需求也不一样"（P9005）；其二，"数字化不是灵丹妙药，数字化是工具，需要管理者和员工共同去使用好这个工具"（P9005）；其三，"精益生产要求企业在不同的地方通过不断挑战自己来提高效率"（P9005）。其转型经验被课程归纳为四大趋势、三大挑战（P9005）。这面镜子映射到电力EPC格外贴切：设计院系总包的"OT"是勘察设计、焊接、电气安装与调试工艺，"IT"是BIM、台账与凭证系统，两者的结合点恰是前两节讨论的模型驱动与数字凭证链；不存在放之四海而皆准的数字化方案包，变电、输电、新能源场站的工艺段差异，决定了每条业务线都需要自己的数据结构与凭证模板。</w:t>
      </w:r>
    </w:p>
    <w:p>
      <w:r>
        <w:rPr>
          <w:rFonts w:ascii="Calibri" w:hAnsi="Calibri" w:eastAsia="微软雅黑"/>
          <w:b w:val="0"/>
          <w:i w:val="0"/>
          <w:sz w:val="22"/>
        </w:rPr>
        <w:t>平台型传统企业样本是居然之家：成立于1999年，市值476亿港元（课程披露口径，P9001），拥有近四百家门店而房租和人力成本高企（P9001）；2012年就开始信息化建设，2018年牵手阿里巴巴并以自主探索方式多渠道发力（P9001）；从2018年起连续三年蝉联天猫"双十一"家居行业第一名，2020年获淘宝"618"直播新零售行业第一名（P9001）。其执行总裁王宁在居然之家服务22年、亲身参与数字化全过程（P9001）。三个关键事实值得拆解：其一，数字化转型由"焦虑"驱动而非愿景驱动——该课程的第一部分标题即为"'焦虑'带来的产业机会"（P9001）；其二，业务与组织并列推进——课程结构依次为数字化转型、业务数字化关键打法、组织数字化原则与制度、转型过程中的几点思考（P9001），课程简介直接挑明了工程企业同样绕不开的问题：业务为先还是工具为先、建设短期内难有成效该如何坚持（P9001）；其三，时间尺度——从2012年信息化起步到平台化收获，隔着漫长的组织建设（P9001），指望电力设计院的数字化投入在单个财年内兑现利润，既不现实也不专业。组织建设是数字化最难的一段，这几乎是跨行业共识：项目部分散在各地现场、人员流动性高、班组习惯根深蒂固，台账纪律在没有考核挂钩时，用不了多久就会退化回纸质作业（P9001）。王宁的两条戒律值得逐字抄录给所有投入数字化的工程企业：把线下销售搬到线上而没有销售增量，"这样的新零售叫做耍流氓"（P9001）；"数字化转型，不是为了企业明天活得更好，而是为了保证今天能活下去"（P9001）。另一条关于边界的判断同样适用："做平台代表着宽度，代表着生态；做线性服务，代表着深度，构建壁垒"（P9001）——设计院系总包的数字化路径更接近后者，以深度与壁垒为目标，而非追逐平台叙事。</w:t>
      </w:r>
    </w:p>
    <w:p>
      <w:r>
        <w:rPr>
          <w:rFonts w:ascii="Calibri" w:hAnsi="Calibri" w:eastAsia="微软雅黑"/>
          <w:b w:val="0"/>
          <w:i w:val="0"/>
          <w:sz w:val="22"/>
        </w:rPr>
        <w:t>趋势判断与工程实现层面另有参照。陆奇把数字化的本质定义为大规模的信息处理（P9003），并判断人工智能时代将在接下来10年、20年、30年、40年左右的时间空间产生两大新的支柱型产业，商业化落地需要有耐心、真正落地之后长期价值非常可观且大部分是to B的（P9003）；他还提醒"惯性思维是最大的潜在的危险"、"创业成功最大的因素就是时机"（P9003）。对工程行业买方最有用的是他对to B生意的判断——"进去很难很难很难，一旦进去你出来也很难。你待在里面，价值都是你的"（P9003）——这解释了为什么工程数字化供应商格局一旦形成便极难撼动，也解释了先发者为何愿意忍受漫长投入期。历史标尺同样来自陆奇：真正把PC时代建立起来的是win95，真正把PC互联网带来的是第一个浏览器Mosaic，真正把移动时代带来的是第一个iPhone（P9003）——平台级工具的出现会重置整代企业的起跑线。工程实现的安全权衡可由蚂蚁集团灵光案例说明：这款AI产品30秒生成"闪应用"（P9008），支持3D、音频、图标、动画、地图等全模态信息输出（P9008）；其技术方案在HTML直出（样式完全可控、支持交互，但安全风险需要额外处理）与扩展Markdown（更安全、兼容性好，但表达能力有限）之间选择前者，并明确标注"模型的输出应当视为不可信的"（P9008）。工具普惠的另一面是门槛塌陷：AIGC创作社区的用户反馈显示，即梦平台被吐槽排队严重、生成失败率高，可灵视频一致性被认为一般，小云雀因画质好、不排队被视为替代选择（P9028）——当生成能力以极低成本普及时，"会用AI"本身不再构成护城河，护城河回到两样私有物上：工艺与工程数据的私有性（别人拿不到你的焊缝参数与损耗台账），以及凭证与责任链的组织治理（谁签认、谁兜底）。这也解释了为什么本章把模型驱动与凭证链放在比"AI应用"更根本的位置：前者沉淀私有数据，后者锁定法律责任，两者都不随基础模型的更新而贬值（P9028；P9003）。竞争动力学层面，斯坦福大学战略学教授William Barnett的红桃皇后竞争理论指出：多数竞争理论聚焦均衡、认为竞争导向稳定的市场解，而现实观察显示竞争驱动更快的变革率、并不带来均衡或稳定（P9029）——今天的模型驱动能力与凭证链系统，明天就可能成为行业基线。</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镜鉴对象</w:t>
            </w:r>
          </w:p>
        </w:tc>
        <w:tc>
          <w:tcPr>
            <w:tcW w:type="dxa" w:w="2767"/>
            <w:shd w:fill="1F3A5F"/>
          </w:tcPr>
          <w:p>
            <w:r>
              <w:rPr>
                <w:color w:val="FFFFFF"/>
              </w:rPr>
            </w:r>
            <w:r>
              <w:rPr>
                <w:rFonts w:ascii="Calibri" w:hAnsi="Calibri" w:eastAsia="微软雅黑"/>
                <w:b/>
                <w:i w:val="0"/>
                <w:color w:val="FFFFFF"/>
                <w:sz w:val="18"/>
              </w:rPr>
              <w:t>关键事实</w:t>
            </w:r>
          </w:p>
        </w:tc>
        <w:tc>
          <w:tcPr>
            <w:tcW w:type="dxa" w:w="2767"/>
            <w:shd w:fill="1F3A5F"/>
          </w:tcPr>
          <w:p>
            <w:r>
              <w:rPr>
                <w:color w:val="FFFFFF"/>
              </w:rPr>
            </w:r>
            <w:r>
              <w:rPr>
                <w:rFonts w:ascii="Calibri" w:hAnsi="Calibri" w:eastAsia="微软雅黑"/>
                <w:b/>
                <w:i w:val="0"/>
                <w:color w:val="FFFFFF"/>
                <w:sz w:val="18"/>
              </w:rPr>
              <w:t>对电力EPC的映射</w:t>
            </w:r>
          </w:p>
        </w:tc>
      </w:tr>
      <w:tr>
        <w:tc>
          <w:tcPr>
            <w:tcW w:type="dxa" w:w="2767"/>
          </w:tcPr>
          <w:p>
            <w:r/>
            <w:r>
              <w:rPr>
                <w:rFonts w:ascii="Calibri" w:hAnsi="Calibri" w:eastAsia="微软雅黑"/>
                <w:b w:val="0"/>
                <w:i w:val="0"/>
                <w:sz w:val="18"/>
              </w:rPr>
              <w:t>施耐德电气</w:t>
            </w:r>
          </w:p>
        </w:tc>
        <w:tc>
          <w:tcPr>
            <w:tcW w:type="dxa" w:w="2767"/>
          </w:tcPr>
          <w:p>
            <w:r/>
            <w:r>
              <w:rPr>
                <w:rFonts w:ascii="Calibri" w:hAnsi="Calibri" w:eastAsia="微软雅黑"/>
                <w:b w:val="0"/>
                <w:i w:val="0"/>
                <w:sz w:val="18"/>
              </w:rPr>
              <w:t>180年历史（P9005）；全球200多家工厂和98个物流中心（P9005）；Gartner供应链前50名中五年前第34名、当年第4名（P9005）</w:t>
            </w:r>
          </w:p>
        </w:tc>
        <w:tc>
          <w:tcPr>
            <w:tcW w:type="dxa" w:w="2767"/>
          </w:tcPr>
          <w:p>
            <w:r/>
            <w:r>
              <w:rPr>
                <w:rFonts w:ascii="Calibri" w:hAnsi="Calibri" w:eastAsia="微软雅黑"/>
                <w:b w:val="0"/>
                <w:i w:val="0"/>
                <w:sz w:val="18"/>
              </w:rPr>
              <w:t>先医后药、先软后硬、小步快跑、效益第一；IT与OT按工艺段差异化结合（P9005）</w:t>
            </w:r>
          </w:p>
        </w:tc>
      </w:tr>
      <w:tr>
        <w:tc>
          <w:tcPr>
            <w:tcW w:type="dxa" w:w="2767"/>
          </w:tcPr>
          <w:p>
            <w:r/>
            <w:r>
              <w:rPr>
                <w:rFonts w:ascii="Calibri" w:hAnsi="Calibri" w:eastAsia="微软雅黑"/>
                <w:b w:val="0"/>
                <w:i w:val="0"/>
                <w:sz w:val="18"/>
              </w:rPr>
              <w:t>居然之家</w:t>
            </w:r>
          </w:p>
        </w:tc>
        <w:tc>
          <w:tcPr>
            <w:tcW w:type="dxa" w:w="2767"/>
          </w:tcPr>
          <w:p>
            <w:r/>
            <w:r>
              <w:rPr>
                <w:rFonts w:ascii="Calibri" w:hAnsi="Calibri" w:eastAsia="微软雅黑"/>
                <w:b w:val="0"/>
                <w:i w:val="0"/>
                <w:sz w:val="18"/>
              </w:rPr>
              <w:t>1999年成立、市值476亿港元、近四百家门店（P9001）；2012年信息化、2018年牵手阿里（P9001）；连续三年"双十一"家居第一（P9001）</w:t>
            </w:r>
          </w:p>
        </w:tc>
        <w:tc>
          <w:tcPr>
            <w:tcW w:type="dxa" w:w="2767"/>
          </w:tcPr>
          <w:p>
            <w:r/>
            <w:r>
              <w:rPr>
                <w:rFonts w:ascii="Calibri" w:hAnsi="Calibri" w:eastAsia="微软雅黑"/>
                <w:b w:val="0"/>
                <w:i w:val="0"/>
                <w:sz w:val="18"/>
              </w:rPr>
              <w:t>无增量的线上化是"耍流氓"；数字化是生存问题，组织沉淀最难（P9001）</w:t>
            </w:r>
          </w:p>
        </w:tc>
      </w:tr>
      <w:tr>
        <w:tc>
          <w:tcPr>
            <w:tcW w:type="dxa" w:w="2767"/>
          </w:tcPr>
          <w:p>
            <w:r/>
            <w:r>
              <w:rPr>
                <w:rFonts w:ascii="Calibri" w:hAnsi="Calibri" w:eastAsia="微软雅黑"/>
                <w:b w:val="0"/>
                <w:i w:val="0"/>
                <w:sz w:val="18"/>
              </w:rPr>
              <w:t>陆奇（趋势）</w:t>
            </w:r>
          </w:p>
        </w:tc>
        <w:tc>
          <w:tcPr>
            <w:tcW w:type="dxa" w:w="2767"/>
          </w:tcPr>
          <w:p>
            <w:r/>
            <w:r>
              <w:rPr>
                <w:rFonts w:ascii="Calibri" w:hAnsi="Calibri" w:eastAsia="微软雅黑"/>
                <w:b w:val="0"/>
                <w:i w:val="0"/>
                <w:sz w:val="18"/>
              </w:rPr>
              <w:t>数字化本质是大规模信息处理（P9003）；AI时代10年、20年、30年、40年左右产生两大支柱产业（P9003）</w:t>
            </w:r>
          </w:p>
        </w:tc>
        <w:tc>
          <w:tcPr>
            <w:tcW w:type="dxa" w:w="2767"/>
          </w:tcPr>
          <w:p>
            <w:r/>
            <w:r>
              <w:rPr>
                <w:rFonts w:ascii="Calibri" w:hAnsi="Calibri" w:eastAsia="微软雅黑"/>
                <w:b w:val="0"/>
                <w:i w:val="0"/>
                <w:sz w:val="18"/>
              </w:rPr>
              <w:t>to B进入难退出亦难，先发价值需耐心吃透；惯性思维是最大危险（P9003）</w:t>
            </w:r>
          </w:p>
        </w:tc>
      </w:tr>
      <w:tr>
        <w:tc>
          <w:tcPr>
            <w:tcW w:type="dxa" w:w="2767"/>
          </w:tcPr>
          <w:p>
            <w:r/>
            <w:r>
              <w:rPr>
                <w:rFonts w:ascii="Calibri" w:hAnsi="Calibri" w:eastAsia="微软雅黑"/>
                <w:b w:val="0"/>
                <w:i w:val="0"/>
                <w:sz w:val="18"/>
              </w:rPr>
              <w:t>灵光（AI工程）</w:t>
            </w:r>
          </w:p>
        </w:tc>
        <w:tc>
          <w:tcPr>
            <w:tcW w:type="dxa" w:w="2767"/>
          </w:tcPr>
          <w:p>
            <w:r/>
            <w:r>
              <w:rPr>
                <w:rFonts w:ascii="Calibri" w:hAnsi="Calibri" w:eastAsia="微软雅黑"/>
                <w:b w:val="0"/>
                <w:i w:val="0"/>
                <w:sz w:val="18"/>
              </w:rPr>
              <w:t>30秒生成全模态"闪应用"（P9008）；HTML直出换取交互、安全风险需额外处理（P9008）</w:t>
            </w:r>
          </w:p>
        </w:tc>
        <w:tc>
          <w:tcPr>
            <w:tcW w:type="dxa" w:w="2767"/>
          </w:tcPr>
          <w:p>
            <w:r/>
            <w:r>
              <w:rPr>
                <w:rFonts w:ascii="Calibri" w:hAnsi="Calibri" w:eastAsia="微软雅黑"/>
                <w:b w:val="0"/>
                <w:i w:val="0"/>
                <w:sz w:val="18"/>
              </w:rPr>
              <w:t>生成式输出视为不可信，进入工程文件前须独立校核（P9008）</w:t>
            </w:r>
          </w:p>
        </w:tc>
      </w:tr>
    </w:tbl>
    <w:p>
      <w:r>
        <w:rPr>
          <w:rFonts w:ascii="Calibri" w:hAnsi="Calibri" w:eastAsia="微软雅黑"/>
          <w:b w:val="0"/>
          <w:i w:val="0"/>
          <w:sz w:val="22"/>
        </w:rPr>
        <w:t>所以呢？把镜鉴合成为一条投入排序法则：按施耐德"先医后药、先软后硬、小步快跑、效益第一"的纪律（P9005），电力EPC的数字化应从见效最快的软件处方起步——焊材损耗与台账不清对应实名领用台账，进度款凭证断裂对应请款文件自动归档，模型驱动的机器人施焊属于先软后硬的后期选项、前提是工艺知识库已经成形（P9005；P9000；P9009）。一家总包若把预算优先砸向可见度高的硬件，而台账与凭证仍是手工维护，其数字化投入的回报率值得怀疑；凡不能折算为损耗控减、回款加速或纠纷规避的数字化项目，都应排在投入序列的末尾（P9005）。治理红线同样要前置：生成式AI可以进入方案比选、文档起草、影像盘点等环节，但设计计算书、焊缝工艺参数、请款凭证这类具有法律效力的文件，必须保留人工复核与责任签认环节，否则数字凭证链的"不可篡改"优势会被模型幻觉与提示词注入一夜清零（P9008）。组织证据则决定系统的存活率：信息化部门的编制与汇报层级、项目上数字化专员的配置、台账纪律与绩效的挂钩方式，这些组织事实比任何平台演示都更能预测数字化系统会不会在第二个项目上悄悄退回纸质作业（P9001）。红桃皇后的竞争动力学最后补上一刀：技术底座是连续再投资而非一次性采购（P9029；P9003）。</w:t>
      </w:r>
    </w:p>
    <w:p>
      <w:pPr>
        <w:pStyle w:val="Heading2"/>
      </w:pPr>
      <w:r>
        <w:t>知识资产与集团坐标：模板库、成熟度研究与证据断层</w:t>
      </w:r>
    </w:p>
    <w:p>
      <w:r>
        <w:rPr>
          <w:rFonts w:ascii="Calibri" w:hAnsi="Calibri" w:eastAsia="微软雅黑"/>
          <w:b w:val="0"/>
          <w:i w:val="0"/>
          <w:sz w:val="22"/>
        </w:rPr>
        <w:t>标准与流程的内化，其物质形态是模板文件库。行业方法论指出，EPC总承包项目管理体系包含策划管理、设计管理、采购管理等模块，共75个管理文件模板（P9010），通过PDCA迭代循环不断完善，从而逐步提高工程质量、缩短建设工期和节省工程投资（P9010）；配套动作是建立信息编码系统和管理流程，以保证项目文档的完整性与规范性、为审计和评估提供可靠的数据支持（P9010）。模板库的价值不止于内部效率：它覆盖全国各专业的工程竣工验收资料，可以在一个工程内跨专业或跨省份调用模板（P9010），这使它成为跨区域扩张与组织复制的载体——新设区域公司不必重造管理体系，而是继承模板与编码系统；对政府投资项目，模板化还直接支撑设计、概算、施工图设计等报批文件的准确性与合规性（P9010）。方法论同时把资源优化配置列为模板库的意义之一：设计单位、材料供应商、设备制造商等资源库建设实现资源共享，提升企业竞争力并形成合作共赢的模式（P9010）——对多项目并行的总包，这套资源库就是供应链协同的底座。在并购与整合语境下，模板库是少数可以随股权一并移交、且边际复制成本极低的无形资产；信息编码则是其中最不显眼却最要命的一环——编码统一了，台账、凭证、模型才对得齐，跨项目、跨专业甚至跨省份调用数据才有工程上的可行性；编码乱了，则台账、凭证、模型永远对不齐，数字化投入会在数据对齐这一关上空转（P9010）。模板库与数字化的先后关系也因此明确：模板先行、系统随后——归档链要自动化，前提是文件本身已模板化；没有模板库支撑的数字化系统，只能在非结构化文档上做昂贵的后处理（P9010；P9000）。</w:t>
      </w:r>
    </w:p>
    <w:p>
      <w:r>
        <w:rPr>
          <w:rFonts w:ascii="Calibri" w:hAnsi="Calibri" w:eastAsia="微软雅黑"/>
          <w:b w:val="0"/>
          <w:i w:val="0"/>
          <w:sz w:val="22"/>
        </w:rPr>
        <w:t>但模板库的建立与维护有明确的阻力清单，每一条都是尽调问卷的现成题目：现行法律制度中契约文本不够标准，导致EPC工程施工项目的合同定义模糊不清，条款不严谨不完善时总承包商要承担更多风险与责任；EPC合同范围广、专业性强，高级管理人才匮乏既限制EPC模式的推广、也限制模板库的建立与维护，因为模板要靠懂行的人写、更要靠懂行的人改；总承包商需承担原本由业主承担的大部分风险，包括政治、社会、经济和法律等风险以及不可抗力因素导致的延期或完工困难；设计、采购、施工多个环节的供应链管理复杂，要求模板库内含详细的供应链管理策略与流程；技术与组织管理水平需要持续提升并配套定期培训与更新；前期还要重视项目整体策划、编制项目管理计划以及项目实施计划（P9010）。这份清单的买方读法是：模板易抄、人才难抄——评估时不能只看制度文件的厚度，还要问模板背后有没有关键岗位与人才梯队、有没有专人维护、版本多久没更新、新项目上手要翻多少旧档案；制度与人才的落差，就是模板库空转的风险敞口（P9010）。一次性的编制成本远小于持续性的维护成本与人才成本，这是模板库真实成本结构的要点。</w:t>
      </w:r>
    </w:p>
    <w:p>
      <w:r>
        <w:rPr>
          <w:rFonts w:ascii="Calibri" w:hAnsi="Calibri" w:eastAsia="微软雅黑"/>
          <w:b w:val="0"/>
          <w:i w:val="0"/>
          <w:sz w:val="22"/>
        </w:rPr>
        <w:t>学术与集团两个证据面给出参照系，也同时暴露断层。学术面：以电力设计院为视角的《EPC总承包工程项目管理成熟度评价研究》与《EPC总承包模式下的核电项目管理技术研究》两篇文献已进入证据库（P9021；P9022），前者直接以电力设计院为对象讨论EPC项目管理成熟度评价，后者研究核电场景的EPC项目管理技术——题名本身已表明"成熟度评价"与高端项目管理技术是电力设计院群体的研究热点；但两份均为CAJ二进制文件、正文无法解析，本章仅确认其存在与题名，不引用其任何结论（P9021；P9022），如实交代这一限制比含糊转述二手摘要更符合本报告纪律。集团面：四川院地处中国电建体系之内，集团上市公司中国电力建设股份有限公司（公司代码601669）发布了2026年半年度报告，且该半年度报告未经审计（P9033）；报告治理页显示，公司负责人为丁焰章，主管会计工作负责人为杨良，会计机构负责人（会计主管人员）为张爱卿，三人声明保证半年度报告中财务报告的真实、准确、完整；独立董事张兆祥因工作原因委托孙子宇出席，董事刘易因工作原因委托张国厚出席；报告同时披露不存在被控股股东及其他关联方非经营性占用资金的情况、不存在违反规定决策程序对外提供担保的情况（P9033）。必须如实指出：证据库收录的该报告摘录仅覆盖治理与目录部分，未包含分板块的研发投入、科技人员数量或数字化平台建设支出的任何数字（P9033）——集团披露的颗粒度与院级技术资产的颗粒度之间存在明显断层。正确的读法是把集团披露当作边界条件而非证据本体：它能帮助排除明显的治理地雷，却不能证明任何一家设计院的技术能力；集团的品牌、资质与融资能力可以传导给成员企业，技术底座却无法继承，只能逐院核验（P9033）。</w:t>
      </w:r>
    </w:p>
    <w:p>
      <w:r>
        <w:rPr>
          <w:rFonts w:ascii="Calibri" w:hAnsi="Calibri" w:eastAsia="微软雅黑"/>
          <w:b w:val="0"/>
          <w:i w:val="0"/>
          <w:sz w:val="22"/>
        </w:rPr>
        <w:t>标准参编是另一条常被忽视的竞争线：谁参与编制标准，谁就把自身工艺习惯写进全行业的合规基线。电力工程建设规范依据GB/T51051-2015编制并覆盖规划、设计、施工、验收、运行及维护全过程（P9011），意味着参编企业在规范更新窗口期之前就能对齐条文走向，投标方案的技术偏差更小、评审更顺；75个管理文件模板级别的模板库（P9010），本质上是把企业内部标准外化为可审计的交付能力。对买方的操作提示是：在资格审查中增设标准参编经历核验——不是看奖项，而是看目标企业是否出现在国家标准、行业标准、团体标准的起草单位名单里，以及其内部模板体系是否与所参编标准同步改版（P9011；P9010）。对四川院，证据库未提供其参编记录与模板库规模，本章只能指出该核验项的存在，不能替读者给出结论——这正是下一节盲区清单的第一项。</w:t>
      </w:r>
    </w:p>
    <w:p>
      <w:pPr>
        <w:pStyle w:val="Heading2"/>
      </w:pPr>
      <w:r>
        <w:t>本章小结与盲区</w:t>
      </w:r>
    </w:p>
    <w:p>
      <w:r>
        <w:rPr>
          <w:rFonts w:ascii="Calibri" w:hAnsi="Calibri" w:eastAsia="微软雅黑"/>
          <w:b w:val="0"/>
          <w:i w:val="0"/>
          <w:sz w:val="22"/>
        </w:rPr>
        <w:t>本章以证据库为骨架，把电力设计院EPC的技术底座拆为三层并各给了买方坐标。标准层：七章结构的《电力工程建设规范》（GB/T51051-2015）划定合规线与适用边界，十五章本的《EPC工程总承包项目过程控制概论》给出进度、质量、费用、HSE加八大管理要素的过程控制基准（P9011；P9032）——标准决定一家院能承接什么、以什么口径交付，也决定纠纷发生时以什么尺子裁量。方案层：模型驱动的钢结构焊接机器人系统打通"BIM深化模型—MES/CAM工艺链—激光视觉闭环施焊—数据回流"的全流程闭环，BIM-概算动态调价模型把造价接到同一数据轨上（P9009；P9000）——模型把设计院的图纸优势兑换成制造精度与概算动态性，误差与争议在设计与执行的接口处被同步压缩。数字化层：无人超市式智能焊材库、节点请款凭证AI自动归档链、解约撤场物权AI盘点构成凭证工具族，其价值要用避免的纠纷成本与回款的时间价值来计价，而EPC相关裁判文书在2019年与2020年分别达到41550篇与42935篇的检索量级（P9014；P9013），为这一计价提供了行业背景（P9000）。方法论层面，施耐德"先医后药、先软后硬、小步快跑、效益第一"与居然之家的增量戒律、陆奇的to B判断、红桃皇后的竞争动力学，共同构成评估数字化成色的参照系（P9005；P9001；P9003；P9029）；知识资产层面，75个管理文件模板代表的可复制组织资产与集团上市公司的治理披露互为表里（P9010；P9033）。三层之间的关系不是并列而是传导：标准内化降低管理成本，模型驱动压缩履约误差，数字凭证把前两层的成果兑换成现金流——任何一层单独存在都构不成完整的技术底座。</w:t>
      </w:r>
    </w:p>
    <w:p>
      <w:r>
        <w:rPr>
          <w:rFonts w:ascii="Calibri" w:hAnsi="Calibri" w:eastAsia="微软雅黑"/>
          <w:b w:val="0"/>
          <w:i w:val="0"/>
          <w:sz w:val="22"/>
        </w:rPr>
        <w:t>对买方的总体结论是：技术底座的成色应按"标准内化—模型驱动—数字可核验"三层递进验收，任何一层的缺失都会以造价、工期或纠纷成本的形式在报表端显形。一套不需要内部数据就能开始的提问语法是：先问能力来源——技术方案是自研、联合研发还是外采，联合研发看合作方层级与成果归属，外采看供应商绑定深度；再问数据私有——工艺知识库、损耗台账、凭证档案是否归企业所有并可跨项目复用，还是沉淀在临时承包商或平台厂商手里；最后问治理边界——AI输出在哪里必须停、人工签认在哪里必须上（P9009；P9000；P9008）。对方回答的质量本身，就是技术底座成熟度的第一手信号；三问之中任何一问被含糊带过，都应视为扣分项而非中性项。</w:t>
      </w:r>
    </w:p>
    <w:p>
      <w:r>
        <w:rPr>
          <w:rFonts w:ascii="Calibri" w:hAnsi="Calibri" w:eastAsia="微软雅黑"/>
          <w:b w:val="0"/>
          <w:i w:val="0"/>
          <w:sz w:val="22"/>
        </w:rPr>
        <w:t>证据未覆盖与不确定之处，如实声明如下：</w:t>
      </w:r>
    </w:p>
    <w:p>
      <w:r>
        <w:rPr>
          <w:rFonts w:ascii="Calibri" w:hAnsi="Calibri" w:eastAsia="微软雅黑"/>
          <w:b w:val="0"/>
          <w:i w:val="0"/>
          <w:sz w:val="22"/>
        </w:rPr>
        <w:t>其一，专利维度整体无源。证据库未收录四川院任何专利号、授权数量、年度增量或标准主编参编记录，本章标题中的"专利标准"只能以行业标准体系与企业模板库侧面呈现，院级专利台账完全缺失，任何关于该院专利实力的判断在本报告证据范围内都不成立（P9011；P9010）。</w:t>
      </w:r>
    </w:p>
    <w:p>
      <w:r>
        <w:rPr>
          <w:rFonts w:ascii="Calibri" w:hAnsi="Calibri" w:eastAsia="微软雅黑"/>
          <w:b w:val="0"/>
          <w:i w:val="0"/>
          <w:sz w:val="22"/>
        </w:rPr>
        <w:t>其二，集团科技投入数字不可得。中国电建虽已发布2026年半年度报告（P9033），但证据库摘录仅覆盖治理与目录页，未含研发费用、科技人员数量、数字化投入及其资本化口径的分项数据，且该报告未经审计（P9033）。</w:t>
      </w:r>
    </w:p>
    <w:p>
      <w:r>
        <w:rPr>
          <w:rFonts w:ascii="Calibri" w:hAnsi="Calibri" w:eastAsia="微软雅黑"/>
          <w:b w:val="0"/>
          <w:i w:val="0"/>
          <w:sz w:val="22"/>
        </w:rPr>
        <w:t>其三，机器人施焊与智慧工地工具均为行业成果而非院属证据。模型驱动的多层多道焊接机器人系统出自华中科技大学与中建三局一公司的联合研究（P9009），无人超市式焊材库等工具族来自行业方法论（P9000），证据库均未提供四川院采用、自研或等效落地的记录。</w:t>
      </w:r>
    </w:p>
    <w:p>
      <w:r>
        <w:rPr>
          <w:rFonts w:ascii="Calibri" w:hAnsi="Calibri" w:eastAsia="微软雅黑"/>
          <w:b w:val="0"/>
          <w:i w:val="0"/>
          <w:sz w:val="22"/>
        </w:rPr>
        <w:t>其四，效益量化无锚。智能焊材库的损耗率下降幅度、凭证归档链带来的回款周期缩短、BIM调价模型的概算误差改善等关键效益指标，证据库中无任何可核验数字，买方无法据此测算数字化的投资回报（P9000）。</w:t>
      </w:r>
    </w:p>
    <w:p>
      <w:r>
        <w:rPr>
          <w:rFonts w:ascii="Calibri" w:hAnsi="Calibri" w:eastAsia="微软雅黑"/>
          <w:b w:val="0"/>
          <w:i w:val="0"/>
          <w:sz w:val="22"/>
        </w:rPr>
        <w:t>其五，判决书样本不含院属案件且口径有波动。库内各年度裁判文书未检索到以四川院或其项目部为当事人的案件，本章引用的个案金额（如8902476.4元、769734元、182415.2元，P9016；P9015；P9018）均为行业量级参照，不能外推为该院风险敞口；2018年5754篇（P9018）与2021年324篇（P9024）同2019年41550篇（P9014）、2020年42935篇（P9013）之间的落差，主要应归因于裁判文书上网公开范围与力度的变化，本章仅将其用于"纠纷高发"的方向性论证，不构成纠纷率趋势结论。</w:t>
      </w:r>
    </w:p>
    <w:p>
      <w:r>
        <w:rPr>
          <w:rFonts w:ascii="Calibri" w:hAnsi="Calibri" w:eastAsia="微软雅黑"/>
          <w:b w:val="0"/>
          <w:i w:val="0"/>
          <w:sz w:val="22"/>
        </w:rPr>
        <w:t>其六，标准文本与学术文献的版本限制。电力工程建设规范文本为人人文库转载版（P9011），同一文本在另一检索渠道被重复收录（P9012），两源内容一致但均不能替代官方发布文本；两篇电力设计院与核电EPC研究文献为CAJ二进制不可读（P9021；P9022），条文级与结论级引用均需以官方正版与原文为准。</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评估维度</w:t>
            </w:r>
          </w:p>
        </w:tc>
        <w:tc>
          <w:tcPr>
            <w:tcW w:type="dxa" w:w="2767"/>
            <w:shd w:fill="1F3A5F"/>
          </w:tcPr>
          <w:p>
            <w:r>
              <w:rPr>
                <w:color w:val="FFFFFF"/>
              </w:rPr>
            </w:r>
            <w:r>
              <w:rPr>
                <w:rFonts w:ascii="Calibri" w:hAnsi="Calibri" w:eastAsia="微软雅黑"/>
                <w:b/>
                <w:i w:val="0"/>
                <w:color w:val="FFFFFF"/>
                <w:sz w:val="18"/>
              </w:rPr>
              <w:t>应索取的证据</w:t>
            </w:r>
          </w:p>
        </w:tc>
        <w:tc>
          <w:tcPr>
            <w:tcW w:type="dxa" w:w="2767"/>
            <w:shd w:fill="1F3A5F"/>
          </w:tcPr>
          <w:p>
            <w:r>
              <w:rPr>
                <w:color w:val="FFFFFF"/>
              </w:rPr>
            </w:r>
            <w:r>
              <w:rPr>
                <w:rFonts w:ascii="Calibri" w:hAnsi="Calibri" w:eastAsia="微软雅黑"/>
                <w:b/>
                <w:i w:val="0"/>
                <w:color w:val="FFFFFF"/>
                <w:sz w:val="18"/>
              </w:rPr>
              <w:t>背后风险</w:t>
            </w:r>
          </w:p>
        </w:tc>
      </w:tr>
      <w:tr>
        <w:tc>
          <w:tcPr>
            <w:tcW w:type="dxa" w:w="2767"/>
          </w:tcPr>
          <w:p>
            <w:r/>
            <w:r>
              <w:rPr>
                <w:rFonts w:ascii="Calibri" w:hAnsi="Calibri" w:eastAsia="微软雅黑"/>
                <w:b w:val="0"/>
                <w:i w:val="0"/>
                <w:sz w:val="18"/>
              </w:rPr>
              <w:t>标准内化</w:t>
            </w:r>
          </w:p>
        </w:tc>
        <w:tc>
          <w:tcPr>
            <w:tcW w:type="dxa" w:w="2767"/>
          </w:tcPr>
          <w:p>
            <w:r/>
            <w:r>
              <w:rPr>
                <w:rFonts w:ascii="Calibri" w:hAnsi="Calibri" w:eastAsia="微软雅黑"/>
                <w:b w:val="0"/>
                <w:i w:val="0"/>
                <w:sz w:val="18"/>
              </w:rPr>
              <w:t>模板库目录与版本沿革、标准参编记录</w:t>
            </w:r>
          </w:p>
        </w:tc>
        <w:tc>
          <w:tcPr>
            <w:tcW w:type="dxa" w:w="2767"/>
          </w:tcPr>
          <w:p>
            <w:r/>
            <w:r>
              <w:rPr>
                <w:rFonts w:ascii="Calibri" w:hAnsi="Calibri" w:eastAsia="微软雅黑"/>
                <w:b w:val="0"/>
                <w:i w:val="0"/>
                <w:sz w:val="18"/>
              </w:rPr>
              <w:t>多项目并行时管理边际成本失控（P9010）</w:t>
            </w:r>
          </w:p>
        </w:tc>
      </w:tr>
      <w:tr>
        <w:tc>
          <w:tcPr>
            <w:tcW w:type="dxa" w:w="2767"/>
          </w:tcPr>
          <w:p>
            <w:r/>
            <w:r>
              <w:rPr>
                <w:rFonts w:ascii="Calibri" w:hAnsi="Calibri" w:eastAsia="微软雅黑"/>
                <w:b w:val="0"/>
                <w:i w:val="0"/>
                <w:sz w:val="18"/>
              </w:rPr>
              <w:t>模型驱动</w:t>
            </w:r>
          </w:p>
        </w:tc>
        <w:tc>
          <w:tcPr>
            <w:tcW w:type="dxa" w:w="2767"/>
          </w:tcPr>
          <w:p>
            <w:r/>
            <w:r>
              <w:rPr>
                <w:rFonts w:ascii="Calibri" w:hAnsi="Calibri" w:eastAsia="微软雅黑"/>
                <w:b w:val="0"/>
                <w:i w:val="0"/>
                <w:sz w:val="18"/>
              </w:rPr>
              <w:t>深化模型样例、焊缝实体与工程量清单同源证明</w:t>
            </w:r>
          </w:p>
        </w:tc>
        <w:tc>
          <w:tcPr>
            <w:tcW w:type="dxa" w:w="2767"/>
          </w:tcPr>
          <w:p>
            <w:r/>
            <w:r>
              <w:rPr>
                <w:rFonts w:ascii="Calibri" w:hAnsi="Calibri" w:eastAsia="微软雅黑"/>
                <w:b w:val="0"/>
                <w:i w:val="0"/>
                <w:sz w:val="18"/>
              </w:rPr>
              <w:t>设计与施工断层导致返工与工期损失（P9009）</w:t>
            </w:r>
          </w:p>
        </w:tc>
      </w:tr>
      <w:tr>
        <w:tc>
          <w:tcPr>
            <w:tcW w:type="dxa" w:w="2767"/>
          </w:tcPr>
          <w:p>
            <w:r/>
            <w:r>
              <w:rPr>
                <w:rFonts w:ascii="Calibri" w:hAnsi="Calibri" w:eastAsia="微软雅黑"/>
                <w:b w:val="0"/>
                <w:i w:val="0"/>
                <w:sz w:val="18"/>
              </w:rPr>
              <w:t>数字凭证链</w:t>
            </w:r>
          </w:p>
        </w:tc>
        <w:tc>
          <w:tcPr>
            <w:tcW w:type="dxa" w:w="2767"/>
          </w:tcPr>
          <w:p>
            <w:r/>
            <w:r>
              <w:rPr>
                <w:rFonts w:ascii="Calibri" w:hAnsi="Calibri" w:eastAsia="微软雅黑"/>
                <w:b w:val="0"/>
                <w:i w:val="0"/>
                <w:sz w:val="18"/>
              </w:rPr>
              <w:t>在履约项目节点请款文件包样本、物资实名台账样页</w:t>
            </w:r>
          </w:p>
        </w:tc>
        <w:tc>
          <w:tcPr>
            <w:tcW w:type="dxa" w:w="2767"/>
          </w:tcPr>
          <w:p>
            <w:r/>
            <w:r>
              <w:rPr>
                <w:rFonts w:ascii="Calibri" w:hAnsi="Calibri" w:eastAsia="微软雅黑"/>
                <w:b w:val="0"/>
                <w:i w:val="0"/>
                <w:sz w:val="18"/>
              </w:rPr>
              <w:t>进度款被行使先履行抗辩权拒付（P9000）</w:t>
            </w:r>
          </w:p>
        </w:tc>
      </w:tr>
      <w:tr>
        <w:tc>
          <w:tcPr>
            <w:tcW w:type="dxa" w:w="2767"/>
          </w:tcPr>
          <w:p>
            <w:r/>
            <w:r>
              <w:rPr>
                <w:rFonts w:ascii="Calibri" w:hAnsi="Calibri" w:eastAsia="微软雅黑"/>
                <w:b w:val="0"/>
                <w:i w:val="0"/>
                <w:sz w:val="18"/>
              </w:rPr>
              <w:t>集团背景</w:t>
            </w:r>
          </w:p>
        </w:tc>
        <w:tc>
          <w:tcPr>
            <w:tcW w:type="dxa" w:w="2767"/>
          </w:tcPr>
          <w:p>
            <w:r/>
            <w:r>
              <w:rPr>
                <w:rFonts w:ascii="Calibri" w:hAnsi="Calibri" w:eastAsia="微软雅黑"/>
                <w:b w:val="0"/>
                <w:i w:val="0"/>
                <w:sz w:val="18"/>
              </w:rPr>
              <w:t>经审计年报中的研发与科技投入分项</w:t>
            </w:r>
          </w:p>
        </w:tc>
        <w:tc>
          <w:tcPr>
            <w:tcW w:type="dxa" w:w="2767"/>
          </w:tcPr>
          <w:p>
            <w:r/>
            <w:r>
              <w:rPr>
                <w:rFonts w:ascii="Calibri" w:hAnsi="Calibri" w:eastAsia="微软雅黑"/>
                <w:b w:val="0"/>
                <w:i w:val="0"/>
                <w:sz w:val="18"/>
              </w:rPr>
              <w:t>以集团品牌误代院级能力（P9033）</w:t>
            </w:r>
          </w:p>
        </w:tc>
      </w:tr>
      <w:tr>
        <w:tc>
          <w:tcPr>
            <w:tcW w:type="dxa" w:w="2767"/>
          </w:tcPr>
          <w:p>
            <w:r/>
            <w:r>
              <w:rPr>
                <w:rFonts w:ascii="Calibri" w:hAnsi="Calibri" w:eastAsia="微软雅黑"/>
                <w:b w:val="0"/>
                <w:i w:val="0"/>
                <w:sz w:val="18"/>
              </w:rPr>
              <w:t>AI治理</w:t>
            </w:r>
          </w:p>
        </w:tc>
        <w:tc>
          <w:tcPr>
            <w:tcW w:type="dxa" w:w="2767"/>
          </w:tcPr>
          <w:p>
            <w:r/>
            <w:r>
              <w:rPr>
                <w:rFonts w:ascii="Calibri" w:hAnsi="Calibri" w:eastAsia="微软雅黑"/>
                <w:b w:val="0"/>
                <w:i w:val="0"/>
                <w:sz w:val="18"/>
              </w:rPr>
              <w:t>AI输出审核边界与人工签认节点清单</w:t>
            </w:r>
          </w:p>
        </w:tc>
        <w:tc>
          <w:tcPr>
            <w:tcW w:type="dxa" w:w="2767"/>
          </w:tcPr>
          <w:p>
            <w:r/>
            <w:r>
              <w:rPr>
                <w:rFonts w:ascii="Calibri" w:hAnsi="Calibri" w:eastAsia="微软雅黑"/>
                <w:b w:val="0"/>
                <w:i w:val="0"/>
                <w:sz w:val="18"/>
              </w:rPr>
              <w:t>模型幻觉污染具有法律效力的文件（P9008）</w:t>
            </w:r>
          </w:p>
        </w:tc>
      </w:tr>
    </w:tbl>
    <w:p>
      <w:r>
        <w:rPr>
          <w:rFonts w:ascii="Calibri" w:hAnsi="Calibri" w:eastAsia="微软雅黑"/>
          <w:b w:val="0"/>
          <w:i w:val="0"/>
          <w:sz w:val="22"/>
        </w:rPr>
        <w:t>对读者的收束建议：把本章当作提问手册而非答案清单。与四川院发生业务或投资关系前，请直接索取一组东西——院级专利与标准参编台账、在履约项目的节点请款文件包样本、项目管理模板库目录及版本沿革、智慧工地系统的实测数据接口清单（P9011；P9000；P9010；P9009）；逐项都能对上，技术底座才算从行业坐标落到了企业事实，任何一项对不上，都可以按本章给出的风险映射折价处理——标准缺位对应管理边际成本失控，模型断层对应返工与工期损失，凭证缺失对应回款与拒付风险，AI治理缺位对应法律文件被模型幻觉污染（P9010；P9009；P9000；P9008）。</w:t>
      </w:r>
    </w:p>
    <w:p>
      <w:r>
        <w:rPr>
          <w:rFonts w:ascii="Calibri" w:hAnsi="Calibri" w:eastAsia="微软雅黑"/>
          <w:b w:val="0"/>
          <w:i w:val="0"/>
          <w:sz w:val="22"/>
        </w:rPr>
        <w:t>---</w:t>
      </w:r>
    </w:p>
    <w:p>
      <w:pPr>
        <w:pStyle w:val="Heading1"/>
      </w:pPr>
      <w:r>
        <w:t>第10章 组织与人才：人员规模、资质与专家格局</w:t>
      </w:r>
    </w:p>
    <w:p>
      <w:pPr>
        <w:ind w:left="454"/>
      </w:pPr>
      <w:r>
        <w:rPr>
          <w:rFonts w:ascii="Calibri" w:hAnsi="Calibri" w:eastAsia="微软雅黑"/>
          <w:b w:val="0"/>
          <w:i w:val="0"/>
          <w:color w:val="666666"/>
          <w:sz w:val="22"/>
        </w:rPr>
        <w:t>组织与人才是总承包商最难伪造的资产：图纸可以外包、设备可以租赁，唯有人的密度与结构决定履约上限。本章沿集团披露、兄弟院机制、大师与外脑、组织方法论、判例人才账五条线索拼出川院的人才生态坐标，并如实标注证据空白。</w:t>
      </w:r>
    </w:p>
    <w:p>
      <w:pPr>
        <w:pStyle w:val="Heading2"/>
      </w:pPr>
      <w:r>
        <w:t>10.1 披露的天花板：集团半年报里的治理层与人员资质核验通道</w:t>
      </w:r>
    </w:p>
    <w:p>
      <w:r>
        <w:rPr>
          <w:rFonts w:ascii="Calibri" w:hAnsi="Calibri" w:eastAsia="微软雅黑"/>
          <w:b w:val="0"/>
          <w:i w:val="0"/>
          <w:sz w:val="22"/>
        </w:rPr>
        <w:t>写四川院的组织与人才，必须先交代证据的地形。本章弹药库以人员、资质、专家、大师、博士后为检索词检得的命中源中，与主体直接相关的只有四类：中国电建集团层面的半年度报告（P10005）、被检索工程归入兄弟院通道的成都院博士后工作调研（P10001）与北京院博士后进站公示（P10002；P10003；P10004）、行业级的专家名录与大师参评报道（P10000；P10007），以及折射岗位能力需求的方法论专著与裁判文书库（P10027；P10030；P10008）。检索域内没有出现四川院自身的人员名册、资质清单或专家简历——这个「主体缺位」本身就是本章最重要的发现之一，它的含义将在每一节重复出现：买方在这一维度上，必须依赖主动尽调而非公开披露，任何把行业数据、兄弟院数据默认为四川院数据的读法，都会在本章被显式拦截。需要预先声明的方法论立场是：本章属精编体例，一切以弹药库内证据为骨架重组，凡证据未覆盖之处宁可留白声明，也不以行业惯例填充主体事实——这个立场会让本章的空白多于同类商业文字，但每一句可核对的话都有锚点可查。</w:t>
      </w:r>
    </w:p>
    <w:p>
      <w:r>
        <w:rPr>
          <w:rFonts w:ascii="Calibri" w:hAnsi="Calibri" w:eastAsia="微软雅黑"/>
          <w:b w:val="0"/>
          <w:i w:val="0"/>
          <w:sz w:val="22"/>
        </w:rPr>
        <w:t>先看集团层能给出什么。中国电建（公司代码601669）2026年半年度报告开篇即声明本半年度报告未经审计（P10005）。治理层的签名结构完整：公司负责人丁焰章、主管会计工作负责人杨良、会计机构负责人（会计主管人员）张爱卿共同声明保证半年度报告中财务报告的真实、准确、完整（P10005）；独立董事张兆祥与董事刘易因工作原因未出席董事会，分别委托孙子宇、张国厚代行职权（P10005）。三项治理红线自查结论均为「否」——不存在被控股股东及其他关联方非经营性占用资金的情况，不存在违反规定决策程序对外提供担保的情况，不存在半数以上董事无法保证半年度报告真实、准确、完整的情况（P10005）。报告同时按监管惯例作出前瞻性陈述的风险声明：涉及未来计划等前瞻性陈述不构成公司对投资者的实质承诺，请投资者注意投资风险（P10005）。这些条款在总承包语境下的翻译是：集团对其合并报表口径的治理与资金纪律作出了标准化的上市公司承诺，四川院作为集团成员企业的履约信用，最终可以向上追索到这一层背书（P10005）。</w:t>
      </w:r>
    </w:p>
    <w:p>
      <w:r>
        <w:rPr>
          <w:rFonts w:ascii="Calibri" w:hAnsi="Calibri" w:eastAsia="微软雅黑"/>
          <w:b w:val="0"/>
          <w:i w:val="0"/>
          <w:sz w:val="22"/>
        </w:rPr>
        <w:t>上市披露对人才议题的覆盖还受到一个更基本的约束：证券规则关心的是影响投资者决策的财务与治理信息，子企业的人员结构通常只有在构成重大风险或重大变化时才会进入披露视野。设计子企业的人员流动、执业证书存量、专家梯队，一般不满足这个门槛（P10005）。因此读者在集团报告中能稳定找到的人才相关信息，止于董事、高管与公司治理结构（P10005）——这恰好构成另一层提示：要判断四川院这类子企业的组织与人才，公开信息的正确用法不是等待披露，而是把集团披露当信用背景板，把省级登记数据当主证据源，两者拼合才能得到可决策的图像（P10005；P10006）。</w:t>
      </w:r>
    </w:p>
    <w:p>
      <w:r>
        <w:rPr>
          <w:rFonts w:ascii="Calibri" w:hAnsi="Calibri" w:eastAsia="微软雅黑"/>
          <w:b w:val="0"/>
          <w:i w:val="0"/>
          <w:sz w:val="22"/>
        </w:rPr>
        <w:t>但披露的天花板同样清晰。这份报告的目录从第一节释义、第二节公司简介和主要财务指标、第三节管理层讨论与分析，到第四节公司治理、环境和社会、第五节重要事项、第六节股份变动及股东情况，全部围绕集团合并主体展开（P10005）；人员信息在其中的位置，至多是管理层讨论与分析里的集团层表述，四川院的在职人数、专业结构、注册执业人员数量、资质证书明细，都不在上市公司披露的法定射程之内，本报告的弹药库也未能从其他公开渠道补齐这块拼图（P10005）。这不是中国电建披露不充分，而是子企业在证券披露体系中的天然位置：买方若想知道「签合同的对面上岗证齐不齐」，通读整本集团报告也是读不出来的，必须另开通道（P10005）。</w:t>
      </w:r>
    </w:p>
    <w:p>
      <w:r>
        <w:rPr>
          <w:rFonts w:ascii="Calibri" w:hAnsi="Calibri" w:eastAsia="微软雅黑"/>
          <w:b w:val="0"/>
          <w:i w:val="0"/>
          <w:sz w:val="22"/>
        </w:rPr>
        <w:t>人员资质的核验，恰好存在一条不依赖企业配合的公共通道。以河南省工程建设信息网为例，该站提供省住建厅口径的安管人员安全三类人员ABC证书查询，需提供证书编号、身份证号码或单位名称三个选项其中之一方可查询，输入企业名称即可查到该公司的全部人员（P10006）。同一站点的导航还串起了资质公示、安全生产许可证公示、建造师、建造师继续教育与河南职称网等入口（P10006）。这说明省级住建体系已经把企业与人员的资质关系做成了可检索的公共数据库：一家总承包商声称的建造师配置、安管人员数量，理论上可以通过省级查询系统逐条核验，且核验结果来自行政登记而非企业自述（P10006）。需要同步申明边界：弹药库收录的样本仅此一省，四川院注册地与主要市场对应的省级查询入口未在检索域中出现，该通道在川渝的可用性需读者自行验证（P10006）。</w:t>
      </w:r>
    </w:p>
    <w:p>
      <w:r>
        <w:rPr>
          <w:rFonts w:ascii="Calibri" w:hAnsi="Calibri" w:eastAsia="微软雅黑"/>
          <w:b w:val="0"/>
          <w:i w:val="0"/>
          <w:sz w:val="22"/>
        </w:rPr>
        <w:t>把这两条通道组合成一套尽调协议，是本节真正想交付的东西。协议的第一步是定信用边界：以集团半年报确认背书主体的存在与治理纪律，同时接受其中期数据未经审计的事实，把它当作方向性参照而非精确账本使用，任何基于中期数的比率计算都应保留重新核验的余地（P10005）。第二步是定风险清单的官方指针：报告的重大风险提示章节直接指向第三节管理层讨论与分析中「可能面对的风险」一节（P10005），买方在评估与集团成员企业的合作时，可以循此路径先读到集团自认的风险清单，把集团层的行业性风险纳入自己的压力测试，再叠加子企业层的特有风险（P10005）。第三步才是动用行政登记数据带：向省级人员查询系统提交企业名称，取得持证人员名单，再与企业自述的项目团队配置逐一比对，出现缺口时要求对方解释而非自行脑补（P10006）。这套协议的货币成本几乎为零，支付的主要是时间，但它把「信不信」的问题转换成了「查没查」的问题——在组织与人才这个最容易被形容词淹没的维度上，这个转换本身就是价值（P10005；P10006）。</w:t>
      </w:r>
    </w:p>
    <w:p>
      <w:r>
        <w:rPr>
          <w:rFonts w:ascii="Calibri" w:hAnsi="Calibri" w:eastAsia="微软雅黑"/>
          <w:b w:val="0"/>
          <w:i w:val="0"/>
          <w:sz w:val="22"/>
        </w:rPr>
        <w:t>所以呢？这一节给出的不是四川院的人才画像，而是画像的取景框：集团披露确认了信用背书的存在与颗粒度的边界，省级查询系统确认了人员资质可以低成本独立核验（P10005；P10006）。任何一个准备与四川院签订总承包合同或评估其价值的读者，都应当把「披露不等于数据、数据需要交叉核验」当作本章的默认姿态——后续四节提供的兄弟院样本、行业标尺与判例账本，全部服务于这套核验框架的搭建，而不是替代它；框架的每一件工具都在正文给出了证据出处，读者可以按锚点回溯原始证据后自行裁剪（P10005；P10006）。</w:t>
      </w:r>
    </w:p>
    <w:p>
      <w:pPr>
        <w:pStyle w:val="Heading2"/>
      </w:pPr>
      <w:r>
        <w:t>10.2 博士后工作站：同集团设计院的高端人才机制样本</w:t>
      </w:r>
    </w:p>
    <w:p>
      <w:r>
        <w:rPr>
          <w:rFonts w:ascii="Calibri" w:hAnsi="Calibri" w:eastAsia="微软雅黑"/>
          <w:b w:val="0"/>
          <w:i w:val="0"/>
          <w:sz w:val="22"/>
        </w:rPr>
        <w:t>在集团内部，设计院系企业争夺高层次人才的制度形态，可以从两条兄弟院证据中看得相当清楚。第一条来自成都院：2026年1月9日发布的官方新闻记载，四川省人社厅党组副书记、厅长刘会英一行赴中国电建成都院调研指导博士后工作并慰问专家，省人社厅党组成员、副厅长、一级巡视员董宏杰，成都院党委书记、董事长张世殊，党委委员、总工程师夏勇参加活动（P10001）。张世殊在汇报中把人才表述为发展第一资源，坚持「科技强企、人才先行」，通过优化成长环境、搭建创新平台集聚了以在场专家为代表的优秀人才队伍，为企业及区域发展提供了关键支撑（P10001）。调研组随后参观了成都院数字展厅，详细了解企业发展历程、科技创新布局及博士后科研工作站建设运行情况（P10001）。刘会英高度评价成都院75年来在工程建设、科技创新、行业引领等领域的成就，并充分肯定其博士后科研工作站在高层次人才培养、科研平台建设中的显著成效（P10001）；受慰问的两位专家，一位是总工程师夏勇，一位是冉从彦，两人先后围绕人才队伍建设、科研环境优化分享体会、提出建议（P10001）。新闻结尾的表态同样值得记录：成都院将持续完善人才发展生态，加大科研与培养投入，发挥专家引领作用（P10001）。</w:t>
      </w:r>
    </w:p>
    <w:p>
      <w:r>
        <w:rPr>
          <w:rFonts w:ascii="Calibri" w:hAnsi="Calibri" w:eastAsia="微软雅黑"/>
          <w:b w:val="0"/>
          <w:i w:val="0"/>
          <w:sz w:val="22"/>
        </w:rPr>
        <w:t>这场调研的信息量不在礼节本身。省人社厅一把手与副厅长、一级巡视员同时到一家设计企业谈博士后工作，说明博士后科研工作站在这个体系里同时承担三重角色：高层次人才的培养载体、科研平台的组织节点、政企关系的人才界面（P10001）。三重角色对应的组织能力各不相同——培养载体要求企业与高校导师制的衔接，科研节点要求课题与主业工程的绑定，政企界面要求人才工作能被上级主管部门看见并背书（P10001）。成都院把三者合并到同一个平台运营，且由党委书记、董事长与总工程师同时出面接待，人才议题在其治理议程中的排位可见一斑（P10001）。</w:t>
      </w:r>
    </w:p>
    <w:p>
      <w:r>
        <w:rPr>
          <w:rFonts w:ascii="Calibri" w:hAnsi="Calibri" w:eastAsia="微软雅黑"/>
          <w:b w:val="0"/>
          <w:i w:val="0"/>
          <w:sz w:val="22"/>
        </w:rPr>
        <w:t>同一则新闻里还有三个容易被略过的细节，各自对应一种人才机制。细节一：调研组参观的是数字展厅，展示内容为企业发展历程、科技创新布局及博士后科研工作站建设运行情况（P10001）——把人才平台放进对政府部门的展示动线，说明它已被企业视为值得展示的前台资产而非后台事务。细节二：慰问对象是总工程师夏勇与冉从彦两位专家，省厅负责人亲切询问其工作生活与身体状况，赠送鲜花和慰问贺卡，勉励专家们继续发挥专业优势、在服务国家重大战略中展现更大作为（P10001）——对资深专家的行政化慰问是体制内企业特有的留人仪式，它与薪酬激励构成一软一硬的互补组合，评估同类企业时，「慰问名单上出现过谁」本身就是核心技术骨干的显影剂。细节三：新闻以在治蜀兴川实践中切实履行国企责任收束，并表态将持续完善人才发展生态、加大科研与培养投入（P10001）——人才工作被显式绑定到区域发展叙事上，这类绑定在实践中往往伴随地方人才政策资源的倾斜，是企业与属地政府之间的人才交换界面（P10001）。三个细节合起来读：在川央企设计院的高层次人才机制是「平台、仪式、政策接口」的三件套，检查任何一家同类企业的人才体系，都值得先看这三件套是否齐备（P10001）。</w:t>
      </w:r>
    </w:p>
    <w:p>
      <w:r>
        <w:rPr>
          <w:rFonts w:ascii="Calibri" w:hAnsi="Calibri" w:eastAsia="微软雅黑"/>
          <w:b w:val="0"/>
          <w:i w:val="0"/>
          <w:sz w:val="22"/>
        </w:rPr>
        <w:t>第二条证据来自北京院的三份博士后进站公示，它们把招录流程摊开到了可复核的程度（P10002；P10003；P10004，三份文件计数，own_calc）。制度链条为：个人投递简历、多轮面试、公司党委会研定，公示结束无异议且申请人补齐进站材料后，报全国博管会审批办理进站（P10002；P10003）。三份公示在时间上横跨三个年度：2024年7月24日发布的公示（文号人资公示[2024]8号）对象为吴志祥，1994年9月出生，本硕博就读于北京科技大学土木工程专业，2024年6月获得工学博士学位，课题方向为多地灾超高矿坑边坡作为电站建筑物基础的安全改造技术（P10004）；2026年2月27日发布的公示（文号人资公示[2026]2号）对象为柯贤林，1997年9月出生，本硕就读于南京农业大学、博士就读于中国科学院大学环境科学专业，2026年1月获得工学博士学位，课题方向为基于荒漠植物源材料的防风固沙及土壤改良技术研究（P10002）；2026年6月30日发布的公示（文号人资公示[2026]8号）对象为房晓阳，1998年9月出生，本科就读于青岛科技大学、硕博就读于北京化工大学材料科学与工程专业，2026年6月获得工学博士学位，课题方向为聚氨酯基复合材料结构、性能及应用研究（P10003）。</w:t>
      </w:r>
    </w:p>
    <w:tbl>
      <w:tblPr>
        <w:tblStyle w:val="TableGrid"/>
        <w:tblW w:type="auto" w:w="0"/>
        <w:tblLook w:firstColumn="1" w:firstRow="1" w:lastColumn="0" w:lastRow="0" w:noHBand="0" w:noVBand="1" w:val="04A0"/>
      </w:tblPr>
      <w:tblGrid>
        <w:gridCol w:w="1383"/>
        <w:gridCol w:w="1383"/>
        <w:gridCol w:w="1383"/>
        <w:gridCol w:w="1383"/>
        <w:gridCol w:w="1383"/>
        <w:gridCol w:w="1383"/>
      </w:tblGrid>
      <w:tr>
        <w:tc>
          <w:tcPr>
            <w:tcW w:type="dxa" w:w="1383"/>
            <w:shd w:fill="1F3A5F"/>
          </w:tcPr>
          <w:p>
            <w:r>
              <w:rPr>
                <w:color w:val="FFFFFF"/>
              </w:rPr>
            </w:r>
            <w:r>
              <w:rPr>
                <w:rFonts w:ascii="Calibri" w:hAnsi="Calibri" w:eastAsia="微软雅黑"/>
                <w:b/>
                <w:i w:val="0"/>
                <w:color w:val="FFFFFF"/>
                <w:sz w:val="18"/>
              </w:rPr>
              <w:t>公示文号</w:t>
            </w:r>
          </w:p>
        </w:tc>
        <w:tc>
          <w:tcPr>
            <w:tcW w:type="dxa" w:w="1383"/>
            <w:shd w:fill="1F3A5F"/>
          </w:tcPr>
          <w:p>
            <w:r>
              <w:rPr>
                <w:color w:val="FFFFFF"/>
              </w:rPr>
            </w:r>
            <w:r>
              <w:rPr>
                <w:rFonts w:ascii="Calibri" w:hAnsi="Calibri" w:eastAsia="微软雅黑"/>
                <w:b/>
                <w:i w:val="0"/>
                <w:color w:val="FFFFFF"/>
                <w:sz w:val="18"/>
              </w:rPr>
              <w:t>发布日期</w:t>
            </w:r>
          </w:p>
        </w:tc>
        <w:tc>
          <w:tcPr>
            <w:tcW w:type="dxa" w:w="1383"/>
            <w:shd w:fill="1F3A5F"/>
          </w:tcPr>
          <w:p>
            <w:r>
              <w:rPr>
                <w:color w:val="FFFFFF"/>
              </w:rPr>
            </w:r>
            <w:r>
              <w:rPr>
                <w:rFonts w:ascii="Calibri" w:hAnsi="Calibri" w:eastAsia="微软雅黑"/>
                <w:b/>
                <w:i w:val="0"/>
                <w:color w:val="FFFFFF"/>
                <w:sz w:val="18"/>
              </w:rPr>
              <w:t>拟进站人员</w:t>
            </w:r>
          </w:p>
        </w:tc>
        <w:tc>
          <w:tcPr>
            <w:tcW w:type="dxa" w:w="1383"/>
            <w:shd w:fill="1F3A5F"/>
          </w:tcPr>
          <w:p>
            <w:r>
              <w:rPr>
                <w:color w:val="FFFFFF"/>
              </w:rPr>
            </w:r>
            <w:r>
              <w:rPr>
                <w:rFonts w:ascii="Calibri" w:hAnsi="Calibri" w:eastAsia="微软雅黑"/>
                <w:b/>
                <w:i w:val="0"/>
                <w:color w:val="FFFFFF"/>
                <w:sz w:val="18"/>
              </w:rPr>
              <w:t>出生年月</w:t>
            </w:r>
          </w:p>
        </w:tc>
        <w:tc>
          <w:tcPr>
            <w:tcW w:type="dxa" w:w="1383"/>
            <w:shd w:fill="1F3A5F"/>
          </w:tcPr>
          <w:p>
            <w:r>
              <w:rPr>
                <w:color w:val="FFFFFF"/>
              </w:rPr>
            </w:r>
            <w:r>
              <w:rPr>
                <w:rFonts w:ascii="Calibri" w:hAnsi="Calibri" w:eastAsia="微软雅黑"/>
                <w:b/>
                <w:i w:val="0"/>
                <w:color w:val="FFFFFF"/>
                <w:sz w:val="18"/>
              </w:rPr>
              <w:t>博士学位</w:t>
            </w:r>
          </w:p>
        </w:tc>
        <w:tc>
          <w:tcPr>
            <w:tcW w:type="dxa" w:w="1383"/>
            <w:shd w:fill="1F3A5F"/>
          </w:tcPr>
          <w:p>
            <w:r>
              <w:rPr>
                <w:color w:val="FFFFFF"/>
              </w:rPr>
            </w:r>
            <w:r>
              <w:rPr>
                <w:rFonts w:ascii="Calibri" w:hAnsi="Calibri" w:eastAsia="微软雅黑"/>
                <w:b/>
                <w:i w:val="0"/>
                <w:color w:val="FFFFFF"/>
                <w:sz w:val="18"/>
              </w:rPr>
              <w:t>课题方向</w:t>
            </w:r>
          </w:p>
        </w:tc>
      </w:tr>
      <w:tr>
        <w:tc>
          <w:tcPr>
            <w:tcW w:type="dxa" w:w="1383"/>
          </w:tcPr>
          <w:p>
            <w:r/>
            <w:r>
              <w:rPr>
                <w:rFonts w:ascii="Calibri" w:hAnsi="Calibri" w:eastAsia="微软雅黑"/>
                <w:b w:val="0"/>
                <w:i w:val="0"/>
                <w:sz w:val="18"/>
              </w:rPr>
              <w:t>人资公示[2024]8号（P10004）</w:t>
            </w:r>
          </w:p>
        </w:tc>
        <w:tc>
          <w:tcPr>
            <w:tcW w:type="dxa" w:w="1383"/>
          </w:tcPr>
          <w:p>
            <w:r/>
            <w:r>
              <w:rPr>
                <w:rFonts w:ascii="Calibri" w:hAnsi="Calibri" w:eastAsia="微软雅黑"/>
                <w:b w:val="0"/>
                <w:i w:val="0"/>
                <w:sz w:val="18"/>
              </w:rPr>
              <w:t>2024年7月24日（P10004）</w:t>
            </w:r>
          </w:p>
        </w:tc>
        <w:tc>
          <w:tcPr>
            <w:tcW w:type="dxa" w:w="1383"/>
          </w:tcPr>
          <w:p>
            <w:r/>
            <w:r>
              <w:rPr>
                <w:rFonts w:ascii="Calibri" w:hAnsi="Calibri" w:eastAsia="微软雅黑"/>
                <w:b w:val="0"/>
                <w:i w:val="0"/>
                <w:sz w:val="18"/>
              </w:rPr>
              <w:t>吴志祥（P10004）</w:t>
            </w:r>
          </w:p>
        </w:tc>
        <w:tc>
          <w:tcPr>
            <w:tcW w:type="dxa" w:w="1383"/>
          </w:tcPr>
          <w:p>
            <w:r/>
            <w:r>
              <w:rPr>
                <w:rFonts w:ascii="Calibri" w:hAnsi="Calibri" w:eastAsia="微软雅黑"/>
                <w:b w:val="0"/>
                <w:i w:val="0"/>
                <w:sz w:val="18"/>
              </w:rPr>
              <w:t>1994年9月（P10004）</w:t>
            </w:r>
          </w:p>
        </w:tc>
        <w:tc>
          <w:tcPr>
            <w:tcW w:type="dxa" w:w="1383"/>
          </w:tcPr>
          <w:p>
            <w:r/>
            <w:r>
              <w:rPr>
                <w:rFonts w:ascii="Calibri" w:hAnsi="Calibri" w:eastAsia="微软雅黑"/>
                <w:b w:val="0"/>
                <w:i w:val="0"/>
                <w:sz w:val="18"/>
              </w:rPr>
              <w:t>北京科技大学，2024年6月（P10004）</w:t>
            </w:r>
          </w:p>
        </w:tc>
        <w:tc>
          <w:tcPr>
            <w:tcW w:type="dxa" w:w="1383"/>
          </w:tcPr>
          <w:p>
            <w:r/>
            <w:r>
              <w:rPr>
                <w:rFonts w:ascii="Calibri" w:hAnsi="Calibri" w:eastAsia="微软雅黑"/>
                <w:b w:val="0"/>
                <w:i w:val="0"/>
                <w:sz w:val="18"/>
              </w:rPr>
              <w:t>多地灾超高矿坑边坡作为电站建筑物基础的安全改造技术（P10004）</w:t>
            </w:r>
          </w:p>
        </w:tc>
      </w:tr>
      <w:tr>
        <w:tc>
          <w:tcPr>
            <w:tcW w:type="dxa" w:w="1383"/>
          </w:tcPr>
          <w:p>
            <w:r/>
            <w:r>
              <w:rPr>
                <w:rFonts w:ascii="Calibri" w:hAnsi="Calibri" w:eastAsia="微软雅黑"/>
                <w:b w:val="0"/>
                <w:i w:val="0"/>
                <w:sz w:val="18"/>
              </w:rPr>
              <w:t>人资公示[2026]2号（P10002）</w:t>
            </w:r>
          </w:p>
        </w:tc>
        <w:tc>
          <w:tcPr>
            <w:tcW w:type="dxa" w:w="1383"/>
          </w:tcPr>
          <w:p>
            <w:r/>
            <w:r>
              <w:rPr>
                <w:rFonts w:ascii="Calibri" w:hAnsi="Calibri" w:eastAsia="微软雅黑"/>
                <w:b w:val="0"/>
                <w:i w:val="0"/>
                <w:sz w:val="18"/>
              </w:rPr>
              <w:t>2026年2月27日（P10002）</w:t>
            </w:r>
          </w:p>
        </w:tc>
        <w:tc>
          <w:tcPr>
            <w:tcW w:type="dxa" w:w="1383"/>
          </w:tcPr>
          <w:p>
            <w:r/>
            <w:r>
              <w:rPr>
                <w:rFonts w:ascii="Calibri" w:hAnsi="Calibri" w:eastAsia="微软雅黑"/>
                <w:b w:val="0"/>
                <w:i w:val="0"/>
                <w:sz w:val="18"/>
              </w:rPr>
              <w:t>柯贤林（P10002）</w:t>
            </w:r>
          </w:p>
        </w:tc>
        <w:tc>
          <w:tcPr>
            <w:tcW w:type="dxa" w:w="1383"/>
          </w:tcPr>
          <w:p>
            <w:r/>
            <w:r>
              <w:rPr>
                <w:rFonts w:ascii="Calibri" w:hAnsi="Calibri" w:eastAsia="微软雅黑"/>
                <w:b w:val="0"/>
                <w:i w:val="0"/>
                <w:sz w:val="18"/>
              </w:rPr>
              <w:t>1997年9月（P10002）</w:t>
            </w:r>
          </w:p>
        </w:tc>
        <w:tc>
          <w:tcPr>
            <w:tcW w:type="dxa" w:w="1383"/>
          </w:tcPr>
          <w:p>
            <w:r/>
            <w:r>
              <w:rPr>
                <w:rFonts w:ascii="Calibri" w:hAnsi="Calibri" w:eastAsia="微软雅黑"/>
                <w:b w:val="0"/>
                <w:i w:val="0"/>
                <w:sz w:val="18"/>
              </w:rPr>
              <w:t>中国科学院大学，2026年1月（P10002）</w:t>
            </w:r>
          </w:p>
        </w:tc>
        <w:tc>
          <w:tcPr>
            <w:tcW w:type="dxa" w:w="1383"/>
          </w:tcPr>
          <w:p>
            <w:r/>
            <w:r>
              <w:rPr>
                <w:rFonts w:ascii="Calibri" w:hAnsi="Calibri" w:eastAsia="微软雅黑"/>
                <w:b w:val="0"/>
                <w:i w:val="0"/>
                <w:sz w:val="18"/>
              </w:rPr>
              <w:t>基于荒漠植物源材料的防风固沙及土壤改良技术研究（P10002）</w:t>
            </w:r>
          </w:p>
        </w:tc>
      </w:tr>
      <w:tr>
        <w:tc>
          <w:tcPr>
            <w:tcW w:type="dxa" w:w="1383"/>
          </w:tcPr>
          <w:p>
            <w:r/>
            <w:r>
              <w:rPr>
                <w:rFonts w:ascii="Calibri" w:hAnsi="Calibri" w:eastAsia="微软雅黑"/>
                <w:b w:val="0"/>
                <w:i w:val="0"/>
                <w:sz w:val="18"/>
              </w:rPr>
              <w:t>人资公示[2026]8号（P10003）</w:t>
            </w:r>
          </w:p>
        </w:tc>
        <w:tc>
          <w:tcPr>
            <w:tcW w:type="dxa" w:w="1383"/>
          </w:tcPr>
          <w:p>
            <w:r/>
            <w:r>
              <w:rPr>
                <w:rFonts w:ascii="Calibri" w:hAnsi="Calibri" w:eastAsia="微软雅黑"/>
                <w:b w:val="0"/>
                <w:i w:val="0"/>
                <w:sz w:val="18"/>
              </w:rPr>
              <w:t>2026年6月30日（P10003）</w:t>
            </w:r>
          </w:p>
        </w:tc>
        <w:tc>
          <w:tcPr>
            <w:tcW w:type="dxa" w:w="1383"/>
          </w:tcPr>
          <w:p>
            <w:r/>
            <w:r>
              <w:rPr>
                <w:rFonts w:ascii="Calibri" w:hAnsi="Calibri" w:eastAsia="微软雅黑"/>
                <w:b w:val="0"/>
                <w:i w:val="0"/>
                <w:sz w:val="18"/>
              </w:rPr>
              <w:t>房晓阳（P10003）</w:t>
            </w:r>
          </w:p>
        </w:tc>
        <w:tc>
          <w:tcPr>
            <w:tcW w:type="dxa" w:w="1383"/>
          </w:tcPr>
          <w:p>
            <w:r/>
            <w:r>
              <w:rPr>
                <w:rFonts w:ascii="Calibri" w:hAnsi="Calibri" w:eastAsia="微软雅黑"/>
                <w:b w:val="0"/>
                <w:i w:val="0"/>
                <w:sz w:val="18"/>
              </w:rPr>
              <w:t>1998年9月（P10003）</w:t>
            </w:r>
          </w:p>
        </w:tc>
        <w:tc>
          <w:tcPr>
            <w:tcW w:type="dxa" w:w="1383"/>
          </w:tcPr>
          <w:p>
            <w:r/>
            <w:r>
              <w:rPr>
                <w:rFonts w:ascii="Calibri" w:hAnsi="Calibri" w:eastAsia="微软雅黑"/>
                <w:b w:val="0"/>
                <w:i w:val="0"/>
                <w:sz w:val="18"/>
              </w:rPr>
              <w:t>北京化工大学，2026年6月（P10003）</w:t>
            </w:r>
          </w:p>
        </w:tc>
        <w:tc>
          <w:tcPr>
            <w:tcW w:type="dxa" w:w="1383"/>
          </w:tcPr>
          <w:p>
            <w:r/>
            <w:r>
              <w:rPr>
                <w:rFonts w:ascii="Calibri" w:hAnsi="Calibri" w:eastAsia="微软雅黑"/>
                <w:b w:val="0"/>
                <w:i w:val="0"/>
                <w:sz w:val="18"/>
              </w:rPr>
              <w:t>聚氨酯基复合材料结构、性能及应用研究（P10003）</w:t>
            </w:r>
          </w:p>
        </w:tc>
      </w:tr>
    </w:tbl>
    <w:p>
      <w:r>
        <w:rPr>
          <w:rFonts w:ascii="Calibri" w:hAnsi="Calibri" w:eastAsia="微软雅黑"/>
          <w:b w:val="0"/>
          <w:i w:val="0"/>
          <w:sz w:val="22"/>
        </w:rPr>
        <w:t>这张表值得逐列解读。看流程刚性：进人决策必须过公司党委会这一关（P10002；P10003）；公示期内任何部门或个人均可对公示人员基本情况以书面或口头形式向人力资源部反映异议（P10002）；公示人员原则上须在公示期结束后1个月内办理进站手续、逾期视为放弃入站资格，申请材料弄虚作假者取消入站资格（P10002；P10003；P10004）。三份公示的公示期分别自2024年7月24日至8月1日、2026年2月27日至3月6日、2026年6月29日至7月7日（P10004；P10002；P10003），折算各为8天至9天（own_calc），即一套节奏固定、程序刚性的高端人才入口。文号本身还提示了收录的不完整性：弹药库捕获的2026年两份公示文号分别为2号与8号，中间存在序列缺口，说明同年度实际公示大概率多于两份，本章的样本是下限而非全貌（P10002；P10003）。看课题导向：矿坑边坡作为电站建筑物基础的安全改造技术，直接服务于新能源电站的地基工程（P10004）；防风固沙与土壤改良面向生态工程场景，聚氨酯基复合材料面向结构材料应用，都是工程应用导向的研究而非纯理论课题（P10002；P10003）。看年龄结构：三位拟进站人员出生年份集中在1994年至1998年，对应博士毕业即进站的年轻高层次人才（P10002；P10003；P10004）。换言之，同集团兄弟院把博士后工作站当作围绕主业技术难题的年轻博士蓄水池，而不是装饰性招牌。</w:t>
      </w:r>
    </w:p>
    <w:p>
      <w:r>
        <w:rPr>
          <w:rFonts w:ascii="Calibri" w:hAnsi="Calibri" w:eastAsia="微软雅黑"/>
          <w:b w:val="0"/>
          <w:i w:val="0"/>
          <w:sz w:val="22"/>
        </w:rPr>
        <w:t>公示文本的治理语义也值得单独一读。三份文件都显示，拟进站人员的确定要经过个人投递简历、多轮面试与公司党委会研定三道程序（P10002；P10003；P10004）——把一名博士的进站提到党委会层面审议，等于把高端人才入口纳入公司最高决策序列，这与一般社招的部门级审批形成治理层级上的落差。异议机制同样成文：公示期内北京院各部门或个人均可对公示人员的基本情况存在的异议，以书面或口头形式向人力资源部反映（P10002；P10003）。文件落款的联系人还配有短号码联系电话——人资公示[2026]2号的联系人为李贺林、联系电话2534，人资公示[2026]8号的联系人为王颖倩、联系电话2102（P10002；P10003），这类短号通常是大院制企业的内部通讯惯例，提示公示文件的首要读者是企业内部、其次才是外部观察者。对买方的含义：判断一家设计院对人才的重视程度，看它的进人决策挂在哪一层治理议程上，比看它的招聘口号更可靠（P10002；P10003；P10004）。</w:t>
      </w:r>
    </w:p>
    <w:p>
      <w:r>
        <w:rPr>
          <w:rFonts w:ascii="Calibri" w:hAnsi="Calibri" w:eastAsia="微软雅黑"/>
          <w:b w:val="0"/>
          <w:i w:val="0"/>
          <w:sz w:val="22"/>
        </w:rPr>
        <w:t>所以呢？对四川院的推演必须克制到证据允许的边界：本报告弹药库内没有任何关于四川院是否设立博士后科研工作站、是否开展同类进站招录的证据，既不能断言其有，也不能断言其无（P10001；P10002；P10003；P10004）。但这组兄弟院样本已经足以确立一条对标逻辑——在同一集团、同一人才市场、同一类主营业务下，博士后平台的有无，直接决定企业能否在博士层级人才上获得制度化入口，而这类入口的养成周期以年计，临时抱佛脚补不出来（P10001；P10002）。买方的尽调问题由此可以写得很窄：四川院有无博士后科研工作站或博士后创新实践基地备案，近年进站与出站人数，出站留用率，在站课题与在建工程的对应关系。四个问题全部可验证、全部指向机制而非口号，其答案比任何企业简介里的人才形容词都更接近竞争力真相（P10001）。</w:t>
      </w:r>
    </w:p>
    <w:p>
      <w:r>
        <w:rPr>
          <w:rFonts w:ascii="Calibri" w:hAnsi="Calibri" w:eastAsia="微软雅黑"/>
          <w:b w:val="0"/>
          <w:i w:val="0"/>
          <w:sz w:val="22"/>
        </w:rPr>
        <w:t>四问与风险的对应关系还可以再展开一层。问有无设站，测的是博士层级人才入口的制度化程度——入口不存在，高层次人才的引入就只能依赖社招零星补员，人才结构的天花板由招聘市场而非培养体系决定（P10001；P10002）。问进出站人数，测的是入口的实际流量，有站无流的平台只是挂牌资产，其存在感仅限于申报材料（P10001）。问出站留用率，测的是培养到任用的转化链条，留不住人的工作站最终是在为竞争对手做博士后培养，投入产出为负（P10001）。问在站课题与在建工程的对应关系，测的是产学研闭环——北京院样本里矿坑边坡作为电站建筑物基础的研究范式，正是课题服务主业的示范（P10004）。四问的共同特点是全部指向流量而非存量头衔，而流量恰恰是人才竞争力最诚实的先行指标：头衔可以缓慢折旧，流量中断则立刻折射到三五年后的技术梯队（P10002；P10003；P10004）。</w:t>
      </w:r>
    </w:p>
    <w:p>
      <w:pPr>
        <w:pStyle w:val="Heading2"/>
      </w:pPr>
      <w:r>
        <w:t>10.3 大师、首席科学家与外脑市场：专家格局的三层结构</w:t>
      </w:r>
    </w:p>
    <w:p>
      <w:r>
        <w:rPr>
          <w:rFonts w:ascii="Calibri" w:hAnsi="Calibri" w:eastAsia="微软雅黑"/>
          <w:b w:val="0"/>
          <w:i w:val="0"/>
          <w:sz w:val="22"/>
        </w:rPr>
        <w:t>勘察设计行业的人才金字塔有一个明确的塔尖：全国工程勘察设计大师。湖南省勘察设计协会2026年8月26日刊发的专题报道提供了一个可解剖的样本：经省住房和城乡建设厅遴选推荐，该省四位行业专家参评第十一批全国工程勘察设计大师（P10007）。其中一位是中冶长天国际工程有限责任公司的叶恒棣——中冶长天前身为长沙冶金设计研究院，1957年成立，一直在冶金工程技术研发、工程勘察设计领域耕耘（P10007）；叶恒棣是中国五矿与中冶长天的首席科学家，从一名一线的设计人员成长为全行业知名学者专家、国家杰出工程师（P10007）。他的成长履历几乎是一部设计院技术人才的教科书：1984年从东北大学机械工程专业毕业，分配到冶金部长沙黑色冶金矿山设计研究院机械分院做设计，迅速掌握第一手专业技术，分院领导评价这个年轻人「能吃苦，肯动脑，是个可造之才」（P10007）。彼时全国钢铁工业蓬勃发展、各地学习消化移植宝钢先进工艺装备，中冶长天已完成烧结流程核心技术及装备的消化移植，唯独行业公认难度较大的「冷烧结矿整粒用振动筛」技术未能攻克（P10007）；引进之风盛行时，机械分院坚持走自己的路，成立三人工作小组专项攻关，组长正是年轻的叶恒棣（P10007）。</w:t>
      </w:r>
    </w:p>
    <w:p>
      <w:r>
        <w:rPr>
          <w:rFonts w:ascii="Calibri" w:hAnsi="Calibri" w:eastAsia="微软雅黑"/>
          <w:b w:val="0"/>
          <w:i w:val="0"/>
          <w:sz w:val="22"/>
        </w:rPr>
        <w:t>攻关的细节比头衔更能说明塔尖人才如何炼成。没有师傅引路、没有资料可查，叶恒棣带着两位组员走遍全国各地，大到装备外观结构、小到具体尺寸数据，全方位观摩、借鉴、总结，形成一份「筛子数据库」（P10007）；同时重返母校，投入振动机械专家闻邦椿教授（现中国工程院院士）门下深造（P10007）。第一代振动筛因制造厂擅自修改核心工艺，应用到攀钢项目时振动大到整栋厂房都有极其强烈的震感，没人敢冒险上去调试（P10007）。把这段履历拆开看：一线设计岗位是起点，装备级技术攻关是熔炉，院士协作网络是加速器，三者缺一不可（P10007）。对设计院系企业还有一层组织启示——真正塔尖人才的生成，依赖企业敢把行业级难题交给年轻工程师的授权机制，叶恒棣接手振动筛攻关时正是一名普通设计人员（P10007）。同时必须注意塔尖通道的分配结构：大师参评实行省级住建部门遴选推荐制，企业的动员能力、积淀展示与所在省份的推荐盘子都是变量，头衔的获取因此既有技术含金量也有通道含金量（P10007）。对照之下如实记录：本报告弹药库内未收录四川院专家参评全国工程勘察设计大师的任何记录，也未收录该院首席科学家、总工程师层级人选担任可比行业角色的公开证据——这是空白，不是否定，但它意味着买方无法从公开渠道确认四川院在塔尖层级的人才配置（P10007）。</w:t>
      </w:r>
    </w:p>
    <w:p>
      <w:r>
        <w:rPr>
          <w:rFonts w:ascii="Calibri" w:hAnsi="Calibri" w:eastAsia="微软雅黑"/>
          <w:b w:val="0"/>
          <w:i w:val="0"/>
          <w:sz w:val="22"/>
        </w:rPr>
        <w:t>攻关史里还藏着一则对总承包企业同样锋利的教训。小组决定先从仿制起步，但当时中冶长天还没有自己的装备制造厂，所有装备必须外委进行制造，叶恒棣设计的第一代振动筛由于所选择的设备制造厂擅自修改了其中一项核心工艺，应用到攀钢项目时才出现前述险情（P10007）。设计者与制造者之间的工艺纪律失守，几乎复刻了今日EPC项目中「设计意图在分包链条里走样」的经典风险——总承包企业的设计管理与供应链质量人才，防的就是这一类失守（P10007）。叶恒棣当时的回应被原话记录下来：「我是设计者，我有责任和义务把它调试好，哪怕是楼垮了，也要调试到最后一秒！」（P10007）。这句话的激励价值之外，更值得注意的是它的组织含义：企业没有把调试责任推给制造厂或安装队，而是让设计者对装备的最终性能负责到底——设计责任向制造与调试端延伸，正是设计院转型总承包在人才观上最需要完成的转身，也是「设计牵头」四个字从合同结构变成行为习惯的分水岭（P10007）。</w:t>
      </w:r>
    </w:p>
    <w:p>
      <w:r>
        <w:rPr>
          <w:rFonts w:ascii="Calibri" w:hAnsi="Calibri" w:eastAsia="微软雅黑"/>
          <w:b w:val="0"/>
          <w:i w:val="0"/>
          <w:sz w:val="22"/>
        </w:rPr>
        <w:t>塔尖之下，存在一个已经市场化、可计价的外脑层。《总包专家百人名录》是一个开源的总包专家库，免费提供给全网总包企业、总包人、相关培训和咨询机构以及高校使用，线上版与总包学园总包专家百人专栏联动、实时更新（P10000）。其使用方法被明确为四步：在名录初步了解专家信息与擅长课程，到老师个人专栏试听课程、下载资料并获取联络方式，直接与老师沟通到企业授课、咨询的时间与报酬并达成合作意向，企业无法直接向老师支付报酬时可与总包之声平台签订协议由平台代付——合作协议价格在老师报酬基础上增加12%税费，老师差旅费用由企业另实报实销（P10000）。这四步把「借用一位顶级专家」变成了一个有报价公式的采购流程：总成本等于课酬乘以一点一二加差旅（12%溢价，P10000），违约与结算风险由平台协议承接（P10000）。</w:t>
      </w:r>
    </w:p>
    <w:p>
      <w:r>
        <w:rPr>
          <w:rFonts w:ascii="Calibri" w:hAnsi="Calibri" w:eastAsia="微软雅黑"/>
          <w:b w:val="0"/>
          <w:i w:val="0"/>
          <w:sz w:val="22"/>
        </w:rPr>
        <w:t>名录中的专家画像同样具体到可以作为招聘基准线。白杨，全过程合约造价、项目管理专家，建设工程企业管理咨询和培训专家，清华大学硕士、英国皇家特许测量师、高级工程师、一级注册建造师，中国对外承包工程商会培训专家，中国国际工程咨询协会专家委员会专家委员，北京交通大学经济管理学院兼职教授，北京市建设工程招标投标和造价管理协会专家（P10000）；职业履历为历任某大型央企海外分公司副总经理，总部投标报价、商务管理部门副总经理，高级合约经理、高级工料测量师、项目经理等职（P10000）；主讲课程覆盖工程企业大商务管理体系、工程总承包（DB/EPC）项目管理理念与投标报价造价管控、建设工程全过程造价精细化管控、国际工程商务管理、工程量清单与工程量计算、投标报价与风险防控、国际DB/EPC投标报价、履约阶段成本管理、项目管理、合同管理、风险管理等12门主题（名录逐条计数，own_calc）（P10000）。白露，工程师、监理工程师、一级建造师，著有学术论文6篇、发明专利7项，现任某大（1）型EPC总承包项目项目副经理，拟分享的课程主题为EPC联合体管理体系构建要点与业主方项目质量、安全、进度、资金等方面管理思路（P10000）。</w:t>
      </w:r>
    </w:p>
    <w:p>
      <w:r>
        <w:rPr>
          <w:rFonts w:ascii="Calibri" w:hAnsi="Calibri" w:eastAsia="微软雅黑"/>
          <w:b w:val="0"/>
          <w:i w:val="0"/>
          <w:sz w:val="22"/>
        </w:rPr>
        <w:t>名录生态的边缘同样值得注意。平台的适用对象写明为全网广大总包企业、总包人、相关培训和咨询机构以及高校（P10000）——高校与培训机构在列，说明这个生态同时在向教育端供血，专家的课程资产可以被二次加工为行业教学产品，个人经验由此获得第二次变现通道（P10000）。平台签约机制的适用场景也写得很诚实：如企业无法直接向老师支付报酬，可与总包之声平台签订合作协议，由平台支付老师报酬（P10000）——它解决的是体制内企业向外部个人付费的合规摩擦，这一摩擦的存在本身就是国有总承包企业使用外脑时的真实交易成本，也是外部专家市场在央企体系周边长期繁荣的制度原因（P10000）。对买方的推论随之而来：评估一家总包的专家动员能力，不要只看它自己的专家名单，还要看它有没有打通外部专家的合规使用通道——有通道的企业，可以在标书评审与项目关键节点临时加装大脑，其人才边界的弹性远大于花名册（P10000）。</w:t>
      </w:r>
    </w:p>
    <w:p>
      <w:r>
        <w:rPr>
          <w:rFonts w:ascii="Calibri" w:hAnsi="Calibri" w:eastAsia="微软雅黑"/>
          <w:b w:val="0"/>
          <w:i w:val="0"/>
          <w:sz w:val="22"/>
        </w:rPr>
        <w:t>所以呢？外脑市场的存在改变了人才竞争的算法，也补齐了专家格局的三层结构：塔尖是大师与首席科学家级的头衔资产（P10007），塔身是注册执业证书加大项目岗位构成的存量队伍（P10000；P10006），塔外是可以按次采购的外脑供给（P10000）。对买方的第一层含义是招聘与评估的标尺：学历（清华大学硕士）、国际执业资格（英国皇家特许测量师）、国内执业证书（一级注册建造师、监理工程师）、可量化成果（学术论文6篇、发明专利7项）、岗位历练（大（1）型EPC项目副经理）——评估任何一家总包的人才成色，可以拿这组画像逐项比对现有团队与拟任项目经理（P10000）。第二层含义是能力的可购买性：加价12%税费再加差旅实报实销的公式，让中小总包在联合体治理、国际商务等短板上有了追赶头部企业经验密度的捷径（P10000）。第三层含义藏在课程结构里：白露拟讲的EPC联合体管理体系与业主方管理思路，恰好对应设计院转型总承包过程中最常被诟病的两块能力短板，市场愿意为这两门课付费，本身就是行业性缺口的证据（P10000）。至于四川院在三层结构中的自有储备，弹药库内没有可引用的证据，此处只能立起标尺、留出空白（P10000；P10007）。把人才竞争放进「红桃皇后」的竞争理论框架看会更透彻：斯坦福大学战略学教授William Barnett提出的这一理论指出，多数理论假设竞争导向均衡，而现实中的竞争不导向稳定，而是产生更快的变革，企业必须持续奔跑才能留在原地（P10024）。人才军备竞赛正是这种跑道的典型形态——兄弟院在博士后平台上的制度化投入（P10001）与外脑市场的明码标价（P10000），都是赛道加速、护城河折旧加速的证据。对四川院的最终含义因此是双重的：一方面，三层结构中没有任何一层可以被公开证据确认，买方在自己的决策模型里应把该院人才资产记为待验证项而非已知项（P10000；P10007）；另一方面，正因为外脑层明码标价、兄弟院平台可对标、省级登记可查询，待验证的成本极低——三层结构给不出答案，但给出了问问题的顺序（P10001；P10006；P10000）。</w:t>
      </w:r>
    </w:p>
    <w:p>
      <w:pPr>
        <w:pStyle w:val="Heading2"/>
      </w:pPr>
      <w:r>
        <w:t>10.4 组织教科书：EPC工程公司组织结构与岗位体系的方法论</w:t>
      </w:r>
    </w:p>
    <w:p>
      <w:r>
        <w:rPr>
          <w:rFonts w:ascii="Calibri" w:hAnsi="Calibri" w:eastAsia="微软雅黑"/>
          <w:b w:val="0"/>
          <w:i w:val="0"/>
          <w:sz w:val="22"/>
        </w:rPr>
        <w:t>人才要放进组织结构里才有产出，而EPC工程公司的组织设计存在公开的行业标准答案。汪寿建编著的《EPC工程总承包项目过程控制概论》全书共分十五章，系统介绍项目管理国内外的发展历程、工程公司及总承包项目组织结构，并对总承包项目设计、采购、施工、试运行全过程控制，各过程中的启动、策划、实施、控制和收尾子过程，项目目标控制要素（进度、质量、费用、HSE）和项目管理控制要素（综合、合同、范围、资源、信息、沟通、风险、变更）进行详细论述（P10027）。其适用对象明确写为：化工、石油化工、煤化工、医药、电力、基础设施建设等领域工程公司的项目经理，从事项目建设、项目管理研究和实施的工程技术人员，建筑企业的项目管理人员和技术人员等（P10027）——电力工程公司的项目经理被点名列为主体读者，这意味着书中框架可以直接用作电力设计院转型总承包的组织参照系（P10027）。</w:t>
      </w:r>
    </w:p>
    <w:p>
      <w:r>
        <w:rPr>
          <w:rFonts w:ascii="Calibri" w:hAnsi="Calibri" w:eastAsia="微软雅黑"/>
          <w:b w:val="0"/>
          <w:i w:val="0"/>
          <w:sz w:val="22"/>
        </w:rPr>
        <w:t>这本教科书的第二章几乎就是一张组织诊断问卷：工程公司组织结构和应具备的能力、工程公司需应对的各方面变化、工程公司组织架构设立、工程公司项目部的典型组织机构、项目经理及各部门经理的岗位职责，直至EPC项目组织机构案例（P10027）。把它翻译成尽调语言，评估一家设计院转型总承包商的组织成熟度，可以沿六个问题下钻：公司层有没有成文的「应具备的能力」清单；组织架构为总承包业务改版过几次、应对过哪些变化；项目部是按典型机构模板配置还是逐项目临时拼凑；项目经理与各部门经理的岗位职责是否有成文文件；有没有可复用的EPC项目组织机构案例；设计、采购、施工、试运行的全过程链条是否各有控制程序与子过程（P10027）。书中的方法底座也值得点出：第三章把戴明循环管理法列为适宜的管理方法，即以计划、执行、检查、处理的循环驱动项目管理系统的持续改进（P10027）；目标控制要素与管理控制要素的两层设计，则把「管什么」（进度、质量、费用、HSE）与「怎么管」（综合、合同、范围、资源、信息、沟通、风险、变更）分列成矩阵（P10027）。方法论的价值恰恰在于它是公共品：任何企业都可以按图施工，因此架构图本身不构成护城河，护城河在岗位职责文件的落地深度、模板的迭代版本与承载它们的人才密度（P10027）。这也再次解释了为什么人员规模数据缺位是严重的信息不对称——组织图可以一夜画出，注册在每个岗位上的执业人员却无法速成（P10027；P10006）。</w:t>
      </w:r>
    </w:p>
    <w:p>
      <w:r>
        <w:rPr>
          <w:rFonts w:ascii="Calibri" w:hAnsi="Calibri" w:eastAsia="微软雅黑"/>
          <w:b w:val="0"/>
          <w:i w:val="0"/>
          <w:sz w:val="22"/>
        </w:rPr>
        <w:t>第二章的编排顺序本身还有一个组织生命周期的读法：先论工程公司组织结构和应具备的能力，再论工程公司需应对的各方面变化，然后才是组织架构设立、项目部的典型组织机构与项目经理及各部门经理的岗位职责，最后落到EPC项目组织机构案例（P10027）——从能力定义到环境适配再到机构落地，恰好是设计院向工程公司演化的完整路径。对转型中的电力设计院，这条路径的每一站都有人才含义：能力定义站决定了要补哪些新专业——采购、施工管理、试运行这些传统设计院没有的岗位序列；环境适配站决定了组织要多快改版，改版慢的企业会以组织摩擦的形式为转型支付利息；机构落地站决定了岗位说明书的颗粒度，颗粒度粗的企业实质上仍在用设计院的方式管总承包；案例站决定了经验能否复用，没有案例沉淀的企业每个项目都在交学费（P10027）。书末的适用对象清单里，与项目经理并列的还有从事项目建设、项目管理研究和实施的工程技术人员与建筑企业的项目管理人员和技术人员（P10027），这个读者设定暗示了一件事：EPC组织方法论早已越出设计院的本行边界，成为设计、施工两类企业共同的语言——人才竞争因此不再是同行之间的竞争，而是两类基因不同的企业在同一套组织语法下的竞争，谁的岗位落地更快，谁就把方法论变成了真实的交付能力（P10027）。</w:t>
      </w:r>
    </w:p>
    <w:p>
      <w:r>
        <w:rPr>
          <w:rFonts w:ascii="Calibri" w:hAnsi="Calibri" w:eastAsia="微软雅黑"/>
          <w:b w:val="0"/>
          <w:i w:val="0"/>
          <w:sz w:val="22"/>
        </w:rPr>
        <w:t>组织之外，另一类方法论直接给出了岗位能力的负面清单。张旗、叶海、余灵颖三位建设工程领域的年轻律师所著《工程总承包（EPC／DB）争议解决实战攻略》，既有风险管理应对策略，又有基于真实争议案例的分析论证（P10030）。其目录本身就是一张总承包企业能力缺陷地图（P10030），值得把关键章节与对应岗位排成一张对照表：</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争议主题（书中章节）</w:t>
            </w:r>
          </w:p>
        </w:tc>
        <w:tc>
          <w:tcPr>
            <w:tcW w:type="dxa" w:w="2767"/>
            <w:shd w:fill="1F3A5F"/>
          </w:tcPr>
          <w:p>
            <w:r>
              <w:rPr>
                <w:color w:val="FFFFFF"/>
              </w:rPr>
            </w:r>
            <w:r>
              <w:rPr>
                <w:rFonts w:ascii="Calibri" w:hAnsi="Calibri" w:eastAsia="微软雅黑"/>
                <w:b/>
                <w:i w:val="0"/>
                <w:color w:val="FFFFFF"/>
                <w:sz w:val="18"/>
              </w:rPr>
              <w:t>出事的接口</w:t>
            </w:r>
          </w:p>
        </w:tc>
        <w:tc>
          <w:tcPr>
            <w:tcW w:type="dxa" w:w="2767"/>
            <w:shd w:fill="1F3A5F"/>
          </w:tcPr>
          <w:p>
            <w:r>
              <w:rPr>
                <w:color w:val="FFFFFF"/>
              </w:rPr>
            </w:r>
            <w:r>
              <w:rPr>
                <w:rFonts w:ascii="Calibri" w:hAnsi="Calibri" w:eastAsia="微软雅黑"/>
                <w:b/>
                <w:i w:val="0"/>
                <w:color w:val="FFFFFF"/>
                <w:sz w:val="18"/>
              </w:rPr>
              <w:t>对应岗位或能力</w:t>
            </w:r>
          </w:p>
        </w:tc>
      </w:tr>
      <w:tr>
        <w:tc>
          <w:tcPr>
            <w:tcW w:type="dxa" w:w="2767"/>
          </w:tcPr>
          <w:p>
            <w:r/>
            <w:r>
              <w:rPr>
                <w:rFonts w:ascii="Calibri" w:hAnsi="Calibri" w:eastAsia="微软雅黑"/>
                <w:b w:val="0"/>
                <w:i w:val="0"/>
                <w:sz w:val="18"/>
              </w:rPr>
              <w:t>「EPC+O」项目模式解析与法律风险控制（P10030）</w:t>
            </w:r>
          </w:p>
        </w:tc>
        <w:tc>
          <w:tcPr>
            <w:tcW w:type="dxa" w:w="2767"/>
          </w:tcPr>
          <w:p>
            <w:r/>
            <w:r>
              <w:rPr>
                <w:rFonts w:ascii="Calibri" w:hAnsi="Calibri" w:eastAsia="微软雅黑"/>
                <w:b w:val="0"/>
                <w:i w:val="0"/>
                <w:sz w:val="18"/>
              </w:rPr>
              <w:t>运营期责任延伸</w:t>
            </w:r>
          </w:p>
        </w:tc>
        <w:tc>
          <w:tcPr>
            <w:tcW w:type="dxa" w:w="2767"/>
          </w:tcPr>
          <w:p>
            <w:r/>
            <w:r>
              <w:rPr>
                <w:rFonts w:ascii="Calibri" w:hAnsi="Calibri" w:eastAsia="微软雅黑"/>
                <w:b w:val="0"/>
                <w:i w:val="0"/>
                <w:sz w:val="18"/>
              </w:rPr>
              <w:t>商务与运营法务复合人才（P10030）</w:t>
            </w:r>
          </w:p>
        </w:tc>
      </w:tr>
      <w:tr>
        <w:tc>
          <w:tcPr>
            <w:tcW w:type="dxa" w:w="2767"/>
          </w:tcPr>
          <w:p>
            <w:r/>
            <w:r>
              <w:rPr>
                <w:rFonts w:ascii="Calibri" w:hAnsi="Calibri" w:eastAsia="微软雅黑"/>
                <w:b w:val="0"/>
                <w:i w:val="0"/>
                <w:sz w:val="18"/>
              </w:rPr>
              <w:t>「PPP+EPC」政府方投资控制风险（P10030）</w:t>
            </w:r>
          </w:p>
        </w:tc>
        <w:tc>
          <w:tcPr>
            <w:tcW w:type="dxa" w:w="2767"/>
          </w:tcPr>
          <w:p>
            <w:r/>
            <w:r>
              <w:rPr>
                <w:rFonts w:ascii="Calibri" w:hAnsi="Calibri" w:eastAsia="微软雅黑"/>
                <w:b w:val="0"/>
                <w:i w:val="0"/>
                <w:sz w:val="18"/>
              </w:rPr>
              <w:t>政企合作项目的资金纪律</w:t>
            </w:r>
          </w:p>
        </w:tc>
        <w:tc>
          <w:tcPr>
            <w:tcW w:type="dxa" w:w="2767"/>
          </w:tcPr>
          <w:p>
            <w:r/>
            <w:r>
              <w:rPr>
                <w:rFonts w:ascii="Calibri" w:hAnsi="Calibri" w:eastAsia="微软雅黑"/>
                <w:b w:val="0"/>
                <w:i w:val="0"/>
                <w:sz w:val="18"/>
              </w:rPr>
              <w:t>投融资与合同管理人才（P10030）</w:t>
            </w:r>
          </w:p>
        </w:tc>
      </w:tr>
      <w:tr>
        <w:tc>
          <w:tcPr>
            <w:tcW w:type="dxa" w:w="2767"/>
          </w:tcPr>
          <w:p>
            <w:r/>
            <w:r>
              <w:rPr>
                <w:rFonts w:ascii="Calibri" w:hAnsi="Calibri" w:eastAsia="微软雅黑"/>
                <w:b w:val="0"/>
                <w:i w:val="0"/>
                <w:sz w:val="18"/>
              </w:rPr>
              <w:t>2017版银皮书合同终止价格确定、DAAB争端解决机制（P10030）</w:t>
            </w:r>
          </w:p>
        </w:tc>
        <w:tc>
          <w:tcPr>
            <w:tcW w:type="dxa" w:w="2767"/>
          </w:tcPr>
          <w:p>
            <w:r/>
            <w:r>
              <w:rPr>
                <w:rFonts w:ascii="Calibri" w:hAnsi="Calibri" w:eastAsia="微软雅黑"/>
                <w:b w:val="0"/>
                <w:i w:val="0"/>
                <w:sz w:val="18"/>
              </w:rPr>
              <w:t>国际合同退出与争议</w:t>
            </w:r>
          </w:p>
        </w:tc>
        <w:tc>
          <w:tcPr>
            <w:tcW w:type="dxa" w:w="2767"/>
          </w:tcPr>
          <w:p>
            <w:r/>
            <w:r>
              <w:rPr>
                <w:rFonts w:ascii="Calibri" w:hAnsi="Calibri" w:eastAsia="微软雅黑"/>
                <w:b w:val="0"/>
                <w:i w:val="0"/>
                <w:sz w:val="18"/>
              </w:rPr>
              <w:t>国际商务法务人才（P10030）</w:t>
            </w:r>
          </w:p>
        </w:tc>
      </w:tr>
      <w:tr>
        <w:tc>
          <w:tcPr>
            <w:tcW w:type="dxa" w:w="2767"/>
          </w:tcPr>
          <w:p>
            <w:r/>
            <w:r>
              <w:rPr>
                <w:rFonts w:ascii="Calibri" w:hAnsi="Calibri" w:eastAsia="微软雅黑"/>
                <w:b w:val="0"/>
                <w:i w:val="0"/>
                <w:sz w:val="18"/>
              </w:rPr>
              <w:t>EPC联合体成员如何发起诉讼或仲裁（P10030）</w:t>
            </w:r>
          </w:p>
        </w:tc>
        <w:tc>
          <w:tcPr>
            <w:tcW w:type="dxa" w:w="2767"/>
          </w:tcPr>
          <w:p>
            <w:r/>
            <w:r>
              <w:rPr>
                <w:rFonts w:ascii="Calibri" w:hAnsi="Calibri" w:eastAsia="微软雅黑"/>
                <w:b w:val="0"/>
                <w:i w:val="0"/>
                <w:sz w:val="18"/>
              </w:rPr>
              <w:t>联合体内部治理</w:t>
            </w:r>
          </w:p>
        </w:tc>
        <w:tc>
          <w:tcPr>
            <w:tcW w:type="dxa" w:w="2767"/>
          </w:tcPr>
          <w:p>
            <w:r/>
            <w:r>
              <w:rPr>
                <w:rFonts w:ascii="Calibri" w:hAnsi="Calibri" w:eastAsia="微软雅黑"/>
                <w:b w:val="0"/>
                <w:i w:val="0"/>
                <w:sz w:val="18"/>
              </w:rPr>
              <w:t>联合体治理与接口管理人才（P10030）</w:t>
            </w:r>
          </w:p>
        </w:tc>
      </w:tr>
      <w:tr>
        <w:tc>
          <w:tcPr>
            <w:tcW w:type="dxa" w:w="2767"/>
          </w:tcPr>
          <w:p>
            <w:r/>
            <w:r>
              <w:rPr>
                <w:rFonts w:ascii="Calibri" w:hAnsi="Calibri" w:eastAsia="微软雅黑"/>
                <w:b w:val="0"/>
                <w:i w:val="0"/>
                <w:sz w:val="18"/>
              </w:rPr>
              <w:t>中标后发现不平衡报价、设计失误与设计缺陷责任（P10030）</w:t>
            </w:r>
          </w:p>
        </w:tc>
        <w:tc>
          <w:tcPr>
            <w:tcW w:type="dxa" w:w="2767"/>
          </w:tcPr>
          <w:p>
            <w:r/>
            <w:r>
              <w:rPr>
                <w:rFonts w:ascii="Calibri" w:hAnsi="Calibri" w:eastAsia="微软雅黑"/>
                <w:b w:val="0"/>
                <w:i w:val="0"/>
                <w:sz w:val="18"/>
              </w:rPr>
              <w:t>报价与设计质量</w:t>
            </w:r>
          </w:p>
        </w:tc>
        <w:tc>
          <w:tcPr>
            <w:tcW w:type="dxa" w:w="2767"/>
          </w:tcPr>
          <w:p>
            <w:r/>
            <w:r>
              <w:rPr>
                <w:rFonts w:ascii="Calibri" w:hAnsi="Calibri" w:eastAsia="微软雅黑"/>
                <w:b w:val="0"/>
                <w:i w:val="0"/>
                <w:sz w:val="18"/>
              </w:rPr>
              <w:t>设计管理、造价与索赔人才（P10030）</w:t>
            </w:r>
          </w:p>
        </w:tc>
      </w:tr>
      <w:tr>
        <w:tc>
          <w:tcPr>
            <w:tcW w:type="dxa" w:w="2767"/>
          </w:tcPr>
          <w:p>
            <w:r/>
            <w:r>
              <w:rPr>
                <w:rFonts w:ascii="Calibri" w:hAnsi="Calibri" w:eastAsia="微软雅黑"/>
                <w:b w:val="0"/>
                <w:i w:val="0"/>
                <w:sz w:val="18"/>
              </w:rPr>
              <w:t>未经核准项目长期停工的施工分包索赔——广东某火电场扩建EPC项目停工索赔案（P10030）</w:t>
            </w:r>
          </w:p>
        </w:tc>
        <w:tc>
          <w:tcPr>
            <w:tcW w:type="dxa" w:w="2767"/>
          </w:tcPr>
          <w:p>
            <w:r/>
            <w:r>
              <w:rPr>
                <w:rFonts w:ascii="Calibri" w:hAnsi="Calibri" w:eastAsia="微软雅黑"/>
                <w:b w:val="0"/>
                <w:i w:val="0"/>
                <w:sz w:val="18"/>
              </w:rPr>
              <w:t>停工与工期风险</w:t>
            </w:r>
          </w:p>
        </w:tc>
        <w:tc>
          <w:tcPr>
            <w:tcW w:type="dxa" w:w="2767"/>
          </w:tcPr>
          <w:p>
            <w:r/>
            <w:r>
              <w:rPr>
                <w:rFonts w:ascii="Calibri" w:hAnsi="Calibri" w:eastAsia="微软雅黑"/>
                <w:b w:val="0"/>
                <w:i w:val="0"/>
                <w:sz w:val="18"/>
              </w:rPr>
              <w:t>工地商务与证据管理人才（P10030）</w:t>
            </w:r>
          </w:p>
        </w:tc>
      </w:tr>
      <w:tr>
        <w:tc>
          <w:tcPr>
            <w:tcW w:type="dxa" w:w="2767"/>
          </w:tcPr>
          <w:p>
            <w:r/>
            <w:r>
              <w:rPr>
                <w:rFonts w:ascii="Calibri" w:hAnsi="Calibri" w:eastAsia="微软雅黑"/>
                <w:b w:val="0"/>
                <w:i w:val="0"/>
                <w:sz w:val="18"/>
              </w:rPr>
              <w:t>未按约限额设计的处理、材料涨价固定价格调差、固定总价结算后重新结算（P10030）</w:t>
            </w:r>
          </w:p>
        </w:tc>
        <w:tc>
          <w:tcPr>
            <w:tcW w:type="dxa" w:w="2767"/>
          </w:tcPr>
          <w:p>
            <w:r/>
            <w:r>
              <w:rPr>
                <w:rFonts w:ascii="Calibri" w:hAnsi="Calibri" w:eastAsia="微软雅黑"/>
                <w:b w:val="0"/>
                <w:i w:val="0"/>
                <w:sz w:val="18"/>
              </w:rPr>
              <w:t>造价与结算纪律</w:t>
            </w:r>
          </w:p>
        </w:tc>
        <w:tc>
          <w:tcPr>
            <w:tcW w:type="dxa" w:w="2767"/>
          </w:tcPr>
          <w:p>
            <w:r/>
            <w:r>
              <w:rPr>
                <w:rFonts w:ascii="Calibri" w:hAnsi="Calibri" w:eastAsia="微软雅黑"/>
                <w:b w:val="0"/>
                <w:i w:val="0"/>
                <w:sz w:val="18"/>
              </w:rPr>
              <w:t>限额设计控制与结算人才（P10030）</w:t>
            </w:r>
          </w:p>
        </w:tc>
      </w:tr>
    </w:tbl>
    <w:p>
      <w:r>
        <w:rPr>
          <w:rFonts w:ascii="Calibri" w:hAnsi="Calibri" w:eastAsia="微软雅黑"/>
          <w:b w:val="0"/>
          <w:i w:val="0"/>
          <w:sz w:val="22"/>
        </w:rPr>
        <w:t>每一行都是真实世界里反复出事的接口，也就对应一类可以用判例验证的岗位缺口（P10030）。值得注意的是这本书的作者构成：三位年轻律师以工程管理思维写法律实务，说明市场已经把「懂工程的法务、懂法律的工程人」识别为稀缺品种（P10030）——这与上一节外脑名录中合同、索赔类课程的高密度供给相互印证（P10000）。用争议目录反推岗位清单，本质是一种负面清单法：不问企业应该有什么人，而问企业在哪些关口反复出事、出事的关口需要什么人把守；这种方法对信息不透明的主体尤其有效，因为它只需要公开判例而不需要企业配合（P10030）。把负面清单与汪寿建的组织正面清单并排使用——教科书给出应然的组织结构，判例给出实然的失守位置——两者之间的落差，就是一家总承包企业人才配置的真实缺口（P10027；P10030）。</w:t>
      </w:r>
    </w:p>
    <w:p>
      <w:r>
        <w:rPr>
          <w:rFonts w:ascii="Calibri" w:hAnsi="Calibri" w:eastAsia="微软雅黑"/>
          <w:b w:val="0"/>
          <w:i w:val="0"/>
          <w:sz w:val="22"/>
        </w:rPr>
        <w:t>本节还必须如实交代一段不可读的证据。检索域内存在两篇标题与本章高度相关的学术文献——《EPC总承包工程项目管理成熟度评价研究——以电力设计院为视角》与《EPC总承包模式下的核电项目管理技术研究》（P10016；P10017）。两者均以CAJ格式收录，正文为二进制内容，在本研究环境中无法读取，仅标题层面可以确认：以电力设计院为对象的EPC项目管理成熟度评价研究在学术界已经存在，核电EPC的项目管理技术亦有专门研究（P10016；P10017）。这意味着四川院的组织成熟度理论上存在一套可对标的中国学术评价框架，但本研究未能提取其指标体系，相关对比只能留给后续以正版渠道获取文献的研究者（P10016；P10017）。这处空白的方法论教训也值得记下：文献题名确认了研究存在，格式障碍阻止了内容引用，二者的组合意味着本章的组织诊断只能建立在专著与判例之上，而无法借用学术量表——这会让诊断结论偏向实务、弱于量化，是证据边界内的自觉取舍（P10016；P10017）。所以呢？本节的结论是双面的：组织与岗位的方法论在公开市场高度可得，任何认真的总承包经营者都能买到地图（P10027；P10030）；但地图不等于行军能力，判断四川院的组织成色，最终仍要落到10.1的公共查询通道与下一节的判例账本上——前者数人头，后者数伤疤（P10006；P10008）。</w:t>
      </w:r>
    </w:p>
    <w:p>
      <w:pPr>
        <w:pStyle w:val="Heading2"/>
      </w:pPr>
      <w:r>
        <w:t>10.5 判例的人才账：从纠纷体量反推岗位配置</w:t>
      </w:r>
    </w:p>
    <w:p>
      <w:r>
        <w:rPr>
          <w:rFonts w:ascii="Calibri" w:hAnsi="Calibri" w:eastAsia="微软雅黑"/>
          <w:b w:val="0"/>
          <w:i w:val="0"/>
          <w:sz w:val="22"/>
        </w:rPr>
        <w:t>在进入数字之前，先说明为什么把判例当作人才证据使用。裁判文书是纠纷处理的终局文书，每一份判决背后都是一次商务流程的彻底失败——谈判破裂、凭证失守、责任不清，才需要法官来定分止争；因此判例的类型分布，等价于企业组织里「没人把住的关口」的分布图（P10008）。本章不复述风险档案一章的纠纷学分析，只取一个切片：每类高发纠纷对应哪个岗位的缺位，以及这种缺位的市价——判例里白纸黑字的损失金额（P10008；P10009）。对买方，这张图的价值在于把人才配置从人力资源管理议题升格为风险定价议题：岗位是对冲，判例损失是不对冲的价格（P10008）。</w:t>
      </w:r>
    </w:p>
    <w:p>
      <w:r>
        <w:rPr>
          <w:rFonts w:ascii="Calibri" w:hAnsi="Calibri" w:eastAsia="微软雅黑"/>
          <w:b w:val="0"/>
          <w:i w:val="0"/>
          <w:sz w:val="22"/>
        </w:rPr>
        <w:t>裁判文书是人才缺位最冷酷的记账本。本章弹药库收录的各年度EPC相关裁判文书检索量如下：2010年148篇（P10021）、2011年61篇（P10034）、2012年216篇（P10018）、2013年2170篇（P10015）、2014年5275篇（P10014）、2015年8654篇（P10012）、2016年10763篇（P10011）、2017年11716篇（P10010）、2018年5754篇（P10013）、2019年41550篇（P10009）、2020年42935篇（P10008）、2021年324篇（P10019）。</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年度</w:t>
            </w:r>
          </w:p>
        </w:tc>
        <w:tc>
          <w:tcPr>
            <w:tcW w:type="dxa" w:w="2075"/>
            <w:shd w:fill="1F3A5F"/>
          </w:tcPr>
          <w:p>
            <w:r>
              <w:rPr>
                <w:color w:val="FFFFFF"/>
              </w:rPr>
            </w:r>
            <w:r>
              <w:rPr>
                <w:rFonts w:ascii="Calibri" w:hAnsi="Calibri" w:eastAsia="微软雅黑"/>
                <w:b/>
                <w:i w:val="0"/>
                <w:color w:val="FFFFFF"/>
                <w:sz w:val="18"/>
              </w:rPr>
              <w:t>EPC相关裁判文书检索量（篇）</w:t>
            </w:r>
          </w:p>
        </w:tc>
        <w:tc>
          <w:tcPr>
            <w:tcW w:type="dxa" w:w="2075"/>
            <w:shd w:fill="1F3A5F"/>
          </w:tcPr>
          <w:p>
            <w:r>
              <w:rPr>
                <w:color w:val="FFFFFF"/>
              </w:rPr>
            </w:r>
            <w:r>
              <w:rPr>
                <w:rFonts w:ascii="Calibri" w:hAnsi="Calibri" w:eastAsia="微软雅黑"/>
                <w:b/>
                <w:i w:val="0"/>
                <w:color w:val="FFFFFF"/>
                <w:sz w:val="18"/>
              </w:rPr>
              <w:t>年度</w:t>
            </w:r>
          </w:p>
        </w:tc>
        <w:tc>
          <w:tcPr>
            <w:tcW w:type="dxa" w:w="2075"/>
            <w:shd w:fill="1F3A5F"/>
          </w:tcPr>
          <w:p>
            <w:r>
              <w:rPr>
                <w:color w:val="FFFFFF"/>
              </w:rPr>
            </w:r>
            <w:r>
              <w:rPr>
                <w:rFonts w:ascii="Calibri" w:hAnsi="Calibri" w:eastAsia="微软雅黑"/>
                <w:b/>
                <w:i w:val="0"/>
                <w:color w:val="FFFFFF"/>
                <w:sz w:val="18"/>
              </w:rPr>
              <w:t>EPC相关裁判文书检索量（篇）</w:t>
            </w:r>
          </w:p>
        </w:tc>
      </w:tr>
      <w:tr>
        <w:tc>
          <w:tcPr>
            <w:tcW w:type="dxa" w:w="2075"/>
          </w:tcPr>
          <w:p>
            <w:r/>
            <w:r>
              <w:rPr>
                <w:rFonts w:ascii="Calibri" w:hAnsi="Calibri" w:eastAsia="微软雅黑"/>
                <w:b w:val="0"/>
                <w:i w:val="0"/>
                <w:sz w:val="18"/>
              </w:rPr>
              <w:t>2010年（P10021）</w:t>
            </w:r>
          </w:p>
        </w:tc>
        <w:tc>
          <w:tcPr>
            <w:tcW w:type="dxa" w:w="2075"/>
          </w:tcPr>
          <w:p>
            <w:r/>
            <w:r>
              <w:rPr>
                <w:rFonts w:ascii="Calibri" w:hAnsi="Calibri" w:eastAsia="微软雅黑"/>
                <w:b w:val="0"/>
                <w:i w:val="0"/>
                <w:sz w:val="18"/>
              </w:rPr>
              <w:t>148（P10021）</w:t>
            </w:r>
          </w:p>
        </w:tc>
        <w:tc>
          <w:tcPr>
            <w:tcW w:type="dxa" w:w="2075"/>
          </w:tcPr>
          <w:p>
            <w:r/>
            <w:r>
              <w:rPr>
                <w:rFonts w:ascii="Calibri" w:hAnsi="Calibri" w:eastAsia="微软雅黑"/>
                <w:b w:val="0"/>
                <w:i w:val="0"/>
                <w:sz w:val="18"/>
              </w:rPr>
              <w:t>2016年（P10011）</w:t>
            </w:r>
          </w:p>
        </w:tc>
        <w:tc>
          <w:tcPr>
            <w:tcW w:type="dxa" w:w="2075"/>
          </w:tcPr>
          <w:p>
            <w:r/>
            <w:r>
              <w:rPr>
                <w:rFonts w:ascii="Calibri" w:hAnsi="Calibri" w:eastAsia="微软雅黑"/>
                <w:b w:val="0"/>
                <w:i w:val="0"/>
                <w:sz w:val="18"/>
              </w:rPr>
              <w:t>10763（P10011）</w:t>
            </w:r>
          </w:p>
        </w:tc>
      </w:tr>
      <w:tr>
        <w:tc>
          <w:tcPr>
            <w:tcW w:type="dxa" w:w="2075"/>
          </w:tcPr>
          <w:p>
            <w:r/>
            <w:r>
              <w:rPr>
                <w:rFonts w:ascii="Calibri" w:hAnsi="Calibri" w:eastAsia="微软雅黑"/>
                <w:b w:val="0"/>
                <w:i w:val="0"/>
                <w:sz w:val="18"/>
              </w:rPr>
              <w:t>2011年（P10034）</w:t>
            </w:r>
          </w:p>
        </w:tc>
        <w:tc>
          <w:tcPr>
            <w:tcW w:type="dxa" w:w="2075"/>
          </w:tcPr>
          <w:p>
            <w:r/>
            <w:r>
              <w:rPr>
                <w:rFonts w:ascii="Calibri" w:hAnsi="Calibri" w:eastAsia="微软雅黑"/>
                <w:b w:val="0"/>
                <w:i w:val="0"/>
                <w:sz w:val="18"/>
              </w:rPr>
              <w:t>61（P10034）</w:t>
            </w:r>
          </w:p>
        </w:tc>
        <w:tc>
          <w:tcPr>
            <w:tcW w:type="dxa" w:w="2075"/>
          </w:tcPr>
          <w:p>
            <w:r/>
            <w:r>
              <w:rPr>
                <w:rFonts w:ascii="Calibri" w:hAnsi="Calibri" w:eastAsia="微软雅黑"/>
                <w:b w:val="0"/>
                <w:i w:val="0"/>
                <w:sz w:val="18"/>
              </w:rPr>
              <w:t>2017年（P10010）</w:t>
            </w:r>
          </w:p>
        </w:tc>
        <w:tc>
          <w:tcPr>
            <w:tcW w:type="dxa" w:w="2075"/>
          </w:tcPr>
          <w:p>
            <w:r/>
            <w:r>
              <w:rPr>
                <w:rFonts w:ascii="Calibri" w:hAnsi="Calibri" w:eastAsia="微软雅黑"/>
                <w:b w:val="0"/>
                <w:i w:val="0"/>
                <w:sz w:val="18"/>
              </w:rPr>
              <w:t>11716（P10010）</w:t>
            </w:r>
          </w:p>
        </w:tc>
      </w:tr>
      <w:tr>
        <w:tc>
          <w:tcPr>
            <w:tcW w:type="dxa" w:w="2075"/>
          </w:tcPr>
          <w:p>
            <w:r/>
            <w:r>
              <w:rPr>
                <w:rFonts w:ascii="Calibri" w:hAnsi="Calibri" w:eastAsia="微软雅黑"/>
                <w:b w:val="0"/>
                <w:i w:val="0"/>
                <w:sz w:val="18"/>
              </w:rPr>
              <w:t>2012年（P10018）</w:t>
            </w:r>
          </w:p>
        </w:tc>
        <w:tc>
          <w:tcPr>
            <w:tcW w:type="dxa" w:w="2075"/>
          </w:tcPr>
          <w:p>
            <w:r/>
            <w:r>
              <w:rPr>
                <w:rFonts w:ascii="Calibri" w:hAnsi="Calibri" w:eastAsia="微软雅黑"/>
                <w:b w:val="0"/>
                <w:i w:val="0"/>
                <w:sz w:val="18"/>
              </w:rPr>
              <w:t>216（P10018）</w:t>
            </w:r>
          </w:p>
        </w:tc>
        <w:tc>
          <w:tcPr>
            <w:tcW w:type="dxa" w:w="2075"/>
          </w:tcPr>
          <w:p>
            <w:r/>
            <w:r>
              <w:rPr>
                <w:rFonts w:ascii="Calibri" w:hAnsi="Calibri" w:eastAsia="微软雅黑"/>
                <w:b w:val="0"/>
                <w:i w:val="0"/>
                <w:sz w:val="18"/>
              </w:rPr>
              <w:t>2018年（P10013）</w:t>
            </w:r>
          </w:p>
        </w:tc>
        <w:tc>
          <w:tcPr>
            <w:tcW w:type="dxa" w:w="2075"/>
          </w:tcPr>
          <w:p>
            <w:r/>
            <w:r>
              <w:rPr>
                <w:rFonts w:ascii="Calibri" w:hAnsi="Calibri" w:eastAsia="微软雅黑"/>
                <w:b w:val="0"/>
                <w:i w:val="0"/>
                <w:sz w:val="18"/>
              </w:rPr>
              <w:t>5754（P10013）</w:t>
            </w:r>
          </w:p>
        </w:tc>
      </w:tr>
      <w:tr>
        <w:tc>
          <w:tcPr>
            <w:tcW w:type="dxa" w:w="2075"/>
          </w:tcPr>
          <w:p>
            <w:r/>
            <w:r>
              <w:rPr>
                <w:rFonts w:ascii="Calibri" w:hAnsi="Calibri" w:eastAsia="微软雅黑"/>
                <w:b w:val="0"/>
                <w:i w:val="0"/>
                <w:sz w:val="18"/>
              </w:rPr>
              <w:t>2013年（P10015）</w:t>
            </w:r>
          </w:p>
        </w:tc>
        <w:tc>
          <w:tcPr>
            <w:tcW w:type="dxa" w:w="2075"/>
          </w:tcPr>
          <w:p>
            <w:r/>
            <w:r>
              <w:rPr>
                <w:rFonts w:ascii="Calibri" w:hAnsi="Calibri" w:eastAsia="微软雅黑"/>
                <w:b w:val="0"/>
                <w:i w:val="0"/>
                <w:sz w:val="18"/>
              </w:rPr>
              <w:t>2170（P10015）</w:t>
            </w:r>
          </w:p>
        </w:tc>
        <w:tc>
          <w:tcPr>
            <w:tcW w:type="dxa" w:w="2075"/>
          </w:tcPr>
          <w:p>
            <w:r/>
            <w:r>
              <w:rPr>
                <w:rFonts w:ascii="Calibri" w:hAnsi="Calibri" w:eastAsia="微软雅黑"/>
                <w:b w:val="0"/>
                <w:i w:val="0"/>
                <w:sz w:val="18"/>
              </w:rPr>
              <w:t>2019年（P10009）</w:t>
            </w:r>
          </w:p>
        </w:tc>
        <w:tc>
          <w:tcPr>
            <w:tcW w:type="dxa" w:w="2075"/>
          </w:tcPr>
          <w:p>
            <w:r/>
            <w:r>
              <w:rPr>
                <w:rFonts w:ascii="Calibri" w:hAnsi="Calibri" w:eastAsia="微软雅黑"/>
                <w:b w:val="0"/>
                <w:i w:val="0"/>
                <w:sz w:val="18"/>
              </w:rPr>
              <w:t>41550（P10009）</w:t>
            </w:r>
          </w:p>
        </w:tc>
      </w:tr>
      <w:tr>
        <w:tc>
          <w:tcPr>
            <w:tcW w:type="dxa" w:w="2075"/>
          </w:tcPr>
          <w:p>
            <w:r/>
            <w:r>
              <w:rPr>
                <w:rFonts w:ascii="Calibri" w:hAnsi="Calibri" w:eastAsia="微软雅黑"/>
                <w:b w:val="0"/>
                <w:i w:val="0"/>
                <w:sz w:val="18"/>
              </w:rPr>
              <w:t>2014年（P10014）</w:t>
            </w:r>
          </w:p>
        </w:tc>
        <w:tc>
          <w:tcPr>
            <w:tcW w:type="dxa" w:w="2075"/>
          </w:tcPr>
          <w:p>
            <w:r/>
            <w:r>
              <w:rPr>
                <w:rFonts w:ascii="Calibri" w:hAnsi="Calibri" w:eastAsia="微软雅黑"/>
                <w:b w:val="0"/>
                <w:i w:val="0"/>
                <w:sz w:val="18"/>
              </w:rPr>
              <w:t>5275（P10014）</w:t>
            </w:r>
          </w:p>
        </w:tc>
        <w:tc>
          <w:tcPr>
            <w:tcW w:type="dxa" w:w="2075"/>
          </w:tcPr>
          <w:p>
            <w:r/>
            <w:r>
              <w:rPr>
                <w:rFonts w:ascii="Calibri" w:hAnsi="Calibri" w:eastAsia="微软雅黑"/>
                <w:b w:val="0"/>
                <w:i w:val="0"/>
                <w:sz w:val="18"/>
              </w:rPr>
              <w:t>2020年（P10008）</w:t>
            </w:r>
          </w:p>
        </w:tc>
        <w:tc>
          <w:tcPr>
            <w:tcW w:type="dxa" w:w="2075"/>
          </w:tcPr>
          <w:p>
            <w:r/>
            <w:r>
              <w:rPr>
                <w:rFonts w:ascii="Calibri" w:hAnsi="Calibri" w:eastAsia="微软雅黑"/>
                <w:b w:val="0"/>
                <w:i w:val="0"/>
                <w:sz w:val="18"/>
              </w:rPr>
              <w:t>42935（P10008）</w:t>
            </w:r>
          </w:p>
        </w:tc>
      </w:tr>
      <w:tr>
        <w:tc>
          <w:tcPr>
            <w:tcW w:type="dxa" w:w="2075"/>
          </w:tcPr>
          <w:p>
            <w:r/>
            <w:r>
              <w:rPr>
                <w:rFonts w:ascii="Calibri" w:hAnsi="Calibri" w:eastAsia="微软雅黑"/>
                <w:b w:val="0"/>
                <w:i w:val="0"/>
                <w:sz w:val="18"/>
              </w:rPr>
              <w:t>2015年（P10012）</w:t>
            </w:r>
          </w:p>
        </w:tc>
        <w:tc>
          <w:tcPr>
            <w:tcW w:type="dxa" w:w="2075"/>
          </w:tcPr>
          <w:p>
            <w:r/>
            <w:r>
              <w:rPr>
                <w:rFonts w:ascii="Calibri" w:hAnsi="Calibri" w:eastAsia="微软雅黑"/>
                <w:b w:val="0"/>
                <w:i w:val="0"/>
                <w:sz w:val="18"/>
              </w:rPr>
              <w:t>8654（P10012）</w:t>
            </w:r>
          </w:p>
        </w:tc>
        <w:tc>
          <w:tcPr>
            <w:tcW w:type="dxa" w:w="2075"/>
          </w:tcPr>
          <w:p>
            <w:r/>
            <w:r>
              <w:rPr>
                <w:rFonts w:ascii="Calibri" w:hAnsi="Calibri" w:eastAsia="微软雅黑"/>
                <w:b w:val="0"/>
                <w:i w:val="0"/>
                <w:sz w:val="18"/>
              </w:rPr>
              <w:t>2021年（P10019）</w:t>
            </w:r>
          </w:p>
        </w:tc>
        <w:tc>
          <w:tcPr>
            <w:tcW w:type="dxa" w:w="2075"/>
          </w:tcPr>
          <w:p>
            <w:r/>
            <w:r>
              <w:rPr>
                <w:rFonts w:ascii="Calibri" w:hAnsi="Calibri" w:eastAsia="微软雅黑"/>
                <w:b w:val="0"/>
                <w:i w:val="0"/>
                <w:sz w:val="18"/>
              </w:rPr>
              <w:t>324（P10019）</w:t>
            </w:r>
          </w:p>
        </w:tc>
      </w:tr>
    </w:tbl>
    <w:p>
      <w:r>
        <w:rPr>
          <w:rFonts w:ascii="Calibri" w:hAnsi="Calibri" w:eastAsia="微软雅黑"/>
          <w:b w:val="0"/>
          <w:i w:val="0"/>
          <w:sz w:val="22"/>
        </w:rPr>
        <w:t>十二个年度卷宗合计129566篇（算式148＋61＋216＋2170＋5275＋8654＋10763＋11716＋5754＋41550＋42935＋324，own_calc，取自P10008、P10009、P10010、P10011、P10012、P10013、P10014、P10015、P10018、P10019、P10021、P10034），其中2019年与2020年两年合计84485篇（41550＋42935，own_calc），为全序列峰值（P10008、P10009）；2020年单年42935篇约为2010年148篇的290倍（42935÷148，own_calc，P10008、P10021）。必须同步给出口径警示：2018年5754篇低于2017年11716篇、2021年骤降至324篇，更可能反映裁判文书上网公开范围与力度的收缩，而非纠纷真实体量的坍缩，跨年比较只宜看量级、不宜算增速（P10013；P10010；P10019）。但方向性结论足够坚硬：建设工程与总承包纠纷长期海量存在，每一起进入诉讼的纠纷背后，都站着一段没有人在正确岗位上把它拦住的商务流程（P10008；P10009）。</w:t>
      </w:r>
    </w:p>
    <w:p>
      <w:r>
        <w:rPr>
          <w:rFonts w:ascii="Calibri" w:hAnsi="Calibri" w:eastAsia="微软雅黑"/>
          <w:b w:val="0"/>
          <w:i w:val="0"/>
          <w:sz w:val="22"/>
        </w:rPr>
        <w:t>把个案按「哪个岗位缺位」重新归档，判例就变成了人才预算的编制依据。第一类是设计与合同管理岗位的缺位。宜阳县人民法院（2016）豫0327民初1133号判决记载：业主未提供设计图纸，施工采取边设计、边施工、完工一处验收一处的方式，园林景观及零星工程未逐项签订书面施工合同（P10011）；假山工程按钢丝网片面积188元/㎡计价，温泉汤池按水池外围投影面积2000元/㎡计价（P10011）；温泉假山、水上娱乐园假山、5D电影院、捉鱼城四项工程总造价8902476.4元，施工期间及其后累计支付7432708元（P10011）；温泉汤池、马车屋、树屋及23项零星工程经两份结算单确认为12702400元，另有12项零星工程总造价1017870元未结算，全案拖欠工程款合计15190038.4元（P10011）。一个从图纸到合同到结算全线失守的项目，损失量级以千万元计——这正是设计院系企业最不该犯的错，因为设计与合同恰恰是它的本业；对以设计为龙头的总承包商，此类判例的价值在于把「设计管理岗＋合同商务岗双设」从组织图上的方框，变成有价可循的止损机制（P10011）。第二类是税务与票据岗位的缺位。浙江省高级人民法院（2017）浙民申3281号裁定中，涉案工程款769734元、含税金100400元，承包人自认2015年1月27日之前已收款57万元、2016年3月10日再收15万元、合计已收72万元，却因未能提供税务发票等证据证明税金损失确已产生，法院对税金部分予以扣除（P10010）。一张发票的缺席，直接蒸发了十万量级的应收权利——票据管理不是财务部门的内勤杂务，而是诉讼攻防的前置弹药库（P10010）。</w:t>
      </w:r>
    </w:p>
    <w:p>
      <w:r>
        <w:rPr>
          <w:rFonts w:ascii="Calibri" w:hAnsi="Calibri" w:eastAsia="微软雅黑"/>
          <w:b w:val="0"/>
          <w:i w:val="0"/>
          <w:sz w:val="22"/>
        </w:rPr>
        <w:t>第三类是现场商务岗位的缺位。湖南省凤凰县人民法院（2018）湘3123民初897号判决中，砌堡坎工程仅口头约定全包每立方米280元，完工按790多立方米结算、支付4万元后尚欠182415.2元，诉讼中各方对合同相对方各执一词（P10013）；广东省吴川市人民法院（2014）湛吴法民一初字第309号判决中，脚手架租金结算246254元、已付146254元、尚欠100000元，付款方却以对方未开具225万元劳务费发票为由拒付（P10014）；广东省佛山市高明区人民法院（2012）佛明法民一初字第797号判决中，勾土工程欠款62100元，双方直到2011年9月14日才补签付款协议仍涉诉（P10018）；福建省德化县人民法院（2013）德民初字第2869号裁定以「本案事实无法查清」由原告撤诉，案件受理费3914元减半收取1957元（P10015）。第四类是档案与凭证岗位的缺位。浙江省温州市中级人民法院（2010）浙温民终字第1640号判决中，业主已付工程款455000元并由承包人出具2006年1月27日落款的收条，此后围绕收条签名真伪经历多轮笔迹鉴定、诉讼拉锯经年（P10021）。第五类是结算与售后岗位的缺位。荣成市人民法院（2010）荣崖民初字第443号判决中，29号、31号住宅楼工程2008年6月4日决算总价5847961.15元，此前累计支付3698000元（P10034）；原告主张欠付1469961.15元及违约金187143.88元，合同约定留存5%保修金、保修期24个月，被告则反诉已花维修费145585.88元、另有待修费用149034.40元、合计主张294620.28元（P10034）。第六类是治理岗位的缺位。宁波市镇海区人民法院（2021）浙0211执异62号之一执行裁定显示，装饰工程企业禧诚公司2011年5月设立、认缴注册资本50万元，股东朱斌持股90％、浦方方持股10％，2021年4月法定代表人变更为朱建华，公司无财产可供执行后，申请执行人转而申请追加股东为被执行人（P10019）。</w:t>
      </w:r>
    </w:p>
    <w:p>
      <w:r>
        <w:rPr>
          <w:rFonts w:ascii="Calibri" w:hAnsi="Calibri" w:eastAsia="微软雅黑"/>
          <w:b w:val="0"/>
          <w:i w:val="0"/>
          <w:sz w:val="22"/>
        </w:rPr>
        <w:t>把判例损耗折算成人才预算，可以按三步走。第一步定暴露面：统计企业自身及主要分包商近年的涉诉类型，与前述六类缺位对号入座，本节的案例库提供了对号的样板——从千万量级的全线失守（P10011），到十万量级的税金扣除（P10010），再到以受理费3914元减半收取1957元了结的「事实无法查清」（P10015），每一档损失都有真实判例背书，不需要任何虚构的放大。第二步定岗位：按上一节的对照表把高发争议类型翻译成岗位序列，设计管理、合同商务、税务票据、档案凭证、法务合规、项目公司治理依次排开（P10030）。第三步定预算逻辑：岗位投入的参照系不是人力市场的薪酬牌价，而是企业自身所在档位的判例损失——一家每年都可能面对百万量级结算争议的总包，为合同商务与法务岗位多支付的薪酬，本质是用确定性成本对冲不确定性损失（P10008；P10030）。这套折算不追求会计意义上的精确，它追求的是让人才投入从成本科目变成风险对冲科目，从而在投资决策的语言体系里获得重新定价的机会（P10008；P10009）。</w:t>
      </w:r>
    </w:p>
    <w:p>
      <w:r>
        <w:rPr>
          <w:rFonts w:ascii="Calibri" w:hAnsi="Calibri" w:eastAsia="微软雅黑"/>
          <w:b w:val="0"/>
          <w:i w:val="0"/>
          <w:sz w:val="22"/>
        </w:rPr>
        <w:t>所以呢？把六类缺位与上一节的争议目录对齐，人才配置的优先级序列自然浮出：设计管理（图纸与合同同源）优先，合同商务（书面化、单价、结算单）次之，税务票据（发票与请款凭证）第三，档案凭证（收条、鉴定、台账）第四，法务合规（联合体、停工索赔、调差）第五，项目公司治理（股权、责任穿透）第六（P10030；P10011；P10010；P10013；P10014；P10018；P10015；P10021；P10034；P10019）。对四川院这类设计院系总承包商，前两类岗位本是基因优势，判例地图给出的真正提示是后四类——设计院最容易在票据、档案、法务与项目公司治理上留下裸露面，而纠纷体量证明这些裸露面处处有价（P10008；P10030）。买方在与任何总承包商谈判时，最有穿透力的问题之一不是「你们有多少人」，而是「过去几年你们的项目进入诉讼或仲裁的有几起、每一起暴露的岗位缺口事后补了没有」——能把这个问题答清楚的企业，人才体系才算真正闭环；答不清楚的企业，其人才故事无论多动听，都应按未经验证处理（P10008；P10009）。同样值得记录的是这一方法的自限：判例只能看见失败，看不见成功——没有涉诉的项目可能得益于人才配置，也可能仅仅是运气，因此判例账本永远只是人才评估的下半卷，上半卷仍要回到编制、证书与访谈中去补齐（P10008）。把它当作测谎仪而非计分板，是用好这一节的边界。</w:t>
      </w:r>
    </w:p>
    <w:p>
      <w:pPr>
        <w:pStyle w:val="Heading2"/>
      </w:pPr>
      <w:r>
        <w:t>本章小结与盲区</w:t>
      </w:r>
    </w:p>
    <w:p>
      <w:r>
        <w:rPr>
          <w:rFonts w:ascii="Calibri" w:hAnsi="Calibri" w:eastAsia="微软雅黑"/>
          <w:b w:val="0"/>
          <w:i w:val="0"/>
          <w:sz w:val="22"/>
        </w:rPr>
        <w:t>本章在证据许可的边界内完成了三件事：确认了集团信用背书的存在与上市公司披露颗粒度的天花板（P10005）；用成都院、北京院的博士后机制与湖南的大师参评样本，拼出了同集团、同行业高端人才竞争的制度坐标（P10001；P10002；P10003；P10004；P10007）；用专家名录的市场定价、组织教科书的标准答案与判例文书的岗位归档，给出了人才画像标尺、组织诊断问卷与配置优先级（P10000；P10027；P10030；P10008）。贯穿全章的推演逻辑始终是买方视角的：人才是总承包商最难伪造的资产，而四川院恰恰在这一维度上公开信息最薄，因此本章把重心放在可复用的核验框架——省级人员资质查询通道、博士后平台对标四问、专家画像五要素、组织诊断六问、判例六类岗位缺口——供读者在尽调中直接取用（P10006；P10001；P10000；P10027；P10011）。五组工具的使用顺序也有讲究：先用省级通道数清持证人员的存量，再用博士后四问测高层次人才的流量，然后用画像五要素比对关键岗位人选，接着用组织六问检验制度落地，最后用判例六类缺口反向核对自身项目的暴露面——从存量到流量、从个体到制度、从制度到风险，一轮走完即可形成对一家总承包商人才体系的立体判断（P10006；P10001；P10000；P10027；P10008）。这套框架本身也符合行业研究方法论中把研究框架当模板、当地图、当培训材料、当案例集的四重用法（P10033）。在红桃皇后式的竞争跑道上，兄弟院的制度化投入与外脑市场的明码标价都提示人才赛道正在加速（P10024；P10001；P10000）；对信息最薄的四川院，跑得快不快无法从公开证据判定，但读者至少可以按本章框架去测它的配速。</w:t>
      </w:r>
    </w:p>
    <w:p>
      <w:r>
        <w:rPr>
          <w:rFonts w:ascii="Calibri" w:hAnsi="Calibri" w:eastAsia="微软雅黑"/>
          <w:b w:val="0"/>
          <w:i w:val="0"/>
          <w:sz w:val="22"/>
        </w:rPr>
        <w:t>使用本章时还建议遵守三条阅读纪律。第一条，分清主体：凡出现成都院、北京院、中冶长天、中国电建的地方，均为对标样本或集团层证据，不构成四川院的事实陈述，本章在每一处都做了显式标注（P10001；P10002；P10003；P10004；P10005；P10007）。第二条，分清层次：判例与名录刻画的是行业的能力基线与缺口地图，它能告诉读者总承包世界缺什么人，不能告诉读者四川院有什么人（P10000；P10008）。第三条，分清用途：四问、六问、六类缺口是尽调工具而非评分表，工具的价值在于把访谈从寒暄逼向可验证的事实，任何一问答不上来都应当触发追问而不是扣分了事（P10001；P10027）。守住了这三条，本章的空白就不再是缺陷，而是读者行动清单的第一页。</w:t>
      </w:r>
    </w:p>
    <w:p>
      <w:r>
        <w:rPr>
          <w:rFonts w:ascii="Calibri" w:hAnsi="Calibri" w:eastAsia="微软雅黑"/>
          <w:b w:val="0"/>
          <w:i w:val="0"/>
          <w:sz w:val="22"/>
        </w:rPr>
        <w:t>盲区与不确定之处，如实声明如下。</w:t>
      </w:r>
    </w:p>
    <w:p>
      <w:r>
        <w:rPr>
          <w:rFonts w:ascii="Calibri" w:hAnsi="Calibri" w:eastAsia="微软雅黑"/>
          <w:b w:val="0"/>
          <w:i w:val="0"/>
          <w:sz w:val="22"/>
        </w:rPr>
        <w:t>其一，主体数据零收录：四川院自身的人员规模、专业结构、注册执业人员数量、资质证书清单（等级、范围、有效期），在本章弹药库的全部命中源中均无记载，本章所有关于「人员规模」的判断都无法量化，只能给出对标框架与核验通道；读者不应将兄弟院数据、行业数据误读为四川院数据。</w:t>
      </w:r>
    </w:p>
    <w:p>
      <w:r>
        <w:rPr>
          <w:rFonts w:ascii="Calibri" w:hAnsi="Calibri" w:eastAsia="微软雅黑"/>
          <w:b w:val="0"/>
          <w:i w:val="0"/>
          <w:sz w:val="22"/>
        </w:rPr>
        <w:t>其二，兄弟院外推的主体差异：成都院的75年表述来自省人社厅慰问新闻语境，非工商沿革核验（P10001）；成都院与北京院是被检索工程标注的兄弟院样本，其博士后平台强度、政府关系界面不能直接等同于四川院的配置（P10001；P10002；P10003；P10004）。</w:t>
      </w:r>
    </w:p>
    <w:p>
      <w:r>
        <w:rPr>
          <w:rFonts w:ascii="Calibri" w:hAnsi="Calibri" w:eastAsia="微软雅黑"/>
          <w:b w:val="0"/>
          <w:i w:val="0"/>
          <w:sz w:val="22"/>
        </w:rPr>
        <w:t>其三，塔尖层级无证据：弹药库内未收录四川院专家参评全国工程勘察设计大师、出任首席科学家或可比行业角色的任何记录，属于证据空白而非能力否定（P10007）。</w:t>
      </w:r>
    </w:p>
    <w:p>
      <w:r>
        <w:rPr>
          <w:rFonts w:ascii="Calibri" w:hAnsi="Calibri" w:eastAsia="微软雅黑"/>
          <w:b w:val="0"/>
          <w:i w:val="0"/>
          <w:sz w:val="22"/>
        </w:rPr>
        <w:t>其四，学术对标框架不可读：两篇电力设计院EPC主题文献为CAJ二进制，正文无法提取，成熟度评价指标体系未能引入本章对比（P10016；P10017）。</w:t>
      </w:r>
    </w:p>
    <w:p>
      <w:r>
        <w:rPr>
          <w:rFonts w:ascii="Calibri" w:hAnsi="Calibri" w:eastAsia="微软雅黑"/>
          <w:b w:val="0"/>
          <w:i w:val="0"/>
          <w:sz w:val="22"/>
        </w:rPr>
        <w:t>其五，判例口径风险：2021年EPC相关裁判文书检索量骤降至324篇、2018年亦低于2017年，应理解为文书公开口径变化，本章所有基于年际数量的倍数计算仅作量级参照，不构成趋势断言（P10019；P10013；P10010）。</w:t>
      </w:r>
    </w:p>
    <w:p>
      <w:r>
        <w:rPr>
          <w:rFonts w:ascii="Calibri" w:hAnsi="Calibri" w:eastAsia="微软雅黑"/>
          <w:b w:val="0"/>
          <w:i w:val="0"/>
          <w:sz w:val="22"/>
        </w:rPr>
        <w:t>其六，省级核验通道的单点性：人员资质公共查询仅收录河南省样本，四川院注册地与主要市场对应的省级入口未在检索域出现，通道的地域可用性待验证（P10006）。</w:t>
      </w:r>
    </w:p>
    <w:p>
      <w:r>
        <w:rPr>
          <w:rFonts w:ascii="Calibri" w:hAnsi="Calibri" w:eastAsia="微软雅黑"/>
          <w:b w:val="0"/>
          <w:i w:val="0"/>
          <w:sz w:val="22"/>
        </w:rPr>
        <w:t>其七，噪声与重复收录：弹药库命中源中混入了与本章主题无关的通用智库与课程类源（P10020；P10023；P10025），本章仅从中引用一处竞争理论作为分析框架（P10024）；方法论专著与争议解决专著均存在同一内容的双格式重复收录（P10027；P10028；P10030；P10031），引用时以可读的文本版为准。</w:t>
      </w:r>
    </w:p>
    <w:p>
      <w:r>
        <w:rPr>
          <w:rFonts w:ascii="Calibri" w:hAnsi="Calibri" w:eastAsia="微软雅黑"/>
          <w:b w:val="0"/>
          <w:i w:val="0"/>
          <w:sz w:val="22"/>
        </w:rPr>
        <w:t>---</w:t>
      </w:r>
    </w:p>
    <w:p>
      <w:pPr>
        <w:pStyle w:val="Heading1"/>
      </w:pPr>
      <w:r>
        <w:t>第11章 国际对标：FIDIC 规则与海外市场实践</w:t>
      </w:r>
    </w:p>
    <w:p>
      <w:pPr>
        <w:ind w:left="454"/>
      </w:pPr>
      <w:r>
        <w:rPr>
          <w:rFonts w:ascii="Calibri" w:hAnsi="Calibri" w:eastAsia="微软雅黑"/>
          <w:b w:val="0"/>
          <w:i w:val="0"/>
          <w:color w:val="666666"/>
          <w:sz w:val="22"/>
        </w:rPr>
        <w:t>四川院的 EPC 能力必须放进全球坐标系检验：国际工程总盘子十年间从约1万亿美元收缩至约6000亿美元，规则话语权握于 FIDIC 体系与欧美技术标准，预期增量集中在中东与新能源（P11000）。本章以同行海外实证为镜，为读者标定四川院的对标坐标、差距清单与路径选项。</w:t>
      </w:r>
    </w:p>
    <w:p>
      <w:pPr>
        <w:pStyle w:val="Heading2"/>
      </w:pPr>
      <w:r>
        <w:t>11.1 总量与格局：一个十年收缩的存量战场</w:t>
      </w:r>
    </w:p>
    <w:p>
      <w:r>
        <w:rPr>
          <w:rFonts w:ascii="Calibri" w:hAnsi="Calibri" w:eastAsia="微软雅黑"/>
          <w:b w:val="0"/>
          <w:i w:val="0"/>
          <w:sz w:val="22"/>
        </w:rPr>
        <w:t>全球化理论与实践都指向同一个逻辑：全球化的历史实质上是货物、人员、资金和信息超越国界的流动过程，全球化历经多个阶段（P11007）；而流动的动因是"势能差"——如同水流因高处流向低处而产生流动，货物的流动也是由于势能差的存在（P11007）。中国工程建设能力与海外基建需求之间的势能差，是中国电力企业出海的原动力；长期服务于一线出海业务的实践者在肯尼亚、印尼等市场的探索也印证了这一点（P11007）。但势能差只解释"为什么出去"，不回答"出去能挣多少"。回答后者必须先看清总量：以美国《工程新闻纪录》（ENR）250强国际承包商口径衡量，国际营业额在2013年达到峰值5438亿美元，2014年起进入下滑通道，2021年滑至最低3979亿美元，2022年回升至4285亿美元，但仍比2013年峰值低21.2%（P11000）。ENR250强只是上榜企业的国际营业额，全球总盘子需要推算：源文献以中国数据反推——2013年中国对外承包总营业额为1371亿美元，同年中国入选ENR榜单企业国际营业额为709亿美元，按1371/709×5438的口径放大，2013年全球国际工程市场总规模约10517亿美元；同一算法得出2022年约5631亿美元（P11000）。两个时点相除，十年间总盘子收缩约46%（(10517-5631)÷10517，own_calc，两数10517与5631均见P11000），即从约1万亿美元量级缩到约6000亿美元量级，源文献将逆全球化列为重要原因（P11000）。值得强调的是，这组总量数字的性质是"口径推算"而非官方统计——用中国企业国际营业额占中国对外承包总营业额之比去放大ENR250强总额，隐含"中国企业的出海结构与全球承包商整体结构同构"的假设，假设不成立处就是误差来源处（P11000）；但方向性结论稳健：ENR250强国际营业额从5438亿美元到4285亿美元的收缩本身是硬数据，推算只是把这一收缩映射到全球总盘子（P11000）。对买方的含义非常直白：这不是一个可以坐享行业红利的增量市场，任何"海外再造一个四川院"的叙事，都必须先回答"份额从谁手里抢"；在总盘子缩水近半的市场上，海外扩张的容错率天然低于国内，势能差带来的机会必须用份额转移来实现。</w:t>
      </w:r>
    </w:p>
    <w:p>
      <w:r>
        <w:rPr>
          <w:rFonts w:ascii="Calibri" w:hAnsi="Calibri" w:eastAsia="微软雅黑"/>
          <w:b w:val="0"/>
          <w:i w:val="0"/>
          <w:sz w:val="22"/>
        </w:rPr>
        <w:t>区域结构决定"去哪里"。2022年全球国际工程市场按区域分布为：欧洲26.3%、亚洲（不含中东）19.6%、美国13%、中东11.6%、非洲11.2%、拉美6.4%、澳洲5.9%、加拿大5.6%、加勒比0.3%，发达国家市场与发展中国家市场规模大致一致（P11000）。就单一国别而言，美国一直是全球最大国际工程市场，市场份额接近15%；加拿大和澳大利亚也是国际工程大国，2022年市场份额都超过了5%（P11000）。从时序看，区域霸主三次易位：2010年及以前欧洲一直是全球最大市场，2011-2018年亚洲（不含中东）成为全球最大国际工程市场，2019年至今欧洲重新夺回最大区域市场地位（P11000）。对电力EPC的买方而言，最扎眼的一组数字是：中东、非洲、拉美三个传统发展中主战场2022年合计仅占29.2%（11.6%+11.2%+6.4%，own_calc，三数均见P11000）——"一带一路"叙事下的传统目标市场实际容量不足全球三成，国别选择的优先级排序比战略口号更重要；把团队和资金平铺到多个发展中市场的故事，在区域容量数据面前站不住脚。反过来读这张地图同样有信息量：欧洲以26.3%重居区域第一、美国以接近15%的份额稳居单一国别之首（P11000），说明全球国际工程的主流买方仍是发达经济体的基础设施更新与产业投资；中国企业若只盯着发展中市场的政企订单，等于主动让出近半数的市场机会面，而进入那一半市场所需的合规、税务与本土交付能力，恰恰是中国承包商体系的传统短板——机会面与能力面在区域维度上同样错位。加拿大与澳大利亚的样本则提示第三条路：两国2022年份额均超5%（P11000），属于典型的发达市场中资源型经济体，其对电力与新能源基础设施的支付能力强、法治环境可预期，对中国设计咨询服务而言是政治敏感度较低的练兵场——但ENR口径下的国际工程竞争在那里是欧美承包商的主场，现实进入方式更可能是设计分包与专业服务而非总承包（P11000）。</w:t>
      </w:r>
    </w:p>
    <w:p>
      <w:r>
        <w:rPr>
          <w:rFonts w:ascii="Calibri" w:hAnsi="Calibri" w:eastAsia="微软雅黑"/>
          <w:b w:val="0"/>
          <w:i w:val="0"/>
          <w:sz w:val="22"/>
        </w:rPr>
        <w:t>变化方向比存量更值得下注。相比2013年高峰，2022年ENR250强分地区国际营业额变化为：中东下滑40.1%、亚洲下滑42.7%、非洲下滑22.7%、拉美下滑49.2%，而美国增长13.1%、欧洲略微增长（P11000）。发达国家（欧洲+美国+加拿大）国际营业额占比在2013年为35.6%，2022年发达国家（欧洲+美国+加拿大+澳洲）占比增至50.9%（P11000）——前后口径相差一个澳洲，即便计入这一口径切换，发达市场占比的抬升幅度仍高达15.3个百分点（50.9%-35.6%，own_calc，两数均见P11000；口径差异见本章盲区）。源文献的原文结论值得完整引用：这些数据让我们看到一个很诧异的结果——近年来发展中国家国际工程市场绝对值和占比都大幅萎缩，发达国家国际工程占比大幅上升（P11000）。这推翻了一个流行直觉：中国企业最熟悉的发展中市场恰恰是萎缩最深的市场。投资研究的方法论警示在此同样适用：当转折出现的时候，线性地从历史去总结未来便不成立了，因为看不见未来了，这时候要对整个系统有深入思考，抓住历史的韵脚而不是总结简单的规律重复（P11003）。用2013-2022年的区域惯性去外推下一张市场地图，正是这类线性外推的典型错误；源文献对中东增长的预期，本身就是对惯性外推的一次反例（P11000）。源文献进一步给出方向性判断：如果没有投建营一体化和从工程向服务转型等业务创新，中国工程企业在亚洲（不包括中东）、非洲、欧洲和拉美市场的增幅都会很有限，预计在中东业绩会有一个较大幅度增长（P11000）。</w:t>
      </w:r>
    </w:p>
    <w:p>
      <w:r>
        <w:rPr>
          <w:rFonts w:ascii="Calibri" w:hAnsi="Calibri" w:eastAsia="微软雅黑"/>
          <w:b w:val="0"/>
          <w:i w:val="0"/>
          <w:sz w:val="22"/>
        </w:rPr>
        <w:t>落到四川院与读者的投资判断上，本节给出三条硬约束。第一，市场总盘子在收缩，海外增长必须以份额转移而非行业红利为实现形式，海外收入的波动率会显著高于国内；全球化资格本身也有门槛——全球化从来不是从零开始的，要有一定的资格才能全球化（P11003）。第二，发达市场回暖但准入、合规与标准门槛显著更高，短期难以成为中国电力设计咨询企业的主攻方向，而传统发展中市场又整体缩水，可选面实际在收窄。第三，中东是源文献唯一明确看好的增长区域（P11000），而中东市场恰以业主要求严苛、私人投资EPC项目（IPP模式）占比提升著称（P11018）——最有增量的地方恰恰是最考验FIDIC功力的地方，这为下一节的规则分析埋下伏笔；"增长区域"与"易进入区域"几乎不重叠，机会与能力缺口总是同址出现。买方在评估任何企业的海外战略时，应首先核对其区域配置与上述收缩地图是否匹配：在萎缩区域加注的海外故事，在数据上不成立。还需补一句定义层面的话：投建营一体化不是口号而是收入结构——投资分红、建设利润、运营现金流三段叠加，才能对冲单一施工利润在萎缩市场中被压缩的命运；源文献把它与"从工程向服务转型"并列为出海增幅的两个前提条件（P11000）。</w:t>
      </w:r>
    </w:p>
    <w:p>
      <w:pPr>
        <w:pStyle w:val="Heading2"/>
      </w:pPr>
      <w:r>
        <w:t>11.2 规则之壁：FIDIC 体系下的海外 EPC 生存法则</w:t>
      </w:r>
    </w:p>
    <w:p>
      <w:r>
        <w:rPr>
          <w:rFonts w:ascii="Calibri" w:hAnsi="Calibri" w:eastAsia="微软雅黑"/>
          <w:b w:val="0"/>
          <w:i w:val="0"/>
          <w:sz w:val="22"/>
        </w:rPr>
        <w:t>海外EPC的第一课是认知重构。海外项目的核心对手不是单纯的工程技术，而是合同条款、当地法律、工会势力、环保标准及复杂的利益关系，必须摒弃"国内经验主义"、学会"按规则出牌"；海外项目对合规性要求极高，没有文件批准的动作等同于违规，必须建立"文件即证据"的意识，确保流程合规、留痕完整（P11016）。跨语言、跨文化、跨时区的沟通极易失真，沟通不仅是语言问题，更是文化逻辑和利益诉求的碰撞，需要具备"读人"的能力（P11016）。能力清单上排第一位的是合同与商务解剖能力：吃透合同（特别是FIDIC等国际条款），具备"算账"思维，将技术方案、进度安排、资源投入转化为经济账，并具备索赔与反索赔能力，将风险转化为利润（P11016）。这不是修辞——在国际工程里，索赔管理是利润表的常规科目而非道德问题，不会索赔的总承包商等于把合同价格里隐含的风险补偿金白白让渡给业主；反之，具备索赔与反索赔能力的团队，能把别人眼里的风险变成自己账上的利润（P11016）。与这项硬能力并列的还有跨文化沟通与领导力（包括"三明治沟通法"式的沟通技巧）、风险预判与控局能力（通过"清单化"和"机制化"实现项目可控）、供应链与资源整合能力（整合国内资金、本地人力、第三国技术）（P11016）。这几项能力共同指向一个转变：海外项目经理的本质是一场从"经验驱动"到"规则驱动"、从"现场执行者"向"跨文化控局者"的升级（P11016）。对以技术见长的设计院，这意味着价值创造的重心从图纸质量转向"图纸+合同+关系"的三维组合——图纸再好，算不清合同账、读不懂利益相关方，项目仍然亏损。在"文件重于施工"的语境里，档案不是行政杂务而是索赔弹药库：流程合规、留痕完整的字面要求，翻译成财务语言就是每一张签认单据都是未来的回款凭证（P11016）；国内项目部的资料员职能，在海外项目上应当升级为与商务经理同级的合同证据管理职能（P11016）。</w:t>
      </w:r>
    </w:p>
    <w:p>
      <w:r>
        <w:rPr>
          <w:rFonts w:ascii="Calibri" w:hAnsi="Calibri" w:eastAsia="微软雅黑"/>
          <w:b w:val="0"/>
          <w:i w:val="0"/>
          <w:sz w:val="22"/>
        </w:rPr>
        <w:t>与国内规则的对照最能看清切换成本。国内EPC的核心是以《发包人要求》为导向、造价管控为核心，实现设计、采购、施工深度融合；EPC区别于施工总承包，不仅是按图施工而是"按约实施"，可在满足发包人功能标准的前提下开展设计优化（P11021）。投资管控遵循"估-概-预-决-审"体系，政府投资项目以设计概算为投资红线，概算超估算10%需重新报批；计价模式有固定总价、平米单价、定额、费率下浮、清单、双控共六种（P11021）。合同文本上，国内研读总承包合同（GF-2020-0216）的关键是理解合同文件优先级，且价格清单仅作为变更支付参考、不等同于施工总承包工程量清单（P11021）；采用联合体模式时对外承担连带责任，需在协议中厘清分工、付款开票、风险追偿（P11021）。FIDIC体系下没有"概算红线"这类行政兜底，风险分配由合同条款事前锁定，基准日后强制性法规变化虽可依法调整费用工期，但举证与时限责任都在承包商一侧（P11021）。收尾阶段的国内纪律——严格竣工验收、准确认定竣工日期、按合同时限提交完整结算资料、重大争议尽量在实施阶段化解而非积压至结算（P11021）——在海外同样成立，只是争议化解的裁判从国内评审机制换成了合同约定的争端程序。四川院这类体制内大院的核心能力资产——概算、定额、评审体系——在海外必须翻译成FIDIC语言才能变现；翻译不到位，国内优势会直接变成海外劣势：国内习惯了"超概算重新报批"的再谈判机制，海外固定总价合同里没有第二次报价机会。人才结构也因此不同：行业转型要求企业摆脱传统思维，培养懂设计、造价、法务、财税的复合型EPC管理人才（P11021）——国内的复合是"设计+造价"，海外的复合还须加上"合同+税务+争端"，后三项恰恰是体制内大院课程表里最薄弱的科目（P11021）。</w:t>
      </w:r>
    </w:p>
    <w:p>
      <w:r>
        <w:rPr>
          <w:rFonts w:ascii="Calibri" w:hAnsi="Calibri" w:eastAsia="微软雅黑"/>
          <w:b w:val="0"/>
          <w:i w:val="0"/>
          <w:sz w:val="22"/>
        </w:rPr>
        <w:t>第二重规则壁垒是技术标准。发展中国家普遍采用欧美等发达国家的技术标准，仅架空输电线路设计一项，就有国际电工委员会IEC60826:2003《输电线路结构设计规范》、美国土木工程协会标准ASCE74-2009、ASCE10-97、SCE48-05，以及欧盟规范EN50341:2001等多套体系并存（P11030）。设计是EPC项目的龙头，是设备采购和施工的主要依据，设计的正确、优化与否基本决定了项目的成败，而设计说到底是一个标准问题（P11030）。源文献给出的操作纪律是：设计之前必须向业主搜集和确认当地现行的技术标准和设计条件，同时搜集业主类似项目的设计信息，以了解当地工程的设计习惯、设计风格以及特殊要求，必要时对项目进行实地调查研究，充分了解业主的心理预期和潜在要求（P11030）。源文献同时给出议价路径：随着中国在全球的影响力与日俱增，在与业主进行合同谈判时可以尽力争取采用中国的技术标准，这不仅能给设计、采购和施工带来便利、省去大量标准转换和设计变更工作、加快进度，还会大幅降低工程费用（P11030）。对设计院出身的总承包商，标准转换能力既是成本中心也是议价筹码——这是四川院相对施工企业同行的潜在比较优势：施工企业的设计环节受制于人，设计院却可以在投标阶段就把"中国标准方案"与"欧美标准方案"的价差摆上谈判桌（P11030）。行业里还有一面镜像值得对照：我国是电力基础设施高速发展的国家，拥有十分丰富的输变电工程建设资源和经验；一些电力装备企业在出口装备的同时逐步承接海外电力工程EPC项目，既增加业绩和营业收入、促进自身装备出口，也带动了电力工程建设相关行业发展（P11030）。但电力装备企业有装备制造的天然优势，在工程设计与施工方面的业绩、经验和资源欠缺，必须与项目所在国工程经验丰富的单位合作来规避技术风险（P11030）——装备企业缺设计，设计院缺装备与施工业绩，两者的互补结构正是海外联营体普遍存在的原因，也是四川院筛选合作伙伴时的坐标。</w:t>
      </w:r>
    </w:p>
    <w:p>
      <w:r>
        <w:rPr>
          <w:rFonts w:ascii="Calibri" w:hAnsi="Calibri" w:eastAsia="微软雅黑"/>
          <w:b w:val="0"/>
          <w:i w:val="0"/>
          <w:sz w:val="22"/>
        </w:rPr>
        <w:t>执行层面的教训同样具体，而且代价可以量化。海外EPC项目一般投资额大、建设周期相对较长、管理过程复杂，承接方还要面对国外复杂而又陌生的政治、经济和社会环境，以及海外项目经验和资源的欠缺（P11030）。印尼是最新样本：印尼国家电力公司（PLN）的实际采购由旗下12家区域子公司分头执行，某青岛电缆企业因把招标文件里的"PT PLN Persero"误读为单一主体，中标率仅11%；某济南锅炉厂业务员一年飞雅加达5趟，连项目业主方采购总监的邮箱都没摸到（P11017）。可复用的纠偏动作包括：用海外项目库反查项目编号，穿透式核对"业主总部技术部-区域分公司基建处-当地合作方"三层责任主体，辨别真项目与中介包装的壳项目（P11017）；把握招标公告前6-12个月的黄金窗口，而不是等公告发布才跟进（P11017）。投标阶段的制度化动作是全面开展项目所在国地缘政治、市场环境、施工条件的尽职调查，对业主苛刻要求合理提高风险费比例，从源头规避潜在风险（P11019）。把规则能力落到尽调清单上就是三个问题：团队里有没有专职商务合同岗而不是兼职翻译？有没有成体系的索赔台账？投标风险费是拍脑袋还是有国别数据库支撑？三个问题都答不上来的出海，本质上是在用股东的钱交学费（P11016）（P11019）。买方应把"规则能力"当作可定价的资产：它决定海外项目的风险费水平、索赔回收率与最终净利率，是评估一家设计院能否安全出海的第一指标。项目价值判断的最新行业逻辑同样值得吸收：判断一个海外电力项目是否值得投入，光看投资额太粗糙，2026年的新逻辑是盯住"本地化采购比例"和"融资结构"两个硬指标（P11017）——前者决定属地化成本，后者决定付款节奏与设备来源约束，两者共同锁定项目的真实回报率（P11017）。</w:t>
      </w:r>
    </w:p>
    <w:p>
      <w:pPr>
        <w:pStyle w:val="Heading2"/>
      </w:pPr>
      <w:r>
        <w:t>11.3 同行答卷：电建系、能建系的海外项目实证</w:t>
      </w:r>
    </w:p>
    <w:p>
      <w:r>
        <w:rPr>
          <w:rFonts w:ascii="Calibri" w:hAnsi="Calibri" w:eastAsia="微软雅黑"/>
          <w:b w:val="0"/>
          <w:i w:val="0"/>
          <w:sz w:val="22"/>
        </w:rPr>
        <w:t>中亚是中国电力央企出海的密集落地带，其背景是刚性的供需错配与十余年能源合作传统。2013年"丝绸之路经济带"倡议提出，2023年是"一带一路"倡议提出的十周年，中央企业作为倡议的坚定拥护者和积极践行者，在能源、交通、产业、民生等方面与中亚各国深度合作（P11034）。制度层面的推力同样明确：2023年5月19日习近平总书记在中国-中亚峰会发表主旨讲话，提出携手建设守望相助、共同发展、普遍安全、世代友好的中国-中亚命运共同体，中央企业与中亚各国在新合作中签订新协议（P11034）。对买方而言，这意味着中亚市场的政治背书层级高、合作框架稳定，政策延续性风险低于平均水平——这是区域选择中常被忽略的"制度红利"。传统油气领域，中央企业与合作伙伴共同运营阿克纠宾等众多油气项目，以及中哈原油管道、中哈天然气管道、奇姆肯特炼油厂、亚洲钢管公司等重点合作项目；兵器工业集团北方公司振华石油控股与中国石油合作作业的哈萨克斯坦肯尼斯和贝克塔斯（K&amp;B）油田，原油高峰年产量可达81万吨（P11034）。新能源领域的背景是电力结构失衡：哈萨克斯坦火力发电在全国电力生产中占比超过80%且集中在煤炭资源富集的北部，南部城市电力消费量约占全国的70%，南方供电不足需从北部远距离输送（P11034）。在此缺口上，国家电投投资、中国电建建设的札纳塔斯一期风电项目（位于哈萨克斯坦江布尔州）总装机100兆瓦，2021年6月20日实现全容量并网，累计发电9.27亿千瓦时，满足哈萨克斯坦南部20多万户家庭用电、改善了南部缺电状况，与同容量燃煤电厂相比每年节约标煤10.95万吨、减少二氧化碳排放28.9万吨（P11034）；紧邻场址的札纳塔斯二期100兆瓦项目预计2023年12月并网，每年再增清洁电能3.4亿千瓦时（P11034），一二期合计200兆瓦（own_calc：100+100，基于P11034）。中国电建控股投资的谢列克风电项目列入哈萨克斯坦《2013—2020年替代能源和可再生能源行动计划》并被纳入中哈产能合作重点项目清单，2022年6月实现全容量并网，每年将2.3亿度电力送至负荷中心、为7万户居民提供稳定电力，大大提高阿拉木图州电网供电的可靠性和独立性（P11034）；中国能建EPC总承包的乌兹别克斯坦布哈拉1吉瓦风电项目为中亚单体规模最大，在巴什和赞克尔迪区域分别建设两座500兆瓦风电站，每年向当地电网供电35亿余度、惠及百万居民，是乌兹别克斯坦政府规划的重要民生工程（P11034）。这批项目的共同形态是"投资+EPC+运营"捆绑——发包人同时是股东，单纯施工总承包在海外新能源市场已非主流；买方评估出海标的时应看其是否具备投建营一体化的组织接口。布哈拉项目同时被定位为推动中国大型设备"走出去"的范例（P11034）——在中亚，EPC的功能不止于工程收入本身，还充当中国装备出口的通道；对设计院而言，这意味着其设计选型权的每一个技术决定都自带产业链拉动效应，是向集团与金融方争取资源时的谈判筹码（P11034）。</w:t>
      </w:r>
    </w:p>
    <w:p>
      <w:r>
        <w:rPr>
          <w:rFonts w:ascii="Calibri" w:hAnsi="Calibri" w:eastAsia="微软雅黑"/>
          <w:b w:val="0"/>
          <w:i w:val="0"/>
          <w:sz w:val="22"/>
        </w:rPr>
        <w:t>中东是预期增量最大的区域，也是执行难度最高的考场。中国能建沙特2.0GW哈登光伏EPC项目采用紧密型联营体模式，联营体由国内一流设计院、施工企业及海外平台公司组成，涵盖中外籍员工3500余人（P11018）；其背景是中东地区私人投资EPC项目（IPP模式）占比提升，业主要求严苛、属地政策变动、供应链不稳定大幅增加执行难度，受中东格局变化影响，全球供应链重构、设备采购与人员调配受阻，进一步加大工期与成本压力（P11018）。该项目提炼出的核心策略包括互利共赢、尊重互信、系统思维、六大导向、融合管理、策划先行、精益管理、工期成本、动态平衡、迭代改进（P11018）——其中"互利共赢"被定义为联营体的生存根基：对内实现联营各方股东利益最大化，对外保障业主预期收益、供应商与分包商合同权益，涵盖利益共同体构建、中外协同、资源整合与长期价值追求四个维度（P11018）。跨文化治理的具体机制同样有实证："尊重互信"被落地为对外尊重当地文化习俗与合作伙伴诉求、对内尊重联营各方专业优势与员工价值，以尊重为情感基石、以契约作为制度保障，通过合规经营与平等透明沟通降低跨组织与跨文化协作成本（P11018）。品质证据同样密集：山东电建三公司沙特塔伊巴EPC项目——位于沙特西部、新建装机1800兆瓦的联合循环电站，采用H型燃机、为1组三拖一联合循环加1台燃机单循环，建成后为麦地那及周边地区供电——荣获美国MUSE设计奖金奖，乌兹别克斯坦苏坎达亚EPC项目（位于苏尔汗河州铁尔梅兹市以北12公里处，是解决乌兹别克斯坦电力短缺及能源转型的重要电站之一）、沙特拉斯塔努拉EPC项目（为沙特阿美拉斯塔努拉炼油厂配套的石油炼化废水处理项目，对改善当地水环境、推动绿色低碳发展具有意义）荣获银奖（P11025），该奖项由美国国际奖项协会（IAA）于2015年创建（P11025）；中企以EPC总承包模式打造的迪拜哈斯彦电站全年可用率达99%以上、远超合同要求，成为"一带一路"互利共赢的标杆（P11019）。同时应当如实指出：奖项与可用率证明的是交付品质的上限，而非盈利能力的证明——中东项目的高门槛同样体现在成本端，源文献明确列出了供应链重构、设备采购与人员调配受阻带来的工期与成本压力（P11018）。对买方的启示是：中东市场的进入门票是联营体组织能力与跨文化治理，而非单纯的造价优势。</w:t>
      </w:r>
    </w:p>
    <w:p>
      <w:r>
        <w:rPr>
          <w:rFonts w:ascii="Calibri" w:hAnsi="Calibri" w:eastAsia="微软雅黑"/>
          <w:b w:val="0"/>
          <w:i w:val="0"/>
          <w:sz w:val="22"/>
        </w:rPr>
        <w:t>东南亚的印尼是当下最热的电力EPC市场之一，也是观察"规则如何分配利益"的最佳样本。2026年一季度，印尼国家电力公司（PLN）公布新一轮投资计划，未来三年追加4.7GW煤电+燃气调峰机组，其中32%的EPC总承包与设备供应份额明确向中资企业开放；"山东公司印尼电厂项目"在工程圈搜索量同比暴涨217%，山东已有7家能源装备企业完成印尼本地注册、3个项目进入环评公示阶段、2个已签初步技术协议；仅2026年已收录的印尼拟建电厂项目就达187个（P11017）。但利益分配格局远比"拿下大单"复杂：中项网跟踪2025年印尼落地的14个电厂项目发现，总包方（中电工程、上海电气等）自主采购设备占比仅39%，PLN直属采购集中于主变、GIS等核心设备、占采购额52%，而设计院（如PT Virama Karya）对辅机、控制系统有强推荐权（P11017）；2026年生效的电厂项目中76%的技术选型由PLN下属"Center for Power Plant Engineering"主导，但合同签署权在区域分公司财务总监手中（P11017）。这意味着进入印尼供应链必须同步对接总包方、业主直属采购与设计院三方，任何单线关系都不足以锁定订单（P11017）。对设备与设计服务商，这组比例还揭示了一个反直觉事实：总包方名义上是甲方，但其可自主分配的采购盘子不足四成（39%）（P11017）——把全部资源押注在"中标总包"单一通道上的市场策略，在印尼的结构里天然容量有限；反之，业主侧技术选型主导权（76%）与设计院推荐权构成了两条更细但更稳定的进入通道（P11017）。决策人画像同样被数据校正：技术选型虽由业主工程中心主导，但真正影响设备选型的是本地合作方的首席工程师，邮件只发给"Procurement Manager"往往石沉大海（P11017）——海外市场开发的颗粒度必须细到岗位与个人，组织级的关系账户代替不了项目级的钥匙人（P11017）。</w:t>
      </w:r>
    </w:p>
    <w:p>
      <w:r>
        <w:rPr>
          <w:rFonts w:ascii="Calibri" w:hAnsi="Calibri" w:eastAsia="微软雅黑"/>
          <w:b w:val="0"/>
          <w:i w:val="0"/>
          <w:sz w:val="22"/>
        </w:rPr>
        <w:t>融资结构直接改写采购与本地化规则：获亚投行（AIIB）贷款的项目本地化采购要求≥45%，山东企业可借力印尼合资工厂；获中国进出口银行支持的项目设备国产化率超80%，但付款周期拉长至24个月（P11017）。从这组数字可以读出三层结构：其一，海外电力EPC的设备选型话语权分散在总包方、业主直属采购与设计院三方，设计院身份是切入供应链影响力的独立通道——这恰是四川院的体制资产，不必挤总包独木桥也能进入利益链；其二，中国金融支持附带国产化与账期代价，24个月的付款周期意味着垫资成本必须计入报价模型（P11017）；其三，本地化采购门槛意味着属地合作从可选项变为准入项（P11017）。与之配套的通行采购打法是"分类+属地化"模型：A类核心设备国内集采、B类辅助设备国际招标、C类低值材料就地采购，匹配设计与施工进度，并建立多级计划体系与动态偏差分析、分级预警（P11019）。精细化管理的体系化表述是：以系统化、标准化、数据化手段穿透传统管理盲区，构建覆盖项目开发、执行、收尾、移交运营的全流程管控框架，通过前期深度策划、中期动态监控、后期无缝衔接，让每一个环节都有标准、有跟踪、有保障（P11019）——落到海外电力EPC上，就是把融资条款、采购比例、本地化门槛全部数据化进入项目主数据表；数据不进表，规则就只是墙上的制度。买方复盘任何海外电力EPC标的时，应先画出这张"融资-采购-本地化"的利益地图，再谈订单金额；看不懂利益地图的订单，中标即是风险的开始。</w:t>
      </w:r>
    </w:p>
    <w:p>
      <w:pPr>
        <w:pStyle w:val="Heading2"/>
      </w:pPr>
      <w:r>
        <w:t>11.4 组织与人才：本地化、联营体与项目经理</w:t>
      </w:r>
    </w:p>
    <w:p>
      <w:r>
        <w:rPr>
          <w:rFonts w:ascii="Calibri" w:hAnsi="Calibri" w:eastAsia="微软雅黑"/>
          <w:b w:val="0"/>
          <w:i w:val="0"/>
          <w:sz w:val="22"/>
        </w:rPr>
        <w:t>海外扩张的组织成功率低得惊人，这是评估出海逻辑的统计起点：真正出海成功的企业不足20%，多数企业投入巨资、派出精兵强将却业绩惨淡，陷于"全球撒胡椒面"的战略陷阱（P11011）。失败的三大痛点被归纳为战略失焦（在全球两百多个国家间摇摆、希望全面开花，结果资源分散无法形成单点突破，最终"雨露均沾"却哪个市场都做不透）、路径不清（仍依赖外贸、代工等利润微薄的"薅羊毛"模式，在全球本土化浪潮和日益收紧的贸易壁垒下找不到高价值转型方向）、落地困难（团队到了海外两眼一抹黑，下了飞机不知道第一步该做什么，时间和资金在"摸着石头过河"中白白消耗）（P11011）。方法论上的纠偏是聚焦：全球共有233个国家和地区，其中197个是潜在的海外市场，应集中精力于一个或几个重点市场，先做深后做宽，建立并强化组织能力后再向其他市场拓展，这样才具备可扩展性（P11011）。标杆是华为：其非洲区域团队从2003年的100万美金做到2009年的10亿美金，成员从几个人扩展到上千人（P11011）；亲历该过程的华为老兵向国华在华为工作20年后，将打法总结为用"5个1"增长模型跑通国别增长路径，并在东南亚复刻验证——其海外团队超200人、本地化率超90%（P11011）。值得注意的是"出海"在方法论语境下的严格定义：派人到海外设立子公司、招聘当地员工，并可能在当地设立工厂、研发中心甚至收购兼并公司，目的是将自己打造成一家本土企业——在印尼发展成为一家印尼本土公司，在沙特发展成为沙特公司（P11011）。这与"接一个海外项目"有本质区别：前者沉淀组织资产与国别信用，后者只沉淀一次性营收；买方在财报里看到"海外收入"时，应进一步追问其来自哪一种形态。对买方的含义由此可以更精确：评估任何企业的海外战略，第一看国别是否聚焦，第二看本地化率数字——"广撒网+零本地化"的组合在统计上就是失败配方。</w:t>
      </w:r>
    </w:p>
    <w:p>
      <w:r>
        <w:rPr>
          <w:rFonts w:ascii="Calibri" w:hAnsi="Calibri" w:eastAsia="微软雅黑"/>
          <w:b w:val="0"/>
          <w:i w:val="0"/>
          <w:sz w:val="22"/>
        </w:rPr>
        <w:t>人才市场上，海外项目经理已成为稀缺资源，其价格是出海固定成本的显性指标。"一带一路"倡议十多年来，中国企业累计在海外建设超3000个项目，覆盖基建、能源、数字科技等领域，海外项目经理岗位需求激增、成为炙手可热的高薪职业，而全球项目复杂度攀升，既懂技术又精通文化表达的复合型人才稀缺（P11016）；仅2022年中国企业在海外新签合同额就超过2500亿美元（P11016）。与之对应，海外项目经理平均月薪达2.27万元，其中展览展示、公关活动类项目经理薪资涨幅更高，在东南亚国际峰会或中东大型世博会中，具备品牌策划与跨媒体执行能力的项目经理日薪可达2000美元（P11016）。能力修炼的框架是围绕认知重构（规则大于经验、文件重于施工）、能力重构（合同商务解剖、跨文化沟通领导、风险预判控局、供应链整合）、实战心法（控目标与节奏——明确项目边界、严控范围、拒绝"范围蔓延"；控风险与责任——建立"提前量"思维、建立清晰的责任划分机制、不充当"全能兜底侠"）与思维升级四个维度展开（P11016）。从业者还将组织课题列为与个人能力并列的必修课：党建不是形式而是海外凝聚力引擎，属地化要从"用工人"到"育人才"，技术话语权就是议价权（P11016）。一位在非洲工作了十年的项目经理的总结最具现场感：要应对的不仅是工程问题，还有文化冲突、政治风险、供应链断裂，甚至突如其来的公共卫生事件（P11016）。外生冲击的量级可以参考疫情初期：短短几个月内全球确诊病例超过290万例、死亡人数约为13万例，预计美国确诊病例将突破100万例、约占全球的三分之一（P11001）。这类冲击对海外项目的杀伤路径是复合的——人员无法进场、供应链断裂、汇率波动与业主支付延迟同时发生；把极端情形写进合同不可抗力条款与保险方案，是海外与国内项目管理最实质的分野之一（P11016）。人力成本与人才缺口共同构成海外扩张的固定成本项，买方测算海外业务盈亏平衡时必须计入。</w:t>
      </w:r>
    </w:p>
    <w:p>
      <w:r>
        <w:rPr>
          <w:rFonts w:ascii="Calibri" w:hAnsi="Calibri" w:eastAsia="微软雅黑"/>
          <w:b w:val="0"/>
          <w:i w:val="0"/>
          <w:sz w:val="22"/>
        </w:rPr>
        <w:t>联合体是海外高风险项目的主流载体，但其内部交易成本常被低估。紧密型联营模式的四大核心痛点是：理念差异（联营各方总部及派驻人员管理理念分歧大，沟通与试错成本增加、管理质效下降）、协同困境（制度不兼容、权责不清晰、利益有分歧，缺乏有效运转机制导致"合而不融"）、跨文化冲突（各方及中外籍员工在文化、宗教、工作方式上差异，易产生沟通障碍，严重时引发信任危机）、系统履约风险（工期延误、成本超支、合规处罚、安全质量事故频发，各方风险决策与研判认知难以一致会延误处置窗口期）（P11018）。根源之一在于国内设计院与施工企业长期处于分离状态，管理人员沿袭设计总包或施工总包思维下的工作惯性，而EPC总承包更需要以系统性思维统筹全局，要求实现从专业分工到全流程协同的转变，对全周期、全要素管理认知不足就容易产生项目决策偏差与履约风险（P11018）。对冲手段是把"系统思维"落到管理框架上：以联系的观点看待问题，系统推进项目全周期、全要素、全层级、全流程管理，强调全局谋划与统筹施策，避免"头痛医头、脚痛医脚"（P11018）。本土化是另一条铁律：中国的很多商业模式并不能直接复制到东南亚，一定要以创业心态扎根当地做本土化（P11005）；欧美日韩企业一贯看重发达国家市场，全球巨头在东南亚做得并不好、规模也不大，反而留出了市场空白（P11005）；非洲更不是单一市场，而是"54 个国家、54 条时间线、54 种发展阶段的 叠加态"，城市比国家重要、人比流程重要、信任比效率重要（P11031）。本土化的商业价值有跨行业佐证：商流决定物流，当电商市场格局发生巨大变化时，会引起物流行业格局的变化，可能给新玩家带来机会——极兔速递正是抓住结构变化，创下2023年港股市值最大IPO的记录；其投资方ATM Capital用7年时间投出1家港股上市公司、2家美国上市公司、2家独角兽（十亿美元市值）和多 家准独角兽（P11005）。工程与物流业态不同，但底层逻辑一致：本土化的组织密度决定了对当地订单流的捕获能力，光有资本和设备而无人扎根，机会仍然属于别人。反面提醒是孙正义的"时光机"投资理论在东南亚并不成立——把成熟市场模式按时间差平移到新兴市场的假设，会被当地的商流结构与文化逻辑证伪（P11005）。正面样本是H国某化工项目：项目团队将业主目标转化为共同使命，深度对接业主专利技术、优化工艺路线、统筹资源倒排工期实现提前完工，最终赢得业主认可并签署二期合同，让单次履约成为长期合作的战略支点（P11019）——深耕单一业主的复利，是对抗"撒胡椒面"失败率的最优解。</w:t>
      </w:r>
    </w:p>
    <w:p>
      <w:r>
        <w:rPr>
          <w:rFonts w:ascii="Calibri" w:hAnsi="Calibri" w:eastAsia="微软雅黑"/>
          <w:b w:val="0"/>
          <w:i w:val="0"/>
          <w:sz w:val="22"/>
        </w:rPr>
        <w:t>财务纪律是出海的最后一道闸门。卫哲给出的门槛规则值得写进任何出海立项模板：如果国内的同行做7%到8%的利润率，出海就得做10%以上的净利润率——国内越红海的行业反而是海外越蓝海，但前提是净利率必须显著高于国内（P11013）。反例是跨境电商行业的周期教训：2020年8月安克创新成为A股跨境电商第一股、市值突破600多亿人民币（约合百亿美元），引发2021年资本涌入，随后行业遭遇海运价格上涨、物流不稳定与亚马逊封号等多重打击，2022年整个行业坠入低谷（P11013）；而穿越周期的机构做法是嘉御资本自2017年开始布局跨境电商、坚持投资"37°C的恒温动物"——不因市场过热盲目追项目，也不因遇冷停止投资（P11013）。长期主义者甚至给出更激进的空间：在跨境电商领域，市值超过100亿或200亿的出海企业未来至少会出现上百家，而现在只有两三家（P11013）；2023年6月上市的致欧即是在国内不再被看好投资的家具领域做出海外龙头（P11013）。制造业的生存压力表述则更为尖锐：未来的中国制造企业将只剩两种，一种走出去、活下来；一种留在原地、慢慢被替代——东南亚工厂遍地开花，国际客户开始抛弃"唯一供应商"策略，欧洲企业在全球采购中主动避开中国工厂以规避风险，出海已经不是投机的商业机会，而是残酷的生存竞赛（P11009）；空气能热泵企业芬尼科技成立于2002年，拥有国家级制造业单项冠军（每个细分行业仅授予一家）与国家级企业技术中心两项荣誉，其创始人带队亲赴泰国从买地、建厂到团队组建一步步落地（P11009）。从20世纪初中国劳工远赴马来西亚、印度尼西亚和新加坡等地做苦力，到今天中国企业以技术、资本以及跨国公司形态出海，输出物已经彻底改变（P11009）。电力EPC服务暂时未到制造业那样的压力强度，但"唯一供应商策略被抛弃"的采购逻辑同样适用于国际业主对总包与设计服务的选择：没有海外存在的服务商，会先于价格竞争被移出短名单（P11009）。中国品牌出海的三大要素——基于中国供应链优势、储备海归人才、利用互联网（P11013）——在工程语境下可以翻译为：基于中国电力装备供应链优势、储备通晓FIDIC与属地语言的商务人才、利用数字化项目管理平台；三要素齐备之前的高调出海，历史上多以学费收场（P11013）。海外立项的利润率门槛必须高于国内同项目型，否则只是把风险搬家而不是创造价值（P11013）；更长期的判断来自另一种声音：出海是暂时的潮流、可能两三年就消退，全球化才是真正的长期趋势，30年后中国出海企业的年收入可能会占到中国GDP的50%（P11003）。</w:t>
      </w:r>
    </w:p>
    <w:p>
      <w:pPr>
        <w:pStyle w:val="Heading2"/>
      </w:pPr>
      <w:r>
        <w:t>11.5 四川院的对标坐标：位置、差距与路径</w:t>
      </w:r>
    </w:p>
    <w:p>
      <w:r>
        <w:rPr>
          <w:rFonts w:ascii="Calibri" w:hAnsi="Calibri" w:eastAsia="微软雅黑"/>
          <w:b w:val="0"/>
          <w:i w:val="0"/>
          <w:sz w:val="22"/>
        </w:rPr>
        <w:t>国际承包商的身份坐标由ENR榜单定义，省属国企的突破路径已有先例。2026年8月21日，2026年度美国《工程新闻纪录（ENR）》"全球最大250家国际承包商"榜单正式发布，湖南建设投资集团位列全球第141位、在上榜中国企业中排名第45位，连续多年保持上榜、稳居中资企业国际承包商第一梯队（P11022）。其支撑结构是"投资、建设、运营、贸易"四位一体的国际业务发展格局：业务覆盖全球60多个国家和地区、在30多个国家设有境外常驻机构，海外业务涵盖房建、路桥、市政、电力、港口与航道、新能源等领域，先后承建援塞内加尔竞技摔跤场、格鲁吉亚E60高速公路等标志性工程，并形成"产业+工程+贸易"融合发展的特色路径（P11022）；其策略语言是"深耕传统市场、拓展潜力市场、培育新兴赛道"——持续巩固非洲、东南亚等传统优势市场，加快拓展中东、中亚等战略新兴区域，积极拓展绿色基建、数字基建等新兴领域，多个重点国别市场实现滚动发展，2026年海外经营延续稳健态势，以高标准履约和合规经营擦亮"建筑湘军"海外品牌（P11022）；其下一步是锚定"十五五"规划目标，持续提升全球资源配置能力和品牌影响力（P11022）。这个样本对四川院的价值在于参照系而非目标本身：湖南建投以省属国企身份进入中资第一梯队，靠的是投资-建设-运营-贸易的全链条结构与国际营业额的持续入统（P11022）；"滚动发展"是其中最值得抄的关键词——国际业务的价值不在单年订单，而在国别市场的复购率。四川院要在这张榜上获得可见度，前提是国际营业额可统计、可持续；本报告证据库中未见四川院海外项目与国际营业额的直接记录，其当前国际榜单可见度应如实视为空白，但空白不等于无解，参照系的全部意义就在于把填补空白的路径拆解为可执行的要素。</w:t>
      </w:r>
    </w:p>
    <w:p>
      <w:r>
        <w:rPr>
          <w:rFonts w:ascii="Calibri" w:hAnsi="Calibri" w:eastAsia="微软雅黑"/>
          <w:b w:val="0"/>
          <w:i w:val="0"/>
          <w:sz w:val="22"/>
        </w:rPr>
        <w:t>国内坐标显示能力底座已经具备、但角色仍在第二排。在阳泉市矿区独立储能调频电站一期EPC（储能规划容量100MW/100.42MWh、招标人阳泉兴阳储能科技有限公司）投标中，四川电力设计咨询有限责任公司作为中国水利水电第十工程局牵头联合体的成员，投标报价57605万元、列第二名（P11020）。这证明其储能EPC设计能力已可跨省输出并进入主流投标序列，但角色是联合体成员而非牵头方（P11020）。与之配套的国内能力纪律——政府投资项目以设计概算为投资红线、概算超估算10%需重新报批（P11021）——既是其体制内优势的来源，也构成出海时的规则切换成本：海外没有概算评审兜底，只有合同风险分配与索赔管理（P11021）。可迁移的工程纪律同样存在：中标后开展合约规划、分解目标成本，合理选用背靠背、保险、分包等手段分散风险；设计决定项目绝大多数造价、优化工作务必在图纸报审前完成，落实限额设计、通过BIM与多专业协同在不改变发包人要求的前提下控制成本（P11021）；区分"图纸优化"与"发包人要求变更"、索赔把握时效完备证据、全过程分类完整归档商务影像签证资料（P11021）；项目完工开展后评价，沉淀工程量、单方造价等指标，搭建企业造价数据库（P11021）——这套"估-概-预-决-审"的造价纪律恰是海外投标风险费测算的底层数据能力，也是四川院最容易被低估的可迁移资产。对照来看，其短板与长板同样清晰：设计、造价是强项，懂合同、法务、财税的复合型EPC管理人才是行业公认缺口（P11021）；装备制造与施工资源需要通过联营体补足——这正是国内装备企业出海时"反向稀缺"的能力（P11030）。换言之，四川院出海的第一性资源不是资金而是"设计+造价"的复合话语权，资本性投入应作为放大器而非起点。</w:t>
      </w:r>
    </w:p>
    <w:p>
      <w:r>
        <w:rPr>
          <w:rFonts w:ascii="Calibri" w:hAnsi="Calibri" w:eastAsia="微软雅黑"/>
          <w:b w:val="0"/>
          <w:i w:val="0"/>
          <w:sz w:val="22"/>
        </w:rPr>
        <w:t>路径推演须同时列出机会面与反证面，中立呈现。机会面：源文献判断增量来自投建营一体化与从工程向服务转型，中东预计有较大幅度增长（P11000）；印尼PLN未来三年4.7GW新增机组中32%的EPC与设备份额明确向中资开放，且招标公告前6-12个月是切入黄金窗口（P11017）；设计院对辅机、控制系统有强推荐权，是独立的供应链影响力通道（P11017）；海外精细化管理的既定打法是锚定业主需求、推行设计主导的EPC深度融合——以设计为核心统筹成本、质量、安全、工期，实现源头管控，并主动识别工期缩短、标准本地化、ESG责任等隐性需求（P11019）。另一个维度的机会来自能力互补的市场结构：装备企业承接海外电力EPC时普遍存在工程设计与施工的业绩、经验和资源欠缺，需要与经验丰富的单位合作规避技术风险（P11030）——这为纯设计咨询提供了嵌入海外项目的前端接口，即先做别人的设计分包与标准顾问，再谈自己的总包身份；前端接口的现金流小，但积累的是国别信用与合同履历，恰是后续牵头投标的资质原料（P11030）。选择深耕还是铺开，还有一条认知层面的判据：一个经济体的强弱不取决于它引入先进科技的速度，不是越快越好，而是取决于使用先进科技的深度（P11003）——把它借用到国别经营上，强弱不在进入国家的数量，而在使用本地化组织、本地规则、本地关系的深度（P11003）。反证面：发达国家市场占比已升至50.9%而传统发展中市场全面萎缩，逆全球化是重要背景变量（P11000）；出海企业成功率不足20%（P11011）；跨境行业2022年的系统性低谷证明外生风险可以击穿任何线性外推（P11013）。综合两面的中性结论是：四川院若走"设计咨询切入→联合体成员→国别深耕→投建营一体化"的阶梯路径，风险敞口渐进可控，且每一步都有同行实证背书；若直接以牵头总包身份进入中东IPP市场，则须先补齐FIDIC商务团队、属地伙伴与跨文化治理三块短板——哈登项目3500余人联营体的十大策略证明，中东的门票是组织能力而不仅是技术能力（P11018）。</w:t>
      </w:r>
    </w:p>
    <w:p>
      <w:r>
        <w:rPr>
          <w:rFonts w:ascii="Calibri" w:hAnsi="Calibri" w:eastAsia="微软雅黑"/>
          <w:b w:val="0"/>
          <w:i w:val="0"/>
          <w:sz w:val="22"/>
        </w:rPr>
        <w:t>从买方视角，本章的对标结论可以压缩为一个决策矩阵。区域维度：中东（预期增长但规则门槛最高）、中亚（新能源业绩密集且属电力央企主场）、东南亚印尼（份额明确开放但利益分配碎片化）是三个可选主攻方向（P11000）（P11034）（P11017）。能力维度：FIDIC合同与索赔能力、欧美标准转换能力、联营体治理能力是三项硬缺口，其中前两项可由设计院基因转化，第三项必须通过实战获得（P11016）（P11030）（P11018）。财务维度：海外净利率门槛应设在10%以上、显著高于国内同类型项目，否则不值得一搏（P11013）。组织维度：本地化率与国别聚焦度是预测海外业务存活率的最强先行指标（P11011）。执行维度：锚定业主需求要从"合规"走向"共赢"——穿透式挖掘需求、跳出"我以为"思维，除合同明确要求外兼顾当地标准、文化习俗、宗教信仰等因素，通过可视化交底确认技术标准与系统集成细节（P11019）；成本侧则树立全员、全过程、全要素成本管理理念，以项目经理为第一责任人，严格执行"无预算不支出"，建立成本数据分析模型实时跟踪成本归集进度（P11019）。四川院当前的证据位置（国内储能EPC联合体成员、海外直接业绩缺失）意味着，其国际对标的价值不在排名而在路线图：用最小的固定成本（设计咨询与标准服务）换取进入国际利益链的席位，再依据国别深耕的实绩决定是否升级为资本性投入。这一路线的每一步都有可观测的里程碑：设计咨询阶段的里程碑是标准转换与合同履历，联合体阶段的里程碑是牵头方身份，国别深耕阶段的里程碑是本地化率与复购订单，投建营阶段的里程碑是运营性现金流；里程碑不达标就停止加注，是控制海外敞口的唯一纪律化手段。</w:t>
      </w:r>
    </w:p>
    <w:p>
      <w:pPr>
        <w:pStyle w:val="Heading2"/>
      </w:pPr>
      <w:r>
        <w:t>11.6 本章小结与盲区</w:t>
      </w:r>
    </w:p>
    <w:p>
      <w:r>
        <w:rPr>
          <w:rFonts w:ascii="Calibri" w:hAnsi="Calibri" w:eastAsia="微软雅黑"/>
          <w:b w:val="0"/>
          <w:i w:val="0"/>
          <w:sz w:val="22"/>
        </w:rPr>
        <w:t>本章为四川院建立的国际坐标系可压缩为五句话：其一，全球国际工程市场总规模十年间从约1万亿美元收缩到约6000亿美元，2022年ENR250强国际营业额4285亿美元仍比2013年峰值低21.2%（P11000）；其二，区域重心向发达市场迁移——发达国家占比升至50.9%、传统发展中市场全面萎缩，中东是源文献唯一明确看好的增量区域，且增量逻辑绑定投建营一体化与从工程向服务转型（P11000）；其三，FIDIC合同能力、索赔与反索赔、欧美技术标准转换构成三重规则壁垒，国内"概算红线"体系在海外失效，索赔能力决定风险补偿金归谁（P11016）（P11030）（P11021）；其四，电建系、能建系同行已在中亚、中东形成吉瓦级新能源与1800兆瓦级联合循环电站业绩，验证了紧密联营、分类采购与属地化打法（P11034）（P11018）（P11025）（P11019）；其五，四川院当前可见坐标是国内储能EPC联合体成员（100MW/100.42MWh、报价57605万元、列第二名），海外直接业绩证据缺失（P11020）。把这五句话合成一个投资判断：海外市场提供的是"结构性机会+高规则门槛"的组合，四川院的比较优势（设计+造价+储能EPC业绩）与它的证据缺口（海外业绩、FIDIC团队、属地伙伴）同样突出；在证据补齐之前，对其海外业务的任何乐观定价都应打折处理。更准确的表述是：本章给出的是一张可检验的路线图，而非一份可背诵的结论表——每一个判断都附有证据锚点，读者应按图索骥、按锚复核，而非按文取义。</w:t>
      </w:r>
    </w:p>
    <w:p>
      <w:r>
        <w:rPr>
          <w:rFonts w:ascii="Calibri" w:hAnsi="Calibri" w:eastAsia="微软雅黑"/>
          <w:b w:val="0"/>
          <w:i w:val="0"/>
          <w:sz w:val="22"/>
        </w:rPr>
        <w:t>如实声明，本章存在以下证据盲区与不确定处：</w:t>
      </w:r>
    </w:p>
    <w:p>
      <w:pPr>
        <w:pStyle w:val="ListBullet"/>
      </w:pPr>
      <w:r>
        <w:rPr>
          <w:rFonts w:ascii="Calibri" w:hAnsi="Calibri" w:eastAsia="微软雅黑"/>
          <w:b w:val="0"/>
          <w:i w:val="0"/>
          <w:sz w:val="22"/>
        </w:rPr>
        <w:t>四川院海外业绩无直接证据。本章弹药库35条源中，涉及四川院的唯一记录是国内储能EPC投标（P11020）；所有国际对标结论均基于兄弟单位与同行推断，不能替代四川院自身的海外项目台账、国际营业额与在建情况，相关数据本报告无法核实，读者不应将本章推断用作四川院海外经营的事实认定。同样缺失的还有其海外组织形态信息——是否设有境外常驻机构、海外团队规模与本地化率，均无公开证据可考，本报告不作臆测。</w:t>
      </w:r>
    </w:p>
    <w:p>
      <w:pPr>
        <w:pStyle w:val="ListBullet"/>
      </w:pPr>
      <w:r>
        <w:rPr>
          <w:rFonts w:ascii="Calibri" w:hAnsi="Calibri" w:eastAsia="微软雅黑"/>
          <w:b w:val="0"/>
          <w:i w:val="0"/>
          <w:sz w:val="22"/>
        </w:rPr>
        <w:t>FIDIC合同文本细节未入库。本章关于FIDIC的论述来自从业者经验性总结（P11016），银皮书、红皮书等合同体系的具体风险分配条款、索赔时效与争端解决机制原文不在证据库中，相关表述不应被当作合同条款依据使用；涉及具体项目签约时须以合同文本为准。</w:t>
      </w:r>
    </w:p>
    <w:p>
      <w:pPr>
        <w:pStyle w:val="ListBullet"/>
      </w:pPr>
      <w:r>
        <w:rPr>
          <w:rFonts w:ascii="Calibri" w:hAnsi="Calibri" w:eastAsia="微软雅黑"/>
          <w:b w:val="0"/>
          <w:i w:val="0"/>
          <w:sz w:val="22"/>
        </w:rPr>
        <w:t>全球总规模为推算值且源内口径存疑。10517亿美元与5631亿美元系源作者用中国对外承包数据反推，作者自述"找不到统计数据"，且其2013年中国入选企业营业额709亿美元的口径在原文中存在ENR250强与ENR205强的表述不一致（P11000），本章"十年收缩约46%"的结论（(10517-5631)÷10517，own_calc，两数均见P11000）继承该推算的全部误差。</w:t>
      </w:r>
    </w:p>
    <w:p>
      <w:pPr>
        <w:pStyle w:val="ListBullet"/>
      </w:pPr>
      <w:r>
        <w:rPr>
          <w:rFonts w:ascii="Calibri" w:hAnsi="Calibri" w:eastAsia="微软雅黑"/>
          <w:b w:val="0"/>
          <w:i w:val="0"/>
          <w:sz w:val="22"/>
        </w:rPr>
        <w:t>特定企业海外合规表现无法确认。学术检索对首钢国际海外EPC的合规管理实践、安全事故记录、罚款与业务停摆情况均无公开证据（P11023）（P11024），本章因此无法给出海外EPC安全环保处罚的量化案例，安全环保风险只能以行业通用控制要点呈现。</w:t>
      </w:r>
    </w:p>
    <w:p>
      <w:pPr>
        <w:pStyle w:val="ListBullet"/>
      </w:pPr>
      <w:r>
        <w:rPr>
          <w:rFonts w:ascii="Calibri" w:hAnsi="Calibri" w:eastAsia="微软雅黑"/>
          <w:b w:val="0"/>
          <w:i w:val="0"/>
          <w:sz w:val="22"/>
        </w:rPr>
        <w:t>印尼市场数据来自商业平台口径。4.7GW、32%、39%、52%、76%、187个等数字均出自中项网平台内容（P11017），带有平台营销属性、独立性有限，用作市场方向判断尚可，用作投资测算基数前应交叉验证官方信源。</w:t>
      </w:r>
    </w:p>
    <w:p>
      <w:pPr>
        <w:pStyle w:val="ListBullet"/>
      </w:pPr>
      <w:r>
        <w:rPr>
          <w:rFonts w:ascii="Calibri" w:hAnsi="Calibri" w:eastAsia="微软雅黑"/>
          <w:b w:val="0"/>
          <w:i w:val="0"/>
          <w:sz w:val="22"/>
        </w:rPr>
        <w:t>发达国家占比前后口径不一致。2013年为欧洲+美国+加拿大三地口径35.6%，2022年为增加澳洲后的四地口径50.9%（P11000），15.3个百分点的提升幅度（50.9%-35.6%，own_calc，两数均见P11000）含口径切换影响，不宜直接解读为纯粹的市场结构变迁；本章已如实标注，读者引用时应保留该限定。此外，本章涉及的宏观外生冲击例证（全球确诊病例超290万例等）来自2026年采集的疫情回顾性课程（P11001），为当期时点数据而非最新统计，仅用于说明冲击量级。</w:t>
      </w:r>
    </w:p>
    <w:p>
      <w:r>
        <w:rPr>
          <w:rFonts w:ascii="Calibri" w:hAnsi="Calibri" w:eastAsia="微软雅黑"/>
          <w:b w:val="0"/>
          <w:i w:val="0"/>
          <w:sz w:val="22"/>
        </w:rPr>
        <w:t>---</w:t>
      </w:r>
    </w:p>
    <w:p>
      <w:pPr>
        <w:pStyle w:val="Heading1"/>
      </w:pPr>
      <w:r>
        <w:t>第12章 2026-2029 预判：川院的十二个确定性趋势</w:t>
      </w:r>
    </w:p>
    <w:p>
      <w:pPr>
        <w:ind w:left="454"/>
      </w:pPr>
      <w:r>
        <w:rPr>
          <w:rFonts w:ascii="Calibri" w:hAnsi="Calibri" w:eastAsia="微软雅黑"/>
          <w:b w:val="0"/>
          <w:i w:val="0"/>
          <w:color w:val="666666"/>
          <w:sz w:val="22"/>
        </w:rPr>
        <w:t>本章把全书静态证据排上时间轴，对川院给出十二个方向确定性趋势；每条按「基线事实（带锚）—推演逻辑—反证检验」三件套展开，证据未覆盖处如实声明，供买方校准投资与经营决策。</w:t>
      </w:r>
    </w:p>
    <w:p>
      <w:r>
        <w:rPr>
          <w:rFonts w:ascii="Calibri" w:hAnsi="Calibri" w:eastAsia="微软雅黑"/>
          <w:b/>
          <w:i w:val="0"/>
          <w:sz w:val="22"/>
        </w:rPr>
        <w:t>十二个趋势总览</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编号</w:t>
            </w:r>
          </w:p>
        </w:tc>
        <w:tc>
          <w:tcPr>
            <w:tcW w:type="dxa" w:w="2075"/>
            <w:shd w:fill="1F3A5F"/>
          </w:tcPr>
          <w:p>
            <w:r>
              <w:rPr>
                <w:color w:val="FFFFFF"/>
              </w:rPr>
            </w:r>
            <w:r>
              <w:rPr>
                <w:rFonts w:ascii="Calibri" w:hAnsi="Calibri" w:eastAsia="微软雅黑"/>
                <w:b/>
                <w:i w:val="0"/>
                <w:color w:val="FFFFFF"/>
                <w:sz w:val="18"/>
              </w:rPr>
              <w:t>趋势</w:t>
            </w:r>
          </w:p>
        </w:tc>
        <w:tc>
          <w:tcPr>
            <w:tcW w:type="dxa" w:w="2075"/>
            <w:shd w:fill="1F3A5F"/>
          </w:tcPr>
          <w:p>
            <w:r>
              <w:rPr>
                <w:color w:val="FFFFFF"/>
              </w:rPr>
            </w:r>
            <w:r>
              <w:rPr>
                <w:rFonts w:ascii="Calibri" w:hAnsi="Calibri" w:eastAsia="微软雅黑"/>
                <w:b/>
                <w:i w:val="0"/>
                <w:color w:val="FFFFFF"/>
                <w:sz w:val="18"/>
              </w:rPr>
              <w:t>一句话结论</w:t>
            </w:r>
          </w:p>
        </w:tc>
        <w:tc>
          <w:tcPr>
            <w:tcW w:type="dxa" w:w="2075"/>
            <w:shd w:fill="1F3A5F"/>
          </w:tcPr>
          <w:p>
            <w:r>
              <w:rPr>
                <w:color w:val="FFFFFF"/>
              </w:rPr>
            </w:r>
            <w:r>
              <w:rPr>
                <w:rFonts w:ascii="Calibri" w:hAnsi="Calibri" w:eastAsia="微软雅黑"/>
                <w:b/>
                <w:i w:val="0"/>
                <w:color w:val="FFFFFF"/>
                <w:sz w:val="18"/>
              </w:rPr>
              <w:t>主要证据</w:t>
            </w:r>
          </w:p>
        </w:tc>
      </w:tr>
      <w:tr>
        <w:tc>
          <w:tcPr>
            <w:tcW w:type="dxa" w:w="2075"/>
          </w:tcPr>
          <w:p>
            <w:r/>
            <w:r>
              <w:rPr>
                <w:rFonts w:ascii="Calibri" w:hAnsi="Calibri" w:eastAsia="微软雅黑"/>
                <w:b w:val="0"/>
                <w:i w:val="0"/>
                <w:sz w:val="18"/>
              </w:rPr>
              <w:t>趋势一</w:t>
            </w:r>
          </w:p>
        </w:tc>
        <w:tc>
          <w:tcPr>
            <w:tcW w:type="dxa" w:w="2075"/>
          </w:tcPr>
          <w:p>
            <w:r/>
            <w:r>
              <w:rPr>
                <w:rFonts w:ascii="Calibri" w:hAnsi="Calibri" w:eastAsia="微软雅黑"/>
                <w:b w:val="0"/>
                <w:i w:val="0"/>
                <w:sz w:val="18"/>
              </w:rPr>
              <w:t>规划周期重新开局</w:t>
            </w:r>
          </w:p>
        </w:tc>
        <w:tc>
          <w:tcPr>
            <w:tcW w:type="dxa" w:w="2075"/>
          </w:tcPr>
          <w:p>
            <w:r/>
            <w:r>
              <w:rPr>
                <w:rFonts w:ascii="Calibri" w:hAnsi="Calibri" w:eastAsia="微软雅黑"/>
                <w:b w:val="0"/>
                <w:i w:val="0"/>
                <w:sz w:val="18"/>
              </w:rPr>
              <w:t>订单结构随「十五五」重排，方向确定、节奏打折</w:t>
            </w:r>
          </w:p>
        </w:tc>
        <w:tc>
          <w:tcPr>
            <w:tcW w:type="dxa" w:w="2075"/>
          </w:tcPr>
          <w:p>
            <w:r/>
            <w:r>
              <w:rPr>
                <w:rFonts w:ascii="Calibri" w:hAnsi="Calibri" w:eastAsia="微软雅黑"/>
                <w:b w:val="0"/>
                <w:i w:val="0"/>
                <w:sz w:val="18"/>
              </w:rPr>
              <w:t>P12020</w:t>
            </w:r>
          </w:p>
        </w:tc>
      </w:tr>
      <w:tr>
        <w:tc>
          <w:tcPr>
            <w:tcW w:type="dxa" w:w="2075"/>
          </w:tcPr>
          <w:p>
            <w:r/>
            <w:r>
              <w:rPr>
                <w:rFonts w:ascii="Calibri" w:hAnsi="Calibri" w:eastAsia="微软雅黑"/>
                <w:b w:val="0"/>
                <w:i w:val="0"/>
                <w:sz w:val="18"/>
              </w:rPr>
              <w:t>趋势二</w:t>
            </w:r>
          </w:p>
        </w:tc>
        <w:tc>
          <w:tcPr>
            <w:tcW w:type="dxa" w:w="2075"/>
          </w:tcPr>
          <w:p>
            <w:r/>
            <w:r>
              <w:rPr>
                <w:rFonts w:ascii="Calibri" w:hAnsi="Calibri" w:eastAsia="微软雅黑"/>
                <w:b w:val="0"/>
                <w:i w:val="0"/>
                <w:sz w:val="18"/>
              </w:rPr>
              <w:t>政策优先序延续</w:t>
            </w:r>
          </w:p>
        </w:tc>
        <w:tc>
          <w:tcPr>
            <w:tcW w:type="dxa" w:w="2075"/>
          </w:tcPr>
          <w:p>
            <w:r/>
            <w:r>
              <w:rPr>
                <w:rFonts w:ascii="Calibri" w:hAnsi="Calibri" w:eastAsia="微软雅黑"/>
                <w:b w:val="0"/>
                <w:i w:val="0"/>
                <w:sz w:val="18"/>
              </w:rPr>
              <w:t>就业优先之下，电力投资的逆周期属性强化</w:t>
            </w:r>
          </w:p>
        </w:tc>
        <w:tc>
          <w:tcPr>
            <w:tcW w:type="dxa" w:w="2075"/>
          </w:tcPr>
          <w:p>
            <w:r/>
            <w:r>
              <w:rPr>
                <w:rFonts w:ascii="Calibri" w:hAnsi="Calibri" w:eastAsia="微软雅黑"/>
                <w:b w:val="0"/>
                <w:i w:val="0"/>
                <w:sz w:val="18"/>
              </w:rPr>
              <w:t>P12008、P12020</w:t>
            </w:r>
          </w:p>
        </w:tc>
      </w:tr>
      <w:tr>
        <w:tc>
          <w:tcPr>
            <w:tcW w:type="dxa" w:w="2075"/>
          </w:tcPr>
          <w:p>
            <w:r/>
            <w:r>
              <w:rPr>
                <w:rFonts w:ascii="Calibri" w:hAnsi="Calibri" w:eastAsia="微软雅黑"/>
                <w:b w:val="0"/>
                <w:i w:val="0"/>
                <w:sz w:val="18"/>
              </w:rPr>
              <w:t>趋势三</w:t>
            </w:r>
          </w:p>
        </w:tc>
        <w:tc>
          <w:tcPr>
            <w:tcW w:type="dxa" w:w="2075"/>
          </w:tcPr>
          <w:p>
            <w:r/>
            <w:r>
              <w:rPr>
                <w:rFonts w:ascii="Calibri" w:hAnsi="Calibri" w:eastAsia="微软雅黑"/>
                <w:b w:val="0"/>
                <w:i w:val="0"/>
                <w:sz w:val="18"/>
              </w:rPr>
              <w:t>指标考核加码</w:t>
            </w:r>
          </w:p>
        </w:tc>
        <w:tc>
          <w:tcPr>
            <w:tcW w:type="dxa" w:w="2075"/>
          </w:tcPr>
          <w:p>
            <w:r/>
            <w:r>
              <w:rPr>
                <w:rFonts w:ascii="Calibri" w:hAnsi="Calibri" w:eastAsia="微软雅黑"/>
                <w:b w:val="0"/>
                <w:i w:val="0"/>
                <w:sz w:val="18"/>
              </w:rPr>
              <w:t>新型电力系统从规划语言变成订单语言</w:t>
            </w:r>
          </w:p>
        </w:tc>
        <w:tc>
          <w:tcPr>
            <w:tcW w:type="dxa" w:w="2075"/>
          </w:tcPr>
          <w:p>
            <w:r/>
            <w:r>
              <w:rPr>
                <w:rFonts w:ascii="Calibri" w:hAnsi="Calibri" w:eastAsia="微软雅黑"/>
                <w:b w:val="0"/>
                <w:i w:val="0"/>
                <w:sz w:val="18"/>
              </w:rPr>
              <w:t>P12020、P12016</w:t>
            </w:r>
          </w:p>
        </w:tc>
      </w:tr>
      <w:tr>
        <w:tc>
          <w:tcPr>
            <w:tcW w:type="dxa" w:w="2075"/>
          </w:tcPr>
          <w:p>
            <w:r/>
            <w:r>
              <w:rPr>
                <w:rFonts w:ascii="Calibri" w:hAnsi="Calibri" w:eastAsia="微软雅黑"/>
                <w:b w:val="0"/>
                <w:i w:val="0"/>
                <w:sz w:val="18"/>
              </w:rPr>
              <w:t>趋势四</w:t>
            </w:r>
          </w:p>
        </w:tc>
        <w:tc>
          <w:tcPr>
            <w:tcW w:type="dxa" w:w="2075"/>
          </w:tcPr>
          <w:p>
            <w:r/>
            <w:r>
              <w:rPr>
                <w:rFonts w:ascii="Calibri" w:hAnsi="Calibri" w:eastAsia="微软雅黑"/>
                <w:b w:val="0"/>
                <w:i w:val="0"/>
                <w:sz w:val="18"/>
              </w:rPr>
              <w:t>纠纷高位平台期</w:t>
            </w:r>
          </w:p>
        </w:tc>
        <w:tc>
          <w:tcPr>
            <w:tcW w:type="dxa" w:w="2075"/>
          </w:tcPr>
          <w:p>
            <w:r/>
            <w:r>
              <w:rPr>
                <w:rFonts w:ascii="Calibri" w:hAnsi="Calibri" w:eastAsia="微软雅黑"/>
                <w:b w:val="0"/>
                <w:i w:val="0"/>
                <w:sz w:val="18"/>
              </w:rPr>
              <w:t>「诉讼密度」成为总包商的显性能力指标</w:t>
            </w:r>
          </w:p>
        </w:tc>
        <w:tc>
          <w:tcPr>
            <w:tcW w:type="dxa" w:w="2075"/>
          </w:tcPr>
          <w:p>
            <w:r/>
            <w:r>
              <w:rPr>
                <w:rFonts w:ascii="Calibri" w:hAnsi="Calibri" w:eastAsia="微软雅黑"/>
                <w:b w:val="0"/>
                <w:i w:val="0"/>
                <w:sz w:val="18"/>
              </w:rPr>
              <w:t>P12021—P12028、P12031—P12034</w:t>
            </w:r>
          </w:p>
        </w:tc>
      </w:tr>
      <w:tr>
        <w:tc>
          <w:tcPr>
            <w:tcW w:type="dxa" w:w="2075"/>
          </w:tcPr>
          <w:p>
            <w:r/>
            <w:r>
              <w:rPr>
                <w:rFonts w:ascii="Calibri" w:hAnsi="Calibri" w:eastAsia="微软雅黑"/>
                <w:b w:val="0"/>
                <w:i w:val="0"/>
                <w:sz w:val="18"/>
              </w:rPr>
              <w:t>趋势五</w:t>
            </w:r>
          </w:p>
        </w:tc>
        <w:tc>
          <w:tcPr>
            <w:tcW w:type="dxa" w:w="2075"/>
          </w:tcPr>
          <w:p>
            <w:r/>
            <w:r>
              <w:rPr>
                <w:rFonts w:ascii="Calibri" w:hAnsi="Calibri" w:eastAsia="微软雅黑"/>
                <w:b w:val="0"/>
                <w:i w:val="0"/>
                <w:sz w:val="18"/>
              </w:rPr>
              <w:t>成熟度竞争</w:t>
            </w:r>
          </w:p>
        </w:tc>
        <w:tc>
          <w:tcPr>
            <w:tcW w:type="dxa" w:w="2075"/>
          </w:tcPr>
          <w:p>
            <w:r/>
            <w:r>
              <w:rPr>
                <w:rFonts w:ascii="Calibri" w:hAnsi="Calibri" w:eastAsia="微软雅黑"/>
                <w:b w:val="0"/>
                <w:i w:val="0"/>
                <w:sz w:val="18"/>
              </w:rPr>
              <w:t>设计院竞争坐标从设计费转向EPC成熟度</w:t>
            </w:r>
          </w:p>
        </w:tc>
        <w:tc>
          <w:tcPr>
            <w:tcW w:type="dxa" w:w="2075"/>
          </w:tcPr>
          <w:p>
            <w:r/>
            <w:r>
              <w:rPr>
                <w:rFonts w:ascii="Calibri" w:hAnsi="Calibri" w:eastAsia="微软雅黑"/>
                <w:b w:val="0"/>
                <w:i w:val="0"/>
                <w:sz w:val="18"/>
              </w:rPr>
              <w:t>P12029、P12030</w:t>
            </w:r>
          </w:p>
        </w:tc>
      </w:tr>
      <w:tr>
        <w:tc>
          <w:tcPr>
            <w:tcW w:type="dxa" w:w="2075"/>
          </w:tcPr>
          <w:p>
            <w:r/>
            <w:r>
              <w:rPr>
                <w:rFonts w:ascii="Calibri" w:hAnsi="Calibri" w:eastAsia="微软雅黑"/>
                <w:b w:val="0"/>
                <w:i w:val="0"/>
                <w:sz w:val="18"/>
              </w:rPr>
              <w:t>趋势六</w:t>
            </w:r>
          </w:p>
        </w:tc>
        <w:tc>
          <w:tcPr>
            <w:tcW w:type="dxa" w:w="2075"/>
          </w:tcPr>
          <w:p>
            <w:r/>
            <w:r>
              <w:rPr>
                <w:rFonts w:ascii="Calibri" w:hAnsi="Calibri" w:eastAsia="微软雅黑"/>
                <w:b w:val="0"/>
                <w:i w:val="0"/>
                <w:sz w:val="18"/>
              </w:rPr>
              <w:t>AI重构生产力</w:t>
            </w:r>
          </w:p>
        </w:tc>
        <w:tc>
          <w:tcPr>
            <w:tcW w:type="dxa" w:w="2075"/>
          </w:tcPr>
          <w:p>
            <w:r/>
            <w:r>
              <w:rPr>
                <w:rFonts w:ascii="Calibri" w:hAnsi="Calibri" w:eastAsia="微软雅黑"/>
                <w:b w:val="0"/>
                <w:i w:val="0"/>
                <w:sz w:val="18"/>
              </w:rPr>
              <w:t>设计工具链换代加速，技术选型风险同步放大</w:t>
            </w:r>
          </w:p>
        </w:tc>
        <w:tc>
          <w:tcPr>
            <w:tcW w:type="dxa" w:w="2075"/>
          </w:tcPr>
          <w:p>
            <w:r/>
            <w:r>
              <w:rPr>
                <w:rFonts w:ascii="Calibri" w:hAnsi="Calibri" w:eastAsia="微软雅黑"/>
                <w:b w:val="0"/>
                <w:i w:val="0"/>
                <w:sz w:val="18"/>
              </w:rPr>
              <w:t>P12016、P12033</w:t>
            </w:r>
          </w:p>
        </w:tc>
      </w:tr>
      <w:tr>
        <w:tc>
          <w:tcPr>
            <w:tcW w:type="dxa" w:w="2075"/>
          </w:tcPr>
          <w:p>
            <w:r/>
            <w:r>
              <w:rPr>
                <w:rFonts w:ascii="Calibri" w:hAnsi="Calibri" w:eastAsia="微软雅黑"/>
                <w:b w:val="0"/>
                <w:i w:val="0"/>
                <w:sz w:val="18"/>
              </w:rPr>
              <w:t>趋势七</w:t>
            </w:r>
          </w:p>
        </w:tc>
        <w:tc>
          <w:tcPr>
            <w:tcW w:type="dxa" w:w="2075"/>
          </w:tcPr>
          <w:p>
            <w:r/>
            <w:r>
              <w:rPr>
                <w:rFonts w:ascii="Calibri" w:hAnsi="Calibri" w:eastAsia="微软雅黑"/>
                <w:b w:val="0"/>
                <w:i w:val="0"/>
                <w:sz w:val="18"/>
              </w:rPr>
              <w:t>出海退烧、全球化长潮</w:t>
            </w:r>
          </w:p>
        </w:tc>
        <w:tc>
          <w:tcPr>
            <w:tcW w:type="dxa" w:w="2075"/>
          </w:tcPr>
          <w:p>
            <w:r/>
            <w:r>
              <w:rPr>
                <w:rFonts w:ascii="Calibri" w:hAnsi="Calibri" w:eastAsia="微软雅黑"/>
                <w:b w:val="0"/>
                <w:i w:val="0"/>
                <w:sz w:val="18"/>
              </w:rPr>
              <w:t>必须区分「项目出海」与「机构全球化」两种身份</w:t>
            </w:r>
          </w:p>
        </w:tc>
        <w:tc>
          <w:tcPr>
            <w:tcW w:type="dxa" w:w="2075"/>
          </w:tcPr>
          <w:p>
            <w:r/>
            <w:r>
              <w:rPr>
                <w:rFonts w:ascii="Calibri" w:hAnsi="Calibri" w:eastAsia="微软雅黑"/>
                <w:b w:val="0"/>
                <w:i w:val="0"/>
                <w:sz w:val="18"/>
              </w:rPr>
              <w:t>P12000、P12014</w:t>
            </w:r>
          </w:p>
        </w:tc>
      </w:tr>
      <w:tr>
        <w:tc>
          <w:tcPr>
            <w:tcW w:type="dxa" w:w="2075"/>
          </w:tcPr>
          <w:p>
            <w:r/>
            <w:r>
              <w:rPr>
                <w:rFonts w:ascii="Calibri" w:hAnsi="Calibri" w:eastAsia="微软雅黑"/>
                <w:b w:val="0"/>
                <w:i w:val="0"/>
                <w:sz w:val="18"/>
              </w:rPr>
              <w:t>趋势八</w:t>
            </w:r>
          </w:p>
        </w:tc>
        <w:tc>
          <w:tcPr>
            <w:tcW w:type="dxa" w:w="2075"/>
          </w:tcPr>
          <w:p>
            <w:r/>
            <w:r>
              <w:rPr>
                <w:rFonts w:ascii="Calibri" w:hAnsi="Calibri" w:eastAsia="微软雅黑"/>
                <w:b w:val="0"/>
                <w:i w:val="0"/>
                <w:sz w:val="18"/>
              </w:rPr>
              <w:t>先深后宽</w:t>
            </w:r>
          </w:p>
        </w:tc>
        <w:tc>
          <w:tcPr>
            <w:tcW w:type="dxa" w:w="2075"/>
          </w:tcPr>
          <w:p>
            <w:r/>
            <w:r>
              <w:rPr>
                <w:rFonts w:ascii="Calibri" w:hAnsi="Calibri" w:eastAsia="微软雅黑"/>
                <w:b w:val="0"/>
                <w:i w:val="0"/>
                <w:sz w:val="18"/>
              </w:rPr>
              <w:t>本地化率是出海的生死线</w:t>
            </w:r>
          </w:p>
        </w:tc>
        <w:tc>
          <w:tcPr>
            <w:tcW w:type="dxa" w:w="2075"/>
          </w:tcPr>
          <w:p>
            <w:r/>
            <w:r>
              <w:rPr>
                <w:rFonts w:ascii="Calibri" w:hAnsi="Calibri" w:eastAsia="微软雅黑"/>
                <w:b w:val="0"/>
                <w:i w:val="0"/>
                <w:sz w:val="18"/>
              </w:rPr>
              <w:t>P12012</w:t>
            </w:r>
          </w:p>
        </w:tc>
      </w:tr>
      <w:tr>
        <w:tc>
          <w:tcPr>
            <w:tcW w:type="dxa" w:w="2075"/>
          </w:tcPr>
          <w:p>
            <w:r/>
            <w:r>
              <w:rPr>
                <w:rFonts w:ascii="Calibri" w:hAnsi="Calibri" w:eastAsia="微软雅黑"/>
                <w:b w:val="0"/>
                <w:i w:val="0"/>
                <w:sz w:val="18"/>
              </w:rPr>
              <w:t>趋势九</w:t>
            </w:r>
          </w:p>
        </w:tc>
        <w:tc>
          <w:tcPr>
            <w:tcW w:type="dxa" w:w="2075"/>
          </w:tcPr>
          <w:p>
            <w:r/>
            <w:r>
              <w:rPr>
                <w:rFonts w:ascii="Calibri" w:hAnsi="Calibri" w:eastAsia="微软雅黑"/>
                <w:b w:val="0"/>
                <w:i w:val="0"/>
                <w:sz w:val="18"/>
              </w:rPr>
              <w:t>主战场南移</w:t>
            </w:r>
          </w:p>
        </w:tc>
        <w:tc>
          <w:tcPr>
            <w:tcW w:type="dxa" w:w="2075"/>
          </w:tcPr>
          <w:p>
            <w:r/>
            <w:r>
              <w:rPr>
                <w:rFonts w:ascii="Calibri" w:hAnsi="Calibri" w:eastAsia="微软雅黑"/>
                <w:b w:val="0"/>
                <w:i w:val="0"/>
                <w:sz w:val="18"/>
              </w:rPr>
              <w:t>东南亚与非洲要按「城市颗粒度」筛选市场</w:t>
            </w:r>
          </w:p>
        </w:tc>
        <w:tc>
          <w:tcPr>
            <w:tcW w:type="dxa" w:w="2075"/>
          </w:tcPr>
          <w:p>
            <w:r/>
            <w:r>
              <w:rPr>
                <w:rFonts w:ascii="Calibri" w:hAnsi="Calibri" w:eastAsia="微软雅黑"/>
                <w:b w:val="0"/>
                <w:i w:val="0"/>
                <w:sz w:val="18"/>
              </w:rPr>
              <w:t>P12004、P12010、P12018</w:t>
            </w:r>
          </w:p>
        </w:tc>
      </w:tr>
      <w:tr>
        <w:tc>
          <w:tcPr>
            <w:tcW w:type="dxa" w:w="2075"/>
          </w:tcPr>
          <w:p>
            <w:r/>
            <w:r>
              <w:rPr>
                <w:rFonts w:ascii="Calibri" w:hAnsi="Calibri" w:eastAsia="微软雅黑"/>
                <w:b w:val="0"/>
                <w:i w:val="0"/>
                <w:sz w:val="18"/>
              </w:rPr>
              <w:t>趋势十</w:t>
            </w:r>
          </w:p>
        </w:tc>
        <w:tc>
          <w:tcPr>
            <w:tcW w:type="dxa" w:w="2075"/>
          </w:tcPr>
          <w:p>
            <w:r/>
            <w:r>
              <w:rPr>
                <w:rFonts w:ascii="Calibri" w:hAnsi="Calibri" w:eastAsia="微软雅黑"/>
                <w:b w:val="0"/>
                <w:i w:val="0"/>
                <w:sz w:val="18"/>
              </w:rPr>
              <w:t>供应链去唯一化</w:t>
            </w:r>
          </w:p>
        </w:tc>
        <w:tc>
          <w:tcPr>
            <w:tcW w:type="dxa" w:w="2075"/>
          </w:tcPr>
          <w:p>
            <w:r/>
            <w:r>
              <w:rPr>
                <w:rFonts w:ascii="Calibri" w:hAnsi="Calibri" w:eastAsia="微软雅黑"/>
                <w:b w:val="0"/>
                <w:i w:val="0"/>
                <w:sz w:val="18"/>
              </w:rPr>
              <w:t>贸易壁垒倒逼联合体投标与本地成分</w:t>
            </w:r>
          </w:p>
        </w:tc>
        <w:tc>
          <w:tcPr>
            <w:tcW w:type="dxa" w:w="2075"/>
          </w:tcPr>
          <w:p>
            <w:r/>
            <w:r>
              <w:rPr>
                <w:rFonts w:ascii="Calibri" w:hAnsi="Calibri" w:eastAsia="微软雅黑"/>
                <w:b w:val="0"/>
                <w:i w:val="0"/>
                <w:sz w:val="18"/>
              </w:rPr>
              <w:t>P12006、P12010</w:t>
            </w:r>
          </w:p>
        </w:tc>
      </w:tr>
      <w:tr>
        <w:tc>
          <w:tcPr>
            <w:tcW w:type="dxa" w:w="2075"/>
          </w:tcPr>
          <w:p>
            <w:r/>
            <w:r>
              <w:rPr>
                <w:rFonts w:ascii="Calibri" w:hAnsi="Calibri" w:eastAsia="微软雅黑"/>
                <w:b w:val="0"/>
                <w:i w:val="0"/>
                <w:sz w:val="18"/>
              </w:rPr>
              <w:t>趋势十一</w:t>
            </w:r>
          </w:p>
        </w:tc>
        <w:tc>
          <w:tcPr>
            <w:tcW w:type="dxa" w:w="2075"/>
          </w:tcPr>
          <w:p>
            <w:r/>
            <w:r>
              <w:rPr>
                <w:rFonts w:ascii="Calibri" w:hAnsi="Calibri" w:eastAsia="微软雅黑"/>
                <w:b w:val="0"/>
                <w:i w:val="0"/>
                <w:sz w:val="18"/>
              </w:rPr>
              <w:t>组织机制渗透</w:t>
            </w:r>
          </w:p>
        </w:tc>
        <w:tc>
          <w:tcPr>
            <w:tcW w:type="dxa" w:w="2075"/>
          </w:tcPr>
          <w:p>
            <w:r/>
            <w:r>
              <w:rPr>
                <w:rFonts w:ascii="Calibri" w:hAnsi="Calibri" w:eastAsia="微软雅黑"/>
                <w:b w:val="0"/>
                <w:i w:val="0"/>
                <w:sz w:val="18"/>
              </w:rPr>
              <w:t>合伙人机制进入设计院议程，能力沉淀需长周期</w:t>
            </w:r>
          </w:p>
        </w:tc>
        <w:tc>
          <w:tcPr>
            <w:tcW w:type="dxa" w:w="2075"/>
          </w:tcPr>
          <w:p>
            <w:r/>
            <w:r>
              <w:rPr>
                <w:rFonts w:ascii="Calibri" w:hAnsi="Calibri" w:eastAsia="微软雅黑"/>
                <w:b w:val="0"/>
                <w:i w:val="0"/>
                <w:sz w:val="18"/>
              </w:rPr>
              <w:t>P12010、P12012</w:t>
            </w:r>
          </w:p>
        </w:tc>
      </w:tr>
      <w:tr>
        <w:tc>
          <w:tcPr>
            <w:tcW w:type="dxa" w:w="2075"/>
          </w:tcPr>
          <w:p>
            <w:r/>
            <w:r>
              <w:rPr>
                <w:rFonts w:ascii="Calibri" w:hAnsi="Calibri" w:eastAsia="微软雅黑"/>
                <w:b w:val="0"/>
                <w:i w:val="0"/>
                <w:sz w:val="18"/>
              </w:rPr>
              <w:t>趋势十二</w:t>
            </w:r>
          </w:p>
        </w:tc>
        <w:tc>
          <w:tcPr>
            <w:tcW w:type="dxa" w:w="2075"/>
          </w:tcPr>
          <w:p>
            <w:r/>
            <w:r>
              <w:rPr>
                <w:rFonts w:ascii="Calibri" w:hAnsi="Calibri" w:eastAsia="微软雅黑"/>
                <w:b w:val="0"/>
                <w:i w:val="0"/>
                <w:sz w:val="18"/>
              </w:rPr>
              <w:t>现金流纪律</w:t>
            </w:r>
          </w:p>
        </w:tc>
        <w:tc>
          <w:tcPr>
            <w:tcW w:type="dxa" w:w="2075"/>
          </w:tcPr>
          <w:p>
            <w:r/>
            <w:r>
              <w:rPr>
                <w:rFonts w:ascii="Calibri" w:hAnsi="Calibri" w:eastAsia="微软雅黑"/>
                <w:b w:val="0"/>
                <w:i w:val="0"/>
                <w:sz w:val="18"/>
              </w:rPr>
              <w:t>结算与执行风险已把红线画在台面上</w:t>
            </w:r>
          </w:p>
        </w:tc>
        <w:tc>
          <w:tcPr>
            <w:tcW w:type="dxa" w:w="2075"/>
          </w:tcPr>
          <w:p>
            <w:r/>
            <w:r>
              <w:rPr>
                <w:rFonts w:ascii="Calibri" w:hAnsi="Calibri" w:eastAsia="微软雅黑"/>
                <w:b w:val="0"/>
                <w:i w:val="0"/>
                <w:sz w:val="18"/>
              </w:rPr>
              <w:t>P12023、P12024、P12027、P12032</w:t>
            </w:r>
          </w:p>
        </w:tc>
      </w:tr>
    </w:tbl>
    <w:p>
      <w:pPr>
        <w:pStyle w:val="Heading2"/>
      </w:pPr>
      <w:r>
        <w:t>12.1 政策与周期：规划底盘的三重确定性</w:t>
      </w:r>
    </w:p>
    <w:p>
      <w:r>
        <w:rPr>
          <w:rFonts w:ascii="Calibri" w:hAnsi="Calibri" w:eastAsia="微软雅黑"/>
          <w:b w:val="0"/>
          <w:i w:val="0"/>
          <w:sz w:val="22"/>
        </w:rPr>
        <w:t>未来数年川院（四川电力设计咨询有限责任公司，中国电建四川院）面对的第一层确定性来自政策底盘。这一层不提供爆款叙事，却决定订单池的总量与结构：五年规划重新开局、宏观政策优先序延续、指标考核方向加码，三者叠加构成川院无法选择的外部环境，也构成买方模型里最稳定的自变量。以下三个趋势分别对应规划周期本身、政策工具的优先序、以及指标考核的传导。</w:t>
      </w:r>
    </w:p>
    <w:p>
      <w:pPr>
        <w:pStyle w:val="Heading3"/>
      </w:pPr>
      <w:r>
        <w:t>趋势一：五年规划重新开局，川院订单结构将随「十五五」重排</w:t>
      </w:r>
    </w:p>
    <w:p>
      <w:r>
        <w:rPr>
          <w:rFonts w:ascii="Calibri" w:hAnsi="Calibri" w:eastAsia="微软雅黑"/>
          <w:b/>
          <w:i w:val="0"/>
          <w:sz w:val="22"/>
        </w:rPr>
        <w:t>基线事实。</w:t>
      </w:r>
      <w:r>
        <w:rPr>
          <w:rFonts w:ascii="Calibri" w:hAnsi="Calibri" w:eastAsia="微软雅黑"/>
          <w:b w:val="0"/>
          <w:i w:val="0"/>
          <w:sz w:val="22"/>
        </w:rPr>
        <w:t xml:space="preserve"> 证据库收录的政策研究明确：「十五五」时期（2026-2030年）被定位为实现第二个百年奋斗目标第一阶段任务，也是我国迈向2035年基本实现现代化的关键时期（P12020）；国家发改委及地方相关机构已启动了前期研究工作（P12020）。作为对照，上一份五年规划的《纲要》实施中期评估报告于2023年12月26日提请第十四届全国人民代表大会常务委员会第七次会议审议，由国家发展和改革委员会主任郑栅洁作报告（P12020）。该报告确认国内生产总值（GDP）跨过120万亿元台阶、人均GDP达到世界平均水平（P12020），并从经济发展、创新驱动、民生福祉、绿色生态、安全保障五方面提出了20项主要指标（P12020）；报告同时梳理了《纲要》实施两年多来主要目标指标、重大战略任务、重大工程项目的进展（P12020）。报告对上一周期治理基调的概括也值得原文记录：牢牢把握高质量发展这个首要任务，坚持稳中求进工作总基调，统筹国内国际两个大局、统筹疫情防控和经济社会发展、统筹发展和安全，并有效应对一些国家不断升级的遏制打压、新冠疫情严重冲击、国际地缘政治冲突等各种不确定难预料因素（P12020）。</w:t>
      </w:r>
    </w:p>
    <w:p>
      <w:r>
        <w:rPr>
          <w:rFonts w:ascii="Calibri" w:hAnsi="Calibri" w:eastAsia="微软雅黑"/>
          <w:b/>
          <w:i w:val="0"/>
          <w:sz w:val="22"/>
        </w:rPr>
        <w:t>推演逻辑。</w:t>
      </w:r>
      <w:r>
        <w:rPr>
          <w:rFonts w:ascii="Calibri" w:hAnsi="Calibri" w:eastAsia="微软雅黑"/>
          <w:b w:val="0"/>
          <w:i w:val="0"/>
          <w:sz w:val="22"/>
        </w:rPr>
        <w:t xml:space="preserve"> 电力设计咨询与总承包的需求，本质上是五年规划文本的逐级翻译：总体规划定方向，专项规划定项目，可研与设计先行落地，采购与施工随后展开——设计院恰好站在这条传导链的最上游，也最先感知规划周期的冷暖。前期研究已经启动（P12020），意味着新一轮项目池正在成形；中期评估制度表明规划执行每过两年多就要接受一次全面核查（P12020），这为买方提供了可跟踪的验证节点，而不是只能被动等待年报。对川院的含义分两层：其一，规划开局阶段的设计与咨询需求具备政策刚性，订单的「有无」风险低；其二，订单结构将向规划语言中的创新驱动与绿色生态板块集中（P12020），传统板块的相对份额承压。再往深一层，「统筹发展和安全」进入治理基调（P12020）意味着电力项目评审中的安全冗余、供应链自主与网络安全要求都会变成设计与总包合同里的实体条款——这是设计院新的工作量来源，也是新的责任边界。传导链条的时间结构还决定了设计订单的领先属性：规划课题与可研在前、施工投资兑现在后，设计咨询的景气拐点会先于建筑安装的景气拐点出现；买方若能把川院的在手咨询订单与合同负债当作先行指标来读，就能比盯着竣工数据早半个身位理解周期。所以呢：跟踪川院，第一件事是盯规划前期研究课题清单与后续专项规划目录——那是订单的源头；把单季中标公告当主信号，反而天然滞后一个身位。</w:t>
      </w:r>
    </w:p>
    <w:p>
      <w:r>
        <w:rPr>
          <w:rFonts w:ascii="Calibri" w:hAnsi="Calibri" w:eastAsia="微软雅黑"/>
          <w:b/>
          <w:i w:val="0"/>
          <w:sz w:val="22"/>
        </w:rPr>
        <w:t>反证检验。</w:t>
      </w:r>
      <w:r>
        <w:rPr>
          <w:rFonts w:ascii="Calibri" w:hAnsi="Calibri" w:eastAsia="微软雅黑"/>
          <w:b w:val="0"/>
          <w:i w:val="0"/>
          <w:sz w:val="22"/>
        </w:rPr>
        <w:t xml:space="preserve"> 同一份政策研究给出了冷静的另一半：「十五五」规划将面临世界经济急剧变化、规则剧变、战略定位与实际执行反差等挑战（P12020）。「执行反差」是被研究明确承认的风险；即便在上一周期，官方措辞也只是目标和指标实现情况「基本达到预期进度要求」（P12020），并非全面超额兑现，且报告本身列举的遏制打压、地缘冲突等不确定难预料因素（P12020）都会作用于兑现过程。因此本趋势的确定性边界在于：需求方向确定，兑现节奏与单体项目规模不确定。若外部环境压缩财政空间，规划内项目开工时点后移，设计院会先感受订单延迟、后感受回款压力。买方对「规划红利」应打执行折价，并借用中期评估式的节点（每两年余一次全面盘账，P12020）做滚动校验，而不是一次性把五年叙事贴现进估值。更稳妥的做法是区分「规划内项目」与「规划外项目」分别建模：前者给方向确定性、留时点不确定性；后者完全交给商业化判断——两者混在一起的估值，既高估了政策的兑现力，也低估了市场的调节力。上一周期「新发展理念引领发展迈上新台阶，构建新发展格局迈出重要步伐，推动高质量发展取得新突破」（P12020）的渐进式措辞本身就是提醒：规划红利从来是分批兑现的，不是一次性到账。</w:t>
      </w:r>
    </w:p>
    <w:p>
      <w:r>
        <w:rPr>
          <w:rFonts w:ascii="Calibri" w:hAnsi="Calibri" w:eastAsia="微软雅黑"/>
          <w:b/>
          <w:i w:val="0"/>
          <w:sz w:val="22"/>
        </w:rPr>
        <w:t>纵深补证：评估节点是法定动作，前期研究有产品清单。</w:t>
      </w:r>
      <w:r>
        <w:rPr>
          <w:rFonts w:ascii="Calibri" w:hAnsi="Calibri" w:eastAsia="微软雅黑"/>
          <w:b w:val="0"/>
          <w:i w:val="0"/>
          <w:sz w:val="22"/>
        </w:rPr>
        <w:t xml:space="preserve"> 中期评估的制度来源值得单独锚定：《评估报告》系「根据《中华人民共和国各级人民代表大会常务委员会监督法》规定，国家发展改革委会同各有关方面对《纲要》实施情况进行全面评估」的产物（P12020）——换言之，「两年半一次全面盘账」不是部门惯例而是法定程序，其输出须提交全国人民代表大会常务委员会审议（P12020），节点的刚性高于一般政策吹风。对买方，这把「跟踪验证节点」从经验做法升级为法定日历：可预期每轮规划中段都会出现一次系统性重述与加码（评估报告同时「提出了进一步推动《纲要》实施的主要举措」，P12020），订单与投资节奏可能在评估前后出现政策性脉冲。同样值得入账的是前期研究的产品形态：相关综合报道已覆盖国家发改委「十五五」规划研究重点及方向、部分地区前期研究课题汇总、「十五五」时期新兴产业发展趋势研判三类文本（P12020）——研究重点定选题、地方课题定落点、新兴产业研判定赛道，三件套合起来就是设计院跟踪规划红利的操作目录：川院所在省份的前期研究课题清单一旦公布，等于提前公开了未来五年省内重大工程的候选名单，投标准备应从这份清单开始，而不是等可研批复之后才进场。最后，「十四五」前半程「极不寻常、极不平凡」（P12020）的官方措辞提醒买方：上一轮周期的执行环境已属高压，本趋势要求的「执行折价」不是保守偏好，而是对已发生事实的对称反应。</w:t>
      </w:r>
    </w:p>
    <w:p>
      <w:pPr>
        <w:pStyle w:val="Heading3"/>
      </w:pPr>
      <w:r>
        <w:t>趋势二：就业优先与逆周期托底延续，电力投资的「政策工具」属性强化</w:t>
      </w:r>
    </w:p>
    <w:p>
      <w:r>
        <w:rPr>
          <w:rFonts w:ascii="Calibri" w:hAnsi="Calibri" w:eastAsia="微软雅黑"/>
          <w:b/>
          <w:i w:val="0"/>
          <w:sz w:val="22"/>
        </w:rPr>
        <w:t>基线事实。</w:t>
      </w:r>
      <w:r>
        <w:rPr>
          <w:rFonts w:ascii="Calibri" w:hAnsi="Calibri" w:eastAsia="微软雅黑"/>
          <w:b w:val="0"/>
          <w:i w:val="0"/>
          <w:sz w:val="22"/>
        </w:rPr>
        <w:t xml:space="preserve"> 宏观研究的政策排序给出了清晰的第一性：政策第一个着力点是解决就业问题，且就业主要是青年人就业；经济增长被列为第二位；增长结构位列第三（P12008）。该研究引用的统计显示，根据去年底数据，18至24岁的青年失业率接近20%（P12008）。研究对就业为何是硬约束的论证值得原样记录：青年人的失业涉及两个家庭，因为年轻人的父母以及父母上面各有一代，这是在中国改革开放当中成长起来的两代人，而现在就业的年轻人大部分是独生子，父母对唯一的孩子有很高的要求或期待（P12008）。同时研究强调，上一轮经济增长是「用国家的赤字或者叫国家投入的大规模的钱来托了底，并不是我们的经济自然增长状况」（P12008）；GDP总量坐标则由中期评估给出——跨过120万亿元台阶（P12020）。</w:t>
      </w:r>
    </w:p>
    <w:p>
      <w:r>
        <w:rPr>
          <w:rFonts w:ascii="Calibri" w:hAnsi="Calibri" w:eastAsia="微软雅黑"/>
          <w:b/>
          <w:i w:val="0"/>
          <w:sz w:val="22"/>
        </w:rPr>
        <w:t>推演逻辑。</w:t>
      </w:r>
      <w:r>
        <w:rPr>
          <w:rFonts w:ascii="Calibri" w:hAnsi="Calibri" w:eastAsia="微软雅黑"/>
          <w:b w:val="0"/>
          <w:i w:val="0"/>
          <w:sz w:val="22"/>
        </w:rPr>
        <w:t xml:space="preserve"> 当就业是第一优先、增长依赖国家投入托底（P12008），固定资产投资就是政策首选工具，而电力基建（电网、新能源、配网改造）是固定资产投资盘子里就业带动面宽、产业链带动长的品类。更关键的是，就业约束的特殊性在于它的社会属性：两代人期待系于独生子女一代的就业（P12008），使该目标的刚性高于一般经济目标——政策退出的政治成本高。这意味着川院所处行业的需求存在一条「政策底」：经济越弱，逆周期电力投资越有可能加码；这类需求不完全服从商业回报逻辑，因而波动性低于纯市场化行业。对买方的「所以呢」是：川院的估值弹性不应只看电力需求曲线，更要看财政与就业数据的组合——在18至24岁青年失业率接近20%量级（P12008）未见明显缓解之前，逆周期工具撤出的概率低；反之，就业修复则要重估订单的可持续性。这给出了一个可监测的先行指标，而不是模糊的「政策支持」叙事。操作化的监测组合至少包含三件：政策文件里就业优先表述的位次是否延续、青年就业数据的边际方向、财政投向中基建分量的走势；三者同向恶化时加码逆周期叙事，三者同向改善时开始为「政策底变薄」做预案——这套纪律比任何单点判断都更能保护买方。另外值得注意的是，宏观研究把「增长结构」定义为提高企业附加价值，以应对重新划分的国际分工、国内就业、竞争力与老龄化变化（P12008）——对设计院而言，这正是从卖图纸工时转向卖系统方案的宏观注脚：附加价值高的环节，才是政策愿意持续喂养的环节。</w:t>
      </w:r>
    </w:p>
    <w:p>
      <w:r>
        <w:rPr>
          <w:rFonts w:ascii="Calibri" w:hAnsi="Calibri" w:eastAsia="微软雅黑"/>
          <w:b/>
          <w:i w:val="0"/>
          <w:sz w:val="22"/>
        </w:rPr>
        <w:t>反证检验。</w:t>
      </w:r>
      <w:r>
        <w:rPr>
          <w:rFonts w:ascii="Calibri" w:hAnsi="Calibri" w:eastAsia="微软雅黑"/>
          <w:b w:val="0"/>
          <w:i w:val="0"/>
          <w:sz w:val="22"/>
        </w:rPr>
        <w:t xml:space="preserve"> 托底式增长的内生脆弱性同样写在证据里：靠国家财政大规模投入实现的经济增长「并不代表经济的自然增长状态」（P12008）。若赤字空间收窄或投向切换（例如从基建转向消费或产业补贴），电力投资的政策底会变薄；届时设计院与总包商将同时面对订单收缩与竞争加剧的双重挤压。该宏观研究还给出方法论层面的告诫：研究宏观要「努力跳出你所被情绪影响的那部分，从自己当前的立场或观点中抽离出来，然后尽量把相对长期的政策点给连起来」（P12008）——买方同样不应拿单一年度的政策热度线性外推数年。本趋势确定为「方向」，不为「剂量」：政策底的存在高度可信，政策底的厚度无法从现有证据量化。保守的买方可以在两种情景间做哑铃配置——政策底深厚的情景里，逆周期订单撑住基本盘；政策底变薄的情景里，恰好检验川院有无非政策来源的订单能力；两情景都活下来的企业，才是值得跨周期持有的企业。</w:t>
      </w:r>
    </w:p>
    <w:p>
      <w:r>
        <w:rPr>
          <w:rFonts w:ascii="Calibri" w:hAnsi="Calibri" w:eastAsia="微软雅黑"/>
          <w:b/>
          <w:i w:val="0"/>
          <w:sz w:val="22"/>
        </w:rPr>
        <w:t>纵深补证：政策工具会轮换，优先序的底层不动。</w:t>
      </w:r>
      <w:r>
        <w:rPr>
          <w:rFonts w:ascii="Calibri" w:hAnsi="Calibri" w:eastAsia="微软雅黑"/>
          <w:b w:val="0"/>
          <w:i w:val="0"/>
          <w:sz w:val="22"/>
        </w:rPr>
        <w:t xml:space="preserve"> 同一份宏观研究的开场白即陈列了当期热点政策的观察清单——反垄断、双减、延迟退休等一系列政策工具的延续与更替（P12008）。这对买方的价值在于区分两个层次：工具层（哪些行业政策在发力）年年不同，目标层（就业优先、国家投入托底）却在整个研究框架里保持第一性（P12008）。落到操作上，监测政策底不应追逐每一次工具层新闻，而应盯住目标层的不变量——就业的位次、财政投入的方向、增长结构的定义（P12008）——工具层的热闹只是目标层的实现路径；把注意力耗散在工具层噪声上的投资者，往往在目标层拐点来临时已经没有余力调仓。</w:t>
      </w:r>
    </w:p>
    <w:p>
      <w:pPr>
        <w:pStyle w:val="Heading3"/>
      </w:pPr>
      <w:r>
        <w:t>趋势三：指标考核加码，新型电力系统从规划语言变成订单语言</w:t>
      </w:r>
    </w:p>
    <w:p>
      <w:r>
        <w:rPr>
          <w:rFonts w:ascii="Calibri" w:hAnsi="Calibri" w:eastAsia="微软雅黑"/>
          <w:b/>
          <w:i w:val="0"/>
          <w:sz w:val="22"/>
        </w:rPr>
        <w:t>基线事实。</w:t>
      </w:r>
      <w:r>
        <w:rPr>
          <w:rFonts w:ascii="Calibri" w:hAnsi="Calibri" w:eastAsia="微软雅黑"/>
          <w:b w:val="0"/>
          <w:i w:val="0"/>
          <w:sz w:val="22"/>
        </w:rPr>
        <w:t xml:space="preserve"> 五年规划的指标体系从经济发展、创新驱动、民生福祉、绿色生态、安全保障五方面提出20项主要指标（P12020），创新驱动与绿色生态占据其二；上一周期的目标表述中已包含「生态文明建设实现新进步」的连续承诺（P12020）。技术侧的交叉印证来自投资研究：ARK的年度报告聚焦AI代理、自动驾驶、机器人还有新能源等热点领域，并设独立能源篇章讨论相关赛道，其中包含对小型核能等新兴方向的思考（P12016）。王煜全的判断则提供了一个底层视角：「一个经济体的强弱不取决于它引入先进科技的速度，不是越快越好，而是取决于使用先进科技的深度」（P12000）。</w:t>
      </w:r>
    </w:p>
    <w:p>
      <w:r>
        <w:rPr>
          <w:rFonts w:ascii="Calibri" w:hAnsi="Calibri" w:eastAsia="微软雅黑"/>
          <w:b/>
          <w:i w:val="0"/>
          <w:sz w:val="22"/>
        </w:rPr>
        <w:t>推演逻辑。</w:t>
      </w:r>
      <w:r>
        <w:rPr>
          <w:rFonts w:ascii="Calibri" w:hAnsi="Calibri" w:eastAsia="微软雅黑"/>
          <w:b w:val="0"/>
          <w:i w:val="0"/>
          <w:sz w:val="22"/>
        </w:rPr>
        <w:t xml:space="preserve"> 指标考核是治理体系中最硬的传导机制之一：绿色生态与创新驱动进入20项主要指标（P12020），意味着地方政府的注意力、财政资源与项目审批都会围绕指标完成度重排。落到电力行业，新能源并网与消纳配套、电网智能化与灵活性改造将持续转化为可研、设计与总承包订单——新型电力系统从规划文件里的修辞，变成设计院投标清单里的条目。目标语言的连续性（「生态文明建设实现新进步」从上一周期延续，P12020）说明这不是一次性脉冲而是跨周期趋势，订单转化的时间跨度与耐心资本的要求匹配。对川院而言，能力资产的迁移方向因此明确：从传统电源与输配电设计，向新能源、储能配套、系统智能化设计倾斜。买方的检验标准也随之改变：不看川院「宣布进入」哪些新板块，而看其新板块订单在结构中的实际占比变化，以及是否能沉淀为可复用的设计模块与标准图库。订单语言的具体形态可以分三层观察：最浅层是可研与咨询合同，验证方向判断；中间层是系统设计与设备成套，验证技术整合能力；最深层是EPC总承包合同，验证全链条交付——三层依次变厚、依次更难，买方按此顺序核对川院的合同结构，就能看清它的转型走到了哪一级台阶，也能避免被「战略进入」式的公关措辞误导。</w:t>
      </w:r>
    </w:p>
    <w:p>
      <w:r>
        <w:rPr>
          <w:rFonts w:ascii="Calibri" w:hAnsi="Calibri" w:eastAsia="微软雅黑"/>
          <w:b/>
          <w:i w:val="0"/>
          <w:sz w:val="22"/>
        </w:rPr>
        <w:t>反证检验。</w:t>
      </w:r>
      <w:r>
        <w:rPr>
          <w:rFonts w:ascii="Calibri" w:hAnsi="Calibri" w:eastAsia="微软雅黑"/>
          <w:b w:val="0"/>
          <w:i w:val="0"/>
          <w:sz w:val="22"/>
        </w:rPr>
        <w:t xml:space="preserve"> 其一，指标实现是「基本达到预期进度要求」（P12020），不是超额兑现，绿色指标的落地强度存在地区与年度差异，订单转化并非均匀发生。其二，技术路线本身的扰动：ARK式研究框架提醒能源与技术赛道处在颠覆式创新的高频区（P12016），具体技术路线（如小型核能等新兴方向）尚未收敛（P12016），设计院今日押注的技术栈可能在数年内贬值。其三，王煜全的「深度」标准（P12000）反过来是面镜子：设备与概念的堆砌不构成竞争力，真正沉淀为工程转化能力的技术引入才作数。买方应把「新型电力系统」拆成具体订单类型逐一验证，而不是接受整体叙事。一个实用的校验法是要求把「绿色订单」拆成收入动机口径：哪些来自政策强制的合规性需求，哪些来自业主自发的经济性需求——前者随政策节奏波动，后者才具有商业可持续性；两者的比例变化，比板块名称更能说明趋势三的真实成色。</w:t>
      </w:r>
    </w:p>
    <w:p>
      <w:r>
        <w:rPr>
          <w:rFonts w:ascii="Calibri" w:hAnsi="Calibri" w:eastAsia="微软雅黑"/>
          <w:b/>
          <w:i w:val="0"/>
          <w:sz w:val="22"/>
        </w:rPr>
        <w:t>纵深补证：AI供给已触及设计表达本身。</w:t>
      </w:r>
      <w:r>
        <w:rPr>
          <w:rFonts w:ascii="Calibri" w:hAnsi="Calibri" w:eastAsia="微软雅黑"/>
          <w:b w:val="0"/>
          <w:i w:val="0"/>
          <w:sz w:val="22"/>
        </w:rPr>
        <w:t xml:space="preserve"> 趋势三的订单语言转化，正在获得工具层的直接支持：2026年4月的模型上新潮在大语言与多模态主线之外，「同时补齐了语音识别、图像编辑、3D世界生成、翻译等细分领域」（P12033）——其中3D世界生成与图像编辑恰好落在工程设计的表达工具面上：方案渲染、场地三维表达、图纸翻译校核这些原属设计院人力密集环节的工种，已进入模型能力的覆盖射程。这意味着绿色指标驱动的订单（趋势三）与工具革命（趋势六）会在同一家设计院内部交汇：同样一份新能源配套设计合同，用AI辅助三维表达的团队与沿用传统出图流程的团队，其成本与周期差距将被工具代差放大。买方校验时可以把「三维表达是否已进入生产流程」当作比「有无AI战略」更硬的观察点。同期证据中「该学什么、该构建什么、又该跳过什么」的设问式标题（P12033）也提示了工具采用的次序：先做减法（跳过什么），再做加法（构建什么）。</w:t>
      </w:r>
    </w:p>
    <w:p>
      <w:pPr>
        <w:pStyle w:val="Heading2"/>
      </w:pPr>
      <w:r>
        <w:t>12.2 行业与竞争：从设计费到总包能力的迁移</w:t>
      </w:r>
    </w:p>
    <w:p>
      <w:r>
        <w:rPr>
          <w:rFonts w:ascii="Calibri" w:hAnsi="Calibri" w:eastAsia="微软雅黑"/>
          <w:b w:val="0"/>
          <w:i w:val="0"/>
          <w:sz w:val="22"/>
        </w:rPr>
        <w:t>第二个确定性层面发生在行业内部：纠纷密度、成熟度竞争与工具革命，正在改写电力设计院的竞争坐标——从「谁的图纸便宜」迁移到「谁的总包体系更稳、谁的组织更会学习」。这三个趋势互为因果：纠纷压力催生成熟度建设，成熟度建设又必须借助新工具；设计院在「诉讼密度」面前分化一次，在工具革命面前再分化一次——两次分化叠加，就是未来数年行业座次重排的主要变量。</w:t>
      </w:r>
    </w:p>
    <w:p>
      <w:pPr>
        <w:pStyle w:val="Heading3"/>
      </w:pPr>
      <w:r>
        <w:t>趋势四：EPC纠纷进入高位平台期，「诉讼密度」成为总包商的显性能力指标</w:t>
      </w:r>
    </w:p>
    <w:p>
      <w:r>
        <w:rPr>
          <w:rFonts w:ascii="Calibri" w:hAnsi="Calibri" w:eastAsia="微软雅黑"/>
          <w:b/>
          <w:i w:val="0"/>
          <w:sz w:val="22"/>
        </w:rPr>
        <w:t>基线事实。</w:t>
      </w:r>
      <w:r>
        <w:rPr>
          <w:rFonts w:ascii="Calibri" w:hAnsi="Calibri" w:eastAsia="微软雅黑"/>
          <w:b w:val="0"/>
          <w:i w:val="0"/>
          <w:sz w:val="22"/>
        </w:rPr>
        <w:t xml:space="preserve"> 证据库中的裁判文书卷宗给出了EPC相关纠纷的时间序列：2010年148篇（P12034）、2012年216篇（P12031）、2013年2170篇（P12028）、2014年5275篇（P12027）、2015年8654篇（P12025）、2016年10763篇（P12024）、2017年11716篇（P12023）、2018年5754篇（P12026）、2019年41550篇（P12022）、2020年42935篇（P12021）。从2013年到2020年，年度篇数增长近二十倍（42935÷2170，own_calc，源：P12021、P12028）；2019年到2020年的增幅约百分之三（42935÷41550，own_calc，源：P12021、P12022）。案件类型覆盖管辖争议、再审审查、执行追加等多个环节（P12021、P12023、P12032）。纠纷形态的具体样本包括：总承包合同38.1条明确「本工程不允许分包」，铝合金窗工程仍被交给个人施工并引发连带责任争议（P12025）；工程款被层层转手、非法分包与违法分包叠加下的连带清偿主张（P12031）。</w:t>
      </w:r>
    </w:p>
    <w:p>
      <w:r>
        <w:rPr>
          <w:rFonts w:ascii="Calibri" w:hAnsi="Calibri" w:eastAsia="微软雅黑"/>
          <w:b/>
          <w:i w:val="0"/>
          <w:sz w:val="22"/>
        </w:rPr>
        <w:t>推演逻辑。</w:t>
      </w:r>
      <w:r>
        <w:rPr>
          <w:rFonts w:ascii="Calibri" w:hAnsi="Calibri" w:eastAsia="微软雅黑"/>
          <w:b w:val="0"/>
          <w:i w:val="0"/>
          <w:sz w:val="22"/>
        </w:rPr>
        <w:t xml:space="preserve"> 纠纷量是行业规模与模式复杂度的影子：EPC模式把设计、采购、施工压进单一合同责任体，接口越多、争议点越多。篇数在2019—2020年站上四万量级（P12022、P12021），说明纠纷已是行业常态而非尾部事件。对川院的推论是双向的：一方面，总包业务扩张必然伴随法务成本与合规成本的结构性上升，这是做EPC的「学费」，无法绕过；另一方面，「诉讼密度」（单位营收对应的纠纷与争议体量）将成为区分优秀总包商与平庸总包商的显性指标——同样的业务规模下，合同架构、分包管理与证据留痕更严谨的企业，纠纷更少、了结更快。分包链条是重灾区：P12025与P12031的形态（合同明文禁止分包却层层转手）在电力工程同样高发，因为专业分包与劳务分包本就是总包组织的常规动作，合规边界一旦失守就是连带责任的敞口。所以呢：买方评估川院总包能力时，应把法务与合同管理体系当作生产性资产看待，把「无重大纠纷记录」与「纠纷高效了结记录」都纳入尽调清单；对川院自身，法务能力就是投标竞争力。把「诉讼密度」操作化，至少要盘四个台账：合同节点的签认留痕、过程计量的周期闭合、分包商的资质与实名核验、争议事件的分级响应——这四个台账平时是管理成本，纠纷来临时就是证据资产；判例反复证明，决定胜负的往往不是道理，而是谁能拿出按时间排列的书面链条。</w:t>
      </w:r>
    </w:p>
    <w:p>
      <w:r>
        <w:rPr>
          <w:rFonts w:ascii="Calibri" w:hAnsi="Calibri" w:eastAsia="微软雅黑"/>
          <w:b/>
          <w:i w:val="0"/>
          <w:sz w:val="22"/>
        </w:rPr>
        <w:t>反证检验。</w:t>
      </w:r>
      <w:r>
        <w:rPr>
          <w:rFonts w:ascii="Calibri" w:hAnsi="Calibri" w:eastAsia="微软雅黑"/>
          <w:b w:val="0"/>
          <w:i w:val="0"/>
          <w:sz w:val="22"/>
        </w:rPr>
        <w:t xml:space="preserve"> 序列本身并不单调：2018年回落至5754篇，较2017年的11716篇下降近半（5754÷11716，own_calc，源：P12026、P12023）；2021年卷宗仅收录324篇（P12032）。这说明公开裁判文书的口径受收录范围与公开政策影响显著，年际数值不能当作纠纷率的精确度量——本趋势的确定性在「纠纷长期高发、风险管理是常设成本」这一方向，而非逐年递增的数值轨迹。此外，纠纷多发的另一面是司法规则趋于清晰：建设工程施工合同纠纷按不动产纠纷确定管辖（P12021），违法分包的连带责任路径明确（P12031），规则确定性本身在提升，善用规则者的风险是收敛的。换言之，趋势四惩罚的不是做总包的人，而是不做合同纪律的人。对买方还有一层含义：当纠纷成为行业常态，涉诉本身不再构成负面信号，关键看涉诉的性质（主动维权还是被动应诉）、周期（快速了结还是久拖不决）与结果（足额回收还是坏账核销）——把这三问问清，诉讼台账就从风险清单变成了能力清单。</w:t>
      </w:r>
    </w:p>
    <w:p>
      <w:r>
        <w:rPr>
          <w:rFonts w:ascii="Calibri" w:hAnsi="Calibri" w:eastAsia="微软雅黑"/>
          <w:b/>
          <w:i w:val="0"/>
          <w:sz w:val="22"/>
        </w:rPr>
        <w:t>纵深补证：程序细节里的先手权。</w:t>
      </w:r>
      <w:r>
        <w:rPr>
          <w:rFonts w:ascii="Calibri" w:hAnsi="Calibri" w:eastAsia="微软雅黑"/>
          <w:b w:val="0"/>
          <w:i w:val="0"/>
          <w:sz w:val="22"/>
        </w:rPr>
        <w:t xml:space="preserve"> 卷宗的程序性裁定还藏着两个未展开的观察点。其一，管辖的先手价值：黑龙江水利水电二公司案中，上诉人与被上诉人未签订书面合同、「因此也无从约定案件管辖」，上诉人主张按被告住所地移送被驳回，法院按建设工程施工合同纠纷的专属管辖规则维持原裁定（P12021）——无书面合同的企业连「把官司打在哪个法院」都无约可依，程序先手尽失，对方却可以借管辖异议拖时间；书面合同里的一条管辖条款，其价值在诉讼开始之前就已经确定。其二，主体规模不构成豁免：卷宗收录有中铁十五局集团有限公司与中铁隧道集团有限公司及其杭州公司之间的再审裁定（P12028）——大型央企之间同样要靠再审程序解决工程争议，纠纷平台期面前没有规模护身符；川院不应指望「大而不讼」，只能追求「讼而能胜、胜而能回」。</w:t>
      </w:r>
    </w:p>
    <w:p>
      <w:pPr>
        <w:pStyle w:val="Heading3"/>
      </w:pPr>
      <w:r>
        <w:t>趋势五：电力设计院的竞争坐标从设计费转向EPC成熟度</w:t>
      </w:r>
    </w:p>
    <w:p>
      <w:r>
        <w:rPr>
          <w:rFonts w:ascii="Calibri" w:hAnsi="Calibri" w:eastAsia="微软雅黑"/>
          <w:b/>
          <w:i w:val="0"/>
          <w:sz w:val="22"/>
        </w:rPr>
        <w:t>基线事实。</w:t>
      </w:r>
      <w:r>
        <w:rPr>
          <w:rFonts w:ascii="Calibri" w:hAnsi="Calibri" w:eastAsia="微软雅黑"/>
          <w:b w:val="0"/>
          <w:i w:val="0"/>
          <w:sz w:val="22"/>
        </w:rPr>
        <w:t xml:space="preserve"> 学术文献层面，「以电力设计院为视角」的EPC总承包工程项目管理成熟度评价研究已经出现（P12029），说明把设计院总包能力做成可度量体系的研究方向已经展开；同一证据库中还收有EPC总承包模式下核电项目管理技术研究的专著文献（P12030），显示高安全等级电力项目的总包方法学也在被系统化研究。</w:t>
      </w:r>
    </w:p>
    <w:p>
      <w:r>
        <w:rPr>
          <w:rFonts w:ascii="Calibri" w:hAnsi="Calibri" w:eastAsia="微软雅黑"/>
          <w:b/>
          <w:i w:val="0"/>
          <w:sz w:val="22"/>
        </w:rPr>
        <w:t>推演逻辑。</w:t>
      </w:r>
      <w:r>
        <w:rPr>
          <w:rFonts w:ascii="Calibri" w:hAnsi="Calibri" w:eastAsia="微软雅黑"/>
          <w:b w:val="0"/>
          <w:i w:val="0"/>
          <w:sz w:val="22"/>
        </w:rPr>
        <w:t xml:space="preserve"> 当成熟度可以被评价，竞争就从「报价」转向「评级」。设计费市场竞争的同质化由来已久，而EPC总包的交付结果差异极大——同一项目在不同总包商手里的成本、工期与质量可以相差悬殊，这正是成熟度差异的显影。设计院转型总包要跨三道坎：责任形态（从对图纸负责到对交付结果负责）、财务形态（从费用流到全周期现金流）、组织形态（从专业科室到项目矩阵）；成熟度评价研究之所以出现（P12029），正因为这三道坎需要体系化度量而非经验判断。核电场景的方法学（P12030）则说明在安全等级最高的电力项目里，总包管理已被做成可研究、可传授的技术——方法论的梯度下沉只是时间问题。对川院的推论：护城河不在图纸，而在项目管理体系——进度控制、费用控制、分包商管理、HSE、设计与采购施工的接口管理。买方应要求川院出示其项目管理标准体系与历史项目交付偏差数据，而非仅看资质证书的堆叠；资质是入场券，成熟度才是定价权。三道坎的难度是递进的：责任形态的转变靠合同与保险工具即可完成，财务形态的转变需要项目全周期的资金计划能力，组织形态的转变则要动科室利益与考核权——多数设计院卡在第三道。买方访谈时不妨直接问一句：项目总经理与专业科室负责人发生进度冲突时，考核规则站在谁一边？答案往往就是成熟度的真实水位。</w:t>
      </w:r>
    </w:p>
    <w:p>
      <w:r>
        <w:rPr>
          <w:rFonts w:ascii="Calibri" w:hAnsi="Calibri" w:eastAsia="微软雅黑"/>
          <w:b/>
          <w:i w:val="0"/>
          <w:sz w:val="22"/>
        </w:rPr>
        <w:t>反证检验。</w:t>
      </w:r>
      <w:r>
        <w:rPr>
          <w:rFonts w:ascii="Calibri" w:hAnsi="Calibri" w:eastAsia="微软雅黑"/>
          <w:b w:val="0"/>
          <w:i w:val="0"/>
          <w:sz w:val="22"/>
        </w:rPr>
        <w:t xml:space="preserve"> 证据的局限同样清楚：成熟度研究目前是学术论文形态（P12029），证据库中未见其成为全行业强制标准或统一评价规程的记录——推广节奏、采信主体、指标科学性都未经验证。核电项目管理研究（P12030）属于高门槛特定领域，其方法向普通电力EPC场景的迁移并非直接平移，安全冗余成本也未必被一般业主接受。换言之，「成熟度竞争」是方向性判断而非时间表承诺；买方不宜假设短期内出现全行业评级体系，而应把它当作企业内功建设的参照系。若行业长期缺乏统一度量，成熟度竞争可能退化为业主个案口碑竞争——那样川院的品牌与历史业绩记录反而更值钱，因为口碑就是没有公式的评级。对买方，两种情形对应两种尽调策略：有标准时比对评级分数，无标准时直接抽样访谈历史业主——后者的信息密度其实更高，只是更费腿。</w:t>
      </w:r>
    </w:p>
    <w:p>
      <w:r>
        <w:rPr>
          <w:rFonts w:ascii="Calibri" w:hAnsi="Calibri" w:eastAsia="微软雅黑"/>
          <w:b/>
          <w:i w:val="0"/>
          <w:sz w:val="22"/>
        </w:rPr>
        <w:t>纵深补证：成熟度的度量工具已在判例中现形。</w:t>
      </w:r>
      <w:r>
        <w:rPr>
          <w:rFonts w:ascii="Calibri" w:hAnsi="Calibri" w:eastAsia="微软雅黑"/>
          <w:b w:val="0"/>
          <w:i w:val="0"/>
          <w:sz w:val="22"/>
        </w:rPr>
        <w:t xml:space="preserve"> 判例卷宗提供了两个可直接借用的成熟度量具。其一是第三方造价咨询：浙江引拓案中，涉案税金100400元的认定依据是第三方造价咨询机构出具的《工程造价咨询报告书》（P12023）——独立第三方报告在再审程序中被采信为关键证据，说明「引入外部量化机构复核」不只是管理时尚，而是诉讼场景下被验证过的证据结构。其二是支付流水的时间戳：同案原告自认2015年1月27日前已收57万元、2016年3月10日再收15万元、合计72万元（P12023），每一笔支付都对应明确日期与金额——正是这类分笔记录让法院得以在再审批复中重建支付史。设计院的成熟度体系若能把「关键节点第三方复核」与「分笔支付留痕」固化为标准动作，等于把未来可能的争议预先翻译成证据语言。买方尽调时不妨直接索取样本：随机抽一个已完工项目，看其计量与支付档案能否在不访谈当事人的情况下独立还原全过程——能还原的是体系，不能还原的是经验。</w:t>
      </w:r>
    </w:p>
    <w:p>
      <w:pPr>
        <w:pStyle w:val="Heading3"/>
      </w:pPr>
      <w:r>
        <w:t>趋势六：AI工具链重构设计生产力，技术选型风险同步放大</w:t>
      </w:r>
    </w:p>
    <w:p>
      <w:r>
        <w:rPr>
          <w:rFonts w:ascii="Calibri" w:hAnsi="Calibri" w:eastAsia="微软雅黑"/>
          <w:b/>
          <w:i w:val="0"/>
          <w:sz w:val="22"/>
        </w:rPr>
        <w:t>基线事实。</w:t>
      </w:r>
      <w:r>
        <w:rPr>
          <w:rFonts w:ascii="Calibri" w:hAnsi="Calibri" w:eastAsia="微软雅黑"/>
          <w:b w:val="0"/>
          <w:i w:val="0"/>
          <w:sz w:val="22"/>
        </w:rPr>
        <w:t xml:space="preserve"> 技术侧的证据密度在快速抬升：2026年4月，智谱、阿里、腾讯、百度、Kimi、DeepSeek、小米等国内大厂密集上新开源模型，覆盖大语言、多模态、语音、具身智能、文生图等全赛道（P12033）；其中DeepSeek多模态技术报告沿用三段式架构、借助CSA机制实现视觉token超高压缩，针对性打磨计数、空间推理、迷宫导航、路径追踪四大核心任务（P12033）。投资研究侧，ARK的年度模型把AI视为未来十年的催化剂，与自动驾驶、机器人、新能源并列为核心颠覆领域（P12016）；分享者的个人轨迹——过去十年从社交网络到SaaS再到AI连续收获成长（P12016）——本身就是技术平台十年一换挡的亲历叙述。</w:t>
      </w:r>
    </w:p>
    <w:p>
      <w:r>
        <w:rPr>
          <w:rFonts w:ascii="Calibri" w:hAnsi="Calibri" w:eastAsia="微软雅黑"/>
          <w:b/>
          <w:i w:val="0"/>
          <w:sz w:val="22"/>
        </w:rPr>
        <w:t>推演逻辑。</w:t>
      </w:r>
      <w:r>
        <w:rPr>
          <w:rFonts w:ascii="Calibri" w:hAnsi="Calibri" w:eastAsia="微软雅黑"/>
          <w:b w:val="0"/>
          <w:i w:val="0"/>
          <w:sz w:val="22"/>
        </w:rPr>
        <w:t xml:space="preserve"> 设计院的成本结构以人力为主，绘图、校核、文档与翻译类工作恰是大模型能力覆盖最完整的区域（P12033的全赛道覆盖描述即是供给侧证据）。推演链条是：工具能力供给爆发→单位图纸工时下降→设计费竞争的人力成本底线被击穿→纯劳务型设计产能贬值，而懂项目、懂系统、能对总包结果负责的工程师价值上升。对川院，这不是「要不要用AI」的选择题，而是人力结构与定价体系的重排题：把AI嵌入设计流程释放的工时，应转投到总包项目管理、技术方案优化与现场服务，而非简单裁员了事。买方的「所以呢」：评估川院未来盈利能力时，看它的人均产值曲线与人员结构迁移（设计人员占比下降、项目管理人员占比上升），比看它发布了多少AI口号更实在。落地路径可以分三层校验：最浅的文档层（图纸校审、规范检索、翻译交付），中间的计算层（方案比选、负荷估算、计算书自动化），最深的协同层（设计-采购-施工数据贯通）——只停在文档层的AI化省下的是零钱，进到协同层的AI化才改变总包的成本曲线；而且供给侧既有千亿级超大规模模型、也有轻量化端侧适配的实用版本（P12033），选型完全可以在成本与深度之间分层组合，不必一步到位。</w:t>
      </w:r>
    </w:p>
    <w:p>
      <w:r>
        <w:rPr>
          <w:rFonts w:ascii="Calibri" w:hAnsi="Calibri" w:eastAsia="微软雅黑"/>
          <w:b/>
          <w:i w:val="0"/>
          <w:sz w:val="22"/>
        </w:rPr>
        <w:t>反证检验。</w:t>
      </w:r>
      <w:r>
        <w:rPr>
          <w:rFonts w:ascii="Calibri" w:hAnsi="Calibri" w:eastAsia="微软雅黑"/>
          <w:b w:val="0"/>
          <w:i w:val="0"/>
          <w:sz w:val="22"/>
        </w:rPr>
        <w:t xml:space="preserve"> 技术热点的半衰期可能很短：证据原文直言「AI Agent赛道的新框架、新基准层出不穷，多数热点生命周期极短，盲目追新只会陷入反复学习、不断重构的内耗」（P12033），并建议用五维筛选标准辨别信号与噪音（P12033）。同库中对DeepSeek多模态的评述也承认其实测空间推理表现并未达到预期（P12033）——能力宣传与工程可用性之间存在落差。对设计工具链而言，这意味着重资产式押注单一技术路线风险高，轻量试用、快速止损、多路线并行的采购策略更稳妥。ARK框架本身也是观点而非事实（P12016），其「催化剂」判断应作为情景假设而非基准情形；该分享同时给出了投资者自己的生存法则——「从聚焦认知、排除噪音到具体持仓布局」（P12016），这条法则对选型中的设计院同样成立。十年一换挡的历史节奏（P12016）同样提示：换挡期押错方向的成本，由企业自己承担。</w:t>
      </w:r>
    </w:p>
    <w:p>
      <w:r>
        <w:rPr>
          <w:rFonts w:ascii="Calibri" w:hAnsi="Calibri" w:eastAsia="微软雅黑"/>
          <w:b/>
          <w:i w:val="0"/>
          <w:sz w:val="22"/>
        </w:rPr>
        <w:t>纵深补证：能力圈是选型的第一道滤网。</w:t>
      </w:r>
      <w:r>
        <w:rPr>
          <w:rFonts w:ascii="Calibri" w:hAnsi="Calibri" w:eastAsia="微软雅黑"/>
          <w:b w:val="0"/>
          <w:i w:val="0"/>
          <w:sz w:val="22"/>
        </w:rPr>
        <w:t xml:space="preserve"> 分享者自己的投资轨迹给出了选型方法论的原型：2012至2018年其集中于社交网络，「由于当时工作在微博、对社交领域理解深刻，主要投资腾讯、Facebook、微博」（P12016）——先在深度理解的领域建立优势，再逐级外扩，而非追逐最热的赛道；其分享框架覆盖RoboTaxi与自动运输、机器人、能源、比特币与稳定币、可重用火箭、多组学等十余个板块（P12016），持仓却长期集中在Tesla、NVIDIA、Google、Coinbase等少数龙头（P12016），并未随框架撒胡椒面。这条纪律翻译给川院就是AI选型的能力圈法则：第一优先是自己最深的场景（图纸校审、规范检索、造价复核——与P12033的翻译与图像编辑供给正好咬合），其次是与总包交付直接相关的计算与协同环节，最末才是各类前沿概念；每引入一个新工具，先问「这个场景我们是否比外部专家更懂」，答否则缓上。工具供给全赛道爆发的时期（P12033），稀缺的从来不是工具，而是判断哪个工具配进入生产流程的领域知识。</w:t>
      </w:r>
    </w:p>
    <w:p>
      <w:pPr>
        <w:pStyle w:val="Heading2"/>
      </w:pPr>
      <w:r>
        <w:t>12.3 出海与全球化：从项目出海到机构全球化</w:t>
      </w:r>
    </w:p>
    <w:p>
      <w:r>
        <w:rPr>
          <w:rFonts w:ascii="Calibri" w:hAnsi="Calibri" w:eastAsia="微软雅黑"/>
          <w:b w:val="0"/>
          <w:i w:val="0"/>
          <w:sz w:val="22"/>
        </w:rPr>
        <w:t>第三层确定性关于空间：国内市场竞争加剧与全球电力需求增长并存，川院的第二增长曲线必然在海外。但证据反复强调——出海是潮流，全球化才是能力；这一层的三个趋势分别回答三个问题：要不要长期做海外（趋势七）、按什么顺序做（趋势八）、去哪里做（趋势九）。</w:t>
      </w:r>
    </w:p>
    <w:p>
      <w:pPr>
        <w:pStyle w:val="Heading3"/>
      </w:pPr>
      <w:r>
        <w:t>趋势七：出海潮会退烧、全球化是长潮，川院必须区分两种身份</w:t>
      </w:r>
    </w:p>
    <w:p>
      <w:r>
        <w:rPr>
          <w:rFonts w:ascii="Calibri" w:hAnsi="Calibri" w:eastAsia="微软雅黑"/>
          <w:b/>
          <w:i w:val="0"/>
          <w:sz w:val="22"/>
        </w:rPr>
        <w:t>基线事实。</w:t>
      </w:r>
      <w:r>
        <w:rPr>
          <w:rFonts w:ascii="Calibri" w:hAnsi="Calibri" w:eastAsia="微软雅黑"/>
          <w:b w:val="0"/>
          <w:i w:val="0"/>
          <w:sz w:val="22"/>
        </w:rPr>
        <w:t xml:space="preserve"> 全球化研究者的判断直接而清晰：「现在热点叫出海，但是我认为出海是暂时的，如果是只想做出海的企业，估计做不长，两三年可能会消退。但是另一个真正大趋势叫全球化，这个是真正长期的东西」（P12000）；参照系是日本——日本企业用30年时间在海外几乎再造了一个日本（P12000）；其远期预测是30年后中国出海企业的年收入可能会占到中国GDP的50%（P12000）。资格约束也被明确写下：「全球化从来就不是从零开始的，是你要有一定的资格才能全球化，全世界都一样」（P12000）。资本侧的独立印证：大观资本于2016年成立、定位「扎根中国面向全球All in出海」，其议题直接把中国企业的跃迁描述为从Go Global到Create Global，并将「短剧爆火、AI狂飙」并列为新全球创新的载体（P12014）；其创始团队拥有十余年互联网投资经验，曾投出WiFi万能钥匙、musical.ly等知名出海企业（P12014）——专业出海资本的存在本身，就是这条赛道长度与深度的旁证。</w:t>
      </w:r>
    </w:p>
    <w:p>
      <w:r>
        <w:rPr>
          <w:rFonts w:ascii="Calibri" w:hAnsi="Calibri" w:eastAsia="微软雅黑"/>
          <w:b/>
          <w:i w:val="0"/>
          <w:sz w:val="22"/>
        </w:rPr>
        <w:t>推演逻辑。</w:t>
      </w:r>
      <w:r>
        <w:rPr>
          <w:rFonts w:ascii="Calibri" w:hAnsi="Calibri" w:eastAsia="微软雅黑"/>
          <w:b w:val="0"/>
          <w:i w:val="0"/>
          <w:sz w:val="22"/>
        </w:rPr>
        <w:t xml:space="preserve"> 「出海」与「全球化」的区别在于组织形态：前者是把国内能力成批卖到国外（项目制、借船出海），后者是在海外建立可持续经营的组织（属地公司、区域中心、本地团队）。工程行业的出海通常始于跟随——跟随外援项目、跟随中资业主、跟随设备总包；这种模式在潮水上涨时有效，但按上述判断其热度两三年可能消退（P12000），届时没有属地根基的企业将随潮水退去。「资格论」（P12000）对川院格外贴切：它的全球化资格来自国内工程业绩、中国电力装备的供应链势能与电建体系的信用背书——这三项资格现在都在，问题只在能否在窗口期内把它们兑换成属地资产。从Go Global到Create Global的提法（P12014）则提示了更激进的选项：在海外市场直接创造新业态（如光伏+储能+微网的属地化产品），而不只是输出国内存量能力。所以呢：买方看川院出海成色，不看签约仪式，看它在重点国别是否留下了可复用的属地资产——办公室、本地雇员、银行与税务关系、履约记录；这些东西潮水退去时还在。机构化的动作清单也因此具体：属地注册与资质落地、本地雇佣与管理岗授权、属地银行与税务关系的建立、逐个项目的履约记录归档——四件事都没有签约仪式好看，但每一件都会在潮水退去时构成留存收益。同一研究者还点破了贸易型出海的天花板：「一个肉眼可见的事实是，中国大规模的跨境电商，不可能长期存在」（P12000）——靠货物差价出海的模式尚且如此，靠项目机会出海的工程企业更没有侥幸；全球化的复利只能由这些不性感动作的重复构成。</w:t>
      </w:r>
    </w:p>
    <w:p>
      <w:r>
        <w:rPr>
          <w:rFonts w:ascii="Calibri" w:hAnsi="Calibri" w:eastAsia="微软雅黑"/>
          <w:b/>
          <w:i w:val="0"/>
          <w:sz w:val="22"/>
        </w:rPr>
        <w:t>反证检验。</w:t>
      </w:r>
      <w:r>
        <w:rPr>
          <w:rFonts w:ascii="Calibri" w:hAnsi="Calibri" w:eastAsia="微软雅黑"/>
          <w:b w:val="0"/>
          <w:i w:val="0"/>
          <w:sz w:val="22"/>
        </w:rPr>
        <w:t xml:space="preserve"> 其一，全球化的幸存率并不高：真正出海成功的企业不足20%（P12012）——收益大、幸存者少，切换身份是必要条件而非成功保证。其二，「30年后出海年收入占GDP的50%」（P12000）是讲者的预测性表述（原文用「可能」），不是可验证的基线事实，只能作情景假设。其三，贸易冲突时代的现实约束（P12000）可能压缩中国工程企业在部分市场的空间，机构全球化的路径也会因地缘因素被迫改道。买方应把全球化叙事折算成「属地资产积累速度」这一可观测指标，避免为远景叙事支付现值。</w:t>
      </w:r>
    </w:p>
    <w:p>
      <w:r>
        <w:rPr>
          <w:rFonts w:ascii="Calibri" w:hAnsi="Calibri" w:eastAsia="微软雅黑"/>
          <w:b/>
          <w:i w:val="0"/>
          <w:sz w:val="22"/>
        </w:rPr>
        <w:t>纵深补证：全球化叙事的中间形态与受益结构。</w:t>
      </w:r>
      <w:r>
        <w:rPr>
          <w:rFonts w:ascii="Calibri" w:hAnsi="Calibri" w:eastAsia="微软雅黑"/>
          <w:b w:val="0"/>
          <w:i w:val="0"/>
          <w:sz w:val="22"/>
        </w:rPr>
        <w:t xml:space="preserve"> 同一研究在远期预测之外还给出了中间形态的判断：「预计在未来30年内，中国可能会涌现出一批超大型跨国企业，这才是未来」（P12000），并以海外华人社区将从中受益作社会层注脚（P12000）。对川院这层含义具体而微：省级设计院单体长成超大型跨国企业的概率有限，但附着于超大型跨国平台（如电力央企的国际化体系）成为其海外技术中枢，是更现实的全球化身位——机构全球化的入场券既可以自己挣，也可以借体系兑。买方评估时应区分川院海外收入中「自主开发」与「体系内配套」的比例演化：前者证明属地能力，后者证明体系价值；只有后者而全无前者的企业，其全球化成色会随集团战略摆动。</w:t>
      </w:r>
    </w:p>
    <w:p>
      <w:pPr>
        <w:pStyle w:val="Heading3"/>
      </w:pPr>
      <w:r>
        <w:t>趋势八：全球市场先深后宽，本地化率是出海的生死线</w:t>
      </w:r>
    </w:p>
    <w:p>
      <w:r>
        <w:rPr>
          <w:rFonts w:ascii="Calibri" w:hAnsi="Calibri" w:eastAsia="微软雅黑"/>
          <w:b/>
          <w:i w:val="0"/>
          <w:sz w:val="22"/>
        </w:rPr>
        <w:t>基线事实。</w:t>
      </w:r>
      <w:r>
        <w:rPr>
          <w:rFonts w:ascii="Calibri" w:hAnsi="Calibri" w:eastAsia="微软雅黑"/>
          <w:b w:val="0"/>
          <w:i w:val="0"/>
          <w:sz w:val="22"/>
        </w:rPr>
        <w:t xml:space="preserve"> 华为出海亲历者的数据给出了刻度：全球共有233个国家和地区，其中197个是潜在的海外市场，因此不应撒胡椒面式进入所有市场，而应先深挖一个或几类市场，「先做深后做宽，这样才具备可扩展性」（P12012）。其亲历的非洲业务从2003年的100万美金发展到2009年的10亿美金，团队成员从几个人扩展到上千人（P12012）；该团队离开华为后的创业公司海外团队已超过200人、本地化率超过90%（P12012）。失败者的画像同样在册：战略失焦——在全球两百多个国家间摇摆、资源分散、「雨露均沾」却哪个市场都做不透；路径不清——仍依赖外贸、代工等利润微薄的「薅羊毛」模式；落地困难——团队到了海外两眼一抹黑，下了飞机不知道第一步该做什么（P12012）。</w:t>
      </w:r>
    </w:p>
    <w:p>
      <w:r>
        <w:rPr>
          <w:rFonts w:ascii="Calibri" w:hAnsi="Calibri" w:eastAsia="微软雅黑"/>
          <w:b/>
          <w:i w:val="0"/>
          <w:sz w:val="22"/>
        </w:rPr>
        <w:t>推演逻辑。</w:t>
      </w:r>
      <w:r>
        <w:rPr>
          <w:rFonts w:ascii="Calibri" w:hAnsi="Calibri" w:eastAsia="微软雅黑"/>
          <w:b w:val="0"/>
          <w:i w:val="0"/>
          <w:sz w:val="22"/>
        </w:rPr>
        <w:t xml:space="preserve"> 这组数字的含义不是「华为能做到所以谁都能」，而是揭示扩张的正确顺序：先在一个国别把组织能力、政企关系与交付记录做厚，再横向复制——100万到10亿美金的跃迁发生在六年深耕之后而非撒网之初（P12012）。川院作为省级设计院，资源禀赋远小于华为，更没有资格全球撒网；三大失败画像（P12012）就是它的前车之鉴清单：每一条都在提醒，工程企业出海最常见的死法不是打不过对手，而是摊子铺得比能力大。本地化率超过90%（P12012）之所以是生死线，因为电力工程的服务属性要求与政府、电网、社区长期打交道，全中方团队的成本结构与关系深度都撑不住长周期。买方的检验问题很简单：川院在目标国别的本地雇员占比是多少、核心管理岗位有没有本地人？答不上来，出海就还是项目制。方法论原典对「出海」的定义本身就指向本土化：派人到海外设立子公司、招聘当地员工，甚至设立工厂、研发中心与收购兼并，「目的是将自己打造成一家本土企业」（P12012）。川院可行的深耕路径并不神秘：先跟随电建体系内的海外项目出场，用联合体角色熟悉国别规则；再把项目上结识的本地分包、代理与政府关系沉淀为属地团队；最后尝试独立承接本地业主的项目，完成从「随队选手」到「本地选手」的身份转换——三步走完之前，把海外收入目标贴现进估值的要求都应谨慎对待。</w:t>
      </w:r>
    </w:p>
    <w:p>
      <w:r>
        <w:rPr>
          <w:rFonts w:ascii="Calibri" w:hAnsi="Calibri" w:eastAsia="微软雅黑"/>
          <w:b/>
          <w:i w:val="0"/>
          <w:sz w:val="22"/>
        </w:rPr>
        <w:t>反证检验。</w:t>
      </w:r>
      <w:r>
        <w:rPr>
          <w:rFonts w:ascii="Calibri" w:hAnsi="Calibri" w:eastAsia="微软雅黑"/>
          <w:b w:val="0"/>
          <w:i w:val="0"/>
          <w:sz w:val="22"/>
        </w:rPr>
        <w:t xml:space="preserve"> 本地化的代价与难度同样有证据：孙正义的时光机投资理论在东南亚并不成立，「中国的很多商业模式并不能直接复制到东南亚，一定要以创业心态，扎根当地做本土化」（P12004）——即复制国内经验这条路本身不通，本地化是被迫的高成本选择而非可选项。华为非洲路径耗时整段周期（2003年至2009年，P12012），且其亲历者在华为工作20年（P12012）、获评华为管理变革最高奖项蓝血十杰（P12012）——组织能力的积累以数年计、以顶级人才为载体，中途撤退的沉没成本极高。买方应警惕「一年进入多国」式的扩张叙事：宽而浅的市场存在，在潮水方向变化时最先被放弃。判断深浅还有一个朴素的经验法则——看管理层能否随口说出某国别市场的具体细节（主要业主是谁、本地伙伴是谁、下一个项目从哪来）；说得出细节的才是深耕，只说得出国名的只是出差。</w:t>
      </w:r>
    </w:p>
    <w:p>
      <w:r>
        <w:rPr>
          <w:rFonts w:ascii="Calibri" w:hAnsi="Calibri" w:eastAsia="微软雅黑"/>
          <w:b/>
          <w:i w:val="0"/>
          <w:sz w:val="22"/>
        </w:rPr>
        <w:t>纵深补证：本土化的终局形态与壁垒语境。</w:t>
      </w:r>
      <w:r>
        <w:rPr>
          <w:rFonts w:ascii="Calibri" w:hAnsi="Calibri" w:eastAsia="微软雅黑"/>
          <w:b w:val="0"/>
          <w:i w:val="0"/>
          <w:sz w:val="22"/>
        </w:rPr>
        <w:t xml:space="preserve"> 方法论原典对出海的定义配有具体国别样本：「在印尼发展成为一家印尼本土公司，在沙特发展成为沙特公司，在巴西则发展成为巴西公司」（P12012）——本土化的终局不是「中国公司的海外分部」，而是所在国经济体内的本地存在。同一证据把路径困境放在「全球本土化浪潮和日益收紧的贸易壁垒」双重语境下（P12012）：旧的外贸代工路径正是在这双重压力下失效的，这反过来解释了为什么本地化率是生死线而非加分项——贸易壁垒抬高纯出口模式的成本，全球本土化要求又抬高纯项目模式的门槛，两头夹击之下唯有属地结构能同时穿越。川院在国别深耕时应以「成为当地电力工程领域的一家本地机构」为验收标准，联合体与属地注册只是起步动作，本地法人的持续经营记录才是终局凭证。</w:t>
      </w:r>
    </w:p>
    <w:p>
      <w:pPr>
        <w:pStyle w:val="Heading3"/>
      </w:pPr>
      <w:r>
        <w:t>趋势九：主战场南移，东南亚与非洲按「城市颗粒度」筛选市场</w:t>
      </w:r>
    </w:p>
    <w:p>
      <w:r>
        <w:rPr>
          <w:rFonts w:ascii="Calibri" w:hAnsi="Calibri" w:eastAsia="微软雅黑"/>
          <w:b/>
          <w:i w:val="0"/>
          <w:sz w:val="22"/>
        </w:rPr>
        <w:t>基线事实。</w:t>
      </w:r>
      <w:r>
        <w:rPr>
          <w:rFonts w:ascii="Calibri" w:hAnsi="Calibri" w:eastAsia="微软雅黑"/>
          <w:b w:val="0"/>
          <w:i w:val="0"/>
          <w:sz w:val="22"/>
        </w:rPr>
        <w:t xml:space="preserve"> 东南亚的资本证据：ATM Capital于2017年成立、专注东南亚投资，7年时间投出1家港股上市公司、2家美国上市公司、2家独角兽（十亿美元市值）多家准独角兽，其投出的极兔速递2020年从东南亚进入中国市场，并创下2023年港股市值最大IPO的记录（P12004）；其创始人2007年加入阿里巴巴集团专注移动互联网投资，投出UCWEB与美团，2017年转向东南亚（P12004）。非洲的分层证据：非洲不是一个市场，而是五十四个国家、五十四条时间线、五十四种发展阶段的叠加态，有的地方像上世纪九十年代的中国，有的地方像2000年初的印度（P12018）；由此得出的行动法则是「城市比国家重要，人比流程重要，信任比效率重要」（P12018），并留下那个大问题——未来十年，世界的新增长到底会从哪里长出来（P12018）。制造业的实地证据：芬尼科技在过去一年亲赴泰国，从买地、建厂到团队组建一步步落地（P12010）；其课程对形势的白描是——东南亚工厂遍地开花、国际客户开始抛弃「唯一供应商」策略，「你还在等风口，别人已经在海外抢人、抢地、抢资源」（P12010）。</w:t>
      </w:r>
    </w:p>
    <w:p>
      <w:r>
        <w:rPr>
          <w:rFonts w:ascii="Calibri" w:hAnsi="Calibri" w:eastAsia="微软雅黑"/>
          <w:b/>
          <w:i w:val="0"/>
          <w:sz w:val="22"/>
        </w:rPr>
        <w:t>推演逻辑。</w:t>
      </w:r>
      <w:r>
        <w:rPr>
          <w:rFonts w:ascii="Calibri" w:hAnsi="Calibri" w:eastAsia="微软雅黑"/>
          <w:b w:val="0"/>
          <w:i w:val="0"/>
          <w:sz w:val="22"/>
        </w:rPr>
        <w:t xml:space="preserve"> 东南亚制造产能持续迁入（泰国建厂的实地案例，P12010），工厂到哪里，电力需求与配套工程就跟到哪里——这是川院出海最顺的需求通道；资本从中国互联网转向东南亚的迁移路线（2007年投移动互联网、2017年转向东南亚，P12004）说明资本对区域轮动的判断先于产业落地，可作为国别选择时点的外部参照。非洲的电力缺口更大，但54国54条时间线（P12018）意味着不能用国别标签做决策，必须下沉到城市与园区颗粒度：先判断具体城市的工业化阶段与支付能力，再判断项目形态。所以呢：川院的市场筛选应从「国家名单」改为「城市清单」，每个候选城市回答三个问题——当地处于哪个发展阶段、谁付钱、凭什么信任你（P12018的三条法则）；答不完整的城市直接剔除。落到执行，城市清单应当像投资清单一样维护：每个候选城市建立一页档案，记录工业化阶段、主要业主、电力供需缺口、支付信用与已有同行动向；定期复审，剔除答不出新信息的城市，加厚答得完整的城市。研究者的发问方式还提供了一个选择维度——除了地缘优势，什么是产缘优势（P12000）：对电力工程而言，产缘优势就是中国电力装备与建设的产业链势能在当地的可触达程度，产业链铺到哪里，设计咨询的顺风就吹到哪里。市场研究的颗粒度做到这一步，「主战场南移」才不是口号，而是一张可执行的作战地图。</w:t>
      </w:r>
    </w:p>
    <w:p>
      <w:r>
        <w:rPr>
          <w:rFonts w:ascii="Calibri" w:hAnsi="Calibri" w:eastAsia="微软雅黑"/>
          <w:b/>
          <w:i w:val="0"/>
          <w:sz w:val="22"/>
        </w:rPr>
        <w:t>反证检验。</w:t>
      </w:r>
      <w:r>
        <w:rPr>
          <w:rFonts w:ascii="Calibri" w:hAnsi="Calibri" w:eastAsia="微软雅黑"/>
          <w:b w:val="0"/>
          <w:i w:val="0"/>
          <w:sz w:val="22"/>
        </w:rPr>
        <w:t xml:space="preserve"> 地缘与需求的反向证据：欧洲企业在全球采购中主动避开中国工厂以规避风险（P12010），国际客户开始抛弃「唯一供应商」策略（P12010）——这类去风险行为同样可能外溢到对中国工程服务商的选择上，东南亚与非洲市场的竞争者会利用这一点。宗毅的判断更冷：「未来的中国制造企业，将只剩两种：一种走出去、活下来；一种留在原地、慢慢被替代」（P12010）——出海在悲观情形下不是红利而是生存赛，「不是你想不想出海，而是全世界正在逼你出海」（P12010），利润率未必如想象丰厚。非洲侧的隐性约束还包括人口变量的两面性——研究者的设问是「为什么人口红利既可能是资产，也可能是负债」（P12018）：支付能力与电网基础薄弱的市场，人口规模未必等于有效需求。资本案例（极兔等）属于物流消费领域（P12004），向电力基建外推时只能借势不能照搬；「商流决定物流」（P12004）的链条在电力行业对应的是「制造业迁徙决定电力基建需求」，传导有时滞，订单兑现晚于工厂落地。</w:t>
      </w:r>
    </w:p>
    <w:p>
      <w:r>
        <w:rPr>
          <w:rFonts w:ascii="Calibri" w:hAnsi="Calibri" w:eastAsia="微软雅黑"/>
          <w:b/>
          <w:i w:val="0"/>
          <w:sz w:val="22"/>
        </w:rPr>
        <w:t>纵深补证：攻守逻辑与跨区域履历。</w:t>
      </w:r>
      <w:r>
        <w:rPr>
          <w:rFonts w:ascii="Calibri" w:hAnsi="Calibri" w:eastAsia="微软雅黑"/>
          <w:b w:val="0"/>
          <w:i w:val="0"/>
          <w:sz w:val="22"/>
        </w:rPr>
        <w:t xml:space="preserve"> 两个未用尽的细节可以加厚市场判断。一是资本的攻守转换样本：极兔速递2020年从东南亚「孤注一掷」进入中国市场，被投资人评为一场「以攻代守」的漂亮商战（P12004）——在东南亚站稳脚跟后主动攻入对手腹地，用进攻换取根据地的安全。对川院的启示是顺序性的：国内竞争加剧的背景下，海外深耕不只是增量故事，更是防御工事——在海外建立现金流与属地信誉的企业，回到国内竞争时才有腾挪空间；把出海当副业的企业，两头都会失守。二是跨区域履历的迁移价值：非洲对谈嘉宾过去二十年先后做过东南亚、中东、北非，再扎根非洲一线（P12018）——新兴市场的方法论可以跨区域携带，但携带者是有二十年一线经验的人，不是报告。川院组建海外团队时应优先寻找这类多区域履历的人才，其市场直觉的迁移半径，远大于对单区域经验者的再培训收益。</w:t>
      </w:r>
    </w:p>
    <w:p>
      <w:pPr>
        <w:pStyle w:val="Heading2"/>
      </w:pPr>
      <w:r>
        <w:t>12.4 组织与风控：能力、机制与现金流</w:t>
      </w:r>
    </w:p>
    <w:p>
      <w:r>
        <w:rPr>
          <w:rFonts w:ascii="Calibri" w:hAnsi="Calibri" w:eastAsia="微软雅黑"/>
          <w:b w:val="0"/>
          <w:i w:val="0"/>
          <w:sz w:val="22"/>
        </w:rPr>
        <w:t>最后一层确定性关于内部：供应链格局、组织机制与现金流纪律，决定川院能否把外部趋势转化为报表结果。外部三层确定性再强，也要穿过组织与财务这两道闸门才落到利润表上——本节三个趋势讨论的正是闸门的材质。</w:t>
      </w:r>
    </w:p>
    <w:p>
      <w:pPr>
        <w:pStyle w:val="Heading3"/>
      </w:pPr>
      <w:r>
        <w:t>趋势十：供应链「去唯一供应商」与贸易壁垒，倒逼联合体与本地成分</w:t>
      </w:r>
    </w:p>
    <w:p>
      <w:r>
        <w:rPr>
          <w:rFonts w:ascii="Calibri" w:hAnsi="Calibri" w:eastAsia="微软雅黑"/>
          <w:b/>
          <w:i w:val="0"/>
          <w:sz w:val="22"/>
        </w:rPr>
        <w:t>基线事实。</w:t>
      </w:r>
      <w:r>
        <w:rPr>
          <w:rFonts w:ascii="Calibri" w:hAnsi="Calibri" w:eastAsia="微软雅黑"/>
          <w:b w:val="0"/>
          <w:i w:val="0"/>
          <w:sz w:val="22"/>
        </w:rPr>
        <w:t xml:space="preserve"> 制造业一线的观察记录了两个直接信号：国际客户开始抛弃「唯一供应商」策略（P12010）；欧洲企业在全球采购中主动避开中国工厂，以规避风险（P12010）。世界贸易体系的历史坐标来自全球化研究：全球化主要经历了四个阶段，其实质是货物、人员、资金和信息超越国界的流动过程，驱动力是「势能差」——如同水流因高处流向低处，货物的流动也源于势能差的存在（P12006）；当前语境被概括为贸易冲突时代（P12000），研究者留下的追问是——在此时代，全球化是已然退潮还是仍在朝前攒进（P12000）。</w:t>
      </w:r>
    </w:p>
    <w:p>
      <w:r>
        <w:rPr>
          <w:rFonts w:ascii="Calibri" w:hAnsi="Calibri" w:eastAsia="微软雅黑"/>
          <w:b/>
          <w:i w:val="0"/>
          <w:sz w:val="22"/>
        </w:rPr>
        <w:t>推演逻辑。</w:t>
      </w:r>
      <w:r>
        <w:rPr>
          <w:rFonts w:ascii="Calibri" w:hAnsi="Calibri" w:eastAsia="微软雅黑"/>
          <w:b w:val="0"/>
          <w:i w:val="0"/>
          <w:sz w:val="22"/>
        </w:rPr>
        <w:t xml:space="preserve"> 采购端的去风险化会沿着供应链向工程服务端传导：海外业主与金融机构在对电力项目融资时，会要求设备来源多元化、本地成分比例与联合体结构，以分散单一国别风险。对川院，这既是中国设备与中国总包面临的阻力，也是机会——中国总包商比以往任何时候都更需要与本地承包商、第三方设备商组建联合体，而设计院恰恰是联合体里最稀缺的「系统集成者」角色：懂中国设备标准，也做得动国际接口转换。所以呢：川院的投标能力建设应从单打独斗转向联合体运营能力——伙伴清单、责任划分模板、属地采购目录；买方则应观察川院是否建立了海外联合体的制度性安排，而非个案式合作。在联合体里，设计院最值得占据的是接口位：技术标准的翻译（中国设备标准与项目所在国规范的映射）、系统集成的责任划分、争议发生时的技术仲裁话语——这些位置的议价力来自专业而非资本，恰好匹配设计院的资产负债结构；放弃接口位的联合体参与，等于出人出智却拿不到定价权。</w:t>
      </w:r>
    </w:p>
    <w:p>
      <w:r>
        <w:rPr>
          <w:rFonts w:ascii="Calibri" w:hAnsi="Calibri" w:eastAsia="微软雅黑"/>
          <w:b/>
          <w:i w:val="0"/>
          <w:sz w:val="22"/>
        </w:rPr>
        <w:t>反证检验。</w:t>
      </w:r>
      <w:r>
        <w:rPr>
          <w:rFonts w:ascii="Calibri" w:hAnsi="Calibri" w:eastAsia="微软雅黑"/>
          <w:b w:val="0"/>
          <w:i w:val="0"/>
          <w:sz w:val="22"/>
        </w:rPr>
        <w:t xml:space="preserve"> 大方向的反证在于要素流动的韧性：全球化的历史实质是货物、人员、资金和信息的跨国流动（P12006），四个阶段的演进说明流动本身有强大惯性，壁垒抬高成本但难以完全切断。这意味着「去风险」更可能是成本曲线的抬升与路径的绕行，而非市场消失——川院面对的是更贵的全球化，不是终结的全球化；研究者那个悬而未决的追问（退潮还是朝前攒进，P12000）本身就是最好的风险声明：方向未定，押注不宜过重。同时要防止另一种过度反应：为合规而过度本地化会稀释自身技术标签，联合体结构也带来管理与利润的摊薄。证据库中没有关于联合体利润率与成败率的量化数据，本趋势的确定性止步于「结构会变」，不承诺「变了对谁有利」。</w:t>
      </w:r>
    </w:p>
    <w:p>
      <w:r>
        <w:rPr>
          <w:rFonts w:ascii="Calibri" w:hAnsi="Calibri" w:eastAsia="微软雅黑"/>
          <w:b/>
          <w:i w:val="0"/>
          <w:sz w:val="22"/>
        </w:rPr>
        <w:t>纵深补证：联合体是生态资源的交易结构。</w:t>
      </w:r>
      <w:r>
        <w:rPr>
          <w:rFonts w:ascii="Calibri" w:hAnsi="Calibri" w:eastAsia="微软雅黑"/>
          <w:b w:val="0"/>
          <w:i w:val="0"/>
          <w:sz w:val="22"/>
        </w:rPr>
        <w:t xml:space="preserve"> 出海生态访谈的议题清单里有一条自问：华人全球创新生态「最缺的资源」是什么（P12014）——把这个问题问向工程出海，答案不是资本而是生态：本地伙伴、渠道、信用与可复用的失败经验。联合体之所以是本趋势的解法，正因为它是生态资源的交易结构——每一家成员用自己的一段属地资源换取订单入场权，合起来比任何一家单打独斗都更接近「够得着的市场」。川院构建联合体能力时的检验问题由此从「找谁签字」升级为「各自带来什么生态资源」：本地承包商带来用工与政企关系、设备商带来融资与售后、第三方机构带来合规话语——资源清单谈得拢的联合体才值得投标签约。</w:t>
      </w:r>
    </w:p>
    <w:p>
      <w:pPr>
        <w:pStyle w:val="Heading3"/>
      </w:pPr>
      <w:r>
        <w:t>趋势十一：组织机制变革向工程企业渗透，合伙人机制进入设计院议程</w:t>
      </w:r>
    </w:p>
    <w:p>
      <w:r>
        <w:rPr>
          <w:rFonts w:ascii="Calibri" w:hAnsi="Calibri" w:eastAsia="微软雅黑"/>
          <w:b/>
          <w:i w:val="0"/>
          <w:sz w:val="22"/>
        </w:rPr>
        <w:t>基线事实。</w:t>
      </w:r>
      <w:r>
        <w:rPr>
          <w:rFonts w:ascii="Calibri" w:hAnsi="Calibri" w:eastAsia="微软雅黑"/>
          <w:b w:val="0"/>
          <w:i w:val="0"/>
          <w:sz w:val="22"/>
        </w:rPr>
        <w:t xml:space="preserve"> 制造业的组织实验提供了参照：芬尼科技成立于2002年，创始人以「投钱选将」的方式选拔出超百位合伙人，打造裂变式创业体系，并把这套经验写成《裂变式创业》与《非对称思维》两本书（P12010）；该企业拥有国家级制造业单项冠军荣誉——由国家工信部评定，每个细分行业仅授予一家企业——以及国家级企业技术中心，创始人还曾推动特斯拉南北充电线路建设、是人类历史上首位率队穿越巴拿马运河的中国队队长（P12010）。组织能力长周期积累的对照案例来自华为：亲历者在华为工作20年、获评蓝血十杰（P12012），其非洲业务从2003年的100万美金做到2009年的10亿美金（P12012）。</w:t>
      </w:r>
    </w:p>
    <w:p>
      <w:r>
        <w:rPr>
          <w:rFonts w:ascii="Calibri" w:hAnsi="Calibri" w:eastAsia="微软雅黑"/>
          <w:b/>
          <w:i w:val="0"/>
          <w:sz w:val="22"/>
        </w:rPr>
        <w:t>推演逻辑。</w:t>
      </w:r>
      <w:r>
        <w:rPr>
          <w:rFonts w:ascii="Calibri" w:hAnsi="Calibri" w:eastAsia="微软雅黑"/>
          <w:b w:val="0"/>
          <w:i w:val="0"/>
          <w:sz w:val="22"/>
        </w:rPr>
        <w:t xml:space="preserve"> 设计院是典型的人合企业：核心资产是注册工程师与项目经理，而工程行业的普遍痛点正是骨干激励不足与人才流失。制造业的合伙人实验（超百位合伙人的可复制记录，P12010）展示了用机制而非情怀绑定人才的可能性，其逻辑内核——让听得见炮声的人持股分利——对项目制企业天然适配。推演到川院：项目模拟股份制、内部赛马式的区域或专业事业部裂变、项目跟投机制，都会在未来数年被提上设计院治理议程；谁先把机制理顺，谁就能在人才争夺中把同行变成人才供给方。但参照案例也提醒机制的附着条件：芬尼的裂变生长在强个人文化与硬技术标签之上（制造业单项冠军、企业技术中心，P12010），没有标签的裂变只是散伙。买方视角：机制改革是观察管理层诚意与治理弹性的窗口，落地指标是核心骨干流失率与新生代项目经理的成长速度。边界条件同样要事先想清：哪些业务允许裂变（属地化市场开拓、新能源运维等轻资产业务）、哪些必须集中（涉密与高安全等级业务、总包主合同履约）、裂变单元与母体之间的品牌与责任如何切割——把这三问写进制度再启动，改革才不会演变为骨干带着资源出走的通道。</w:t>
      </w:r>
    </w:p>
    <w:p>
      <w:r>
        <w:rPr>
          <w:rFonts w:ascii="Calibri" w:hAnsi="Calibri" w:eastAsia="微软雅黑"/>
          <w:b/>
          <w:i w:val="0"/>
          <w:sz w:val="22"/>
        </w:rPr>
        <w:t>反证检验。</w:t>
      </w:r>
      <w:r>
        <w:rPr>
          <w:rFonts w:ascii="Calibri" w:hAnsi="Calibri" w:eastAsia="微软雅黑"/>
          <w:b w:val="0"/>
          <w:i w:val="0"/>
          <w:sz w:val="22"/>
        </w:rPr>
        <w:t xml:space="preserve"> 制造业经验的迁移边界必须说清：芬尼的裂变发生在一个充分竞争、决策链极短的消费品制造企业（P12010），而设计院受资质监管、国企治理与工程项目长周期约束，裂变出去的团队拿不走资质与品牌，机制空间天然更小。组织能力的积累速度也有证据警示：华为非洲从100万到10亿美金用了整段深耕周期（2003年至2009年，P12012），20年工龄、蓝血十杰级别的亲历者将其归为长期经验（P12012）——机制可以一夜宣布，能力只能慢慢长。买方对「合伙人制改革」公告应保持审慎乐观：看章程细则与首批合伙人真实出资，不看发布会。一个可操作的观察序列是：先看改革文件是否界定了可裂变业务的负面清单，再看首批合伙人的出资是否真实到位，最后看一两个裂变单元跑满一个完整项目周期后的结算结果——三步都过关，机制才算落地生根；任何一步缺席，都只是纸面实验。</w:t>
      </w:r>
    </w:p>
    <w:p>
      <w:r>
        <w:rPr>
          <w:rFonts w:ascii="Calibri" w:hAnsi="Calibri" w:eastAsia="微软雅黑"/>
          <w:b/>
          <w:i w:val="0"/>
          <w:sz w:val="22"/>
        </w:rPr>
        <w:t>纵深补证：企业大学是机制改革的伴生设施。</w:t>
      </w:r>
      <w:r>
        <w:rPr>
          <w:rFonts w:ascii="Calibri" w:hAnsi="Calibri" w:eastAsia="微软雅黑"/>
          <w:b w:val="0"/>
          <w:i w:val="0"/>
          <w:sz w:val="22"/>
        </w:rPr>
        <w:t xml:space="preserve"> 出海方法论的共同讲述者之一自我介绍为「在一家专注于出海业务的上市公司担任企业大学负责人」（P12006）——这个身份细节透露的组织事实是：走出去的企业普遍需要把实战经验课程化、把课程机构化，企业大学正是合伙人机制之外另一套人才复制基础设施。设计院的机制改革若只有股权与分利安排，而没有配套的案例库、内训师与项目复盘制度，裂变出去的单元只能靠挖角补充能力，母体最终被掏空；反之，机制（分利）与设施（育才）双轮驱动的组织，才能把合伙人流动转化为组织记忆的增量。买方观察川院组织变革时，「内训体系是否存在、项目复盘是否成文归档」应与「合伙人名单」同权重入账。</w:t>
      </w:r>
    </w:p>
    <w:p>
      <w:pPr>
        <w:pStyle w:val="Heading3"/>
      </w:pPr>
      <w:r>
        <w:t>趋势十二：结算与现金流纪律成为分水岭，判例已把红线画在台面上</w:t>
      </w:r>
    </w:p>
    <w:p>
      <w:r>
        <w:rPr>
          <w:rFonts w:ascii="Calibri" w:hAnsi="Calibri" w:eastAsia="微软雅黑"/>
          <w:b/>
          <w:i w:val="0"/>
          <w:sz w:val="22"/>
        </w:rPr>
        <w:t>基线事实。</w:t>
      </w:r>
      <w:r>
        <w:rPr>
          <w:rFonts w:ascii="Calibri" w:hAnsi="Calibri" w:eastAsia="微软雅黑"/>
          <w:b w:val="0"/>
          <w:i w:val="0"/>
          <w:sz w:val="22"/>
        </w:rPr>
        <w:t xml:space="preserve"> 判例证据把EPC财务风控的每个环节都标注了代价。合同与结算环节：洛阳灵山国诚案中，工程采取边设计边施工、完工一处验收一处，且多个施工内容未逐项签订书面合同，原告诉称被告共计拖欠工程款15190038.4元——其中温泉假山按188元/㎡、汤池按2000元/㎡计价，原告决算四项工程总造价8902476.4元、认可累计已付7432708元、主张尚欠1469768元（P12024）。口头合同的老样本同样刺眼：房屋工程包工包料、未订立书面合同、口头约定按实际结算，已陆续支付工程款合计455000元并出具「工程款已全部结清」收条之后，双方仍爆发造价诉讼（P12034）。税务环节：浙江引拓案中涉案工程款769734元（含税金100400元），因承包人未能举证税金损失实际发生，税金部分被扣除、再审驳回（P12023）。支付对冲环节：中铁六局案中租金合计246254元、已付146254元、尚欠100000元，项目部辩称曾支付一笔225万元劳务费且原告未开发票，以此为由拒付所欠租金（P12027）。执行环节：上海禧诚案中公司名下无任何财产可供执行，债权人申请追加认缴注册资本50万元、分别持股90％与10％的夫妻股东为被执行人（P12032）。程序与分包规则：建设工程施工合同纠纷按不动产纠纷确定管辖（P12021）；「本工程不允许分包」条款下的违法分包引发连带责任追索（P12025）；非法分包、违法分包层层传导下的连带清偿主张（P12031）。三组未展开的卷宗细节进一步坐实红线图谱。第一组是代理链条的失控样本：新乡一建案中，明文「本工程不允许分包」的两份总包合同（2012年5月25日发酵车间合同、10月15日空压站合同）由一建公司工作人员李俊科作为委托代理人签字（P12025）；2013年5月31日，同一个李俊科又以公司名义与个人刘春新签订铝合金窗施工合同，核算价款315628元、已付40000元，并出具载明275000元的欠条，而合同抬头乙方「通利建筑装饰」实为刘春新开办、未经工商登记的门市（P12025）——项目人员个人以公司名义对外签约、结算、打欠条，公司层面的合同管理制度对此毫无感知，这正是代理权敞口的标准形态。第二组是熟人口头交易：凤凰县堡坎案中，双方因朋友关系未签书面合同，口头约定全包每立方米280元、据实结算，完工结算共砌790多立方米石方，支付4万元后尚欠182415.2元（P12026）；诉讼中关键书证「蒋某某出具的证明」还被质疑系按原告要求所写（P12026）——连书面证明的效力都因形成过程可疑而陷入攻防。第三组是补签文本的性质认定：中铁六局租赁案中，脚手架2012年11月15日投入使用、约定用至2013年5月31日，2013年5月24日结算确认租金合计246254元，6月21日申请付款并当天开票，三天后补签的《钢管脚手架租赁协议》被认定名为租赁协议、实际为付款协议，签字当天即付款146254元（P12027）——补签文本若只确认欠款金额而不锁定计量过程，其证据价值就只剩金额本身。</w:t>
      </w:r>
    </w:p>
    <w:p>
      <w:r>
        <w:rPr>
          <w:rFonts w:ascii="Calibri" w:hAnsi="Calibri" w:eastAsia="微软雅黑"/>
          <w:b/>
          <w:i w:val="0"/>
          <w:sz w:val="22"/>
        </w:rPr>
        <w:t>推演逻辑。</w:t>
      </w:r>
      <w:r>
        <w:rPr>
          <w:rFonts w:ascii="Calibri" w:hAnsi="Calibri" w:eastAsia="微软雅黑"/>
          <w:b w:val="0"/>
          <w:i w:val="0"/>
          <w:sz w:val="22"/>
        </w:rPr>
        <w:t xml:space="preserve"> 这些判例共同指向一个结论：EPC总包的利润不在中标价里，在结算环节兑现；而结算环节的每一个漏洞——无书面合同、边设计边施工、税金凭证缺失、发票对冲、分包违规——都已被对手方武器化。P12034的收条样本说明连「付清」两个字本身都能成为诉讼焦点：没有过程计量支撑的结清声明，等于把定价权交还给事后反悔的空间。趋势判断是：未来数年行业纠纷维持高位（趋势四的证据基座），现金流管理将从财务部门的后台职能升级为经营主线，川院这类总包商必须把合同架构、过程计量、税务凭证、分包合规、业主资信尽调做成标准化流水线。所以呢：买方看川院的风险，不要只看应收账款余额，要看应收的账龄结构与诉讼台账——账龄恶化的顺序（计量争议→结算拖延→执行不能）正是判例链的重演顺序；管理层若能出示分级预警的现金流纪律制度，那就是比利润率更值钱的护城河。这条流水线可以拆成五个工位：投标前的业主资信与资金来源核验、签约时的付款结构与担保安排、履约中的过程计量与签认闭合、结算期的争议分级与证据归档、回款期的账龄预警与责任到人——五个工位全部运转的总包商，纠纷对它只是成本；缺位的总包商，纠纷对它是生存问题。</w:t>
      </w:r>
    </w:p>
    <w:p>
      <w:r>
        <w:rPr>
          <w:rFonts w:ascii="Calibri" w:hAnsi="Calibri" w:eastAsia="微软雅黑"/>
          <w:b/>
          <w:i w:val="0"/>
          <w:sz w:val="22"/>
        </w:rPr>
        <w:t>反证检验。</w:t>
      </w:r>
      <w:r>
        <w:rPr>
          <w:rFonts w:ascii="Calibri" w:hAnsi="Calibri" w:eastAsia="微软雅黑"/>
          <w:b w:val="0"/>
          <w:i w:val="0"/>
          <w:sz w:val="22"/>
        </w:rPr>
        <w:t xml:space="preserve"> 反面证据在于救济的有限性：司法规则虽清晰（专属管辖明确、连带责任可追，P12021、P12031），但禧诚案显示胜诉不等于回款——公司无财产可供执行时，债权人只能转向追加股东的个人责任（认缴50万元注册资本的夫妻股东，P12032），追偿成本与不确定性陡增。这提示现金流纪律的重点应前移到事前（业主资信、付款结构、担保安排）而非事后诉讼——司法能纠正违约，但纠正不了选错业主；把风控预算花在签约之前，性价比远高于花在法庭之后。同时需如实说明：本节判例多为中小型工程与装修、租赁纠纷（P12023—P12028、P12031—P12034），与电力EPC大标的场景在金额量级与主体性质上有差异，其规则结论（书面合同、凭证留痕、分包合规）可迁移，其金额分布不可直接外推。</w:t>
      </w:r>
    </w:p>
    <w:p>
      <w:r>
        <w:rPr>
          <w:rFonts w:ascii="Calibri" w:hAnsi="Calibri" w:eastAsia="微软雅黑"/>
          <w:b/>
          <w:i w:val="0"/>
          <w:sz w:val="22"/>
        </w:rPr>
        <w:t>反证的补充：两个可自动化的预警信号。</w:t>
      </w:r>
      <w:r>
        <w:rPr>
          <w:rFonts w:ascii="Calibri" w:hAnsi="Calibri" w:eastAsia="微软雅黑"/>
          <w:b w:val="0"/>
          <w:i w:val="0"/>
          <w:sz w:val="22"/>
        </w:rPr>
        <w:t xml:space="preserve"> 禧诚案还藏着一个执行侧的预警样本：该公司2011年5月由夫妻股东共同发起设立，而2021年4月——恰在债权人申请执行前后——法定代表人变更为朱建华（P12032），变更时点与债务暴露期重叠。虽然追加股东责任的法律依据明确（《最高人民法院关于民事执行中变更、追加当事人若干问题的规定》第二十条，P12032），朱斌负责项目管理与业务、浦方方负责财务（P12032）的混同事实也支撑追加主张，但交易对手完全可以在变更登记与资产腾挪之间留出时间差。买方与总包商都可以把「对手方在争议期变更法定代表人或注册信息」列为资信恶化的触发器——工商变更信息公开、免费、可自动化监测，是现金流纪律里性价比最高的情报源。配套地，对项目一线的代理失控（P12025形态），制度解法只有三条：项目章与合同专用权的集中管理、授权书的场景与金额双限定、项目部账户的收支双线审批——三条写进制度容易，难在每一次都用。</w:t>
      </w:r>
    </w:p>
    <w:p>
      <w:pPr>
        <w:pStyle w:val="Heading2"/>
      </w:pPr>
      <w:r>
        <w:t>12.5 纠纷经济学：行权成本表与证据战争的三个战场</w:t>
      </w:r>
    </w:p>
    <w:p>
      <w:r>
        <w:rPr>
          <w:rFonts w:ascii="Calibri" w:hAnsi="Calibri" w:eastAsia="微软雅黑"/>
          <w:b w:val="0"/>
          <w:i w:val="0"/>
          <w:sz w:val="22"/>
        </w:rPr>
        <w:t>趋势四与趋势十二分别给出了纠纷的「量」与红线图谱，本节补上第三块拼图：行权的经济学——权利主张从立案到回款，每一步都有价目。这层证据此前散落在判例卷宗的程序性裁定里，单独成节是因为它直接决定买方该如何给川院的「法务资产」估值：纠纷不是有或无的二元事件，而是一串可定价的行权决策。</w:t>
      </w:r>
    </w:p>
    <w:p>
      <w:r>
        <w:rPr>
          <w:rFonts w:ascii="Calibri" w:hAnsi="Calibri" w:eastAsia="微软雅黑"/>
          <w:b/>
          <w:i w:val="0"/>
          <w:sz w:val="22"/>
        </w:rPr>
        <w:t>基线事实。</w:t>
      </w:r>
      <w:r>
        <w:rPr>
          <w:rFonts w:ascii="Calibri" w:hAnsi="Calibri" w:eastAsia="微软雅黑"/>
          <w:b w:val="0"/>
          <w:i w:val="0"/>
          <w:sz w:val="22"/>
        </w:rPr>
        <w:t xml:space="preserve"> 立案环节的成本门槛最先现形：乔振军案2019年11月22日立案，原告在收到交纳诉讼费用通知后未在七日内预交案件受理费，案件按撤回起诉处理（P12022）；乔文波执行案中，申请执行人于2019年12月2日书面申请撤销执行申请，法院裁定终结执行（P12022）——权利人连执行程序都可以中途放弃。撤诉的价格标签在更早的卷宗里写得明白：蔡维林案原告以「本案事实无法查清」申请撤诉获准，案件受理费3914元减半收取1957元由原告自担（P12028）；上海盈创案撤诉获准，受理费16347元依法减半8173.50元由原告自担（P12028）——即便全身而退，撤诉本身也要付出受理费一半的真金白银。鉴定环节的代价更为惊人：谢祥灯案中，原告先委托造价管理机构于2006年2月19日作出预算书，诉讼中再由温州东瓯会计事务所作出东瓯会审价字（2009）169号造价鉴定报告（P12034）；同一张收条的真伪，两家鉴定机构的意见认为签名非本人所写，第三家鉴定机构的结论则认定系本人所写（P12034）——三份鉴定、两派结论，胜负取决于谁的程序更硬。和解环节同样有隐性折价：灵山国诚案原告在被告无力支付的现实下，只主张结算单确认的12702400元，自行放弃未结清部分2487638.4元（两数相加恰为诉称总欠款15190038.4元，own_calc，源：P12024）；另有12项零星工程总造价1017870元双方没有进行结算（P12024）。利息主张的加码形态亦有样本：陈松何案对62100元勾土款主张按中国人民银行同期贷款利率四倍计息，而付款协议书早在2011年9月14日即确认欠款分二期还款（P12031）。</w:t>
      </w:r>
    </w:p>
    <w:p>
      <w:r>
        <w:rPr>
          <w:rFonts w:ascii="Calibri" w:hAnsi="Calibri" w:eastAsia="微软雅黑"/>
          <w:b/>
          <w:i w:val="0"/>
          <w:sz w:val="22"/>
        </w:rPr>
        <w:t>行权成本对照表（判例实测）。</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环节</w:t>
            </w:r>
          </w:p>
        </w:tc>
        <w:tc>
          <w:tcPr>
            <w:tcW w:type="dxa" w:w="2075"/>
            <w:shd w:fill="1F3A5F"/>
          </w:tcPr>
          <w:p>
            <w:r>
              <w:rPr>
                <w:color w:val="FFFFFF"/>
              </w:rPr>
            </w:r>
            <w:r>
              <w:rPr>
                <w:rFonts w:ascii="Calibri" w:hAnsi="Calibri" w:eastAsia="微软雅黑"/>
                <w:b/>
                <w:i w:val="0"/>
                <w:color w:val="FFFFFF"/>
                <w:sz w:val="18"/>
              </w:rPr>
              <w:t>判例样本</w:t>
            </w:r>
          </w:p>
        </w:tc>
        <w:tc>
          <w:tcPr>
            <w:tcW w:type="dxa" w:w="2075"/>
            <w:shd w:fill="1F3A5F"/>
          </w:tcPr>
          <w:p>
            <w:r>
              <w:rPr>
                <w:color w:val="FFFFFF"/>
              </w:rPr>
            </w:r>
            <w:r>
              <w:rPr>
                <w:rFonts w:ascii="Calibri" w:hAnsi="Calibri" w:eastAsia="微软雅黑"/>
                <w:b/>
                <w:i w:val="0"/>
                <w:color w:val="FFFFFF"/>
                <w:sz w:val="18"/>
              </w:rPr>
              <w:t>行权动作与实测代价</w:t>
            </w:r>
          </w:p>
        </w:tc>
        <w:tc>
          <w:tcPr>
            <w:tcW w:type="dxa" w:w="2075"/>
            <w:shd w:fill="1F3A5F"/>
          </w:tcPr>
          <w:p>
            <w:r>
              <w:rPr>
                <w:color w:val="FFFFFF"/>
              </w:rPr>
            </w:r>
            <w:r>
              <w:rPr>
                <w:rFonts w:ascii="Calibri" w:hAnsi="Calibri" w:eastAsia="微软雅黑"/>
                <w:b/>
                <w:i w:val="0"/>
                <w:color w:val="FFFFFF"/>
                <w:sz w:val="18"/>
              </w:rPr>
              <w:t>对川院的移植含义</w:t>
            </w:r>
          </w:p>
        </w:tc>
      </w:tr>
      <w:tr>
        <w:tc>
          <w:tcPr>
            <w:tcW w:type="dxa" w:w="2075"/>
          </w:tcPr>
          <w:p>
            <w:r/>
            <w:r>
              <w:rPr>
                <w:rFonts w:ascii="Calibri" w:hAnsi="Calibri" w:eastAsia="微软雅黑"/>
                <w:b w:val="0"/>
                <w:i w:val="0"/>
                <w:sz w:val="18"/>
              </w:rPr>
              <w:t>立案</w:t>
            </w:r>
          </w:p>
        </w:tc>
        <w:tc>
          <w:tcPr>
            <w:tcW w:type="dxa" w:w="2075"/>
          </w:tcPr>
          <w:p>
            <w:r/>
            <w:r>
              <w:rPr>
                <w:rFonts w:ascii="Calibri" w:hAnsi="Calibri" w:eastAsia="微软雅黑"/>
                <w:b w:val="0"/>
                <w:i w:val="0"/>
                <w:sz w:val="18"/>
              </w:rPr>
              <w:t>乔振军案（P12022）</w:t>
            </w:r>
          </w:p>
        </w:tc>
        <w:tc>
          <w:tcPr>
            <w:tcW w:type="dxa" w:w="2075"/>
          </w:tcPr>
          <w:p>
            <w:r/>
            <w:r>
              <w:rPr>
                <w:rFonts w:ascii="Calibri" w:hAnsi="Calibri" w:eastAsia="微软雅黑"/>
                <w:b w:val="0"/>
                <w:i w:val="0"/>
                <w:sz w:val="18"/>
              </w:rPr>
              <w:t>未预交受理费，按撤诉处理</w:t>
            </w:r>
          </w:p>
        </w:tc>
        <w:tc>
          <w:tcPr>
            <w:tcW w:type="dxa" w:w="2075"/>
          </w:tcPr>
          <w:p>
            <w:r/>
            <w:r>
              <w:rPr>
                <w:rFonts w:ascii="Calibri" w:hAnsi="Calibri" w:eastAsia="微软雅黑"/>
                <w:b w:val="0"/>
                <w:i w:val="0"/>
                <w:sz w:val="18"/>
              </w:rPr>
              <w:t>争议分级先算诉讼预算，小额纠纷宁走商催</w:t>
            </w:r>
          </w:p>
        </w:tc>
      </w:tr>
      <w:tr>
        <w:tc>
          <w:tcPr>
            <w:tcW w:type="dxa" w:w="2075"/>
          </w:tcPr>
          <w:p>
            <w:r/>
            <w:r>
              <w:rPr>
                <w:rFonts w:ascii="Calibri" w:hAnsi="Calibri" w:eastAsia="微软雅黑"/>
                <w:b w:val="0"/>
                <w:i w:val="0"/>
                <w:sz w:val="18"/>
              </w:rPr>
              <w:t>撤诉</w:t>
            </w:r>
          </w:p>
        </w:tc>
        <w:tc>
          <w:tcPr>
            <w:tcW w:type="dxa" w:w="2075"/>
          </w:tcPr>
          <w:p>
            <w:r/>
            <w:r>
              <w:rPr>
                <w:rFonts w:ascii="Calibri" w:hAnsi="Calibri" w:eastAsia="微软雅黑"/>
                <w:b w:val="0"/>
                <w:i w:val="0"/>
                <w:sz w:val="18"/>
              </w:rPr>
              <w:t>蔡维林案、上海盈创案（P12028）</w:t>
            </w:r>
          </w:p>
        </w:tc>
        <w:tc>
          <w:tcPr>
            <w:tcW w:type="dxa" w:w="2075"/>
          </w:tcPr>
          <w:p>
            <w:r/>
            <w:r>
              <w:rPr>
                <w:rFonts w:ascii="Calibri" w:hAnsi="Calibri" w:eastAsia="微软雅黑"/>
                <w:b w:val="0"/>
                <w:i w:val="0"/>
                <w:sz w:val="18"/>
              </w:rPr>
              <w:t>撤诉仍自担受理费一半（1957元、8173.50元）</w:t>
            </w:r>
          </w:p>
        </w:tc>
        <w:tc>
          <w:tcPr>
            <w:tcW w:type="dxa" w:w="2075"/>
          </w:tcPr>
          <w:p>
            <w:r/>
            <w:r>
              <w:rPr>
                <w:rFonts w:ascii="Calibri" w:hAnsi="Calibri" w:eastAsia="微软雅黑"/>
                <w:b w:val="0"/>
                <w:i w:val="0"/>
                <w:sz w:val="18"/>
              </w:rPr>
              <w:t>立案前完成证据盘点，避免「打了再撤」</w:t>
            </w:r>
          </w:p>
        </w:tc>
      </w:tr>
      <w:tr>
        <w:tc>
          <w:tcPr>
            <w:tcW w:type="dxa" w:w="2075"/>
          </w:tcPr>
          <w:p>
            <w:r/>
            <w:r>
              <w:rPr>
                <w:rFonts w:ascii="Calibri" w:hAnsi="Calibri" w:eastAsia="微软雅黑"/>
                <w:b w:val="0"/>
                <w:i w:val="0"/>
                <w:sz w:val="18"/>
              </w:rPr>
              <w:t>鉴定</w:t>
            </w:r>
          </w:p>
        </w:tc>
        <w:tc>
          <w:tcPr>
            <w:tcW w:type="dxa" w:w="2075"/>
          </w:tcPr>
          <w:p>
            <w:r/>
            <w:r>
              <w:rPr>
                <w:rFonts w:ascii="Calibri" w:hAnsi="Calibri" w:eastAsia="微软雅黑"/>
                <w:b w:val="0"/>
                <w:i w:val="0"/>
                <w:sz w:val="18"/>
              </w:rPr>
              <w:t>谢祥灯案（P12034）</w:t>
            </w:r>
          </w:p>
        </w:tc>
        <w:tc>
          <w:tcPr>
            <w:tcW w:type="dxa" w:w="2075"/>
          </w:tcPr>
          <w:p>
            <w:r/>
            <w:r>
              <w:rPr>
                <w:rFonts w:ascii="Calibri" w:hAnsi="Calibri" w:eastAsia="微软雅黑"/>
                <w:b w:val="0"/>
                <w:i w:val="0"/>
                <w:sz w:val="18"/>
              </w:rPr>
              <w:t>造价鉴定叠加三份笔迹鉴定、两派结论</w:t>
            </w:r>
          </w:p>
        </w:tc>
        <w:tc>
          <w:tcPr>
            <w:tcW w:type="dxa" w:w="2075"/>
          </w:tcPr>
          <w:p>
            <w:r/>
            <w:r>
              <w:rPr>
                <w:rFonts w:ascii="Calibri" w:hAnsi="Calibri" w:eastAsia="微软雅黑"/>
                <w:b w:val="0"/>
                <w:i w:val="0"/>
                <w:sz w:val="18"/>
              </w:rPr>
              <w:t>过程文件自证优于事后鉴定</w:t>
            </w:r>
          </w:p>
        </w:tc>
      </w:tr>
      <w:tr>
        <w:tc>
          <w:tcPr>
            <w:tcW w:type="dxa" w:w="2075"/>
          </w:tcPr>
          <w:p>
            <w:r/>
            <w:r>
              <w:rPr>
                <w:rFonts w:ascii="Calibri" w:hAnsi="Calibri" w:eastAsia="微软雅黑"/>
                <w:b w:val="0"/>
                <w:i w:val="0"/>
                <w:sz w:val="18"/>
              </w:rPr>
              <w:t>和解</w:t>
            </w:r>
          </w:p>
        </w:tc>
        <w:tc>
          <w:tcPr>
            <w:tcW w:type="dxa" w:w="2075"/>
          </w:tcPr>
          <w:p>
            <w:r/>
            <w:r>
              <w:rPr>
                <w:rFonts w:ascii="Calibri" w:hAnsi="Calibri" w:eastAsia="微软雅黑"/>
                <w:b w:val="0"/>
                <w:i w:val="0"/>
                <w:sz w:val="18"/>
              </w:rPr>
              <w:t>灵山国诚案（P12024）</w:t>
            </w:r>
          </w:p>
        </w:tc>
        <w:tc>
          <w:tcPr>
            <w:tcW w:type="dxa" w:w="2075"/>
          </w:tcPr>
          <w:p>
            <w:r/>
            <w:r>
              <w:rPr>
                <w:rFonts w:ascii="Calibri" w:hAnsi="Calibri" w:eastAsia="微软雅黑"/>
                <w:b w:val="0"/>
                <w:i w:val="0"/>
                <w:sz w:val="18"/>
              </w:rPr>
              <w:t>自弃2487638.4元；1017870元部分无结算</w:t>
            </w:r>
          </w:p>
        </w:tc>
        <w:tc>
          <w:tcPr>
            <w:tcW w:type="dxa" w:w="2075"/>
          </w:tcPr>
          <w:p>
            <w:r/>
            <w:r>
              <w:rPr>
                <w:rFonts w:ascii="Calibri" w:hAnsi="Calibri" w:eastAsia="微软雅黑"/>
                <w:b w:val="0"/>
                <w:i w:val="0"/>
                <w:sz w:val="18"/>
              </w:rPr>
              <w:t>无计量支撑的部分等于预置折让</w:t>
            </w:r>
          </w:p>
        </w:tc>
      </w:tr>
      <w:tr>
        <w:tc>
          <w:tcPr>
            <w:tcW w:type="dxa" w:w="2075"/>
          </w:tcPr>
          <w:p>
            <w:r/>
            <w:r>
              <w:rPr>
                <w:rFonts w:ascii="Calibri" w:hAnsi="Calibri" w:eastAsia="微软雅黑"/>
                <w:b w:val="0"/>
                <w:i w:val="0"/>
                <w:sz w:val="18"/>
              </w:rPr>
              <w:t>执行</w:t>
            </w:r>
          </w:p>
        </w:tc>
        <w:tc>
          <w:tcPr>
            <w:tcW w:type="dxa" w:w="2075"/>
          </w:tcPr>
          <w:p>
            <w:r/>
            <w:r>
              <w:rPr>
                <w:rFonts w:ascii="Calibri" w:hAnsi="Calibri" w:eastAsia="微软雅黑"/>
                <w:b w:val="0"/>
                <w:i w:val="0"/>
                <w:sz w:val="18"/>
              </w:rPr>
              <w:t>禧诚案（P12032）</w:t>
            </w:r>
          </w:p>
        </w:tc>
        <w:tc>
          <w:tcPr>
            <w:tcW w:type="dxa" w:w="2075"/>
          </w:tcPr>
          <w:p>
            <w:r/>
            <w:r>
              <w:rPr>
                <w:rFonts w:ascii="Calibri" w:hAnsi="Calibri" w:eastAsia="微软雅黑"/>
                <w:b w:val="0"/>
                <w:i w:val="0"/>
                <w:sz w:val="18"/>
              </w:rPr>
              <w:t>公司无财产，转向追加夫妻股东</w:t>
            </w:r>
          </w:p>
        </w:tc>
        <w:tc>
          <w:tcPr>
            <w:tcW w:type="dxa" w:w="2075"/>
          </w:tcPr>
          <w:p>
            <w:r/>
            <w:r>
              <w:rPr>
                <w:rFonts w:ascii="Calibri" w:hAnsi="Calibri" w:eastAsia="微软雅黑"/>
                <w:b w:val="0"/>
                <w:i w:val="0"/>
                <w:sz w:val="18"/>
              </w:rPr>
              <w:t>事前资信核验贵过事后一切救济</w:t>
            </w:r>
          </w:p>
        </w:tc>
      </w:tr>
      <w:tr>
        <w:tc>
          <w:tcPr>
            <w:tcW w:type="dxa" w:w="2075"/>
          </w:tcPr>
          <w:p>
            <w:r/>
            <w:r>
              <w:rPr>
                <w:rFonts w:ascii="Calibri" w:hAnsi="Calibri" w:eastAsia="微软雅黑"/>
                <w:b w:val="0"/>
                <w:i w:val="0"/>
                <w:sz w:val="18"/>
              </w:rPr>
              <w:t>利息</w:t>
            </w:r>
          </w:p>
        </w:tc>
        <w:tc>
          <w:tcPr>
            <w:tcW w:type="dxa" w:w="2075"/>
          </w:tcPr>
          <w:p>
            <w:r/>
            <w:r>
              <w:rPr>
                <w:rFonts w:ascii="Calibri" w:hAnsi="Calibri" w:eastAsia="微软雅黑"/>
                <w:b w:val="0"/>
                <w:i w:val="0"/>
                <w:sz w:val="18"/>
              </w:rPr>
              <w:t>陈松何案（P12031）</w:t>
            </w:r>
          </w:p>
        </w:tc>
        <w:tc>
          <w:tcPr>
            <w:tcW w:type="dxa" w:w="2075"/>
          </w:tcPr>
          <w:p>
            <w:r/>
            <w:r>
              <w:rPr>
                <w:rFonts w:ascii="Calibri" w:hAnsi="Calibri" w:eastAsia="微软雅黑"/>
                <w:b w:val="0"/>
                <w:i w:val="0"/>
                <w:sz w:val="18"/>
              </w:rPr>
              <w:t>四倍利率主张，留待法院裁量</w:t>
            </w:r>
          </w:p>
        </w:tc>
        <w:tc>
          <w:tcPr>
            <w:tcW w:type="dxa" w:w="2075"/>
          </w:tcPr>
          <w:p>
            <w:r/>
            <w:r>
              <w:rPr>
                <w:rFonts w:ascii="Calibri" w:hAnsi="Calibri" w:eastAsia="微软雅黑"/>
                <w:b w:val="0"/>
                <w:i w:val="0"/>
                <w:sz w:val="18"/>
              </w:rPr>
              <w:t>利率条款写进合同，别把定价权留给裁量</w:t>
            </w:r>
          </w:p>
        </w:tc>
      </w:tr>
    </w:tbl>
    <w:p>
      <w:r>
        <w:rPr>
          <w:rFonts w:ascii="Calibri" w:hAnsi="Calibri" w:eastAsia="微软雅黑"/>
          <w:b/>
          <w:i w:val="0"/>
          <w:sz w:val="22"/>
        </w:rPr>
        <w:t>推演逻辑。</w:t>
      </w:r>
      <w:r>
        <w:rPr>
          <w:rFonts w:ascii="Calibri" w:hAnsi="Calibri" w:eastAsia="微软雅黑"/>
          <w:b w:val="0"/>
          <w:i w:val="0"/>
          <w:sz w:val="22"/>
        </w:rPr>
        <w:t xml:space="preserve"> 把这些数字排成序列，纠纷经济学的结构就显形：行权是一道多级闸门——立案有费、鉴定有钱、执行有险，每一级都在筛选权利人；只有证据链完整、对手有偿付能力的案件才能走完全程。反过来对被告（总包商通常是被告）同样成立：对手也在核算行权成本，一份让对手「算了打不赢」的过程档案，本身就是不用出庭的胜诉。这把趋势四的「诉讼密度」指标推向第二代版本：不数纠纷件数，而看纠纷的单位了结成本——同样的纠纷体量，了结成本越低的企业，合同纪律与证据资产越厚。川院可据此建立「纠纷经济学台账」：每起争议记录立案成本、鉴定投入、和解折让、执行回收四项，年度复盘时这些数字就是法务体系最硬的考核线；管理层也能用这张表决定哪些纠纷主动打（建立规则示范）、哪些快速了结（节约行权成本）、哪些直接商催（不进入司法程序）。买方则获得一个新的尽调动作：索取近三年争议案件的了结成本分布——拒绝披露或披露不出结构化数据的，说明法务还停在「打官司」层级；能给出成本分布的，说明已进入「经营纠纷」层级。</w:t>
      </w:r>
    </w:p>
    <w:p>
      <w:r>
        <w:rPr>
          <w:rFonts w:ascii="Calibri" w:hAnsi="Calibri" w:eastAsia="微软雅黑"/>
          <w:b/>
          <w:i w:val="0"/>
          <w:sz w:val="22"/>
        </w:rPr>
        <w:t>证据战争的三个战场。</w:t>
      </w:r>
      <w:r>
        <w:rPr>
          <w:rFonts w:ascii="Calibri" w:hAnsi="Calibri" w:eastAsia="微软雅黑"/>
          <w:b w:val="0"/>
          <w:i w:val="0"/>
          <w:sz w:val="22"/>
        </w:rPr>
        <w:t xml:space="preserve"> 从卷宗看，争议的事实争夺集中在三处：签字与文书真伪（收条签名的鉴定攻防，P12034；证人证明被疑系按要求所写，P12026）、造价与计量（预算书对造价鉴定报告，P12034；12项零星工程无结算，P12024）、支付史重建（分笔57万元加15万元的时间戳，P12023）。三个战场对应的日常动作分别是签认留痕、过程计量、支付记账——恰好就是趋势四所说台账的前三项；纠纷经济学不过证明了一件事：平时不进台账的信息，战时就要用鉴定费买回来，而买回来的还未必被采信（P12034的两派结论即是警示）。</w:t>
      </w:r>
    </w:p>
    <w:p>
      <w:r>
        <w:rPr>
          <w:rFonts w:ascii="Calibri" w:hAnsi="Calibri" w:eastAsia="微软雅黑"/>
          <w:b/>
          <w:i w:val="0"/>
          <w:sz w:val="22"/>
        </w:rPr>
        <w:t>反证检验。</w:t>
      </w:r>
      <w:r>
        <w:rPr>
          <w:rFonts w:ascii="Calibri" w:hAnsi="Calibri" w:eastAsia="微软雅黑"/>
          <w:b w:val="0"/>
          <w:i w:val="0"/>
          <w:sz w:val="22"/>
        </w:rPr>
        <w:t xml:space="preserve"> 其一，样本偏小且金额偏轻：本节引用的撤诉费（1957元、8173.50元）与自弃债权（2487638.4元）均为个案实测（P12028、P12024），裁判文书不含行业聚合数据，不能合成「平均行权成本率」之类的指标，只能作量级感受与机制证据。其二，撤诉不等于失败：乔文波案撤销执行（P12022）与蔡维林案撤诉（P12028）都可能源于庭外和解，程序文书记录的是动作不是动机，以撤诉推断权利人受损会高估行权风险。其三，鉴定结论冲突（P12034）展示的是证据战争的惨烈而非鉴定的无效——法院最终仍须在冲突结论中择一采信，说明程序质量（委托主体、鉴定资质、检材同一性）才是决定性变量。买方使用本节时应记住：对照表给出的是「存在这些成本」的确定性，不是「成本多高」的定量结论。</w:t>
      </w:r>
    </w:p>
    <w:p>
      <w:pPr>
        <w:pStyle w:val="Heading2"/>
      </w:pPr>
      <w:r>
        <w:t>12.6 出海的代际跃迁：百年南洋坐标、跳变市场与巨头空白</w:t>
      </w:r>
    </w:p>
    <w:p>
      <w:r>
        <w:rPr>
          <w:rFonts w:ascii="Calibri" w:hAnsi="Calibri" w:eastAsia="微软雅黑"/>
          <w:b w:val="0"/>
          <w:i w:val="0"/>
          <w:sz w:val="22"/>
        </w:rPr>
        <w:t>趋势七到趋势九回答了「要不要长期做、按什么顺序、去哪里」，本节把三个此前未展开的结构证据拼成第四个问题的答案：以什么形态进入。证据显示，中国企业出海正处在一次代际跃迁的关口——从卖劳动力，到卖产品与工程，再到以本地法人与新业态存在；川院对自身形态的选择，比国别选择更能决定十年后的身位。</w:t>
      </w:r>
    </w:p>
    <w:p>
      <w:r>
        <w:rPr>
          <w:rFonts w:ascii="Calibri" w:hAnsi="Calibri" w:eastAsia="微软雅黑"/>
          <w:b/>
          <w:i w:val="0"/>
          <w:sz w:val="22"/>
        </w:rPr>
        <w:t>基线事实。</w:t>
      </w:r>
      <w:r>
        <w:rPr>
          <w:rFonts w:ascii="Calibri" w:hAnsi="Calibri" w:eastAsia="微软雅黑"/>
          <w:b w:val="0"/>
          <w:i w:val="0"/>
          <w:sz w:val="22"/>
        </w:rPr>
        <w:t xml:space="preserve"> 百年坐标来自制造业课程的原话：大约20世纪初，中国劳工远赴马来西亚、印度尼西亚、新加坡等地从事艰苦劳动，「那时，我们代表的是劳工阶层，是苦力」，而时至今日，「中国企业的输出已转变为技术、资本以及跨国公司」，讲述者据此宣称「在海外再造一个中国制造的时刻又到来了」（P12010）。市场的跳变属性来自非洲研究：「有的地方已经在直接跳过传统互联网，进入AI原生时代」（P12018）——发展阶段不是单行道，后来者可以不经过先行者的中间形态。竞争格局的空白来自东南亚投资人的观察：「欧美日韩企业一惯看重的都是发达国家市场，并没有在东南亚市场深耕落地」，星巴克、麦当劳、肯德基等全球巨头「实际上在东南亚做得并不好，规模也不大，其实留出了很大的市场空白给出海中国企业」（P12004）。形态选择的参照还有：本土化终局的国别样本（印尼、沙特、巴西，P12012）、一线咨询者共同探索肯尼亚和印尼等市场的轨迹（P12006），以及资本侧给出的形态创新议题清单——寻找新需求与创造新工种、突破地缘与监管壁垒、产品标准化与本地化的平衡点（P12014）。</w:t>
      </w:r>
    </w:p>
    <w:p>
      <w:r>
        <w:rPr>
          <w:rFonts w:ascii="Calibri" w:hAnsi="Calibri" w:eastAsia="微软雅黑"/>
          <w:b/>
          <w:i w:val="0"/>
          <w:sz w:val="22"/>
        </w:rPr>
        <w:t>三代出海者对照表。</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维度</w:t>
            </w:r>
          </w:p>
        </w:tc>
        <w:tc>
          <w:tcPr>
            <w:tcW w:type="dxa" w:w="2075"/>
            <w:shd w:fill="1F3A5F"/>
          </w:tcPr>
          <w:p>
            <w:r>
              <w:rPr>
                <w:color w:val="FFFFFF"/>
              </w:rPr>
            </w:r>
            <w:r>
              <w:rPr>
                <w:rFonts w:ascii="Calibri" w:hAnsi="Calibri" w:eastAsia="微软雅黑"/>
                <w:b/>
                <w:i w:val="0"/>
                <w:color w:val="FFFFFF"/>
                <w:sz w:val="18"/>
              </w:rPr>
              <w:t>第一代（20世纪初）</w:t>
            </w:r>
          </w:p>
        </w:tc>
        <w:tc>
          <w:tcPr>
            <w:tcW w:type="dxa" w:w="2075"/>
            <w:shd w:fill="1F3A5F"/>
          </w:tcPr>
          <w:p>
            <w:r>
              <w:rPr>
                <w:color w:val="FFFFFF"/>
              </w:rPr>
            </w:r>
            <w:r>
              <w:rPr>
                <w:rFonts w:ascii="Calibri" w:hAnsi="Calibri" w:eastAsia="微软雅黑"/>
                <w:b/>
                <w:i w:val="0"/>
                <w:color w:val="FFFFFF"/>
                <w:sz w:val="18"/>
              </w:rPr>
              <w:t>第二代（货物与工程跟随）</w:t>
            </w:r>
          </w:p>
        </w:tc>
        <w:tc>
          <w:tcPr>
            <w:tcW w:type="dxa" w:w="2075"/>
            <w:shd w:fill="1F3A5F"/>
          </w:tcPr>
          <w:p>
            <w:r>
              <w:rPr>
                <w:color w:val="FFFFFF"/>
              </w:rPr>
            </w:r>
            <w:r>
              <w:rPr>
                <w:rFonts w:ascii="Calibri" w:hAnsi="Calibri" w:eastAsia="微软雅黑"/>
                <w:b/>
                <w:i w:val="0"/>
                <w:color w:val="FFFFFF"/>
                <w:sz w:val="18"/>
              </w:rPr>
              <w:t>第三代（机构全球化）</w:t>
            </w:r>
          </w:p>
        </w:tc>
      </w:tr>
      <w:tr>
        <w:tc>
          <w:tcPr>
            <w:tcW w:type="dxa" w:w="2075"/>
          </w:tcPr>
          <w:p>
            <w:r/>
            <w:r>
              <w:rPr>
                <w:rFonts w:ascii="Calibri" w:hAnsi="Calibri" w:eastAsia="微软雅黑"/>
                <w:b w:val="0"/>
                <w:i w:val="0"/>
                <w:sz w:val="18"/>
              </w:rPr>
              <w:t>输出物</w:t>
            </w:r>
          </w:p>
        </w:tc>
        <w:tc>
          <w:tcPr>
            <w:tcW w:type="dxa" w:w="2075"/>
          </w:tcPr>
          <w:p>
            <w:r/>
            <w:r>
              <w:rPr>
                <w:rFonts w:ascii="Calibri" w:hAnsi="Calibri" w:eastAsia="微软雅黑"/>
                <w:b w:val="0"/>
                <w:i w:val="0"/>
                <w:sz w:val="18"/>
              </w:rPr>
              <w:t>劳动力，劳工阶层做苦力（P12010）</w:t>
            </w:r>
          </w:p>
        </w:tc>
        <w:tc>
          <w:tcPr>
            <w:tcW w:type="dxa" w:w="2075"/>
          </w:tcPr>
          <w:p>
            <w:r/>
            <w:r>
              <w:rPr>
                <w:rFonts w:ascii="Calibri" w:hAnsi="Calibri" w:eastAsia="微软雅黑"/>
                <w:b w:val="0"/>
                <w:i w:val="0"/>
                <w:sz w:val="18"/>
              </w:rPr>
              <w:t>产品、劳务与项目承包</w:t>
            </w:r>
          </w:p>
        </w:tc>
        <w:tc>
          <w:tcPr>
            <w:tcW w:type="dxa" w:w="2075"/>
          </w:tcPr>
          <w:p>
            <w:r/>
            <w:r>
              <w:rPr>
                <w:rFonts w:ascii="Calibri" w:hAnsi="Calibri" w:eastAsia="微软雅黑"/>
                <w:b w:val="0"/>
                <w:i w:val="0"/>
                <w:sz w:val="18"/>
              </w:rPr>
              <w:t>技术、资本与跨国经营（P12010、P12012）</w:t>
            </w:r>
          </w:p>
        </w:tc>
      </w:tr>
      <w:tr>
        <w:tc>
          <w:tcPr>
            <w:tcW w:type="dxa" w:w="2075"/>
          </w:tcPr>
          <w:p>
            <w:r/>
            <w:r>
              <w:rPr>
                <w:rFonts w:ascii="Calibri" w:hAnsi="Calibri" w:eastAsia="微软雅黑"/>
                <w:b w:val="0"/>
                <w:i w:val="0"/>
                <w:sz w:val="18"/>
              </w:rPr>
              <w:t>组织形态</w:t>
            </w:r>
          </w:p>
        </w:tc>
        <w:tc>
          <w:tcPr>
            <w:tcW w:type="dxa" w:w="2075"/>
          </w:tcPr>
          <w:p>
            <w:r/>
            <w:r>
              <w:rPr>
                <w:rFonts w:ascii="Calibri" w:hAnsi="Calibri" w:eastAsia="微软雅黑"/>
                <w:b w:val="0"/>
                <w:i w:val="0"/>
                <w:sz w:val="18"/>
              </w:rPr>
              <w:t>个体务工，无组织依托</w:t>
            </w:r>
          </w:p>
        </w:tc>
        <w:tc>
          <w:tcPr>
            <w:tcW w:type="dxa" w:w="2075"/>
          </w:tcPr>
          <w:p>
            <w:r/>
            <w:r>
              <w:rPr>
                <w:rFonts w:ascii="Calibri" w:hAnsi="Calibri" w:eastAsia="微软雅黑"/>
                <w:b w:val="0"/>
                <w:i w:val="0"/>
                <w:sz w:val="18"/>
              </w:rPr>
              <w:t>项目部与贸易代表处</w:t>
            </w:r>
          </w:p>
        </w:tc>
        <w:tc>
          <w:tcPr>
            <w:tcW w:type="dxa" w:w="2075"/>
          </w:tcPr>
          <w:p>
            <w:r/>
            <w:r>
              <w:rPr>
                <w:rFonts w:ascii="Calibri" w:hAnsi="Calibri" w:eastAsia="微软雅黑"/>
                <w:b w:val="0"/>
                <w:i w:val="0"/>
                <w:sz w:val="18"/>
              </w:rPr>
              <w:t>属地法人、本地团队（P12012）</w:t>
            </w:r>
          </w:p>
        </w:tc>
      </w:tr>
      <w:tr>
        <w:tc>
          <w:tcPr>
            <w:tcW w:type="dxa" w:w="2075"/>
          </w:tcPr>
          <w:p>
            <w:r/>
            <w:r>
              <w:rPr>
                <w:rFonts w:ascii="Calibri" w:hAnsi="Calibri" w:eastAsia="微软雅黑"/>
                <w:b w:val="0"/>
                <w:i w:val="0"/>
                <w:sz w:val="18"/>
              </w:rPr>
              <w:t>收益形态</w:t>
            </w:r>
          </w:p>
        </w:tc>
        <w:tc>
          <w:tcPr>
            <w:tcW w:type="dxa" w:w="2075"/>
          </w:tcPr>
          <w:p>
            <w:r/>
            <w:r>
              <w:rPr>
                <w:rFonts w:ascii="Calibri" w:hAnsi="Calibri" w:eastAsia="微软雅黑"/>
                <w:b w:val="0"/>
                <w:i w:val="0"/>
                <w:sz w:val="18"/>
              </w:rPr>
              <w:t>汇款回乡</w:t>
            </w:r>
          </w:p>
        </w:tc>
        <w:tc>
          <w:tcPr>
            <w:tcW w:type="dxa" w:w="2075"/>
          </w:tcPr>
          <w:p>
            <w:r/>
            <w:r>
              <w:rPr>
                <w:rFonts w:ascii="Calibri" w:hAnsi="Calibri" w:eastAsia="微软雅黑"/>
                <w:b w:val="0"/>
                <w:i w:val="0"/>
                <w:sz w:val="18"/>
              </w:rPr>
              <w:t>项目利润、工程款</w:t>
            </w:r>
          </w:p>
        </w:tc>
        <w:tc>
          <w:tcPr>
            <w:tcW w:type="dxa" w:w="2075"/>
          </w:tcPr>
          <w:p>
            <w:r/>
            <w:r>
              <w:rPr>
                <w:rFonts w:ascii="Calibri" w:hAnsi="Calibri" w:eastAsia="微软雅黑"/>
                <w:b w:val="0"/>
                <w:i w:val="0"/>
                <w:sz w:val="18"/>
              </w:rPr>
              <w:t>属地持续经营收入（P12000之长期判断）</w:t>
            </w:r>
          </w:p>
        </w:tc>
      </w:tr>
      <w:tr>
        <w:tc>
          <w:tcPr>
            <w:tcW w:type="dxa" w:w="2075"/>
          </w:tcPr>
          <w:p>
            <w:r/>
            <w:r>
              <w:rPr>
                <w:rFonts w:ascii="Calibri" w:hAnsi="Calibri" w:eastAsia="微软雅黑"/>
                <w:b w:val="0"/>
                <w:i w:val="0"/>
                <w:sz w:val="18"/>
              </w:rPr>
              <w:t>风险形态</w:t>
            </w:r>
          </w:p>
        </w:tc>
        <w:tc>
          <w:tcPr>
            <w:tcW w:type="dxa" w:w="2075"/>
          </w:tcPr>
          <w:p>
            <w:r/>
            <w:r>
              <w:rPr>
                <w:rFonts w:ascii="Calibri" w:hAnsi="Calibri" w:eastAsia="微软雅黑"/>
                <w:b w:val="0"/>
                <w:i w:val="0"/>
                <w:sz w:val="18"/>
              </w:rPr>
              <w:t>人身与契约风险</w:t>
            </w:r>
          </w:p>
        </w:tc>
        <w:tc>
          <w:tcPr>
            <w:tcW w:type="dxa" w:w="2075"/>
          </w:tcPr>
          <w:p>
            <w:r/>
            <w:r>
              <w:rPr>
                <w:rFonts w:ascii="Calibri" w:hAnsi="Calibri" w:eastAsia="微软雅黑"/>
                <w:b w:val="0"/>
                <w:i w:val="0"/>
                <w:sz w:val="18"/>
              </w:rPr>
              <w:t>汇率、回款与合规风险</w:t>
            </w:r>
          </w:p>
        </w:tc>
        <w:tc>
          <w:tcPr>
            <w:tcW w:type="dxa" w:w="2075"/>
          </w:tcPr>
          <w:p>
            <w:r/>
            <w:r>
              <w:rPr>
                <w:rFonts w:ascii="Calibri" w:hAnsi="Calibri" w:eastAsia="微软雅黑"/>
                <w:b w:val="0"/>
                <w:i w:val="0"/>
                <w:sz w:val="18"/>
              </w:rPr>
              <w:t>治理、文化融合与地缘监管风险（P12014）</w:t>
            </w:r>
          </w:p>
        </w:tc>
      </w:tr>
      <w:tr>
        <w:tc>
          <w:tcPr>
            <w:tcW w:type="dxa" w:w="2075"/>
          </w:tcPr>
          <w:p>
            <w:r/>
            <w:r>
              <w:rPr>
                <w:rFonts w:ascii="Calibri" w:hAnsi="Calibri" w:eastAsia="微软雅黑"/>
                <w:b w:val="0"/>
                <w:i w:val="0"/>
                <w:sz w:val="18"/>
              </w:rPr>
              <w:t>对川院的镜鉴</w:t>
            </w:r>
          </w:p>
        </w:tc>
        <w:tc>
          <w:tcPr>
            <w:tcW w:type="dxa" w:w="2075"/>
          </w:tcPr>
          <w:p>
            <w:r/>
            <w:r>
              <w:rPr>
                <w:rFonts w:ascii="Calibri" w:hAnsi="Calibri" w:eastAsia="微软雅黑"/>
                <w:b w:val="0"/>
                <w:i w:val="0"/>
                <w:sz w:val="18"/>
              </w:rPr>
              <w:t>已成历史</w:t>
            </w:r>
          </w:p>
        </w:tc>
        <w:tc>
          <w:tcPr>
            <w:tcW w:type="dxa" w:w="2075"/>
          </w:tcPr>
          <w:p>
            <w:r/>
            <w:r>
              <w:rPr>
                <w:rFonts w:ascii="Calibri" w:hAnsi="Calibri" w:eastAsia="微软雅黑"/>
                <w:b w:val="0"/>
                <w:i w:val="0"/>
                <w:sz w:val="18"/>
              </w:rPr>
              <w:t>当前主流身位，正在贬值</w:t>
            </w:r>
          </w:p>
        </w:tc>
        <w:tc>
          <w:tcPr>
            <w:tcW w:type="dxa" w:w="2075"/>
          </w:tcPr>
          <w:p>
            <w:r/>
            <w:r>
              <w:rPr>
                <w:rFonts w:ascii="Calibri" w:hAnsi="Calibri" w:eastAsia="微软雅黑"/>
                <w:b w:val="0"/>
                <w:i w:val="0"/>
                <w:sz w:val="18"/>
              </w:rPr>
              <w:t>目标形态，需以十年计投入</w:t>
            </w:r>
          </w:p>
        </w:tc>
      </w:tr>
    </w:tbl>
    <w:p>
      <w:r>
        <w:rPr>
          <w:rFonts w:ascii="Calibri" w:hAnsi="Calibri" w:eastAsia="微软雅黑"/>
          <w:b/>
          <w:i w:val="0"/>
          <w:sz w:val="22"/>
        </w:rPr>
        <w:t>推演逻辑。</w:t>
      </w:r>
      <w:r>
        <w:rPr>
          <w:rFonts w:ascii="Calibri" w:hAnsi="Calibri" w:eastAsia="微软雅黑"/>
          <w:b w:val="0"/>
          <w:i w:val="0"/>
          <w:sz w:val="22"/>
        </w:rPr>
        <w:t xml:space="preserve"> 跳变市场（P12018）对电力行业的含义需要一步诚实的推演：证据本身说的是数字基础设施可以跨代（跳过传统互联网直达AI原生），并不直接说电网也可以跨代；但同一逻辑结构提示，基础设施薄弱的市场未必重复「先大电网、后智能化」的路径，分布式能源与微网可能作为目标市场的第一代主网形态出现——这是一个假设，成立与否要用国别电力规划文本逐个验证，不能整体采信。若成立，川院的产品战略就应准备「跳变版」方案：以分布式、微网、光储一体化为先锋产品进入无主网地区，而非把国内大电网设计范式原样出口。巨头空白（P12004）的推演同样要克制：证据描述的是消费品牌巨头的东南亚困局，向工程咨询行业外推只是类比——欧美工程咨询企业在目标市场的属地深耕程度，证据库未覆盖，需以竞对注册与业绩清单实测；但类比的方向值得投入验证成本，因为空白若存在，填补者需要的正是「中国电力装备+中国设计标准+属地交付」的组合，恰好是川院式企业的能力交集。新工种议题（P12014）则点出第三形态的深层要求：全球化不只是把现有工种搬到海外，而是在当地创造原来不存在的岗位与服务形态——对设计院，海外市场的「电力+」复合服务（电力规划咨询、能效审计、园区综合能源托管）可能比传统设计出图更容易长出本地根须。百年坐标（P12010）最后给出时间尺度的校准：从苦力到跨国公司的跃迁用了一百年，川院从第二代身位切向第三代，应以五年为最小周期、十年为基本盘做投入预期，才不会被中途的财务波动吓退。</w:t>
      </w:r>
    </w:p>
    <w:p>
      <w:r>
        <w:rPr>
          <w:rFonts w:ascii="Calibri" w:hAnsi="Calibri" w:eastAsia="微软雅黑"/>
          <w:b/>
          <w:i w:val="0"/>
          <w:sz w:val="22"/>
        </w:rPr>
        <w:t>反证检验。</w:t>
      </w:r>
      <w:r>
        <w:rPr>
          <w:rFonts w:ascii="Calibri" w:hAnsi="Calibri" w:eastAsia="微软雅黑"/>
          <w:b w:val="0"/>
          <w:i w:val="0"/>
          <w:sz w:val="22"/>
        </w:rPr>
        <w:t xml:space="preserve"> 其一，跳变是局部现象：原文明说「有的地方」直接跳过传统互联网（P12018），把它当成全域规律会选错市场。其二，巨头空白是消费领域的观察（P12004），星巴克、麦当劳、肯德基的困局不能证明工程咨询同行同样缺位——国际工程巨头在新兴市场的属地布局可能远深于消费品牌的授权模式，此推论必须实测后才能入模。其三，「在海外再造一个中国制造」（P12010）是讲述者的宣言式表达，带激励修辞成分，制造业经验向知识密集的设计咨询业迁移时，人才与资质的属地化约束会更硬。其四，肯尼亚与印尼的探索（P12006）属对谈者个人咨询轨迹，样本含金量有限。买方据此应把本节的权重记为「方向框架」而非「事实清单」：三代对照表用于诊断川院当前身位，跳变与空白两个假设用于设计尽调问题（要求川院出示目标市场的主网现状与竞对属地注册清单），而不是直接写进估值参数。</w:t>
      </w:r>
    </w:p>
    <w:p>
      <w:pPr>
        <w:pStyle w:val="Heading2"/>
      </w:pPr>
      <w:r>
        <w:t>12.7 本章小结与盲区</w:t>
      </w:r>
    </w:p>
    <w:p>
      <w:r>
        <w:rPr>
          <w:rFonts w:ascii="Calibri" w:hAnsi="Calibri" w:eastAsia="微软雅黑"/>
          <w:b w:val="0"/>
          <w:i w:val="0"/>
          <w:sz w:val="22"/>
        </w:rPr>
        <w:t>十二个趋势的可信度并不均等，其证据强度可以分三档：政策与周期类趋势（一至三）直接锚定官方规划研究与宏观研究，方向最硬；行业与出海类趋势（四至九）锚定判例序列、方法论课程与投资人口述，方向可信但节奏不确定；组织与风控类趋势（十至十二）以案例类推为主，属于高置信的方向判断、低置信的时间表。在此之上，12.5节把判例证据再向下挖出一层行权成本，12.6节把出海证据拼成形态选择的框架——两节都是衍生透镜：不改变十二个趋势的方向判断，只提高买方使用它们时的操作精度。三者共同勾勒的川院画像是一个处在三重切换点上的企业：订单结构随规划切换、竞争坐标从设计费切换到总包成熟度、增长空间从省内切换到海外城市清单——切换完成者获得下一个周期的定价权，切换失败者退回劳务型设计产能的存量绞杀。方法论上，本章拒绝线性外推：「当转折出现的时候，线性地从历史去总结未来便不成立了……要抓住历史的韵脚，而不是总结简单的规律重复」（P12000）；哲学研究的告诫同样适用——带功利目的的研究首先会遭遇「主观导向的证据筛选」（P12002），而不带功利色彩的基础理论首先的特征是大尺度（P12002，原文列出四个显著特点）。本章以带锚事实约束每一步推演，正是为了对冲这两类偏差。若以一句话收束全章：川院未来数年的胜负手不在于判断对了哪个风口，而在于把三重切换——订单结构、竞争坐标、增长空间——都变成有纪律的组织动作；风口属于时代，纪律才属于企业。</w:t>
      </w:r>
    </w:p>
    <w:p>
      <w:r>
        <w:rPr>
          <w:rFonts w:ascii="Calibri" w:hAnsi="Calibri" w:eastAsia="微软雅黑"/>
          <w:b w:val="0"/>
          <w:i w:val="0"/>
          <w:sz w:val="22"/>
        </w:rPr>
        <w:t>如实声明，本章预判存在以下证据盲区，买方使用时应打折或补充验证：</w:t>
      </w:r>
    </w:p>
    <w:p>
      <w:r>
        <w:rPr>
          <w:rFonts w:ascii="Calibri" w:hAnsi="Calibri" w:eastAsia="微软雅黑"/>
          <w:b w:val="0"/>
          <w:i w:val="0"/>
          <w:sz w:val="22"/>
        </w:rPr>
        <w:t>其一，川院自身的经营数据在本章证据库中无直接覆盖——订单、营收、项目清单、人员结构均未进入锚点，全部十二个趋势都是从行业与宏观层证据向企业层推演的结果，未经过川院内部数据的交叉验证；企业层结论的强弱，需以川院实际披露数据重检。</w:t>
      </w:r>
    </w:p>
    <w:p>
      <w:r>
        <w:rPr>
          <w:rFonts w:ascii="Calibri" w:hAnsi="Calibri" w:eastAsia="微软雅黑"/>
          <w:b w:val="0"/>
          <w:i w:val="0"/>
          <w:sz w:val="22"/>
        </w:rPr>
        <w:t>其二，裁判文书的时间序列口径不稳定：2018年5754篇低于2017年11716篇（P12026、P12023），2021年仅收录324篇（P12032），年度篇数受文书公开范围影响显著，「纠纷高位平台期」是方向判断，不是逐年数值预测；据此计算的倍数与降幅（own_calc）仅在同口径假设下成立。</w:t>
      </w:r>
    </w:p>
    <w:p>
      <w:r>
        <w:rPr>
          <w:rFonts w:ascii="Calibri" w:hAnsi="Calibri" w:eastAsia="微软雅黑"/>
          <w:b w:val="0"/>
          <w:i w:val="0"/>
          <w:sz w:val="22"/>
        </w:rPr>
        <w:t>其三，出海与全球化证据主要来自商业课程讲义与投资人分享（P12000、P12004、P12010、P12012、P12018），带有一线经验价值，也天然带有立场与传播倾向；其中的远期预测（如30年后出海企业年收入占中国GDP的50%，P12000）是观点而非事实，本章仅作情景使用。</w:t>
      </w:r>
    </w:p>
    <w:p>
      <w:r>
        <w:rPr>
          <w:rFonts w:ascii="Calibri" w:hAnsi="Calibri" w:eastAsia="微软雅黑"/>
          <w:b w:val="0"/>
          <w:i w:val="0"/>
          <w:sz w:val="22"/>
        </w:rPr>
        <w:t>其四，AI趋势的证据是快照式的：模型供给信息截至证据库收录时点（P12033），该赛道迭代速度可能快于本报告的修订周期，趋势六的工具清单会过时，但「选型风险与机会并存」的结构判断相对稳定。</w:t>
      </w:r>
    </w:p>
    <w:p>
      <w:r>
        <w:rPr>
          <w:rFonts w:ascii="Calibri" w:hAnsi="Calibri" w:eastAsia="微软雅黑"/>
          <w:b w:val="0"/>
          <w:i w:val="0"/>
          <w:sz w:val="22"/>
        </w:rPr>
        <w:t>其五，电力行业的专属量化数据（装机、电价、电网投资额、新能源消纳率）未进入本章证据库，趋势三关于绿色生态指标向订单转化的推演缺少量化锚点，其力度与节奏需以行业统计补证后复核。</w:t>
      </w:r>
    </w:p>
    <w:p>
      <w:r>
        <w:rPr>
          <w:rFonts w:ascii="Calibri" w:hAnsi="Calibri" w:eastAsia="微软雅黑"/>
          <w:b w:val="0"/>
          <w:i w:val="0"/>
          <w:sz w:val="22"/>
        </w:rPr>
        <w:t>其六，12.5节的行权成本数字（撤诉自担费用、自弃债权额、鉴定冲突）全部来自个案卷宗（P12022、P12024、P12028、P12031、P12032、P12034），金额量级多为中小工程与装修租赁纠纷，既不能合成行业均值，也未覆盖电力EPC大标的场景；「纠纷经济学台账」是本报告基于判例机制提出的管理建议，证据库中无川院或同业已实施该台账的实例，其有效性未经实践回检。</w:t>
      </w:r>
    </w:p>
    <w:p>
      <w:r>
        <w:rPr>
          <w:rFonts w:ascii="Calibri" w:hAnsi="Calibri" w:eastAsia="微软雅黑"/>
          <w:b w:val="0"/>
          <w:i w:val="0"/>
          <w:sz w:val="22"/>
        </w:rPr>
        <w:t>其七，12.6节的关键推论——基础设施跳变可类推到电力形态、消费品牌巨头空白可类比工程咨询竞对缺位——均为类比外推而非直接证据；百年南洋坐标（P12010）属叙事性历史陈述。另需如实交代弹药库构成：本章三十五个源中有十个为同名docx二进制重复件（P12001、P12003、P12005、P12007、P12009、P12011、P12013、P12015、P12017、P12019），不含增量文本，故本章扩写原料全部取自已引md源中现稿此前未使用过的段落；两篇CAJ学术件（P12029、P12030）为二进制格式，仅题名与主题可考证，正文细节未能核验。</w:t>
      </w:r>
    </w:p>
    <w:p>
      <w:r>
        <w:rPr>
          <w:rFonts w:ascii="Calibri" w:hAnsi="Calibri" w:eastAsia="微软雅黑"/>
          <w:b w:val="0"/>
          <w:i w:val="0"/>
          <w:sz w:val="22"/>
        </w:rPr>
        <w:t>以上盲区不削弱趋势的方向价值，但明确限制了它们作为下注依据的精度。建议的使用方式是：把十二个趋势当作检验清单，逐条向川院管理层索要对应证据；证据齐备的趋势计入估值，证据缺位的趋势只计入期权——这样既不错杀机会，也不为叙事透支。</w:t>
      </w:r>
    </w:p>
    <w:p>
      <w:r>
        <w:rPr>
          <w:rFonts w:ascii="Calibri" w:hAnsi="Calibri" w:eastAsia="微软雅黑"/>
          <w:b w:val="0"/>
          <w:i w:val="0"/>
          <w:sz w:val="22"/>
        </w:rPr>
        <w:t>---</w:t>
      </w:r>
    </w:p>
    <w:sectPr w:rsidR="00FC693F" w:rsidRPr="0006063C" w:rsidSect="00034616">
      <w:footerReference w:type="default" r:id="rId9"/>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微软雅黑"/>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