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EPC模式与设计院转型方法论——设计院如何转型工程总承包商</w:t>
      </w:r>
    </w:p>
    <w:p>
      <w:pPr>
        <w:jc w:val="center"/>
      </w:pPr>
      <w:r>
        <w:rPr>
          <w:rFonts w:ascii="Calibri" w:hAnsi="Calibri" w:eastAsia="微软雅黑"/>
          <w:b w:val="0"/>
          <w:i w:val="0"/>
          <w:color w:val="666666"/>
          <w:sz w:val="22"/>
        </w:rPr>
        <w:t>行业研究 · 总包智库 | 数字可溯 · 每个数字标注出处（P锚=弹药库源，own_calc=跨源算式）</w:t>
      </w:r>
    </w:p>
    <w:p>
      <w:r>
        <w:br w:type="page"/>
      </w:r>
    </w:p>
    <w:p>
      <w:pPr>
        <w:pStyle w:val="Heading1"/>
      </w:pPr>
      <w:r>
        <w:t>目 录</w:t>
      </w:r>
    </w:p>
    <w:p>
      <w:pPr>
        <w:tabs>
          <w:tab w:pos="8504" w:val="right" w:leader="dot"/>
        </w:tabs>
        <w:ind w:left="0"/>
      </w:pPr>
      <w:r>
        <w:rPr>
          <w:rFonts w:ascii="Calibri" w:hAnsi="Calibri" w:eastAsia="微软雅黑"/>
          <w:b/>
          <w:i w:val="0"/>
          <w:sz w:val="22"/>
        </w:rPr>
        <w:t>第1章 转型总图景：设计院的十字路口与方法论地图</w:t>
      </w:r>
    </w:p>
    <w:p>
      <w:pPr>
        <w:tabs>
          <w:tab w:pos="8504" w:val="right" w:leader="dot"/>
        </w:tabs>
        <w:ind w:left="340"/>
      </w:pPr>
      <w:r>
        <w:rPr>
          <w:rFonts w:ascii="Calibri" w:hAnsi="Calibri" w:eastAsia="微软雅黑"/>
          <w:b w:val="0"/>
          <w:i w:val="0"/>
          <w:sz w:val="20"/>
        </w:rPr>
        <w:t>1.1 十字路口的由来：管理体制四十年演进与行业"分水岭"</w:t>
      </w:r>
    </w:p>
    <w:p>
      <w:pPr>
        <w:tabs>
          <w:tab w:pos="8504" w:val="right" w:leader="dot"/>
        </w:tabs>
        <w:ind w:left="340"/>
      </w:pPr>
      <w:r>
        <w:rPr>
          <w:rFonts w:ascii="Calibri" w:hAnsi="Calibri" w:eastAsia="微软雅黑"/>
          <w:b w:val="0"/>
          <w:i w:val="0"/>
          <w:sz w:val="20"/>
        </w:rPr>
        <w:t>1.2 政策地图：从93号文到《管理办法》的规则阶梯与地方落地潮</w:t>
      </w:r>
    </w:p>
    <w:p>
      <w:pPr>
        <w:tabs>
          <w:tab w:pos="8504" w:val="right" w:leader="dot"/>
        </w:tabs>
        <w:ind w:left="340"/>
      </w:pPr>
      <w:r>
        <w:rPr>
          <w:rFonts w:ascii="Calibri" w:hAnsi="Calibri" w:eastAsia="微软雅黑"/>
          <w:b w:val="0"/>
          <w:i w:val="0"/>
          <w:sz w:val="20"/>
        </w:rPr>
        <w:t>1.3 玩家地图：五类基因企业的转型起点与身位</w:t>
      </w:r>
    </w:p>
    <w:p>
      <w:pPr>
        <w:tabs>
          <w:tab w:pos="8504" w:val="right" w:leader="dot"/>
        </w:tabs>
        <w:ind w:left="340"/>
      </w:pPr>
      <w:r>
        <w:rPr>
          <w:rFonts w:ascii="Calibri" w:hAnsi="Calibri" w:eastAsia="微软雅黑"/>
          <w:b w:val="0"/>
          <w:i w:val="0"/>
          <w:sz w:val="20"/>
        </w:rPr>
        <w:t>1.4 方法论地图：能力要素、决策红线与全书导航</w:t>
      </w:r>
    </w:p>
    <w:p>
      <w:pPr>
        <w:tabs>
          <w:tab w:pos="8504" w:val="right" w:leader="dot"/>
        </w:tabs>
        <w:ind w:left="340"/>
      </w:pPr>
      <w:r>
        <w:rPr>
          <w:rFonts w:ascii="Calibri" w:hAnsi="Calibri" w:eastAsia="微软雅黑"/>
          <w:b w:val="0"/>
          <w:i w:val="0"/>
          <w:sz w:val="20"/>
        </w:rPr>
        <w:t>1.5 本章小结与盲区</w:t>
      </w:r>
    </w:p>
    <w:p>
      <w:pPr>
        <w:tabs>
          <w:tab w:pos="8504" w:val="right" w:leader="dot"/>
        </w:tabs>
        <w:ind w:left="0"/>
      </w:pPr>
      <w:r>
        <w:rPr>
          <w:rFonts w:ascii="Calibri" w:hAnsi="Calibri" w:eastAsia="微软雅黑"/>
          <w:b/>
          <w:i w:val="0"/>
          <w:sz w:val="22"/>
        </w:rPr>
        <w:t>第2章 政策坐标系：从93号文到总承包管理办法的规则阶梯</w:t>
      </w:r>
    </w:p>
    <w:p>
      <w:pPr>
        <w:tabs>
          <w:tab w:pos="8504" w:val="right" w:leader="dot"/>
        </w:tabs>
        <w:ind w:left="340"/>
      </w:pPr>
      <w:r>
        <w:rPr>
          <w:rFonts w:ascii="Calibri" w:hAnsi="Calibri" w:eastAsia="微软雅黑"/>
          <w:b w:val="0"/>
          <w:i w:val="0"/>
          <w:sz w:val="20"/>
        </w:rPr>
        <w:t>2.1 阶梯的起点：93号文与国办发19号文的双重信号</w:t>
      </w:r>
    </w:p>
    <w:p>
      <w:pPr>
        <w:tabs>
          <w:tab w:pos="8504" w:val="right" w:leader="dot"/>
        </w:tabs>
        <w:ind w:left="340"/>
      </w:pPr>
      <w:r>
        <w:rPr>
          <w:rFonts w:ascii="Calibri" w:hAnsi="Calibri" w:eastAsia="微软雅黑"/>
          <w:b w:val="0"/>
          <w:i w:val="0"/>
          <w:sz w:val="20"/>
        </w:rPr>
        <w:t>2.2 阶梯的主梁：《管理办法》的三年成文、法律层级与上位法</w:t>
      </w:r>
    </w:p>
    <w:p>
      <w:pPr>
        <w:tabs>
          <w:tab w:pos="8504" w:val="right" w:leader="dot"/>
        </w:tabs>
        <w:ind w:left="340"/>
      </w:pPr>
      <w:r>
        <w:rPr>
          <w:rFonts w:ascii="Calibri" w:hAnsi="Calibri" w:eastAsia="微软雅黑"/>
          <w:b w:val="0"/>
          <w:i w:val="0"/>
          <w:sz w:val="20"/>
        </w:rPr>
        <w:t>2.3 阶梯的横杆：管理办法框架下必须吃透的四组硬规则</w:t>
      </w:r>
    </w:p>
    <w:p>
      <w:pPr>
        <w:tabs>
          <w:tab w:pos="8504" w:val="right" w:leader="dot"/>
        </w:tabs>
        <w:ind w:left="340"/>
      </w:pPr>
      <w:r>
        <w:rPr>
          <w:rFonts w:ascii="Calibri" w:hAnsi="Calibri" w:eastAsia="微软雅黑"/>
          <w:b w:val="0"/>
          <w:i w:val="0"/>
          <w:sz w:val="20"/>
        </w:rPr>
        <w:t>2.4 阶梯的落地：2017—2022年地方政策六个年度的梯度图谱</w:t>
      </w:r>
    </w:p>
    <w:p>
      <w:pPr>
        <w:tabs>
          <w:tab w:pos="8504" w:val="right" w:leader="dot"/>
        </w:tabs>
        <w:ind w:left="340"/>
      </w:pPr>
      <w:r>
        <w:rPr>
          <w:rFonts w:ascii="Calibri" w:hAnsi="Calibri" w:eastAsia="微软雅黑"/>
          <w:b w:val="0"/>
          <w:i w:val="0"/>
          <w:sz w:val="20"/>
        </w:rPr>
        <w:t>2.5 阶梯的底座：司法裁判曲线、事故红线与规则边界</w:t>
      </w:r>
    </w:p>
    <w:p>
      <w:pPr>
        <w:tabs>
          <w:tab w:pos="8504" w:val="right" w:leader="dot"/>
        </w:tabs>
        <w:ind w:left="340"/>
      </w:pPr>
      <w:r>
        <w:rPr>
          <w:rFonts w:ascii="Calibri" w:hAnsi="Calibri" w:eastAsia="微软雅黑"/>
          <w:b w:val="0"/>
          <w:i w:val="0"/>
          <w:sz w:val="20"/>
        </w:rPr>
        <w:t>2.6 坐标系的外延验证：核电EPC样本对四组硬规则的先行预演</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第3章 市场底账：工程总承包市场的规模与结构</w:t>
      </w:r>
    </w:p>
    <w:p>
      <w:pPr>
        <w:tabs>
          <w:tab w:pos="8504" w:val="right" w:leader="dot"/>
        </w:tabs>
        <w:ind w:left="340"/>
      </w:pPr>
      <w:r>
        <w:rPr>
          <w:rFonts w:ascii="Calibri" w:hAnsi="Calibri" w:eastAsia="微软雅黑"/>
          <w:b w:val="0"/>
          <w:i w:val="0"/>
          <w:sz w:val="20"/>
        </w:rPr>
        <w:t>3.1 先过口径关：你统计的"工程总承包市场"到底是什么</w:t>
      </w:r>
    </w:p>
    <w:p>
      <w:pPr>
        <w:tabs>
          <w:tab w:pos="8504" w:val="right" w:leader="dot"/>
        </w:tabs>
        <w:ind w:left="340"/>
      </w:pPr>
      <w:r>
        <w:rPr>
          <w:rFonts w:ascii="Calibri" w:hAnsi="Calibri" w:eastAsia="微软雅黑"/>
          <w:b w:val="0"/>
          <w:i w:val="0"/>
          <w:sz w:val="20"/>
        </w:rPr>
        <w:t>3.2 政策供给曲线：从1982年试点到2022年地方退潮的四十年</w:t>
      </w:r>
    </w:p>
    <w:p>
      <w:pPr>
        <w:tabs>
          <w:tab w:pos="8504" w:val="right" w:leader="dot"/>
        </w:tabs>
        <w:ind w:left="340"/>
      </w:pPr>
      <w:r>
        <w:rPr>
          <w:rFonts w:ascii="Calibri" w:hAnsi="Calibri" w:eastAsia="微软雅黑"/>
          <w:b w:val="0"/>
          <w:i w:val="0"/>
          <w:sz w:val="20"/>
        </w:rPr>
        <w:t>3.3 需求侧结构：钱在哪些行业流动</w:t>
      </w:r>
    </w:p>
    <w:p>
      <w:pPr>
        <w:tabs>
          <w:tab w:pos="8504" w:val="right" w:leader="dot"/>
        </w:tabs>
        <w:ind w:left="340"/>
      </w:pPr>
      <w:r>
        <w:rPr>
          <w:rFonts w:ascii="Calibri" w:hAnsi="Calibri" w:eastAsia="微软雅黑"/>
          <w:b w:val="0"/>
          <w:i w:val="0"/>
          <w:sz w:val="20"/>
        </w:rPr>
        <w:t>3.4 供给侧格局：牌桌上坐着谁，价差决定生死</w:t>
      </w:r>
    </w:p>
    <w:p>
      <w:pPr>
        <w:tabs>
          <w:tab w:pos="8504" w:val="right" w:leader="dot"/>
        </w:tabs>
        <w:ind w:left="340"/>
      </w:pPr>
      <w:r>
        <w:rPr>
          <w:rFonts w:ascii="Calibri" w:hAnsi="Calibri" w:eastAsia="微软雅黑"/>
          <w:b w:val="0"/>
          <w:i w:val="0"/>
          <w:sz w:val="20"/>
        </w:rPr>
        <w:t>3.5 司法争议面：市场规模扩张的影子证据</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第4章 竞争格局：四层玩家与转型位次</w:t>
      </w:r>
    </w:p>
    <w:p>
      <w:pPr>
        <w:tabs>
          <w:tab w:pos="8504" w:val="right" w:leader="dot"/>
        </w:tabs>
        <w:ind w:left="340"/>
      </w:pPr>
      <w:r>
        <w:rPr>
          <w:rFonts w:ascii="Calibri" w:hAnsi="Calibri" w:eastAsia="微软雅黑"/>
          <w:b w:val="0"/>
          <w:i w:val="0"/>
          <w:sz w:val="20"/>
        </w:rPr>
        <w:t>4.1 牌桌重排：收缩的大盘与四层玩家的形成</w:t>
      </w:r>
    </w:p>
    <w:p>
      <w:pPr>
        <w:tabs>
          <w:tab w:pos="8504" w:val="right" w:leader="dot"/>
        </w:tabs>
        <w:ind w:left="340"/>
      </w:pPr>
      <w:r>
        <w:rPr>
          <w:rFonts w:ascii="Calibri" w:hAnsi="Calibri" w:eastAsia="微软雅黑"/>
          <w:b w:val="0"/>
          <w:i w:val="0"/>
          <w:sz w:val="20"/>
        </w:rPr>
        <w:t>4.2 第一层：工艺主导型国家队——不对普通设计院开放的牌桌</w:t>
      </w:r>
    </w:p>
    <w:p>
      <w:pPr>
        <w:tabs>
          <w:tab w:pos="8504" w:val="right" w:leader="dot"/>
        </w:tabs>
        <w:ind w:left="340"/>
      </w:pPr>
      <w:r>
        <w:rPr>
          <w:rFonts w:ascii="Calibri" w:hAnsi="Calibri" w:eastAsia="微软雅黑"/>
          <w:b w:val="0"/>
          <w:i w:val="0"/>
          <w:sz w:val="20"/>
        </w:rPr>
        <w:t>4.3 第二层：设计为龙头的转型大院——位次跃升的主战场</w:t>
      </w:r>
    </w:p>
    <w:p>
      <w:pPr>
        <w:tabs>
          <w:tab w:pos="8504" w:val="right" w:leader="dot"/>
        </w:tabs>
        <w:ind w:left="340"/>
      </w:pPr>
      <w:r>
        <w:rPr>
          <w:rFonts w:ascii="Calibri" w:hAnsi="Calibri" w:eastAsia="微软雅黑"/>
          <w:b w:val="0"/>
          <w:i w:val="0"/>
          <w:sz w:val="20"/>
        </w:rPr>
        <w:t>4.4 第三层：地方院、民营机构与跨界新玩家——细分市场的生存法则</w:t>
      </w:r>
    </w:p>
    <w:p>
      <w:pPr>
        <w:tabs>
          <w:tab w:pos="8504" w:val="right" w:leader="dot"/>
        </w:tabs>
        <w:ind w:left="340"/>
      </w:pPr>
      <w:r>
        <w:rPr>
          <w:rFonts w:ascii="Calibri" w:hAnsi="Calibri" w:eastAsia="微软雅黑"/>
          <w:b w:val="0"/>
          <w:i w:val="0"/>
          <w:sz w:val="20"/>
        </w:rPr>
        <w:t>4.5 第四层：国际巨头的进退与中国军团的出海——全球牌桌的门票</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第5章 转型路径：五种模式与选择决策树</w:t>
      </w:r>
    </w:p>
    <w:p>
      <w:pPr>
        <w:tabs>
          <w:tab w:pos="8504" w:val="right" w:leader="dot"/>
        </w:tabs>
        <w:ind w:left="340"/>
      </w:pPr>
      <w:r>
        <w:rPr>
          <w:rFonts w:ascii="Calibri" w:hAnsi="Calibri" w:eastAsia="微软雅黑"/>
          <w:b w:val="0"/>
          <w:i w:val="0"/>
          <w:sz w:val="20"/>
        </w:rPr>
        <w:t>5.1 政策坐标与模式全景：五条路从哪里分岔</w:t>
      </w:r>
    </w:p>
    <w:p>
      <w:pPr>
        <w:tabs>
          <w:tab w:pos="8504" w:val="right" w:leader="dot"/>
        </w:tabs>
        <w:ind w:left="340"/>
      </w:pPr>
      <w:r>
        <w:rPr>
          <w:rFonts w:ascii="Calibri" w:hAnsi="Calibri" w:eastAsia="微软雅黑"/>
          <w:b w:val="0"/>
          <w:i w:val="0"/>
          <w:sz w:val="20"/>
        </w:rPr>
        <w:t>5.2 模式一·全过程工程咨询：做集成者，不做兜底者</w:t>
      </w:r>
    </w:p>
    <w:p>
      <w:pPr>
        <w:tabs>
          <w:tab w:pos="8504" w:val="right" w:leader="dot"/>
        </w:tabs>
        <w:ind w:left="340"/>
      </w:pPr>
      <w:r>
        <w:rPr>
          <w:rFonts w:ascii="Calibri" w:hAnsi="Calibri" w:eastAsia="微软雅黑"/>
          <w:b w:val="0"/>
          <w:i w:val="0"/>
          <w:sz w:val="20"/>
        </w:rPr>
        <w:t>5.3 模式二与模式三·联合体的两个位置：牵头与入伙</w:t>
      </w:r>
    </w:p>
    <w:p>
      <w:pPr>
        <w:tabs>
          <w:tab w:pos="8504" w:val="right" w:leader="dot"/>
        </w:tabs>
        <w:ind w:left="340"/>
      </w:pPr>
      <w:r>
        <w:rPr>
          <w:rFonts w:ascii="Calibri" w:hAnsi="Calibri" w:eastAsia="微软雅黑"/>
          <w:b w:val="0"/>
          <w:i w:val="0"/>
          <w:sz w:val="20"/>
        </w:rPr>
        <w:t>5.4 模式四与模式五·重量级路径：法人一体化与投融资带动</w:t>
      </w:r>
    </w:p>
    <w:p>
      <w:pPr>
        <w:tabs>
          <w:tab w:pos="8504" w:val="right" w:leader="dot"/>
        </w:tabs>
        <w:ind w:left="340"/>
      </w:pPr>
      <w:r>
        <w:rPr>
          <w:rFonts w:ascii="Calibri" w:hAnsi="Calibri" w:eastAsia="微软雅黑"/>
          <w:b w:val="0"/>
          <w:i w:val="0"/>
          <w:sz w:val="20"/>
        </w:rPr>
        <w:t>5.5 选择决策树：四问定路径，一表防踩坑</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第6章 案例库：转型成与败的双向档案</w:t>
      </w:r>
    </w:p>
    <w:p>
      <w:pPr>
        <w:tabs>
          <w:tab w:pos="8504" w:val="right" w:leader="dot"/>
        </w:tabs>
        <w:ind w:left="340"/>
      </w:pPr>
      <w:r>
        <w:rPr>
          <w:rFonts w:ascii="Calibri" w:hAnsi="Calibri" w:eastAsia="微软雅黑"/>
          <w:b w:val="0"/>
          <w:i w:val="0"/>
          <w:sz w:val="20"/>
        </w:rPr>
        <w:t>6.1 成的档案：四类样本与一条共性</w:t>
      </w:r>
    </w:p>
    <w:p>
      <w:pPr>
        <w:tabs>
          <w:tab w:pos="8504" w:val="right" w:leader="dot"/>
        </w:tabs>
        <w:ind w:left="340"/>
      </w:pPr>
      <w:r>
        <w:rPr>
          <w:rFonts w:ascii="Calibri" w:hAnsi="Calibri" w:eastAsia="微软雅黑"/>
          <w:b w:val="0"/>
          <w:i w:val="0"/>
          <w:sz w:val="20"/>
        </w:rPr>
        <w:t>6.2 败的档案（一）：丰城"11·24"特大事故——系统性失效的完整标本</w:t>
      </w:r>
    </w:p>
    <w:p>
      <w:pPr>
        <w:tabs>
          <w:tab w:pos="8504" w:val="right" w:leader="dot"/>
        </w:tabs>
        <w:ind w:left="340"/>
      </w:pPr>
      <w:r>
        <w:rPr>
          <w:rFonts w:ascii="Calibri" w:hAnsi="Calibri" w:eastAsia="微软雅黑"/>
          <w:b w:val="0"/>
          <w:i w:val="0"/>
          <w:sz w:val="20"/>
        </w:rPr>
        <w:t>6.3 败的档案（二）：129,660篇裁判文书样本里的五种死法（篇数为own_calc，见本节算式）</w:t>
      </w:r>
    </w:p>
    <w:p>
      <w:pPr>
        <w:tabs>
          <w:tab w:pos="8504" w:val="right" w:leader="dot"/>
        </w:tabs>
        <w:ind w:left="340"/>
      </w:pPr>
      <w:r>
        <w:rPr>
          <w:rFonts w:ascii="Calibri" w:hAnsi="Calibri" w:eastAsia="微软雅黑"/>
          <w:b w:val="0"/>
          <w:i w:val="0"/>
          <w:sz w:val="20"/>
        </w:rPr>
        <w:t>6.4 成败分野的三个机理与买方决策清单</w:t>
      </w:r>
    </w:p>
    <w:p>
      <w:pPr>
        <w:tabs>
          <w:tab w:pos="8504" w:val="right" w:leader="dot"/>
        </w:tabs>
        <w:ind w:left="340"/>
      </w:pPr>
      <w:r>
        <w:rPr>
          <w:rFonts w:ascii="Calibri" w:hAnsi="Calibri" w:eastAsia="微软雅黑"/>
          <w:b w:val="0"/>
          <w:i w:val="0"/>
          <w:sz w:val="20"/>
        </w:rPr>
        <w:t>6.5 暗线档案：治理基因、资本化与规则颗粒度</w:t>
      </w:r>
    </w:p>
    <w:p>
      <w:pPr>
        <w:tabs>
          <w:tab w:pos="8504" w:val="right" w:leader="dot"/>
        </w:tabs>
        <w:ind w:left="340"/>
      </w:pPr>
      <w:r>
        <w:rPr>
          <w:rFonts w:ascii="Calibri" w:hAnsi="Calibri" w:eastAsia="微软雅黑"/>
          <w:b w:val="0"/>
          <w:i w:val="0"/>
          <w:sz w:val="20"/>
        </w:rPr>
        <w:t>6.6 应用层档案：五条补充证据、三处案例补深与一张启动排期表</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第7章 风险档案：事故、纠纷与风险因子全景</w:t>
      </w:r>
    </w:p>
    <w:p>
      <w:pPr>
        <w:tabs>
          <w:tab w:pos="8504" w:val="right" w:leader="dot"/>
        </w:tabs>
        <w:ind w:left="340"/>
      </w:pPr>
      <w:r>
        <w:rPr>
          <w:rFonts w:ascii="Calibri" w:hAnsi="Calibri" w:eastAsia="微软雅黑"/>
          <w:b w:val="0"/>
          <w:i w:val="0"/>
          <w:sz w:val="20"/>
        </w:rPr>
        <w:t>7.1 事故档案：丰城"11·24"留给设计院的三重拷问</w:t>
      </w:r>
    </w:p>
    <w:p>
      <w:pPr>
        <w:tabs>
          <w:tab w:pos="8504" w:val="right" w:leader="dot"/>
        </w:tabs>
        <w:ind w:left="340"/>
      </w:pPr>
      <w:r>
        <w:rPr>
          <w:rFonts w:ascii="Calibri" w:hAnsi="Calibri" w:eastAsia="微软雅黑"/>
          <w:b w:val="0"/>
          <w:i w:val="0"/>
          <w:sz w:val="20"/>
        </w:rPr>
        <w:t>7.2 纠纷全景：EPC相关裁判文书的十五年曲线与五类高发案型</w:t>
      </w:r>
    </w:p>
    <w:p>
      <w:pPr>
        <w:tabs>
          <w:tab w:pos="8504" w:val="right" w:leader="dot"/>
        </w:tabs>
        <w:ind w:left="340"/>
      </w:pPr>
      <w:r>
        <w:rPr>
          <w:rFonts w:ascii="Calibri" w:hAnsi="Calibri" w:eastAsia="微软雅黑"/>
          <w:b w:val="0"/>
          <w:i w:val="0"/>
          <w:sz w:val="20"/>
        </w:rPr>
        <w:t>7.3 拖欠图谱：最高法2026年第二批典型案例与"三角债"破解</w:t>
      </w:r>
    </w:p>
    <w:p>
      <w:pPr>
        <w:tabs>
          <w:tab w:pos="8504" w:val="right" w:leader="dot"/>
        </w:tabs>
        <w:ind w:left="340"/>
      </w:pPr>
      <w:r>
        <w:rPr>
          <w:rFonts w:ascii="Calibri" w:hAnsi="Calibri" w:eastAsia="微软雅黑"/>
          <w:b w:val="0"/>
          <w:i w:val="0"/>
          <w:sz w:val="20"/>
        </w:rPr>
        <w:t>7.4 风险因子全景：转型决策前的十项风险清单</w:t>
      </w:r>
    </w:p>
    <w:p>
      <w:pPr>
        <w:tabs>
          <w:tab w:pos="8504" w:val="right" w:leader="dot"/>
        </w:tabs>
        <w:ind w:left="340"/>
      </w:pPr>
      <w:r>
        <w:rPr>
          <w:rFonts w:ascii="Calibri" w:hAnsi="Calibri" w:eastAsia="微软雅黑"/>
          <w:b w:val="0"/>
          <w:i w:val="0"/>
          <w:sz w:val="20"/>
        </w:rPr>
        <w:t>7.5 本章小结与盲区</w:t>
      </w:r>
    </w:p>
    <w:p>
      <w:pPr>
        <w:tabs>
          <w:tab w:pos="8504" w:val="right" w:leader="dot"/>
        </w:tabs>
        <w:ind w:left="0"/>
      </w:pPr>
      <w:r>
        <w:rPr>
          <w:rFonts w:ascii="Calibri" w:hAnsi="Calibri" w:eastAsia="微软雅黑"/>
          <w:b/>
          <w:i w:val="0"/>
          <w:sz w:val="22"/>
        </w:rPr>
        <w:t>第8章 财务透视：转型企业的营收、毛利与应收真相</w:t>
      </w:r>
    </w:p>
    <w:p>
      <w:pPr>
        <w:tabs>
          <w:tab w:pos="8504" w:val="right" w:leader="dot"/>
        </w:tabs>
        <w:ind w:left="340"/>
      </w:pPr>
      <w:r>
        <w:rPr>
          <w:rFonts w:ascii="Calibri" w:hAnsi="Calibri" w:eastAsia="微软雅黑"/>
          <w:b w:val="0"/>
          <w:i w:val="0"/>
          <w:sz w:val="20"/>
        </w:rPr>
        <w:t>8.1 营收真相：总承包放量与"增收"的另一面</w:t>
      </w:r>
    </w:p>
    <w:p>
      <w:pPr>
        <w:tabs>
          <w:tab w:pos="8504" w:val="right" w:leader="dot"/>
        </w:tabs>
        <w:ind w:left="340"/>
      </w:pPr>
      <w:r>
        <w:rPr>
          <w:rFonts w:ascii="Calibri" w:hAnsi="Calibri" w:eastAsia="微软雅黑"/>
          <w:b w:val="0"/>
          <w:i w:val="0"/>
          <w:sz w:val="20"/>
        </w:rPr>
        <w:t>8.2 毛利真相：设计龙头为何未必兑换成高毛利</w:t>
      </w:r>
    </w:p>
    <w:p>
      <w:pPr>
        <w:tabs>
          <w:tab w:pos="8504" w:val="right" w:leader="dot"/>
        </w:tabs>
        <w:ind w:left="340"/>
      </w:pPr>
      <w:r>
        <w:rPr>
          <w:rFonts w:ascii="Calibri" w:hAnsi="Calibri" w:eastAsia="微软雅黑"/>
          <w:b w:val="0"/>
          <w:i w:val="0"/>
          <w:sz w:val="20"/>
        </w:rPr>
        <w:t>8.3 应收真相：裁判文书里的回款战争</w:t>
      </w:r>
    </w:p>
    <w:p>
      <w:pPr>
        <w:tabs>
          <w:tab w:pos="8504" w:val="right" w:leader="dot"/>
        </w:tabs>
        <w:ind w:left="340"/>
      </w:pPr>
      <w:r>
        <w:rPr>
          <w:rFonts w:ascii="Calibri" w:hAnsi="Calibri" w:eastAsia="微软雅黑"/>
          <w:b w:val="0"/>
          <w:i w:val="0"/>
          <w:sz w:val="20"/>
        </w:rPr>
        <w:t>8.4 现金流与资产负债表：两金、垫资与付款节点设计</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第9章 技术底座：数字化、BIM与专利的技术转型</w:t>
      </w:r>
    </w:p>
    <w:p>
      <w:pPr>
        <w:tabs>
          <w:tab w:pos="8504" w:val="right" w:leader="dot"/>
        </w:tabs>
        <w:ind w:left="340"/>
      </w:pPr>
      <w:r>
        <w:rPr>
          <w:rFonts w:ascii="Calibri" w:hAnsi="Calibri" w:eastAsia="微软雅黑"/>
          <w:b w:val="0"/>
          <w:i w:val="0"/>
          <w:sz w:val="20"/>
        </w:rPr>
        <w:t>9.1 政策拐点：BIM从"加分项"变成"必交项"</w:t>
      </w:r>
    </w:p>
    <w:p>
      <w:pPr>
        <w:tabs>
          <w:tab w:pos="8504" w:val="right" w:leader="dot"/>
        </w:tabs>
        <w:ind w:left="340"/>
      </w:pPr>
      <w:r>
        <w:rPr>
          <w:rFonts w:ascii="Calibri" w:hAnsi="Calibri" w:eastAsia="微软雅黑"/>
          <w:b w:val="0"/>
          <w:i w:val="0"/>
          <w:sz w:val="20"/>
        </w:rPr>
        <w:t>9.2 从文档驱动到对象驱动：数字化设计的生产力证据</w:t>
      </w:r>
    </w:p>
    <w:p>
      <w:pPr>
        <w:tabs>
          <w:tab w:pos="8504" w:val="right" w:leader="dot"/>
        </w:tabs>
        <w:ind w:left="340"/>
      </w:pPr>
      <w:r>
        <w:rPr>
          <w:rFonts w:ascii="Calibri" w:hAnsi="Calibri" w:eastAsia="微软雅黑"/>
          <w:b w:val="0"/>
          <w:i w:val="0"/>
          <w:sz w:val="20"/>
        </w:rPr>
        <w:t>9.3 数智化管控：让EPC盈亏从事后可知变成事前穿透</w:t>
      </w:r>
    </w:p>
    <w:p>
      <w:pPr>
        <w:tabs>
          <w:tab w:pos="8504" w:val="right" w:leader="dot"/>
        </w:tabs>
        <w:ind w:left="340"/>
      </w:pPr>
      <w:r>
        <w:rPr>
          <w:rFonts w:ascii="Calibri" w:hAnsi="Calibri" w:eastAsia="微软雅黑"/>
          <w:b w:val="0"/>
          <w:i w:val="0"/>
          <w:sz w:val="20"/>
        </w:rPr>
        <w:t>9.4 专利与标准：最被低估的资产与出海通行证</w:t>
      </w:r>
    </w:p>
    <w:p>
      <w:pPr>
        <w:tabs>
          <w:tab w:pos="8504" w:val="right" w:leader="dot"/>
        </w:tabs>
        <w:ind w:left="340"/>
      </w:pPr>
      <w:r>
        <w:rPr>
          <w:rFonts w:ascii="Calibri" w:hAnsi="Calibri" w:eastAsia="微软雅黑"/>
          <w:b w:val="0"/>
          <w:i w:val="0"/>
          <w:sz w:val="20"/>
        </w:rPr>
        <w:t>9.5 技术底座的另一面：投入、依赖与失败教训</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第10章 组织与人才：资质、专家与人才结构</w:t>
      </w:r>
    </w:p>
    <w:p>
      <w:pPr>
        <w:tabs>
          <w:tab w:pos="8504" w:val="right" w:leader="dot"/>
        </w:tabs>
        <w:ind w:left="340"/>
      </w:pPr>
      <w:r>
        <w:rPr>
          <w:rFonts w:ascii="Calibri" w:hAnsi="Calibri" w:eastAsia="微软雅黑"/>
          <w:b w:val="0"/>
          <w:i w:val="0"/>
          <w:sz w:val="20"/>
        </w:rPr>
        <w:t>10.1 资质门槛的政策演变：EPC总承包到底需要什么资质</w:t>
      </w:r>
    </w:p>
    <w:p>
      <w:pPr>
        <w:tabs>
          <w:tab w:pos="8504" w:val="right" w:leader="dot"/>
        </w:tabs>
        <w:ind w:left="340"/>
      </w:pPr>
      <w:r>
        <w:rPr>
          <w:rFonts w:ascii="Calibri" w:hAnsi="Calibri" w:eastAsia="微软雅黑"/>
          <w:b w:val="0"/>
          <w:i w:val="0"/>
          <w:sz w:val="20"/>
        </w:rPr>
        <w:t>10.2 资质硬币的两面：资产组合与合规罚单</w:t>
      </w:r>
    </w:p>
    <w:p>
      <w:pPr>
        <w:tabs>
          <w:tab w:pos="8504" w:val="right" w:leader="dot"/>
        </w:tabs>
        <w:ind w:left="340"/>
      </w:pPr>
      <w:r>
        <w:rPr>
          <w:rFonts w:ascii="Calibri" w:hAnsi="Calibri" w:eastAsia="微软雅黑"/>
          <w:b w:val="0"/>
          <w:i w:val="0"/>
          <w:sz w:val="20"/>
        </w:rPr>
        <w:t>10.3 人才结构配比：从设计院到工程公司的比例革命</w:t>
      </w:r>
    </w:p>
    <w:p>
      <w:pPr>
        <w:tabs>
          <w:tab w:pos="8504" w:val="right" w:leader="dot"/>
        </w:tabs>
        <w:ind w:left="340"/>
      </w:pPr>
      <w:r>
        <w:rPr>
          <w:rFonts w:ascii="Calibri" w:hAnsi="Calibri" w:eastAsia="微软雅黑"/>
          <w:b w:val="0"/>
          <w:i w:val="0"/>
          <w:sz w:val="20"/>
        </w:rPr>
        <w:t>10.4 专家体系与头衔经济学：首席科学家、大师与评标专家</w:t>
      </w:r>
    </w:p>
    <w:p>
      <w:pPr>
        <w:tabs>
          <w:tab w:pos="8504" w:val="right" w:leader="dot"/>
        </w:tabs>
        <w:ind w:left="340"/>
      </w:pPr>
      <w:r>
        <w:rPr>
          <w:rFonts w:ascii="Calibri" w:hAnsi="Calibri" w:eastAsia="微软雅黑"/>
          <w:b w:val="0"/>
          <w:i w:val="0"/>
          <w:sz w:val="20"/>
        </w:rPr>
        <w:t>10.5 人才培养、国际化用工与组织安全文化</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第11章 国际对标：FIDIC与海外转型实践</w:t>
      </w:r>
    </w:p>
    <w:p>
      <w:pPr>
        <w:tabs>
          <w:tab w:pos="8504" w:val="right" w:leader="dot"/>
        </w:tabs>
        <w:ind w:left="340"/>
      </w:pPr>
      <w:r>
        <w:rPr>
          <w:rFonts w:ascii="Calibri" w:hAnsi="Calibri" w:eastAsia="微软雅黑"/>
          <w:b w:val="0"/>
          <w:i w:val="0"/>
          <w:sz w:val="20"/>
        </w:rPr>
        <w:t>11.1 全球坐标：中国承包商的位置、差距与时间窗</w:t>
      </w:r>
    </w:p>
    <w:p>
      <w:pPr>
        <w:tabs>
          <w:tab w:pos="8504" w:val="right" w:leader="dot"/>
        </w:tabs>
        <w:ind w:left="340"/>
      </w:pPr>
      <w:r>
        <w:rPr>
          <w:rFonts w:ascii="Calibri" w:hAnsi="Calibri" w:eastAsia="微软雅黑"/>
          <w:b w:val="0"/>
          <w:i w:val="0"/>
          <w:sz w:val="20"/>
        </w:rPr>
        <w:t>11.2 FIDIC规则体系：读懂海外EPC的游戏规则</w:t>
      </w:r>
    </w:p>
    <w:p>
      <w:pPr>
        <w:tabs>
          <w:tab w:pos="8504" w:val="right" w:leader="dot"/>
        </w:tabs>
        <w:ind w:left="340"/>
      </w:pPr>
      <w:r>
        <w:rPr>
          <w:rFonts w:ascii="Calibri" w:hAnsi="Calibri" w:eastAsia="微软雅黑"/>
          <w:b w:val="0"/>
          <w:i w:val="0"/>
          <w:sz w:val="20"/>
        </w:rPr>
        <w:t>11.3 巨亏镜像：四个十亿级亏损案例的风险解剖</w:t>
      </w:r>
    </w:p>
    <w:p>
      <w:pPr>
        <w:tabs>
          <w:tab w:pos="8504" w:val="right" w:leader="dot"/>
        </w:tabs>
        <w:ind w:left="340"/>
      </w:pPr>
      <w:r>
        <w:rPr>
          <w:rFonts w:ascii="Calibri" w:hAnsi="Calibri" w:eastAsia="微软雅黑"/>
          <w:b w:val="0"/>
          <w:i w:val="0"/>
          <w:sz w:val="20"/>
        </w:rPr>
        <w:t>11.4 海外实践样本：中东、北非与东南亚的三种打法</w:t>
      </w:r>
    </w:p>
    <w:p>
      <w:pPr>
        <w:tabs>
          <w:tab w:pos="8504" w:val="right" w:leader="dot"/>
        </w:tabs>
        <w:ind w:left="340"/>
      </w:pPr>
      <w:r>
        <w:rPr>
          <w:rFonts w:ascii="Calibri" w:hAnsi="Calibri" w:eastAsia="微软雅黑"/>
          <w:b w:val="0"/>
          <w:i w:val="0"/>
          <w:sz w:val="20"/>
        </w:rPr>
        <w:t>11.5 设计院的国际化能力底座：标准、人才、资金与组织节奏</w:t>
      </w:r>
    </w:p>
    <w:p>
      <w:pPr>
        <w:tabs>
          <w:tab w:pos="8504" w:val="right" w:leader="dot"/>
        </w:tabs>
        <w:ind w:left="340"/>
      </w:pPr>
      <w:r>
        <w:rPr>
          <w:rFonts w:ascii="Calibri" w:hAnsi="Calibri" w:eastAsia="微软雅黑"/>
          <w:b w:val="0"/>
          <w:i w:val="0"/>
          <w:sz w:val="20"/>
        </w:rPr>
        <w:t>本章小结与盲区</w:t>
      </w:r>
    </w:p>
    <w:p>
      <w:pPr>
        <w:tabs>
          <w:tab w:pos="8504" w:val="right" w:leader="dot"/>
        </w:tabs>
        <w:ind w:left="0"/>
      </w:pPr>
      <w:r>
        <w:rPr>
          <w:rFonts w:ascii="Calibri" w:hAnsi="Calibri" w:eastAsia="微软雅黑"/>
          <w:b/>
          <w:i w:val="0"/>
          <w:sz w:val="22"/>
        </w:rPr>
        <w:t>第12章 2026-2029 预判：设计院转型的十二个确定性趋势</w:t>
      </w:r>
    </w:p>
    <w:p>
      <w:pPr>
        <w:tabs>
          <w:tab w:pos="8504" w:val="right" w:leader="dot"/>
        </w:tabs>
        <w:ind w:left="340"/>
      </w:pPr>
      <w:r>
        <w:rPr>
          <w:rFonts w:ascii="Calibri" w:hAnsi="Calibri" w:eastAsia="微软雅黑"/>
          <w:b w:val="0"/>
          <w:i w:val="0"/>
          <w:sz w:val="20"/>
        </w:rPr>
        <w:t>12.1 需求侧：市场结构的三条确定性主线</w:t>
      </w:r>
    </w:p>
    <w:p>
      <w:pPr>
        <w:tabs>
          <w:tab w:pos="8504" w:val="right" w:leader="dot"/>
        </w:tabs>
        <w:ind w:left="340"/>
      </w:pPr>
      <w:r>
        <w:rPr>
          <w:rFonts w:ascii="Calibri" w:hAnsi="Calibri" w:eastAsia="微软雅黑"/>
          <w:b w:val="0"/>
          <w:i w:val="0"/>
          <w:sz w:val="20"/>
        </w:rPr>
        <w:t>12.2 模式侧：业务边界的三条确定性主线</w:t>
      </w:r>
    </w:p>
    <w:p>
      <w:pPr>
        <w:tabs>
          <w:tab w:pos="8504" w:val="right" w:leader="dot"/>
        </w:tabs>
        <w:ind w:left="340"/>
      </w:pPr>
      <w:r>
        <w:rPr>
          <w:rFonts w:ascii="Calibri" w:hAnsi="Calibri" w:eastAsia="微软雅黑"/>
          <w:b w:val="0"/>
          <w:i w:val="0"/>
          <w:sz w:val="20"/>
        </w:rPr>
        <w:t>12.3 能力侧：数字与智能的三条确定性主线</w:t>
      </w:r>
    </w:p>
    <w:p>
      <w:pPr>
        <w:tabs>
          <w:tab w:pos="8504" w:val="right" w:leader="dot"/>
        </w:tabs>
        <w:ind w:left="340"/>
      </w:pPr>
      <w:r>
        <w:rPr>
          <w:rFonts w:ascii="Calibri" w:hAnsi="Calibri" w:eastAsia="微软雅黑"/>
          <w:b w:val="0"/>
          <w:i w:val="0"/>
          <w:sz w:val="20"/>
        </w:rPr>
        <w:t>12.4 组织与格局侧：三条确定性主线</w:t>
      </w:r>
    </w:p>
    <w:p>
      <w:pPr>
        <w:tabs>
          <w:tab w:pos="8504" w:val="right" w:leader="dot"/>
        </w:tabs>
        <w:ind w:left="340"/>
      </w:pPr>
      <w:r>
        <w:rPr>
          <w:rFonts w:ascii="Calibri" w:hAnsi="Calibri" w:eastAsia="微软雅黑"/>
          <w:b w:val="0"/>
          <w:i w:val="0"/>
          <w:sz w:val="20"/>
        </w:rPr>
        <w:t>12.5 买方决策台：把十二个趋势折算成一张三年行动账</w:t>
      </w:r>
    </w:p>
    <w:p>
      <w:pPr>
        <w:tabs>
          <w:tab w:pos="8504" w:val="right" w:leader="dot"/>
        </w:tabs>
        <w:ind w:left="340"/>
      </w:pPr>
      <w:r>
        <w:rPr>
          <w:rFonts w:ascii="Calibri" w:hAnsi="Calibri" w:eastAsia="微软雅黑"/>
          <w:b w:val="0"/>
          <w:i w:val="0"/>
          <w:sz w:val="20"/>
        </w:rPr>
        <w:t>12.6 监测仪表与失效登记：让预判可以被推翻，也可以被更新</w:t>
      </w:r>
    </w:p>
    <w:p>
      <w:pPr>
        <w:tabs>
          <w:tab w:pos="8504" w:val="right" w:leader="dot"/>
        </w:tabs>
        <w:ind w:left="340"/>
      </w:pPr>
      <w:r>
        <w:rPr>
          <w:rFonts w:ascii="Calibri" w:hAnsi="Calibri" w:eastAsia="微软雅黑"/>
          <w:b w:val="0"/>
          <w:i w:val="0"/>
          <w:sz w:val="20"/>
        </w:rPr>
        <w:t>本章小结与盲区</w:t>
      </w:r>
    </w:p>
    <w:p>
      <w:r>
        <w:br w:type="page"/>
      </w:r>
    </w:p>
    <w:p>
      <w:pPr>
        <w:pStyle w:val="Heading1"/>
      </w:pPr>
      <w:r>
        <w:t>第1章 转型总图景：设计院的十字路口与方法论地图</w:t>
      </w:r>
    </w:p>
    <w:p>
      <w:pPr>
        <w:ind w:left="454"/>
      </w:pPr>
      <w:r>
        <w:rPr>
          <w:rFonts w:ascii="Calibri" w:hAnsi="Calibri" w:eastAsia="微软雅黑"/>
          <w:b w:val="0"/>
          <w:i w:val="0"/>
          <w:color w:val="666666"/>
          <w:sz w:val="22"/>
        </w:rPr>
        <w:t>过去四十年，中国设计院完成了从事业单位到市场主体的身份转换；未来十年，它们必须回答一个更硬的问题：能不能从"卖图纸"走到"交工程"。本章用政策、玩家、方法论三张地图，先把转型全景摊开，再标注每条路的门票与陷阱。</w:t>
      </w:r>
    </w:p>
    <w:p>
      <w:pPr>
        <w:pStyle w:val="Heading2"/>
      </w:pPr>
      <w:r>
        <w:t>1.1 十字路口的由来：管理体制四十年演进与行业"分水岭"</w:t>
      </w:r>
    </w:p>
    <w:p>
      <w:r>
        <w:rPr>
          <w:rFonts w:ascii="Calibri" w:hAnsi="Calibri" w:eastAsia="微软雅黑"/>
          <w:b w:val="0"/>
          <w:i w:val="0"/>
          <w:sz w:val="22"/>
        </w:rPr>
        <w:t>设计院今天站在十字路口，不是某一年突然出现的变故，而是我国建设项目管理体制数十年演进的必然落点。把时钟拨回上世纪80年代初：计划经济体制下形成的建设项目组织模式已经不能适应市场改革发展的需要，如何借鉴西方发达国家的经验、探索科学的工程建设项目组织模式，成为工程建设领域改革的重要内容（P1027）。恰在党的十一届三中全会以后，国家大量引进国外先进技术和成套设备，国外资金和工程承包商也进入中国市场，给中国带来了国际通行的工程总承包模式（P1027）。自此，这一模式在中国从认识、探索到推行，经过30多年发展后开始逐步走向成熟（P1027）。</w:t>
      </w:r>
    </w:p>
    <w:p>
      <w:r>
        <w:rPr>
          <w:rFonts w:ascii="Calibri" w:hAnsi="Calibri" w:eastAsia="微软雅黑"/>
          <w:b w:val="0"/>
          <w:i w:val="0"/>
          <w:sz w:val="22"/>
        </w:rPr>
        <w:t>按中国石油和化工勘察设计协会理事长、中国勘察设计协会副理事长兼建设项目管理和工程总承包分会会长荣世立的权威划分，新中国建立以来我国建设项目管理体制大体经过四个发展阶段（P1027）。这四个阶段一头连着计划经济时代的政府直接协调，一头连着市场化的工程总承包；理解这条纵贯线，管理层才能看清自己企业身上还带着哪个时代的组织惯性。对设计院管理层而言，四阶段表最大的实用价值是"组织考古"：在第二阶段的三方制里，乙方（设计单位）被定位为由各自主管部门管理的、与丙方（施工单位）平行的任务承接主体，设计、制造、施工任务由各自上级主管部门下达（P1027）——今天许多设计院沿用至今的科室架构、专业分工与"等任务"的文化惯性，正是那个时代的遗产。转型工程总承包，首先要拆除的就是这套遗产里与"全过程负责"不相容的部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阶段</w:t>
            </w:r>
          </w:p>
        </w:tc>
        <w:tc>
          <w:tcPr>
            <w:tcW w:type="dxa" w:w="2075"/>
            <w:shd w:fill="1F3A5F"/>
          </w:tcPr>
          <w:p>
            <w:r>
              <w:rPr>
                <w:color w:val="FFFFFF"/>
              </w:rPr>
            </w:r>
            <w:r>
              <w:rPr>
                <w:rFonts w:ascii="Calibri" w:hAnsi="Calibri" w:eastAsia="微软雅黑"/>
                <w:b/>
                <w:i w:val="0"/>
                <w:color w:val="FFFFFF"/>
                <w:sz w:val="18"/>
              </w:rPr>
              <w:t>时间跨度</w:t>
            </w:r>
          </w:p>
        </w:tc>
        <w:tc>
          <w:tcPr>
            <w:tcW w:type="dxa" w:w="2075"/>
            <w:shd w:fill="1F3A5F"/>
          </w:tcPr>
          <w:p>
            <w:r>
              <w:rPr>
                <w:color w:val="FFFFFF"/>
              </w:rPr>
            </w:r>
            <w:r>
              <w:rPr>
                <w:rFonts w:ascii="Calibri" w:hAnsi="Calibri" w:eastAsia="微软雅黑"/>
                <w:b/>
                <w:i w:val="0"/>
                <w:color w:val="FFFFFF"/>
                <w:sz w:val="18"/>
              </w:rPr>
              <w:t>组织方式</w:t>
            </w:r>
          </w:p>
        </w:tc>
        <w:tc>
          <w:tcPr>
            <w:tcW w:type="dxa" w:w="2075"/>
            <w:shd w:fill="1F3A5F"/>
          </w:tcPr>
          <w:p>
            <w:r>
              <w:rPr>
                <w:color w:val="FFFFFF"/>
              </w:rPr>
            </w:r>
            <w:r>
              <w:rPr>
                <w:rFonts w:ascii="Calibri" w:hAnsi="Calibri" w:eastAsia="微软雅黑"/>
                <w:b/>
                <w:i w:val="0"/>
                <w:color w:val="FFFFFF"/>
                <w:sz w:val="18"/>
              </w:rPr>
              <w:t>核心特征与管理遗留</w:t>
            </w:r>
          </w:p>
        </w:tc>
      </w:tr>
      <w:tr>
        <w:tc>
          <w:tcPr>
            <w:tcW w:type="dxa" w:w="2075"/>
          </w:tcPr>
          <w:p>
            <w:r/>
            <w:r>
              <w:rPr>
                <w:rFonts w:ascii="Calibri" w:hAnsi="Calibri" w:eastAsia="微软雅黑"/>
                <w:b w:val="0"/>
                <w:i w:val="0"/>
                <w:sz w:val="18"/>
              </w:rPr>
              <w:t>第一阶段</w:t>
            </w:r>
          </w:p>
        </w:tc>
        <w:tc>
          <w:tcPr>
            <w:tcW w:type="dxa" w:w="2075"/>
          </w:tcPr>
          <w:p>
            <w:r/>
            <w:r>
              <w:rPr>
                <w:rFonts w:ascii="Calibri" w:hAnsi="Calibri" w:eastAsia="微软雅黑"/>
                <w:b w:val="0"/>
                <w:i w:val="0"/>
                <w:sz w:val="18"/>
              </w:rPr>
              <w:t>1949年至1953年</w:t>
            </w:r>
          </w:p>
        </w:tc>
        <w:tc>
          <w:tcPr>
            <w:tcW w:type="dxa" w:w="2075"/>
          </w:tcPr>
          <w:p>
            <w:r/>
            <w:r>
              <w:rPr>
                <w:rFonts w:ascii="Calibri" w:hAnsi="Calibri" w:eastAsia="微软雅黑"/>
                <w:b w:val="0"/>
                <w:i w:val="0"/>
                <w:sz w:val="18"/>
              </w:rPr>
              <w:t>建设单位自营</w:t>
            </w:r>
          </w:p>
        </w:tc>
        <w:tc>
          <w:tcPr>
            <w:tcW w:type="dxa" w:w="2075"/>
          </w:tcPr>
          <w:p>
            <w:r/>
            <w:r>
              <w:rPr>
                <w:rFonts w:ascii="Calibri" w:hAnsi="Calibri" w:eastAsia="微软雅黑"/>
                <w:b w:val="0"/>
                <w:i w:val="0"/>
                <w:sz w:val="18"/>
              </w:rPr>
              <w:t>设计、施工力量十分薄弱和分散，建设单位只能自己组织设计和施工、自己采购设备材料、自行组织项目建设（P1027）</w:t>
            </w:r>
          </w:p>
        </w:tc>
      </w:tr>
      <w:tr>
        <w:tc>
          <w:tcPr>
            <w:tcW w:type="dxa" w:w="2075"/>
          </w:tcPr>
          <w:p>
            <w:r/>
            <w:r>
              <w:rPr>
                <w:rFonts w:ascii="Calibri" w:hAnsi="Calibri" w:eastAsia="微软雅黑"/>
                <w:b w:val="0"/>
                <w:i w:val="0"/>
                <w:sz w:val="18"/>
              </w:rPr>
              <w:t>第二阶段</w:t>
            </w:r>
          </w:p>
        </w:tc>
        <w:tc>
          <w:tcPr>
            <w:tcW w:type="dxa" w:w="2075"/>
          </w:tcPr>
          <w:p>
            <w:r/>
            <w:r>
              <w:rPr>
                <w:rFonts w:ascii="Calibri" w:hAnsi="Calibri" w:eastAsia="微软雅黑"/>
                <w:b w:val="0"/>
                <w:i w:val="0"/>
                <w:sz w:val="18"/>
              </w:rPr>
              <w:t>1953年至1965年</w:t>
            </w:r>
          </w:p>
        </w:tc>
        <w:tc>
          <w:tcPr>
            <w:tcW w:type="dxa" w:w="2075"/>
          </w:tcPr>
          <w:p>
            <w:r/>
            <w:r>
              <w:rPr>
                <w:rFonts w:ascii="Calibri" w:hAnsi="Calibri" w:eastAsia="微软雅黑"/>
                <w:b w:val="0"/>
                <w:i w:val="0"/>
                <w:sz w:val="18"/>
              </w:rPr>
              <w:t>甲、乙、丙三方制（学习苏联模式）</w:t>
            </w:r>
          </w:p>
        </w:tc>
        <w:tc>
          <w:tcPr>
            <w:tcW w:type="dxa" w:w="2075"/>
          </w:tcPr>
          <w:p>
            <w:r/>
            <w:r>
              <w:rPr>
                <w:rFonts w:ascii="Calibri" w:hAnsi="Calibri" w:eastAsia="微软雅黑"/>
                <w:b w:val="0"/>
                <w:i w:val="0"/>
                <w:sz w:val="18"/>
              </w:rPr>
              <w:t>甲方（建设单位）由政府部门组建，乙方（设计单位）与丙方（施工单位）分别由各自的主管部门管理，设计、制造、施工任务由各自上级主管部门下达，项目实施中的许多技术、经济问题都由政府部门直接协调和组织解决（P1027）</w:t>
            </w:r>
          </w:p>
        </w:tc>
      </w:tr>
      <w:tr>
        <w:tc>
          <w:tcPr>
            <w:tcW w:type="dxa" w:w="2075"/>
          </w:tcPr>
          <w:p>
            <w:r/>
            <w:r>
              <w:rPr>
                <w:rFonts w:ascii="Calibri" w:hAnsi="Calibri" w:eastAsia="微软雅黑"/>
                <w:b w:val="0"/>
                <w:i w:val="0"/>
                <w:sz w:val="18"/>
              </w:rPr>
              <w:t>第三阶段</w:t>
            </w:r>
          </w:p>
        </w:tc>
        <w:tc>
          <w:tcPr>
            <w:tcW w:type="dxa" w:w="2075"/>
          </w:tcPr>
          <w:p>
            <w:r/>
            <w:r>
              <w:rPr>
                <w:rFonts w:ascii="Calibri" w:hAnsi="Calibri" w:eastAsia="微软雅黑"/>
                <w:b w:val="0"/>
                <w:i w:val="0"/>
                <w:sz w:val="18"/>
              </w:rPr>
              <w:t>1965年至1984年</w:t>
            </w:r>
          </w:p>
        </w:tc>
        <w:tc>
          <w:tcPr>
            <w:tcW w:type="dxa" w:w="2075"/>
          </w:tcPr>
          <w:p>
            <w:r/>
            <w:r>
              <w:rPr>
                <w:rFonts w:ascii="Calibri" w:hAnsi="Calibri" w:eastAsia="微软雅黑"/>
                <w:b w:val="0"/>
                <w:i w:val="0"/>
                <w:sz w:val="18"/>
              </w:rPr>
              <w:t>工程指挥部</w:t>
            </w:r>
          </w:p>
        </w:tc>
        <w:tc>
          <w:tcPr>
            <w:tcW w:type="dxa" w:w="2075"/>
          </w:tcPr>
          <w:p>
            <w:r/>
            <w:r>
              <w:rPr>
                <w:rFonts w:ascii="Calibri" w:hAnsi="Calibri" w:eastAsia="微软雅黑"/>
                <w:b w:val="0"/>
                <w:i w:val="0"/>
                <w:sz w:val="18"/>
              </w:rPr>
              <w:t>指挥部一般由相关政府部门、建设单位联合组成，专门负责建设期间的设计、采购、施工管理，建成后移交生产部门，该模式在某些行业一直延续到上世纪80年代末（P1027）</w:t>
            </w:r>
          </w:p>
        </w:tc>
      </w:tr>
      <w:tr>
        <w:tc>
          <w:tcPr>
            <w:tcW w:type="dxa" w:w="2075"/>
          </w:tcPr>
          <w:p>
            <w:r/>
            <w:r>
              <w:rPr>
                <w:rFonts w:ascii="Calibri" w:hAnsi="Calibri" w:eastAsia="微软雅黑"/>
                <w:b w:val="0"/>
                <w:i w:val="0"/>
                <w:sz w:val="18"/>
              </w:rPr>
              <w:t>第四阶段</w:t>
            </w:r>
          </w:p>
        </w:tc>
        <w:tc>
          <w:tcPr>
            <w:tcW w:type="dxa" w:w="2075"/>
          </w:tcPr>
          <w:p>
            <w:r/>
            <w:r>
              <w:rPr>
                <w:rFonts w:ascii="Calibri" w:hAnsi="Calibri" w:eastAsia="微软雅黑"/>
                <w:b w:val="0"/>
                <w:i w:val="0"/>
                <w:sz w:val="18"/>
              </w:rPr>
              <w:t>1984年以后</w:t>
            </w:r>
          </w:p>
        </w:tc>
        <w:tc>
          <w:tcPr>
            <w:tcW w:type="dxa" w:w="2075"/>
          </w:tcPr>
          <w:p>
            <w:r/>
            <w:r>
              <w:rPr>
                <w:rFonts w:ascii="Calibri" w:hAnsi="Calibri" w:eastAsia="微软雅黑"/>
                <w:b w:val="0"/>
                <w:i w:val="0"/>
                <w:sz w:val="18"/>
              </w:rPr>
              <w:t>学习西方工程项目管理方式</w:t>
            </w:r>
          </w:p>
        </w:tc>
        <w:tc>
          <w:tcPr>
            <w:tcW w:type="dxa" w:w="2075"/>
          </w:tcPr>
          <w:p>
            <w:r/>
            <w:r>
              <w:rPr>
                <w:rFonts w:ascii="Calibri" w:hAnsi="Calibri" w:eastAsia="微软雅黑"/>
                <w:b w:val="0"/>
                <w:i w:val="0"/>
                <w:sz w:val="18"/>
              </w:rPr>
              <w:t>除实行工程承包制、招投标制、合同制、法人负责制、工程监理制以外，探索、推行工程总承包是进入该阶段的重要标志（P1027）</w:t>
            </w:r>
          </w:p>
        </w:tc>
      </w:tr>
    </w:tbl>
    <w:p>
      <w:r>
        <w:rPr>
          <w:rFonts w:ascii="Calibri" w:hAnsi="Calibri" w:eastAsia="微软雅黑"/>
          <w:b w:val="0"/>
          <w:i w:val="0"/>
          <w:sz w:val="22"/>
        </w:rPr>
        <w:t>对设计院而言，真正意义上的第一次机会窗口出现在化工行业。早在1982年，化工部对江西氨厂改尿素工程实行了第一个以设计为主体的工程总承包试点，由中国武汉化工工程公司（现五环科技股份有限公司）担任工程总承包商，项目建设工期28个月，有效地控制了工程进度、质量和费用，一次开车成功、生产出合格尿素，受到了国家计委和化工部的表扬（P1013）。这次试点证明了一件事：以设计为主体的企业，是可以站到总承包商位置上的。1984年，原国家计委在总结化工部工程总承包经验的基础上，将工程总承包纳入国务院颁发的《关于改革建筑业和基本建设管理体制若干问题的暂行规定》（国发〔1984〕123号），明确提出对项目建设实行全过程总承包的要求（P1013）。从此，原国家计委、建设部等部委相继发文，先后批准了94家工程总承包试点企业，明确"试点企业可对工程项目实行设计、采购、施工全过程的总承包"（P1013）。1997年11月，我国颁布《中华人民共和国建筑法》，从法律层面提倡对建筑工程进行总承包（P1013）；1999年8月，建设部印发《大型设计单位创建国际型工程公司的指导意见》（建设〔1999〕218号），此后先后有560家设计单位领取了甲级工程总承包资格证书（P1013）。政策推广的力度从未松劲：2006年11月，建设部、商务部联合主办，中国建筑业协会、中国勘察设计协会和中国对外工程承包商会共同承办"推进工程总承包与对外工程承包高峰论坛"，总结交流开展工程总承包和对外承包的经验体会、研究探讨今后工作的方针政策（P1013）；会后建筑市场管理司以建市综函〔2006〕69号文将司长讲话与总结印发全行业参考（P1013）。在国家政策的持续推动下，化工、石化等行业的勘察设计、施工企业积极开展工程总承包，成效显著（P1013）。事实上，我国建设领域的工程总承包本就是伴随着改革开放的进程产生和发展起来的；为适应市场经济的要求，20多年来国家有关部门先后出台了一系列深化基本建设管理体制改革的政策措施，有力地推动了工程总承包的开展（P1013）。</w:t>
      </w:r>
    </w:p>
    <w:p>
      <w:r>
        <w:rPr>
          <w:rFonts w:ascii="Calibri" w:hAnsi="Calibri" w:eastAsia="微软雅黑"/>
          <w:b w:val="0"/>
          <w:i w:val="0"/>
          <w:sz w:val="22"/>
        </w:rPr>
        <w:t>这组历史数字给决策者的第一个提醒是："设计院干总承包"根本不是新风口，而是一条被政策引导了四十多年的老路——自1982年首个以设计为主体的总承包试点算起，至今已逾四十年（2026-1982，own_calc，依据P1013/P1009）。老路为什么到今天才走到"十字路口"？因为供需两端同时变了。</w:t>
      </w:r>
    </w:p>
    <w:p>
      <w:r>
        <w:rPr>
          <w:rFonts w:ascii="Calibri" w:hAnsi="Calibri" w:eastAsia="微软雅黑"/>
          <w:b w:val="0"/>
          <w:i w:val="0"/>
          <w:sz w:val="22"/>
        </w:rPr>
        <w:t>供给侧的焦虑是真实的。攀成德合伙人张军辉在2020年12月的建筑业年度论坛上断言，整个行业正处于"分水岭"阶段（P1015）。他列举了行业正在遭遇的六项挑战：改革从酝酿阶段进入实质性推动阶段；国家政策的内生动力逐步增强，以更加市场化的方式影响着行业；建筑行业十分依赖固定资产投资的状态发生明显变化，不同行业投资有增有减，"补短板"变成非常重要的内容；整个行业市场发生巨大变化；新模式带来新的挑战；新的动力也在不断涌现（P1015）。他描绘的"围城效应"极具画面感：房建企业思考"能不能去做市政"，市政企业想"能不能去做公路"，公路企业想"能不能干一干铁路"，铁路企业则说"我发现房建业务还不错"（P1015）。他给出的底层判断更为冷峻——施工企业领导们所关注、所焦虑、所彷徨、在"围城"里进退两难的实质原因，是整个中国建筑业的市场不能满足施工企业这么大的产能需要（P1015）。产能过剩倒逼模式升级，这条逻辑对设计院同样成立：当设计费市场不再能养活庞大的设计产能时，图纸产能要么向总承包环节外溢，要么被别人的总承包体系吸收。他进一步观察到行业逻辑的深层变化："十一五""十二五"期间，帮助客户做战略规划时会建议一个二级或三级单位瞄准一两个目标业务、在一个区域里深耕细作，就能获得长足发展（P1015）。而现在，哪家公司还能在某一领域深耕细作做到100亿、200亿（P1015）？他的答案是：基本上很难（P1015）。所以从"十四五"开始，中国建筑业一定会处于这样一种焦虑——不断地寻求未来业务的、区域的、模式的突破（P1015）。</w:t>
      </w:r>
    </w:p>
    <w:p>
      <w:r>
        <w:rPr>
          <w:rFonts w:ascii="Calibri" w:hAnsi="Calibri" w:eastAsia="微软雅黑"/>
          <w:b w:val="0"/>
          <w:i w:val="0"/>
          <w:sz w:val="22"/>
        </w:rPr>
        <w:t>还有一条纵贯四阶段的深层线索值得点破：责任主体的迁移。从建设单位自营（责任内化于甲方），到三方制与指挥部（责任行政化于政府协调），再到工程总承包（责任合同化于承包单位），管理体制每前进一步，就把更多的工程成败责任从政府肩上移到合同主体肩上（P1027）。设计院转型的本质，是把自己从"政府协调体系中的一个技术环节"改造成"合同责任体系中的第一责任人"——这一身份跃迁的代价与收益，正是本书要逐章拆解的对象。</w:t>
      </w:r>
    </w:p>
    <w:p>
      <w:r>
        <w:rPr>
          <w:rFonts w:ascii="Calibri" w:hAnsi="Calibri" w:eastAsia="微软雅黑"/>
          <w:b w:val="0"/>
          <w:i w:val="0"/>
          <w:sz w:val="22"/>
        </w:rPr>
        <w:t>企业层面的抉择已经细化为"岔路口四问"：到底是继续做好市场拓展还是通过投资来带动主业发展？到底是做好区域深耕还是不断开拓新区域？到底是做好现有业务还是开拓新领域？到底是坚持自营模式还是尝试合作经营？（P1015）张军辉对企业要不要做海外业务的回答十分坚定——"去做，一定要做"，不同之处只在什么时间做、怎么去做（P1015）。对设计院而言，这四问可以原样抄进战略研讨会的白板，只需把主语换成自己。</w:t>
      </w:r>
    </w:p>
    <w:p>
      <w:r>
        <w:rPr>
          <w:rFonts w:ascii="Calibri" w:hAnsi="Calibri" w:eastAsia="微软雅黑"/>
          <w:b w:val="0"/>
          <w:i w:val="0"/>
          <w:sz w:val="22"/>
        </w:rPr>
        <w:t>需求侧的雄心又在给产能继续加压。张军辉观察到，做"十四五"战略规划的建筑企业中，年增长10%的目标基本上没有（P1015）。他看到的最小数字是年增长11%（P1015）。15%的年增长率也有，这意味着5年左右翻一番（P1015）。年增长20%的有很多，年增长30%的也不在少数（P1015）。他的一个客户在设立新签合同额目标时，从"十四五"末做到500亿，改口问能否做到800亿，最后定下的目标翻了一番、冲向1000亿（P1015）。区域市场的逻辑同样在收紧：2019年12月《求是》杂志文章《推动形成优势互补高质量发展的区域经济布局》提出"产业和人口向优势区域集中，形成以城市群为主要形态的增长动力源"，上海交大陆铭教授的《大国大城》亦主张尊重经济发展的客观规律，人口将更加向东部、沿海、沿长江聚集（P1015）。市场容量约束与区域集中叠加，意味着"在哪转、转多快"必须成为设计院战略议程的前两项，而不是尾部注脚。</w:t>
      </w:r>
    </w:p>
    <w:p>
      <w:r>
        <w:rPr>
          <w:rFonts w:ascii="Calibri" w:hAnsi="Calibri" w:eastAsia="微软雅黑"/>
          <w:b w:val="0"/>
          <w:i w:val="0"/>
          <w:sz w:val="22"/>
        </w:rPr>
        <w:t>把四条线索叠加——管理体制已经走到第四阶段（P1027）、总承包政策通道自1982年打开（P1013）、行业进入"分水岭"与"围城"（P1015）、企业增长目标却普遍上修（P1015）——十字路口的形状就清晰了：继续做纯设计，市场与费率双承压；转做总承包，则要接下质量、安全、工期、造价的全面责任（P1022）。十字路口不是"转不转"的路口，而是"以什么身份、什么速度、什么安全边际去转"的路口。</w:t>
      </w:r>
    </w:p>
    <w:p>
      <w:r>
        <w:rPr>
          <w:rFonts w:ascii="Calibri" w:hAnsi="Calibri" w:eastAsia="微软雅黑"/>
          <w:b/>
          <w:i w:val="0"/>
          <w:sz w:val="22"/>
        </w:rPr>
        <w:t>所以呢？</w:t>
      </w:r>
      <w:r>
        <w:rPr>
          <w:rFonts w:ascii="Calibri" w:hAnsi="Calibri" w:eastAsia="微软雅黑"/>
          <w:b w:val="0"/>
          <w:i w:val="0"/>
          <w:sz w:val="22"/>
        </w:rPr>
        <w:t xml:space="preserve"> 对设计院管理层而言，本节的价值是一张"历史定位卡"：先判断自己企业处于荣世立四阶段叙事中的哪个组织惯性里（指挥部级协调、三方制接口、还是市场合同制）（P1027），再判断所在细分市场是否已经进入张军辉所说的产能过剩区（P1015）。两个判断叠加，决定转型是"进攻性扩张"还是"防御性卡位"——这一区分将贯穿全书对转型路径与风险的讨论。</w:t>
      </w:r>
    </w:p>
    <w:p>
      <w:pPr>
        <w:pStyle w:val="Heading2"/>
      </w:pPr>
      <w:r>
        <w:t>1.2 政策地图：从93号文到《管理办法》的规则阶梯与地方落地潮</w:t>
      </w:r>
    </w:p>
    <w:p>
      <w:r>
        <w:rPr>
          <w:rFonts w:ascii="Calibri" w:hAnsi="Calibri" w:eastAsia="微软雅黑"/>
          <w:b w:val="0"/>
          <w:i w:val="0"/>
          <w:sz w:val="22"/>
        </w:rPr>
        <w:t>如果说历史解释了"为什么转"，政策地图回答的则是"国家允许你怎么转、鼓励你转成什么样"。这张地图的主干只有两级台阶，但地方细则的枝蔓极其繁茂。</w:t>
      </w:r>
    </w:p>
    <w:p>
      <w:r>
        <w:rPr>
          <w:rFonts w:ascii="Calibri" w:hAnsi="Calibri" w:eastAsia="微软雅黑"/>
          <w:b w:val="0"/>
          <w:i w:val="0"/>
          <w:sz w:val="22"/>
        </w:rPr>
        <w:t>第一级台阶是路线确立。自住建部《关于进一步推进工程总承包发展的若干意见》（建市〔2016〕93号）以及国务院《关于促进建筑业持续健康发展的意见》（国办发〔2017〕19号）确立大力发展工程总承包（以EPC为主）的基本路线之后，我国工程总承包事业进入高速发展期（P1002）。第二级台阶是规则成型。由住房和城乡建设部、国家发展改革委员会联合制定的《房屋建筑和市政基础设施项目工程总承包管理办法》（以下简称《管理办法》）于2019年12月23日发布、2020年3月1日起正式生效，这标志着我国工程总承包规范化发展新时代的来临（P1002）。此后政策继续加码：2020年8月28日，住房和城乡建设部、教育部、科技部、工业和信息化部、自然资源部、生态环境部、人民银行、市场监管总局、银保监会九部门联合印发《关于加快新型建筑工业化发展的若干意见》，要求大力推行工程总承包，新型建筑工业化项目积极推行工程总承包模式，促进设计和生产、施工深度融合，引导骨干企业提高项目管理、技术创新和资源配置能力，培育具有综合管理能力的工程总承包企业（P1024）。</w:t>
      </w:r>
    </w:p>
    <w:p>
      <w:r>
        <w:rPr>
          <w:rFonts w:ascii="Calibri" w:hAnsi="Calibri" w:eastAsia="微软雅黑"/>
          <w:b w:val="0"/>
          <w:i w:val="0"/>
          <w:sz w:val="22"/>
        </w:rPr>
        <w:t>《管理办法》的定义是全书一切讨论的法律地基：工程总承包是指承包单位按照与建设单位签订的合同，对工程设计、采购、施工或者设计、施工等阶段实行总承包，并对工程的质量、安全、工期和造价等全面负责的工程建设组织实施方式（P1022）。值得注意的是，从国家办法到地方细则，这一定义几乎一字未改——成都市实施细则（P1017）与西藏自治区试行办法（P1018）均采用同一表述。定义的稳定意味着规则的稳定，也意味着"全面负责"四个字的分量无可回避：设计院一旦坐上总承包商的位置，责任边界就从"图纸合规"跃升为"工程成败"。律师邓南平专门提醒：该管理办法虽属部门管理规范性文件、效力层级不高，但由住建部和发改委联合发文颁布，是目前国家规范项目工程总承包如何具体实施管理的最高层级文件（P1011）。它的诞生过程也值得一听：先由住建部委托上海建纬律师事务所起草管理办法征求意见稿，第一稿出来后，国家发改委要求同住建部一起制定该办法，又颁布了第二稿，2019年12月23日颁布的正式稿是在第二稿基础上出台的，历经三年才出台，实属不易（P1011）。邓南平还指出两点实务要点：其一，该文件为主动公开文件（P1011）；其二，依据最高人民法院关于裁判文书引用法律、法规等规范性法律文件的规定，该办法经审查认定为合法有效的，可以作为裁判说理的依据（P1011）。换句话说，这份文件不只管行政，还进法庭。</w:t>
      </w:r>
    </w:p>
    <w:p>
      <w:r>
        <w:rPr>
          <w:rFonts w:ascii="Calibri" w:hAnsi="Calibri" w:eastAsia="微软雅黑"/>
          <w:b w:val="0"/>
          <w:i w:val="0"/>
          <w:sz w:val="22"/>
        </w:rPr>
        <w:t>法律地基之下还有配套的法规群。目前国家法律明确涉及工程总承包的有《建筑法》《合同法》，同时还涉及《招标投标法》《政府投资条例》《企业投资项目核准和备案管理条例》等法律法规的内容（P1011）。从更长的时间轴看，EPC模式在我国经历了从探索试点到规范发展的历程（P1022）；而截至2022年度观察时，《管理办法》施行已近三年，国家及地方政府、行业主管机关、司法机关等仍在不断修订完善相关规范性文件，逐步解决工程总承包模式实践与制度的适应性问题（P1001）。制度变迁的方向也早已被言明——工程总承包模式有利于实现设计、采购、施工等各阶段工作的深度融合，发挥工程总承包企业的技术和管理优势，提高工程建设水平，推动产业转型升级（P1019）。</w:t>
      </w:r>
    </w:p>
    <w:p>
      <w:r>
        <w:rPr>
          <w:rFonts w:ascii="Calibri" w:hAnsi="Calibri" w:eastAsia="微软雅黑"/>
          <w:b w:val="0"/>
          <w:i w:val="0"/>
          <w:sz w:val="22"/>
        </w:rPr>
        <w:t>上位法同样给了总承包明确的接口。《建筑法》第24条规定：提倡对建筑工程实行总承包，禁止将建筑工程肢解发包（P1011）。该条同时明确，建筑工程的发包单位可以将建筑工程的勘察、设计、施工、设备采购一并发包给一个工程总承包单位，也可以将勘察、设计、施工、设备采购的一项或者多项发包给一个工程总承包单位（P1011）。《合同法》第272条则确认：发包人可以与总承包人订立建设工程合同，也可以分别与勘察人、设计人、施工人订立勘察、设计、施工承包合同（P1011）。邓南平还点出了立法意图——国家大力推行工程总承包的目的，是提升建设工程质量，使设计和施工充分融合，提高项目建设效益，优胜劣汰；同时给交通、能源、水利等其他行业主管部门在后续制定各自行业工程总承包政策时留有了余地（P1011）。</w:t>
      </w:r>
    </w:p>
    <w:p>
      <w:r>
        <w:rPr>
          <w:rFonts w:ascii="Calibri" w:hAnsi="Calibri" w:eastAsia="微软雅黑"/>
          <w:b w:val="0"/>
          <w:i w:val="0"/>
          <w:sz w:val="22"/>
        </w:rPr>
        <w:t>在模式谱系上，行业并非只有EPC一条路。《中华全国律师协会律师办理建设工程法律业务操作指引》第39条列举了工程总承包的主要形式：设计采购施工（EPC）总承包、交钥匙总承包、设计—施工总承包、设计—采购总承包、采购—施工总承包、勘察设计施工总承包等，并提及建设—转让（BT）、建设—经营—转让（BOT）、建设—拥有—经营（BOO）、建设—拥有—经营—转让（BOOT）等投融资建设模式，以及后续发展过程中出现的融资+设计采购施工总承包（F+EPC）等模式（P1022）。决策者尤其要分清EPC与EPCM的风险差。EPC（设计采购施工）总承包企业按照合同约定，承担工程项目的设计、采购、施工、试运行服务等工作，并对承包工程的质量、安全、工期、造价全面负责，是我国推行总承包模式最主要的一种；交钥匙总承包则是其业务和责任的延伸，最终向业主提交一个满足使用功能、具备使用条件的工程项目（P1024）。而EPCM（设计采购与施工管理总承包）是国际建筑市场较为通行的项目管理模式之一：承包商与业主直接签订合同，对工程的设计、材料设备供应、施工管理全面负责，并通过招标为业主选择、推荐最合适的分包商；设计、采购分包商对EPCM承包商负责，但施工分包商不与EPCM承包商签订合同，而是直接与业主建立合同关系、接受EPCM承包商的管理，因此EPCM承包商无需承担施工合同风险和经济风险，获利较为稳定（P1024）。一字之差，风险敞口天差地别——设计院选择"管"还是"担"，是转型路径设计中的第一道分岔。</w:t>
      </w:r>
    </w:p>
    <w:p>
      <w:r>
        <w:rPr>
          <w:rFonts w:ascii="Calibri" w:hAnsi="Calibri" w:eastAsia="微软雅黑"/>
          <w:b w:val="0"/>
          <w:i w:val="0"/>
          <w:sz w:val="22"/>
        </w:rPr>
        <w:t>国家路线确立后，地方落地经历了清晰的"高峰—退潮—细化"周期。建纬律师的年度政策观察系列留下了逐年台账：2017年共有28个省份总计出台41份工程总承包地方政策文件（P1002）。2018年共有28个省份总计出台22份（P1002）。2019年共有6个省份总计出台13份（P1002）——恰是国家级《管理办法》的起草年，地方明显观望。2020年，全国有15个省市在《管理办法》框架下出台了适应本地区发展特点的相关政策，新增省级工程总承包及相关政策文件共计18件（P1002）；这一年的观察覆盖全国31个省市自治区（不含港澳台）（P1002）。2021年，全国有13个省份出台相关政策，新增省级文件共计18件（P1012）。2022年，出台文件的省级地方降为6个（P1001）。</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年份</w:t>
            </w:r>
          </w:p>
        </w:tc>
        <w:tc>
          <w:tcPr>
            <w:tcW w:type="dxa" w:w="2075"/>
            <w:shd w:fill="1F3A5F"/>
          </w:tcPr>
          <w:p>
            <w:r>
              <w:rPr>
                <w:color w:val="FFFFFF"/>
              </w:rPr>
            </w:r>
            <w:r>
              <w:rPr>
                <w:rFonts w:ascii="Calibri" w:hAnsi="Calibri" w:eastAsia="微软雅黑"/>
                <w:b/>
                <w:i w:val="0"/>
                <w:color w:val="FFFFFF"/>
                <w:sz w:val="18"/>
              </w:rPr>
              <w:t>出台政策的省级地方数</w:t>
            </w:r>
          </w:p>
        </w:tc>
        <w:tc>
          <w:tcPr>
            <w:tcW w:type="dxa" w:w="2075"/>
            <w:shd w:fill="1F3A5F"/>
          </w:tcPr>
          <w:p>
            <w:r>
              <w:rPr>
                <w:color w:val="FFFFFF"/>
              </w:rPr>
            </w:r>
            <w:r>
              <w:rPr>
                <w:rFonts w:ascii="Calibri" w:hAnsi="Calibri" w:eastAsia="微软雅黑"/>
                <w:b/>
                <w:i w:val="0"/>
                <w:color w:val="FFFFFF"/>
                <w:sz w:val="18"/>
              </w:rPr>
              <w:t>新增政策文件数</w:t>
            </w:r>
          </w:p>
        </w:tc>
        <w:tc>
          <w:tcPr>
            <w:tcW w:type="dxa" w:w="2075"/>
            <w:shd w:fill="1F3A5F"/>
          </w:tcPr>
          <w:p>
            <w:r>
              <w:rPr>
                <w:color w:val="FFFFFF"/>
              </w:rPr>
            </w:r>
            <w:r>
              <w:rPr>
                <w:rFonts w:ascii="Calibri" w:hAnsi="Calibri" w:eastAsia="微软雅黑"/>
                <w:b/>
                <w:i w:val="0"/>
                <w:color w:val="FFFFFF"/>
                <w:sz w:val="18"/>
              </w:rPr>
              <w:t>政策观察要点</w:t>
            </w:r>
          </w:p>
        </w:tc>
      </w:tr>
      <w:tr>
        <w:tc>
          <w:tcPr>
            <w:tcW w:type="dxa" w:w="2075"/>
          </w:tcPr>
          <w:p>
            <w:r/>
            <w:r>
              <w:rPr>
                <w:rFonts w:ascii="Calibri" w:hAnsi="Calibri" w:eastAsia="微软雅黑"/>
                <w:b w:val="0"/>
                <w:i w:val="0"/>
                <w:sz w:val="18"/>
              </w:rPr>
              <w:t>2017</w:t>
            </w:r>
          </w:p>
        </w:tc>
        <w:tc>
          <w:tcPr>
            <w:tcW w:type="dxa" w:w="2075"/>
          </w:tcPr>
          <w:p>
            <w:r/>
            <w:r>
              <w:rPr>
                <w:rFonts w:ascii="Calibri" w:hAnsi="Calibri" w:eastAsia="微软雅黑"/>
                <w:b w:val="0"/>
                <w:i w:val="0"/>
                <w:sz w:val="18"/>
              </w:rPr>
              <w:t>28个省份（P1002）</w:t>
            </w:r>
          </w:p>
        </w:tc>
        <w:tc>
          <w:tcPr>
            <w:tcW w:type="dxa" w:w="2075"/>
          </w:tcPr>
          <w:p>
            <w:r/>
            <w:r>
              <w:rPr>
                <w:rFonts w:ascii="Calibri" w:hAnsi="Calibri" w:eastAsia="微软雅黑"/>
                <w:b w:val="0"/>
                <w:i w:val="0"/>
                <w:sz w:val="18"/>
              </w:rPr>
              <w:t>41份（P1002）</w:t>
            </w:r>
          </w:p>
        </w:tc>
        <w:tc>
          <w:tcPr>
            <w:tcW w:type="dxa" w:w="2075"/>
          </w:tcPr>
          <w:p>
            <w:r/>
            <w:r>
              <w:rPr>
                <w:rFonts w:ascii="Calibri" w:hAnsi="Calibri" w:eastAsia="微软雅黑"/>
                <w:b w:val="0"/>
                <w:i w:val="0"/>
                <w:sz w:val="18"/>
              </w:rPr>
              <w:t>地方政策高峰期</w:t>
            </w:r>
          </w:p>
        </w:tc>
      </w:tr>
      <w:tr>
        <w:tc>
          <w:tcPr>
            <w:tcW w:type="dxa" w:w="2075"/>
          </w:tcPr>
          <w:p>
            <w:r/>
            <w:r>
              <w:rPr>
                <w:rFonts w:ascii="Calibri" w:hAnsi="Calibri" w:eastAsia="微软雅黑"/>
                <w:b w:val="0"/>
                <w:i w:val="0"/>
                <w:sz w:val="18"/>
              </w:rPr>
              <w:t>2018</w:t>
            </w:r>
          </w:p>
        </w:tc>
        <w:tc>
          <w:tcPr>
            <w:tcW w:type="dxa" w:w="2075"/>
          </w:tcPr>
          <w:p>
            <w:r/>
            <w:r>
              <w:rPr>
                <w:rFonts w:ascii="Calibri" w:hAnsi="Calibri" w:eastAsia="微软雅黑"/>
                <w:b w:val="0"/>
                <w:i w:val="0"/>
                <w:sz w:val="18"/>
              </w:rPr>
              <w:t>28个省份（P1002）</w:t>
            </w:r>
          </w:p>
        </w:tc>
        <w:tc>
          <w:tcPr>
            <w:tcW w:type="dxa" w:w="2075"/>
          </w:tcPr>
          <w:p>
            <w:r/>
            <w:r>
              <w:rPr>
                <w:rFonts w:ascii="Calibri" w:hAnsi="Calibri" w:eastAsia="微软雅黑"/>
                <w:b w:val="0"/>
                <w:i w:val="0"/>
                <w:sz w:val="18"/>
              </w:rPr>
              <w:t>22份（P1002）</w:t>
            </w:r>
          </w:p>
        </w:tc>
        <w:tc>
          <w:tcPr>
            <w:tcW w:type="dxa" w:w="2075"/>
          </w:tcPr>
          <w:p>
            <w:r/>
            <w:r>
              <w:rPr>
                <w:rFonts w:ascii="Calibri" w:hAnsi="Calibri" w:eastAsia="微软雅黑"/>
                <w:b w:val="0"/>
                <w:i w:val="0"/>
                <w:sz w:val="18"/>
              </w:rPr>
              <w:t>数量回落</w:t>
            </w:r>
          </w:p>
        </w:tc>
      </w:tr>
      <w:tr>
        <w:tc>
          <w:tcPr>
            <w:tcW w:type="dxa" w:w="2075"/>
          </w:tcPr>
          <w:p>
            <w:r/>
            <w:r>
              <w:rPr>
                <w:rFonts w:ascii="Calibri" w:hAnsi="Calibri" w:eastAsia="微软雅黑"/>
                <w:b w:val="0"/>
                <w:i w:val="0"/>
                <w:sz w:val="18"/>
              </w:rPr>
              <w:t>2019</w:t>
            </w:r>
          </w:p>
        </w:tc>
        <w:tc>
          <w:tcPr>
            <w:tcW w:type="dxa" w:w="2075"/>
          </w:tcPr>
          <w:p>
            <w:r/>
            <w:r>
              <w:rPr>
                <w:rFonts w:ascii="Calibri" w:hAnsi="Calibri" w:eastAsia="微软雅黑"/>
                <w:b w:val="0"/>
                <w:i w:val="0"/>
                <w:sz w:val="18"/>
              </w:rPr>
              <w:t>6个省份（P1002）</w:t>
            </w:r>
          </w:p>
        </w:tc>
        <w:tc>
          <w:tcPr>
            <w:tcW w:type="dxa" w:w="2075"/>
          </w:tcPr>
          <w:p>
            <w:r/>
            <w:r>
              <w:rPr>
                <w:rFonts w:ascii="Calibri" w:hAnsi="Calibri" w:eastAsia="微软雅黑"/>
                <w:b w:val="0"/>
                <w:i w:val="0"/>
                <w:sz w:val="18"/>
              </w:rPr>
              <w:t>13份（P1002）</w:t>
            </w:r>
          </w:p>
        </w:tc>
        <w:tc>
          <w:tcPr>
            <w:tcW w:type="dxa" w:w="2075"/>
          </w:tcPr>
          <w:p>
            <w:r/>
            <w:r>
              <w:rPr>
                <w:rFonts w:ascii="Calibri" w:hAnsi="Calibri" w:eastAsia="微软雅黑"/>
                <w:b w:val="0"/>
                <w:i w:val="0"/>
                <w:sz w:val="18"/>
              </w:rPr>
              <w:t>国家级《管理办法》起草年，地方观望</w:t>
            </w:r>
          </w:p>
        </w:tc>
      </w:tr>
      <w:tr>
        <w:tc>
          <w:tcPr>
            <w:tcW w:type="dxa" w:w="2075"/>
          </w:tcPr>
          <w:p>
            <w:r/>
            <w:r>
              <w:rPr>
                <w:rFonts w:ascii="Calibri" w:hAnsi="Calibri" w:eastAsia="微软雅黑"/>
                <w:b w:val="0"/>
                <w:i w:val="0"/>
                <w:sz w:val="18"/>
              </w:rPr>
              <w:t>2020</w:t>
            </w:r>
          </w:p>
        </w:tc>
        <w:tc>
          <w:tcPr>
            <w:tcW w:type="dxa" w:w="2075"/>
          </w:tcPr>
          <w:p>
            <w:r/>
            <w:r>
              <w:rPr>
                <w:rFonts w:ascii="Calibri" w:hAnsi="Calibri" w:eastAsia="微软雅黑"/>
                <w:b w:val="0"/>
                <w:i w:val="0"/>
                <w:sz w:val="18"/>
              </w:rPr>
              <w:t>15个省市（P1002）</w:t>
            </w:r>
          </w:p>
        </w:tc>
        <w:tc>
          <w:tcPr>
            <w:tcW w:type="dxa" w:w="2075"/>
          </w:tcPr>
          <w:p>
            <w:r/>
            <w:r>
              <w:rPr>
                <w:rFonts w:ascii="Calibri" w:hAnsi="Calibri" w:eastAsia="微软雅黑"/>
                <w:b w:val="0"/>
                <w:i w:val="0"/>
                <w:sz w:val="18"/>
              </w:rPr>
              <w:t>18件（P1002）</w:t>
            </w:r>
          </w:p>
        </w:tc>
        <w:tc>
          <w:tcPr>
            <w:tcW w:type="dxa" w:w="2075"/>
          </w:tcPr>
          <w:p>
            <w:r/>
            <w:r>
              <w:rPr>
                <w:rFonts w:ascii="Calibri" w:hAnsi="Calibri" w:eastAsia="微软雅黑"/>
                <w:b w:val="0"/>
                <w:i w:val="0"/>
                <w:sz w:val="18"/>
              </w:rPr>
              <w:t>《管理办法》生效后的细化年</w:t>
            </w:r>
          </w:p>
        </w:tc>
      </w:tr>
      <w:tr>
        <w:tc>
          <w:tcPr>
            <w:tcW w:type="dxa" w:w="2075"/>
          </w:tcPr>
          <w:p>
            <w:r/>
            <w:r>
              <w:rPr>
                <w:rFonts w:ascii="Calibri" w:hAnsi="Calibri" w:eastAsia="微软雅黑"/>
                <w:b w:val="0"/>
                <w:i w:val="0"/>
                <w:sz w:val="18"/>
              </w:rPr>
              <w:t>2021</w:t>
            </w:r>
          </w:p>
        </w:tc>
        <w:tc>
          <w:tcPr>
            <w:tcW w:type="dxa" w:w="2075"/>
          </w:tcPr>
          <w:p>
            <w:r/>
            <w:r>
              <w:rPr>
                <w:rFonts w:ascii="Calibri" w:hAnsi="Calibri" w:eastAsia="微软雅黑"/>
                <w:b w:val="0"/>
                <w:i w:val="0"/>
                <w:sz w:val="18"/>
              </w:rPr>
              <w:t>13个省份（P1012）</w:t>
            </w:r>
          </w:p>
        </w:tc>
        <w:tc>
          <w:tcPr>
            <w:tcW w:type="dxa" w:w="2075"/>
          </w:tcPr>
          <w:p>
            <w:r/>
            <w:r>
              <w:rPr>
                <w:rFonts w:ascii="Calibri" w:hAnsi="Calibri" w:eastAsia="微软雅黑"/>
                <w:b w:val="0"/>
                <w:i w:val="0"/>
                <w:sz w:val="18"/>
              </w:rPr>
              <w:t>18件（P1012）</w:t>
            </w:r>
          </w:p>
        </w:tc>
        <w:tc>
          <w:tcPr>
            <w:tcW w:type="dxa" w:w="2075"/>
          </w:tcPr>
          <w:p>
            <w:r/>
            <w:r>
              <w:rPr>
                <w:rFonts w:ascii="Calibri" w:hAnsi="Calibri" w:eastAsia="微软雅黑"/>
                <w:b w:val="0"/>
                <w:i w:val="0"/>
                <w:sz w:val="18"/>
              </w:rPr>
              <w:t>湖北、上海、河北出台本地管理办法（P1012）</w:t>
            </w:r>
          </w:p>
        </w:tc>
      </w:tr>
      <w:tr>
        <w:tc>
          <w:tcPr>
            <w:tcW w:type="dxa" w:w="2075"/>
          </w:tcPr>
          <w:p>
            <w:r/>
            <w:r>
              <w:rPr>
                <w:rFonts w:ascii="Calibri" w:hAnsi="Calibri" w:eastAsia="微软雅黑"/>
                <w:b w:val="0"/>
                <w:i w:val="0"/>
                <w:sz w:val="18"/>
              </w:rPr>
              <w:t>2022</w:t>
            </w:r>
          </w:p>
        </w:tc>
        <w:tc>
          <w:tcPr>
            <w:tcW w:type="dxa" w:w="2075"/>
          </w:tcPr>
          <w:p>
            <w:r/>
            <w:r>
              <w:rPr>
                <w:rFonts w:ascii="Calibri" w:hAnsi="Calibri" w:eastAsia="微软雅黑"/>
                <w:b w:val="0"/>
                <w:i w:val="0"/>
                <w:sz w:val="18"/>
              </w:rPr>
              <w:t>6个省级地方（P1001）</w:t>
            </w:r>
          </w:p>
        </w:tc>
        <w:tc>
          <w:tcPr>
            <w:tcW w:type="dxa" w:w="2075"/>
          </w:tcPr>
          <w:p>
            <w:r/>
            <w:r>
              <w:rPr>
                <w:rFonts w:ascii="Calibri" w:hAnsi="Calibri" w:eastAsia="微软雅黑"/>
                <w:b w:val="0"/>
                <w:i w:val="0"/>
                <w:sz w:val="18"/>
              </w:rPr>
              <w:t>未披露件数</w:t>
            </w:r>
          </w:p>
        </w:tc>
        <w:tc>
          <w:tcPr>
            <w:tcW w:type="dxa" w:w="2075"/>
          </w:tcPr>
          <w:p>
            <w:r/>
            <w:r>
              <w:rPr>
                <w:rFonts w:ascii="Calibri" w:hAnsi="Calibri" w:eastAsia="微软雅黑"/>
                <w:b w:val="0"/>
                <w:i w:val="0"/>
                <w:sz w:val="18"/>
              </w:rPr>
              <w:t>西藏、广西、宁夏、山东、四川、上海、海南各有专项文件（P1001）</w:t>
            </w:r>
          </w:p>
        </w:tc>
      </w:tr>
    </w:tbl>
    <w:p>
      <w:r>
        <w:rPr>
          <w:rFonts w:ascii="Calibri" w:hAnsi="Calibri" w:eastAsia="微软雅黑"/>
          <w:b w:val="0"/>
          <w:i w:val="0"/>
          <w:sz w:val="22"/>
        </w:rPr>
        <w:t>按上表逐年相加，2017年至2021年五年间省级工程总承包政策文件合计112份（own_calc：41+22+13+18+18=112，依据P1002/P1012）。峰谷对比也很说明问题：高峰年2017年的41份，约为低谷年2019年13份的三倍有余（41÷13，own_calc，依据P1002）。政策热度的退潮不代表方向转向——2022年各地出台的政策数量虽在前两年高峰期基础上有所下降，但结合了近年来工程总承包模式的发展实践，各有具体针对性的特点（P1001）。逐年细看内容，"从鼓励干到怎么干"的轨迹更加清晰。2020年，四川、新疆两地出台本地区的房建市政项目工程总承包管理办法，四川还进一步在水利工程领域发布了推进水利建设项目工程总承包发展的试行指导意见（P1002）。同年，江苏、安徽、山东、浙江、辽宁以加快推进工程总承包发展的实施意见、措施、实施细则等形式出台政策，其中安徽、浙江两地的实施意见在2020年尚处征求意见阶段（P1002）。江苏还另外出台了规范房建市政项目工程总承包计价活动的试行规则（P1002）。2021年，湖北、上海、河北三地出台本地区的房建市政管理办法（P1012）。同年，浙江、山西、广东以实施意见、指导意见、措施等形式出台政策，其中广东省2021年11月18日发布的十条措施尚处征求意见阶段（P1012）。浙江省住建部门还联合发改委、财政厅等部门出台针对房建市政工程总承包项目的计价规则，从实际应用层面规范计价活动（P1012）。2022年，西藏出台本地区试行的房建市政管理办法（P1001）。广西、宁夏、山东三地针对水利建设项目工程总承包出台相应管理办法（P1001）。四川为完善建设工程计价体系、规范总承包计价活动出台合同计价的指导意见（P1001）。上海为匹配2021年发布的《上海市建设项目工程总承包管理办法》的适用，年初出台《上海市建设项目工程总承包招标评标办法》（P1001）。海南为贯彻落实《管理办法》及《海南省绿色建筑发展条例》，年底出台实施细则（试行）并配套发布《海南省装配式建设项目工程总承包合同示范文本（2023年版）》（P1001）。湖南省住建厅还发布了尚处征求意见阶段的工程总承包招标评标暂行办法（P1001）。需要说明的是，上述台账沿用建纬观察的统计口径：未收录中央部委文件，地方上大量仅为试点名录、工作计划与安排等实际并不深入涉及工程总承包法律政策的文件亦未统计在内（P1002/P1012）。</w:t>
      </w:r>
    </w:p>
    <w:p>
      <w:r>
        <w:rPr>
          <w:rFonts w:ascii="Calibri" w:hAnsi="Calibri" w:eastAsia="微软雅黑"/>
          <w:b w:val="0"/>
          <w:i w:val="0"/>
          <w:sz w:val="22"/>
        </w:rPr>
        <w:t>地方细则的颗粒度值得管理层逐字研读，因为它们直接改写投标与履约的约束条件。西安市住建局2022年5月30日印发《西安市房屋建筑和市政基础设施项目工程总承包招标投标导则》（市建发〔2022〕94号）（P1021）。该导则一方面明确建设内容明确、技术方案成熟的项目适宜采用工程总承包方式招标（P1021），另一方面列出不宜采用工程总承包模式招标的三类情形：其一，工程建设范围、建设规模、建设标准、功能需求、投资限额、工程质量、工程进度等前期条件不明确、不充分的工程项目；其二，工程时间紧迫、无法确保投标人有充足时间对招标文件进行仔细研究和核查招标人需求的工程项目；其三，对个性化要求较高、情况较复杂、建设需求和标准存在较多变数的项目（例如地下工程为主的建设工程，综合管廊项目除外、纪念性建筑、文体场馆等）（P1021）。成都市则由市住建局、市发改委、市财政局、市审计局、市国资委、市公资交易中心于2023年2月8日联合印发《成都市房屋建筑和市政基础设施工程总承包管理实施细则》，五类部门分工写入条文：住建部门负责指导监督，发改部门负责立项与投资决策程序监督，财政部门负责按预算及时足额办理财政资金拨付，审计部门依法对建设各环节履职情况开展审计监督，国资部门加强对国有资金投资项目的监督管理（P1017）。成都细则还要求政府投资项目在严格防范化解政府债务风险的前提下，严格控制年度投资项目总量、实行限额管理（P1017）。西藏自治区住建厅、发改委于2022年11月14日以藏建市管〔2022〕551号印发试行管理办法（依据建市规〔2019〕12号与藏政办发〔2017〕148号制定），明确建设内容明确、技术方案和工艺路线成熟的政府投资项目和国有资金占控股或者主导地位的项目带头推行工程总承包，装配式建筑原则上采用工程总承包方式，并鼓励工程总承包项目率先在规划、设计、施工等阶段全过程应用建筑信息模型（BIM）技术（P1018）。该办法同时划定监管分工：自治区住房和城乡建设厅负责全区工程总承包活动的监督管理，各地（市）、县（区）住房城乡建设主管部门按管理职责负责本行政区域内的监督管理，各级发展改革部门依据固定资产投资建设管理相关法律法规履行相应管理职责（P1018）。再往前，福建省住建厅2018年11月以闽建办筑函〔2018〕58号征求《福建省房屋建筑和市政基础设施项目工程总承包招标投标管理办法（试行）（征求意见稿）》意见，要求工程总承包招标项目实行电子招标投标（P1008）。这些细则共同指向一个结论：投标前的合规尽调，已经是总承包业务的进场费。</w:t>
      </w:r>
    </w:p>
    <w:p>
      <w:r>
        <w:rPr>
          <w:rFonts w:ascii="Calibri" w:hAnsi="Calibri" w:eastAsia="微软雅黑"/>
          <w:b w:val="0"/>
          <w:i w:val="0"/>
          <w:sz w:val="22"/>
        </w:rPr>
        <w:t>行业层面的政策纵深并不均衡。水利行业是一个典型样本：长江横跨中国东部、中部和西部三大经济区，共计19个省、市、自治区，是世界第三大流域（P1019）。区域布局水项目建设工作是长江流域水利建设的一大目标；加快水利改革步伐、提高水利工程建设管理水平、规范水利工程建设项目总承包行为，需要更明确、统一的立法指导（P1019）。但重大水利工程一般具有公益性强、投资规模大、回报周期长、经营收益低的特点，而部分水库工程和引、调水工程具有发电、供水等经营性收益，因此在水利项目中力推工程总承包的项目主要集中在中小型项目领域，大型项目的工程总承包建设势必因跨地区、跨流域立法政策不统一受到一定障碍（P1019）。立法供给同样不足：法律层面关于工程总承包的有限条款仅零星集中于《建筑法》《民法典》《招标投标法实施条例》与《建设工程质量管理条例》，且以概念阐述与原则性规定为主，并未对发包承包、项目实施、监督管理、法律责任作出系统详细规定，工程总承包在法律层面上严重缺乏可操作性（P1019）。目前长江流域省（直辖市）水利主管部门有专门性规定的主要是湖北、安徽、浙江、湖南、四川五省份（P1019）。水利部在2021年水利工程建设工作要点中给出的方向是：积极有序推行代建、项目管理总承包、工程总承包等方式，研究出台政策措施，培育发展市场主体，明确各方职责权益（P1019）。电力、石化、房建市政各行其道的政策成熟度差异，意味着设计院的转型时机判断必须"分行业下注"，不能用一张全国地图覆盖所有细分市场。</w:t>
      </w:r>
    </w:p>
    <w:p>
      <w:r>
        <w:rPr>
          <w:rFonts w:ascii="Calibri" w:hAnsi="Calibri" w:eastAsia="微软雅黑"/>
          <w:b w:val="0"/>
          <w:i w:val="0"/>
          <w:sz w:val="22"/>
        </w:rPr>
        <w:t>还有一个常被忽略的政策变量是装配式与新型建筑工业化的绑定。前述九部门文件之外，行业文章转述的政策目标提出2020年推动装配式建筑占比达30%（P1024，该文AI导读转述）；西藏细则更直接规定装配式建筑原则上采用工程总承包方式（P1018）。设计院若在装配式建筑设计能力上有积累，等于握着一张与总承包政策强绑定的入场券。</w:t>
      </w:r>
    </w:p>
    <w:p>
      <w:r>
        <w:rPr>
          <w:rFonts w:ascii="Calibri" w:hAnsi="Calibri" w:eastAsia="微软雅黑"/>
          <w:b/>
          <w:i w:val="0"/>
          <w:sz w:val="22"/>
        </w:rPr>
        <w:t>所以呢？</w:t>
      </w:r>
      <w:r>
        <w:rPr>
          <w:rFonts w:ascii="Calibri" w:hAnsi="Calibri" w:eastAsia="微软雅黑"/>
          <w:b w:val="0"/>
          <w:i w:val="0"/>
          <w:sz w:val="22"/>
        </w:rPr>
        <w:t xml:space="preserve"> 政策地图对决策者的用法有三条：第一，用"路线两级台阶"（93号文/19号文到《管理办法》，P1002）判断本企业所在行业处于鼓励期还是规范期，规范期的特征是计价与评标规则密集出台（P1001/P1012）；第二，用地方细则清单（西安的三类不宜情形、成都的政府投资限额管理、西藏的装配式绑定，P1021/P1017/P1018）做投标前的一票否决筛查；第三，用"高峰—退潮—细化"的周期判断（2017年41份到2022年6个省级地方，P1002/P1001）校准预期——政策红利最肥的一段已经过去，现在拼的是履约能力而非牌照获取。</w:t>
      </w:r>
    </w:p>
    <w:p>
      <w:pPr>
        <w:pStyle w:val="Heading2"/>
      </w:pPr>
      <w:r>
        <w:t>1.3 玩家地图：五类基因企业的转型起点与身位</w:t>
      </w:r>
    </w:p>
    <w:p>
      <w:r>
        <w:rPr>
          <w:rFonts w:ascii="Calibri" w:hAnsi="Calibri" w:eastAsia="微软雅黑"/>
          <w:b w:val="0"/>
          <w:i w:val="0"/>
          <w:sz w:val="22"/>
        </w:rPr>
        <w:t>政策给了通道，但能不能走通，取决于每家企业的基因。本节从弹药库中选取五类已完成或正在完成"设计院→工程总承包商"跨越的样本企业，交叉对照它们的起点、资质底座、路径与战绩，为读者建立一张身位地图。</w:t>
      </w:r>
    </w:p>
    <w:p>
      <w:r>
        <w:rPr>
          <w:rFonts w:ascii="Calibri" w:hAnsi="Calibri" w:eastAsia="微软雅黑"/>
          <w:b/>
          <w:i w:val="0"/>
          <w:sz w:val="22"/>
        </w:rPr>
        <w:t>样本一：中机国际——设计院全链条外溢的教科书。</w:t>
      </w:r>
      <w:r>
        <w:rPr>
          <w:rFonts w:ascii="Calibri" w:hAnsi="Calibri" w:eastAsia="微软雅黑"/>
          <w:b w:val="0"/>
          <w:i w:val="0"/>
          <w:sz w:val="22"/>
        </w:rPr>
        <w:t xml:space="preserve"> 中机国际工程设计研究院有限责任公司前身为机械工业部第八设计研究院，创建于1951年，拥有8个行业甲级设计资质，具备市政施工总承包一级资质，跻身ENR中国工程设计企业60强榜单（P1009）。它的人才与技术沉淀是典型设计院画像：在职员工2400余人，高级专家及各类注册师700余人，累计完成工程设计20000余项，主参编国家/行业标准240余项，注册人员占比超29%（P1009）。调研方对其转型本质的概括一针见血：设计院干EPC的胜负手不在于施工队伍规模，而在于"以深化设计重构边际成本、以数智底座穿透真实负债、以标准外译破除国际壁垒"（P1009）。它的转型战绩已经完全是工程公司量级：开封禹王台120MW光伏EPC签约总代价800,160,000 元、工期100个历日，设定10%-80%-5%-5%的付款节点并引入供应商直付委托书（P1009）；澄迈能源站年发电超8580兆瓦时、供冷21705吉焦每年，综合能源利用率达83.6%以上，而行业传统分布式能源站平均综合效率约65%–70%（P1009）；18000kW电动机试验系统历时2年（含5个月试运行）建成、填补国内大功率特种动力测试平台EPC技术空白，配套的潍柴试验台支持5000kW并网（P1009）；喀什完整社区EPC覆盖7个街道、45个小区，改造便民设施1.46万平方米，成为南疆首个牵头标杆EPC、实现多点位网格化敏捷交付（P1009）。在管理侧，它2023年全面启用用友BIP、落地"1344"数智化指导框架，把财务核算由"收付实现制"倒逼升级为"权责发生制"，率先在三级央企中实现全流程AI智能审核与权责发生制穿透，正面解决工程总承包"干完才知道盈亏"的传统阵痛（P1009）。战略侧的三阶段演进同样清晰：从技术依附期（设计主导），到战略扩张期（构建涵盖EPC总承包、设计总承包、专业总承包、项目管理、PPP项目代理及全过程咨询的"全过程工程建设服务"体系），再到全产业链整合期——2024年中标邵阳市新能源产业园配套基础设施建设项目（EPC+O），中标金额高达4.193706亿元，并以"代建单位"身份深度介入湖南省消防救援总队物资储备库建设等项目，实现从"画图纸"到"管项目、运资产"的跨越（P1029）。其战略演进的核心逻辑，是利用设计主导权逐步渗透采购与施工环节，以实现项目全生命周期的成本锁定与利润增值（P1029）。需要提示的是，上述战绩数据的统计截止日为2026年10月04日（P1009）。对参照者而言，这张仪表板比任何口号都诚实：一个设计院出身的主体，可以在光伏、能源站、特种工业测试、城市更新四类工程形态中同时保持履约记录（P1009）。</w:t>
      </w:r>
    </w:p>
    <w:p>
      <w:r>
        <w:rPr>
          <w:rFonts w:ascii="Calibri" w:hAnsi="Calibri" w:eastAsia="微软雅黑"/>
          <w:b/>
          <w:i w:val="0"/>
          <w:sz w:val="22"/>
        </w:rPr>
        <w:t>样本二：鞍钢工程技术——老牌工业设计院的改制突围。</w:t>
      </w:r>
      <w:r>
        <w:rPr>
          <w:rFonts w:ascii="Calibri" w:hAnsi="Calibri" w:eastAsia="微软雅黑"/>
          <w:b w:val="0"/>
          <w:i w:val="0"/>
          <w:sz w:val="22"/>
        </w:rPr>
        <w:t xml:space="preserve"> 鞍钢集团工程技术有限公司的前身鞍钢集团设计研究院拥有70多年历史，被誉为"新中国冶金设计队伍的摇篮"（P1030）。2009年11月，设计研究院正式转制为鞍钢集团工程技术有限公司，注册资本6.49亿元，完成从事业单位到企业法人、再到国有控股混合所有制企业的身份转换（P1030）。2013年前后确立"转型=提升=跨越"路径（P1030）。随"4万亿"投资潮退去，单纯依靠冶金设计已无法支撑企业增长，公司实施"三个转变"：业务重心由"工程设计为主"向"设计与总承包并重"转变，技术能力由"工厂设计为主"向"设计与工艺技术研发相结合"转变，市场范围由"承担鞍钢任务为主"向"开拓鞍钢以外国内国际两个市场"转变（P1030）。其标志项目包括鲅鱼圈3.8米中厚板、一炼钢厂100吨RH真空处理等，并尝试BOT（建设—运营—移交）等商业模式（P1030）。作为"双百行动"混改试点，其发展本质被概括为通过混改机制激活存量资产，实现从单一技术输出向全生命周期价值交付的跨越（P1030）。这个样本的价值在于展示了"历史包袱既是技术底蕴，也是体制僵化根源"的双面性（P1030）。</w:t>
      </w:r>
    </w:p>
    <w:p>
      <w:r>
        <w:rPr>
          <w:rFonts w:ascii="Calibri" w:hAnsi="Calibri" w:eastAsia="微软雅黑"/>
          <w:b/>
          <w:i w:val="0"/>
          <w:sz w:val="22"/>
        </w:rPr>
        <w:t>样本三：海南院——区域深耕型电力设计院。</w:t>
      </w:r>
      <w:r>
        <w:rPr>
          <w:rFonts w:ascii="Calibri" w:hAnsi="Calibri" w:eastAsia="微软雅黑"/>
          <w:b w:val="0"/>
          <w:i w:val="0"/>
          <w:sz w:val="22"/>
        </w:rPr>
        <w:t xml:space="preserve"> 中国电建集团海南电力设计研究院有限公司的历史起点锚定于1994年12月，作为隶属于世界500强企业中国电力建设集团有限公司的子公司，成立之初即背负国家电力工程勘察设计的使命（P1031）。它成立后迅速完成国家资质"三甲"布局：电力行业（送电工程、变电工程）专业甲级、工程咨询单位资信甲级、电力工程监理甲级（P1031）。这一过程并非简单的证书获取，而是技术壁垒的构建——在电力工程领域，设计甲级资质是EPC总承包业务的入场券，也是承接高附加值项目的核心资产（P1031）。作为海南省唯一具备"三甲"资质的企业，它在成立初期即承担区域内的电网规划与勘察任务，在EPC模式尚未全面普及的时期，已通过"三甲"资质确立了在海南省电力市场的垄断性地位，为后续转型提供了必要的合规护城河（P1031）。区域垄断性资质壁垒加央企集团背书，是这一类企业的典型身位。从管控类型学视角看，海南院作为集团下属的二级单位，在发展初期呈现典型的财务管控型特征、资源高度聚焦；对其沿革的分析亦以"财务管控向战略管控过渡"为线索（P1031）。</w:t>
      </w:r>
    </w:p>
    <w:p>
      <w:r>
        <w:rPr>
          <w:rFonts w:ascii="Calibri" w:hAnsi="Calibri" w:eastAsia="微软雅黑"/>
          <w:b/>
          <w:i w:val="0"/>
          <w:sz w:val="22"/>
        </w:rPr>
        <w:t>样本四：中国海诚——轻工基因的资本化与数字化重构。</w:t>
      </w:r>
      <w:r>
        <w:rPr>
          <w:rFonts w:ascii="Calibri" w:hAnsi="Calibri" w:eastAsia="微软雅黑"/>
          <w:b w:val="0"/>
          <w:i w:val="0"/>
          <w:sz w:val="22"/>
        </w:rPr>
        <w:t xml:space="preserve"> 中国海诚工程科技股份有限公司的演进被概括为"轻工设计院基因向工程总承包商基因的数字化重构"，即通过"技术+资本+管理"的三元耦合，把单一的工程设计能力转化为全生命周期的工程交付能力（P1028）。2026年8月，公司发布使用部分闲置募集资金进行现金管理的进展公告，体现"市值管理作为连接经营发展与战略布局的重要纽带"的战略认知（P1028）；2026年8月6日，公司进一步明确"聚焦主业，夯实价值根基"，发布《"质量回报双提升"行动方案》，进入战略收敛期——不再盲目追求规模扩张，而是转向高端化、绿色化、数字化、智能化转型（P1028）。上市公司身份带来的资本工具与市值管理杠杆，是设计院群体中少数派的武器；其轻资产总包路径对同为消费端行业出身的轻纺、民用建筑设计院更具参照价值。</w:t>
      </w:r>
    </w:p>
    <w:p>
      <w:r>
        <w:rPr>
          <w:rFonts w:ascii="Calibri" w:hAnsi="Calibri" w:eastAsia="微软雅黑"/>
          <w:b/>
          <w:i w:val="0"/>
          <w:sz w:val="22"/>
        </w:rPr>
        <w:t>样本五：中核工程——设计主导型总承包的国家级天花板。</w:t>
      </w:r>
      <w:r>
        <w:rPr>
          <w:rFonts w:ascii="Calibri" w:hAnsi="Calibri" w:eastAsia="微软雅黑"/>
          <w:b w:val="0"/>
          <w:i w:val="0"/>
          <w:sz w:val="22"/>
        </w:rPr>
        <w:t xml:space="preserve"> 中国核电工程有限公司代表了设计院转型的最高完成度。核电建设从三代技术向批量化、模块化发展，传统的设计、采购、施工分段管理模式已暴露出严重的接口失配风险，EPC总承包模式的引入不仅是管理手段的升级，更是组织形态的进化（P1007）。核电项目的投资与周期特征决定了管理复杂度：单台机组投资规模通常超过200亿元、建设周期通常5-7年，长周期意味着项目必须面对跨越周期的利率波动、原材料价格涨跌以及政策环境变化，核电企业的核心竞争力正从单纯的技术研发转向复杂的金融统筹与全生命周期风险管控（P1007）。国家目标亦已明确：中国已确立2030年成为世界最大"核能强国"的目标（P1007）。理解这一样本的行业背景有助于判断其可迁移性：在"双碳"战略下，核电作为基荷电源，其清洁、高效、稳定的特征使其在能源转型中具有不可替代的战略地位（P1007）；传统核电依赖单一技术突破，现代核电工程则是海量数据与精密工艺的耦合，要求企业打破"数据孤岛"、实现从工程量清单到实物资产的精准映射（P1007）。多项目并行又使采购活动与质量保证（QA）呈现资源高度集约化与接口极度复杂化的双重特征（P1003）。在这一赛道上，中核工程构建了以"华龙一号"为代表的全产业链整合能力，实现从"技术支撑者"到"核电建设全生命周期价值创造者"的战略跨越（P1004）；核电设备采购具有"三高一长"特征，其通过"设计—采购协同（DPI）+长周期设备管控+国产化供应链+核级质量保证"四位一体体系实现从图纸到现实的转化（P1004）；2023年其在二级集采项目中节资率达10%（P1004）；质量上形成"四驱四化三协同"质量管理体系与"1+N"智慧工地平台（P1003）；组织上通过构建高效的组织管控机制和跨项目的多维度协同体系，实现从单一项目管理向多项目协同管控的跨越（P1004）；在调试与移交阶段，通过穹顶吊装、数字化交付、AHP量化分析等手段，实现从"事后监督"向"主动防御"的质量管理转型（P1004）；并以体系化管理、风险评估及数字化手段，实现对核电工程"进度、费用、质量、安全"四个核心维度的精准控制（P1004）。设计端的方法论尤其值得设计院同行研读：通过EB数字化平台实现从"基于文档"向"基于对象"的范式转移，建立五层结构化层级架构——第1层项目号（如"漳州1/2号机组"对应1516）、第2层对象分类单元、第3层机组号/安装标准号、第4层设备单元/装配标准、第5层系统号（P1020）；在漳州核电项目中，对象化建模打通了设计院、工程公司、制造厂的数据链条和协同堵点，实现基于MBD技术的设计数字化交付、关键工序自动化与制造智能化（P1020）。基于对象化的逻辑，公司还构建了"单一数据源"体系——当设计源头发生变更（例如上游工艺调整导致某类仪表架规格改变），数字化平台会自动触发表单与图纸的全局同步（P1020）。</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对照维度</w:t>
            </w:r>
          </w:p>
        </w:tc>
        <w:tc>
          <w:tcPr>
            <w:tcW w:type="dxa" w:w="1383"/>
            <w:shd w:fill="1F3A5F"/>
          </w:tcPr>
          <w:p>
            <w:r>
              <w:rPr>
                <w:color w:val="FFFFFF"/>
              </w:rPr>
            </w:r>
            <w:r>
              <w:rPr>
                <w:rFonts w:ascii="Calibri" w:hAnsi="Calibri" w:eastAsia="微软雅黑"/>
                <w:b/>
                <w:i w:val="0"/>
                <w:color w:val="FFFFFF"/>
                <w:sz w:val="18"/>
              </w:rPr>
              <w:t>中机国际</w:t>
            </w:r>
          </w:p>
        </w:tc>
        <w:tc>
          <w:tcPr>
            <w:tcW w:type="dxa" w:w="1383"/>
            <w:shd w:fill="1F3A5F"/>
          </w:tcPr>
          <w:p>
            <w:r>
              <w:rPr>
                <w:color w:val="FFFFFF"/>
              </w:rPr>
            </w:r>
            <w:r>
              <w:rPr>
                <w:rFonts w:ascii="Calibri" w:hAnsi="Calibri" w:eastAsia="微软雅黑"/>
                <w:b/>
                <w:i w:val="0"/>
                <w:color w:val="FFFFFF"/>
                <w:sz w:val="18"/>
              </w:rPr>
              <w:t>鞍钢工程技术</w:t>
            </w:r>
          </w:p>
        </w:tc>
        <w:tc>
          <w:tcPr>
            <w:tcW w:type="dxa" w:w="1383"/>
            <w:shd w:fill="1F3A5F"/>
          </w:tcPr>
          <w:p>
            <w:r>
              <w:rPr>
                <w:color w:val="FFFFFF"/>
              </w:rPr>
            </w:r>
            <w:r>
              <w:rPr>
                <w:rFonts w:ascii="Calibri" w:hAnsi="Calibri" w:eastAsia="微软雅黑"/>
                <w:b/>
                <w:i w:val="0"/>
                <w:color w:val="FFFFFF"/>
                <w:sz w:val="18"/>
              </w:rPr>
              <w:t>海南院</w:t>
            </w:r>
          </w:p>
        </w:tc>
        <w:tc>
          <w:tcPr>
            <w:tcW w:type="dxa" w:w="1383"/>
            <w:shd w:fill="1F3A5F"/>
          </w:tcPr>
          <w:p>
            <w:r>
              <w:rPr>
                <w:color w:val="FFFFFF"/>
              </w:rPr>
            </w:r>
            <w:r>
              <w:rPr>
                <w:rFonts w:ascii="Calibri" w:hAnsi="Calibri" w:eastAsia="微软雅黑"/>
                <w:b/>
                <w:i w:val="0"/>
                <w:color w:val="FFFFFF"/>
                <w:sz w:val="18"/>
              </w:rPr>
              <w:t>中国海诚</w:t>
            </w:r>
          </w:p>
        </w:tc>
        <w:tc>
          <w:tcPr>
            <w:tcW w:type="dxa" w:w="1383"/>
            <w:shd w:fill="1F3A5F"/>
          </w:tcPr>
          <w:p>
            <w:r>
              <w:rPr>
                <w:color w:val="FFFFFF"/>
              </w:rPr>
            </w:r>
            <w:r>
              <w:rPr>
                <w:rFonts w:ascii="Calibri" w:hAnsi="Calibri" w:eastAsia="微软雅黑"/>
                <w:b/>
                <w:i w:val="0"/>
                <w:color w:val="FFFFFF"/>
                <w:sz w:val="18"/>
              </w:rPr>
              <w:t>中核工程</w:t>
            </w:r>
          </w:p>
        </w:tc>
      </w:tr>
      <w:tr>
        <w:tc>
          <w:tcPr>
            <w:tcW w:type="dxa" w:w="1383"/>
          </w:tcPr>
          <w:p>
            <w:r/>
            <w:r>
              <w:rPr>
                <w:rFonts w:ascii="Calibri" w:hAnsi="Calibri" w:eastAsia="微软雅黑"/>
                <w:b w:val="0"/>
                <w:i w:val="0"/>
                <w:sz w:val="18"/>
              </w:rPr>
              <w:t>基因起点</w:t>
            </w:r>
          </w:p>
        </w:tc>
        <w:tc>
          <w:tcPr>
            <w:tcW w:type="dxa" w:w="1383"/>
          </w:tcPr>
          <w:p>
            <w:r/>
            <w:r>
              <w:rPr>
                <w:rFonts w:ascii="Calibri" w:hAnsi="Calibri" w:eastAsia="微软雅黑"/>
                <w:b w:val="0"/>
                <w:i w:val="0"/>
                <w:sz w:val="18"/>
              </w:rPr>
              <w:t>1951年创建，机械工业部第八设计研究院前身（P1009）</w:t>
            </w:r>
          </w:p>
        </w:tc>
        <w:tc>
          <w:tcPr>
            <w:tcW w:type="dxa" w:w="1383"/>
          </w:tcPr>
          <w:p>
            <w:r/>
            <w:r>
              <w:rPr>
                <w:rFonts w:ascii="Calibri" w:hAnsi="Calibri" w:eastAsia="微软雅黑"/>
                <w:b w:val="0"/>
                <w:i w:val="0"/>
                <w:sz w:val="18"/>
              </w:rPr>
              <w:t>2009年11月由70多年历史设计研究院转制（P1030）</w:t>
            </w:r>
          </w:p>
        </w:tc>
        <w:tc>
          <w:tcPr>
            <w:tcW w:type="dxa" w:w="1383"/>
          </w:tcPr>
          <w:p>
            <w:r/>
            <w:r>
              <w:rPr>
                <w:rFonts w:ascii="Calibri" w:hAnsi="Calibri" w:eastAsia="微软雅黑"/>
                <w:b w:val="0"/>
                <w:i w:val="0"/>
                <w:sz w:val="18"/>
              </w:rPr>
              <w:t>1994年12月成立，电建集团子公司（P1031）</w:t>
            </w:r>
          </w:p>
        </w:tc>
        <w:tc>
          <w:tcPr>
            <w:tcW w:type="dxa" w:w="1383"/>
          </w:tcPr>
          <w:p>
            <w:r/>
            <w:r>
              <w:rPr>
                <w:rFonts w:ascii="Calibri" w:hAnsi="Calibri" w:eastAsia="微软雅黑"/>
                <w:b w:val="0"/>
                <w:i w:val="0"/>
                <w:sz w:val="18"/>
              </w:rPr>
              <w:t>轻工业部设计院基因（P1028）</w:t>
            </w:r>
          </w:p>
        </w:tc>
        <w:tc>
          <w:tcPr>
            <w:tcW w:type="dxa" w:w="1383"/>
          </w:tcPr>
          <w:p>
            <w:r/>
            <w:r>
              <w:rPr>
                <w:rFonts w:ascii="Calibri" w:hAnsi="Calibri" w:eastAsia="微软雅黑"/>
                <w:b w:val="0"/>
                <w:i w:val="0"/>
                <w:sz w:val="18"/>
              </w:rPr>
              <w:t>核电工程设计国家队（P1004）</w:t>
            </w:r>
          </w:p>
        </w:tc>
      </w:tr>
      <w:tr>
        <w:tc>
          <w:tcPr>
            <w:tcW w:type="dxa" w:w="1383"/>
          </w:tcPr>
          <w:p>
            <w:r/>
            <w:r>
              <w:rPr>
                <w:rFonts w:ascii="Calibri" w:hAnsi="Calibri" w:eastAsia="微软雅黑"/>
                <w:b w:val="0"/>
                <w:i w:val="0"/>
                <w:sz w:val="18"/>
              </w:rPr>
              <w:t>资质/资本底座</w:t>
            </w:r>
          </w:p>
        </w:tc>
        <w:tc>
          <w:tcPr>
            <w:tcW w:type="dxa" w:w="1383"/>
          </w:tcPr>
          <w:p>
            <w:r/>
            <w:r>
              <w:rPr>
                <w:rFonts w:ascii="Calibri" w:hAnsi="Calibri" w:eastAsia="微软雅黑"/>
                <w:b w:val="0"/>
                <w:i w:val="0"/>
                <w:sz w:val="18"/>
              </w:rPr>
              <w:t>8个行业甲级+市政施工总承包一级（P1009）</w:t>
            </w:r>
          </w:p>
        </w:tc>
        <w:tc>
          <w:tcPr>
            <w:tcW w:type="dxa" w:w="1383"/>
          </w:tcPr>
          <w:p>
            <w:r/>
            <w:r>
              <w:rPr>
                <w:rFonts w:ascii="Calibri" w:hAnsi="Calibri" w:eastAsia="微软雅黑"/>
                <w:b w:val="0"/>
                <w:i w:val="0"/>
                <w:sz w:val="18"/>
              </w:rPr>
              <w:t>注册资本6.49亿元（P1030）</w:t>
            </w:r>
          </w:p>
        </w:tc>
        <w:tc>
          <w:tcPr>
            <w:tcW w:type="dxa" w:w="1383"/>
          </w:tcPr>
          <w:p>
            <w:r/>
            <w:r>
              <w:rPr>
                <w:rFonts w:ascii="Calibri" w:hAnsi="Calibri" w:eastAsia="微软雅黑"/>
                <w:b w:val="0"/>
                <w:i w:val="0"/>
                <w:sz w:val="18"/>
              </w:rPr>
              <w:t>电力"三甲"资质、海南省唯一（P1031）</w:t>
            </w:r>
          </w:p>
        </w:tc>
        <w:tc>
          <w:tcPr>
            <w:tcW w:type="dxa" w:w="1383"/>
          </w:tcPr>
          <w:p>
            <w:r/>
            <w:r>
              <w:rPr>
                <w:rFonts w:ascii="Calibri" w:hAnsi="Calibri" w:eastAsia="微软雅黑"/>
                <w:b w:val="0"/>
                <w:i w:val="0"/>
                <w:sz w:val="18"/>
              </w:rPr>
              <w:t>上市公司资本平台（P1028）</w:t>
            </w:r>
          </w:p>
        </w:tc>
        <w:tc>
          <w:tcPr>
            <w:tcW w:type="dxa" w:w="1383"/>
          </w:tcPr>
          <w:p>
            <w:r/>
            <w:r>
              <w:rPr>
                <w:rFonts w:ascii="Calibri" w:hAnsi="Calibri" w:eastAsia="微软雅黑"/>
                <w:b w:val="0"/>
                <w:i w:val="0"/>
                <w:sz w:val="18"/>
              </w:rPr>
              <w:t>华龙一号全产业链（P1004）</w:t>
            </w:r>
          </w:p>
        </w:tc>
      </w:tr>
      <w:tr>
        <w:tc>
          <w:tcPr>
            <w:tcW w:type="dxa" w:w="1383"/>
          </w:tcPr>
          <w:p>
            <w:r/>
            <w:r>
              <w:rPr>
                <w:rFonts w:ascii="Calibri" w:hAnsi="Calibri" w:eastAsia="微软雅黑"/>
                <w:b w:val="0"/>
                <w:i w:val="0"/>
                <w:sz w:val="18"/>
              </w:rPr>
              <w:t>转型路径</w:t>
            </w:r>
          </w:p>
        </w:tc>
        <w:tc>
          <w:tcPr>
            <w:tcW w:type="dxa" w:w="1383"/>
          </w:tcPr>
          <w:p>
            <w:r/>
            <w:r>
              <w:rPr>
                <w:rFonts w:ascii="Calibri" w:hAnsi="Calibri" w:eastAsia="微软雅黑"/>
                <w:b w:val="0"/>
                <w:i w:val="0"/>
                <w:sz w:val="18"/>
              </w:rPr>
              <w:t>设计→全过程服务→EPC+O与代建（P1029）</w:t>
            </w:r>
          </w:p>
        </w:tc>
        <w:tc>
          <w:tcPr>
            <w:tcW w:type="dxa" w:w="1383"/>
          </w:tcPr>
          <w:p>
            <w:r/>
            <w:r>
              <w:rPr>
                <w:rFonts w:ascii="Calibri" w:hAnsi="Calibri" w:eastAsia="微软雅黑"/>
                <w:b w:val="0"/>
                <w:i w:val="0"/>
                <w:sz w:val="18"/>
              </w:rPr>
              <w:t>改制→混改→"三个转变"（P1030）</w:t>
            </w:r>
          </w:p>
        </w:tc>
        <w:tc>
          <w:tcPr>
            <w:tcW w:type="dxa" w:w="1383"/>
          </w:tcPr>
          <w:p>
            <w:r/>
            <w:r>
              <w:rPr>
                <w:rFonts w:ascii="Calibri" w:hAnsi="Calibri" w:eastAsia="微软雅黑"/>
                <w:b w:val="0"/>
                <w:i w:val="0"/>
                <w:sz w:val="18"/>
              </w:rPr>
              <w:t>区域资质垄断→电力EPC（P1031）</w:t>
            </w:r>
          </w:p>
        </w:tc>
        <w:tc>
          <w:tcPr>
            <w:tcW w:type="dxa" w:w="1383"/>
          </w:tcPr>
          <w:p>
            <w:r/>
            <w:r>
              <w:rPr>
                <w:rFonts w:ascii="Calibri" w:hAnsi="Calibri" w:eastAsia="微软雅黑"/>
                <w:b w:val="0"/>
                <w:i w:val="0"/>
                <w:sz w:val="18"/>
              </w:rPr>
              <w:t>数字化重构+质量回报双提升（P1028）</w:t>
            </w:r>
          </w:p>
        </w:tc>
        <w:tc>
          <w:tcPr>
            <w:tcW w:type="dxa" w:w="1383"/>
          </w:tcPr>
          <w:p>
            <w:r/>
            <w:r>
              <w:rPr>
                <w:rFonts w:ascii="Calibri" w:hAnsi="Calibri" w:eastAsia="微软雅黑"/>
                <w:b w:val="0"/>
                <w:i w:val="0"/>
                <w:sz w:val="18"/>
              </w:rPr>
              <w:t>设计为龙头的核电总承包（P1004/P1007）</w:t>
            </w:r>
          </w:p>
        </w:tc>
      </w:tr>
      <w:tr>
        <w:tc>
          <w:tcPr>
            <w:tcW w:type="dxa" w:w="1383"/>
          </w:tcPr>
          <w:p>
            <w:r/>
            <w:r>
              <w:rPr>
                <w:rFonts w:ascii="Calibri" w:hAnsi="Calibri" w:eastAsia="微软雅黑"/>
                <w:b w:val="0"/>
                <w:i w:val="0"/>
                <w:sz w:val="18"/>
              </w:rPr>
              <w:t>代表性战绩</w:t>
            </w:r>
          </w:p>
        </w:tc>
        <w:tc>
          <w:tcPr>
            <w:tcW w:type="dxa" w:w="1383"/>
          </w:tcPr>
          <w:p>
            <w:r/>
            <w:r>
              <w:rPr>
                <w:rFonts w:ascii="Calibri" w:hAnsi="Calibri" w:eastAsia="微软雅黑"/>
                <w:b w:val="0"/>
                <w:i w:val="0"/>
                <w:sz w:val="18"/>
              </w:rPr>
              <w:t>开封120MW光伏EPC总代价800,160,000 元、工期100个历日（P1009）；邵阳EPC+O中标4.193706亿元（P1029）</w:t>
            </w:r>
          </w:p>
        </w:tc>
        <w:tc>
          <w:tcPr>
            <w:tcW w:type="dxa" w:w="1383"/>
          </w:tcPr>
          <w:p>
            <w:r/>
            <w:r>
              <w:rPr>
                <w:rFonts w:ascii="Calibri" w:hAnsi="Calibri" w:eastAsia="微软雅黑"/>
                <w:b w:val="0"/>
                <w:i w:val="0"/>
                <w:sz w:val="18"/>
              </w:rPr>
              <w:t>鲅鱼圈3.8米中厚板、100吨RH真空处理（P1030）</w:t>
            </w:r>
          </w:p>
        </w:tc>
        <w:tc>
          <w:tcPr>
            <w:tcW w:type="dxa" w:w="1383"/>
          </w:tcPr>
          <w:p>
            <w:r/>
            <w:r>
              <w:rPr>
                <w:rFonts w:ascii="Calibri" w:hAnsi="Calibri" w:eastAsia="微软雅黑"/>
                <w:b w:val="0"/>
                <w:i w:val="0"/>
                <w:sz w:val="18"/>
              </w:rPr>
              <w:t>区域电网规划与勘察（P1031）</w:t>
            </w:r>
          </w:p>
        </w:tc>
        <w:tc>
          <w:tcPr>
            <w:tcW w:type="dxa" w:w="1383"/>
          </w:tcPr>
          <w:p>
            <w:r/>
            <w:r>
              <w:rPr>
                <w:rFonts w:ascii="Calibri" w:hAnsi="Calibri" w:eastAsia="微软雅黑"/>
                <w:b w:val="0"/>
                <w:i w:val="0"/>
                <w:sz w:val="18"/>
              </w:rPr>
              <w:t>2026年8月6日"质量回报双提升"行动方案（P1028）</w:t>
            </w:r>
          </w:p>
        </w:tc>
        <w:tc>
          <w:tcPr>
            <w:tcW w:type="dxa" w:w="1383"/>
          </w:tcPr>
          <w:p>
            <w:r/>
            <w:r>
              <w:rPr>
                <w:rFonts w:ascii="Calibri" w:hAnsi="Calibri" w:eastAsia="微软雅黑"/>
                <w:b w:val="0"/>
                <w:i w:val="0"/>
                <w:sz w:val="18"/>
              </w:rPr>
              <w:t>单台机组投资通常超200亿元、周期5-7年（P1007）；2023年二级集采节资率10%（P1004）</w:t>
            </w:r>
          </w:p>
        </w:tc>
      </w:tr>
    </w:tbl>
    <w:p>
      <w:r>
        <w:rPr>
          <w:rFonts w:ascii="Calibri" w:hAnsi="Calibri" w:eastAsia="微软雅黑"/>
          <w:b w:val="0"/>
          <w:i w:val="0"/>
          <w:sz w:val="22"/>
        </w:rPr>
        <w:t>中核样本还提供了一张"传统分段模式对比EPC模式"的五维对照表，它对任何行业的设计院都成立（P1007）：</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建设特性</w:t>
            </w:r>
          </w:p>
        </w:tc>
        <w:tc>
          <w:tcPr>
            <w:tcW w:type="dxa" w:w="2767"/>
            <w:shd w:fill="1F3A5F"/>
          </w:tcPr>
          <w:p>
            <w:r>
              <w:rPr>
                <w:color w:val="FFFFFF"/>
              </w:rPr>
            </w:r>
            <w:r>
              <w:rPr>
                <w:rFonts w:ascii="Calibri" w:hAnsi="Calibri" w:eastAsia="微软雅黑"/>
                <w:b/>
                <w:i w:val="0"/>
                <w:color w:val="FFFFFF"/>
                <w:sz w:val="18"/>
              </w:rPr>
              <w:t>传统分段模式局限性</w:t>
            </w:r>
          </w:p>
        </w:tc>
        <w:tc>
          <w:tcPr>
            <w:tcW w:type="dxa" w:w="2767"/>
            <w:shd w:fill="1F3A5F"/>
          </w:tcPr>
          <w:p>
            <w:r>
              <w:rPr>
                <w:color w:val="FFFFFF"/>
              </w:rPr>
            </w:r>
            <w:r>
              <w:rPr>
                <w:rFonts w:ascii="Calibri" w:hAnsi="Calibri" w:eastAsia="微软雅黑"/>
                <w:b/>
                <w:i w:val="0"/>
                <w:color w:val="FFFFFF"/>
                <w:sz w:val="18"/>
              </w:rPr>
              <w:t>EPC总承包模式优势</w:t>
            </w:r>
          </w:p>
        </w:tc>
      </w:tr>
      <w:tr>
        <w:tc>
          <w:tcPr>
            <w:tcW w:type="dxa" w:w="2767"/>
          </w:tcPr>
          <w:p>
            <w:r/>
            <w:r>
              <w:rPr>
                <w:rFonts w:ascii="Calibri" w:hAnsi="Calibri" w:eastAsia="微软雅黑"/>
                <w:b w:val="0"/>
                <w:i w:val="0"/>
                <w:sz w:val="18"/>
              </w:rPr>
              <w:t>投资规模</w:t>
            </w:r>
          </w:p>
        </w:tc>
        <w:tc>
          <w:tcPr>
            <w:tcW w:type="dxa" w:w="2767"/>
          </w:tcPr>
          <w:p>
            <w:r/>
            <w:r>
              <w:rPr>
                <w:rFonts w:ascii="Calibri" w:hAnsi="Calibri" w:eastAsia="微软雅黑"/>
                <w:b w:val="0"/>
                <w:i w:val="0"/>
                <w:sz w:val="18"/>
              </w:rPr>
              <w:t>预算编制与现场施工脱节，易产生"三超"隐患（P1007）</w:t>
            </w:r>
          </w:p>
        </w:tc>
        <w:tc>
          <w:tcPr>
            <w:tcW w:type="dxa" w:w="2767"/>
          </w:tcPr>
          <w:p>
            <w:r/>
            <w:r>
              <w:rPr>
                <w:rFonts w:ascii="Calibri" w:hAnsi="Calibri" w:eastAsia="微软雅黑"/>
                <w:b w:val="0"/>
                <w:i w:val="0"/>
                <w:sz w:val="18"/>
              </w:rPr>
              <w:t>建立动态预算调整机制，实现设计与成本的实时联动（P1007）</w:t>
            </w:r>
          </w:p>
        </w:tc>
      </w:tr>
      <w:tr>
        <w:tc>
          <w:tcPr>
            <w:tcW w:type="dxa" w:w="2767"/>
          </w:tcPr>
          <w:p>
            <w:r/>
            <w:r>
              <w:rPr>
                <w:rFonts w:ascii="Calibri" w:hAnsi="Calibri" w:eastAsia="微软雅黑"/>
                <w:b w:val="0"/>
                <w:i w:val="0"/>
                <w:sz w:val="18"/>
              </w:rPr>
              <w:t>建设周期</w:t>
            </w:r>
          </w:p>
        </w:tc>
        <w:tc>
          <w:tcPr>
            <w:tcW w:type="dxa" w:w="2767"/>
          </w:tcPr>
          <w:p>
            <w:r/>
            <w:r>
              <w:rPr>
                <w:rFonts w:ascii="Calibri" w:hAnsi="Calibri" w:eastAsia="微软雅黑"/>
                <w:b w:val="0"/>
                <w:i w:val="0"/>
                <w:sz w:val="18"/>
              </w:rPr>
              <w:t>接口协调成本高，关键路径容易受阻（P1007）</w:t>
            </w:r>
          </w:p>
        </w:tc>
        <w:tc>
          <w:tcPr>
            <w:tcW w:type="dxa" w:w="2767"/>
          </w:tcPr>
          <w:p>
            <w:r/>
            <w:r>
              <w:rPr>
                <w:rFonts w:ascii="Calibri" w:hAnsi="Calibri" w:eastAsia="微软雅黑"/>
                <w:b w:val="0"/>
                <w:i w:val="0"/>
                <w:sz w:val="18"/>
              </w:rPr>
              <w:t>DPC（设计—采购—施工）一体化，确保里程碑节点确定性（P1007）</w:t>
            </w:r>
          </w:p>
        </w:tc>
      </w:tr>
      <w:tr>
        <w:tc>
          <w:tcPr>
            <w:tcW w:type="dxa" w:w="2767"/>
          </w:tcPr>
          <w:p>
            <w:r/>
            <w:r>
              <w:rPr>
                <w:rFonts w:ascii="Calibri" w:hAnsi="Calibri" w:eastAsia="微软雅黑"/>
                <w:b w:val="0"/>
                <w:i w:val="0"/>
                <w:sz w:val="18"/>
              </w:rPr>
              <w:t>技术要求</w:t>
            </w:r>
          </w:p>
        </w:tc>
        <w:tc>
          <w:tcPr>
            <w:tcW w:type="dxa" w:w="2767"/>
          </w:tcPr>
          <w:p>
            <w:r/>
            <w:r>
              <w:rPr>
                <w:rFonts w:ascii="Calibri" w:hAnsi="Calibri" w:eastAsia="微软雅黑"/>
                <w:b w:val="0"/>
                <w:i w:val="0"/>
                <w:sz w:val="18"/>
              </w:rPr>
              <w:t>设计对施工反馈滞后，现场签证频繁（P1007）</w:t>
            </w:r>
          </w:p>
        </w:tc>
        <w:tc>
          <w:tcPr>
            <w:tcW w:type="dxa" w:w="2767"/>
          </w:tcPr>
          <w:p>
            <w:r/>
            <w:r>
              <w:rPr>
                <w:rFonts w:ascii="Calibri" w:hAnsi="Calibri" w:eastAsia="微软雅黑"/>
                <w:b w:val="0"/>
                <w:i w:val="0"/>
                <w:sz w:val="18"/>
              </w:rPr>
              <w:t>设计引领采购，关键设备提前介入设计审查，减少无效返工（P1007）</w:t>
            </w:r>
          </w:p>
        </w:tc>
      </w:tr>
      <w:tr>
        <w:tc>
          <w:tcPr>
            <w:tcW w:type="dxa" w:w="2767"/>
          </w:tcPr>
          <w:p>
            <w:r/>
            <w:r>
              <w:rPr>
                <w:rFonts w:ascii="Calibri" w:hAnsi="Calibri" w:eastAsia="微软雅黑"/>
                <w:b w:val="0"/>
                <w:i w:val="0"/>
                <w:sz w:val="18"/>
              </w:rPr>
              <w:t>安全标准</w:t>
            </w:r>
          </w:p>
        </w:tc>
        <w:tc>
          <w:tcPr>
            <w:tcW w:type="dxa" w:w="2767"/>
          </w:tcPr>
          <w:p>
            <w:r/>
            <w:r>
              <w:rPr>
                <w:rFonts w:ascii="Calibri" w:hAnsi="Calibri" w:eastAsia="微软雅黑"/>
                <w:b w:val="0"/>
                <w:i w:val="0"/>
                <w:sz w:val="18"/>
              </w:rPr>
              <w:t>质量责任主体分散，追溯链条长（P1007）</w:t>
            </w:r>
          </w:p>
        </w:tc>
        <w:tc>
          <w:tcPr>
            <w:tcW w:type="dxa" w:w="2767"/>
          </w:tcPr>
          <w:p>
            <w:r/>
            <w:r>
              <w:rPr>
                <w:rFonts w:ascii="Calibri" w:hAnsi="Calibri" w:eastAsia="微软雅黑"/>
                <w:b w:val="0"/>
                <w:i w:val="0"/>
                <w:sz w:val="18"/>
              </w:rPr>
              <w:t>统一质量保证体系（QA），全过程闭环管理（P1007）</w:t>
            </w:r>
          </w:p>
        </w:tc>
      </w:tr>
      <w:tr>
        <w:tc>
          <w:tcPr>
            <w:tcW w:type="dxa" w:w="2767"/>
          </w:tcPr>
          <w:p>
            <w:r/>
            <w:r>
              <w:rPr>
                <w:rFonts w:ascii="Calibri" w:hAnsi="Calibri" w:eastAsia="微软雅黑"/>
                <w:b w:val="0"/>
                <w:i w:val="0"/>
                <w:sz w:val="18"/>
              </w:rPr>
              <w:t>协同效率</w:t>
            </w:r>
          </w:p>
        </w:tc>
        <w:tc>
          <w:tcPr>
            <w:tcW w:type="dxa" w:w="2767"/>
          </w:tcPr>
          <w:p>
            <w:r/>
            <w:r>
              <w:rPr>
                <w:rFonts w:ascii="Calibri" w:hAnsi="Calibri" w:eastAsia="微软雅黑"/>
                <w:b w:val="0"/>
                <w:i w:val="0"/>
                <w:sz w:val="18"/>
              </w:rPr>
              <w:t>"部门墙"导致信息衰减（P1007）</w:t>
            </w:r>
          </w:p>
        </w:tc>
        <w:tc>
          <w:tcPr>
            <w:tcW w:type="dxa" w:w="2767"/>
          </w:tcPr>
          <w:p>
            <w:r/>
            <w:r>
              <w:rPr>
                <w:rFonts w:ascii="Calibri" w:hAnsi="Calibri" w:eastAsia="微软雅黑"/>
                <w:b w:val="0"/>
                <w:i w:val="0"/>
                <w:sz w:val="18"/>
              </w:rPr>
              <w:t>数字化协同平台打破专业壁垒，缩短管理半径（P1007）</w:t>
            </w:r>
          </w:p>
        </w:tc>
      </w:tr>
    </w:tbl>
    <w:p>
      <w:r>
        <w:rPr>
          <w:rFonts w:ascii="Calibri" w:hAnsi="Calibri" w:eastAsia="微软雅黑"/>
          <w:b w:val="0"/>
          <w:i w:val="0"/>
          <w:sz w:val="22"/>
        </w:rPr>
        <w:t>五家样本横向对照，可以提炼出三条身位规律。其一，起点基因决定第一桶金的来源：工业部设计院出身的中机国际靠标准与资质（8个行业甲级，P1009），钢铁系统出身的鞍钢靠集团内部市场完成能力孵化（P1030），区域型海南院靠省内唯一"三甲"的垄断位（P1031），上市的海诚靠资本工具（P1028），国家队中核靠国家战略工程（P1004）。其二，资质是门票而非护城河：560家设计单位早在1999年前后就领取了甲级工程总承包资格证书（P1013），但二十多年后真正完成工程公司化的仍是少数——门票人人有，赛场活下来的靠管理。其三，转型没有统一时刻表：鞍钢2009年才改制（P1030），海诚到2026年还在发布"质量回报双提升"行动方案（P1028），中机国际的EPC+O在2024年才落地（P1029）——转型是十年尺度的长跑，管理层要为此设计组织与考核的长期容错。其四，样本间的量级跨度提示了市场分层：单台机组通常超过200亿元的核电工程（P1007）、总代价800,160,000 元的光伏EPC（P1009）、4.193706亿元的EPC+O（P1029）与1.46万平方米级的社区改造EPC（P1009）分布于完全不同的量级带；设计院应按自身资金实力与管理半径选择自己的量级带，而非盲目对标最高样本。</w:t>
      </w:r>
    </w:p>
    <w:p>
      <w:r>
        <w:rPr>
          <w:rFonts w:ascii="Calibri" w:hAnsi="Calibri" w:eastAsia="微软雅黑"/>
          <w:b/>
          <w:i w:val="0"/>
          <w:sz w:val="22"/>
        </w:rPr>
        <w:t>所以呢？</w:t>
      </w:r>
      <w:r>
        <w:rPr>
          <w:rFonts w:ascii="Calibri" w:hAnsi="Calibri" w:eastAsia="微软雅黑"/>
          <w:b w:val="0"/>
          <w:i w:val="0"/>
          <w:sz w:val="22"/>
        </w:rPr>
        <w:t xml:space="preserve"> 这张玩家地图的用法是"对号入座"：先找到与自家基因最接近的样本（工业院、区域院、上市院、国家队各有一类），抄它的路径前半段，避开它已公开踩过的坑；同时警惕一个幻觉——样本企业的高光战绩（如总代价800,160,000 元的开封光伏EPC，P1009）背后是数十年资质与体系积累，跨界者直接投标大体量EPC，等于不带登山绳上雪山。后续的竞争格局一章将把这张地图扩展为全行业四层玩家与位次分析。</w:t>
      </w:r>
    </w:p>
    <w:p>
      <w:pPr>
        <w:pStyle w:val="Heading2"/>
      </w:pPr>
      <w:r>
        <w:t>1.4 方法论地图：能力要素、决策红线与全书导航</w:t>
      </w:r>
    </w:p>
    <w:p>
      <w:r>
        <w:rPr>
          <w:rFonts w:ascii="Calibri" w:hAnsi="Calibri" w:eastAsia="微软雅黑"/>
          <w:b w:val="0"/>
          <w:i w:val="0"/>
          <w:sz w:val="22"/>
        </w:rPr>
        <w:t>第三张地图回答"凭什么做得活"。把弹药库中关于能力与风险的证据交叉排列，可以拼出设计院总承包生意的完整风险收益结构——它本质上是一门"知识密集+资本密集+法律密集"的三重生意。</w:t>
      </w:r>
    </w:p>
    <w:p>
      <w:r>
        <w:rPr>
          <w:rFonts w:ascii="Calibri" w:hAnsi="Calibri" w:eastAsia="微软雅黑"/>
          <w:b w:val="0"/>
          <w:i w:val="0"/>
          <w:sz w:val="22"/>
        </w:rPr>
        <w:t>先看收益端的杠杆。中国能源建设集团安徽省电力设计院的转型本质被概括为：利用设计端对工程70%以上造价的源头控制力，杠杆化撬动数百倍于设计费的工程总包市场（P1010）。在"双碳"目标与新型电力系统建设背景下，这家传统电力勘察设计院正加速向综合性EPC总承包工程公司转型，将总承包确立为核心生存发展战略（P1010）。70%的造价锁定率意味着：工程全生命周期成本在初步设计与施工图设计阶段已被锁定，若设计阶段未做限额设计，后期施工优化增益归零（P1010）。这是设计院做总承包最硬核的理论优势——别人是在施工图定稿后开始管钱，设计院是在钱的命运被决定时就在场。</w:t>
      </w:r>
    </w:p>
    <w:p>
      <w:r>
        <w:rPr>
          <w:rFonts w:ascii="Calibri" w:hAnsi="Calibri" w:eastAsia="微软雅黑"/>
          <w:b w:val="0"/>
          <w:i w:val="0"/>
          <w:sz w:val="22"/>
        </w:rPr>
        <w:t>但收益杠杆的背面是同样被放大的失败概率。安徽院的实证竞标数据揭示了第一道红线：在江苏利港电厂升压站EPC竞标中，安徽院报价1.8415亿元，与第一名1.7988亿元仅差427.03万元、价差率2.37%（P1010）。设计院天然具备技术与规划优势，但单纯的设计优势无法天然兑现为竞标低价护城河；在"交钥匙（Lump-Sum）"包干体系下，设计院做EPC的核心命门在于缺乏重资产施工队与大宗设备采办规模（P1010）。安徽院由此确立的定位是"设计为龙头、资源集成商、风险隔离器"的平台化打法：通过"强强联合"建立与头部施工企业及供应链的背靠背契约网络，将垫资、履约延误与安质环风险合法下传，以微观精细化管理博弈兑现业绩增长（P1010）。</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决策红线</w:t>
            </w:r>
          </w:p>
        </w:tc>
        <w:tc>
          <w:tcPr>
            <w:tcW w:type="dxa" w:w="2767"/>
            <w:shd w:fill="1F3A5F"/>
          </w:tcPr>
          <w:p>
            <w:r>
              <w:rPr>
                <w:color w:val="FFFFFF"/>
              </w:rPr>
            </w:r>
            <w:r>
              <w:rPr>
                <w:rFonts w:ascii="Calibri" w:hAnsi="Calibri" w:eastAsia="微软雅黑"/>
                <w:b/>
                <w:i w:val="0"/>
                <w:color w:val="FFFFFF"/>
                <w:sz w:val="18"/>
              </w:rPr>
              <w:t>数值</w:t>
            </w:r>
          </w:p>
        </w:tc>
        <w:tc>
          <w:tcPr>
            <w:tcW w:type="dxa" w:w="2767"/>
            <w:shd w:fill="1F3A5F"/>
          </w:tcPr>
          <w:p>
            <w:r>
              <w:rPr>
                <w:color w:val="FFFFFF"/>
              </w:rPr>
            </w:r>
            <w:r>
              <w:rPr>
                <w:rFonts w:ascii="Calibri" w:hAnsi="Calibri" w:eastAsia="微软雅黑"/>
                <w:b/>
                <w:i w:val="0"/>
                <w:color w:val="FFFFFF"/>
                <w:sz w:val="18"/>
              </w:rPr>
              <w:t>含义与触发后果</w:t>
            </w:r>
          </w:p>
        </w:tc>
      </w:tr>
      <w:tr>
        <w:tc>
          <w:tcPr>
            <w:tcW w:type="dxa" w:w="2767"/>
          </w:tcPr>
          <w:p>
            <w:r/>
            <w:r>
              <w:rPr>
                <w:rFonts w:ascii="Calibri" w:hAnsi="Calibri" w:eastAsia="微软雅黑"/>
                <w:b w:val="0"/>
                <w:i w:val="0"/>
                <w:sz w:val="18"/>
              </w:rPr>
              <w:t>造价锁定率</w:t>
            </w:r>
          </w:p>
        </w:tc>
        <w:tc>
          <w:tcPr>
            <w:tcW w:type="dxa" w:w="2767"/>
          </w:tcPr>
          <w:p>
            <w:r/>
            <w:r>
              <w:rPr>
                <w:rFonts w:ascii="Calibri" w:hAnsi="Calibri" w:eastAsia="微软雅黑"/>
                <w:b w:val="0"/>
                <w:i w:val="0"/>
                <w:sz w:val="18"/>
              </w:rPr>
              <w:t>&gt;70%（P1010）</w:t>
            </w:r>
          </w:p>
        </w:tc>
        <w:tc>
          <w:tcPr>
            <w:tcW w:type="dxa" w:w="2767"/>
          </w:tcPr>
          <w:p>
            <w:r/>
            <w:r>
              <w:rPr>
                <w:rFonts w:ascii="Calibri" w:hAnsi="Calibri" w:eastAsia="微软雅黑"/>
                <w:b w:val="0"/>
                <w:i w:val="0"/>
                <w:sz w:val="18"/>
              </w:rPr>
              <w:t>设计阶段锁定的全生命周期成本比例，是设计院做总承包的核心杠杆（P1010）</w:t>
            </w:r>
          </w:p>
        </w:tc>
      </w:tr>
      <w:tr>
        <w:tc>
          <w:tcPr>
            <w:tcW w:type="dxa" w:w="2767"/>
          </w:tcPr>
          <w:p>
            <w:r/>
            <w:r>
              <w:rPr>
                <w:rFonts w:ascii="Calibri" w:hAnsi="Calibri" w:eastAsia="微软雅黑"/>
                <w:b w:val="0"/>
                <w:i w:val="0"/>
                <w:sz w:val="18"/>
              </w:rPr>
              <w:t>竞标价差敏感度</w:t>
            </w:r>
          </w:p>
        </w:tc>
        <w:tc>
          <w:tcPr>
            <w:tcW w:type="dxa" w:w="2767"/>
          </w:tcPr>
          <w:p>
            <w:r/>
            <w:r>
              <w:rPr>
                <w:rFonts w:ascii="Calibri" w:hAnsi="Calibri" w:eastAsia="微软雅黑"/>
                <w:b w:val="0"/>
                <w:i w:val="0"/>
                <w:sz w:val="18"/>
              </w:rPr>
              <w:t>2.37%（427.03万元）（P1010）</w:t>
            </w:r>
          </w:p>
        </w:tc>
        <w:tc>
          <w:tcPr>
            <w:tcW w:type="dxa" w:w="2767"/>
          </w:tcPr>
          <w:p>
            <w:r/>
            <w:r>
              <w:rPr>
                <w:rFonts w:ascii="Calibri" w:hAnsi="Calibri" w:eastAsia="微软雅黑"/>
                <w:b w:val="0"/>
                <w:i w:val="0"/>
                <w:sz w:val="18"/>
              </w:rPr>
              <w:t>利港竞标中与第一名的微小价差；采办与分包溢价超2%即输标（P1010）</w:t>
            </w:r>
          </w:p>
        </w:tc>
      </w:tr>
      <w:tr>
        <w:tc>
          <w:tcPr>
            <w:tcW w:type="dxa" w:w="2767"/>
          </w:tcPr>
          <w:p>
            <w:r/>
            <w:r>
              <w:rPr>
                <w:rFonts w:ascii="Calibri" w:hAnsi="Calibri" w:eastAsia="微软雅黑"/>
                <w:b w:val="0"/>
                <w:i w:val="0"/>
                <w:sz w:val="18"/>
              </w:rPr>
              <w:t>违约金终止线</w:t>
            </w:r>
          </w:p>
        </w:tc>
        <w:tc>
          <w:tcPr>
            <w:tcW w:type="dxa" w:w="2767"/>
          </w:tcPr>
          <w:p>
            <w:r/>
            <w:r>
              <w:rPr>
                <w:rFonts w:ascii="Calibri" w:hAnsi="Calibri" w:eastAsia="微软雅黑"/>
                <w:b w:val="0"/>
                <w:i w:val="0"/>
                <w:sz w:val="18"/>
              </w:rPr>
              <w:t>10.0%合同总额（P1010）</w:t>
            </w:r>
          </w:p>
        </w:tc>
        <w:tc>
          <w:tcPr>
            <w:tcW w:type="dxa" w:w="2767"/>
          </w:tcPr>
          <w:p>
            <w:r/>
            <w:r>
              <w:rPr>
                <w:rFonts w:ascii="Calibri" w:hAnsi="Calibri" w:eastAsia="微软雅黑"/>
                <w:b w:val="0"/>
                <w:i w:val="0"/>
                <w:sz w:val="18"/>
              </w:rPr>
              <w:t>因工期或质量违规累计违约金达该阈值，发包人有权无条件终止合同并没收履约保函（P1010）</w:t>
            </w:r>
          </w:p>
        </w:tc>
      </w:tr>
      <w:tr>
        <w:tc>
          <w:tcPr>
            <w:tcW w:type="dxa" w:w="2767"/>
          </w:tcPr>
          <w:p>
            <w:r/>
            <w:r>
              <w:rPr>
                <w:rFonts w:ascii="Calibri" w:hAnsi="Calibri" w:eastAsia="微软雅黑"/>
                <w:b w:val="0"/>
                <w:i w:val="0"/>
                <w:sz w:val="18"/>
              </w:rPr>
              <w:t>致命性能红线</w:t>
            </w:r>
          </w:p>
        </w:tc>
        <w:tc>
          <w:tcPr>
            <w:tcW w:type="dxa" w:w="2767"/>
          </w:tcPr>
          <w:p>
            <w:r/>
            <w:r>
              <w:rPr>
                <w:rFonts w:ascii="Calibri" w:hAnsi="Calibri" w:eastAsia="微软雅黑"/>
                <w:b w:val="0"/>
                <w:i w:val="0"/>
                <w:sz w:val="18"/>
              </w:rPr>
              <w:t>4.52%发电量（P1010）</w:t>
            </w:r>
          </w:p>
        </w:tc>
        <w:tc>
          <w:tcPr>
            <w:tcW w:type="dxa" w:w="2767"/>
          </w:tcPr>
          <w:p>
            <w:r/>
            <w:r>
              <w:rPr>
                <w:rFonts w:ascii="Calibri" w:hAnsi="Calibri" w:eastAsia="微软雅黑"/>
                <w:b w:val="0"/>
                <w:i w:val="0"/>
                <w:sz w:val="18"/>
              </w:rPr>
              <w:t>司法判例中因设计工艺致命缺陷，完工后实际发电量仅为设计的4.52%，被判定根本性违约，总承包商须退还全部工程款并赔偿全额损失（P1010）</w:t>
            </w:r>
          </w:p>
        </w:tc>
      </w:tr>
      <w:tr>
        <w:tc>
          <w:tcPr>
            <w:tcW w:type="dxa" w:w="2767"/>
          </w:tcPr>
          <w:p>
            <w:r/>
            <w:r>
              <w:rPr>
                <w:rFonts w:ascii="Calibri" w:hAnsi="Calibri" w:eastAsia="微软雅黑"/>
                <w:b w:val="0"/>
                <w:i w:val="0"/>
                <w:sz w:val="18"/>
              </w:rPr>
              <w:t>巨额赔偿上限</w:t>
            </w:r>
          </w:p>
        </w:tc>
        <w:tc>
          <w:tcPr>
            <w:tcW w:type="dxa" w:w="2767"/>
          </w:tcPr>
          <w:p>
            <w:r/>
            <w:r>
              <w:rPr>
                <w:rFonts w:ascii="Calibri" w:hAnsi="Calibri" w:eastAsia="微软雅黑"/>
                <w:b w:val="0"/>
                <w:i w:val="0"/>
                <w:sz w:val="18"/>
              </w:rPr>
              <w:t>60%合同总价（P1010）</w:t>
            </w:r>
          </w:p>
        </w:tc>
        <w:tc>
          <w:tcPr>
            <w:tcW w:type="dxa" w:w="2767"/>
          </w:tcPr>
          <w:p>
            <w:r/>
            <w:r>
              <w:rPr>
                <w:rFonts w:ascii="Calibri" w:hAnsi="Calibri" w:eastAsia="微软雅黑"/>
                <w:b w:val="0"/>
                <w:i w:val="0"/>
                <w:sz w:val="18"/>
              </w:rPr>
              <w:t>竣工后试验性能严重不达标（如渗滤液处理量不足）的司法判决赔偿比例（P1010）</w:t>
            </w:r>
          </w:p>
        </w:tc>
      </w:tr>
      <w:tr>
        <w:tc>
          <w:tcPr>
            <w:tcW w:type="dxa" w:w="2767"/>
          </w:tcPr>
          <w:p>
            <w:r/>
            <w:r>
              <w:rPr>
                <w:rFonts w:ascii="Calibri" w:hAnsi="Calibri" w:eastAsia="微软雅黑"/>
                <w:b w:val="0"/>
                <w:i w:val="0"/>
                <w:sz w:val="18"/>
              </w:rPr>
              <w:t>两金占用预警线</w:t>
            </w:r>
          </w:p>
        </w:tc>
        <w:tc>
          <w:tcPr>
            <w:tcW w:type="dxa" w:w="2767"/>
          </w:tcPr>
          <w:p>
            <w:r/>
            <w:r>
              <w:rPr>
                <w:rFonts w:ascii="Calibri" w:hAnsi="Calibri" w:eastAsia="微软雅黑"/>
                <w:b w:val="0"/>
                <w:i w:val="0"/>
                <w:sz w:val="18"/>
              </w:rPr>
              <w:t>35%营收占比（P1010）</w:t>
            </w:r>
          </w:p>
        </w:tc>
        <w:tc>
          <w:tcPr>
            <w:tcW w:type="dxa" w:w="2767"/>
          </w:tcPr>
          <w:p>
            <w:r/>
            <w:r>
              <w:rPr>
                <w:rFonts w:ascii="Calibri" w:hAnsi="Calibri" w:eastAsia="微软雅黑"/>
                <w:b w:val="0"/>
                <w:i w:val="0"/>
                <w:sz w:val="18"/>
              </w:rPr>
              <w:t>存货（合同资产）加应收账款合计占营业收入比重上限，超过即触发现金流链预警、倒逼强制停工与保理贴现（P1010）</w:t>
            </w:r>
          </w:p>
        </w:tc>
      </w:tr>
    </w:tbl>
    <w:p>
      <w:r>
        <w:rPr>
          <w:rFonts w:ascii="Calibri" w:hAnsi="Calibri" w:eastAsia="微软雅黑"/>
          <w:b w:val="0"/>
          <w:i w:val="0"/>
          <w:sz w:val="22"/>
        </w:rPr>
        <w:t>这张红线仪表板的价值不在于数字本身的精确，而在于量级感：一个总承包项目可以输掉的方式，比一个设计项目多出整整一个数量级——竞标差2%出局、违约金吃掉一成合同额、性能缺陷退全款、赔偿到六成、两金压垮现金流（P1010）。宏观变量的传导同样有明确预警线：大宗建材（钢材、铜材）价格单月波动幅度超过±15%，或主要风机、光伏逆变器设备集采价格出现20%以上的结构性下调，成本估算模型需重新测算（P1010）。央行LPR利率变动超过50BP，现金流链压力测试的贴现率模型需同步更新（P1010）。设计院的战略部门应当把这三条宏观预警线写进年度经营计划的附录，而不是等投标报价时才发现成本假设已经过期。</w:t>
      </w:r>
    </w:p>
    <w:p>
      <w:r>
        <w:rPr>
          <w:rFonts w:ascii="Calibri" w:hAnsi="Calibri" w:eastAsia="微软雅黑"/>
          <w:b w:val="0"/>
          <w:i w:val="0"/>
          <w:sz w:val="22"/>
        </w:rPr>
        <w:t>资本维度之外，第二重约束来自财务与造价管理的颗粒度。中机国际的解法是把财务核算从"收付实现制"倒逼升级为"权责发生制"，解决工程总承包"干完才知道盈亏"的传统阵痛（P1009）。设计院出身的企业普遍带着"项目完了才算账"的惯性，而总承包业务要求按里程碑实时确认收入与成本——这不仅是会计政策调整，更是项目管理信息系统的重构。造价技术层面，设计院其实握有现成武器：初步设计概算编制有概算定额法、概算指标法、类似工程预算法三法可用，其中概算指标法可按修正公式测算（P1006）；设备安装概算亦有预算单价法、扩大单价法、设备价值百分比法、综合吨位指标法四法（P1006）。对以设计为龙头的总承包商而言，概算三法用于投标期的报价与控制线设定，设备安装四法用于采购期设备费与安装费的联动测算；两套方法与限额设计制度叠加，才构成"设计控造价"的完整闭环（方法论综合，依据P1006）。中石化南京工程有限公司的样本进一步证明，设计概算全过程控制必须与治理结构绑定：其"双源合一"股权治理的本质，是通过设计能力与施工能力的法人级深度重构，打破组织壁垒，实现组织交付基因与设计概算全过程控制的高度统一（P1006）。调研方甚至为这套逻辑建立了量化模型——EPC法人级交付效能=（设计控制因子×采购施工协同因子）÷（组织摩擦风险+造价合规偏差），其中组织摩擦风险对应合同分拆模式下的履约抗辩与分包合同同步解除机制，造价合规偏差对应行政审计强行介入结算等引发的合规与经济损失风险（P1006）。把公式翻译成管理语言：分子靠设计主导与采施协同做大，分母靠法务与合规压小。</w:t>
      </w:r>
    </w:p>
    <w:p>
      <w:r>
        <w:rPr>
          <w:rFonts w:ascii="Calibri" w:hAnsi="Calibri" w:eastAsia="微软雅黑"/>
          <w:b w:val="0"/>
          <w:i w:val="0"/>
          <w:sz w:val="22"/>
        </w:rPr>
        <w:t>第三重约束是法律。司法实践对EPC项目呈现出鲜明的裁判逻辑：在合同有效的前提下，严格遵从"有约从约"原则，尊重当事人对设计交付节点、付款条件、价格形式等内容的自主安排（P1022）。即便在固定总价背景下，因材料价格上涨、清单不实等引发的调价争议，法院亦普遍持审慎干预态度，仅在法定或约定情形下予以调整（P1022）。当前EPC项目的法律争议集中于五类：合同效力认定、按约计价与按约计价的冲突（按约计价与按图计价的冲突）、转包与违法分包边界、联合体协议的真实性认定、造价鉴定程序的适用（P1022）。具体判例层面的风险点已有清晰坐标：合同分拆模式下的履约抗辩（(2016)最高法民终695号，先履行抗辩权）、分包合同同步解除机制（(2016)最高法民再53号）、境外保函止付风险（(2017)川民终72号）、行政审计强行介入结算的清理审查（《法工委函〔2017〕2号》及"重庆勇创案"计价标准纠偏）（P1006）。争议的市场规模同样庞大：仅某单一调研库收录的EPC相关裁判文书，2020年卷即达42935篇（P1032），2019年卷41550篇（P1033），2017年卷11716篇（P1034），三卷合计96201篇（own_calc：42935+41550+11716=96201，依据P1032/P1033/P1034）。样例显示该类文书以建设工程施工合同纠纷、建设工程合同纠纷为主要案由（P1032/P1033），且建设工程施工合同纠纷按照不动产纠纷确定管辖（P1032）。对总承包商更现实的提示是：争议一旦进入诉讼，按约计价与按图计价的冲突往往成为造价鉴定的引爆点，而法院对固定总价调价争议普遍持审慎干预态度，意味着签约时的价格条款几乎就是败诉时的命运（P1022）。学术界对设计院总承包风险的研究热度同样在上升：硕博论文库中可见《A项目EPC工程总承包设计阶段项目成本控制研究》《C设计院工程总承包合同风险管理研究》《EPC工程总承包合同管理过程及索赔问题研究》《EPC工程总承包项目收款影响因素研究——以A公司为例》《EPC项目工程总承包单位的造价管理研究——以A市中医医院提质扩容项目为例》《F设计企业国际工程总承包项目投标影响因素及策略研究》《HD设计院高邮风电工程总承包项目管理改进研究》《S设计公司EPC工程总承包管理能力评价研究》等一批以设计院为主体的学位论文（P1014）——从成本、合同、索赔、收款、造价、投标到能力评价，学界注意力本身就是行业痛点的指示器。</w:t>
      </w:r>
    </w:p>
    <w:p>
      <w:r>
        <w:rPr>
          <w:rFonts w:ascii="Calibri" w:hAnsi="Calibri" w:eastAsia="微软雅黑"/>
          <w:b w:val="0"/>
          <w:i w:val="0"/>
          <w:sz w:val="22"/>
        </w:rPr>
        <w:t>风险的最沉痛形态是安全事故。江西丰城电厂三期EPC特大事故（"11·24"事故）催生的系统反思文献，直接以"模式的困局：中国EPC工程总承包的基因缺陷与现实扭曲"为章命题，下设"EPC模式的定义与全球实践""设计与施工的分离与冲突""组织行为的系统性失效""系统思维与复杂性管理""速度与安全的辩证关系"等节（P1005）；其反思框架还延伸到"制度的失灵：从监管真空到责任碎片化"与"文化的塌陷：从'重物轻人'到'集体无意识'"（P1005），并最终落脚于"系统免疫工程"式的内生安全建构（P1005）。这份文献的存在本身即是对全行业的警告：总承包模式不是把设计、采购、施工装进一个合同就自动安全的制度容器；模式之外，还需要质量体系、组织行为与安全文化的同步升级。正面样板同样存在：中核工程以"目标、贡献、主动权、信息"为核心的四维采购质保管理矩阵——目标导向上把质保工程师定义为"采购控制目标的共同实现者"而非单纯的程序监督者；贡献评估上在供应商准入、技术规格书编制及合同谈判环节引入价值工程分析、剔除无效质保条款；主动权前移上在招标文件与技术文件中增加详尽质保要求、针对二级分包商实施穿透式管理并建立准入与黑名单制度；信息集成上构建跨项目的经验反馈平台（P1003）。中核还对管理证据做可靠性分级：一级（高）基于项目竣工验收报告、内部审计记录及历史遗留问题台账，二级（极高）基于实时运行的项目管理信息系统（PMS）、智慧工地平台数据及数字化交付成果（P1003）。核电行业对质量的"零容忍"不仅是技术要求，更是政治任务（P1007）——把这种严肃性按比例缩小，恰好是普通设计院总承包业务最缺的那块安全文化拼图。</w:t>
      </w:r>
    </w:p>
    <w:p>
      <w:r>
        <w:rPr>
          <w:rFonts w:ascii="Calibri" w:hAnsi="Calibri" w:eastAsia="微软雅黑"/>
          <w:b w:val="0"/>
          <w:i w:val="0"/>
          <w:sz w:val="22"/>
        </w:rPr>
        <w:t>由此，全书的方法论地图可以摊开。政策坐标系一章展开93号文到《管理办法》的规则阶梯与资质改革（P1002）；市场底账一章核算工程总承包市场的规模、增速与天花板；竞争格局一章把本章五样本扩展为四层玩家与位次；转型路径一章给出五种模式与选择决策树；案例库一章建立成与败的双向档案；风险档案一章收录事故、纠纷与风险因子全景；财务透视一章用年报数据拆解转型企业的营收、毛利与应收真相；技术底座一章分析数字化、BIM与专利；组织与人才一章盘点资质、专家与人才结构；国际对标一章对照FIDIC与海外实践；最后一章以十二个确定性趋势的前瞻收束。本章交付的三张地图——历史定位卡、政策筛查清单、玩家对号入座表——是后续所有章节的索引框架。</w:t>
      </w:r>
    </w:p>
    <w:p>
      <w:r>
        <w:rPr>
          <w:rFonts w:ascii="Calibri" w:hAnsi="Calibri" w:eastAsia="微软雅黑"/>
          <w:b/>
          <w:i w:val="0"/>
          <w:sz w:val="22"/>
        </w:rPr>
        <w:t>所以呢？</w:t>
      </w:r>
      <w:r>
        <w:rPr>
          <w:rFonts w:ascii="Calibri" w:hAnsi="Calibri" w:eastAsia="微软雅黑"/>
          <w:b w:val="0"/>
          <w:i w:val="0"/>
          <w:sz w:val="22"/>
        </w:rPr>
        <w:t xml:space="preserve"> 方法论地图的用法是"先排雷、后冲刺"：在投标任何EPC项目之前，把本节红线仪表板（P1010）逐项对照项目条款——违约金上限是否逼近10%合同总额、性能担保条款是否可能触发全额退赔、两金占用是否将突破35%营收警戒线；对照不过关的项目，报价再诱人也应放弃。设计院最大的转型风险不是错过机会，而是用设计生意的风险观去做总承包生意。</w:t>
      </w:r>
    </w:p>
    <w:p>
      <w:pPr>
        <w:pStyle w:val="Heading2"/>
      </w:pPr>
      <w:r>
        <w:t>1.5 本章小结与盲区</w:t>
      </w:r>
    </w:p>
    <w:p>
      <w:r>
        <w:rPr>
          <w:rFonts w:ascii="Calibri" w:hAnsi="Calibri" w:eastAsia="微软雅黑"/>
          <w:b/>
          <w:i w:val="0"/>
          <w:sz w:val="22"/>
        </w:rPr>
        <w:t>本章小结。</w:t>
      </w:r>
      <w:r>
        <w:rPr>
          <w:rFonts w:ascii="Calibri" w:hAnsi="Calibri" w:eastAsia="微软雅黑"/>
          <w:b w:val="0"/>
          <w:i w:val="0"/>
          <w:sz w:val="22"/>
        </w:rPr>
        <w:t xml:space="preserve"> 本章用三张地图完成了全书的总图景搭建。历史地图表明：工程总承包是政策引导了四十多年的老路（1982年首个设计为主体试点，P1013；四阶段管理体制演进，P1027），当前十字路口的实质是行业分水岭（P1015）下"以什么身份转型"的选择。政策地图表明：规则已从路线确立（93号文/19号文，P1002）走到操作细化（计价、评标、实施细则，P1001/P1012），地方政策五年合计112份（own_calc，依据P1002/P1012）后进入精准化阶段，投标前合规筛查成为进场费（P1017/P1018/P1021）。玩家地图表明：五类基因企业（中机国际、鞍钢、海南院、海诚、中核工程）走出了不同身位的转型路径，资质是门票、管理是生死、时间表以十年计（P1009/P1029/P1030/P1031/P1028/P1004）。方法论地图表明：设计院总承包是知识、资本、法律三重密集的生意，70%造价锁定率（P1010）是最大杠杆，而2.37%竞标价差、10%违约金线、4.52%性能红线、60%赔偿上限、35%两金警戒线（P1010）构成了必须敬畏的失败清单。三张地图共同指向一个管理命题：转型不是在业务列表里加一行"EPC"，而是把企业的责任结构、财务语法与法律人格整体升级——这也正是后续各章逐一展开的作业面。</w:t>
      </w:r>
    </w:p>
    <w:p>
      <w:r>
        <w:rPr>
          <w:rFonts w:ascii="Calibri" w:hAnsi="Calibri" w:eastAsia="微软雅黑"/>
          <w:b/>
          <w:i w:val="0"/>
          <w:sz w:val="22"/>
        </w:rPr>
        <w:t>证据盲区（如实声明）。</w:t>
      </w:r>
      <w:r>
        <w:rPr>
          <w:rFonts w:ascii="Calibri" w:hAnsi="Calibri" w:eastAsia="微软雅黑"/>
          <w:b w:val="0"/>
          <w:i w:val="0"/>
          <w:sz w:val="22"/>
        </w:rPr>
        <w:t xml:space="preserve"> 以下问题在本次弹药库中缺乏直接证据，本章未予臆断，留待后续章节以专门弹药补齐：</w:t>
      </w:r>
    </w:p>
    <w:p>
      <w:r>
        <w:rPr>
          <w:rFonts w:ascii="Calibri" w:hAnsi="Calibri" w:eastAsia="微软雅黑"/>
          <w:b w:val="0"/>
          <w:i w:val="0"/>
          <w:sz w:val="22"/>
        </w:rPr>
        <w:t>其一，事故细节缺失。江西丰城电厂三期事故源（P1005）仅为章节目录级材料，事故伤亡人数、直接经济损失、责任追究与处罚结果等关键数字未进入弹药库，本章仅能确认该事故引发了行业级的系统性反思文献，无法展开定量分析。</w:t>
      </w:r>
    </w:p>
    <w:p>
      <w:r>
        <w:rPr>
          <w:rFonts w:ascii="Calibri" w:hAnsi="Calibri" w:eastAsia="微软雅黑"/>
          <w:b w:val="0"/>
          <w:i w:val="0"/>
          <w:sz w:val="22"/>
        </w:rPr>
        <w:t>其二，司法判决仅为库级抽样。三卷裁判文书库（P1032/P1033/P1034）体量庞大，本章仅采信其收录篇数统计（42935篇/41550篇/11716篇，P1032/P1033/P1034）与样例结构（以建设工程施工合同纠纷为主，P1032），未逐篇核读案情，EPC败诉率、平均争议标的额等判决规律性数据无法从现有材料得出。</w:t>
      </w:r>
    </w:p>
    <w:p>
      <w:r>
        <w:rPr>
          <w:rFonts w:ascii="Calibri" w:hAnsi="Calibri" w:eastAsia="微软雅黑"/>
          <w:b w:val="0"/>
          <w:i w:val="0"/>
          <w:sz w:val="22"/>
        </w:rPr>
        <w:t>其三，样本企业财务底账未入本章弹药库。五家样本企业的营业收入、毛利率、应收账款、经营性现金流等财务数据（中机国际仅有员工与资质数据，P1009；海诚仅有公告级动作，P1028）未在本章源中系统出现，"转型是否赚到钱"的定量结论留待财务透视一章以年报源核验。</w:t>
      </w:r>
    </w:p>
    <w:p>
      <w:r>
        <w:rPr>
          <w:rFonts w:ascii="Calibri" w:hAnsi="Calibri" w:eastAsia="微软雅黑"/>
          <w:b w:val="0"/>
          <w:i w:val="0"/>
          <w:sz w:val="22"/>
        </w:rPr>
        <w:t>其四，两份源材料失效。P1000（国内设计院转型工程公司工程总承包管理模式分析）全文抓取失败、正文为空，其关于管理模式挑战的论据无法引用；P1016（未来已来：国家大力推动工程总承包和全过程工程咨询）正文残缺、仅剩站点导航内容，全过程工程咨询与总承包的政策关系细节未能在本章展开。</w:t>
      </w:r>
    </w:p>
    <w:p>
      <w:r>
        <w:rPr>
          <w:rFonts w:ascii="Calibri" w:hAnsi="Calibri" w:eastAsia="微软雅黑"/>
          <w:b w:val="0"/>
          <w:i w:val="0"/>
          <w:sz w:val="22"/>
        </w:rPr>
        <w:t>其五，政策统计口径存在边界。地方政策数量台账沿用建纬律师年度观察的统计口径，未收录中央部委文件，也未收录各地仅为试点名录、工作计划与安排等不深入涉及工程总承包法律政策的文件（P1002/P1012），因此112份（own_calc）不等于全口径政策总量。</w:t>
      </w:r>
    </w:p>
    <w:p>
      <w:r>
        <w:rPr>
          <w:rFonts w:ascii="Calibri" w:hAnsi="Calibri" w:eastAsia="微软雅黑"/>
          <w:b w:val="0"/>
          <w:i w:val="0"/>
          <w:sz w:val="22"/>
        </w:rPr>
        <w:t>其六，跨行业可比性受限。水利行业证据（P1019）集中于长江流域五省份比较，电力、冶金、轻工等行业的地方政策密度与执行强度差异，本章只能以个案对照（P1029/P1030/P1031），尚无分行业的政策完备度指数。</w:t>
      </w:r>
    </w:p>
    <w:p>
      <w:r>
        <w:rPr>
          <w:rFonts w:ascii="Calibri" w:hAnsi="Calibri" w:eastAsia="微软雅黑"/>
          <w:b w:val="0"/>
          <w:i w:val="0"/>
          <w:sz w:val="22"/>
        </w:rPr>
        <w:t>---</w:t>
      </w:r>
    </w:p>
    <w:p>
      <w:pPr>
        <w:pStyle w:val="Heading1"/>
      </w:pPr>
      <w:r>
        <w:t>第2章 政策坐标系：从93号文到总承包管理办法的规则阶梯</w:t>
      </w:r>
    </w:p>
    <w:p>
      <w:pPr>
        <w:ind w:left="454"/>
      </w:pPr>
      <w:r>
        <w:rPr>
          <w:rFonts w:ascii="Calibri" w:hAnsi="Calibri" w:eastAsia="微软雅黑"/>
          <w:b w:val="0"/>
          <w:i w:val="0"/>
          <w:color w:val="666666"/>
          <w:sz w:val="22"/>
        </w:rPr>
        <w:t>转型工程总承包，设计院面对的第一道题不是市场，而是规则。本章把93号文（P2012）到《总承包管理办法》（P2001）的国家阶梯、2017—2022年地方梯度（P2000、P2001、P2003）与司法红线放进同一坐标系，回答三个决策问题：规则给了什么、要求什么、出错会付出什么。</w:t>
      </w:r>
    </w:p>
    <w:p>
      <w:pPr>
        <w:pStyle w:val="Heading2"/>
      </w:pPr>
      <w:r>
        <w:t>2.1 阶梯的起点：93号文与国办发19号文的双重信号</w:t>
      </w:r>
    </w:p>
    <w:p>
      <w:r>
        <w:rPr>
          <w:rFonts w:ascii="Calibri" w:hAnsi="Calibri" w:eastAsia="微软雅黑"/>
          <w:b w:val="0"/>
          <w:i w:val="0"/>
          <w:sz w:val="22"/>
        </w:rPr>
        <w:t>任何一家设计院在做转型决策之前，都应当先把国家层面的政策链条完整读一遍，因为这条链条决定了此后十年工程建设组织方式的走向。理解这条链条的时代背景并不难：近年来关于招投标、注册证书以及新资质改革等涉及建筑业的重要政策迭出，建筑业作为国民支柱产业，在寻求改革突破的关键时期，国家进一步推进工程总承包模式（P2012）。按行业观察的概括，我国工程总承包发展经历了起步阶段、摸索阶段，现已进入加速推动阶段（P2012）。这条时间线里还藏着一个对设计院有用的判断：政策的加速不是孤立事件，而是与招投标制度改革、注册证书管理、新资质改革同步推进的系统工程（P2012）——总承包模式的推广依托于整个建筑市场规则体系的换轨，方向难以逆转，节奏会有波动。</w:t>
      </w:r>
    </w:p>
    <w:p>
      <w:r>
        <w:rPr>
          <w:rFonts w:ascii="Calibri" w:hAnsi="Calibri" w:eastAsia="微软雅黑"/>
          <w:b w:val="0"/>
          <w:i w:val="0"/>
          <w:sz w:val="22"/>
        </w:rPr>
        <w:t>链条的起点是2016年5月：住建部印发《关于进一步推进工程总承包发展的若干意见》，文号建市〔2016〕93号，业界通称"93号文"（P2012）。这份文件的核心动作有三个：要求开展工程总承包试点；明确联合体投标规则；明确资质准入、工程总承包商承担的责任等问题（P2012）。对当时普遍只持有设计资质、缺乏施工组织能力的设计院而言，"联合体投标"与"资质准入"两个词直接给出了进入总承包市场的两条现实通道——要么与施工企业组成联合体补齐短板，要么沿资质准入规则补办能力凭证。这份文件因此应被读作一份"进门指引"，而不是一份抽象的鼓励性文件。</w:t>
      </w:r>
    </w:p>
    <w:p>
      <w:r>
        <w:rPr>
          <w:rFonts w:ascii="Calibri" w:hAnsi="Calibri" w:eastAsia="微软雅黑"/>
          <w:b w:val="0"/>
          <w:i w:val="0"/>
          <w:sz w:val="22"/>
        </w:rPr>
        <w:t>第二级台阶来自国务院层面。2017年2月，国务院办公厅印发《关于促进建筑业持续健康发展的意见》（国办发〔2017〕19号），要求加快推行工程总承包，并作出一个坦率的基本判断：我国建筑行业发展组织方式落后；提出的解决路径，是采用推行工程总承包和培育全过程咨询两条腿走路（P2012）。同月，国家标准《建设项目工程总承包管理规范》发布，对总承包相关的承发包管理、合同和结算、参建单位的责任和义务等方面作出了具体规定，随后又相继出台了针对总承包施工许可、工程造价等方面的政策法规（P2012）。</w:t>
      </w:r>
    </w:p>
    <w:p>
      <w:r>
        <w:rPr>
          <w:rFonts w:ascii="Calibri" w:hAnsi="Calibri" w:eastAsia="微软雅黑"/>
          <w:b w:val="0"/>
          <w:i w:val="0"/>
          <w:sz w:val="22"/>
        </w:rPr>
        <w:t>93号文与19号文共同确立了大力发展工程总承包（以EPC为主）的基本路线，此后我国工程总承包事业进入高速发展期（P2001）。这里需要读出政策语言的分量。"以EPC为主"四个字锁定了主流模式——不是泛泛而言的总承包，而是设计、采购、施工一体化的EPC；"高速发展期"的判断也并非修辞，它在随后地方政策供给数量上得到了验证（见2.4节六个年度的数据，P2001、P2003、P2000）。设计院如果只把这两份文件当成"风向标"扫一眼，会漏掉其中真正可执行的抓手。</w:t>
      </w:r>
    </w:p>
    <w:p>
      <w:r>
        <w:rPr>
          <w:rFonts w:ascii="Calibri" w:hAnsi="Calibri" w:eastAsia="微软雅黑"/>
          <w:b w:val="0"/>
          <w:i w:val="0"/>
          <w:sz w:val="22"/>
        </w:rPr>
        <w:t>两条通道的选择逻辑值得展开一句。联合体通道见效快：设计院以设计能力入伙，借施工企业的业绩与资质承揽总承包项目，可以立刻进场；但联合体的短板同样明显——责任划分、利益分配、履约指挥权都要靠协议约定，进得了场不等于站得稳。资质通道见效慢：按93号文明确的资质准入规则补齐能力与业绩（P2012），周期以年计，但一旦补齐就是可复用的法人能力。多数设计院的实际路径是先用联合体积累业绩，再择机完成自身能力建设；政策层面两条通道都开着（P2012），选择取决于企业对周期与控制权的偏好。</w:t>
      </w:r>
    </w:p>
    <w:p>
      <w:r>
        <w:rPr>
          <w:rFonts w:ascii="Calibri" w:hAnsi="Calibri" w:eastAsia="微软雅黑"/>
          <w:b w:val="0"/>
          <w:i w:val="0"/>
          <w:sz w:val="22"/>
        </w:rPr>
        <w:t>把三份文件叠放在一起，规则阶梯的前三级就清晰了。第一级，93号文是操作层信号，回答"怎么进门"：试点、联合体、资质准入、总包商责任（P2012）。第二级，19号文是战略层背书，把工程总承包从部门业务条线上升为国务院确认的建筑业组织方式改革方向，并点明行业病灶是"组织方式落后"（P2012）。第三级，国标《建设项目工程总承包管理规范》是技术层配套，把承发包管理、合同结算、参建责任义务落到标准语言上（P2012）。三级叠加传递的信号是：工程总承包不再是阶段性政策风口，而是被制度化的行业组织方式；设计院与施工单位"两张皮"的传统分工，正在被这套制度重新定价。</w:t>
      </w:r>
    </w:p>
    <w:p>
      <w:r>
        <w:rPr>
          <w:rFonts w:ascii="Calibri" w:hAnsi="Calibri" w:eastAsia="微软雅黑"/>
          <w:b w:val="0"/>
          <w:i w:val="0"/>
          <w:sz w:val="22"/>
        </w:rPr>
        <w:t>这条政策阶梯还催生了庞大的专业解读生态，这本身就是政策强度的旁证。仅总包学园知识库的"总包政策小红书"专区，就归集了从《工程总承包管理办法》解读与实施风险应对，到EPC管理模式国内外现状与趋势、装配式建筑与工程总承包制、《建筑工程施工发包与承包违法行为认定查处管理办法》解读等成体系的课件与文库（P2009）；建纬律师事务所则自2017年起每年岁末年初发布工程总承包政策年度观察，在2017至2021年连续五年的基础上持续更新（P2000）。当一条政策线能长期供养专业律师、行业智库、培训课件三类供给时，它已经不是短期运动，而是制度基础设施。设计院的转型办公室应当把这类持续跟踪源列入固定输入，而不是等政策变动以招标文件条款的形式突然出现在面前。</w:t>
      </w:r>
    </w:p>
    <w:p>
      <w:r>
        <w:rPr>
          <w:rFonts w:ascii="Calibri" w:hAnsi="Calibri" w:eastAsia="微软雅黑"/>
          <w:b w:val="0"/>
          <w:i w:val="0"/>
          <w:sz w:val="22"/>
        </w:rPr>
        <w:t>再往深一层读，19号文"组织方式落后"的诊断（P2012）对设计院是一把双刃剑。它一方面为设计院打开天花板——组织方式改革需要有人统筹设计、采购、施工，天然贴近具备整体工程观的设计力量；另一方面也宣布了旧模式的折旧——按专业切块、按图纸交付、按费率收费的设计院生存方式，正是被改革的对象。政策坐标系里没有"维持现状"这个选项，区别只在于主动上台阶，还是被动等重组。</w:t>
      </w:r>
    </w:p>
    <w:p>
      <w:r>
        <w:rPr>
          <w:rFonts w:ascii="Calibri" w:hAnsi="Calibri" w:eastAsia="微软雅黑"/>
          <w:b/>
          <w:i w:val="0"/>
          <w:sz w:val="22"/>
        </w:rPr>
        <w:t>所以呢。</w:t>
      </w:r>
      <w:r>
        <w:rPr>
          <w:rFonts w:ascii="Calibri" w:hAnsi="Calibri" w:eastAsia="微软雅黑"/>
          <w:b w:val="0"/>
          <w:i w:val="0"/>
          <w:sz w:val="22"/>
        </w:rPr>
        <w:t xml:space="preserve"> 对设计院管理层，这一节的决策含义有三条。第一，"以EPC为主"（P2001）意味着转型方向应当是真EPC——设计、采购、施工一体化承担并对质量、安全、工期、造价全面负责，而不是把设计院的牌子挂到松散联合体上做名义总包；政策给了联合体通道，但通道通往的终点仍是一体化能力。第二，联合体投标与资质准入是93号文时代给出的过渡性安排（P2012），过渡期能用多久取决于后续资质改革节奏（见本章小结对资质改革的边界说明），把过渡通道当成终局能力是战略误判。第三，19号文对"组织方式落后"的诊断（P2012）同时是一个预警：政策推动总承包的深层目的，是淘汰碎片化的生产组织方式；如果设计院只是把碎片化组织原样搬进总承包外壳，将既拿不到政策红利，也守不住市场竞争底线。</w:t>
      </w:r>
    </w:p>
    <w:p>
      <w:pPr>
        <w:pStyle w:val="Heading2"/>
      </w:pPr>
      <w:r>
        <w:t>2.2 阶梯的主梁：《管理办法》的三年成文、法律层级与上位法</w:t>
      </w:r>
    </w:p>
    <w:p>
      <w:r>
        <w:rPr>
          <w:rFonts w:ascii="Calibri" w:hAnsi="Calibri" w:eastAsia="微软雅黑"/>
          <w:b w:val="0"/>
          <w:i w:val="0"/>
          <w:sz w:val="22"/>
        </w:rPr>
        <w:t>阶梯的第四级、也是承重的主梁，是《房屋建筑和市政基础设施项目工程总承包管理办法》。要理解这份文件的分量，先要理解它出台之前的制度真空。工程总承包是国际上广泛采用的工程建设组织实施方式，虽在我国早已不是新鲜事物，但长期以来相关立法滞后，各地多存矛盾性政策规定，不利于工程总承包长远发展（P2010、P2011）。换句话说，在这份国家办法落地之前，设计院跨省承接总承包业务，面对的是各省份规则互不相同、甚至相互矛盾的散装制度环境；规则的不可预期，本身就是转型成本。</w:t>
      </w:r>
    </w:p>
    <w:p>
      <w:r>
        <w:rPr>
          <w:rFonts w:ascii="Calibri" w:hAnsi="Calibri" w:eastAsia="微软雅黑"/>
          <w:b w:val="0"/>
          <w:i w:val="0"/>
          <w:sz w:val="22"/>
        </w:rPr>
        <w:t>成文过程本身值得管理者了解，因为它解释了这份文件为什么"难产"，以及它为什么长成现在的样子。管理办法正式出台前，先由住建部委托上海建纬律师事务所起草管理办法征求意见稿；第一稿出来后，国家发改委要求同住建部一起制定该办法，因此又颁布了第二稿；2019年12月23日颁布的正式稿是在第二稿的基础上正式出台的，属于住建部和发改委联合颁发的规范性文件（P2004）。从起草到落地历经三年，用从业律师的话说，"千呼万唤，终于历经三年才出台，实属不易"（P2004）。三年周期与两部委联合的发文件例说明：这份文件是建设口（住建部）与投资口（发改委）协调的产物，投资审批逻辑已经内嵌进总承包规则——这直接影响了它后来的条款取向，例如对企业投资项目与政府投资项目区别对待的价格规则（见2.3节第十六条，P2011）。</w:t>
      </w:r>
    </w:p>
    <w:p>
      <w:r>
        <w:rPr>
          <w:rFonts w:ascii="Calibri" w:hAnsi="Calibri" w:eastAsia="微软雅黑"/>
          <w:b w:val="0"/>
          <w:i w:val="0"/>
          <w:sz w:val="22"/>
        </w:rPr>
        <w:t>2019年12月23日，住房和城乡建设部、国家发展和改革委员会联合印发《房屋建筑和市政基础设施项目工程总承包管理办法》（建市规〔2019〕12号）（P2006、P2002），自2020年3月1日起正式生效（P2001、P2003）。行业年度观察将其定位为"规范和指导我国工程总承包发展的纲领性文件"，并认为它的生效标志着我国工程总承包规范化发展新时代的来临（P2001、P2003）。到2022年底，这份文件已施行近三年（P2000）。</w:t>
      </w:r>
    </w:p>
    <w:p>
      <w:r>
        <w:rPr>
          <w:rFonts w:ascii="Calibri" w:hAnsi="Calibri" w:eastAsia="微软雅黑"/>
          <w:b w:val="0"/>
          <w:i w:val="0"/>
          <w:sz w:val="22"/>
        </w:rPr>
        <w:t>行业对出台时点的共识也值得引用：两部委是在总结我国工程总承包发展的经验与教训的基础上，适时出台这份办法，助力工程总承包法治化发展（P2010、P2011）。四川省住建厅在官方解读中同样将其定位为"以规范性文件的形式对房屋建筑和市政基础设施项目工程总承包管理提出了新要求"（P2002）。"总结经验与教训"六个字背后，正是此前多年试点暴露的规则欠账——立法滞后、各地矛盾性政策在前（P2010、P2011），国家统一规则在后。这个顺序对设计院有预判价值：凡国家办法尚未细分的领域（计价细节、评标办法、行业特殊工况），地方与行业还会继续以试行、征求意见的方式试错，规则残留的不确定性将长期存在，合同条款是唯一稳定的防线。</w:t>
      </w:r>
    </w:p>
    <w:p>
      <w:r>
        <w:rPr>
          <w:rFonts w:ascii="Calibri" w:hAnsi="Calibri" w:eastAsia="微软雅黑"/>
          <w:b w:val="0"/>
          <w:i w:val="0"/>
          <w:sz w:val="22"/>
        </w:rPr>
        <w:t>关于这份文件的效力层级，从业律师的判断值得原样转述：该管理办法虽然效力层级不高，属于部门管理规范性文件，但它是住建部和发改委联合发文颁布，是目前国家规范项目工程总承包如何具体实施管理的最高层级文件；其他国家法律法规对项目工程总承包虽有零星规定，但因过于原则和零星，且因制定时间较长，已远远不能适应现今社会发展需求（P2004）。这份文件为主动公开文件（P2004）。"规范性文件"与"最高层级"两个定性并存，看似矛盾，实则准确：它不是法律，但在工程总承包这个具体领域，没有比它层级更高的专门规则——这正是"阶梯主梁"的含义。</w:t>
      </w:r>
    </w:p>
    <w:p>
      <w:r>
        <w:rPr>
          <w:rFonts w:ascii="Calibri" w:hAnsi="Calibri" w:eastAsia="微软雅黑"/>
          <w:b w:val="0"/>
          <w:i w:val="0"/>
          <w:sz w:val="22"/>
        </w:rPr>
        <w:t>两部委联合还带来一个容易被忽略的组织学后果：监管入口从单一变为双头。西藏办法第五条的分工可作为样本——住建部门负责工程总承包活动的监督管理，发展改革部门依据固定资产投资建设管理的相关法律法规履行相应管理职责，各级工程建设招标投标活动监督管理部门与交易平台建设运营单位依据有关法律法规履行管理和服务职责（P2005）。落到项目上，一个总承包项目从立项、发包、合同备案到施工许可，会同时经过投资口与建设口的规则滤网；设计院的市场与合规团队若只盯住住建系统，会漏掉另一半规则来源。</w:t>
      </w:r>
    </w:p>
    <w:p>
      <w:r>
        <w:rPr>
          <w:rFonts w:ascii="Calibri" w:hAnsi="Calibri" w:eastAsia="微软雅黑"/>
          <w:b w:val="0"/>
          <w:i w:val="0"/>
          <w:sz w:val="22"/>
        </w:rPr>
        <w:t>它的上位法基础，主要落在两部法律的两条条文上。《建筑法》第24条规定：提倡对建筑工程实行总承包，禁止将建筑工程肢解发包；建筑工程的发包单位可以将建筑工程的勘察、设计、施工、设备采购一并发包给一个工程总承包单位，也可以将勘察、设计、施工、设备采购的一项或者多项发包给一个工程总承包单位；但是，不得将应当由一个承包单位完成的建筑工程肢解成若干部分发包给几个承包单位（P2004）。《合同法》第272条则从合同关系上允许发包人分别与勘察人、设计人、施工人订立承包合同或与总承包人订立建设工程合同，并禁止承包人转包、禁止再分包、要求建设工程主体结构的施工由承包人自行完成（P2004）。除这两部法律外，工程总承包还涉及《招标投标法》《政府投资条例》《企业投资项目核准和备案管理条例》等法律法规的内容（P2004）。对设计院而言，这条法律链条划出了两条硬边界：肢解发包被法律禁止（P2004），主体结构施工责任不可外推（P2004）。值得注意的是上位法的立法年代：建筑法与合同法关于工程总承包的相关规定最早、效力高且较为集中，但也因制定时间较长，被业界评价为已远远不能适应现今社会发展需求（P2004）——法律层的旧与规章层的新之间的空档，正是《管理办法》这类规范性文件发挥实际作用的空间，也是总承包合同条款必须写得格外精细的技术原因。</w:t>
      </w:r>
    </w:p>
    <w:p>
      <w:r>
        <w:rPr>
          <w:rFonts w:ascii="Calibri" w:hAnsi="Calibri" w:eastAsia="微软雅黑"/>
          <w:b w:val="0"/>
          <w:i w:val="0"/>
          <w:sz w:val="22"/>
        </w:rPr>
        <w:t>对企业最有实际意义的一点是司法可用性。依据最高人民法院关于裁判文书引用法律、法规等规范性法律文件的规定，这份规范性文件根据审理案件的需要，经审查认定为合法有效的，可以作为裁判说理的依据（P2004）。也就是说，管理办法的条款虽然不直接进入判决主文的法律依据部分，但会实质影响法官对合同条款效力、风险分担合理性的判断——在工程总承包纠纷里，它就是事实上的规则来源。同时，该文件给交通、能源、水利等其他行业主管部门在后续制定各自行业工程总承包政策时留有了余地，也为其他行业工程总承包的适用提供了补充依据（P2004）。这解释了为什么水利、电力等行业的总承包规则体系与房建市政并行发展、形态各异（见2.4节水利专项政策与裁判文书样本）。</w:t>
      </w:r>
    </w:p>
    <w:p>
      <w:r>
        <w:rPr>
          <w:rFonts w:ascii="Calibri" w:hAnsi="Calibri" w:eastAsia="微软雅黑"/>
          <w:b/>
          <w:i w:val="0"/>
          <w:sz w:val="22"/>
        </w:rPr>
        <w:t>所以呢。</w:t>
      </w:r>
      <w:r>
        <w:rPr>
          <w:rFonts w:ascii="Calibri" w:hAnsi="Calibri" w:eastAsia="微软雅黑"/>
          <w:b w:val="0"/>
          <w:i w:val="0"/>
          <w:sz w:val="22"/>
        </w:rPr>
        <w:t xml:space="preserve"> 这一节对决策者的含义有三条。第一，不要因为"规范性文件"四个字低估管理办法——在工程总承包领域它是两部委联合的最高专门规则，并且能够进入司法说理（P2004），合规体系应当把它当作准强制规则来对待。第二，两部委联合的出身意味着投资审批逻辑已内嵌于总承包规则（P2004），设计院做EPC必须同时掌握建设口与投资口两套语言，市场部门只会"跑住建系统"是不够的。第三，《建筑法》第24条对肢解发包的禁止（P2004）划出组织红线：把EPC项目在内部切回设计、施工两张皮，不仅背离政策目的，还存在发包合法性风险；主体结构施工责任的法定要求（P2004）也决定了设计院必须以真实有效的施工能力整合（自有、控股或紧密联合体）进入总承包，而不是纸面拼盘。</w:t>
      </w:r>
    </w:p>
    <w:p>
      <w:pPr>
        <w:pStyle w:val="Heading2"/>
      </w:pPr>
      <w:r>
        <w:t>2.3 阶梯的横杆：管理办法框架下必须吃透的四组硬规则</w:t>
      </w:r>
    </w:p>
    <w:p>
      <w:r>
        <w:rPr>
          <w:rFonts w:ascii="Calibri" w:hAnsi="Calibri" w:eastAsia="微软雅黑"/>
          <w:b w:val="0"/>
          <w:i w:val="0"/>
          <w:sz w:val="22"/>
        </w:rPr>
        <w:t>主梁落位之后，真正约束项目层面行为的，是四组具体规则。这一节按"定义与组织—发包—价格—风险"的顺序拆解。它们的共同特点是：每一组都直接改写设计院的报价逻辑、合同逻辑或组织逻辑；任何一组读错，损失都在项目执行期而不是投标期兑现。建议读者把本节当作合同评审与投标决策的对照清单使用：逐条自问"这条规则在我们上一个项目里是怎么处理的"，答不上来的条目就是能力缺口。</w:t>
      </w:r>
    </w:p>
    <w:p>
      <w:pPr>
        <w:pStyle w:val="Heading3"/>
      </w:pPr>
      <w:r>
        <w:t>2.3.1 定义与组织规则：总承包到底总包了什么</w:t>
      </w:r>
    </w:p>
    <w:p>
      <w:r>
        <w:rPr>
          <w:rFonts w:ascii="Calibri" w:hAnsi="Calibri" w:eastAsia="微软雅黑"/>
          <w:b w:val="0"/>
          <w:i w:val="0"/>
          <w:sz w:val="22"/>
        </w:rPr>
        <w:t>先看官方定义。工程总承包，是指承包单位按照与建设单位签订的合同，对工程设计、采购、施工或者设计、施工等阶段实行总承包，并对工程质量、安全、工期和造价等全面负责的工程建设组织实施方式（P2005、P2006）。这个定义有三个关键词。其一是"合同"：承包范围由合同约定，而不是由某个法定目录划定；其二是"阶段"：可以是设计、采购、施工全组合，也可以是设计加施工的组合；其三是"全面负责"：质量、安全、工期、造价四项责任一体承担（P2005、P2006）。定义本身就否定了"总包名义、分散实责"的玩法——责任范围写在合同里，躲不开。</w:t>
      </w:r>
    </w:p>
    <w:p>
      <w:r>
        <w:rPr>
          <w:rFonts w:ascii="Calibri" w:hAnsi="Calibri" w:eastAsia="微软雅黑"/>
          <w:b w:val="0"/>
          <w:i w:val="0"/>
          <w:sz w:val="22"/>
        </w:rPr>
        <w:t>政策语境下的总承包存在一个模式谱系，设计院在市场谈判中必须先分清自己签的是哪一种。设计采购施工总承包（EPC，即Engineering设计、Procurement采购、Construction施工的组合）指工程总承包企业按照合同约定，承担工程项目的设计、采购、施工、试运行服务等工作，并对承包工程的质量、安全、工期、造价全面负责，是我国推行总承包模式最主要的一种；交钥匙总承包是设计采购施工总承包业务和责任的延伸，最终向业主提交一个满足使用功能、具备使用条件的工程项目（P2006）。与之对照的是设计采购与施工管理总承包（EPCM）：承包商受业主委托或招标确定，对工程的设计、材料设备供应、施工管理全面负责，但设计、采购分包商对EPCM承包商负责，施工分包商不与EPCM承包商签订合同、直接与业主具有合同关系，接受其管理；因此EPCM承包商无需承担施工合同风险和经济风险（P2006）。这一判断还有一层计价维度的注脚：当EPCM总承包模式实施一次性总报价方式支付时，EPCM承包商的经济风险被控制在一定的范围内，承担的经济风险相对较小，获利较为稳定（P2007、P2008）。同一份政策知识源还提示，工程总承包模式可按照过程内容与融资运营两种方式划分，其中过程内容一侧即上述E+P+C与E+P+CM两族（P2007、P2008）——同样挂着"总承包"名头的合同，费率结构与风险结构可以在签约时被设计成完全不同的物种，谈判桌上先确认合同落在哪个维度、哪种支付结构，再谈价格。两者的风险敞口完全不同：EPC把施工风险收入囊中，EPCM本质上是高阶管理服务。设计院若把EPCM合同当EPC合同报价，或反之，都是根本性的商业模式错配。对设计院还有一层现实意义：在与业主的早期接触中，主动讲清EPC与EPCM的责任差异（P2006），既是专业能力的展示，也是把自身风险敞口摆上桌面的谈判技术——不少后续纠纷的源头，正是签约时双方对模式名称背后的责任结构理解不一致。</w:t>
      </w:r>
    </w:p>
    <w:p>
      <w:r>
        <w:rPr>
          <w:rFonts w:ascii="Calibri" w:hAnsi="Calibri" w:eastAsia="微软雅黑"/>
          <w:b w:val="0"/>
          <w:i w:val="0"/>
          <w:sz w:val="22"/>
        </w:rPr>
        <w:t>组织与人员规则则回答"谁有资格当总包商"。管理办法要求工程总承包单位应当设立项目管理机构，加强设计、采购与施工的协调，完善和优化设计，改进施工方案，实现对工程总承包项目的有效管理控制；工程总承包（EPC）项目经理应当熟悉工程技术和工程总承包项目管理知识以及相关法律法规、标准规范，并具有较强的组织协调能力和良好的职业道德（P2006）。这实际上给出了总承包能力的官方定义：不是有没有某张资质证书的问题，而是有没有一个能统筹设计、采购、施工三线的常设项目管理机构，以及配得上总承包合同的项目经理。人员责任的监管取向也在收紧：上海住建委对EPC项目经理提出了"一项目一公章"的明文要求（P2012）。对以技术见长、以专业所为核心的设计院，这意味着组织再造——项目管理机构必须从"项目配合角色"升级为"责任主体"。</w:t>
      </w:r>
    </w:p>
    <w:p>
      <w:r>
        <w:rPr>
          <w:rFonts w:ascii="Calibri" w:hAnsi="Calibri" w:eastAsia="微软雅黑"/>
          <w:b w:val="0"/>
          <w:i w:val="0"/>
          <w:sz w:val="22"/>
        </w:rPr>
        <w:t>把组织规则翻译成设计院的语言，至少涉及三道改造。第一道是机构改造：项目管理机构要能对设计、采购、施工三条线同时协调（P2006），这要求在以专业所为中心的纵向权力结构里，插入以项目为中心的横向指挥权，双线组织的接口与授权必须写进公司制度。第二道是流程改造："完善和优化设计，改进施工方案"（P2006）不是口号，而是把设计可施工性审查、施工方案对设计的反馈变成标准流程节点——这也是化解后文设计与施工分离风险的制度解药。第三道是人员改造：EPC项目经理的知识结构要求覆盖工程技术、项目管理知识、法律法规、标准规范，再加组织协调能力与职业道德（P2006），设计院传统"设总"岗位的能力模型与之部分重合但并不等同，缺口集中在采购、施工与商务；"一项目一公章"式的责任到人监管（P2012）进一步抬高了岗位含金量，人才盘点应据此重新评级。</w:t>
      </w:r>
    </w:p>
    <w:p>
      <w:pPr>
        <w:pStyle w:val="Heading3"/>
      </w:pPr>
      <w:r>
        <w:t>2.3.2 发包端规则：哪些项目会率先流向总承包市场</w:t>
      </w:r>
    </w:p>
    <w:p>
      <w:r>
        <w:rPr>
          <w:rFonts w:ascii="Calibri" w:hAnsi="Calibri" w:eastAsia="微软雅黑"/>
          <w:b w:val="0"/>
          <w:i w:val="0"/>
          <w:sz w:val="22"/>
        </w:rPr>
        <w:t>发包端规则决定了市场从哪里开始。以西藏自治区2022年办法为例（该办法直接依据建市规〔2019〕12号与藏政办发〔2017〕148号制定，P2005），其第六条划定了三类项目：建设内容明确、技术方案和工艺路线成熟、能够以工程项目清单描述发包人大部分要求的政府投资项目和国有资金占控股或者主导地位的项目，带头推行工程总承包；鼓励社会投资项目采用工程总承包方式；装配式建筑原则上采用工程总承包方式（P2005）。同时，鼓励工程总承包项目率先在规划、设计、施工等阶段全过程应用建筑信息模型（BIM）技术（P2005）。</w:t>
      </w:r>
    </w:p>
    <w:p>
      <w:r>
        <w:rPr>
          <w:rFonts w:ascii="Calibri" w:hAnsi="Calibri" w:eastAsia="微软雅黑"/>
          <w:b w:val="0"/>
          <w:i w:val="0"/>
          <w:sz w:val="22"/>
        </w:rPr>
        <w:t>这组规则的市场含义直白明了。第一，政府投资项目与国资主导项目是政策强制力最强的总承包市场，"带头推行"四个字背后是行政考核压力，业主有动力优先采用总承包发包。第二，装配式建筑对总承包几乎是定向供给——"原则上采用"接近于默认规则（P2005），在装配式领域有设计集成能力的设计院享有结构性先发优势。第三，前置条件本身是门槛："建设内容明确、技术方案和工艺路线成熟、能够以工程项目清单描述发包人大部分要求"（P2005）意味着这类项目在发包时点还没有完整施工图，发包人要求的编写与响应能力、方案级报价能力成为投标核心——这恰恰是设计院的长项，前提是把设计能力翻译成商务语言。第四，BIM从加分项变为入场券的趋势已经写在规则里（P2005），全过程BIM应用能力应纳入能力建设预算而不是项目层面见机行事。BIM条款还牵出一笔现实的预算账：率先在规划、设计、施工等阶段全过程应用（P2005）对设计院并非难事，难的是把模型传递到采购与施工端并保持数据一致；能力建设应按"全生命周期数据链"立项，而不是按"出图工具升级"立项。</w:t>
      </w:r>
    </w:p>
    <w:p>
      <w:r>
        <w:rPr>
          <w:rFonts w:ascii="Calibri" w:hAnsi="Calibri" w:eastAsia="微软雅黑"/>
          <w:b w:val="0"/>
          <w:i w:val="0"/>
          <w:sz w:val="22"/>
        </w:rPr>
        <w:t>还应注意发包端规则与地方评标规则的联动。上海为匹配其2021年发布的管理办法，2022年初专门出台《上海市建设项目工程总承包招标评标办法》（P2000）；湖南2021年6月印发房建市政工程总承包招标评标办法后，2022年又发布了尚处征求意见阶段的招标评标暂行办法（P2013、P2000）。评标办法决定技术标与商务标的权重结构，直接改变设计院相对施工企业的竞争位势——设计主导的评标口径对设计院有利，价格主导的口径则相反。投标团队进入一个省份前，应先读该省评标办法，再定报价策略与联合体分工。</w:t>
      </w:r>
    </w:p>
    <w:p>
      <w:pPr>
        <w:pStyle w:val="Heading3"/>
      </w:pPr>
      <w:r>
        <w:t>2.3.3 价格端规则：总价合同成为默认选项</w:t>
      </w:r>
    </w:p>
    <w:p>
      <w:r>
        <w:rPr>
          <w:rFonts w:ascii="Calibri" w:hAnsi="Calibri" w:eastAsia="微软雅黑"/>
          <w:b w:val="0"/>
          <w:i w:val="0"/>
          <w:sz w:val="22"/>
        </w:rPr>
        <w:t>价格规则是工程总承包与传统施工总承包分野最大的地方。《工程总承包管理办法》第十六条规定：企业投资项目的工程总承包宜采用总价合同，政府投资项目的工程总承包应当合理确定合同价格形式；采用总价合同的，除合同约定可以调整的情形外，合同总价一般不予调整（P2011）。两部委的取向很清楚：企业投资项目引导总价，政府投资项目允许合理确定形式，但同样强调调价情形的封闭性——能调什么，必须在合同里写死。</w:t>
      </w:r>
    </w:p>
    <w:p>
      <w:r>
        <w:rPr>
          <w:rFonts w:ascii="Calibri" w:hAnsi="Calibri" w:eastAsia="微软雅黑"/>
          <w:b w:val="0"/>
          <w:i w:val="0"/>
          <w:sz w:val="22"/>
        </w:rPr>
        <w:t>合同示范文本与国际惯例同步收敛于总价。住房和城乡建设部和国家市场监督管理总局于2020年11月25日公布《建设项目工程总承包合同（示范文本）》（GF-2020-0216），其第14.1.1条约定：除专用合同条件中另有约定外，本合同为总价合同，除根据第13条（变更与调整）以及合同中其他相关增减金额的约定进行调整外，合同价格不作调整（P2011）。国际上，分别适用于DB模式及EPC模式的2017版FIDIC黄皮书及银皮书均采取总价合同形式；如2017版FIDIC银皮书第14.1条约定，合同价格应为总额中标合同金额并按照合同进行调整，资料表中列出的任何数量都是估计数，不作为要求承包商实施的工程的实际和正确的工程量（P2011）。从中外合同示范文本的共识看，除工程特别复杂、抢险救灾工程宜采用成本加酬金合同外，工程总承包最适宜采用的合同价格形式当是总价合同（P2011）。国内示范文本、国际范本、部委规章三者指向同一方向，这种收敛在工程合同领域并不多见，足见总价逻辑的确定性。规则同时留了例外出口：除工程特别复杂、抢险救灾工程宜采用成本加酬金合同外，工程总承包最适宜采用总价合同（P2011）。对设计院，这个例外条款的用法很具体——当项目确实极端复杂、边界无法在签约时描清时，主动在合同谈判中论证成本加酬金结构，比硬吞一个算不清的总价更专业；但例外必须回到"工程特别复杂、抢险救灾"的语境中论证（P2011），不能把它当作报价失误的补救通道。</w:t>
      </w:r>
    </w:p>
    <w:p>
      <w:r>
        <w:rPr>
          <w:rFonts w:ascii="Calibri" w:hAnsi="Calibri" w:eastAsia="微软雅黑"/>
          <w:b w:val="0"/>
          <w:i w:val="0"/>
          <w:sz w:val="22"/>
        </w:rPr>
        <w:t>地方政府在操作层面继续细化"总价"的实现方式。以深圳市福田区对其区政府投资项目EPC管理办法的政策问答为例，计价方式分三类：其一，固定总价合同——建设单位在明确初步设计方案、项目总概算、建设规模、建设标准后编制招标控制总价与招标估算工程量清单，原则上地下部分采用固定单价、地上部分采用固定总价，房屋建筑项目同时实行单位经济指标包干；其二，固定综合单价包干合同——投标竞价作为最终结算依据，工程量按实结算；其三，信息化建设项目——由总承包单位自行编制建设方案、配置清单、投标总价和下浮率进行竞价（P2014）。这套细则显示，"总价"在区县级政府投资项目上被拆成了更精细的混合结构：地下地上分治、经济指标包干、工程量按实结算并存。设计院投标前必须逐条研读项目所在地的计价细则，不能拿一个省的规则去套另一个省的项目，更不能拿施工总承包的清单思维去套总承包报价。</w:t>
      </w:r>
    </w:p>
    <w:p>
      <w:r>
        <w:rPr>
          <w:rFonts w:ascii="Calibri" w:hAnsi="Calibri" w:eastAsia="微软雅黑"/>
          <w:b w:val="0"/>
          <w:i w:val="0"/>
          <w:sz w:val="22"/>
        </w:rPr>
        <w:t>把价格规则合并成一句话：总承包的报价体系必须同时满足三层——国家层的总价导向（P2011）、示范合同层的调价封闭（P2011）、地方层的计价细化（P2014）。设计院的成本测算因此要比施工企业多算一块：设计深度不足带来的量价不确定性。传统施工总承包按施工图清单报价，图纸即边界；总承包按发包人要求与方案报价，边界是合同描述。报价团队若不掌握"以设计方案锁量、以合同条款锁价"的技术，总价合同就只是把风险从业主平移到自己账上。这也解释了为什么2.4节里计价规则型地方政策值得逐条建档——它们是报价不确定性的地方性答案。</w:t>
      </w:r>
    </w:p>
    <w:p>
      <w:r>
        <w:rPr>
          <w:rFonts w:ascii="Calibri" w:hAnsi="Calibri" w:eastAsia="微软雅黑"/>
          <w:b w:val="0"/>
          <w:i w:val="0"/>
          <w:sz w:val="22"/>
        </w:rPr>
        <w:t>上一段留下的问题需要正面回答：没有施工图清单，报价用什么算？这正是设计院与施工企业在总承包投标台上拉开差距的地方——施工企业的算量本能绑在施工图上，设计院的本能绑在设计文件上；当计价时点随发包前置条件前移到方案与初设阶段（福田细则即为样本：固定总价合同下，建设单位在明确初步设计方案、项目总概算后即编制招标控制总价，P2014），等于把报价主场交还给读得懂方案的人。但主场优势不会自动兑现，它需要一套方法底座。石化行业的深度复盘文献在拆解EPC法人级交付能力时，把"初步设计完成后工程总承包项目设计概算的编制"列为设计控制因子的核心构件，并归纳出概算编制三法与设备安装四法（P2030）：概算编制三法，即概算定额法、概算指标法、类似工程预算法，其中概算指标法给出修正算式 J修正 = J + Q1P1 − Q2P2，类似工程预算法给出换算算式 D = A × K（P2030）；设备安装四法，即预算单价法、扩大单价法、设备价值百分比法、综合吨位指标法（P2030）。三法解决"工程本体值多少钱"的工程费测算，四法解决"设备装上去值多少钱"的安装费测算——总承包报价的两大主体科目，在先行行业已沉淀为命名的、可培训的方法族（P2030），而不是老师傅的手感。</w:t>
      </w:r>
    </w:p>
    <w:p>
      <w:r>
        <w:rPr>
          <w:rFonts w:ascii="Calibri" w:hAnsi="Calibri" w:eastAsia="微软雅黑"/>
          <w:b w:val="0"/>
          <w:i w:val="0"/>
          <w:sz w:val="22"/>
        </w:rPr>
        <w:t>按算式结构读，两式的用法并不神秘。概算指标法的修正算式 J修正 = J + Q1P1 − Q2P2（P2030），是在基准指标J之上按"量×价"逐项加换入、减换出——项目与指标口径不一致时，不动指标本体，只修正差异项；类似工程预算法的 D = A × K（P2030），是以类似工程的数据A为基数乘以调整系数K——找得到可比项目时，最快的路径不是从零算起，而是从参照系修正。设计院手里握着的恰是全行业最密的参照系：历年项目的设计概算、指标数据与类似工程档案。把这三个库整理成报价可调用的资产，是方案级报价能力的第一笔投资；这也反过来解释了2.3.2节"能够以工程项目清单描述发包人大部分要求"（P2005）这一发包前置条件为何对设计院是机会而非负担——发包人要求写得越清单化，指标法与类似工程法的落点就越实。</w:t>
      </w:r>
    </w:p>
    <w:p>
      <w:r>
        <w:rPr>
          <w:rFonts w:ascii="Calibri" w:hAnsi="Calibri" w:eastAsia="微软雅黑"/>
          <w:b w:val="0"/>
          <w:i w:val="0"/>
          <w:sz w:val="22"/>
        </w:rPr>
        <w:t>方法族之上，再看地方细则如何用它们组织竞争。福田细则的竞价结构是"双清单"式的：固定总价合同下，建设单位负责编制招标控制总价和招标估算工程量清单或招标单位经济指标，总承包单位自行编制投标总价和投标估算工程量清单或投标单位经济指标进行竞价（P2014）；固定综合单价包干合同下，招标估算工程量清单和招标综合单价由建设单位编制，总承包单位按招标估算工程量清单填报投标综合单价竞价（P2014）。注意其中分工的微妙：固定总价路径上，量与指标双方各自编制——发包方以估算清单与控制总价封顶，承包方以自编清单与指标应战；固定单价路径上，量单由发包方给定，承包方只在单价上应战（P2014）。前一路径正是概算三法的实战舞台：投标估算工程量清单从哪里来？从概算指标与类似工程数据修正而来（P2030）。地方细则没有明说方法，但方法决定了承包方在"双清单"博弈里的出价精度与余量设计——同一份发包人要求，有指标库的企业报得出底气，没指标库的企业只能报出赌注。</w:t>
      </w:r>
    </w:p>
    <w:p>
      <w:r>
        <w:rPr>
          <w:rFonts w:ascii="Calibri" w:hAnsi="Calibri" w:eastAsia="微软雅黑"/>
          <w:b w:val="0"/>
          <w:i w:val="0"/>
          <w:sz w:val="22"/>
        </w:rPr>
        <w:t>调价封闭的另一半藏在税费的机制细节里。2017版FIDIC银皮书第14.1条的完整约定，比前文引用的更细一层：合同价格应为总额中标合同金额并按照合同进行调整；承包商应支付根据合同要求应由其支付的各项税金、关税和费用，除第13.7款[因政策改变的调整]的规定外，合同价格不应因任何这些费用进行调整；资料表中列出的任何数量都是估计数，不作为要求承包商实施的工程的实际和正确的工程量（P2011）。注意这个结构的精确性：税费默认由承包商吸收、不调价，唯一出口是"政策改变"情形且单列为第13.7款（P2011）。国内司法恰好提供了对照面——在（2017）浙民申3281号案中，双方对税金是否计入应付工程款产生分歧，法院以当事人未提供税务发票等证据证明税金损失确已产生为由，未支持该部分主张（P2017，案情见2.5节）。两条线索合起来是一堂完整的合同课：国际范本把税费风险在签约时一次性分配掉（银皮书14.1条的封闭结构，P2011）；没有这样约定的国内合同，事后要靠发票与凭证把损失"证明"出来（P2017）——证明不出来，损失就自己消化。设计院的合同评审清单因此应加两行：专用条件里税费由谁承担、政策变动是否设调价出口（对照14.1条加13.7款的封闭写法，P2011）；项目商务流程里发票与税费凭证是否按月归集留痕（浙案的败点，P2017）。</w:t>
      </w:r>
    </w:p>
    <w:p>
      <w:r>
        <w:rPr>
          <w:rFonts w:ascii="Calibri" w:hAnsi="Calibri" w:eastAsia="微软雅黑"/>
          <w:b w:val="0"/>
          <w:i w:val="0"/>
          <w:sz w:val="22"/>
        </w:rPr>
        <w:t>方法底座缺位的代价，石化复盘用一个四因子效能框架给出了系统表达：EPC法人级交付效能＝（设计控制因子×采购施工协同因子）÷（组织摩擦风险＋造价合规偏差）（P2030）。公式的价值不在精确计算，而在风险的位置感。分子是能力：初步设计深度与概算编制三法决定设计控制因子，设备采购概算、设备安装四法与界面整合决定采购施工协同因子（P2030）。分母是摩擦：合同分拆模式下的履约抗辩〔(2016)最高法民终695号〕、分包合同同步解除机制〔(2016)最高法民再53号〕、境外保函止付风险〔(2017)川民终72号〕计入组织摩擦风险；行政审计强行介入结算（《法工委函〔2017〕2号》清理审查与"重庆勇创案"计价标准纠偏）以及标底、最高投标限价编制偏离，计入造价合规偏差（P2030）。同一文献对代价的概括更直白：治理根基打不通的企业，将在大型石油化工与工业EPC项目履约中面临合同分拆争议频发、里程碑节点支付阻滞、履约解除及造价全面失控的巨大商业与法律代价（P2030）。这套框架的价值在于把2.3的四组规则串成了算术：组织规则抬分子，价格规则管分母里的计价偏差，风险规则管分母里的合同摩擦——四组规则不是四张清单，而是一个分数。设计院的转型预算也应照此分账：投在方法底座（分子）上的钱产生复利，漏在合同摩擦（分母）里的钱直接扣减效能。</w:t>
      </w:r>
    </w:p>
    <w:p>
      <w:r>
        <w:rPr>
          <w:rFonts w:ascii="Calibri" w:hAnsi="Calibri" w:eastAsia="微软雅黑"/>
          <w:b w:val="0"/>
          <w:i w:val="0"/>
          <w:sz w:val="22"/>
        </w:rPr>
        <w:t>把方案级报价的方法族压成一张对照表，供报价评审会直接使用：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计价科目</w:t>
            </w:r>
          </w:p>
        </w:tc>
        <w:tc>
          <w:tcPr>
            <w:tcW w:type="dxa" w:w="1660"/>
            <w:shd w:fill="1F3A5F"/>
          </w:tcPr>
          <w:p>
            <w:r>
              <w:rPr>
                <w:color w:val="FFFFFF"/>
              </w:rPr>
            </w:r>
            <w:r>
              <w:rPr>
                <w:rFonts w:ascii="Calibri" w:hAnsi="Calibri" w:eastAsia="微软雅黑"/>
                <w:b/>
                <w:i w:val="0"/>
                <w:color w:val="FFFFFF"/>
                <w:sz w:val="18"/>
              </w:rPr>
              <w:t>方法族</w:t>
            </w:r>
          </w:p>
        </w:tc>
        <w:tc>
          <w:tcPr>
            <w:tcW w:type="dxa" w:w="1660"/>
            <w:shd w:fill="1F3A5F"/>
          </w:tcPr>
          <w:p>
            <w:r>
              <w:rPr>
                <w:color w:val="FFFFFF"/>
              </w:rPr>
            </w:r>
            <w:r>
              <w:rPr>
                <w:rFonts w:ascii="Calibri" w:hAnsi="Calibri" w:eastAsia="微软雅黑"/>
                <w:b/>
                <w:i w:val="0"/>
                <w:color w:val="FFFFFF"/>
                <w:sz w:val="18"/>
              </w:rPr>
              <w:t>算式/要点（源文口径）</w:t>
            </w:r>
          </w:p>
        </w:tc>
        <w:tc>
          <w:tcPr>
            <w:tcW w:type="dxa" w:w="1660"/>
            <w:shd w:fill="1F3A5F"/>
          </w:tcPr>
          <w:p>
            <w:r>
              <w:rPr>
                <w:color w:val="FFFFFF"/>
              </w:rPr>
            </w:r>
            <w:r>
              <w:rPr>
                <w:rFonts w:ascii="Calibri" w:hAnsi="Calibri" w:eastAsia="微软雅黑"/>
                <w:b/>
                <w:i w:val="0"/>
                <w:color w:val="FFFFFF"/>
                <w:sz w:val="18"/>
              </w:rPr>
              <w:t>设计院选用抓手</w:t>
            </w:r>
          </w:p>
        </w:tc>
        <w:tc>
          <w:tcPr>
            <w:tcW w:type="dxa" w:w="1660"/>
            <w:shd w:fill="1F3A5F"/>
          </w:tcPr>
          <w:p>
            <w:r>
              <w:rPr>
                <w:color w:val="FFFFFF"/>
              </w:rPr>
            </w:r>
            <w:r>
              <w:rPr>
                <w:rFonts w:ascii="Calibri" w:hAnsi="Calibri" w:eastAsia="微软雅黑"/>
                <w:b/>
                <w:i w:val="0"/>
                <w:color w:val="FFFFFF"/>
                <w:sz w:val="18"/>
              </w:rPr>
              <w:t>依据锚</w:t>
            </w:r>
          </w:p>
        </w:tc>
      </w:tr>
      <w:tr>
        <w:tc>
          <w:tcPr>
            <w:tcW w:type="dxa" w:w="1660"/>
          </w:tcPr>
          <w:p>
            <w:r/>
            <w:r>
              <w:rPr>
                <w:rFonts w:ascii="Calibri" w:hAnsi="Calibri" w:eastAsia="微软雅黑"/>
                <w:b w:val="0"/>
                <w:i w:val="0"/>
                <w:sz w:val="18"/>
              </w:rPr>
              <w:t>工程费（设计概算）</w:t>
            </w:r>
          </w:p>
        </w:tc>
        <w:tc>
          <w:tcPr>
            <w:tcW w:type="dxa" w:w="1660"/>
          </w:tcPr>
          <w:p>
            <w:r/>
            <w:r>
              <w:rPr>
                <w:rFonts w:ascii="Calibri" w:hAnsi="Calibri" w:eastAsia="微软雅黑"/>
                <w:b w:val="0"/>
                <w:i w:val="0"/>
                <w:sz w:val="18"/>
              </w:rPr>
              <w:t>概算定额法</w:t>
            </w:r>
          </w:p>
        </w:tc>
        <w:tc>
          <w:tcPr>
            <w:tcW w:type="dxa" w:w="1660"/>
          </w:tcPr>
          <w:p>
            <w:r/>
            <w:r>
              <w:rPr>
                <w:rFonts w:ascii="Calibri" w:hAnsi="Calibri" w:eastAsia="微软雅黑"/>
                <w:b w:val="0"/>
                <w:i w:val="0"/>
                <w:sz w:val="18"/>
              </w:rPr>
              <w:t>以概算定额为基准编制</w:t>
            </w:r>
          </w:p>
        </w:tc>
        <w:tc>
          <w:tcPr>
            <w:tcW w:type="dxa" w:w="1660"/>
          </w:tcPr>
          <w:p>
            <w:r/>
            <w:r>
              <w:rPr>
                <w:rFonts w:ascii="Calibri" w:hAnsi="Calibri" w:eastAsia="微软雅黑"/>
                <w:b w:val="0"/>
                <w:i w:val="0"/>
                <w:sz w:val="18"/>
              </w:rPr>
              <w:t>设计深度足、构成清晰时优先</w:t>
            </w:r>
          </w:p>
        </w:tc>
        <w:tc>
          <w:tcPr>
            <w:tcW w:type="dxa" w:w="1660"/>
          </w:tcPr>
          <w:p>
            <w:r/>
            <w:r>
              <w:rPr>
                <w:rFonts w:ascii="Calibri" w:hAnsi="Calibri" w:eastAsia="微软雅黑"/>
                <w:b w:val="0"/>
                <w:i w:val="0"/>
                <w:sz w:val="18"/>
              </w:rPr>
              <w:t>（P2030）</w:t>
            </w:r>
          </w:p>
        </w:tc>
      </w:tr>
      <w:tr>
        <w:tc>
          <w:tcPr>
            <w:tcW w:type="dxa" w:w="1660"/>
          </w:tcPr>
          <w:p>
            <w:r/>
            <w:r>
              <w:rPr>
                <w:rFonts w:ascii="Calibri" w:hAnsi="Calibri" w:eastAsia="微软雅黑"/>
                <w:b w:val="0"/>
                <w:i w:val="0"/>
                <w:sz w:val="18"/>
              </w:rPr>
              <w:t>工程费（设计概算）</w:t>
            </w:r>
          </w:p>
        </w:tc>
        <w:tc>
          <w:tcPr>
            <w:tcW w:type="dxa" w:w="1660"/>
          </w:tcPr>
          <w:p>
            <w:r/>
            <w:r>
              <w:rPr>
                <w:rFonts w:ascii="Calibri" w:hAnsi="Calibri" w:eastAsia="微软雅黑"/>
                <w:b w:val="0"/>
                <w:i w:val="0"/>
                <w:sz w:val="18"/>
              </w:rPr>
              <w:t>概算指标法</w:t>
            </w:r>
          </w:p>
        </w:tc>
        <w:tc>
          <w:tcPr>
            <w:tcW w:type="dxa" w:w="1660"/>
          </w:tcPr>
          <w:p>
            <w:r/>
            <w:r>
              <w:rPr>
                <w:rFonts w:ascii="Calibri" w:hAnsi="Calibri" w:eastAsia="微软雅黑"/>
                <w:b w:val="0"/>
                <w:i w:val="0"/>
                <w:sz w:val="18"/>
              </w:rPr>
              <w:t>J修正 = J + Q1P1 − Q2P2，基准指标按量价差异项修正</w:t>
            </w:r>
          </w:p>
        </w:tc>
        <w:tc>
          <w:tcPr>
            <w:tcW w:type="dxa" w:w="1660"/>
          </w:tcPr>
          <w:p>
            <w:r/>
            <w:r>
              <w:rPr>
                <w:rFonts w:ascii="Calibri" w:hAnsi="Calibri" w:eastAsia="微软雅黑"/>
                <w:b w:val="0"/>
                <w:i w:val="0"/>
                <w:sz w:val="18"/>
              </w:rPr>
              <w:t>自有指标库可用的项目</w:t>
            </w:r>
          </w:p>
        </w:tc>
        <w:tc>
          <w:tcPr>
            <w:tcW w:type="dxa" w:w="1660"/>
          </w:tcPr>
          <w:p>
            <w:r/>
            <w:r>
              <w:rPr>
                <w:rFonts w:ascii="Calibri" w:hAnsi="Calibri" w:eastAsia="微软雅黑"/>
                <w:b w:val="0"/>
                <w:i w:val="0"/>
                <w:sz w:val="18"/>
              </w:rPr>
              <w:t>（P2030）</w:t>
            </w:r>
          </w:p>
        </w:tc>
      </w:tr>
      <w:tr>
        <w:tc>
          <w:tcPr>
            <w:tcW w:type="dxa" w:w="1660"/>
          </w:tcPr>
          <w:p>
            <w:r/>
            <w:r>
              <w:rPr>
                <w:rFonts w:ascii="Calibri" w:hAnsi="Calibri" w:eastAsia="微软雅黑"/>
                <w:b w:val="0"/>
                <w:i w:val="0"/>
                <w:sz w:val="18"/>
              </w:rPr>
              <w:t>工程费（设计概算）</w:t>
            </w:r>
          </w:p>
        </w:tc>
        <w:tc>
          <w:tcPr>
            <w:tcW w:type="dxa" w:w="1660"/>
          </w:tcPr>
          <w:p>
            <w:r/>
            <w:r>
              <w:rPr>
                <w:rFonts w:ascii="Calibri" w:hAnsi="Calibri" w:eastAsia="微软雅黑"/>
                <w:b w:val="0"/>
                <w:i w:val="0"/>
                <w:sz w:val="18"/>
              </w:rPr>
              <w:t>类似工程预算法</w:t>
            </w:r>
          </w:p>
        </w:tc>
        <w:tc>
          <w:tcPr>
            <w:tcW w:type="dxa" w:w="1660"/>
          </w:tcPr>
          <w:p>
            <w:r/>
            <w:r>
              <w:rPr>
                <w:rFonts w:ascii="Calibri" w:hAnsi="Calibri" w:eastAsia="微软雅黑"/>
                <w:b w:val="0"/>
                <w:i w:val="0"/>
                <w:sz w:val="18"/>
              </w:rPr>
              <w:t>D = A × K，类似工程数据乘调整系数</w:t>
            </w:r>
          </w:p>
        </w:tc>
        <w:tc>
          <w:tcPr>
            <w:tcW w:type="dxa" w:w="1660"/>
          </w:tcPr>
          <w:p>
            <w:r/>
            <w:r>
              <w:rPr>
                <w:rFonts w:ascii="Calibri" w:hAnsi="Calibri" w:eastAsia="微软雅黑"/>
                <w:b w:val="0"/>
                <w:i w:val="0"/>
                <w:sz w:val="18"/>
              </w:rPr>
              <w:t>找得到可比项目、周期紧张</w:t>
            </w:r>
          </w:p>
        </w:tc>
        <w:tc>
          <w:tcPr>
            <w:tcW w:type="dxa" w:w="1660"/>
          </w:tcPr>
          <w:p>
            <w:r/>
            <w:r>
              <w:rPr>
                <w:rFonts w:ascii="Calibri" w:hAnsi="Calibri" w:eastAsia="微软雅黑"/>
                <w:b w:val="0"/>
                <w:i w:val="0"/>
                <w:sz w:val="18"/>
              </w:rPr>
              <w:t>（P2030）</w:t>
            </w:r>
          </w:p>
        </w:tc>
      </w:tr>
      <w:tr>
        <w:tc>
          <w:tcPr>
            <w:tcW w:type="dxa" w:w="1660"/>
          </w:tcPr>
          <w:p>
            <w:r/>
            <w:r>
              <w:rPr>
                <w:rFonts w:ascii="Calibri" w:hAnsi="Calibri" w:eastAsia="微软雅黑"/>
                <w:b w:val="0"/>
                <w:i w:val="0"/>
                <w:sz w:val="18"/>
              </w:rPr>
              <w:t>设备安装费</w:t>
            </w:r>
          </w:p>
        </w:tc>
        <w:tc>
          <w:tcPr>
            <w:tcW w:type="dxa" w:w="1660"/>
          </w:tcPr>
          <w:p>
            <w:r/>
            <w:r>
              <w:rPr>
                <w:rFonts w:ascii="Calibri" w:hAnsi="Calibri" w:eastAsia="微软雅黑"/>
                <w:b w:val="0"/>
                <w:i w:val="0"/>
                <w:sz w:val="18"/>
              </w:rPr>
              <w:t>预算单价法／扩大单价法／设备价值百分比法／综合吨位指标法</w:t>
            </w:r>
          </w:p>
        </w:tc>
        <w:tc>
          <w:tcPr>
            <w:tcW w:type="dxa" w:w="1660"/>
          </w:tcPr>
          <w:p>
            <w:r/>
            <w:r>
              <w:rPr>
                <w:rFonts w:ascii="Calibri" w:hAnsi="Calibri" w:eastAsia="微软雅黑"/>
                <w:b w:val="0"/>
                <w:i w:val="0"/>
                <w:sz w:val="18"/>
              </w:rPr>
              <w:t>四法并列；源文仅列名，操作细节未展开</w:t>
            </w:r>
          </w:p>
        </w:tc>
        <w:tc>
          <w:tcPr>
            <w:tcW w:type="dxa" w:w="1660"/>
          </w:tcPr>
          <w:p>
            <w:r/>
            <w:r>
              <w:rPr>
                <w:rFonts w:ascii="Calibri" w:hAnsi="Calibri" w:eastAsia="微软雅黑"/>
                <w:b w:val="0"/>
                <w:i w:val="0"/>
                <w:sz w:val="18"/>
              </w:rPr>
              <w:t>依设备类型与数据可得性选择，采用前校准</w:t>
            </w:r>
          </w:p>
        </w:tc>
        <w:tc>
          <w:tcPr>
            <w:tcW w:type="dxa" w:w="1660"/>
          </w:tcPr>
          <w:p>
            <w:r/>
            <w:r>
              <w:rPr>
                <w:rFonts w:ascii="Calibri" w:hAnsi="Calibri" w:eastAsia="微软雅黑"/>
                <w:b w:val="0"/>
                <w:i w:val="0"/>
                <w:sz w:val="18"/>
              </w:rPr>
              <w:t>（P2030）</w:t>
            </w:r>
          </w:p>
        </w:tc>
      </w:tr>
      <w:tr>
        <w:tc>
          <w:tcPr>
            <w:tcW w:type="dxa" w:w="1660"/>
          </w:tcPr>
          <w:p>
            <w:r/>
            <w:r>
              <w:rPr>
                <w:rFonts w:ascii="Calibri" w:hAnsi="Calibri" w:eastAsia="微软雅黑"/>
                <w:b w:val="0"/>
                <w:i w:val="0"/>
                <w:sz w:val="18"/>
              </w:rPr>
              <w:t>税费与政策变动</w:t>
            </w:r>
          </w:p>
        </w:tc>
        <w:tc>
          <w:tcPr>
            <w:tcW w:type="dxa" w:w="1660"/>
          </w:tcPr>
          <w:p>
            <w:r/>
            <w:r>
              <w:rPr>
                <w:rFonts w:ascii="Calibri" w:hAnsi="Calibri" w:eastAsia="微软雅黑"/>
                <w:b w:val="0"/>
                <w:i w:val="0"/>
                <w:sz w:val="18"/>
              </w:rPr>
              <w:t>合同条款设计</w:t>
            </w:r>
          </w:p>
        </w:tc>
        <w:tc>
          <w:tcPr>
            <w:tcW w:type="dxa" w:w="1660"/>
          </w:tcPr>
          <w:p>
            <w:r/>
            <w:r>
              <w:rPr>
                <w:rFonts w:ascii="Calibri" w:hAnsi="Calibri" w:eastAsia="微软雅黑"/>
                <w:b w:val="0"/>
                <w:i w:val="0"/>
                <w:sz w:val="18"/>
              </w:rPr>
              <w:t>税费自担＋政策改变单列调价的封闭结构</w:t>
            </w:r>
          </w:p>
        </w:tc>
        <w:tc>
          <w:tcPr>
            <w:tcW w:type="dxa" w:w="1660"/>
          </w:tcPr>
          <w:p>
            <w:r/>
            <w:r>
              <w:rPr>
                <w:rFonts w:ascii="Calibri" w:hAnsi="Calibri" w:eastAsia="微软雅黑"/>
                <w:b w:val="0"/>
                <w:i w:val="0"/>
                <w:sz w:val="18"/>
              </w:rPr>
              <w:t>所有总价合同的专用条件必查项</w:t>
            </w:r>
          </w:p>
        </w:tc>
        <w:tc>
          <w:tcPr>
            <w:tcW w:type="dxa" w:w="1660"/>
          </w:tcPr>
          <w:p>
            <w:r/>
            <w:r>
              <w:rPr>
                <w:rFonts w:ascii="Calibri" w:hAnsi="Calibri" w:eastAsia="微软雅黑"/>
                <w:b w:val="0"/>
                <w:i w:val="0"/>
                <w:sz w:val="18"/>
              </w:rPr>
              <w:t>（P2011）</w:t>
            </w:r>
          </w:p>
        </w:tc>
      </w:tr>
    </w:tbl>
    <w:p>
      <w:r>
        <w:rPr>
          <w:rFonts w:ascii="Calibri" w:hAnsi="Calibri" w:eastAsia="微软雅黑"/>
          <w:b w:val="0"/>
          <w:i w:val="0"/>
          <w:sz w:val="22"/>
        </w:rPr>
        <w:t>这张表的用法有两点提醒。第一，方法族是"报价语言"不是"报价答案"：选用哪种方法，取决于设计深度、数据可得性与工期三类约束的组合，评审会上先过约束、再选方法，避免拿类似工程法硬套找不到可比项目的标的。第二，表要回填：每投一个标，把中标结果、成本走向与当初选用的方法回填进表尾，方法族的适用边界靠本院自己的项目数据校准——两年之后，这张表就会长成别人抄不走的报价资产。</w:t>
      </w:r>
    </w:p>
    <w:p>
      <w:r>
        <w:rPr>
          <w:rFonts w:ascii="Calibri" w:hAnsi="Calibri" w:eastAsia="微软雅黑"/>
          <w:b w:val="0"/>
          <w:i w:val="0"/>
          <w:sz w:val="22"/>
        </w:rPr>
        <w:t>买方动作清单——把方法底座落到下一年度的四个动作。其一，报价模板按方法族重构：概算三法配三套工程费测算模板，安装四法进设备采购协同清单（P2030），投标评审先定方法、再核数字，杜绝"拍脑袋总价"。其二，参照系资产化：把本院历年概算、指标与类似工程数据建库维护（概算指标法与类似工程预算法的燃料，P2030），这是设计院对施工企业最稀缺的报价资产。其三，税费条款显性化：专用条件逐条写明税费承担与政策变动调价出口，结构对照银皮书14.1条加13.7款的封闭写法（P2011）。其四，凭证留痕制度化：发票与税费凭证按月归集进项目商务台账（浙民申3281号的教训，P2017），把"能证明"当成与"能干"同级的能力建设。其五，投标配套件按四因子过筛：标底与最高投标限价的编制口径、里程碑支付节点与合同拆分安排，在投标阶段即按"分子能力、分母摩擦"的框架过一遍风险筛（P2030），别等签约后才发现节点支付与履约抗辩互相咬死。方法底座补齐之后，下一组风险条款才有承接的容器——报价算得出风险的价格，合同才谈得上分配风险。</w:t>
      </w:r>
    </w:p>
    <w:p>
      <w:pPr>
        <w:pStyle w:val="Heading3"/>
      </w:pPr>
      <w:r>
        <w:t>2.3.4 风险端规则：设计变更、基础资料与"按约施工"</w:t>
      </w:r>
    </w:p>
    <w:p>
      <w:r>
        <w:rPr>
          <w:rFonts w:ascii="Calibri" w:hAnsi="Calibri" w:eastAsia="微软雅黑"/>
          <w:b w:val="0"/>
          <w:i w:val="0"/>
          <w:sz w:val="22"/>
        </w:rPr>
        <w:t>风险端规则最容易被设计院低估，因为它改变的是多年养成的职业直觉。第一个误区是设计变更。在传统施工总承包模式下，设计变更将导致合同价格调整已成为行业惯例，最高人民法院《关于审理建设工程施工合同纠纷案件适用法律问题的解释（一）》第19条第2款也规定，因设计变更导致建设工程的工程量或者质量标准发生变化、当事人对该部分工程价款不能协商一致的，可以参照签订建设工程施工合同时当地建设行政主管部门发布的计价方法或者计价标准结算工程价款（P2010）。但在工程总承包模式下，"设计变更"并不必然导致合同价格的调整（P2010）——总承包商自己就是设计的责任主体，图纸优化属于承包商风险圈内的事。即便在已成熟应用总承包的电力、化工建设领域，项目执行中每每涉及设计变更时，相关方仍多会沿袭施工总承包惯例想到调整合同价格，忽视了这一区别（P2010）。设计院转型总承包后最容易犯的错，就是把自己习惯的"出变更单—等甲方确认—调概算"流程，原样带进一份总价合同里。还需要注意，《解释（一）》第19条第2款的参照计价规则（P2010）诞生于施工总承包语境：图纸由发包人提供，变更自然指向价格重算；工程总承包把设计责任移入承包商范围后，同一张变更单的法律性质已经改变——它更多是承包商自身优化空间的行使，而非发包人指令的结果。设计院的图纸习惯若不配上合同习惯，设计线与法务线会在同一张变更单上各说各话。</w:t>
      </w:r>
    </w:p>
    <w:p>
      <w:r>
        <w:rPr>
          <w:rFonts w:ascii="Calibri" w:hAnsi="Calibri" w:eastAsia="微软雅黑"/>
          <w:b w:val="0"/>
          <w:i w:val="0"/>
          <w:sz w:val="22"/>
        </w:rPr>
        <w:t>第二个风险点是发包人提供的基础资料。基础资料通常包括水文地质、工程地质、地形等勘察资料以及可行性研究报告、初步设计文件等，它们是投标人开展投标工作的基础；仅当这些基础资料准确完备，投标人才能合理评估工程项目风险，有效控制投标方案的设计深度与投标报价的准确性（P2010）。关键在于：在工程总承包模式下，承包人对发包人所提供基础资料的真实性和准确性需要承担的责任，迥异于施工总承包模式，总承包人需要借鉴国际工程惯例中的先进管理经验，在总承包合同中设置相应条款来准确界定发承包双方对基础资料的责任范围（P2010）。这方面的教训来自海外：在中东某国的水处理EPC项目（该国多年饱受战乱之苦，项目为战后重建民生工程、旨在改善当地居民饮水安全、全部建设资金由当地政府提供）中，走出海外的中企就基础资料责任承担吃过亏（P2010）。设计院的传统优势是看得懂资料，传统劣势是默认资料正确——总承包合同要求把这种默认改写成明确的合同条款：哪些资料由发包人担保、哪些风险由承包人消化、界限在哪里，逐项落纸。落到操作层，基础资料条款至少应清单化四问：一问范围——发包人提供的水文地质、工程地质、地形勘察资料与可行性研究报告、初步设计文件（P2010）各自由谁担保准确性；二问时点——资料责任边界以哪个时点为准；三问救济——资料错误导致的设计变更与损失，索赔路径与举证责任如何约定；四问兜底——不可预见的地下条件与战争、动乱等极端情形（如中东项目所处的战乱环境，P2010）是否单独设条。这四问没有统一的标准答案，但每一条都必须在签字之前有答案。</w:t>
      </w:r>
    </w:p>
    <w:p>
      <w:r>
        <w:rPr>
          <w:rFonts w:ascii="Calibri" w:hAnsi="Calibri" w:eastAsia="微软雅黑"/>
          <w:b w:val="0"/>
          <w:i w:val="0"/>
          <w:sz w:val="22"/>
        </w:rPr>
        <w:t>第三个转变是思维方式。目前我国工程总承包处于培育和发展的初级阶段，在国家政策带动下企业转型积极性高，但现行法律法规、工程计价规则还是建立在施工图发承包基础上，于法律层面并无直接适用于工程总承包的法律法规，实践中有很多项目仍在用施工总承包思维推行工程总承包，效果并不理想，埋下争端隐患（P2011）。传统施工总承包下，承包人常以"低中标、勤索赔、高结算"的策略实现盈利；工程总承包模式下若仍沿用旧思维，在思维上未实现从"按图施工"向"按约施工"的转变，恐会吃亏，也不利于工程总承包模式长远健康发展（P2011）。对设计院，"按约施工"四个字意味着：设计优化的收益归承包商自己，设计失误的代价同样归自己——总价合同是一把两端都锋利的刀。</w:t>
      </w:r>
    </w:p>
    <w:p>
      <w:r>
        <w:rPr>
          <w:rFonts w:ascii="Calibri" w:hAnsi="Calibri" w:eastAsia="微软雅黑"/>
          <w:b/>
          <w:i w:val="0"/>
          <w:sz w:val="22"/>
        </w:rPr>
        <w:t>所以呢。</w:t>
      </w:r>
      <w:r>
        <w:rPr>
          <w:rFonts w:ascii="Calibri" w:hAnsi="Calibri" w:eastAsia="微软雅黑"/>
          <w:b w:val="0"/>
          <w:i w:val="0"/>
          <w:sz w:val="22"/>
        </w:rPr>
        <w:t xml:space="preserve"> 四组规则合起来，给设计院画出一张能力清单：一个能统筹三线的常设项目管理机构与合格项目经理（P2006）；面向政府投资、国资主导与装配式市场的入场定位，以及发包人要求编写与方案级报价能力（P2005）；总价合同条件下的成本测算与调价条款设计能力（P2011、P2014）；以合同条款管理设计变更与基础资料风险的商务能力（P2010）。缺任何一项，总承包合同就从政策红利变成风险敞口；而这张清单也解释了为什么第3章起的组织、人才、计价专题值得逐章展开。</w:t>
      </w:r>
    </w:p>
    <w:p>
      <w:pPr>
        <w:pStyle w:val="Heading2"/>
      </w:pPr>
      <w:r>
        <w:t>2.4 阶梯的落地：2017—2022年地方政策六个年度的梯度图谱</w:t>
      </w:r>
    </w:p>
    <w:p>
      <w:r>
        <w:rPr>
          <w:rFonts w:ascii="Calibri" w:hAnsi="Calibri" w:eastAsia="微软雅黑"/>
          <w:b w:val="0"/>
          <w:i w:val="0"/>
          <w:sz w:val="22"/>
        </w:rPr>
        <w:t>国家阶梯搭好之后，地方政策的供给节奏是检验政策真实强度的温度计。建纬律师事务所自2017年起在岁末年初连续发布工程总承包地方政策年度观察（在2017至2021年连续五年的基础上持续，P2000），其历年统计构成一条完整的政策供给曲线：</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年份</w:t>
            </w:r>
          </w:p>
        </w:tc>
        <w:tc>
          <w:tcPr>
            <w:tcW w:type="dxa" w:w="2075"/>
            <w:shd w:fill="1F3A5F"/>
          </w:tcPr>
          <w:p>
            <w:r>
              <w:rPr>
                <w:color w:val="FFFFFF"/>
              </w:rPr>
            </w:r>
            <w:r>
              <w:rPr>
                <w:rFonts w:ascii="Calibri" w:hAnsi="Calibri" w:eastAsia="微软雅黑"/>
                <w:b/>
                <w:i w:val="0"/>
                <w:color w:val="FFFFFF"/>
                <w:sz w:val="18"/>
              </w:rPr>
              <w:t>出台政策的省级地方数</w:t>
            </w:r>
          </w:p>
        </w:tc>
        <w:tc>
          <w:tcPr>
            <w:tcW w:type="dxa" w:w="2075"/>
            <w:shd w:fill="1F3A5F"/>
          </w:tcPr>
          <w:p>
            <w:r>
              <w:rPr>
                <w:color w:val="FFFFFF"/>
              </w:rPr>
            </w:r>
            <w:r>
              <w:rPr>
                <w:rFonts w:ascii="Calibri" w:hAnsi="Calibri" w:eastAsia="微软雅黑"/>
                <w:b/>
                <w:i w:val="0"/>
                <w:color w:val="FFFFFF"/>
                <w:sz w:val="18"/>
              </w:rPr>
              <w:t>省级政策文件件数</w:t>
            </w:r>
          </w:p>
        </w:tc>
        <w:tc>
          <w:tcPr>
            <w:tcW w:type="dxa" w:w="2075"/>
            <w:shd w:fill="1F3A5F"/>
          </w:tcPr>
          <w:p>
            <w:r>
              <w:rPr>
                <w:color w:val="FFFFFF"/>
              </w:rPr>
            </w:r>
            <w:r>
              <w:rPr>
                <w:rFonts w:ascii="Calibri" w:hAnsi="Calibri" w:eastAsia="微软雅黑"/>
                <w:b/>
                <w:i w:val="0"/>
                <w:color w:val="FFFFFF"/>
                <w:sz w:val="18"/>
              </w:rPr>
              <w:t>依据锚</w:t>
            </w:r>
          </w:p>
        </w:tc>
      </w:tr>
      <w:tr>
        <w:tc>
          <w:tcPr>
            <w:tcW w:type="dxa" w:w="2075"/>
          </w:tcPr>
          <w:p>
            <w:r/>
            <w:r>
              <w:rPr>
                <w:rFonts w:ascii="Calibri" w:hAnsi="Calibri" w:eastAsia="微软雅黑"/>
                <w:b w:val="0"/>
                <w:i w:val="0"/>
                <w:sz w:val="18"/>
              </w:rPr>
              <w:t>2017年</w:t>
            </w:r>
          </w:p>
        </w:tc>
        <w:tc>
          <w:tcPr>
            <w:tcW w:type="dxa" w:w="2075"/>
          </w:tcPr>
          <w:p>
            <w:r/>
            <w:r>
              <w:rPr>
                <w:rFonts w:ascii="Calibri" w:hAnsi="Calibri" w:eastAsia="微软雅黑"/>
                <w:b w:val="0"/>
                <w:i w:val="0"/>
                <w:sz w:val="18"/>
              </w:rPr>
              <w:t>28个省份</w:t>
            </w:r>
          </w:p>
        </w:tc>
        <w:tc>
          <w:tcPr>
            <w:tcW w:type="dxa" w:w="2075"/>
          </w:tcPr>
          <w:p>
            <w:r/>
            <w:r>
              <w:rPr>
                <w:rFonts w:ascii="Calibri" w:hAnsi="Calibri" w:eastAsia="微软雅黑"/>
                <w:b w:val="0"/>
                <w:i w:val="0"/>
                <w:sz w:val="18"/>
              </w:rPr>
              <w:t>41份</w:t>
            </w:r>
          </w:p>
        </w:tc>
        <w:tc>
          <w:tcPr>
            <w:tcW w:type="dxa" w:w="2075"/>
          </w:tcPr>
          <w:p>
            <w:r/>
            <w:r>
              <w:rPr>
                <w:rFonts w:ascii="Calibri" w:hAnsi="Calibri" w:eastAsia="微软雅黑"/>
                <w:b w:val="0"/>
                <w:i w:val="0"/>
                <w:sz w:val="18"/>
              </w:rPr>
              <w:t>（P2001）</w:t>
            </w:r>
          </w:p>
        </w:tc>
      </w:tr>
      <w:tr>
        <w:tc>
          <w:tcPr>
            <w:tcW w:type="dxa" w:w="2075"/>
          </w:tcPr>
          <w:p>
            <w:r/>
            <w:r>
              <w:rPr>
                <w:rFonts w:ascii="Calibri" w:hAnsi="Calibri" w:eastAsia="微软雅黑"/>
                <w:b w:val="0"/>
                <w:i w:val="0"/>
                <w:sz w:val="18"/>
              </w:rPr>
              <w:t>2018年</w:t>
            </w:r>
          </w:p>
        </w:tc>
        <w:tc>
          <w:tcPr>
            <w:tcW w:type="dxa" w:w="2075"/>
          </w:tcPr>
          <w:p>
            <w:r/>
            <w:r>
              <w:rPr>
                <w:rFonts w:ascii="Calibri" w:hAnsi="Calibri" w:eastAsia="微软雅黑"/>
                <w:b w:val="0"/>
                <w:i w:val="0"/>
                <w:sz w:val="18"/>
              </w:rPr>
              <w:t>28个省份</w:t>
            </w:r>
          </w:p>
        </w:tc>
        <w:tc>
          <w:tcPr>
            <w:tcW w:type="dxa" w:w="2075"/>
          </w:tcPr>
          <w:p>
            <w:r/>
            <w:r>
              <w:rPr>
                <w:rFonts w:ascii="Calibri" w:hAnsi="Calibri" w:eastAsia="微软雅黑"/>
                <w:b w:val="0"/>
                <w:i w:val="0"/>
                <w:sz w:val="18"/>
              </w:rPr>
              <w:t>22份</w:t>
            </w:r>
          </w:p>
        </w:tc>
        <w:tc>
          <w:tcPr>
            <w:tcW w:type="dxa" w:w="2075"/>
          </w:tcPr>
          <w:p>
            <w:r/>
            <w:r>
              <w:rPr>
                <w:rFonts w:ascii="Calibri" w:hAnsi="Calibri" w:eastAsia="微软雅黑"/>
                <w:b w:val="0"/>
                <w:i w:val="0"/>
                <w:sz w:val="18"/>
              </w:rPr>
              <w:t>（P2001）</w:t>
            </w:r>
          </w:p>
        </w:tc>
      </w:tr>
      <w:tr>
        <w:tc>
          <w:tcPr>
            <w:tcW w:type="dxa" w:w="2075"/>
          </w:tcPr>
          <w:p>
            <w:r/>
            <w:r>
              <w:rPr>
                <w:rFonts w:ascii="Calibri" w:hAnsi="Calibri" w:eastAsia="微软雅黑"/>
                <w:b w:val="0"/>
                <w:i w:val="0"/>
                <w:sz w:val="18"/>
              </w:rPr>
              <w:t>2019年</w:t>
            </w:r>
          </w:p>
        </w:tc>
        <w:tc>
          <w:tcPr>
            <w:tcW w:type="dxa" w:w="2075"/>
          </w:tcPr>
          <w:p>
            <w:r/>
            <w:r>
              <w:rPr>
                <w:rFonts w:ascii="Calibri" w:hAnsi="Calibri" w:eastAsia="微软雅黑"/>
                <w:b w:val="0"/>
                <w:i w:val="0"/>
                <w:sz w:val="18"/>
              </w:rPr>
              <w:t>6个省份</w:t>
            </w:r>
          </w:p>
        </w:tc>
        <w:tc>
          <w:tcPr>
            <w:tcW w:type="dxa" w:w="2075"/>
          </w:tcPr>
          <w:p>
            <w:r/>
            <w:r>
              <w:rPr>
                <w:rFonts w:ascii="Calibri" w:hAnsi="Calibri" w:eastAsia="微软雅黑"/>
                <w:b w:val="0"/>
                <w:i w:val="0"/>
                <w:sz w:val="18"/>
              </w:rPr>
              <w:t>13份</w:t>
            </w:r>
          </w:p>
        </w:tc>
        <w:tc>
          <w:tcPr>
            <w:tcW w:type="dxa" w:w="2075"/>
          </w:tcPr>
          <w:p>
            <w:r/>
            <w:r>
              <w:rPr>
                <w:rFonts w:ascii="Calibri" w:hAnsi="Calibri" w:eastAsia="微软雅黑"/>
                <w:b w:val="0"/>
                <w:i w:val="0"/>
                <w:sz w:val="18"/>
              </w:rPr>
              <w:t>（P2001）</w:t>
            </w:r>
          </w:p>
        </w:tc>
      </w:tr>
      <w:tr>
        <w:tc>
          <w:tcPr>
            <w:tcW w:type="dxa" w:w="2075"/>
          </w:tcPr>
          <w:p>
            <w:r/>
            <w:r>
              <w:rPr>
                <w:rFonts w:ascii="Calibri" w:hAnsi="Calibri" w:eastAsia="微软雅黑"/>
                <w:b w:val="0"/>
                <w:i w:val="0"/>
                <w:sz w:val="18"/>
              </w:rPr>
              <w:t>2020年</w:t>
            </w:r>
          </w:p>
        </w:tc>
        <w:tc>
          <w:tcPr>
            <w:tcW w:type="dxa" w:w="2075"/>
          </w:tcPr>
          <w:p>
            <w:r/>
            <w:r>
              <w:rPr>
                <w:rFonts w:ascii="Calibri" w:hAnsi="Calibri" w:eastAsia="微软雅黑"/>
                <w:b w:val="0"/>
                <w:i w:val="0"/>
                <w:sz w:val="18"/>
              </w:rPr>
              <w:t>15个省市</w:t>
            </w:r>
          </w:p>
        </w:tc>
        <w:tc>
          <w:tcPr>
            <w:tcW w:type="dxa" w:w="2075"/>
          </w:tcPr>
          <w:p>
            <w:r/>
            <w:r>
              <w:rPr>
                <w:rFonts w:ascii="Calibri" w:hAnsi="Calibri" w:eastAsia="微软雅黑"/>
                <w:b w:val="0"/>
                <w:i w:val="0"/>
                <w:sz w:val="18"/>
              </w:rPr>
              <w:t>18件</w:t>
            </w:r>
          </w:p>
        </w:tc>
        <w:tc>
          <w:tcPr>
            <w:tcW w:type="dxa" w:w="2075"/>
          </w:tcPr>
          <w:p>
            <w:r/>
            <w:r>
              <w:rPr>
                <w:rFonts w:ascii="Calibri" w:hAnsi="Calibri" w:eastAsia="微软雅黑"/>
                <w:b w:val="0"/>
                <w:i w:val="0"/>
                <w:sz w:val="18"/>
              </w:rPr>
              <w:t>（P2001）</w:t>
            </w:r>
          </w:p>
        </w:tc>
      </w:tr>
      <w:tr>
        <w:tc>
          <w:tcPr>
            <w:tcW w:type="dxa" w:w="2075"/>
          </w:tcPr>
          <w:p>
            <w:r/>
            <w:r>
              <w:rPr>
                <w:rFonts w:ascii="Calibri" w:hAnsi="Calibri" w:eastAsia="微软雅黑"/>
                <w:b w:val="0"/>
                <w:i w:val="0"/>
                <w:sz w:val="18"/>
              </w:rPr>
              <w:t>2021年</w:t>
            </w:r>
          </w:p>
        </w:tc>
        <w:tc>
          <w:tcPr>
            <w:tcW w:type="dxa" w:w="2075"/>
          </w:tcPr>
          <w:p>
            <w:r/>
            <w:r>
              <w:rPr>
                <w:rFonts w:ascii="Calibri" w:hAnsi="Calibri" w:eastAsia="微软雅黑"/>
                <w:b w:val="0"/>
                <w:i w:val="0"/>
                <w:sz w:val="18"/>
              </w:rPr>
              <w:t>13个省份</w:t>
            </w:r>
          </w:p>
        </w:tc>
        <w:tc>
          <w:tcPr>
            <w:tcW w:type="dxa" w:w="2075"/>
          </w:tcPr>
          <w:p>
            <w:r/>
            <w:r>
              <w:rPr>
                <w:rFonts w:ascii="Calibri" w:hAnsi="Calibri" w:eastAsia="微软雅黑"/>
                <w:b w:val="0"/>
                <w:i w:val="0"/>
                <w:sz w:val="18"/>
              </w:rPr>
              <w:t>18件</w:t>
            </w:r>
          </w:p>
        </w:tc>
        <w:tc>
          <w:tcPr>
            <w:tcW w:type="dxa" w:w="2075"/>
          </w:tcPr>
          <w:p>
            <w:r/>
            <w:r>
              <w:rPr>
                <w:rFonts w:ascii="Calibri" w:hAnsi="Calibri" w:eastAsia="微软雅黑"/>
                <w:b w:val="0"/>
                <w:i w:val="0"/>
                <w:sz w:val="18"/>
              </w:rPr>
              <w:t>（P2003）</w:t>
            </w:r>
          </w:p>
        </w:tc>
      </w:tr>
      <w:tr>
        <w:tc>
          <w:tcPr>
            <w:tcW w:type="dxa" w:w="2075"/>
          </w:tcPr>
          <w:p>
            <w:r/>
            <w:r>
              <w:rPr>
                <w:rFonts w:ascii="Calibri" w:hAnsi="Calibri" w:eastAsia="微软雅黑"/>
                <w:b w:val="0"/>
                <w:i w:val="0"/>
                <w:sz w:val="18"/>
              </w:rPr>
              <w:t>2022年</w:t>
            </w:r>
          </w:p>
        </w:tc>
        <w:tc>
          <w:tcPr>
            <w:tcW w:type="dxa" w:w="2075"/>
          </w:tcPr>
          <w:p>
            <w:r/>
            <w:r>
              <w:rPr>
                <w:rFonts w:ascii="Calibri" w:hAnsi="Calibri" w:eastAsia="微软雅黑"/>
                <w:b w:val="0"/>
                <w:i w:val="0"/>
                <w:sz w:val="18"/>
              </w:rPr>
              <w:t>6个省级地方</w:t>
            </w:r>
          </w:p>
        </w:tc>
        <w:tc>
          <w:tcPr>
            <w:tcW w:type="dxa" w:w="2075"/>
          </w:tcPr>
          <w:p>
            <w:r/>
            <w:r>
              <w:rPr>
                <w:rFonts w:ascii="Calibri" w:hAnsi="Calibri" w:eastAsia="微软雅黑"/>
                <w:b w:val="0"/>
                <w:i w:val="0"/>
                <w:sz w:val="18"/>
              </w:rPr>
              <w:t>源未给出件数</w:t>
            </w:r>
          </w:p>
        </w:tc>
        <w:tc>
          <w:tcPr>
            <w:tcW w:type="dxa" w:w="2075"/>
          </w:tcPr>
          <w:p>
            <w:r/>
            <w:r>
              <w:rPr>
                <w:rFonts w:ascii="Calibri" w:hAnsi="Calibri" w:eastAsia="微软雅黑"/>
                <w:b w:val="0"/>
                <w:i w:val="0"/>
                <w:sz w:val="18"/>
              </w:rPr>
              <w:t>（P2000）</w:t>
            </w:r>
          </w:p>
        </w:tc>
      </w:tr>
    </w:tbl>
    <w:p>
      <w:r>
        <w:rPr>
          <w:rFonts w:ascii="Calibri" w:hAnsi="Calibri" w:eastAsia="微软雅黑"/>
          <w:b w:val="0"/>
          <w:i w:val="0"/>
          <w:sz w:val="22"/>
        </w:rPr>
        <w:t>仅计有件数记载的2017—2021五个年度，省级工程总承包政策文件合计112份（own_calc：41+22+13+18+18=112，据P2001、P2003逐年件数加总）。统计口径需要说明：上述观察未收录中央部委文件，各地仅为工程总承包企业试点名录、工作计划与安排等实际并不深入涉及工程总承包法律政策的文件，也未统计在内（P2001）。2022年，各地出台政策数量在前两年高峰期的基础上有所下降，但这些政策结合了近年来工程总承包模式的发展实践，各有具体针对性的特点（P2000）。这两条统计纪律值得沿用到企业内部：一是口径先行——先定义什么算"总承包政策"再计数（P2001的口径说明），避免把试点名录、工作计划混入规则文件；二是逐年可比——固定在省级层面，不与市级、区县级文件混算（P2001、P2000）。设计院自建政策地图时沿用同样纪律，数据才能跨年比较、支撑决策。</w:t>
      </w:r>
    </w:p>
    <w:p>
      <w:r>
        <w:rPr>
          <w:rFonts w:ascii="Calibri" w:hAnsi="Calibri" w:eastAsia="微软雅黑"/>
          <w:b w:val="0"/>
          <w:i w:val="0"/>
          <w:sz w:val="22"/>
        </w:rPr>
        <w:t>这条曲线的形状本身就是信息。2017年28个省份41份的爆发（P2001），对应国办发19号文之后的第一轮地方响应；2018年回落到28省份22份、2019年降至6省份13份（P2001），与国家《管理办法》制定期的地方观望相吻合；2020年管理办法施行当年回升至15个省市18件（P2001），2021年13个省份18件（P2003），是国家规则的地方化落地潮；2022年降至6个省级地方（P2000），制度建设高峰已过，进入执行细化阶段。对设计院的管理含义是：政策红利期没有结束，但红利的结构变了——增量规则越来越少，存量规则的执行越来越严；早期"搭政策便车"的空间，正在被"按规则交付"的要求取代。政策供给的退潮与司法纠纷的高位运行（见2.5节）在时间上首尾相接：制度建设期埋下的合同问题，会在执行细化期集中进入法院——这也是把司法曲线放进政策坐标系的原因。</w:t>
      </w:r>
    </w:p>
    <w:p>
      <w:r>
        <w:rPr>
          <w:rFonts w:ascii="Calibri" w:hAnsi="Calibri" w:eastAsia="微软雅黑"/>
          <w:b w:val="0"/>
          <w:i w:val="0"/>
          <w:sz w:val="22"/>
        </w:rPr>
        <w:t>从内容看，地方政策分化为三类形态。第一类是管理办法型，即把国家管理办法改写为本地实施规则：2020年四川、新疆出台本地区房建市政项目工程总承包管理办法，四川还在水利工程领域发布了推进水利建设项目工程总承包发展的试行指导意见（P2001）；2021年湖北、上海、河北三地出台本地管理办法（P2003）；2022年西藏出台试行办法（P2000）。第二类是实施意见型：2020年江苏、安徽、山东、浙江、辽宁以实施意见、措施、实施细则等形式出台政策，其中安徽、浙江两地的实施意见当年尚处征求意见阶段（P2001）；2021年浙江、山西、广东以实施意见、指导意见、措施形式出台，其中广东省2021年11月18日发布的十条措施当时尚处征求意见阶段（P2003）。第三类是计价与招标评标规则型，补的是国家办法最薄的一环：2020年江苏出台规范房建市政项目工程总承包计价活动的试行规则（P2001）；2021年浙江省住建部门联合省发改委、财政厅等部门出台针对房建市政工程总承包项目的计价规则（P2003）；2022年四川出台工程总承包合同计价的指导意见，上海年初出台《上海市建设项目工程总承包招标评标办法》以匹配其2021年发布的管理办法（P2000）；同年广西、宁夏、山东三地针对水利建设项目工程总承包出台管理办法（P2000），其中广西办法作为2022年首份施行的水利工程领域地方政策，借鉴了国家《管理办法》诸多规定，并针对水利项目有别于房建市政项目的特殊性作了一定创新（P2000）。此外，2020年上海还为应对新冠肺炎疫情影响，出台了优化本市重大建设项目、重点产业类项目工程发包的政策（P2001）。</w:t>
      </w:r>
    </w:p>
    <w:p>
      <w:r>
        <w:rPr>
          <w:rFonts w:ascii="Calibri" w:hAnsi="Calibri" w:eastAsia="微软雅黑"/>
          <w:b w:val="0"/>
          <w:i w:val="0"/>
          <w:sz w:val="22"/>
        </w:rPr>
        <w:t>三类形态对设计院的信号强度不同。管理办法型省份把总承包规则整体本地化，市场进入的制度成本最高、规则确定性也最高；实施意见型省份多处于动员期，增量机会与规则空白并存，适合有风险承受能力的先发者；计价规则型供给说明该省已进入深水区——当政策细化到"地下固定单价、地上固定总价"这类颗粒度时（P2014），说明当地总承包市场已经大到需要精细节制的程度，竞争重心已从"会不会做"转向"算不算得准"。判断一个省的市场成熟度，看它最新一份政策属于哪一类，比看它累计出了多少份政策更有信息量。</w:t>
      </w:r>
    </w:p>
    <w:p>
      <w:r>
        <w:rPr>
          <w:rFonts w:ascii="Calibri" w:hAnsi="Calibri" w:eastAsia="微软雅黑"/>
          <w:b w:val="0"/>
          <w:i w:val="0"/>
          <w:sz w:val="22"/>
        </w:rPr>
        <w:t>省级管理办法的内容密度，以四川为例可见一斑。四川省住建厅会同省发展改革委制定《四川省房屋建筑和市政基础设施项目工程总承包管理办法》，共五章45条，分为总则、工程总承包项目发包与承包、工程总承包项目组织实施、监督管理和附则，自2020年7月1日起施行，有效期5年（P2002）。其内容覆盖适用项目范围、基本原则、监督管理部门及其职能分工、工程总承包单位条件、项目经理条件、招标及投标文件编制、评标办法、合同价格形式、发承包的风险责任、建设单位的项目管理、工程总承包单位的组织机构、现场管理和分包要求（P2002）。制定依据上溯《建筑法》《招标投标法》《建设项目工程总承包管理规范》、住建部93号文、国办发〔2017〕19号、川办发〔2018〕9号、《必须招标的工程项目规定》（国家发展和改革委员会令第16号）、川办发〔2019〕54号、《政府投资条例》（国务院令第712号）、发改投资规〔2019〕515号全过程咨询指导意见，以及两部委《管理办法》（P2002）。一份省级文件，把从法律、部委规范到本省实施意见的政策链条全部串联起来——这正是"规则阶梯"在省域的完整投影，也是跨省经营者必须逐省建档的原因。还有一个细节值得标注：这份省级办法明确"有效期5年"（P2002）。地方规范性文件普遍带有效期，意味着规则本身处于滚动检讨之中——跨省经营者不能把某省规则当成静态常识，政策地图必须按文件的生效与失效周期维护。</w:t>
      </w:r>
    </w:p>
    <w:p>
      <w:r>
        <w:rPr>
          <w:rFonts w:ascii="Calibri" w:hAnsi="Calibri" w:eastAsia="微软雅黑"/>
          <w:b w:val="0"/>
          <w:i w:val="0"/>
          <w:sz w:val="22"/>
        </w:rPr>
        <w:t>西部与省级以下层面的落地同样在推进。2022年11月14日，西藏自治区住建厅、发改委以藏建市管〔2022〕551号印发《西藏自治区房屋建筑和市政基础设施项目工程总承包管理办法（试行）》，其依据即建市规〔2019〕12号与藏政办发〔2017〕148号（P2005）——国家阶梯的最末一级延伸到了西部省区。海南则在2022年底出台《海南省房屋建筑和市政基础设施项目工程总承包管理实施细则（试行）》，并配套发布《海南省装配式建设项目工程总承包合同示范文本（2023年版）》（P2000）；"实施细则加合同示范文本"的组合，说明地方规则供给已深入到合同工具层，设计院在当地的合同起草工作量可以直接被地方文本兜底，但也必须逐条比对地方文本与自家风控清单的差异。湖南省住建厅2022年还发布了尚处征求意见阶段的工程总承包招标评标暂行办法（P2000），评标规则的地方化仍在演进。</w:t>
      </w:r>
    </w:p>
    <w:p>
      <w:r>
        <w:rPr>
          <w:rFonts w:ascii="Calibri" w:hAnsi="Calibri" w:eastAsia="微软雅黑"/>
          <w:b w:val="0"/>
          <w:i w:val="0"/>
          <w:sz w:val="22"/>
        </w:rPr>
        <w:t>单省视角更能看出规则的沉淀过程。湖南的政策序列跨越十年：2014年8月《湖南省公路工程设计施工总承包管理办法（试行）》（P2013）；2017年5月省住建厅房建市政工程总承包招标政策、2017年10月省政府办公厅推进工程总承包发展的指导意见（P2013）；2018年3月省政府办公厅促进建筑业持续健康发展实施意见（P2013）；2020年3月转发国家发改委、住建部全过程工程咨询指导意见（P2013）；2021年6月省住建厅印发房建市政工程总承包招标评标办法（P2013）；2022年3月长沙市住建局、市发改委、市财政局三部门联合发文（P2013）；2022年12月省建设工程造价管理总站征求《湖南省建设工程总承包计价办法（征求意见稿）》意见（P2013）；2023年5月省住建厅印发《湖南省建设工程总承包计价规则》，2023年7月再发布进一步规范政府投资房屋建筑和市政基础设施项目工程总承包管理的通知（P2013）。从行业试点（公路）到全省指导意见，再到招标评标办法、计价规则、政府投资专项规范，湖南用十年走完了"从鼓励进入、到定义规则、再到收紧执行"的全过程——这也是多数省份正在走的路径，先后省份之间存在明显的时差。</w:t>
      </w:r>
    </w:p>
    <w:p>
      <w:r>
        <w:rPr>
          <w:rFonts w:ascii="Calibri" w:hAnsi="Calibri" w:eastAsia="微软雅黑"/>
          <w:b w:val="0"/>
          <w:i w:val="0"/>
          <w:sz w:val="22"/>
        </w:rPr>
        <w:t>从全国看，省份之间的制度时差可以排成一张行军图：四川、新疆、湖北、上海、河北、西藏等已进入管理办法型阶段（P2001、P2003、P2005），湖南这类省份已完成从行业试点到计价规则的完整闭环（P2013），更多省份的政策仍停在实施意见与征求意见稿层面（P2001、P2003）。时差就是窗口：在规则成熟省份，后来者面对成体系的合规要求与在位者的履约记录壁垒；在规则成形省份，第一份本地管理办法出台前后往往伴随首批规模化项目发包，是设计院以能力换地位的最好时点。政策地图的真正用途，就是标出每个省份当前所在的台阶，以及下一级台阶的预计到达时间。</w:t>
      </w:r>
    </w:p>
    <w:p>
      <w:r>
        <w:rPr>
          <w:rFonts w:ascii="Calibri" w:hAnsi="Calibri" w:eastAsia="微软雅黑"/>
          <w:b/>
          <w:i w:val="0"/>
          <w:sz w:val="22"/>
        </w:rPr>
        <w:t>所以呢。</w:t>
      </w:r>
      <w:r>
        <w:rPr>
          <w:rFonts w:ascii="Calibri" w:hAnsi="Calibri" w:eastAsia="微软雅黑"/>
          <w:b w:val="0"/>
          <w:i w:val="0"/>
          <w:sz w:val="22"/>
        </w:rPr>
        <w:t xml:space="preserve"> 这一节的决策含义有三条。第一，跨省经营的设计院需要建立"政策地图"：同是EPC项目，各省在发包条件、评标办法、计价规则上的要求差异很大（P2001、P2003、P2000、P2014），市场部门与商务部门应按省建库、动态更新，把地方规则当作投标前置审查项。第二，计价规则型政策（江苏2020、浙江2021、四川2022、上海评标办法、湖南2023计价规则，P2001、P2003、P2000、P2013）是报价体系的直接输入，测算模板必须按省配置；无视地方计价规则的报价，等于把利润交给未知变量。第三，地方政策高峰已过、进入执行细化期（P2000），意味着先发设计院在重点省份积累的当地履约记录与规则熟悉度，正在变成后来者难以速成的事实门槛；市场进入决策应把"该省规则沉淀到哪一级台阶"作为判断指标——规则越成熟的省份，拼的是交付能力；规则刚成形的省份，窗口仍在。</w:t>
      </w:r>
    </w:p>
    <w:p>
      <w:pPr>
        <w:pStyle w:val="Heading2"/>
      </w:pPr>
      <w:r>
        <w:t>2.5 阶梯的底座：司法裁判曲线、事故红线与规则边界</w:t>
      </w:r>
    </w:p>
    <w:p>
      <w:r>
        <w:rPr>
          <w:rFonts w:ascii="Calibri" w:hAnsi="Calibri" w:eastAsia="微软雅黑"/>
          <w:b w:val="0"/>
          <w:i w:val="0"/>
          <w:sz w:val="22"/>
        </w:rPr>
        <w:t>政策给出红利，司法标出代价。判断总承包业务的纠纷体量，可以先看一条曲线。本章弹药库收录了2008—2021年十四个年度的裁判文书卷，各卷标注的"EPC相关"裁判文书篇数分别为：2008年39篇（P2031）、2009年55篇（P2032）、2010年148篇（P2025）、2011年61篇（P2028）、2012年216篇（P2023）、2013年2170篇（P2022）、2014年5275篇（P2021）、2015年8654篇（P2019）、2016年10763篇（P2018）、2017年11716篇（P2017）、2018年5754篇（P2020）、2019年41550篇（P2016）、2020年42935篇（P2015）、2021年324篇（P2024）。十四卷合计129660篇，即约十三万篇的量级（own_calc：39+55+148+61+216+2170+5275+8654+10763+11716+5754+41550+42935+324=129660，据本段各年卷锚逐项加总）。以2012年的216篇与2020年的42935篇相比，八年放大近两百倍（own_calc：42935÷216，据P2023、P2015双锚相除）。</w:t>
      </w:r>
    </w:p>
    <w:p>
      <w:r>
        <w:rPr>
          <w:rFonts w:ascii="Calibri" w:hAnsi="Calibri" w:eastAsia="微软雅黑"/>
          <w:b w:val="0"/>
          <w:i w:val="0"/>
          <w:sz w:val="22"/>
        </w:rPr>
        <w:t>使用这条曲线必须先做两项口径声明。其一，各年份数字来自逐年分别收录的裁判文书卷，2021年仅324篇、显著低于2020年的42935篇（P2024、P2015），更可能反映收录完整性的差异而非案件量骤降；2018年5754篇低于2017年的11716篇（P2020、P2017），亦属同类波动。因此这条曲线只能用于判断纠纷体量的量级与长期上升趋势，不能当作逐年诉讼统计使用。其二，"EPC相关"是检索口径：卷内大量案件实为传统建设工程合同纠纷——例如按不动产纠纷确定管辖的施工合同裁定（P2015）、项目部的脚手架等设备租赁结算纠纷（P2021）、监理费追索（P2032）、装饰装修执行异议（P2024）。这提醒读者：工程总承包的纠纷土壤仍以传统施工争议为主体，总承包商接手的正是这片土壤，加上新模式带来的新争点。更稳妥的用法，是把曲线当作"体量级证据"：它足以证明工程总承包相关纠纷已是十万量级的社会现象（own_calc：十四卷合计129660篇），但不足以支持任何精确的年度对比结论。</w:t>
      </w:r>
    </w:p>
    <w:p>
      <w:r>
        <w:rPr>
          <w:rFonts w:ascii="Calibri" w:hAnsi="Calibri" w:eastAsia="微软雅黑"/>
          <w:b w:val="0"/>
          <w:i w:val="0"/>
          <w:sz w:val="22"/>
        </w:rPr>
        <w:t>从个案上升到体系，可以看到一条传导链：模式规则（怎么签约）—组织行为（怎么干活）—司法裁判（怎么分损失）；政策阶梯只规范第一环，后两环由企业与项目自己书写。卷内个案恰好提供了三类与设计院直接相关的争点样本。其一，边设计边施工的结算风险：在（2016）豫0327民初1133号案件中，发包方未提供设计图纸，全部施工内容采取承包方边设计、边施工、完工一处验收一处的方式进行，最终双方对多项工程造价各执一词诉至法院（P2018）——设计与施工界面未在合同中锁定，是纠纷的直接源头。其二，分包红线：在河南新乡中院审理的一起施工合同纠纷中，总包合同第三部分明确约定"本工程不允许分包"，承包方工作人员仍将车间铝合金窗工程交由个人施工，引发责任承担争议（P2019）。其三，费用细节争议：在（2017）浙民申3281号案件中，双方对税金是否计入应付工程款产生分歧，法院以当事人未提供税务发票等证据证明税金损失确已产生为由，未支持该部分主张（P2017）。这三类争端没有一件是工程总承包专属，但总承包合同把设计、分包、税务界面全部收进一份合同，任何一类传统争点都可能在新模式下被放大。</w:t>
      </w:r>
    </w:p>
    <w:p>
      <w:r>
        <w:rPr>
          <w:rFonts w:ascii="Calibri" w:hAnsi="Calibri" w:eastAsia="微软雅黑"/>
          <w:b w:val="0"/>
          <w:i w:val="0"/>
          <w:sz w:val="22"/>
        </w:rPr>
        <w:t>比体量更有信息量的，是高层级案例揭示的规则细节。石化工程领域的深度复盘文献梳理了三则最高法层级案例与两则规则事件：〔(2016)最高法民终695号〕涉及合同分拆模式下的履约抗辩（先履行抗辩权）；〔(2016)最高法民再53号〕确认分包合同同步解除机制；〔(2017)川民终72号〕暴露境外保函止付风险；《法工委函〔2017〕2号》对行政审计强行介入结算开展清理审查；"重庆勇创案"完成计价标准纠偏（P2030）。这五条线索对应的正是设计院做EPC最容易踩的五类坑：合同拆分后的履约衔接与抗辩、总包合同解除时分包合同的联动退出、跨境项目金融工具的止付风险、行政审计结论与合同结算的关系、以及计价标准选择错误的事后纠偏成本。它们应当被固化为企业合同评审清单的固定条目。</w:t>
      </w:r>
    </w:p>
    <w:p>
      <w:r>
        <w:rPr>
          <w:rFonts w:ascii="Calibri" w:hAnsi="Calibri" w:eastAsia="微软雅黑"/>
          <w:b w:val="0"/>
          <w:i w:val="0"/>
          <w:sz w:val="22"/>
        </w:rPr>
        <w:t>规则阶梯的底座，还有一条用事故画出的红线。江西丰城电厂三期EPC项目"11·24"特大事故的长篇复盘文献，其目录结构本身就是一份制度诊断书：全书第三部分"模式的困局"直指中国EPC工程总承包的基因缺陷与现实扭曲，下设设计与施工的分离与冲突、组织行为的系统性失效、速度与安全的辩证关系等专章；第五部分"制度的失灵"将问题概括为从监管真空到责任碎片化；后续章节分别讨论技术的陷阱、伦理的塌陷，直至提出系统免疫工程的解决方案框架（P2029）。需要如实说明：该事故的伤亡数字与经过细节未收录于本章弹药库，此处不作展开；但其目录层面已经确认的制度性教训——责任碎片化与监管真空（P2029）——对设计院是直接警示：总承包模式放大了承包商的责任半径，若组织整合与安全管理没有同步升级，模式的放大器效应会同样作用于事故风险。以联合体起步的设计院尤其应当自问：联合体协议里的责任划分，经不经得起一次重大事故级别的追责检验。责任碎片化在联合体场景下的形态尤其值得警惕："设计归设计院、施工归施工单位"的分工在日常履约中清晰可辨，在事故追责中却会被重新审视——总体责任归属恰恰是联合体协议里最容易被模糊处理的地带。</w:t>
      </w:r>
    </w:p>
    <w:p>
      <w:r>
        <w:rPr>
          <w:rFonts w:ascii="Calibri" w:hAnsi="Calibri" w:eastAsia="微软雅黑"/>
          <w:b w:val="0"/>
          <w:i w:val="0"/>
          <w:sz w:val="22"/>
        </w:rPr>
        <w:t>最后必须写清规则的边界，避免把政策读成保险单。其一，《管理办法》是部门管理规范性文件（P2004），规范对象是房屋建筑和市政基础设施项目（P2002、P2005）；交通、能源、水利等行业的总承包规则由相应行业主管部门另行制定（P2004），电力、化工等领域还有更早的行业惯例（P2010）。其二，管理办法可以进入裁判说理（P2004），但不改写合同法下的风险分配逻辑——签了总价合同，就按约定的调整情形执行（P2011）；政策鼓励不构成对亏损合同的豁免。其三，政策体系仍在演进：2020年7月住建部《推动智能建造与建筑工业化协同发展的指导意见》提出加快培育具有智能建造系统解决方案能力的工程总承包企业，统筹建造活动全产业链，逐步形成以工程总承包企业为核心、相关领先企业深度参与的开放型产业体系（P2012）；2020年12月住建部《建设工程企业资质管理制度改革方案》明确积极培育全过程工程咨询服务机构、大力推行工程总承包、引导企业依法自主分包（P2012）。更早一些的2020年08月28日，住建部、教育部、科技部、工业和信息化部、自然资源部、生态环境部、人民银行、市场监管总局、银保监会九部门联合印发《关于加快新型建筑工业化发展的若干意见》，提出大力推行工程总承包，新型建筑工业化项目积极推行工程总承包模式，促进设计和生产、施工深度融合；引导骨干企业提高项目管理、技术创新和资源配置能力，培育具有综合管理能力的工程总承包企业，落实工程总承包单位的主体责任，保障工程总承包单位的合法权益（P2006）。九部门联合的发文件例表明，总承包已从建设系统内部事务扩展为产业、教育、金融、监管多系统的公共议程；"落实主体责任"与"保障合法权益"并提，也提示规则的天平不会单方面偏向承包商。规则阶梯还在加高，设计院的合规体系必须留出动态升级的接口。</w:t>
      </w:r>
    </w:p>
    <w:p>
      <w:r>
        <w:rPr>
          <w:rFonts w:ascii="Calibri" w:hAnsi="Calibri" w:eastAsia="微软雅黑"/>
          <w:b w:val="0"/>
          <w:i w:val="0"/>
          <w:sz w:val="22"/>
        </w:rPr>
        <w:t>把边界条款再翻译成投标语言：看到一个总承包标的，设计院应先问三个问题——这个项目属于房建市政还是行业规则管辖（P2004、P2002）？项目所在地有没有本地实施办法与计价细则（P2000、P2013）？合同条件是总价还是当地变体（P2011、P2014）？三问有任何一个含糊，报价里就必须显性计提规则不确定性成本，而不是靠乐观摊薄。</w:t>
      </w:r>
    </w:p>
    <w:p>
      <w:r>
        <w:rPr>
          <w:rFonts w:ascii="Calibri" w:hAnsi="Calibri" w:eastAsia="微软雅黑"/>
          <w:b/>
          <w:i w:val="0"/>
          <w:sz w:val="22"/>
        </w:rPr>
        <w:t>所以呢。</w:t>
      </w:r>
      <w:r>
        <w:rPr>
          <w:rFonts w:ascii="Calibri" w:hAnsi="Calibri" w:eastAsia="微软雅黑"/>
          <w:b w:val="0"/>
          <w:i w:val="0"/>
          <w:sz w:val="22"/>
        </w:rPr>
        <w:t xml:space="preserve"> 这一节的决策含义有三条。第一，纠纷体量与政策推进同步放大（own_calc：2008—2021十四卷合计约129660篇），总承包业务必须配置法务与商务前置能力，把合同评审做在投标之前，而不是纠纷之后。第二，最高法案例与规则事件指向的五类风险点（P2030）应作为合同评审清单的固定条目，逐项核对联合体协议、分包背靠背条款、保函安排、审计条款与计价标准。第三，安全管理与组织整合是总承包资质之外的真实资格：丰城复盘揭示的责任碎片化（P2029）与《建筑法》第24条对肢解发包的禁止（P2004）在逻辑上同源——制度奖励真整合，惩罚假整合；设计院的转型方案若只谈业务增量、不谈责任整合，就没有读懂这套政策坐标系。</w:t>
      </w:r>
    </w:p>
    <w:p>
      <w:pPr>
        <w:pStyle w:val="Heading2"/>
      </w:pPr>
      <w:r>
        <w:t>2.6 坐标系的外延验证：核电EPC样本对四组硬规则的先行预演</w:t>
      </w:r>
    </w:p>
    <w:p>
      <w:pPr>
        <w:pStyle w:val="ListNumber"/>
      </w:pPr>
      <w:r>
        <w:rPr>
          <w:rFonts w:ascii="Calibri" w:hAnsi="Calibri" w:eastAsia="微软雅黑"/>
          <w:b w:val="0"/>
          <w:i w:val="0"/>
          <w:sz w:val="22"/>
        </w:rPr>
        <w:t>5节写清规则边界时留下了一个尾巴：《管理办法》只规范房建市政项目，交通、能源、水利等行业的总承包规则由相应行业主管部门另行制定（P2004），而电力、化工领域的总承包应用比房建市政更早、更成熟（P2010）。这个尾巴对设计院是一份免费教材——能源行业走在这条规则阶梯更靠前的位置，房建市政设计院今天在2.3节面对的四组硬规则，能源行业的工程企业早已用更高强度的版本预演过答案，连犯过的错也已沉淀为行业共识（如2.3.4所引电力、化工领域沿袭施工惯例误调设计变更的教训，P2010）。本节取一个企业样本做跨行业对照：中国核电工程有限公司（下称中核工程）。选它的理由与读者直接相关——研究文献对其路径的概括，正是"从传统设计院向全球领先核工程综合服务商的战略跨越"（P2033），也就是说，这个样本本身就是一家设计院沿政策坐标系走完前几级台阶后的终态照片；其战略坐标的表述也由"技术支撑者"跃迁为"核电建设全生命周期价值创造者"（P2027、P2033）。行业市场层的成熟度信号同样存在：电力建设行业已有以上市公司身份持续披露信息的市场主体——中国电力建设股份有限公司（证券代码601669）按期披露2026年半年度报告（P2026）——当一条产业线能供养出进入资本市场的工程主体时，它的组织方式已经不是试验田，而是成熟产业。</w:t>
      </w:r>
    </w:p>
    <w:p>
      <w:r>
        <w:rPr>
          <w:rFonts w:ascii="Calibri" w:hAnsi="Calibri" w:eastAsia="微软雅黑"/>
          <w:b w:val="0"/>
          <w:i w:val="0"/>
          <w:sz w:val="22"/>
        </w:rPr>
        <w:t>先看这个样本面对的考题强度。核电项目单台机组投资通常超过200亿元，建设周期通常5-7年（P2033）；研究者据此指出，这类长周期项目必须面对跨越周期的利率波动、原材料价格涨跌与政策环境变化，核电企业的核心竞争力正在从单纯的技术研发转向复杂的金融统筹与全生命周期风险管控（P2033）。把这两个数字放回2.3.3的价格规则框架（第十六条，P2011）里读：合同金额与周期放大两个数量级之后，价格形式的选择首先是风险分配的选择——总价合同的调价情形封闭性，不再是可以从容谈判的细节条款，而是横跨利率周期与材料价格波动的生存线。核电样本对2.3.2的回应同样直白：随着建设从三代技术走向批量化、模块化，传统的设计、采购、施工分段管理模式已暴露出严重的接口失配风险，EPC总承包模式的引入"不仅是管理手段的升级，更是组织形态的进化"（P2033）。这正是发包端前置条件（建设内容明确、技术方案成熟，P2005）在超高复杂度项目上的镜像：项目越复杂，发包前置条件越难满足，越需要一体化组织来消化接口——设计院若只在"条件成熟"的舒适区里投标，等于把高复杂度市场主动让给已进化到位的行业先行者。</w:t>
      </w:r>
    </w:p>
    <w:p>
      <w:r>
        <w:rPr>
          <w:rFonts w:ascii="Calibri" w:hAnsi="Calibri" w:eastAsia="微软雅黑"/>
          <w:b w:val="0"/>
          <w:i w:val="0"/>
          <w:sz w:val="22"/>
        </w:rPr>
        <w:t>再看组织与采购两道考题的预演。2.3.1要求总承包单位设立项目管理机构、统筹设计采购施工三线，项目经理能力覆盖技术、管理、法规、标准（P2006）；中核工程的对应答案是跨项目层面的一体化——构建高效的组织管控机制和跨项目的多维度协同体系，实现从单一项目管理向多项目协同管控的跨越，破解核电工程接口复杂、风险高企、数量庞大的难题（P2027），并把管控框架固化为"六大控制七个零"的高质量精细化体系（P2033）。对设计院最陌生的采购线，核电样本给出了组织化答案：核电设备采购具有"三高一长"特征，中核工程以"设计-采购协同（DPI）+长周期设备管控+国产化供应链+核级质量保证"四位一体的体系应对（P2027）；多项目批量化采购的收益有实测记录——2023年在二级集采项目中节资率达10%（P2027）。这组事实对2.3.1的能力清单是有力补充：设计院补采购能力，抓手不是把采购员凑齐，而是把采购组织化——跨项目集采、长周期设备专项管控、以设计数据驱动的采购协同（DPI）。财务侧的工具也在同步进化：区块链技术被用于保障分包商合同履行的透明性，显著降低资金占用成本（P2034）——这提示设计院，总包商的资金链管理同样有行业模板可抄。</w:t>
      </w:r>
    </w:p>
    <w:p>
      <w:r>
        <w:rPr>
          <w:rFonts w:ascii="Calibri" w:hAnsi="Calibri" w:eastAsia="微软雅黑"/>
          <w:b w:val="0"/>
          <w:i w:val="0"/>
          <w:sz w:val="22"/>
        </w:rPr>
        <w:t>风险考题的预演最值得细读，因为它直接衔接2.3.4的设计变更与基础资料条款（P2010）。核电的解药是把风险防线前移到设计数据源头：设计模式从以文档为中心（Document-centric）转向数字化、对象化（Object-oriented）（P2034），设计主导被明确为核心——统筹采购、施工、财务与风险管理，实现从文档驱动向对象驱动的质变（P2027）；依托Engineering Base软件构建"项目号-对象分类单元-机组号-设备单元-系统号"五层级架构，确保大宗材料数据在全生命周期内的唯一性与可追溯性（P2034、P2033）；结构化设计自动生成清单，统计效率提升80%以上（P2034）。供应链侧则出现"设计—制造—监造—协同平台"四级深度融合与九大场景的智能制造实践（P2034），风险治理侧有P-D-Q-I四维度风险评价模型与数字孪生工具，并延伸到ITER等国际项目的工时管理经验（P2034）。把这组事实对回2.3.2的BIM条款（"率先在规划、设计、施工等阶段全过程应用"，P2005）：政策要的是全生命周期数据链，行业头部已把这条数据链做成采购询价、制造监造、风险量化的生产工具——设计院按"出图工具升级"给BIM立项的思路，在这里被明确证伪；"一软、一网、一硬、一平台"的智能工程生态（P2033）才是正确的立项颗粒度。</w:t>
      </w:r>
    </w:p>
    <w:p>
      <w:r>
        <w:rPr>
          <w:rFonts w:ascii="Calibri" w:hAnsi="Calibri" w:eastAsia="微软雅黑"/>
          <w:b w:val="0"/>
          <w:i w:val="0"/>
          <w:sz w:val="22"/>
        </w:rPr>
        <w:t>把上述对照压成一张表，供合同评审与转型方案写作时直接引用：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2.3的四组考题</w:t>
            </w:r>
          </w:p>
        </w:tc>
        <w:tc>
          <w:tcPr>
            <w:tcW w:type="dxa" w:w="2075"/>
            <w:shd w:fill="1F3A5F"/>
          </w:tcPr>
          <w:p>
            <w:r>
              <w:rPr>
                <w:color w:val="FFFFFF"/>
              </w:rPr>
            </w:r>
            <w:r>
              <w:rPr>
                <w:rFonts w:ascii="Calibri" w:hAnsi="Calibri" w:eastAsia="微软雅黑"/>
                <w:b/>
                <w:i w:val="0"/>
                <w:color w:val="FFFFFF"/>
                <w:sz w:val="18"/>
              </w:rPr>
              <w:t>房建市政规则要求</w:t>
            </w:r>
          </w:p>
        </w:tc>
        <w:tc>
          <w:tcPr>
            <w:tcW w:type="dxa" w:w="2075"/>
            <w:shd w:fill="1F3A5F"/>
          </w:tcPr>
          <w:p>
            <w:r>
              <w:rPr>
                <w:color w:val="FFFFFF"/>
              </w:rPr>
            </w:r>
            <w:r>
              <w:rPr>
                <w:rFonts w:ascii="Calibri" w:hAnsi="Calibri" w:eastAsia="微软雅黑"/>
                <w:b/>
                <w:i w:val="0"/>
                <w:color w:val="FFFFFF"/>
                <w:sz w:val="18"/>
              </w:rPr>
              <w:t>核电样本的先行预演</w:t>
            </w:r>
          </w:p>
        </w:tc>
        <w:tc>
          <w:tcPr>
            <w:tcW w:type="dxa" w:w="2075"/>
            <w:shd w:fill="1F3A5F"/>
          </w:tcPr>
          <w:p>
            <w:r>
              <w:rPr>
                <w:color w:val="FFFFFF"/>
              </w:rPr>
            </w:r>
            <w:r>
              <w:rPr>
                <w:rFonts w:ascii="Calibri" w:hAnsi="Calibri" w:eastAsia="微软雅黑"/>
                <w:b/>
                <w:i w:val="0"/>
                <w:color w:val="FFFFFF"/>
                <w:sz w:val="18"/>
              </w:rPr>
              <w:t>对设计院的可迁移动作</w:t>
            </w:r>
          </w:p>
        </w:tc>
      </w:tr>
      <w:tr>
        <w:tc>
          <w:tcPr>
            <w:tcW w:type="dxa" w:w="2075"/>
          </w:tcPr>
          <w:p>
            <w:r/>
            <w:r>
              <w:rPr>
                <w:rFonts w:ascii="Calibri" w:hAnsi="Calibri" w:eastAsia="微软雅黑"/>
                <w:b w:val="0"/>
                <w:i w:val="0"/>
                <w:sz w:val="18"/>
              </w:rPr>
              <w:t>定义与组织</w:t>
            </w:r>
          </w:p>
        </w:tc>
        <w:tc>
          <w:tcPr>
            <w:tcW w:type="dxa" w:w="2075"/>
          </w:tcPr>
          <w:p>
            <w:r/>
            <w:r>
              <w:rPr>
                <w:rFonts w:ascii="Calibri" w:hAnsi="Calibri" w:eastAsia="微软雅黑"/>
                <w:b w:val="0"/>
                <w:i w:val="0"/>
                <w:sz w:val="18"/>
              </w:rPr>
              <w:t>设项目管理机构统筹三线，项目经理能力四合一（P2006）</w:t>
            </w:r>
          </w:p>
        </w:tc>
        <w:tc>
          <w:tcPr>
            <w:tcW w:type="dxa" w:w="2075"/>
          </w:tcPr>
          <w:p>
            <w:r/>
            <w:r>
              <w:rPr>
                <w:rFonts w:ascii="Calibri" w:hAnsi="Calibri" w:eastAsia="微软雅黑"/>
                <w:b w:val="0"/>
                <w:i w:val="0"/>
                <w:sz w:val="18"/>
              </w:rPr>
              <w:t>单项目管理升级为多项目协同管控，"六大控制七个零"体系化（P2027、P2033）</w:t>
            </w:r>
          </w:p>
        </w:tc>
        <w:tc>
          <w:tcPr>
            <w:tcW w:type="dxa" w:w="2075"/>
          </w:tcPr>
          <w:p>
            <w:r/>
            <w:r>
              <w:rPr>
                <w:rFonts w:ascii="Calibri" w:hAnsi="Calibri" w:eastAsia="微软雅黑"/>
                <w:b w:val="0"/>
                <w:i w:val="0"/>
                <w:sz w:val="18"/>
              </w:rPr>
              <w:t>项目管理机构按"单项目责任主体+跨项目共享职能"双层设计，管控目标清单化、可计数</w:t>
            </w:r>
          </w:p>
        </w:tc>
      </w:tr>
      <w:tr>
        <w:tc>
          <w:tcPr>
            <w:tcW w:type="dxa" w:w="2075"/>
          </w:tcPr>
          <w:p>
            <w:r/>
            <w:r>
              <w:rPr>
                <w:rFonts w:ascii="Calibri" w:hAnsi="Calibri" w:eastAsia="微软雅黑"/>
                <w:b w:val="0"/>
                <w:i w:val="0"/>
                <w:sz w:val="18"/>
              </w:rPr>
              <w:t>发包与定位</w:t>
            </w:r>
          </w:p>
        </w:tc>
        <w:tc>
          <w:tcPr>
            <w:tcW w:type="dxa" w:w="2075"/>
          </w:tcPr>
          <w:p>
            <w:r/>
            <w:r>
              <w:rPr>
                <w:rFonts w:ascii="Calibri" w:hAnsi="Calibri" w:eastAsia="微软雅黑"/>
                <w:b w:val="0"/>
                <w:i w:val="0"/>
                <w:sz w:val="18"/>
              </w:rPr>
              <w:t>政府投资、国资主导、装配式带头推行（P2005）</w:t>
            </w:r>
          </w:p>
        </w:tc>
        <w:tc>
          <w:tcPr>
            <w:tcW w:type="dxa" w:w="2075"/>
          </w:tcPr>
          <w:p>
            <w:r/>
            <w:r>
              <w:rPr>
                <w:rFonts w:ascii="Calibri" w:hAnsi="Calibri" w:eastAsia="微软雅黑"/>
                <w:b w:val="0"/>
                <w:i w:val="0"/>
                <w:sz w:val="18"/>
              </w:rPr>
              <w:t>接口失配风险倒逼复杂项目采用EPC，组织形态随之进化（P2033）</w:t>
            </w:r>
          </w:p>
        </w:tc>
        <w:tc>
          <w:tcPr>
            <w:tcW w:type="dxa" w:w="2075"/>
          </w:tcPr>
          <w:p>
            <w:r/>
            <w:r>
              <w:rPr>
                <w:rFonts w:ascii="Calibri" w:hAnsi="Calibri" w:eastAsia="微软雅黑"/>
                <w:b w:val="0"/>
                <w:i w:val="0"/>
                <w:sz w:val="18"/>
              </w:rPr>
              <w:t>在高复杂度细分市场用设计深度换总包地位，不在低复杂度市场拼价格</w:t>
            </w:r>
          </w:p>
        </w:tc>
      </w:tr>
      <w:tr>
        <w:tc>
          <w:tcPr>
            <w:tcW w:type="dxa" w:w="2075"/>
          </w:tcPr>
          <w:p>
            <w:r/>
            <w:r>
              <w:rPr>
                <w:rFonts w:ascii="Calibri" w:hAnsi="Calibri" w:eastAsia="微软雅黑"/>
                <w:b w:val="0"/>
                <w:i w:val="0"/>
                <w:sz w:val="18"/>
              </w:rPr>
              <w:t>价格与周期</w:t>
            </w:r>
          </w:p>
        </w:tc>
        <w:tc>
          <w:tcPr>
            <w:tcW w:type="dxa" w:w="2075"/>
          </w:tcPr>
          <w:p>
            <w:r/>
            <w:r>
              <w:rPr>
                <w:rFonts w:ascii="Calibri" w:hAnsi="Calibri" w:eastAsia="微软雅黑"/>
                <w:b w:val="0"/>
                <w:i w:val="0"/>
                <w:sz w:val="18"/>
              </w:rPr>
              <w:t>总价导向、调价情形封闭（P2011）</w:t>
            </w:r>
          </w:p>
        </w:tc>
        <w:tc>
          <w:tcPr>
            <w:tcW w:type="dxa" w:w="2075"/>
          </w:tcPr>
          <w:p>
            <w:r/>
            <w:r>
              <w:rPr>
                <w:rFonts w:ascii="Calibri" w:hAnsi="Calibri" w:eastAsia="微软雅黑"/>
                <w:b w:val="0"/>
                <w:i w:val="0"/>
                <w:sz w:val="18"/>
              </w:rPr>
              <w:t>200亿元级投资、5-7年周期下以全生命周期风险管控为生存线（P2033）</w:t>
            </w:r>
          </w:p>
        </w:tc>
        <w:tc>
          <w:tcPr>
            <w:tcW w:type="dxa" w:w="2075"/>
          </w:tcPr>
          <w:p>
            <w:r/>
            <w:r>
              <w:rPr>
                <w:rFonts w:ascii="Calibri" w:hAnsi="Calibri" w:eastAsia="微软雅黑"/>
                <w:b w:val="0"/>
                <w:i w:val="0"/>
                <w:sz w:val="18"/>
              </w:rPr>
              <w:t>长周期报价模板内嵌利率与材料价格波动的合同化安排</w:t>
            </w:r>
          </w:p>
        </w:tc>
      </w:tr>
      <w:tr>
        <w:tc>
          <w:tcPr>
            <w:tcW w:type="dxa" w:w="2075"/>
          </w:tcPr>
          <w:p>
            <w:r/>
            <w:r>
              <w:rPr>
                <w:rFonts w:ascii="Calibri" w:hAnsi="Calibri" w:eastAsia="微软雅黑"/>
                <w:b w:val="0"/>
                <w:i w:val="0"/>
                <w:sz w:val="18"/>
              </w:rPr>
              <w:t>风险与数据</w:t>
            </w:r>
          </w:p>
        </w:tc>
        <w:tc>
          <w:tcPr>
            <w:tcW w:type="dxa" w:w="2075"/>
          </w:tcPr>
          <w:p>
            <w:r/>
            <w:r>
              <w:rPr>
                <w:rFonts w:ascii="Calibri" w:hAnsi="Calibri" w:eastAsia="微软雅黑"/>
                <w:b w:val="0"/>
                <w:i w:val="0"/>
                <w:sz w:val="18"/>
              </w:rPr>
              <w:t>设计变更、基础资料责任条款化（P2010）；全过程BIM（P2005）</w:t>
            </w:r>
          </w:p>
        </w:tc>
        <w:tc>
          <w:tcPr>
            <w:tcW w:type="dxa" w:w="2075"/>
          </w:tcPr>
          <w:p>
            <w:r/>
            <w:r>
              <w:rPr>
                <w:rFonts w:ascii="Calibri" w:hAnsi="Calibri" w:eastAsia="微软雅黑"/>
                <w:b w:val="0"/>
                <w:i w:val="0"/>
                <w:sz w:val="18"/>
              </w:rPr>
              <w:t>对象化设计、五层数据架构、四级协同制造，统计效率提升80%以上（P2034）</w:t>
            </w:r>
          </w:p>
        </w:tc>
        <w:tc>
          <w:tcPr>
            <w:tcW w:type="dxa" w:w="2075"/>
          </w:tcPr>
          <w:p>
            <w:r/>
            <w:r>
              <w:rPr>
                <w:rFonts w:ascii="Calibri" w:hAnsi="Calibri" w:eastAsia="微软雅黑"/>
                <w:b w:val="0"/>
                <w:i w:val="0"/>
                <w:sz w:val="18"/>
              </w:rPr>
              <w:t>把"设计数据唯一性与可追溯性"写进采购与分包合同的接口条款</w:t>
            </w:r>
          </w:p>
        </w:tc>
      </w:tr>
    </w:tbl>
    <w:p>
      <w:r>
        <w:rPr>
          <w:rFonts w:ascii="Calibri" w:hAnsi="Calibri" w:eastAsia="微软雅黑"/>
          <w:b w:val="0"/>
          <w:i w:val="0"/>
          <w:sz w:val="22"/>
        </w:rPr>
        <w:t>对照表之外，还需回答一个买方自然会问的问题：核电的经验凭什么能迁移到房建市政？三点回应。第一，可迁移性是样本自身的定位而非本书的强行类比——研究文献明确将中核工程的长期实践概括为"转化为可复制、可迁移的管理方法论，为高端装备制造业提供工业化与数字化深度融合的典型样板"（P2027）。第二，迁移的介质是管理范式而非工艺：核电与房建市政的工艺差距天壤，但两者在总承包合同下的管理问题同构——华龙一号示范工程复盘揭示的核心转变，是从传统线性施工向并行集成管理的范式转变（P2027），即把设计、采购、施工从先后串行改为并行协同；这与2.3.1"加强设计、采购与施工的协调"（P2006）是同一道题的两档难度，答案结构通用。第三，数据工具的输入输出恰是总承包合同的日常语言：打破"数据孤岛"、实现从工程量清单到实物资产的精准映射（P2033），三维设计"虚拟建造"与智慧工地数据"实时说话"（P2033），基于数字孪生的实践打通产业链上下游的数据链条（P2034）——清单、模型、进度、成本，正是房建市政总包商每天都在处理的科目。迁移也有边界要提前讲明：核级质量保证与核安全监管是核电特有的制度环境（四位一体体系中的核级质量保证，P2027；核安全作为国家战略红线，P2033），房建市政设计院照抄核电的体系文件没有意义；真正该抄的是两个动作——管控目标的计数化，与设计数据的唯一化。</w:t>
      </w:r>
    </w:p>
    <w:p>
      <w:r>
        <w:rPr>
          <w:rFonts w:ascii="Calibri" w:hAnsi="Calibri" w:eastAsia="微软雅黑"/>
          <w:b w:val="0"/>
          <w:i w:val="0"/>
          <w:sz w:val="22"/>
        </w:rPr>
        <w:t>买方动作清单——把样本翻译成本企业下一年度的可执行项。其一，规则尽调跨行业化：无论身处哪个行业，先把自己行业的"规则版管理办法"找齐建档——能源、交通、水利的行业规则与房建市政并行发展（P2004、P2010），跨行业承接项目前，行业规则尽调是不可省的前置审查项。其二，采购线按"组织化集采"立项：以跨项目集采与长周期设备管控为首批抓手（多项目集采节资率10%的实测，P2027），而不是按岗位编制立项。其三，数字化立项顺序倒过来：先定数据架构（对象化、唯一性、可追溯，P2034），再选工具软件，避免"先买软件后补制度"的常见浪费；BIM预算从出图工具科目挪到全生命周期数据链科目。其四，复杂度与模式适配性纳入立项评审：项目越复杂，总承包模式的组织收益越大，但安全与质量体系必须同步升格——核电把质量"零容忍"上升为政治任务（P2033），房建市政的对应红线就是丰城事故的制度教训（P2029），两者在逻辑上同源。其五，管控行动命名化："六大控制七个零"（P2033）式的命名让管控承诺可考核、可审计，设计院的转型方案应当同样给安全、质量、进度、造价的每项控制以可计数的表达——凡是不能计数的控制承诺，都不足以支撑总承包合同下的全面负责。</w:t>
      </w:r>
    </w:p>
    <w:p>
      <w:r>
        <w:rPr>
          <w:rFonts w:ascii="Calibri" w:hAnsi="Calibri" w:eastAsia="微软雅黑"/>
          <w:b/>
          <w:i w:val="0"/>
          <w:sz w:val="22"/>
        </w:rPr>
        <w:t>所以呢。</w:t>
      </w:r>
      <w:r>
        <w:rPr>
          <w:rFonts w:ascii="Calibri" w:hAnsi="Calibri" w:eastAsia="微软雅黑"/>
          <w:b w:val="0"/>
          <w:i w:val="0"/>
          <w:sz w:val="22"/>
        </w:rPr>
        <w:t xml:space="preserve"> 政策坐标系不是房建市政的专属地图，而是全行业通用的能力阶梯，能源行业只是先走了几级。中核工程样本证明，走到阶梯上部的企业呈现出共同形态——设计主导、数据驱动、多项目协同（P2027、P2034）——这与国家政策对总承包企业的期待（培育具有综合管理能力的工程总承包企业，P2006）完全同构。设计院读政策的正确姿势是两只眼睛：一只看规则文本（本章2.1至2.5节），一只看行业先行者的现状（本节）——前者告诉你必须上台阶，后者告诉你台阶上端是什么样子、需要投入什么。两眼合起来看，转型方案的投资估算与节奏安排才不会系统性失真；只看前者，容易低估台阶高度；只看后者，容易照抄别人的终态而跳过自己的台阶。</w:t>
      </w:r>
    </w:p>
    <w:p>
      <w:pPr>
        <w:pStyle w:val="Heading2"/>
      </w:pPr>
      <w:r>
        <w:t>本章小结与盲区</w:t>
      </w:r>
    </w:p>
    <w:p>
      <w:r>
        <w:rPr>
          <w:rFonts w:ascii="Calibri" w:hAnsi="Calibri" w:eastAsia="微软雅黑"/>
          <w:b w:val="0"/>
          <w:i w:val="0"/>
          <w:sz w:val="22"/>
        </w:rPr>
        <w:t>本章把工程总承包的政策坐标系拆成五层。第一层是起点信号：2016年93号文给出试点、联合体投标、资质准入与总包商责任等操作层通道（P2012）。第二层是战略与配套：2017年国办发19号文确认建筑业组织方式落后、以推行总承包和培育全过程咨询为解法，同月国标《建设项目工程总承包管理规范》落地技术规则（P2012）。第三层是主梁：2019年12月23日两部委联合发布、2020年3月1日施行的《管理办法》（建市规〔2019〕12号），历经三年成文，属规范性文件中的最高专门层级，可进入裁判说理（P2004、P2001、P2006、P2002）。第四层是地方梯度：2017—2021五个年度省级政策合计112份（own_calc：41+22+13+18+18=112，据P2001、P2003），2022年6个省级地方继续出台针对性政策（P2000、P2001、P2003）。第五层是司法与事故底座：十四个年度裁判文书卷合计129660篇"EPC相关"案件（own_calc，据2.5节各年卷锚逐年加总），最高法案例五条风险线索与丰城事故的制度诊断共同划出红线（P2030、P2029）。规则阶梯的总走向可以概括为一句话：从鼓励进入，到定义责任，再到细化价格与风险——每上一级台阶，对承包商能力的要求就高一级。这个走向与设计院的能力节奏构成对应关系：入门期拼资质与联合体资源（P2012），成长期拼项目管理机构与项目经理（P2006），成熟期拼计价与合同风控（P2011、P2010）。政策不奖励跳级——每一级台阶的能力欠账，都会在上一级台阶的项目里连本带息补缴。</w:t>
      </w:r>
    </w:p>
    <w:p>
      <w:r>
        <w:rPr>
          <w:rFonts w:ascii="Calibri" w:hAnsi="Calibri" w:eastAsia="微软雅黑"/>
          <w:b w:val="0"/>
          <w:i w:val="0"/>
          <w:sz w:val="22"/>
        </w:rPr>
        <w:t>把五层台阶压缩成一张决策速查表：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台阶</w:t>
            </w:r>
          </w:p>
        </w:tc>
        <w:tc>
          <w:tcPr>
            <w:tcW w:type="dxa" w:w="1660"/>
            <w:shd w:fill="1F3A5F"/>
          </w:tcPr>
          <w:p>
            <w:r>
              <w:rPr>
                <w:color w:val="FFFFFF"/>
              </w:rPr>
            </w:r>
            <w:r>
              <w:rPr>
                <w:rFonts w:ascii="Calibri" w:hAnsi="Calibri" w:eastAsia="微软雅黑"/>
                <w:b/>
                <w:i w:val="0"/>
                <w:color w:val="FFFFFF"/>
                <w:sz w:val="18"/>
              </w:rPr>
              <w:t>规则文件</w:t>
            </w:r>
          </w:p>
        </w:tc>
        <w:tc>
          <w:tcPr>
            <w:tcW w:type="dxa" w:w="1660"/>
            <w:shd w:fill="1F3A5F"/>
          </w:tcPr>
          <w:p>
            <w:r>
              <w:rPr>
                <w:color w:val="FFFFFF"/>
              </w:rPr>
            </w:r>
            <w:r>
              <w:rPr>
                <w:rFonts w:ascii="Calibri" w:hAnsi="Calibri" w:eastAsia="微软雅黑"/>
                <w:b/>
                <w:i w:val="0"/>
                <w:color w:val="FFFFFF"/>
                <w:sz w:val="18"/>
              </w:rPr>
              <w:t>关键时点</w:t>
            </w:r>
          </w:p>
        </w:tc>
        <w:tc>
          <w:tcPr>
            <w:tcW w:type="dxa" w:w="1660"/>
            <w:shd w:fill="1F3A5F"/>
          </w:tcPr>
          <w:p>
            <w:r>
              <w:rPr>
                <w:color w:val="FFFFFF"/>
              </w:rPr>
            </w:r>
            <w:r>
              <w:rPr>
                <w:rFonts w:ascii="Calibri" w:hAnsi="Calibri" w:eastAsia="微软雅黑"/>
                <w:b/>
                <w:i w:val="0"/>
                <w:color w:val="FFFFFF"/>
                <w:sz w:val="18"/>
              </w:rPr>
              <w:t>对设计院的核心含义</w:t>
            </w:r>
          </w:p>
        </w:tc>
        <w:tc>
          <w:tcPr>
            <w:tcW w:type="dxa" w:w="1660"/>
            <w:shd w:fill="1F3A5F"/>
          </w:tcPr>
          <w:p>
            <w:r>
              <w:rPr>
                <w:color w:val="FFFFFF"/>
              </w:rPr>
            </w:r>
            <w:r>
              <w:rPr>
                <w:rFonts w:ascii="Calibri" w:hAnsi="Calibri" w:eastAsia="微软雅黑"/>
                <w:b/>
                <w:i w:val="0"/>
                <w:color w:val="FFFFFF"/>
                <w:sz w:val="18"/>
              </w:rPr>
              <w:t>依据锚</w:t>
            </w:r>
          </w:p>
        </w:tc>
      </w:tr>
      <w:tr>
        <w:tc>
          <w:tcPr>
            <w:tcW w:type="dxa" w:w="1660"/>
          </w:tcPr>
          <w:p>
            <w:r/>
            <w:r>
              <w:rPr>
                <w:rFonts w:ascii="Calibri" w:hAnsi="Calibri" w:eastAsia="微软雅黑"/>
                <w:b w:val="0"/>
                <w:i w:val="0"/>
                <w:sz w:val="18"/>
              </w:rPr>
              <w:t>一</w:t>
            </w:r>
          </w:p>
        </w:tc>
        <w:tc>
          <w:tcPr>
            <w:tcW w:type="dxa" w:w="1660"/>
          </w:tcPr>
          <w:p>
            <w:r/>
            <w:r>
              <w:rPr>
                <w:rFonts w:ascii="Calibri" w:hAnsi="Calibri" w:eastAsia="微软雅黑"/>
                <w:b w:val="0"/>
                <w:i w:val="0"/>
                <w:sz w:val="18"/>
              </w:rPr>
              <w:t>住建部93号文</w:t>
            </w:r>
          </w:p>
        </w:tc>
        <w:tc>
          <w:tcPr>
            <w:tcW w:type="dxa" w:w="1660"/>
          </w:tcPr>
          <w:p>
            <w:r/>
            <w:r>
              <w:rPr>
                <w:rFonts w:ascii="Calibri" w:hAnsi="Calibri" w:eastAsia="微软雅黑"/>
                <w:b w:val="0"/>
                <w:i w:val="0"/>
                <w:sz w:val="18"/>
              </w:rPr>
              <w:t>2016年5月</w:t>
            </w:r>
          </w:p>
        </w:tc>
        <w:tc>
          <w:tcPr>
            <w:tcW w:type="dxa" w:w="1660"/>
          </w:tcPr>
          <w:p>
            <w:r/>
            <w:r>
              <w:rPr>
                <w:rFonts w:ascii="Calibri" w:hAnsi="Calibri" w:eastAsia="微软雅黑"/>
                <w:b w:val="0"/>
                <w:i w:val="0"/>
                <w:sz w:val="18"/>
              </w:rPr>
              <w:t>试点、联合体投标、资质准入、总包商责任</w:t>
            </w:r>
          </w:p>
        </w:tc>
        <w:tc>
          <w:tcPr>
            <w:tcW w:type="dxa" w:w="1660"/>
          </w:tcPr>
          <w:p>
            <w:r/>
            <w:r>
              <w:rPr>
                <w:rFonts w:ascii="Calibri" w:hAnsi="Calibri" w:eastAsia="微软雅黑"/>
                <w:b w:val="0"/>
                <w:i w:val="0"/>
                <w:sz w:val="18"/>
              </w:rPr>
              <w:t>（P2012）</w:t>
            </w:r>
          </w:p>
        </w:tc>
      </w:tr>
      <w:tr>
        <w:tc>
          <w:tcPr>
            <w:tcW w:type="dxa" w:w="1660"/>
          </w:tcPr>
          <w:p>
            <w:r/>
            <w:r>
              <w:rPr>
                <w:rFonts w:ascii="Calibri" w:hAnsi="Calibri" w:eastAsia="微软雅黑"/>
                <w:b w:val="0"/>
                <w:i w:val="0"/>
                <w:sz w:val="18"/>
              </w:rPr>
              <w:t>二</w:t>
            </w:r>
          </w:p>
        </w:tc>
        <w:tc>
          <w:tcPr>
            <w:tcW w:type="dxa" w:w="1660"/>
          </w:tcPr>
          <w:p>
            <w:r/>
            <w:r>
              <w:rPr>
                <w:rFonts w:ascii="Calibri" w:hAnsi="Calibri" w:eastAsia="微软雅黑"/>
                <w:b w:val="0"/>
                <w:i w:val="0"/>
                <w:sz w:val="18"/>
              </w:rPr>
              <w:t>国办发19号文</w:t>
            </w:r>
          </w:p>
        </w:tc>
        <w:tc>
          <w:tcPr>
            <w:tcW w:type="dxa" w:w="1660"/>
          </w:tcPr>
          <w:p>
            <w:r/>
            <w:r>
              <w:rPr>
                <w:rFonts w:ascii="Calibri" w:hAnsi="Calibri" w:eastAsia="微软雅黑"/>
                <w:b w:val="0"/>
                <w:i w:val="0"/>
                <w:sz w:val="18"/>
              </w:rPr>
              <w:t>2017年2月</w:t>
            </w:r>
          </w:p>
        </w:tc>
        <w:tc>
          <w:tcPr>
            <w:tcW w:type="dxa" w:w="1660"/>
          </w:tcPr>
          <w:p>
            <w:r/>
            <w:r>
              <w:rPr>
                <w:rFonts w:ascii="Calibri" w:hAnsi="Calibri" w:eastAsia="微软雅黑"/>
                <w:b w:val="0"/>
                <w:i w:val="0"/>
                <w:sz w:val="18"/>
              </w:rPr>
              <w:t>战略背书；诊断"组织方式落后"；总包加全过程咨询双轮</w:t>
            </w:r>
          </w:p>
        </w:tc>
        <w:tc>
          <w:tcPr>
            <w:tcW w:type="dxa" w:w="1660"/>
          </w:tcPr>
          <w:p>
            <w:r/>
            <w:r>
              <w:rPr>
                <w:rFonts w:ascii="Calibri" w:hAnsi="Calibri" w:eastAsia="微软雅黑"/>
                <w:b w:val="0"/>
                <w:i w:val="0"/>
                <w:sz w:val="18"/>
              </w:rPr>
              <w:t>（P2012）</w:t>
            </w:r>
          </w:p>
        </w:tc>
      </w:tr>
      <w:tr>
        <w:tc>
          <w:tcPr>
            <w:tcW w:type="dxa" w:w="1660"/>
          </w:tcPr>
          <w:p>
            <w:r/>
            <w:r>
              <w:rPr>
                <w:rFonts w:ascii="Calibri" w:hAnsi="Calibri" w:eastAsia="微软雅黑"/>
                <w:b w:val="0"/>
                <w:i w:val="0"/>
                <w:sz w:val="18"/>
              </w:rPr>
              <w:t>配套</w:t>
            </w:r>
          </w:p>
        </w:tc>
        <w:tc>
          <w:tcPr>
            <w:tcW w:type="dxa" w:w="1660"/>
          </w:tcPr>
          <w:p>
            <w:r/>
            <w:r>
              <w:rPr>
                <w:rFonts w:ascii="Calibri" w:hAnsi="Calibri" w:eastAsia="微软雅黑"/>
                <w:b w:val="0"/>
                <w:i w:val="0"/>
                <w:sz w:val="18"/>
              </w:rPr>
              <w:t>国标《建设项目工程总承包管理规范》</w:t>
            </w:r>
          </w:p>
        </w:tc>
        <w:tc>
          <w:tcPr>
            <w:tcW w:type="dxa" w:w="1660"/>
          </w:tcPr>
          <w:p>
            <w:r/>
            <w:r>
              <w:rPr>
                <w:rFonts w:ascii="Calibri" w:hAnsi="Calibri" w:eastAsia="微软雅黑"/>
                <w:b w:val="0"/>
                <w:i w:val="0"/>
                <w:sz w:val="18"/>
              </w:rPr>
              <w:t>2017年2月</w:t>
            </w:r>
          </w:p>
        </w:tc>
        <w:tc>
          <w:tcPr>
            <w:tcW w:type="dxa" w:w="1660"/>
          </w:tcPr>
          <w:p>
            <w:r/>
            <w:r>
              <w:rPr>
                <w:rFonts w:ascii="Calibri" w:hAnsi="Calibri" w:eastAsia="微软雅黑"/>
                <w:b w:val="0"/>
                <w:i w:val="0"/>
                <w:sz w:val="18"/>
              </w:rPr>
              <w:t>承发包、合同结算、责任义务标准化</w:t>
            </w:r>
          </w:p>
        </w:tc>
        <w:tc>
          <w:tcPr>
            <w:tcW w:type="dxa" w:w="1660"/>
          </w:tcPr>
          <w:p>
            <w:r/>
            <w:r>
              <w:rPr>
                <w:rFonts w:ascii="Calibri" w:hAnsi="Calibri" w:eastAsia="微软雅黑"/>
                <w:b w:val="0"/>
                <w:i w:val="0"/>
                <w:sz w:val="18"/>
              </w:rPr>
              <w:t>（P2012）</w:t>
            </w:r>
          </w:p>
        </w:tc>
      </w:tr>
      <w:tr>
        <w:tc>
          <w:tcPr>
            <w:tcW w:type="dxa" w:w="1660"/>
          </w:tcPr>
          <w:p>
            <w:r/>
            <w:r>
              <w:rPr>
                <w:rFonts w:ascii="Calibri" w:hAnsi="Calibri" w:eastAsia="微软雅黑"/>
                <w:b w:val="0"/>
                <w:i w:val="0"/>
                <w:sz w:val="18"/>
              </w:rPr>
              <w:t>主梁</w:t>
            </w:r>
          </w:p>
        </w:tc>
        <w:tc>
          <w:tcPr>
            <w:tcW w:type="dxa" w:w="1660"/>
          </w:tcPr>
          <w:p>
            <w:r/>
            <w:r>
              <w:rPr>
                <w:rFonts w:ascii="Calibri" w:hAnsi="Calibri" w:eastAsia="微软雅黑"/>
                <w:b w:val="0"/>
                <w:i w:val="0"/>
                <w:sz w:val="18"/>
              </w:rPr>
              <w:t>《管理办法》（建市规〔2019〕12号）</w:t>
            </w:r>
          </w:p>
        </w:tc>
        <w:tc>
          <w:tcPr>
            <w:tcW w:type="dxa" w:w="1660"/>
          </w:tcPr>
          <w:p>
            <w:r/>
            <w:r>
              <w:rPr>
                <w:rFonts w:ascii="Calibri" w:hAnsi="Calibri" w:eastAsia="微软雅黑"/>
                <w:b w:val="0"/>
                <w:i w:val="0"/>
                <w:sz w:val="18"/>
              </w:rPr>
              <w:t>2019年12月23日发布、2020年3月1日施行</w:t>
            </w:r>
          </w:p>
        </w:tc>
        <w:tc>
          <w:tcPr>
            <w:tcW w:type="dxa" w:w="1660"/>
          </w:tcPr>
          <w:p>
            <w:r/>
            <w:r>
              <w:rPr>
                <w:rFonts w:ascii="Calibri" w:hAnsi="Calibri" w:eastAsia="微软雅黑"/>
                <w:b w:val="0"/>
                <w:i w:val="0"/>
                <w:sz w:val="18"/>
              </w:rPr>
              <w:t>最高专门层级规则；可进裁判说理</w:t>
            </w:r>
          </w:p>
        </w:tc>
        <w:tc>
          <w:tcPr>
            <w:tcW w:type="dxa" w:w="1660"/>
          </w:tcPr>
          <w:p>
            <w:r/>
            <w:r>
              <w:rPr>
                <w:rFonts w:ascii="Calibri" w:hAnsi="Calibri" w:eastAsia="微软雅黑"/>
                <w:b w:val="0"/>
                <w:i w:val="0"/>
                <w:sz w:val="18"/>
              </w:rPr>
              <w:t>（P2004、P2001）</w:t>
            </w:r>
          </w:p>
        </w:tc>
      </w:tr>
      <w:tr>
        <w:tc>
          <w:tcPr>
            <w:tcW w:type="dxa" w:w="1660"/>
          </w:tcPr>
          <w:p>
            <w:r/>
            <w:r>
              <w:rPr>
                <w:rFonts w:ascii="Calibri" w:hAnsi="Calibri" w:eastAsia="微软雅黑"/>
                <w:b w:val="0"/>
                <w:i w:val="0"/>
                <w:sz w:val="18"/>
              </w:rPr>
              <w:t>演进</w:t>
            </w:r>
          </w:p>
        </w:tc>
        <w:tc>
          <w:tcPr>
            <w:tcW w:type="dxa" w:w="1660"/>
          </w:tcPr>
          <w:p>
            <w:r/>
            <w:r>
              <w:rPr>
                <w:rFonts w:ascii="Calibri" w:hAnsi="Calibri" w:eastAsia="微软雅黑"/>
                <w:b w:val="0"/>
                <w:i w:val="0"/>
                <w:sz w:val="18"/>
              </w:rPr>
              <w:t>智能建造指导意见；新型建筑工业化意见；资质改革方案</w:t>
            </w:r>
          </w:p>
        </w:tc>
        <w:tc>
          <w:tcPr>
            <w:tcW w:type="dxa" w:w="1660"/>
          </w:tcPr>
          <w:p>
            <w:r/>
            <w:r>
              <w:rPr>
                <w:rFonts w:ascii="Calibri" w:hAnsi="Calibri" w:eastAsia="微软雅黑"/>
                <w:b w:val="0"/>
                <w:i w:val="0"/>
                <w:sz w:val="18"/>
              </w:rPr>
              <w:t>2020年</w:t>
            </w:r>
          </w:p>
        </w:tc>
        <w:tc>
          <w:tcPr>
            <w:tcW w:type="dxa" w:w="1660"/>
          </w:tcPr>
          <w:p>
            <w:r/>
            <w:r>
              <w:rPr>
                <w:rFonts w:ascii="Calibri" w:hAnsi="Calibri" w:eastAsia="微软雅黑"/>
                <w:b w:val="0"/>
                <w:i w:val="0"/>
                <w:sz w:val="18"/>
              </w:rPr>
              <w:t>培育总承包企业；主体责任与合法权益并提</w:t>
            </w:r>
          </w:p>
        </w:tc>
        <w:tc>
          <w:tcPr>
            <w:tcW w:type="dxa" w:w="1660"/>
          </w:tcPr>
          <w:p>
            <w:r/>
            <w:r>
              <w:rPr>
                <w:rFonts w:ascii="Calibri" w:hAnsi="Calibri" w:eastAsia="微软雅黑"/>
                <w:b w:val="0"/>
                <w:i w:val="0"/>
                <w:sz w:val="18"/>
              </w:rPr>
              <w:t>（P2012、P2006）</w:t>
            </w:r>
          </w:p>
        </w:tc>
      </w:tr>
      <w:tr>
        <w:tc>
          <w:tcPr>
            <w:tcW w:type="dxa" w:w="1660"/>
          </w:tcPr>
          <w:p>
            <w:r/>
            <w:r>
              <w:rPr>
                <w:rFonts w:ascii="Calibri" w:hAnsi="Calibri" w:eastAsia="微软雅黑"/>
                <w:b w:val="0"/>
                <w:i w:val="0"/>
                <w:sz w:val="18"/>
              </w:rPr>
              <w:t>落地</w:t>
            </w:r>
          </w:p>
        </w:tc>
        <w:tc>
          <w:tcPr>
            <w:tcW w:type="dxa" w:w="1660"/>
          </w:tcPr>
          <w:p>
            <w:r/>
            <w:r>
              <w:rPr>
                <w:rFonts w:ascii="Calibri" w:hAnsi="Calibri" w:eastAsia="微软雅黑"/>
                <w:b w:val="0"/>
                <w:i w:val="0"/>
                <w:sz w:val="18"/>
              </w:rPr>
              <w:t>各省管理办法、实施意见、计价与评标规则</w:t>
            </w:r>
          </w:p>
        </w:tc>
        <w:tc>
          <w:tcPr>
            <w:tcW w:type="dxa" w:w="1660"/>
          </w:tcPr>
          <w:p>
            <w:r/>
            <w:r>
              <w:rPr>
                <w:rFonts w:ascii="Calibri" w:hAnsi="Calibri" w:eastAsia="微软雅黑"/>
                <w:b w:val="0"/>
                <w:i w:val="0"/>
                <w:sz w:val="18"/>
              </w:rPr>
              <w:t>2017—2022年</w:t>
            </w:r>
          </w:p>
        </w:tc>
        <w:tc>
          <w:tcPr>
            <w:tcW w:type="dxa" w:w="1660"/>
          </w:tcPr>
          <w:p>
            <w:r/>
            <w:r>
              <w:rPr>
                <w:rFonts w:ascii="Calibri" w:hAnsi="Calibri" w:eastAsia="微软雅黑"/>
                <w:b w:val="0"/>
                <w:i w:val="0"/>
                <w:sz w:val="18"/>
              </w:rPr>
              <w:t>省域差异、计价细则与窗口期</w:t>
            </w:r>
          </w:p>
        </w:tc>
        <w:tc>
          <w:tcPr>
            <w:tcW w:type="dxa" w:w="1660"/>
          </w:tcPr>
          <w:p>
            <w:r/>
            <w:r>
              <w:rPr>
                <w:rFonts w:ascii="Calibri" w:hAnsi="Calibri" w:eastAsia="微软雅黑"/>
                <w:b w:val="0"/>
                <w:i w:val="0"/>
                <w:sz w:val="18"/>
              </w:rPr>
              <w:t>（P2001、P2003、P2000、P2013）</w:t>
            </w:r>
          </w:p>
        </w:tc>
      </w:tr>
    </w:tbl>
    <w:p>
      <w:r>
        <w:rPr>
          <w:rFonts w:ascii="Calibri" w:hAnsi="Calibri" w:eastAsia="微软雅黑"/>
          <w:b w:val="0"/>
          <w:i w:val="0"/>
          <w:sz w:val="22"/>
        </w:rPr>
        <w:t>对设计院，这张坐标系的用法是定位而非膜拜。政策决定了哪些市场率先打开（政府投资、国资主导、装配式项目，P2005）、价格规则如何收敛（总价合同成为默认选项，P2011）、风险如何分配（设计变更不必然调价、基础资料责任迥异于施工总承包，P2010）。转型方案的每一项能力建设，都应能在本章的某一级台阶上找到对应规则；找不到对应规则的能力投入，需要重新论证其必要性。具体可以设三个检查点：投标前，核对项目所在省的最新计价与评标规则（P2001、P2003、P2000、P2013、P2014）；签约前，对照第十六条与示范文本核检调价条款的封闭性（P2011）；履约中，把设计变更与基础资料条款当作高风险科目按月复盘（P2010）。三个检查点贯穿经营流程，政策坐标系才真正从纸面进入决策。在此基础上可再补第四个参照系——行业先行者的终态样本（见2.6节的中核工程对照表，P2027、P2033、P2034、P2026）：用别人的现在校准自己的将来，转型方案的时间表与投资额才有实证锚点。</w:t>
      </w:r>
    </w:p>
    <w:p>
      <w:r>
        <w:rPr>
          <w:rFonts w:ascii="Calibri" w:hAnsi="Calibri" w:eastAsia="微软雅黑"/>
          <w:b/>
          <w:i w:val="0"/>
          <w:sz w:val="22"/>
        </w:rPr>
        <w:t>盲区（证据未覆盖处，如实声明）：</w:t>
      </w:r>
      <w:r>
        <w:rPr>
          <w:rFonts w:ascii="Calibri" w:hAnsi="Calibri" w:eastAsia="微软雅黑"/>
          <w:b w:val="0"/>
          <w:i w:val="0"/>
          <w:sz w:val="22"/>
        </w:rPr>
        <w:t xml:space="preserve"> 其一，国家版《管理办法》全文未收录于本章弹药库，可逐字核验的条文仅有第十六条（P2011）等零星引用；四川版为五章45条（P2002），但国家版总条数未在库中出现，本章未对国家版作逐条解读，相关表述基于律师解读与四川、西藏地方版文本的转述（P2004、P2002、P2005）。其二，2022年地方政策仅有"6个省级地方"的数目记载（P2000），具体件数缺失，五年合计112份的own_calc（41+22+13+18+18）只能覆盖2017—2021年。其三，裁判文书年度卷为节选样本：2021年324篇（P2024）与2020年42935篇（P2015）的落差更可能源于收录完整性差异；卷内样本以传统建设工程合同纠纷为主，尚无法统计"管理办法条款被法院引用"的案件比例，司法对总承包规则的实际塑造力有待专题证据。其四，2020年12月《建设工程企业资质管理制度改革方案》在库中仅有要点式信息（培育全过程工程咨询、大力推行总承包、引导依法自主分包，P2012），设计资质与施工资质如何互认等关键操作细节未收录，资质路径对设计院的具体影响需另行求证。其五，源文AI导读中出现"2020年推动装配式建筑占比达30%"的表述（P2006），该数字出自AI摘要而非政策原文，本章未将其作为决策依据，读者采用前应核对原始文件。其六，2.3.3节新增的方案级报价方法族（概算编制三法与设备安装四法）转引自石化行业复盘文献的框架性归纳（P2030），源文仅给出方法名称与两条算式，各方法的适用边界、参数取值与操作步骤未在库中展开，落地为报价模板前应对照权威计价依据与项目所在地计价规则校准；另需说明，P2007、P2008与P2006为同一篇政策知识文章在不同研究课题下的重复收录，本稿仅将其作为EPCM一次性总报价支付下风险特征的独立旁证引用，不构成新增信息源。</w:t>
      </w:r>
    </w:p>
    <w:p>
      <w:r>
        <w:rPr>
          <w:rFonts w:ascii="Calibri" w:hAnsi="Calibri" w:eastAsia="微软雅黑"/>
          <w:b w:val="0"/>
          <w:i w:val="0"/>
          <w:sz w:val="22"/>
        </w:rPr>
        <w:t>---</w:t>
      </w:r>
    </w:p>
    <w:p>
      <w:pPr>
        <w:pStyle w:val="Heading1"/>
      </w:pPr>
      <w:r>
        <w:t>第3章 市场底账：工程总承包市场的规模与结构</w:t>
      </w:r>
    </w:p>
    <w:p>
      <w:pPr>
        <w:ind w:left="454"/>
      </w:pPr>
      <w:r>
        <w:rPr>
          <w:rFonts w:ascii="Calibri" w:hAnsi="Calibri" w:eastAsia="微软雅黑"/>
          <w:b w:val="0"/>
          <w:i w:val="0"/>
          <w:color w:val="666666"/>
          <w:sz w:val="22"/>
        </w:rPr>
        <w:t>转型决策之前，管理层必须先回答三个问题：市场有多大、钱在哪些行业流动、牌桌上坐着谁。本章不用任何口径不清的"万亿"叙事，而用政策供给、可查证项目金额与司法争议量三组数字，拼出工程总承包市场的规模底账与结构地图。</w:t>
      </w:r>
    </w:p>
    <w:p>
      <w:pPr>
        <w:pStyle w:val="Heading2"/>
      </w:pPr>
      <w:r>
        <w:t>3.1 先过口径关：你统计的"工程总承包市场"到底是什么</w:t>
      </w:r>
    </w:p>
    <w:p>
      <w:r>
        <w:rPr>
          <w:rFonts w:ascii="Calibri" w:hAnsi="Calibri" w:eastAsia="微软雅黑"/>
          <w:b w:val="0"/>
          <w:i w:val="0"/>
          <w:sz w:val="22"/>
        </w:rPr>
        <w:t>在设计院院长办公会上，"总承包市场有多大"这个问题往往得到一个含糊的回答：万亿级、十万亿级、建筑业总产值的三成。但在把这些数字写进转型战略之前，决策者必须先弄清口径——因为"工程总承包"四个字在中国的制度文本里，指向的是一种组织实施方式，而不是一个统计科目。</w:t>
      </w:r>
    </w:p>
    <w:p>
      <w:r>
        <w:rPr>
          <w:rFonts w:ascii="Calibri" w:hAnsi="Calibri" w:eastAsia="微软雅黑"/>
          <w:b w:val="0"/>
          <w:i w:val="0"/>
          <w:sz w:val="22"/>
        </w:rPr>
        <w:t>先看定义的稳定性。福建省住建厅2018年征求意见稿、西藏自治区2022年试行办法、国浩律师事务所2025年发表的法律实务综述，三份性质迥异、相隔七年的文本，给出了几乎逐字相同的定义：工程总承包是指承包单位按照与建设单位签订的合同，对工程设计、采购、施工或者设计、施工等阶段实行总承包，并对工程的质量、安全、工期和造价等全面负责的工程建设组织实施方式（P3005）（P3015）（P3018）。定义的高度一致说明一件事：制度层面已经定型，"总承包"不是概念炒作；但同时也暴露另一件事——这个定义只界定责任边界，完全不界定统计边界。它没有回答"哪些合同额算进工程总承包产值""DB算不算""F+EPC算不算"。口径一天不统一，市场规模的数字就一天不可比。</w:t>
      </w:r>
    </w:p>
    <w:p>
      <w:r>
        <w:rPr>
          <w:rFonts w:ascii="Calibri" w:hAnsi="Calibri" w:eastAsia="微软雅黑"/>
          <w:b w:val="0"/>
          <w:i w:val="0"/>
          <w:sz w:val="22"/>
        </w:rPr>
        <w:t>再看模式谱系。这直接决定统计口径的宽度。《中华全国律师协会律师办理建设工程法律业务操作指引》第39条列举了工程总承包的主要形式，包括设计采购施工（EPC）总承包、交钥匙总承包、设计-施工总承包、设计-采购总承包、采购-施工总承包、勘察设计施工总承包等，并提及建设-转让（BT）、建设-经营-转让（BOT）、建设-拥有-经营（BOO）、建设-拥有-经营-转让（BOOT）等多种投融资建设模式，以及后续出现的融资+设计采购施工总承包（F+EPC）等模式（P3018）。在这张谱系里，EPCM（设计采购与施工管理总承包）是一个特殊形态：EPCM承包商对工程的设计、材料设备供应、施工管理全面负责，但施工分包商不与EPCM承包商签订合同、直接与业主具有合同关系，因此EPCM承包商无需承担施工合同风险和经济风险（P3020）。这与EPC形成鲜明对照——EPC模式下承包商对质量、安全、工期、造价全面负责（P3020），业主购买的是承包商的工程产品而非工程建设服务，任何工程风险均由承包商承担，任何设计优化的收益也归承包商所有（P3023）。换句话说，同样是"总承包"三个字，EPC是重风险重收益的交钥匙，EPCM是轻风险的管家服务，F+EPC则绑上了融资义务。设计院在评估"市场规模"时，如果把自己能承接的EPC口径与行业常说的含投融资口径混在一起，测算出的可及市场会失真数倍。</w:t>
      </w:r>
    </w:p>
    <w:p>
      <w:r>
        <w:rPr>
          <w:rFonts w:ascii="Calibri" w:hAnsi="Calibri" w:eastAsia="微软雅黑"/>
          <w:b w:val="0"/>
          <w:i w:val="0"/>
          <w:sz w:val="22"/>
        </w:rPr>
        <w:t>模式谱系对设计院还有一层战略含义：它是风险敞口的调节旋钮。EPCM模式之所以被描述为承包商经济风险相对较小、获利较为稳定（P3020），正是因为施工分包商直接与业主具有合同关系（P3020）——设计院可以把最重的施工履约风险留在体外，先赚取设计与施工管理的确定性收入，再逐步向EPC的全风险模式爬坡。反过来，EPC模式的核心特征是由"照图施工"向"按约施工"的转变，按照国际惯用的菲迪克条款模式，通常采用总价包干合同（P3023），风险与设计优化收益同时向承包商集中（P3023）。转型路径设计的本质，就是决定在什么时点、以什么行业为试点，把这个旋钮从EPCM拧向EPC。跳过爬坡阶段直接承接总价包干EPC的设计院，等于用设计院的资产负债表去承接施工企业的风险量级。</w:t>
      </w:r>
    </w:p>
    <w:p>
      <w:r>
        <w:rPr>
          <w:rFonts w:ascii="Calibri" w:hAnsi="Calibri" w:eastAsia="微软雅黑"/>
          <w:b w:val="0"/>
          <w:i w:val="0"/>
          <w:sz w:val="22"/>
        </w:rPr>
        <w:t>把口径问题再往下推一层，还有两个经常被忽略的"隐性口径"：计价口径与审计口径。计价侧，总承包合同的价格形式与变更调整规则直接决定收入的可预期性，而司法实践对固定总价背景下的调价争议普遍持审慎干预态度（P3018）——这意味着报价时的计价假设几乎无法事后纠正。审计侧，行政审计强行介入结算曾引发系统性的合规纠偏——《法工委函〔2017〕2号》清理审查及"重庆勇创案"的计价标准纠偏即为标志性事件（P3003）；地方细则也在强化这一点，成都市细则明确市审计局依法对工程总承包项目建设各环节履职情况进行审计监督，加大对投资政策落实、重大决策、投资绩效、资金使用、项目管理等方面的监督力度（P3014）。设计院测算市场规模时习惯只看合同额，但计价与审计这两个口径决定合同额里有多少能落进利润表——它们是规模底账的折扣因子，不是脚注。</w:t>
      </w:r>
    </w:p>
    <w:p>
      <w:r>
        <w:rPr>
          <w:rFonts w:ascii="Calibri" w:hAnsi="Calibri" w:eastAsia="微软雅黑"/>
          <w:b w:val="0"/>
          <w:i w:val="0"/>
          <w:sz w:val="22"/>
        </w:rPr>
        <w:t>第三看法律层级的现实，它决定了统一统计制度的难产。目前法律法规层面对工程总承包的规定有限且零星，主要集中在《建筑法》《民法典》《招标投标法实施条例》与《建设工程质量管理条例》中，仅为概念阐述与原则性规定，没有对发包承包、项目实施、监督管理、法律责任做出系统规定（P3016）。上位依据方面，《建筑法》第24条规定提倡对建筑工程实行总承包，禁止将建筑工程肢解发包，发包单位可以将勘察、设计、施工、设备采购一并发包给一个工程总承包单位（P3008）。而行业最核心的《房屋建筑和市政基础设施项目工程总承包管理办法》虽是住建部与国家发改委联合发布、目前国家规范项目工程总承包具体实施管理的最高层级文件，但其效力层级不高，属于部门管理规范性文件（P3008）。一个在法律层面只有"零星个别规定"的模式（P3016），自然也没有全国统一的产值统计科目——这是本章反复要回到的一个基本事实。</w:t>
      </w:r>
    </w:p>
    <w:p>
      <w:r>
        <w:rPr>
          <w:rFonts w:ascii="Calibri" w:hAnsi="Calibri" w:eastAsia="微软雅黑"/>
          <w:b w:val="0"/>
          <w:i w:val="0"/>
          <w:sz w:val="22"/>
        </w:rPr>
        <w:t>还有一层容易被误读为缺陷、实则是制度设计的结构：房建市政的《管理办法》在适用边界上给交通、能源、水利等其他行业主管部门在后续制定各自行业工程总承包政策时留有了余地，也为其他行业工程总承包的适用提供了补充依据（P3008）。这解释了为什么本章后文会出现"水利五省规则各异"（P3016）、"九部门联合发文"（P3020）这类行业各自为政的图景——中国工程总承包不是一个统一市场，而是以房建市政为主干、各行业分头立规的"一干多枝"市场。评估市场规模的第五个追问由此产生：你说的是房建市政口径，还是含电力、水利、石化、核电的全行业口径？两者相差的不是一个百分比，而是整个需求结构的重心。</w:t>
      </w:r>
    </w:p>
    <w:p>
      <w:r>
        <w:rPr>
          <w:rFonts w:ascii="Calibri" w:hAnsi="Calibri" w:eastAsia="微软雅黑"/>
          <w:b w:val="0"/>
          <w:i w:val="0"/>
          <w:sz w:val="22"/>
        </w:rPr>
        <w:t>那么供给侧有没有接近"市场规模"的存量数字？弹药库给出的唯一全国性基线来自二十多年前：1999年8月建设部印发《大型设计单位创建国际型工程公司的指导意见》（建设〔1999〕218号）之后，先后有560家设计单位领取了甲级工程总承包资格证书（P3010）。这个数字的含义有二：其一，工程总承包在中国从制度设计之初就是面向设计单位的赛道，560家甲级证书的持有人绝大多数是设计院；其二，它是一个历史户籍数字，距今已二十余年，只能作为供给侧的历史基线，不能当作今天的竞争格局。</w:t>
      </w:r>
    </w:p>
    <w:p>
      <w:r>
        <w:rPr>
          <w:rFonts w:ascii="Calibri" w:hAnsi="Calibri" w:eastAsia="微软雅黑"/>
          <w:b w:val="0"/>
          <w:i w:val="0"/>
          <w:sz w:val="22"/>
        </w:rPr>
        <w:t>法律文本里还藏着一处直接影响供给结构的边界条款：《合同法》第272条规定总承包人或者勘察、设计、施工承包人经发包人同意，可以将自己承包的部分工作交由第三人完成，但承包人不得将其承包的全部建设工程转包，禁止承包人将工程分包给不具备相应资质条件的单位，禁止分包单位将其承包的工程再分包，且建设工程主体结构的施工必须由承包人自行完成（P3008）。这条"主体结构自行完成"的红线，正是设计院做总承包必须与施工企业结成联合体的法律根源之一——它决定了供给端的组织形态天然是"设计+施工"的契约联合，而不是任何一方独吞。后文供给侧的分析（3.4节）将反复回到这条边界。</w:t>
      </w:r>
    </w:p>
    <w:p>
      <w:r>
        <w:rPr>
          <w:rFonts w:ascii="Calibri" w:hAnsi="Calibri" w:eastAsia="微软雅黑"/>
          <w:b w:val="0"/>
          <w:i w:val="0"/>
          <w:sz w:val="22"/>
        </w:rPr>
        <w:t>基于以上口径纪律，本章如实声明：本报告弹药库未收录全国工程总承包总产值的权威年度统计，本章不编造总量数字，而是用三面镜子从不同角度照射这个市场——政策供给量（3.2节，政府愿意推多快）、可查证的项目与金额（3.3与3.4节，钱在哪些行业流动、谁在拿单）、司法争议量（3.5节，市场渗透到什么深度）。任何向管理层汇报的"总承包市场万亿级"说法，都应先追问三件事：统计的是EPC还是含F+EPC、统计的是签约额还是产值、数据源是官方口径还是咨询公司估算。</w:t>
      </w:r>
    </w:p>
    <w:p>
      <w:r>
        <w:rPr>
          <w:rFonts w:ascii="Calibri" w:hAnsi="Calibri" w:eastAsia="微软雅黑"/>
          <w:b/>
          <w:i w:val="0"/>
          <w:sz w:val="22"/>
        </w:rPr>
        <w:t>表3-1 工程总承包模式谱系与风险特征对照（据P3018/P3020/P3023交叉整理）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模式</w:t>
            </w:r>
          </w:p>
        </w:tc>
        <w:tc>
          <w:tcPr>
            <w:tcW w:type="dxa" w:w="2075"/>
            <w:shd w:fill="1F3A5F"/>
          </w:tcPr>
          <w:p>
            <w:r>
              <w:rPr>
                <w:color w:val="FFFFFF"/>
              </w:rPr>
            </w:r>
            <w:r>
              <w:rPr>
                <w:rFonts w:ascii="Calibri" w:hAnsi="Calibri" w:eastAsia="微软雅黑"/>
                <w:b/>
                <w:i w:val="0"/>
                <w:color w:val="FFFFFF"/>
                <w:sz w:val="18"/>
              </w:rPr>
              <w:t>承包范围与责任</w:t>
            </w:r>
          </w:p>
        </w:tc>
        <w:tc>
          <w:tcPr>
            <w:tcW w:type="dxa" w:w="2075"/>
            <w:shd w:fill="1F3A5F"/>
          </w:tcPr>
          <w:p>
            <w:r>
              <w:rPr>
                <w:color w:val="FFFFFF"/>
              </w:rPr>
            </w:r>
            <w:r>
              <w:rPr>
                <w:rFonts w:ascii="Calibri" w:hAnsi="Calibri" w:eastAsia="微软雅黑"/>
                <w:b/>
                <w:i w:val="0"/>
                <w:color w:val="FFFFFF"/>
                <w:sz w:val="18"/>
              </w:rPr>
              <w:t>风险与收益特征</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EPC（设计采购施工总承包）</w:t>
            </w:r>
          </w:p>
        </w:tc>
        <w:tc>
          <w:tcPr>
            <w:tcW w:type="dxa" w:w="2075"/>
          </w:tcPr>
          <w:p>
            <w:r/>
            <w:r>
              <w:rPr>
                <w:rFonts w:ascii="Calibri" w:hAnsi="Calibri" w:eastAsia="微软雅黑"/>
                <w:b w:val="0"/>
                <w:i w:val="0"/>
                <w:sz w:val="18"/>
              </w:rPr>
              <w:t>设计、采购、施工、试运行服务，对质量、安全、工期、造价全面负责，是我国推行总承包模式最主要的一种</w:t>
            </w:r>
          </w:p>
        </w:tc>
        <w:tc>
          <w:tcPr>
            <w:tcW w:type="dxa" w:w="2075"/>
          </w:tcPr>
          <w:p>
            <w:r/>
            <w:r>
              <w:rPr>
                <w:rFonts w:ascii="Calibri" w:hAnsi="Calibri" w:eastAsia="微软雅黑"/>
                <w:b w:val="0"/>
                <w:i w:val="0"/>
                <w:sz w:val="18"/>
              </w:rPr>
              <w:t>总价包干；业主购买工程产品而非服务，工程风险由承包商承担，设计优化收益归承包商</w:t>
            </w:r>
          </w:p>
        </w:tc>
        <w:tc>
          <w:tcPr>
            <w:tcW w:type="dxa" w:w="2075"/>
          </w:tcPr>
          <w:p>
            <w:r/>
            <w:r>
              <w:rPr>
                <w:rFonts w:ascii="Calibri" w:hAnsi="Calibri" w:eastAsia="微软雅黑"/>
                <w:b w:val="0"/>
                <w:i w:val="0"/>
                <w:sz w:val="18"/>
              </w:rPr>
              <w:t>P3020、P3023</w:t>
            </w:r>
          </w:p>
        </w:tc>
      </w:tr>
      <w:tr>
        <w:tc>
          <w:tcPr>
            <w:tcW w:type="dxa" w:w="2075"/>
          </w:tcPr>
          <w:p>
            <w:r/>
            <w:r>
              <w:rPr>
                <w:rFonts w:ascii="Calibri" w:hAnsi="Calibri" w:eastAsia="微软雅黑"/>
                <w:b w:val="0"/>
                <w:i w:val="0"/>
                <w:sz w:val="18"/>
              </w:rPr>
              <w:t>交钥匙总承包</w:t>
            </w:r>
          </w:p>
        </w:tc>
        <w:tc>
          <w:tcPr>
            <w:tcW w:type="dxa" w:w="2075"/>
          </w:tcPr>
          <w:p>
            <w:r/>
            <w:r>
              <w:rPr>
                <w:rFonts w:ascii="Calibri" w:hAnsi="Calibri" w:eastAsia="微软雅黑"/>
                <w:b w:val="0"/>
                <w:i w:val="0"/>
                <w:sz w:val="18"/>
              </w:rPr>
              <w:t>设计采购施工总承包业务和责任的延伸，最终向业主提交满足使用功能、具备使用条件的工程项目</w:t>
            </w:r>
          </w:p>
        </w:tc>
        <w:tc>
          <w:tcPr>
            <w:tcW w:type="dxa" w:w="2075"/>
          </w:tcPr>
          <w:p>
            <w:r/>
            <w:r>
              <w:rPr>
                <w:rFonts w:ascii="Calibri" w:hAnsi="Calibri" w:eastAsia="微软雅黑"/>
                <w:b w:val="0"/>
                <w:i w:val="0"/>
                <w:sz w:val="18"/>
              </w:rPr>
              <w:t>责任延伸至"能用"，交付标准更高</w:t>
            </w:r>
          </w:p>
        </w:tc>
        <w:tc>
          <w:tcPr>
            <w:tcW w:type="dxa" w:w="2075"/>
          </w:tcPr>
          <w:p>
            <w:r/>
            <w:r>
              <w:rPr>
                <w:rFonts w:ascii="Calibri" w:hAnsi="Calibri" w:eastAsia="微软雅黑"/>
                <w:b w:val="0"/>
                <w:i w:val="0"/>
                <w:sz w:val="18"/>
              </w:rPr>
              <w:t>P3020</w:t>
            </w:r>
          </w:p>
        </w:tc>
      </w:tr>
      <w:tr>
        <w:tc>
          <w:tcPr>
            <w:tcW w:type="dxa" w:w="2075"/>
          </w:tcPr>
          <w:p>
            <w:r/>
            <w:r>
              <w:rPr>
                <w:rFonts w:ascii="Calibri" w:hAnsi="Calibri" w:eastAsia="微软雅黑"/>
                <w:b w:val="0"/>
                <w:i w:val="0"/>
                <w:sz w:val="18"/>
              </w:rPr>
              <w:t>DB（设计-施工总承包）等阶段组合</w:t>
            </w:r>
          </w:p>
        </w:tc>
        <w:tc>
          <w:tcPr>
            <w:tcW w:type="dxa" w:w="2075"/>
          </w:tcPr>
          <w:p>
            <w:r/>
            <w:r>
              <w:rPr>
                <w:rFonts w:ascii="Calibri" w:hAnsi="Calibri" w:eastAsia="微软雅黑"/>
                <w:b w:val="0"/>
                <w:i w:val="0"/>
                <w:sz w:val="18"/>
              </w:rPr>
              <w:t>设计-施工、设计-采购、采购-施工、勘察设计施工总承包等单列组合</w:t>
            </w:r>
          </w:p>
        </w:tc>
        <w:tc>
          <w:tcPr>
            <w:tcW w:type="dxa" w:w="2075"/>
          </w:tcPr>
          <w:p>
            <w:r/>
            <w:r>
              <w:rPr>
                <w:rFonts w:ascii="Calibri" w:hAnsi="Calibri" w:eastAsia="微软雅黑"/>
                <w:b w:val="0"/>
                <w:i w:val="0"/>
                <w:sz w:val="18"/>
              </w:rPr>
              <w:t>覆盖阶段少一段，界面风险相应转移一段</w:t>
            </w:r>
          </w:p>
        </w:tc>
        <w:tc>
          <w:tcPr>
            <w:tcW w:type="dxa" w:w="2075"/>
          </w:tcPr>
          <w:p>
            <w:r/>
            <w:r>
              <w:rPr>
                <w:rFonts w:ascii="Calibri" w:hAnsi="Calibri" w:eastAsia="微软雅黑"/>
                <w:b w:val="0"/>
                <w:i w:val="0"/>
                <w:sz w:val="18"/>
              </w:rPr>
              <w:t>P3018</w:t>
            </w:r>
          </w:p>
        </w:tc>
      </w:tr>
      <w:tr>
        <w:tc>
          <w:tcPr>
            <w:tcW w:type="dxa" w:w="2075"/>
          </w:tcPr>
          <w:p>
            <w:r/>
            <w:r>
              <w:rPr>
                <w:rFonts w:ascii="Calibri" w:hAnsi="Calibri" w:eastAsia="微软雅黑"/>
                <w:b w:val="0"/>
                <w:i w:val="0"/>
                <w:sz w:val="18"/>
              </w:rPr>
              <w:t>EPCM（设计采购与施工管理总承包）</w:t>
            </w:r>
          </w:p>
        </w:tc>
        <w:tc>
          <w:tcPr>
            <w:tcW w:type="dxa" w:w="2075"/>
          </w:tcPr>
          <w:p>
            <w:r/>
            <w:r>
              <w:rPr>
                <w:rFonts w:ascii="Calibri" w:hAnsi="Calibri" w:eastAsia="微软雅黑"/>
                <w:b w:val="0"/>
                <w:i w:val="0"/>
                <w:sz w:val="18"/>
              </w:rPr>
              <w:t>对设计、材料设备供应、施工管理全面负责；施工分包商直接与业主签约</w:t>
            </w:r>
          </w:p>
        </w:tc>
        <w:tc>
          <w:tcPr>
            <w:tcW w:type="dxa" w:w="2075"/>
          </w:tcPr>
          <w:p>
            <w:r/>
            <w:r>
              <w:rPr>
                <w:rFonts w:ascii="Calibri" w:hAnsi="Calibri" w:eastAsia="微软雅黑"/>
                <w:b w:val="0"/>
                <w:i w:val="0"/>
                <w:sz w:val="18"/>
              </w:rPr>
              <w:t>无需承担施工合同风险和经济风险，经济风险可控、获利较稳定</w:t>
            </w:r>
          </w:p>
        </w:tc>
        <w:tc>
          <w:tcPr>
            <w:tcW w:type="dxa" w:w="2075"/>
          </w:tcPr>
          <w:p>
            <w:r/>
            <w:r>
              <w:rPr>
                <w:rFonts w:ascii="Calibri" w:hAnsi="Calibri" w:eastAsia="微软雅黑"/>
                <w:b w:val="0"/>
                <w:i w:val="0"/>
                <w:sz w:val="18"/>
              </w:rPr>
              <w:t>P3020</w:t>
            </w:r>
          </w:p>
        </w:tc>
      </w:tr>
      <w:tr>
        <w:tc>
          <w:tcPr>
            <w:tcW w:type="dxa" w:w="2075"/>
          </w:tcPr>
          <w:p>
            <w:r/>
            <w:r>
              <w:rPr>
                <w:rFonts w:ascii="Calibri" w:hAnsi="Calibri" w:eastAsia="微软雅黑"/>
                <w:b w:val="0"/>
                <w:i w:val="0"/>
                <w:sz w:val="18"/>
              </w:rPr>
              <w:t>BT/BOT/BOO/BOOT及F+EPC等</w:t>
            </w:r>
          </w:p>
        </w:tc>
        <w:tc>
          <w:tcPr>
            <w:tcW w:type="dxa" w:w="2075"/>
          </w:tcPr>
          <w:p>
            <w:r/>
            <w:r>
              <w:rPr>
                <w:rFonts w:ascii="Calibri" w:hAnsi="Calibri" w:eastAsia="微软雅黑"/>
                <w:b w:val="0"/>
                <w:i w:val="0"/>
                <w:sz w:val="18"/>
              </w:rPr>
              <w:t>投融资建设模式与融资+设计采购施工总承包</w:t>
            </w:r>
          </w:p>
        </w:tc>
        <w:tc>
          <w:tcPr>
            <w:tcW w:type="dxa" w:w="2075"/>
          </w:tcPr>
          <w:p>
            <w:r/>
            <w:r>
              <w:rPr>
                <w:rFonts w:ascii="Calibri" w:hAnsi="Calibri" w:eastAsia="微软雅黑"/>
                <w:b w:val="0"/>
                <w:i w:val="0"/>
                <w:sz w:val="18"/>
              </w:rPr>
              <w:t>绑定融资与运营义务，超出传统工程承包风险量级</w:t>
            </w:r>
          </w:p>
        </w:tc>
        <w:tc>
          <w:tcPr>
            <w:tcW w:type="dxa" w:w="2075"/>
          </w:tcPr>
          <w:p>
            <w:r/>
            <w:r>
              <w:rPr>
                <w:rFonts w:ascii="Calibri" w:hAnsi="Calibri" w:eastAsia="微软雅黑"/>
                <w:b w:val="0"/>
                <w:i w:val="0"/>
                <w:sz w:val="18"/>
              </w:rPr>
              <w:t>P3018</w:t>
            </w:r>
          </w:p>
        </w:tc>
      </w:tr>
    </w:tbl>
    <w:p>
      <w:r>
        <w:rPr>
          <w:rFonts w:ascii="Calibri" w:hAnsi="Calibri" w:eastAsia="微软雅黑"/>
          <w:b/>
          <w:i w:val="0"/>
          <w:sz w:val="22"/>
        </w:rPr>
        <w:t>所以呢（给决策者的三句话）</w:t>
      </w:r>
      <w:r>
        <w:rPr>
          <w:rFonts w:ascii="Calibri" w:hAnsi="Calibri" w:eastAsia="微软雅黑"/>
          <w:b w:val="0"/>
          <w:i w:val="0"/>
          <w:sz w:val="22"/>
        </w:rPr>
        <w:t>：第一，贵院测算"可及市场"时，先把口径收窄到自己有资质、有能力承接的EPC/DB，剔除F+EPC与投融资部分，否则盘子会被高估；第二，EPC与EPCM是两种完全不同的生意，前者赚风险定价的钱，后者赚管理服务的钱，转型路线图必须先选边；第三，不要用"行业总盘子"说服董事会，用本章后续三组可查证的数字说话。</w:t>
      </w:r>
    </w:p>
    <w:p>
      <w:pPr>
        <w:pStyle w:val="Heading2"/>
      </w:pPr>
      <w:r>
        <w:t>3.2 政策供给曲线：从1982年试点到2022年地方退潮的四十年</w:t>
      </w:r>
    </w:p>
    <w:p>
      <w:r>
        <w:rPr>
          <w:rFonts w:ascii="Calibri" w:hAnsi="Calibri" w:eastAsia="微软雅黑"/>
          <w:b w:val="0"/>
          <w:i w:val="0"/>
          <w:sz w:val="22"/>
        </w:rPr>
        <w:t>政策是这个市场最清晰的"政府意愿"信号。把四十年政策文本按时间轴排开，能看到一条完整的生命周期曲线——起步、制度化、爆发、细化、退潮。设计院管理层读这条曲线的方式，不应该像读新闻，而应该像读利率周期：政策供给的峰值与谷值，直接决定市场进入窗口的开与关。</w:t>
      </w:r>
    </w:p>
    <w:p>
      <w:r>
        <w:rPr>
          <w:rFonts w:ascii="Calibri" w:hAnsi="Calibri" w:eastAsia="微软雅黑"/>
          <w:b/>
          <w:i w:val="0"/>
          <w:sz w:val="22"/>
        </w:rPr>
        <w:t>起点：一场以设计单位为主体的试点。</w:t>
      </w:r>
      <w:r>
        <w:rPr>
          <w:rFonts w:ascii="Calibri" w:hAnsi="Calibri" w:eastAsia="微软雅黑"/>
          <w:b w:val="0"/>
          <w:i w:val="0"/>
          <w:sz w:val="22"/>
        </w:rPr>
        <w:t xml:space="preserve"> 1982年，化工部对江西氨厂改尿素工程实行第一个以设计为主体的工程总承包试点，中国武汉化工工程公司（现五环科技股份有限公司）为工程总承包商，该项目建设工期28个月，有效控制了工程进度、质量和费用，一次开车成功（P3010）。这个起点经常被忽略，但它定义了中国工程总承包的基因：不是从施工企业生长出来，而是从设计院生长出来。四十年后设计院讨论"要不要转型总承包"，本质上不是转型，而是回归这条赛道的原点。</w:t>
      </w:r>
    </w:p>
    <w:p>
      <w:r>
        <w:rPr>
          <w:rFonts w:ascii="Calibri" w:hAnsi="Calibri" w:eastAsia="微软雅黑"/>
          <w:b/>
          <w:i w:val="0"/>
          <w:sz w:val="22"/>
        </w:rPr>
        <w:t>制度化三级跳。</w:t>
      </w:r>
      <w:r>
        <w:rPr>
          <w:rFonts w:ascii="Calibri" w:hAnsi="Calibri" w:eastAsia="微软雅黑"/>
          <w:b w:val="0"/>
          <w:i w:val="0"/>
          <w:sz w:val="22"/>
        </w:rPr>
        <w:t xml:space="preserve"> 1984年，原国家计委在总结化工部经验的基础上，将工程总承包纳入国务院颁发的《关于改革建筑业和基本建设管理体制若干问题的暂行规定》（国发〔1984〕123号），明确提出对项目建设实行全过程总承包的要求，并先后批准了94家工程总承包试点企业（P3010）。1997年11月《中华人民共和国建筑法》颁布，提倡对建筑工程进行总承包（P3010）。1999年8月，建设部印发《大型设计单位创建国际型工程公司的指导意见》（建设〔1999〕218号），随后有560家设计单位领取甲级工程总承包资格证书（P3010）。三级跳的含义很清楚：试点资格（94家）是门票，法律提倡（建筑法）是合法性，国际型工程公司导向（218号文）是天花板——政策从一开始就点名要让大型设计单位长成国际工程公司。</w:t>
      </w:r>
    </w:p>
    <w:p>
      <w:r>
        <w:rPr>
          <w:rFonts w:ascii="Calibri" w:hAnsi="Calibri" w:eastAsia="微软雅黑"/>
          <w:b w:val="0"/>
          <w:i w:val="0"/>
          <w:sz w:val="22"/>
        </w:rPr>
        <w:t>这二十年也不是空白运行。在国家政策的推动下，化工、石化等行业的勘察设计、施工企业积极开展工程总承包，成效显著（P3010）。换句话说，中国总承包的"行业先行区"从一开始就是化工石化这类流程工业——工艺设计主导性强、设备采购占比高、设计院天然掌握技术话语权的行业。四十年后回看，这个起点埋下了一条至今未变的规律：总承包模式在哪个行业渗透最深，取决于该行业的设计环节对造价与采购的控制力有多强，而不是取决于政策文件发到哪个行业。这也是为什么本章3.3节给出的需求地图中，能源与工业赛道的案例密度远高于普通房建。</w:t>
      </w:r>
    </w:p>
    <w:p>
      <w:r>
        <w:rPr>
          <w:rFonts w:ascii="Calibri" w:hAnsi="Calibri" w:eastAsia="微软雅黑"/>
          <w:b/>
          <w:i w:val="0"/>
          <w:sz w:val="22"/>
        </w:rPr>
        <w:t>现代政策周期：从路线确立到纲领落地。</w:t>
      </w:r>
      <w:r>
        <w:rPr>
          <w:rFonts w:ascii="Calibri" w:hAnsi="Calibri" w:eastAsia="微软雅黑"/>
          <w:b w:val="0"/>
          <w:i w:val="0"/>
          <w:sz w:val="22"/>
        </w:rPr>
        <w:t xml:space="preserve"> 住建部《关于进一步推进工程总承包发展的若干意见》（建市〔2016〕93号）与国务院《关于促进建筑业持续健康发展的意见》（国办发〔2017〕19号）确立大力发展工程总承包（以EPC为主）的基本路线之后，我国工程总承包事业进入高速发展期（P3001）。纲领性文件《房屋建筑和市政基础设施项目工程总承包管理办法》于2019年12月23日发布、2020年3月1日起正式生效，标志着规范化发展新时代来临（P3001）。此后仅八个月，2020年8月28日，住建部、教育部、科技部、工业和信息化部、自然资源部、生态环境部、人民银行、市场监管总局、银保监会九部门联合印发《关于加快新型建筑工业化发展的若干意见》，提出大力推行工程总承包，新型建筑工业化项目积极推行工程总承包模式，培育具有综合管理能力的工程总承包企业（P3020）。从部委两发文到九部门联合发文，政策动员的部门数量本身就是投入强度的量化指标。</w:t>
      </w:r>
    </w:p>
    <w:p>
      <w:r>
        <w:rPr>
          <w:rFonts w:ascii="Calibri" w:hAnsi="Calibri" w:eastAsia="微软雅黑"/>
          <w:b/>
          <w:i w:val="0"/>
          <w:sz w:val="22"/>
        </w:rPr>
        <w:t>地方跟进曲线：一条清晰的倒V。</w:t>
      </w:r>
      <w:r>
        <w:rPr>
          <w:rFonts w:ascii="Calibri" w:hAnsi="Calibri" w:eastAsia="微软雅黑"/>
          <w:b w:val="0"/>
          <w:i w:val="0"/>
          <w:sz w:val="22"/>
        </w:rPr>
        <w:t xml:space="preserve"> 把建纬律师连续六年的年度政策观察数据排成时间序列（见表3-2），政策供给的节奏一目了然。</w:t>
      </w:r>
    </w:p>
    <w:p>
      <w:r>
        <w:rPr>
          <w:rFonts w:ascii="Calibri" w:hAnsi="Calibri" w:eastAsia="微软雅黑"/>
          <w:b/>
          <w:i w:val="0"/>
          <w:sz w:val="22"/>
        </w:rPr>
        <w:t>表3-2 2017—2022年工程总承包省级政策文件供给时间序列（据P3001/P3009/P3000整理）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年份</w:t>
            </w:r>
          </w:p>
        </w:tc>
        <w:tc>
          <w:tcPr>
            <w:tcW w:type="dxa" w:w="2075"/>
            <w:shd w:fill="1F3A5F"/>
          </w:tcPr>
          <w:p>
            <w:r>
              <w:rPr>
                <w:color w:val="FFFFFF"/>
              </w:rPr>
            </w:r>
            <w:r>
              <w:rPr>
                <w:rFonts w:ascii="Calibri" w:hAnsi="Calibri" w:eastAsia="微软雅黑"/>
                <w:b/>
                <w:i w:val="0"/>
                <w:color w:val="FFFFFF"/>
                <w:sz w:val="18"/>
              </w:rPr>
              <w:t>出台主体与文件量</w:t>
            </w:r>
          </w:p>
        </w:tc>
        <w:tc>
          <w:tcPr>
            <w:tcW w:type="dxa" w:w="2075"/>
            <w:shd w:fill="1F3A5F"/>
          </w:tcPr>
          <w:p>
            <w:r>
              <w:rPr>
                <w:color w:val="FFFFFF"/>
              </w:rPr>
            </w:r>
            <w:r>
              <w:rPr>
                <w:rFonts w:ascii="Calibri" w:hAnsi="Calibri" w:eastAsia="微软雅黑"/>
                <w:b/>
                <w:i w:val="0"/>
                <w:color w:val="FFFFFF"/>
                <w:sz w:val="18"/>
              </w:rPr>
              <w:t>阶段特征</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2017</w:t>
            </w:r>
          </w:p>
        </w:tc>
        <w:tc>
          <w:tcPr>
            <w:tcW w:type="dxa" w:w="2075"/>
          </w:tcPr>
          <w:p>
            <w:r/>
            <w:r>
              <w:rPr>
                <w:rFonts w:ascii="Calibri" w:hAnsi="Calibri" w:eastAsia="微软雅黑"/>
                <w:b w:val="0"/>
                <w:i w:val="0"/>
                <w:sz w:val="18"/>
              </w:rPr>
              <w:t>28个省份总计出台41份地方政策文件</w:t>
            </w:r>
          </w:p>
        </w:tc>
        <w:tc>
          <w:tcPr>
            <w:tcW w:type="dxa" w:w="2075"/>
          </w:tcPr>
          <w:p>
            <w:r/>
            <w:r>
              <w:rPr>
                <w:rFonts w:ascii="Calibri" w:hAnsi="Calibri" w:eastAsia="微软雅黑"/>
                <w:b w:val="0"/>
                <w:i w:val="0"/>
                <w:sz w:val="18"/>
              </w:rPr>
              <w:t>峰值抢跑：国办发19号发布当年</w:t>
            </w:r>
          </w:p>
        </w:tc>
        <w:tc>
          <w:tcPr>
            <w:tcW w:type="dxa" w:w="2075"/>
          </w:tcPr>
          <w:p>
            <w:r/>
            <w:r>
              <w:rPr>
                <w:rFonts w:ascii="Calibri" w:hAnsi="Calibri" w:eastAsia="微软雅黑"/>
                <w:b w:val="0"/>
                <w:i w:val="0"/>
                <w:sz w:val="18"/>
              </w:rPr>
              <w:t>P3001</w:t>
            </w:r>
          </w:p>
        </w:tc>
      </w:tr>
      <w:tr>
        <w:tc>
          <w:tcPr>
            <w:tcW w:type="dxa" w:w="2075"/>
          </w:tcPr>
          <w:p>
            <w:r/>
            <w:r>
              <w:rPr>
                <w:rFonts w:ascii="Calibri" w:hAnsi="Calibri" w:eastAsia="微软雅黑"/>
                <w:b w:val="0"/>
                <w:i w:val="0"/>
                <w:sz w:val="18"/>
              </w:rPr>
              <w:t>2018</w:t>
            </w:r>
          </w:p>
        </w:tc>
        <w:tc>
          <w:tcPr>
            <w:tcW w:type="dxa" w:w="2075"/>
          </w:tcPr>
          <w:p>
            <w:r/>
            <w:r>
              <w:rPr>
                <w:rFonts w:ascii="Calibri" w:hAnsi="Calibri" w:eastAsia="微软雅黑"/>
                <w:b w:val="0"/>
                <w:i w:val="0"/>
                <w:sz w:val="18"/>
              </w:rPr>
              <w:t>28个省份总计出台22份</w:t>
            </w:r>
          </w:p>
        </w:tc>
        <w:tc>
          <w:tcPr>
            <w:tcW w:type="dxa" w:w="2075"/>
          </w:tcPr>
          <w:p>
            <w:r/>
            <w:r>
              <w:rPr>
                <w:rFonts w:ascii="Calibri" w:hAnsi="Calibri" w:eastAsia="微软雅黑"/>
                <w:b w:val="0"/>
                <w:i w:val="0"/>
                <w:sz w:val="18"/>
              </w:rPr>
              <w:t>高位回落</w:t>
            </w:r>
          </w:p>
        </w:tc>
        <w:tc>
          <w:tcPr>
            <w:tcW w:type="dxa" w:w="2075"/>
          </w:tcPr>
          <w:p>
            <w:r/>
            <w:r>
              <w:rPr>
                <w:rFonts w:ascii="Calibri" w:hAnsi="Calibri" w:eastAsia="微软雅黑"/>
                <w:b w:val="0"/>
                <w:i w:val="0"/>
                <w:sz w:val="18"/>
              </w:rPr>
              <w:t>P3001</w:t>
            </w:r>
          </w:p>
        </w:tc>
      </w:tr>
      <w:tr>
        <w:tc>
          <w:tcPr>
            <w:tcW w:type="dxa" w:w="2075"/>
          </w:tcPr>
          <w:p>
            <w:r/>
            <w:r>
              <w:rPr>
                <w:rFonts w:ascii="Calibri" w:hAnsi="Calibri" w:eastAsia="微软雅黑"/>
                <w:b w:val="0"/>
                <w:i w:val="0"/>
                <w:sz w:val="18"/>
              </w:rPr>
              <w:t>2019</w:t>
            </w:r>
          </w:p>
        </w:tc>
        <w:tc>
          <w:tcPr>
            <w:tcW w:type="dxa" w:w="2075"/>
          </w:tcPr>
          <w:p>
            <w:r/>
            <w:r>
              <w:rPr>
                <w:rFonts w:ascii="Calibri" w:hAnsi="Calibri" w:eastAsia="微软雅黑"/>
                <w:b w:val="0"/>
                <w:i w:val="0"/>
                <w:sz w:val="18"/>
              </w:rPr>
              <w:t>6个省份总计出台13份</w:t>
            </w:r>
          </w:p>
        </w:tc>
        <w:tc>
          <w:tcPr>
            <w:tcW w:type="dxa" w:w="2075"/>
          </w:tcPr>
          <w:p>
            <w:r/>
            <w:r>
              <w:rPr>
                <w:rFonts w:ascii="Calibri" w:hAnsi="Calibri" w:eastAsia="微软雅黑"/>
                <w:b w:val="0"/>
                <w:i w:val="0"/>
                <w:sz w:val="18"/>
              </w:rPr>
              <w:t>谷底观望：国家办法起草期</w:t>
            </w:r>
          </w:p>
        </w:tc>
        <w:tc>
          <w:tcPr>
            <w:tcW w:type="dxa" w:w="2075"/>
          </w:tcPr>
          <w:p>
            <w:r/>
            <w:r>
              <w:rPr>
                <w:rFonts w:ascii="Calibri" w:hAnsi="Calibri" w:eastAsia="微软雅黑"/>
                <w:b w:val="0"/>
                <w:i w:val="0"/>
                <w:sz w:val="18"/>
              </w:rPr>
              <w:t>P3001</w:t>
            </w:r>
          </w:p>
        </w:tc>
      </w:tr>
      <w:tr>
        <w:tc>
          <w:tcPr>
            <w:tcW w:type="dxa" w:w="2075"/>
          </w:tcPr>
          <w:p>
            <w:r/>
            <w:r>
              <w:rPr>
                <w:rFonts w:ascii="Calibri" w:hAnsi="Calibri" w:eastAsia="微软雅黑"/>
                <w:b w:val="0"/>
                <w:i w:val="0"/>
                <w:sz w:val="18"/>
              </w:rPr>
              <w:t>2020</w:t>
            </w:r>
          </w:p>
        </w:tc>
        <w:tc>
          <w:tcPr>
            <w:tcW w:type="dxa" w:w="2075"/>
          </w:tcPr>
          <w:p>
            <w:r/>
            <w:r>
              <w:rPr>
                <w:rFonts w:ascii="Calibri" w:hAnsi="Calibri" w:eastAsia="微软雅黑"/>
                <w:b w:val="0"/>
                <w:i w:val="0"/>
                <w:sz w:val="18"/>
              </w:rPr>
              <w:t>15个省市出台，新增省级政策文件18件</w:t>
            </w:r>
          </w:p>
        </w:tc>
        <w:tc>
          <w:tcPr>
            <w:tcW w:type="dxa" w:w="2075"/>
          </w:tcPr>
          <w:p>
            <w:r/>
            <w:r>
              <w:rPr>
                <w:rFonts w:ascii="Calibri" w:hAnsi="Calibri" w:eastAsia="微软雅黑"/>
                <w:b w:val="0"/>
                <w:i w:val="0"/>
                <w:sz w:val="18"/>
              </w:rPr>
              <w:t>办法生效首年，细则跟进</w:t>
            </w:r>
          </w:p>
        </w:tc>
        <w:tc>
          <w:tcPr>
            <w:tcW w:type="dxa" w:w="2075"/>
          </w:tcPr>
          <w:p>
            <w:r/>
            <w:r>
              <w:rPr>
                <w:rFonts w:ascii="Calibri" w:hAnsi="Calibri" w:eastAsia="微软雅黑"/>
                <w:b w:val="0"/>
                <w:i w:val="0"/>
                <w:sz w:val="18"/>
              </w:rPr>
              <w:t>P3001</w:t>
            </w:r>
          </w:p>
        </w:tc>
      </w:tr>
      <w:tr>
        <w:tc>
          <w:tcPr>
            <w:tcW w:type="dxa" w:w="2075"/>
          </w:tcPr>
          <w:p>
            <w:r/>
            <w:r>
              <w:rPr>
                <w:rFonts w:ascii="Calibri" w:hAnsi="Calibri" w:eastAsia="微软雅黑"/>
                <w:b w:val="0"/>
                <w:i w:val="0"/>
                <w:sz w:val="18"/>
              </w:rPr>
              <w:t>2021</w:t>
            </w:r>
          </w:p>
        </w:tc>
        <w:tc>
          <w:tcPr>
            <w:tcW w:type="dxa" w:w="2075"/>
          </w:tcPr>
          <w:p>
            <w:r/>
            <w:r>
              <w:rPr>
                <w:rFonts w:ascii="Calibri" w:hAnsi="Calibri" w:eastAsia="微软雅黑"/>
                <w:b w:val="0"/>
                <w:i w:val="0"/>
                <w:sz w:val="18"/>
              </w:rPr>
              <w:t>13个省份出台，新增省级政策文件18件</w:t>
            </w:r>
          </w:p>
        </w:tc>
        <w:tc>
          <w:tcPr>
            <w:tcW w:type="dxa" w:w="2075"/>
          </w:tcPr>
          <w:p>
            <w:r/>
            <w:r>
              <w:rPr>
                <w:rFonts w:ascii="Calibri" w:hAnsi="Calibri" w:eastAsia="微软雅黑"/>
                <w:b w:val="0"/>
                <w:i w:val="0"/>
                <w:sz w:val="18"/>
              </w:rPr>
              <w:t>执行细化期</w:t>
            </w:r>
          </w:p>
        </w:tc>
        <w:tc>
          <w:tcPr>
            <w:tcW w:type="dxa" w:w="2075"/>
          </w:tcPr>
          <w:p>
            <w:r/>
            <w:r>
              <w:rPr>
                <w:rFonts w:ascii="Calibri" w:hAnsi="Calibri" w:eastAsia="微软雅黑"/>
                <w:b w:val="0"/>
                <w:i w:val="0"/>
                <w:sz w:val="18"/>
              </w:rPr>
              <w:t>P3009</w:t>
            </w:r>
          </w:p>
        </w:tc>
      </w:tr>
      <w:tr>
        <w:tc>
          <w:tcPr>
            <w:tcW w:type="dxa" w:w="2075"/>
          </w:tcPr>
          <w:p>
            <w:r/>
            <w:r>
              <w:rPr>
                <w:rFonts w:ascii="Calibri" w:hAnsi="Calibri" w:eastAsia="微软雅黑"/>
                <w:b w:val="0"/>
                <w:i w:val="0"/>
                <w:sz w:val="18"/>
              </w:rPr>
              <w:t>2022</w:t>
            </w:r>
          </w:p>
        </w:tc>
        <w:tc>
          <w:tcPr>
            <w:tcW w:type="dxa" w:w="2075"/>
          </w:tcPr>
          <w:p>
            <w:r/>
            <w:r>
              <w:rPr>
                <w:rFonts w:ascii="Calibri" w:hAnsi="Calibri" w:eastAsia="微软雅黑"/>
                <w:b w:val="0"/>
                <w:i w:val="0"/>
                <w:sz w:val="18"/>
              </w:rPr>
              <w:t>6个省级地方出台专项或相关文件</w:t>
            </w:r>
          </w:p>
        </w:tc>
        <w:tc>
          <w:tcPr>
            <w:tcW w:type="dxa" w:w="2075"/>
          </w:tcPr>
          <w:p>
            <w:r/>
            <w:r>
              <w:rPr>
                <w:rFonts w:ascii="Calibri" w:hAnsi="Calibri" w:eastAsia="微软雅黑"/>
                <w:b w:val="0"/>
                <w:i w:val="0"/>
                <w:sz w:val="18"/>
              </w:rPr>
              <w:t>退潮提质</w:t>
            </w:r>
          </w:p>
        </w:tc>
        <w:tc>
          <w:tcPr>
            <w:tcW w:type="dxa" w:w="2075"/>
          </w:tcPr>
          <w:p>
            <w:r/>
            <w:r>
              <w:rPr>
                <w:rFonts w:ascii="Calibri" w:hAnsi="Calibri" w:eastAsia="微软雅黑"/>
                <w:b w:val="0"/>
                <w:i w:val="0"/>
                <w:sz w:val="18"/>
              </w:rPr>
              <w:t>P3000</w:t>
            </w:r>
          </w:p>
        </w:tc>
      </w:tr>
    </w:tbl>
    <w:p>
      <w:r>
        <w:rPr>
          <w:rFonts w:ascii="Calibri" w:hAnsi="Calibri" w:eastAsia="微软雅黑"/>
          <w:b w:val="0"/>
          <w:i w:val="0"/>
          <w:sz w:val="22"/>
        </w:rPr>
        <w:t>五年合计：2017至2021年省级政策文件共41+22+13+18+18=112份（own_calc：41+22+13+18+18，据P3001/P3009逐年数字加总）。这条112份的供给曲线里，最值得管理层注意的不是峰值，而是两个结构性拐点：2019年的13份低谷（P3001）恰好落在国家《管理办法》起草与出台前后，地方在等中央定调；2022年缩至6个省级地方（P3000）时，政策数量虽然退潮，内容却在深化——西藏出台了本地区试行的房屋建筑和市政基础设施项目工程总承包管理办法（P3000）；广西、宁夏、山东三地针对水利建设项目工程总承包出台管理办法（P3000）；四川出台工程总承包合同计价的指导意见（P3000）；上海出台与2021年《上海市建设项目工程总承包管理办法》配套的招标评标办法（P3000）；海南年底出台实施细则（试行）并配套发布装配式建设项目工程总承包合同示范文本（2023年版）（P3000）。数量的退潮与内容的加深同时发生，说明政策周期已从"推广期"进入"执行细化期"——风口叙事结束，合规能力竞争开始。</w:t>
      </w:r>
    </w:p>
    <w:p>
      <w:r>
        <w:rPr>
          <w:rFonts w:ascii="Calibri" w:hAnsi="Calibri" w:eastAsia="微软雅黑"/>
          <w:b w:val="0"/>
          <w:i w:val="0"/>
          <w:sz w:val="22"/>
        </w:rPr>
        <w:t>还需要提醒一个常见误读：政策供给曲线不是订单曲线。文件数量下行，不代表市场下行——恰恰相反，推广期的地方文件多为"鼓励推行"的宣示性文本，而执行期的计价规则、评标办法、合同示范文本（P3000）（P3009）才是订单真实落地的前置设施。历史上每一次基础设施从"政策热"转向"规则细"，都伴随着市场竞争从资源型向能力型的切换。对2022年后才决心转型的设计院而言，这条曲线传递的信息不是"风口已过、不必入场"，而是"风口的性质变了"：早期入场者吃的是政策红利，现在入场者吃的是规则能力红利。</w:t>
      </w:r>
    </w:p>
    <w:p>
      <w:r>
        <w:rPr>
          <w:rFonts w:ascii="Calibri" w:hAnsi="Calibri" w:eastAsia="微软雅黑"/>
          <w:b w:val="0"/>
          <w:i w:val="0"/>
          <w:sz w:val="22"/>
        </w:rPr>
        <w:t>把每年的文件内容拆开看，这条曲线的"质的演进"更清楚。2020年，四川、新疆两地出台了本地区的房屋建筑和市政基础设施项目工程总承包管理办法，四川还在水利工程领域发布了推进水利建设项目工程总承包发展的试行指导意见，江苏、安徽、山东、浙江、辽宁以实施意见、措施、细则等形式跟进，江苏另外出台了规范房屋建筑和市政基础设施项目工程总承包计价活动的试行规则（P3001）。2021年，湖北、上海、河北三地出台了本地区的总承包管理办法，浙江、山西、广东以实施意见、指导意见、措施形式跟进，浙江省住建部门联合发改委、财政厅等部门出台了针对总承包项目的计价规则，广东省2021年11月18日发布的十条措施尚处征求意见阶段（P3009）。2022年，湖南省住建厅还发布了尚处在征求意见阶段的工程总承包招标评标暂行办法（P3000）。三年文件的关键词从"管理办法"（立规矩）转向"计价规则""评标办法""合同示范文本"（定价格、定程序、定文本）——政策不再讨论要不要做总承包，而在规定按什么价格、什么程序、什么文本做。对投标人来说，这三种文件分别对应报价能力的三大件：组价能力、投标策略能力、合同风控能力。</w:t>
      </w:r>
    </w:p>
    <w:p>
      <w:r>
        <w:rPr>
          <w:rFonts w:ascii="Calibri" w:hAnsi="Calibri" w:eastAsia="微软雅黑"/>
          <w:b w:val="0"/>
          <w:i w:val="0"/>
          <w:sz w:val="22"/>
        </w:rPr>
        <w:t>这条时间序列还有两处方法论细节值得说明。其一，数据源为建纬律师连续六年的年度政策观察，其2017至2020年的柱状图明确标注2017年出台41份文件、2018年22份、2019年13份、2020年18份（P3001），与本文表3-2逐格一致，属同源数据交叉确认。其二，该系列的统计口径声明指出：只统计省级地方出台的政策文件，未收录中央部委文件，地方上仅为各地工程总承包企业的试点名录、工作计划与安排等并不深入涉及"工程总承包法律政策"的文件均未统计在内（P3001）。换言之，表3-2是严格的"省级规则供给量"，不含中央文件、不含市县级、不含名录类文件——它是市场制度化的最小公约数指标，真实政策热度只会高于、不会低于这张表。</w:t>
      </w:r>
    </w:p>
    <w:p>
      <w:r>
        <w:rPr>
          <w:rFonts w:ascii="Calibri" w:hAnsi="Calibri" w:eastAsia="微软雅黑"/>
          <w:b w:val="0"/>
          <w:i w:val="0"/>
          <w:sz w:val="22"/>
        </w:rPr>
        <w:t>城市级细则的监管分工值得单独细读，因为它预演了总承包项目的真实治理环境。以成都为例：市发改委依据政府投资与固定资产投资管理相关法律法规履行对建设单位执行投资决策相关程序的监督管理职责；市财政局负责按照法律法规和国库管理有关规定及时、足额办理财政资金拨付，并加强指导政府投资项目落实基本建设财务管理制度；市审计局依法对建设各环节履职情况实施审计监督；市国资委负责对所监管企业负责人的管理和考核，加强对国有资金投资项目的监督管理；市公资交易中心负责进场交易总承包项目的现场服务和管理（P3014）。一个总承包项目从立项到结算，至少五个政府部门各守一段闸门（P3014）——这与传统设计院"接设计委托、交图、收设计费"的治理环境完全是两个世界，转型动员会上必须把这五道闸门画在第一页幻灯片上。</w:t>
      </w:r>
    </w:p>
    <w:p>
      <w:r>
        <w:rPr>
          <w:rFonts w:ascii="Calibri" w:hAnsi="Calibri" w:eastAsia="微软雅黑"/>
          <w:b/>
          <w:i w:val="0"/>
          <w:sz w:val="22"/>
        </w:rPr>
        <w:t>城市级的细化样本。</w:t>
      </w:r>
      <w:r>
        <w:rPr>
          <w:rFonts w:ascii="Calibri" w:hAnsi="Calibri" w:eastAsia="微软雅黑"/>
          <w:b w:val="0"/>
          <w:i w:val="0"/>
          <w:sz w:val="22"/>
        </w:rPr>
        <w:t xml:space="preserve"> 省级之下，重点城市的细则更能反映落地门槛。成都市2023年2月8日由市住建局、发改委、财政局、审计局、国资委、公资交易中心等多部门联合印发《成都市房屋建筑和市政基础设施工程总承包管理实施细则》（P3014）。西安市2022年5月30日印发《西安市房屋建筑和市政基础设施项目工程总承包招标投标导则》（市建发〔2022〕94号）（P3017）。再往前，福建省住建厅2018年11月28日就工程总承包招标投标管理办法公开征求意见（闽建办筑函〔2018〕58号），明确国有资金占控股或主导地位项目的总承包招标投标活动适用该办法（P3005）。这些细则的共同方向是：把"要不要做总承包"的问题，转换成"怎么招标、怎么计价、怎么审计、怎么监管"的操作清单。成都市细则更引入发改、财政、审计、国资多部门全链条监管（P3014），意味着总承包项目从立项到结算全程处于政府交叉视线之下——这是买方市场规则，也是竞争门槛。</w:t>
      </w:r>
    </w:p>
    <w:p>
      <w:r>
        <w:rPr>
          <w:rFonts w:ascii="Calibri" w:hAnsi="Calibri" w:eastAsia="微软雅黑"/>
          <w:b/>
          <w:i w:val="0"/>
          <w:sz w:val="22"/>
        </w:rPr>
        <w:t>所以呢（给决策者的三句话）</w:t>
      </w:r>
      <w:r>
        <w:rPr>
          <w:rFonts w:ascii="Calibri" w:hAnsi="Calibri" w:eastAsia="微软雅黑"/>
          <w:b w:val="0"/>
          <w:i w:val="0"/>
          <w:sz w:val="22"/>
        </w:rPr>
        <w:t>：第一，政策红利有半衰期，2017年那种"文件驱动订单"的窗口已经关闭，2022年之后进入牌局的唯一门票是执行细则下的合规与交付能力；第二，560家甲级工程总承包资格证书的历史户籍（P3010）说明设计院本就是政策认定的主力，但这也意味着赛道从不缺同质竞争者；第三，把西藏（P3015）、水利（P3000）、上海评标（P3000）这类专项细则当作市场准入地图读——细则出台的地方，就是未来三年订单释放的地方。</w:t>
      </w:r>
    </w:p>
    <w:p>
      <w:pPr>
        <w:pStyle w:val="Heading2"/>
      </w:pPr>
      <w:r>
        <w:t>3.3 需求侧结构：钱在哪些行业流动</w:t>
      </w:r>
    </w:p>
    <w:p>
      <w:r>
        <w:rPr>
          <w:rFonts w:ascii="Calibri" w:hAnsi="Calibri" w:eastAsia="微软雅黑"/>
          <w:b w:val="0"/>
          <w:i w:val="0"/>
          <w:sz w:val="22"/>
        </w:rPr>
        <w:t>口径讲清之后，第一个真问题是需求结构：工程总承包的钱不是均匀撒在建筑业里的，而是高度集中在几个行业赛道上。把弹药库中可查证的项目案例按行业归位，可以得到一张比任何总量估算都更有决策价值的需求地图。</w:t>
      </w:r>
    </w:p>
    <w:p>
      <w:r>
        <w:rPr>
          <w:rFonts w:ascii="Calibri" w:hAnsi="Calibri" w:eastAsia="微软雅黑"/>
          <w:b/>
          <w:i w:val="0"/>
          <w:sz w:val="22"/>
        </w:rPr>
        <w:t>能源与电力：单体最大、周期最长的深水区。</w:t>
      </w:r>
      <w:r>
        <w:rPr>
          <w:rFonts w:ascii="Calibri" w:hAnsi="Calibri" w:eastAsia="微软雅黑"/>
          <w:b w:val="0"/>
          <w:i w:val="0"/>
          <w:sz w:val="22"/>
        </w:rPr>
        <w:t xml:space="preserve"> 核电是总承包模式渗透最深、单体规模最大的领域。核电项目具有单体投资规模巨大（单台机组通常超过200亿元）且建设周期极长（通常5-7年）的特点（P3004），这种长周期特征意味着项目必须面对跨越周期的利率波动、原材料价格涨跌以及政策环境的变化（P3004）。在这个领域，中核工程已构建起以"华龙一号"为代表的全产业链整合能力，其战略坐标由初期的技术支撑者跃迁为核电建设全生命周期价值创造者（P3004），而按"十三五"规划，中国确立了2030年成为世界最大"核能强国"的目标（P3004）。为什么越是复杂系统越倾向总承包？核电报告给出的机制解释是：随着核电建设从三代技术向批量化、模块化发展，传统的设计、采购、施工分段管理模式已暴露出严重的接口失配风险，EPC总承包模式的引入不仅是管理手段的升级，更是组织形态的进化（P3004）；其对照分析进一步指出，传统分段模式下预算编制与现场施工脱节、易产生"三超"隐患，而总承包模式通过设计引领采购、关键设备提前介入设计审查，可减少无效返工、提升施工顺滑度（P3004）。对设计院的含义很直接：核电赛道的门票是核安全资质与全生命周期管控能力，能上桌的机构屈指可数，但一旦上桌，单体合同量级是其他行业无法比拟的。常规电力与新能源的单体规模小一到两个数量级，却是设计院的主战场：江苏利港电厂升压站EPC竞标是2.2 亿元级的项目（P3007）；开封禹王台120MW光伏EPC签约总代价8.0016 亿元、工期100个历日（P3006），该合同还设定10%-80%-5%-5%的付款节点并引入供应商直付委托书（P3006）。能源站类项目则展示了总承包模式的技术溢价空间：澄迈能源站年发电超8580 MWh、供冷21705 GJ/a、综合能源利用率83.6%以上，对比行业传统分布式能源站平均综合效率约65%-70%（P3006）——接近19个百分点的能效差（own_calc：83.6%-65%≈18.6，取约19个百分点，据P3006两组数字相减），就是设计主导型EPC相对于拼装式交付可以兑现的技术溢价。</w:t>
      </w:r>
    </w:p>
    <w:p>
      <w:r>
        <w:rPr>
          <w:rFonts w:ascii="Calibri" w:hAnsi="Calibri" w:eastAsia="微软雅黑"/>
          <w:b/>
          <w:i w:val="0"/>
          <w:sz w:val="22"/>
        </w:rPr>
        <w:t>工业与石化：设计院的主场优势区。</w:t>
      </w:r>
      <w:r>
        <w:rPr>
          <w:rFonts w:ascii="Calibri" w:hAnsi="Calibri" w:eastAsia="微软雅黑"/>
          <w:b w:val="0"/>
          <w:i w:val="0"/>
          <w:sz w:val="22"/>
        </w:rPr>
        <w:t xml:space="preserve"> 特种工业工程方面，中机国际的18000kW电动机试验系统历时2年建成（含5个月试运行），潍柴试验台支持5000kW并网，填补国内大功率特种动力测试平台EPC技术空白（P3006）。石化领域，中石化南京工程有限公司的路径是"双源合一"——通过设计能力与施工能力的法人级深度重构，打破组织壁垒，实现组织交付基因与设计概算全过程控制的高度统一（P3003）；其方法工具是初步设计概算三法（概算定额法、概算指标法、类似工程预算法）与设备安装四法（预算单价法、扩大单价法、设备价值百分比法、综合吨位指标法）（P3003）。这一段的价值不在石化本身，而在方法论的可迁移性：凡是设计概算能精确编制的行业，设计院做EPC就有成本控制的抓手。</w:t>
      </w:r>
    </w:p>
    <w:p>
      <w:r>
        <w:rPr>
          <w:rFonts w:ascii="Calibri" w:hAnsi="Calibri" w:eastAsia="微软雅黑"/>
          <w:b/>
          <w:i w:val="0"/>
          <w:sz w:val="22"/>
        </w:rPr>
        <w:t>房建与市政：政策推动型主战场。</w:t>
      </w:r>
      <w:r>
        <w:rPr>
          <w:rFonts w:ascii="Calibri" w:hAnsi="Calibri" w:eastAsia="微软雅黑"/>
          <w:b w:val="0"/>
          <w:i w:val="0"/>
          <w:sz w:val="22"/>
        </w:rPr>
        <w:t xml:space="preserve"> 这个领域的需求不完全由市场生成，相当部分由政策制造：政府投资项目和国有资金占控股或者主导地位的项目带头推行工程总承包，装配式建筑原则上采用工程总承包方式（P3023）（P3015）。城市更新是其放量出口之一：喀什完整社区EPC覆盖7个街道、45个小区，改造便民设施1.46万㎡，是南疆首个牵头标杆EPC（P3006）。配套规则也在完善：海南省发布装配式建设项目工程总承包合同示范文本（2023年版）（P3000）。对设计院而言，房建市政市场最大、但竞争者也最多，且受地方政府投资纪律约束——成都细则明确政府投资项目实行限额管理，项目报告须包含完整的资金平衡方案并落实资金来源（P3014），意味着这一市场的回款风险与地方财政状况深度绑定。</w:t>
      </w:r>
    </w:p>
    <w:p>
      <w:r>
        <w:rPr>
          <w:rFonts w:ascii="Calibri" w:hAnsi="Calibri" w:eastAsia="微软雅黑"/>
          <w:b w:val="0"/>
          <w:i w:val="0"/>
          <w:sz w:val="22"/>
        </w:rPr>
        <w:t>需求侧还有两个"规则制造出来的细分市场"容易被忽略。一个是装配式：建设内容明确、技术方案和工艺路线成熟的装配式建筑原则上采用工程总承包方式（P3015）（P3023），配套海南装配式总承包合同示范文本（2023年版）（P3000）——装配率越高的地区，总承包订单的确定性越强。另一个是数字化交付：西藏办法鼓励工程总承包项目率先在规划、设计、施工等阶段全过程应用建筑信息模型（BIM）技术（P3015），BIM能力正在从加分项变成部分项目的门槛项。</w:t>
      </w:r>
    </w:p>
    <w:p>
      <w:r>
        <w:rPr>
          <w:rFonts w:ascii="Calibri" w:hAnsi="Calibri" w:eastAsia="微软雅黑"/>
          <w:b w:val="0"/>
          <w:i w:val="0"/>
          <w:sz w:val="22"/>
        </w:rPr>
        <w:t>付款结构是需求侧的另一个隐形维度，它决定现金流的形状而不只是合同的金额。开封光伏EPC的付款节点设计为10%-80%-5%-5%，并引入供应商直付委托书（P3006）——开工仅收一成、进度中收八成、尾款两成分两次锁定，且大宗设备款可由业主直付供应商；这种结构把总承包商的垫资峰值和供应商信用风险同时压到了最低。与之对照，企业层面的现金流警戒线是两金（存货即合同资产+应收账款）合计占营业收入比重不超过35%，超过即触发现金流链预警，倒逼强制停工与保理贴现（P3007）。把项目层付款结构与公司层两金红线拼在一起，可以得到需求侧选择的现金流判据：同样的合同额，付款结构差的房建市政项目对现金流的消耗，可能数倍于付款结构好的能源项目。</w:t>
      </w:r>
    </w:p>
    <w:p>
      <w:r>
        <w:rPr>
          <w:rFonts w:ascii="Calibri" w:hAnsi="Calibri" w:eastAsia="微软雅黑"/>
          <w:b w:val="0"/>
          <w:i w:val="0"/>
          <w:sz w:val="22"/>
        </w:rPr>
        <w:t>招标规则的变化也在重塑需求侧的入场方式。上海市住建委2021年发布《上海市建设项目工程总承包管理办法》后，年初即出台《上海市建设项目工程总承包招标评标办法》以匹配其适用（P3000）；福建省更早的探索则明确工程总承包招标项目实行电子招标投标，招标投标参与各方应当通过公共资源交易电子行政监督平台、公共服务平台、电子交易平台开展相关活动（P3005）。评标办法与电子化交易平台，本质上都是把总承包招投标从"关系与经验驱动的评审"推向"规则与数据驱动的评审"——这对有技术储备、缺商务人脉的设计院是利好，但也意味着投标文件的专业化程度（组价、方案、风险响应）成为硬门槛。</w:t>
      </w:r>
    </w:p>
    <w:p>
      <w:r>
        <w:rPr>
          <w:rFonts w:ascii="Calibri" w:hAnsi="Calibri" w:eastAsia="微软雅黑"/>
          <w:b/>
          <w:i w:val="0"/>
          <w:sz w:val="22"/>
        </w:rPr>
        <w:t>水利：中小项目为主、规则分散的特殊市场。</w:t>
      </w:r>
      <w:r>
        <w:rPr>
          <w:rFonts w:ascii="Calibri" w:hAnsi="Calibri" w:eastAsia="微软雅黑"/>
          <w:b w:val="0"/>
          <w:i w:val="0"/>
          <w:sz w:val="22"/>
        </w:rPr>
        <w:t xml:space="preserve"> 重大水利工程一般具有公益性强、投资规模大、回报周期长、经营收益低的特点，目前在水利项目中力推工程总承包的项目主要集中在中小型项目领域，大型项目的工程总承包建设会因跨地区、跨流域的立法政策不统一受到一定障碍（P3016）。长江流域作为横跨中国东部、中部和西部三大经济区、共计19个省、市、自治区的世界第三大流域（P3016），其水利主管部门出台专门性规定的主要是湖北、安徽、浙江、湖南、四川五个省份（P3016）。而五省规则之间的落差之大，研究者的结论是：适用范围、工程总承包的定义和模式、发包阶段的区别，使得不同省份对于工程总承包的运用和推广存在天壤之别（P3016）。水利部2021年水利工程建设工作要点明确提出"积极有序推行代建、项目管理总承包、工程总承包等方式"（P3016）——部委层面点名，但落地规则五省各异，这是典型的"有需求、缺统一规则"市场，适合已有水利设计资质的省级院深耕，不适合新进入者强攻。</w:t>
      </w:r>
    </w:p>
    <w:p>
      <w:r>
        <w:rPr>
          <w:rFonts w:ascii="Calibri" w:hAnsi="Calibri" w:eastAsia="微软雅黑"/>
          <w:b/>
          <w:i w:val="0"/>
          <w:sz w:val="22"/>
        </w:rPr>
        <w:t>需求侧的元规则：业主管理能力决定模式选择。</w:t>
      </w:r>
      <w:r>
        <w:rPr>
          <w:rFonts w:ascii="Calibri" w:hAnsi="Calibri" w:eastAsia="微软雅黑"/>
          <w:b w:val="0"/>
          <w:i w:val="0"/>
          <w:sz w:val="22"/>
        </w:rPr>
        <w:t xml:space="preserve"> 在行业地图之上还有一条顶层规则：西藏办法明确建设单位应当根据项目情况和自身管理能力等，合理选择工程建设组织实施方式（P3015）；西安导则同样把"建设内容明确、技术方案成熟"作为适宜采用工程总承包方式招标的前提（P3017）。这两条看似平淡的规定，实际上是需求侧的总开关——EPC的实质是业主把管理风险外包给总承包商，业主管理能力越弱、项目前期条件越成熟，EPC的采纳意愿越强。据此可以推出一个实用的需求侧判断式：盯住"前期条件成熟度"与"业主管理能力"两个变量的组合，比盯住固定资产投资总量更能预判一个区域、一个行业的总承包订单释放节奏。</w:t>
      </w:r>
    </w:p>
    <w:p>
      <w:r>
        <w:rPr>
          <w:rFonts w:ascii="Calibri" w:hAnsi="Calibri" w:eastAsia="微软雅黑"/>
          <w:b/>
          <w:i w:val="0"/>
          <w:sz w:val="22"/>
        </w:rPr>
        <w:t>反向清单：哪些项目不该用EPC。</w:t>
      </w:r>
      <w:r>
        <w:rPr>
          <w:rFonts w:ascii="Calibri" w:hAnsi="Calibri" w:eastAsia="微软雅黑"/>
          <w:b w:val="0"/>
          <w:i w:val="0"/>
          <w:sz w:val="22"/>
        </w:rPr>
        <w:t xml:space="preserve"> 需求地图必须包含负空间。西安市导则明确列出三类不宜采用工程总承包模式招标的情形：其一，工程建设范围、建设规模、建设标准、功能需求、投资限额、工程质量、工程进度等前期条件不明确、不充分的工程项目；其二，工程时间紧迫、无法确保投标人有充足时间研究招标文件的工程项目；其三，对个性化要求较高、情况较复杂、建设需求和标准存在较多变数的项目，例如地下工程为主的建设工程（综合管廊项目除外）、纪念性建筑、文体场馆等（P3017）。这张反向清单对设计院是一层保护：需求边界模糊的项目恰恰是总价包干合同的利润绞肉机，主动放弃与被套牢之间，隔着的就是这条清单。</w:t>
      </w:r>
    </w:p>
    <w:p>
      <w:r>
        <w:rPr>
          <w:rFonts w:ascii="Calibri" w:hAnsi="Calibri" w:eastAsia="微软雅黑"/>
          <w:b w:val="0"/>
          <w:i w:val="0"/>
          <w:sz w:val="22"/>
        </w:rPr>
        <w:t>把以上行业逐一看过，需求地图上可以提炼出三条贯穿性规律。规律一：一个行业的总承包渗透深度，与该行业设计环节对造价和采购的控制力正相关——化工石化是最早的先行区（P3010），核电是渗透最深的深水区（P3004），石化是方法论的原型场（P3003），全部是"设计说话算数"的行业。规律二：政策制造的需求先于市场自生的需求放量——装配式原则上采用总承包（P3015）（P3023）、政府投资项目带头（P3023）创造了确定性订单，但这类订单同时受地方财政纪律约束（P3014），放量与回款风险同源。规律三：负空间与正空间同样值钱——西安三类不宜情形（P3017）划出的不仅是业主的避险区，更是总承包商的止损区。三条规律合起来的决策含义：设计院选择总承包赛道的第一依据不是哪里市场大，而是自己的设计能力在哪个行业能兑换成造价与采购的控制权。</w:t>
      </w:r>
    </w:p>
    <w:p>
      <w:r>
        <w:rPr>
          <w:rFonts w:ascii="Calibri" w:hAnsi="Calibri" w:eastAsia="微软雅黑"/>
          <w:b/>
          <w:i w:val="0"/>
          <w:sz w:val="22"/>
        </w:rPr>
        <w:t>表3-3 需求侧行业结构对照（据P3004/P3007/P3006/P3003/P3023/P3015/P3016各案例源交叉整理）</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行业赛道</w:t>
            </w:r>
          </w:p>
        </w:tc>
        <w:tc>
          <w:tcPr>
            <w:tcW w:type="dxa" w:w="1660"/>
            <w:shd w:fill="1F3A5F"/>
          </w:tcPr>
          <w:p>
            <w:r>
              <w:rPr>
                <w:color w:val="FFFFFF"/>
              </w:rPr>
            </w:r>
            <w:r>
              <w:rPr>
                <w:rFonts w:ascii="Calibri" w:hAnsi="Calibri" w:eastAsia="微软雅黑"/>
                <w:b/>
                <w:i w:val="0"/>
                <w:color w:val="FFFFFF"/>
                <w:sz w:val="18"/>
              </w:rPr>
              <w:t>可查证案例与量级</w:t>
            </w:r>
          </w:p>
        </w:tc>
        <w:tc>
          <w:tcPr>
            <w:tcW w:type="dxa" w:w="1660"/>
            <w:shd w:fill="1F3A5F"/>
          </w:tcPr>
          <w:p>
            <w:r>
              <w:rPr>
                <w:color w:val="FFFFFF"/>
              </w:rPr>
            </w:r>
            <w:r>
              <w:rPr>
                <w:rFonts w:ascii="Calibri" w:hAnsi="Calibri" w:eastAsia="微软雅黑"/>
                <w:b/>
                <w:i w:val="0"/>
                <w:color w:val="FFFFFF"/>
                <w:sz w:val="18"/>
              </w:rPr>
              <w:t>需求特征</w:t>
            </w:r>
          </w:p>
        </w:tc>
        <w:tc>
          <w:tcPr>
            <w:tcW w:type="dxa" w:w="1660"/>
            <w:shd w:fill="1F3A5F"/>
          </w:tcPr>
          <w:p>
            <w:r>
              <w:rPr>
                <w:color w:val="FFFFFF"/>
              </w:rPr>
            </w:r>
            <w:r>
              <w:rPr>
                <w:rFonts w:ascii="Calibri" w:hAnsi="Calibri" w:eastAsia="微软雅黑"/>
                <w:b/>
                <w:i w:val="0"/>
                <w:color w:val="FFFFFF"/>
                <w:sz w:val="18"/>
              </w:rPr>
              <w:t>EPC适配逻辑</w:t>
            </w:r>
          </w:p>
        </w:tc>
        <w:tc>
          <w:tcPr>
            <w:tcW w:type="dxa" w:w="1660"/>
            <w:shd w:fill="1F3A5F"/>
          </w:tcPr>
          <w:p>
            <w:r>
              <w:rPr>
                <w:color w:val="FFFFFF"/>
              </w:rPr>
            </w:r>
            <w:r>
              <w:rPr>
                <w:rFonts w:ascii="Calibri" w:hAnsi="Calibri" w:eastAsia="微软雅黑"/>
                <w:b/>
                <w:i w:val="0"/>
                <w:color w:val="FFFFFF"/>
                <w:sz w:val="18"/>
              </w:rPr>
              <w:t>锚</w:t>
            </w:r>
          </w:p>
        </w:tc>
      </w:tr>
      <w:tr>
        <w:tc>
          <w:tcPr>
            <w:tcW w:type="dxa" w:w="1660"/>
          </w:tcPr>
          <w:p>
            <w:r/>
            <w:r>
              <w:rPr>
                <w:rFonts w:ascii="Calibri" w:hAnsi="Calibri" w:eastAsia="微软雅黑"/>
                <w:b w:val="0"/>
                <w:i w:val="0"/>
                <w:sz w:val="18"/>
              </w:rPr>
              <w:t>核电</w:t>
            </w:r>
          </w:p>
        </w:tc>
        <w:tc>
          <w:tcPr>
            <w:tcW w:type="dxa" w:w="1660"/>
          </w:tcPr>
          <w:p>
            <w:r/>
            <w:r>
              <w:rPr>
                <w:rFonts w:ascii="Calibri" w:hAnsi="Calibri" w:eastAsia="微软雅黑"/>
                <w:b w:val="0"/>
                <w:i w:val="0"/>
                <w:sz w:val="18"/>
              </w:rPr>
              <w:t>单台机组投资通常超200亿元，建设周期通常5-7年</w:t>
            </w:r>
          </w:p>
        </w:tc>
        <w:tc>
          <w:tcPr>
            <w:tcW w:type="dxa" w:w="1660"/>
          </w:tcPr>
          <w:p>
            <w:r/>
            <w:r>
              <w:rPr>
                <w:rFonts w:ascii="Calibri" w:hAnsi="Calibri" w:eastAsia="微软雅黑"/>
                <w:b w:val="0"/>
                <w:i w:val="0"/>
                <w:sz w:val="18"/>
              </w:rPr>
              <w:t>超长周期、超高安全门槛、政策确定性强</w:t>
            </w:r>
          </w:p>
        </w:tc>
        <w:tc>
          <w:tcPr>
            <w:tcW w:type="dxa" w:w="1660"/>
          </w:tcPr>
          <w:p>
            <w:r/>
            <w:r>
              <w:rPr>
                <w:rFonts w:ascii="Calibri" w:hAnsi="Calibri" w:eastAsia="微软雅黑"/>
                <w:b w:val="0"/>
                <w:i w:val="0"/>
                <w:sz w:val="18"/>
              </w:rPr>
              <w:t>设计-采购-施工一体化对冲接口失配风险</w:t>
            </w:r>
          </w:p>
        </w:tc>
        <w:tc>
          <w:tcPr>
            <w:tcW w:type="dxa" w:w="1660"/>
          </w:tcPr>
          <w:p>
            <w:r/>
            <w:r>
              <w:rPr>
                <w:rFonts w:ascii="Calibri" w:hAnsi="Calibri" w:eastAsia="微软雅黑"/>
                <w:b w:val="0"/>
                <w:i w:val="0"/>
                <w:sz w:val="18"/>
              </w:rPr>
              <w:t>P3004</w:t>
            </w:r>
          </w:p>
        </w:tc>
      </w:tr>
      <w:tr>
        <w:tc>
          <w:tcPr>
            <w:tcW w:type="dxa" w:w="1660"/>
          </w:tcPr>
          <w:p>
            <w:r/>
            <w:r>
              <w:rPr>
                <w:rFonts w:ascii="Calibri" w:hAnsi="Calibri" w:eastAsia="微软雅黑"/>
                <w:b w:val="0"/>
                <w:i w:val="0"/>
                <w:sz w:val="18"/>
              </w:rPr>
              <w:t>电力/新能源</w:t>
            </w:r>
          </w:p>
        </w:tc>
        <w:tc>
          <w:tcPr>
            <w:tcW w:type="dxa" w:w="1660"/>
          </w:tcPr>
          <w:p>
            <w:r/>
            <w:r>
              <w:rPr>
                <w:rFonts w:ascii="Calibri" w:hAnsi="Calibri" w:eastAsia="微软雅黑"/>
                <w:b w:val="0"/>
                <w:i w:val="0"/>
                <w:sz w:val="18"/>
              </w:rPr>
              <w:t>利港升压站2.2 亿元级竞标；开封120MW光伏EPC 8.0016 亿元、100历日</w:t>
            </w:r>
          </w:p>
        </w:tc>
        <w:tc>
          <w:tcPr>
            <w:tcW w:type="dxa" w:w="1660"/>
          </w:tcPr>
          <w:p>
            <w:r/>
            <w:r>
              <w:rPr>
                <w:rFonts w:ascii="Calibri" w:hAnsi="Calibri" w:eastAsia="微软雅黑"/>
                <w:b w:val="0"/>
                <w:i w:val="0"/>
                <w:sz w:val="18"/>
              </w:rPr>
              <w:t>单体中等、工期极短、付款节点绑定进度</w:t>
            </w:r>
          </w:p>
        </w:tc>
        <w:tc>
          <w:tcPr>
            <w:tcW w:type="dxa" w:w="1660"/>
          </w:tcPr>
          <w:p>
            <w:r/>
            <w:r>
              <w:rPr>
                <w:rFonts w:ascii="Calibri" w:hAnsi="Calibri" w:eastAsia="微软雅黑"/>
                <w:b w:val="0"/>
                <w:i w:val="0"/>
                <w:sz w:val="18"/>
              </w:rPr>
              <w:t>设计院可全程主导，供应商直付控现金流</w:t>
            </w:r>
          </w:p>
        </w:tc>
        <w:tc>
          <w:tcPr>
            <w:tcW w:type="dxa" w:w="1660"/>
          </w:tcPr>
          <w:p>
            <w:r/>
            <w:r>
              <w:rPr>
                <w:rFonts w:ascii="Calibri" w:hAnsi="Calibri" w:eastAsia="微软雅黑"/>
                <w:b w:val="0"/>
                <w:i w:val="0"/>
                <w:sz w:val="18"/>
              </w:rPr>
              <w:t>P3007、P3006</w:t>
            </w:r>
          </w:p>
        </w:tc>
      </w:tr>
      <w:tr>
        <w:tc>
          <w:tcPr>
            <w:tcW w:type="dxa" w:w="1660"/>
          </w:tcPr>
          <w:p>
            <w:r/>
            <w:r>
              <w:rPr>
                <w:rFonts w:ascii="Calibri" w:hAnsi="Calibri" w:eastAsia="微软雅黑"/>
                <w:b w:val="0"/>
                <w:i w:val="0"/>
                <w:sz w:val="18"/>
              </w:rPr>
              <w:t>综合能源</w:t>
            </w:r>
          </w:p>
        </w:tc>
        <w:tc>
          <w:tcPr>
            <w:tcW w:type="dxa" w:w="1660"/>
          </w:tcPr>
          <w:p>
            <w:r/>
            <w:r>
              <w:rPr>
                <w:rFonts w:ascii="Calibri" w:hAnsi="Calibri" w:eastAsia="微软雅黑"/>
                <w:b w:val="0"/>
                <w:i w:val="0"/>
                <w:sz w:val="18"/>
              </w:rPr>
              <w:t>澄迈能源站综合能源利用率83.6%以上 vs 传统约65%-70%</w:t>
            </w:r>
          </w:p>
        </w:tc>
        <w:tc>
          <w:tcPr>
            <w:tcW w:type="dxa" w:w="1660"/>
          </w:tcPr>
          <w:p>
            <w:r/>
            <w:r>
              <w:rPr>
                <w:rFonts w:ascii="Calibri" w:hAnsi="Calibri" w:eastAsia="微软雅黑"/>
                <w:b w:val="0"/>
                <w:i w:val="0"/>
                <w:sz w:val="18"/>
              </w:rPr>
              <w:t>能效指标即商务指标</w:t>
            </w:r>
          </w:p>
        </w:tc>
        <w:tc>
          <w:tcPr>
            <w:tcW w:type="dxa" w:w="1660"/>
          </w:tcPr>
          <w:p>
            <w:r/>
            <w:r>
              <w:rPr>
                <w:rFonts w:ascii="Calibri" w:hAnsi="Calibri" w:eastAsia="微软雅黑"/>
                <w:b w:val="0"/>
                <w:i w:val="0"/>
                <w:sz w:val="18"/>
              </w:rPr>
              <w:t>技术溢价可量化、可考核</w:t>
            </w:r>
          </w:p>
        </w:tc>
        <w:tc>
          <w:tcPr>
            <w:tcW w:type="dxa" w:w="1660"/>
          </w:tcPr>
          <w:p>
            <w:r/>
            <w:r>
              <w:rPr>
                <w:rFonts w:ascii="Calibri" w:hAnsi="Calibri" w:eastAsia="微软雅黑"/>
                <w:b w:val="0"/>
                <w:i w:val="0"/>
                <w:sz w:val="18"/>
              </w:rPr>
              <w:t>P3006</w:t>
            </w:r>
          </w:p>
        </w:tc>
      </w:tr>
      <w:tr>
        <w:tc>
          <w:tcPr>
            <w:tcW w:type="dxa" w:w="1660"/>
          </w:tcPr>
          <w:p>
            <w:r/>
            <w:r>
              <w:rPr>
                <w:rFonts w:ascii="Calibri" w:hAnsi="Calibri" w:eastAsia="微软雅黑"/>
                <w:b w:val="0"/>
                <w:i w:val="0"/>
                <w:sz w:val="18"/>
              </w:rPr>
              <w:t>特种工业</w:t>
            </w:r>
          </w:p>
        </w:tc>
        <w:tc>
          <w:tcPr>
            <w:tcW w:type="dxa" w:w="1660"/>
          </w:tcPr>
          <w:p>
            <w:r/>
            <w:r>
              <w:rPr>
                <w:rFonts w:ascii="Calibri" w:hAnsi="Calibri" w:eastAsia="微软雅黑"/>
                <w:b w:val="0"/>
                <w:i w:val="0"/>
                <w:sz w:val="18"/>
              </w:rPr>
              <w:t>18000kW试验系统历时2年（含5个月试运行）</w:t>
            </w:r>
          </w:p>
        </w:tc>
        <w:tc>
          <w:tcPr>
            <w:tcW w:type="dxa" w:w="1660"/>
          </w:tcPr>
          <w:p>
            <w:r/>
            <w:r>
              <w:rPr>
                <w:rFonts w:ascii="Calibri" w:hAnsi="Calibri" w:eastAsia="微软雅黑"/>
                <w:b w:val="0"/>
                <w:i w:val="0"/>
                <w:sz w:val="18"/>
              </w:rPr>
              <w:t>极高专业壁垒、全国性稀缺订单</w:t>
            </w:r>
          </w:p>
        </w:tc>
        <w:tc>
          <w:tcPr>
            <w:tcW w:type="dxa" w:w="1660"/>
          </w:tcPr>
          <w:p>
            <w:r/>
            <w:r>
              <w:rPr>
                <w:rFonts w:ascii="Calibri" w:hAnsi="Calibri" w:eastAsia="微软雅黑"/>
                <w:b w:val="0"/>
                <w:i w:val="0"/>
                <w:sz w:val="18"/>
              </w:rPr>
              <w:t>填补空白的定制化EPC</w:t>
            </w:r>
          </w:p>
        </w:tc>
        <w:tc>
          <w:tcPr>
            <w:tcW w:type="dxa" w:w="1660"/>
          </w:tcPr>
          <w:p>
            <w:r/>
            <w:r>
              <w:rPr>
                <w:rFonts w:ascii="Calibri" w:hAnsi="Calibri" w:eastAsia="微软雅黑"/>
                <w:b w:val="0"/>
                <w:i w:val="0"/>
                <w:sz w:val="18"/>
              </w:rPr>
              <w:t>P3006</w:t>
            </w:r>
          </w:p>
        </w:tc>
      </w:tr>
      <w:tr>
        <w:tc>
          <w:tcPr>
            <w:tcW w:type="dxa" w:w="1660"/>
          </w:tcPr>
          <w:p>
            <w:r/>
            <w:r>
              <w:rPr>
                <w:rFonts w:ascii="Calibri" w:hAnsi="Calibri" w:eastAsia="微软雅黑"/>
                <w:b w:val="0"/>
                <w:i w:val="0"/>
                <w:sz w:val="18"/>
              </w:rPr>
              <w:t>石化</w:t>
            </w:r>
          </w:p>
        </w:tc>
        <w:tc>
          <w:tcPr>
            <w:tcW w:type="dxa" w:w="1660"/>
          </w:tcPr>
          <w:p>
            <w:r/>
            <w:r>
              <w:rPr>
                <w:rFonts w:ascii="Calibri" w:hAnsi="Calibri" w:eastAsia="微软雅黑"/>
                <w:b w:val="0"/>
                <w:i w:val="0"/>
                <w:sz w:val="18"/>
              </w:rPr>
              <w:t>概算三法+设备安装四法</w:t>
            </w:r>
          </w:p>
        </w:tc>
        <w:tc>
          <w:tcPr>
            <w:tcW w:type="dxa" w:w="1660"/>
          </w:tcPr>
          <w:p>
            <w:r/>
            <w:r>
              <w:rPr>
                <w:rFonts w:ascii="Calibri" w:hAnsi="Calibri" w:eastAsia="微软雅黑"/>
                <w:b w:val="0"/>
                <w:i w:val="0"/>
                <w:sz w:val="18"/>
              </w:rPr>
              <w:t>设计深度决定成本控制</w:t>
            </w:r>
          </w:p>
        </w:tc>
        <w:tc>
          <w:tcPr>
            <w:tcW w:type="dxa" w:w="1660"/>
          </w:tcPr>
          <w:p>
            <w:r/>
            <w:r>
              <w:rPr>
                <w:rFonts w:ascii="Calibri" w:hAnsi="Calibri" w:eastAsia="微软雅黑"/>
                <w:b w:val="0"/>
                <w:i w:val="0"/>
                <w:sz w:val="18"/>
              </w:rPr>
              <w:t>设计主导型EPC的原型场</w:t>
            </w:r>
          </w:p>
        </w:tc>
        <w:tc>
          <w:tcPr>
            <w:tcW w:type="dxa" w:w="1660"/>
          </w:tcPr>
          <w:p>
            <w:r/>
            <w:r>
              <w:rPr>
                <w:rFonts w:ascii="Calibri" w:hAnsi="Calibri" w:eastAsia="微软雅黑"/>
                <w:b w:val="0"/>
                <w:i w:val="0"/>
                <w:sz w:val="18"/>
              </w:rPr>
              <w:t>P3003</w:t>
            </w:r>
          </w:p>
        </w:tc>
      </w:tr>
      <w:tr>
        <w:tc>
          <w:tcPr>
            <w:tcW w:type="dxa" w:w="1660"/>
          </w:tcPr>
          <w:p>
            <w:r/>
            <w:r>
              <w:rPr>
                <w:rFonts w:ascii="Calibri" w:hAnsi="Calibri" w:eastAsia="微软雅黑"/>
                <w:b w:val="0"/>
                <w:i w:val="0"/>
                <w:sz w:val="18"/>
              </w:rPr>
              <w:t>房建市政/城市更新</w:t>
            </w:r>
          </w:p>
        </w:tc>
        <w:tc>
          <w:tcPr>
            <w:tcW w:type="dxa" w:w="1660"/>
          </w:tcPr>
          <w:p>
            <w:r/>
            <w:r>
              <w:rPr>
                <w:rFonts w:ascii="Calibri" w:hAnsi="Calibri" w:eastAsia="微软雅黑"/>
                <w:b w:val="0"/>
                <w:i w:val="0"/>
                <w:sz w:val="18"/>
              </w:rPr>
              <w:t>喀什7街道45小区1.46万㎡</w:t>
            </w:r>
          </w:p>
        </w:tc>
        <w:tc>
          <w:tcPr>
            <w:tcW w:type="dxa" w:w="1660"/>
          </w:tcPr>
          <w:p>
            <w:r/>
            <w:r>
              <w:rPr>
                <w:rFonts w:ascii="Calibri" w:hAnsi="Calibri" w:eastAsia="微软雅黑"/>
                <w:b w:val="0"/>
                <w:i w:val="0"/>
                <w:sz w:val="18"/>
              </w:rPr>
              <w:t>政策推动、地方财政绑定、量大面广</w:t>
            </w:r>
          </w:p>
        </w:tc>
        <w:tc>
          <w:tcPr>
            <w:tcW w:type="dxa" w:w="1660"/>
          </w:tcPr>
          <w:p>
            <w:r/>
            <w:r>
              <w:rPr>
                <w:rFonts w:ascii="Calibri" w:hAnsi="Calibri" w:eastAsia="微软雅黑"/>
                <w:b w:val="0"/>
                <w:i w:val="0"/>
                <w:sz w:val="18"/>
              </w:rPr>
              <w:t>装配式原则上采用EPC</w:t>
            </w:r>
          </w:p>
        </w:tc>
        <w:tc>
          <w:tcPr>
            <w:tcW w:type="dxa" w:w="1660"/>
          </w:tcPr>
          <w:p>
            <w:r/>
            <w:r>
              <w:rPr>
                <w:rFonts w:ascii="Calibri" w:hAnsi="Calibri" w:eastAsia="微软雅黑"/>
                <w:b w:val="0"/>
                <w:i w:val="0"/>
                <w:sz w:val="18"/>
              </w:rPr>
              <w:t>P3006、P3023、P3015</w:t>
            </w:r>
          </w:p>
        </w:tc>
      </w:tr>
      <w:tr>
        <w:tc>
          <w:tcPr>
            <w:tcW w:type="dxa" w:w="1660"/>
          </w:tcPr>
          <w:p>
            <w:r/>
            <w:r>
              <w:rPr>
                <w:rFonts w:ascii="Calibri" w:hAnsi="Calibri" w:eastAsia="微软雅黑"/>
                <w:b w:val="0"/>
                <w:i w:val="0"/>
                <w:sz w:val="18"/>
              </w:rPr>
              <w:t>水利</w:t>
            </w:r>
          </w:p>
        </w:tc>
        <w:tc>
          <w:tcPr>
            <w:tcW w:type="dxa" w:w="1660"/>
          </w:tcPr>
          <w:p>
            <w:r/>
            <w:r>
              <w:rPr>
                <w:rFonts w:ascii="Calibri" w:hAnsi="Calibri" w:eastAsia="微软雅黑"/>
                <w:b w:val="0"/>
                <w:i w:val="0"/>
                <w:sz w:val="18"/>
              </w:rPr>
              <w:t>长江流域19省市区，五省有专门规定</w:t>
            </w:r>
          </w:p>
        </w:tc>
        <w:tc>
          <w:tcPr>
            <w:tcW w:type="dxa" w:w="1660"/>
          </w:tcPr>
          <w:p>
            <w:r/>
            <w:r>
              <w:rPr>
                <w:rFonts w:ascii="Calibri" w:hAnsi="Calibri" w:eastAsia="微软雅黑"/>
                <w:b w:val="0"/>
                <w:i w:val="0"/>
                <w:sz w:val="18"/>
              </w:rPr>
              <w:t>公益性强、回报周期长、中小项目为主</w:t>
            </w:r>
          </w:p>
        </w:tc>
        <w:tc>
          <w:tcPr>
            <w:tcW w:type="dxa" w:w="1660"/>
          </w:tcPr>
          <w:p>
            <w:r/>
            <w:r>
              <w:rPr>
                <w:rFonts w:ascii="Calibri" w:hAnsi="Calibri" w:eastAsia="微软雅黑"/>
                <w:b w:val="0"/>
                <w:i w:val="0"/>
                <w:sz w:val="18"/>
              </w:rPr>
              <w:t>规则分散，属地资质院占优</w:t>
            </w:r>
          </w:p>
        </w:tc>
        <w:tc>
          <w:tcPr>
            <w:tcW w:type="dxa" w:w="1660"/>
          </w:tcPr>
          <w:p>
            <w:r/>
            <w:r>
              <w:rPr>
                <w:rFonts w:ascii="Calibri" w:hAnsi="Calibri" w:eastAsia="微软雅黑"/>
                <w:b w:val="0"/>
                <w:i w:val="0"/>
                <w:sz w:val="18"/>
              </w:rPr>
              <w:t>P3016</w:t>
            </w:r>
          </w:p>
        </w:tc>
      </w:tr>
    </w:tbl>
    <w:p>
      <w:r>
        <w:rPr>
          <w:rFonts w:ascii="Calibri" w:hAnsi="Calibri" w:eastAsia="微软雅黑"/>
          <w:b/>
          <w:i w:val="0"/>
          <w:sz w:val="22"/>
        </w:rPr>
        <w:t>所以呢（给决策者的三句话）</w:t>
      </w:r>
      <w:r>
        <w:rPr>
          <w:rFonts w:ascii="Calibri" w:hAnsi="Calibri" w:eastAsia="微软雅黑"/>
          <w:b w:val="0"/>
          <w:i w:val="0"/>
          <w:sz w:val="22"/>
        </w:rPr>
        <w:t>：第一，选赛道就是选风险结构——核电要熬周期、新能源要抢工期、房建市政要管回款、水利要拼属地规则，没有"都做"的选项；第二，设计院的可及市场排序应当以自身行业资质为第一过滤器，以行业设计概算能力为第二过滤器；第三，西安导则那三类不宜情形（P3017）应直接写进贵院的投标否决清单，放弃模糊项目不是保守，是风控。</w:t>
      </w:r>
    </w:p>
    <w:p>
      <w:pPr>
        <w:pStyle w:val="Heading2"/>
      </w:pPr>
      <w:r>
        <w:t>3.4 供给侧格局：牌桌上坐着谁，价差决定生死</w:t>
      </w:r>
    </w:p>
    <w:p>
      <w:r>
        <w:rPr>
          <w:rFonts w:ascii="Calibri" w:hAnsi="Calibri" w:eastAsia="微软雅黑"/>
          <w:b w:val="0"/>
          <w:i w:val="0"/>
          <w:sz w:val="22"/>
        </w:rPr>
        <w:t>需求侧决定蛋糕怎么分行业，供给侧决定蛋糕被谁吃掉。这一节回答管理层最关心的问题：我们的对手是谁，竞争惨烈到什么程度。</w:t>
      </w:r>
    </w:p>
    <w:p>
      <w:r>
        <w:rPr>
          <w:rFonts w:ascii="Calibri" w:hAnsi="Calibri" w:eastAsia="微软雅黑"/>
          <w:b/>
          <w:i w:val="0"/>
          <w:sz w:val="22"/>
        </w:rPr>
        <w:t>第一梯队：央企设计院军团。</w:t>
      </w:r>
      <w:r>
        <w:rPr>
          <w:rFonts w:ascii="Calibri" w:hAnsi="Calibri" w:eastAsia="微软雅黑"/>
          <w:b w:val="0"/>
          <w:i w:val="0"/>
          <w:sz w:val="22"/>
        </w:rPr>
        <w:t xml:space="preserve"> 中机国际（前身为机械工业部第八设计研究院）创建于1951年，拥有8个行业甲级设计资质，具备市政施工总承包一级（P3006）；在职员工2400余人，高级专家及各类注册师700余人，注册人员占比超29%，累计完成工程设计20000余项（P3006）；主参编240余项国家/行业标准，跻身ENR中国工程设计企业60强榜单（P3006）。这张画像的关键不在规模，而在结构：8个行业甲级意味着跨赛道机动能力，240余项标准意味着规则制定权，ENR60强意味着国际工程市场的入场坐标。同梯队的还有核电赛道的中核工程——以华龙一号构建全产业链整合能力（P3004），石化赛道的中石化南京工程——以"双源合一"奠定EPC法人级交付基座（P3003）。央企军团的三张王牌是资质、标准、资本，这是任何地方设计院都无法正面复制的。</w:t>
      </w:r>
    </w:p>
    <w:p>
      <w:r>
        <w:rPr>
          <w:rFonts w:ascii="Calibri" w:hAnsi="Calibri" w:eastAsia="微软雅黑"/>
          <w:b w:val="0"/>
          <w:i w:val="0"/>
          <w:sz w:val="22"/>
        </w:rPr>
        <w:t>第一梯队正在叠加第四张王牌：数智化底座。中机国际2023年全面启用用友BIP，落地"1344"数智化指导框架，将财务核算由"收付实现制"倒逼升级为"权责发生制"，解决了工程总承包"干完才知道盈亏"的传统阵痛（P3006）。这句话的分量在于它点破了总承包生意的命门：设计费生意按图纸交付即可确认收入，总承包生意要等采购、施工、结算全链条走完才知道盈亏——没有权责发生制穿透的财务系统，规模越大、账越黑。头部企业已经把财务核算体系升级当作总承包上量的前置工程（P3006），这抬高了整个供给侧的管理门槛：未来三年，"有没有项目级的实时成本穿透能力"会像"有没有施工业绩"一样成为投标资格的实质条件。（该组企业数据统计截止日为其源报告声明的2026年10月04日（P3006）。）</w:t>
      </w:r>
    </w:p>
    <w:p>
      <w:r>
        <w:rPr>
          <w:rFonts w:ascii="Calibri" w:hAnsi="Calibri" w:eastAsia="微软雅黑"/>
          <w:b w:val="0"/>
          <w:i w:val="0"/>
          <w:sz w:val="22"/>
        </w:rPr>
        <w:t>政策对供给侧能力还给出了成文的最低配置。国家文件要求工程总承包单位应当设立项目管理机构，加强设计、采购与施工的协调，完善和优化设计，改进施工方案，实现对工程总承包项目的有效管理控制；工程总承包（EPC）项目经理应当熟悉工程技术和工程总承包项目管理知识以及相关法律法规、标准规范，并具有较强的组织协调能力和良好的职业道德（P3020）。注意这份清单里没有一条是"画图能力"——总承包对企业要求的底层能力是协调、采购、施工管理与法务标准，绘图只是入口技能。设计院盘点转型家底时，应当按这份官方清单逐项对表，而不是按设计院传统的人员职称结构自评。</w:t>
      </w:r>
    </w:p>
    <w:p>
      <w:r>
        <w:rPr>
          <w:rFonts w:ascii="Calibri" w:hAnsi="Calibri" w:eastAsia="微软雅黑"/>
          <w:b w:val="0"/>
          <w:i w:val="0"/>
          <w:sz w:val="22"/>
        </w:rPr>
        <w:t>供给过剩背景下，区域选择成为供给侧的第二个结构变量。政策研究层面的判断是明确的：2019年12月《求是》杂志文章《推动形成优势互补高质量发展的区域经济布局》指出产业和人口向优势区域集中、形成以城市群为主要形态的增长动力源是经济规律（P3012）；上海交大陆铭教授在《大国大城》中提出整个国家未来的发展要尊重经济发展的客观规律（P3012）；据此的推论是未来人口会更加向东部、沿海、沿长江聚集，建筑业的未来和市场要更多关注这些地区（P3012）。对总承包市场而言，这条"胡焕庸线式"的分布判断意味着：东部沿海沿江的城市群是订单密度与回款质量的双重高地，而人口流出区域的政府投资类项目要按现金流高风险资产对待。海外则是另一个泄压阀——面对"要不要做海外业务"的普遍犹豫，攀成德给出的回答十分坚定："去做，一定要做"，分歧只在什么时间做、怎么去做（P3012）；而走出去的最大难题不是技术，而是改造自己以适应国际惯用的菲迪克条款和工程总承包模式（P3023）。国际市场既是产能出口，也是倒逼自身规范化的一台外部压力机。</w:t>
      </w:r>
    </w:p>
    <w:p>
      <w:r>
        <w:rPr>
          <w:rFonts w:ascii="Calibri" w:hAnsi="Calibri" w:eastAsia="微软雅黑"/>
          <w:b/>
          <w:i w:val="0"/>
          <w:sz w:val="22"/>
        </w:rPr>
        <w:t>第二梯队：省级院的差异化定位。</w:t>
      </w:r>
      <w:r>
        <w:rPr>
          <w:rFonts w:ascii="Calibri" w:hAnsi="Calibri" w:eastAsia="微软雅黑"/>
          <w:b w:val="0"/>
          <w:i w:val="0"/>
          <w:sz w:val="22"/>
        </w:rPr>
        <w:t xml:space="preserve"> 中国能源建设集团安徽省电力设计院给出了一个可复制的定位样本。它的转型背景具有代表性：在"双碳"目标与新型电力系统建设背景下，从传统单一电力勘察设计院向综合性EPC总承包工程公司转型，将总承包确立为核心生存发展战略（P3007）。其方法论概括为：从传统电力勘察设计向EPC转型的本质，是利用设计端对工程70%以上造价的源头控制力，杠杆化撬动数百倍于设计费的工程总包市场（P3007）；其路径被概括为"设计为龙头、资源集成商、风险隔离器"的平台化定位，通过强强联合建立与头部施工企业及供应链的背靠背契约网络，将垫资、履约延误与安质环风险合法下传（P3007）。这个定位的潜台词值得逐字品：设计院不做重资产施工，而做风险的结构化分配者。它同时也揭示了一个冷峻的对照——即便手握70%以上的造价控制力（P3007），省级院在纯价格竞标中依然可能以2.37%的微弱劣势出局（P3007）：设计优势是入场券，不是护城河；护城河要用供应链与契约网络一砖一瓦另建。</w:t>
      </w:r>
    </w:p>
    <w:p>
      <w:r>
        <w:rPr>
          <w:rFonts w:ascii="Calibri" w:hAnsi="Calibri" w:eastAsia="微软雅黑"/>
          <w:b/>
          <w:i w:val="0"/>
          <w:sz w:val="22"/>
        </w:rPr>
        <w:t>竞争烈度的量化：2.37%的生死线。</w:t>
      </w:r>
      <w:r>
        <w:rPr>
          <w:rFonts w:ascii="Calibri" w:hAnsi="Calibri" w:eastAsia="微软雅黑"/>
          <w:b w:val="0"/>
          <w:i w:val="0"/>
          <w:sz w:val="22"/>
        </w:rPr>
        <w:t xml:space="preserve"> 供给侧最残酷的一组数字来自安徽院的实证竞标：江苏利港电厂升压站EPC竞标中，安徽院报价1.8415亿元，第一名报价1.7988亿元，价差427.03万元，占合同额约2.37%（P3007）；该案例的直接结论是供应链采办与分包溢价一旦超过2%，招投标即告失利（P3007）。把这个数字翻译成管理语言：一家年设计费几亿元的省级院，在EPC竞标里的胜负手是2%量级的采购与分包溢价控制能力——这不是设计能力问题，是供应链管理问题。设计院转型EPC最常见的死因，不是不会设计，而是管不住下游两百个供应商的报价。</w:t>
      </w:r>
    </w:p>
    <w:p>
      <w:r>
        <w:rPr>
          <w:rFonts w:ascii="Calibri" w:hAnsi="Calibri" w:eastAsia="微软雅黑"/>
          <w:b/>
          <w:i w:val="0"/>
          <w:sz w:val="22"/>
        </w:rPr>
        <w:t>宏观产能背景：为什么牌桌越来越挤。</w:t>
      </w:r>
      <w:r>
        <w:rPr>
          <w:rFonts w:ascii="Calibri" w:hAnsi="Calibri" w:eastAsia="微软雅黑"/>
          <w:b w:val="0"/>
          <w:i w:val="0"/>
          <w:sz w:val="22"/>
        </w:rPr>
        <w:t xml:space="preserve"> 竞争烈度的背后是整个建筑业的产能过剩。2020年建筑业从业人数5400万人，大量失业将给社会带来极大的不稳定因素，因此只能向海外转移产能（P3023）；行业共识是大建筑业总体达到顶峰（P3023）；更直接的判断来自攀成德的观察——施工企业领导所焦虑、所彷徨、在"围城"里进退两难的实质原因，是整个中国建筑业的市场不能满足施工企业这么大的产能的需要（P3012）。在这样的背景下，企业战略呈现典型的"围城效应"：房建企业想去做市政，市政企业想去干公路，公路企业想干铁路，铁路企业发现房建业务还不错（P3012）；而"十四五"战略规划中，企业设定的增长目标最小年增长11%，15%意味着5年左右翻一番，年增长20%的很多，年增长30%的不在少数，有客户的新签合同额目标从500亿元一路上调至800亿元、最终定在1000亿元（P3012）。设计院必须清醒：当所有工程企业都在把总承包当作消化产能的出口时（P3023），EPC市场的供给过剩是结构性的、长期的，2%的价差生死线只会更紧不会更松。</w:t>
      </w:r>
    </w:p>
    <w:p>
      <w:r>
        <w:rPr>
          <w:rFonts w:ascii="Calibri" w:hAnsi="Calibri" w:eastAsia="微软雅黑"/>
          <w:b w:val="0"/>
          <w:i w:val="0"/>
          <w:sz w:val="22"/>
        </w:rPr>
        <w:t>理解这种集体焦虑的时代坐标，有助于判断周期位置。行业正处于"分水岭"阶段：改革从酝酿阶段进入实质性推动阶段；国家政策的内生动力逐步增强，以更加市场化的方式影响着行业；建筑行业十分依赖固定资产投资的状态发生明显变化，不同行业的投资有的在增加、有的在减少，"补短板"变成非常重要的内容（P3012）。企业则普遍站在岔路口上：继续做好市场拓展还是通过投资带动主业发展、做好区域深耕还是不断开拓新区域、做好现有业务还是开拓新领域、坚持自营模式还是尝试合作经营（P3012）。把这些选择题放到总承包语境下翻译一遍就是：以何种风险敞口、在哪个区域、进入哪个行业、与谁组队——本章前两节给出的需求地图与政策周期，正是回答这四问所需的底账。</w:t>
      </w:r>
    </w:p>
    <w:p>
      <w:r>
        <w:rPr>
          <w:rFonts w:ascii="Calibri" w:hAnsi="Calibri" w:eastAsia="微软雅黑"/>
          <w:b/>
          <w:i w:val="0"/>
          <w:sz w:val="22"/>
        </w:rPr>
        <w:t>学术供给的热度佐证。</w:t>
      </w:r>
      <w:r>
        <w:rPr>
          <w:rFonts w:ascii="Calibri" w:hAnsi="Calibri" w:eastAsia="微软雅黑"/>
          <w:b w:val="0"/>
          <w:i w:val="0"/>
          <w:sz w:val="22"/>
        </w:rPr>
        <w:t xml:space="preserve"> 竞争烈度还有一层间接证据：研究供给。仅弹药库收录的工程总承包硕博论文库清单中，就包括《A项目EPC工程总承包设计阶段项目成本控制研究》《C设计院工程总承包合同风险管理研究》《EPC工程总承包项目收款影响因素研究》《F设计企业国际工程总承包项目投标影响因素及策略研究》《HD设计院高邮风电工程总承包项目管理改进研究》《S设计公司EPC工程总承包管理能力评价研究》等一批以设计院总承包为对象的学位论文（P3011）。学位论文的选题密度是产业人才密度的先行指标——当成本控制、合同风险、收款、投标策略成为批量研究题目时，说明这些已经是行业普遍痛点而非个案。</w:t>
      </w:r>
    </w:p>
    <w:p>
      <w:r>
        <w:rPr>
          <w:rFonts w:ascii="Calibri" w:hAnsi="Calibri" w:eastAsia="微软雅黑"/>
          <w:b/>
          <w:i w:val="0"/>
          <w:sz w:val="22"/>
        </w:rPr>
        <w:t>设计院的核心优势与命门。</w:t>
      </w:r>
      <w:r>
        <w:rPr>
          <w:rFonts w:ascii="Calibri" w:hAnsi="Calibri" w:eastAsia="微软雅黑"/>
          <w:b w:val="0"/>
          <w:i w:val="0"/>
          <w:sz w:val="22"/>
        </w:rPr>
        <w:t xml:space="preserve"> 优势侧，设计端对工程70%以上造价的源头控制力（P3007）是设计院相对施工企业的天然筹码；设计优化是工程总承包模式的特有优势，也是设计企业参与工程总承包体现出的核心优势（P3023）。命门侧，设计院做EPC的短板同样明确：单纯的设计优势无法天然兑现为竞标低价护城河，在"交钥匙（Lump-Sum）"包干体系下，设计院缺乏重资产施工队与大宗设备采办规模（P3007）。还要警惕一个阶段性的灰色红利：在工程总承包发展初步阶段，只要尽可能把设计预算做高、在施工阶段适当压缩成本，即可在设计施工简单拼凑的条件下达到类似设计优化的效果，但这种模式只能作为短期投机战术，一旦工程总承包规范向国际标准进一步靠拢，这样的红利将立即消失（P3023）。把这段话讲给管理层听翻译过来就是：靠"预算做高+施工压价"挣的钱，是监管套利，不是能力钱，规范收紧之日就是这类利润归零之时。</w:t>
      </w:r>
    </w:p>
    <w:p>
      <w:r>
        <w:rPr>
          <w:rFonts w:ascii="Calibri" w:hAnsi="Calibri" w:eastAsia="微软雅黑"/>
          <w:b/>
          <w:i w:val="0"/>
          <w:sz w:val="22"/>
        </w:rPr>
        <w:t>所以呢（给决策者的三句话）</w:t>
      </w:r>
      <w:r>
        <w:rPr>
          <w:rFonts w:ascii="Calibri" w:hAnsi="Calibri" w:eastAsia="微软雅黑"/>
          <w:b w:val="0"/>
          <w:i w:val="0"/>
          <w:sz w:val="22"/>
        </w:rPr>
        <w:t>：第一，正面战场（房建市政大路货）已经挤满央企军团与转型施工巨头，省级院的活路是"设计为龙头、资源集成商、风险隔离器"的差异化定位（P3007）；第二，把2%的采购分包溢价线（P3007）设为院级红线，供应链管理能力建设优先于市场开拓；第三，趁规范红利尚存的窗口期（P3023），把投机性利润转投到真设计优化能力上，否则三五年后利润与能力两头落空。</w:t>
      </w:r>
    </w:p>
    <w:p>
      <w:pPr>
        <w:pStyle w:val="Heading2"/>
      </w:pPr>
      <w:r>
        <w:t>3.5 司法争议面：市场规模扩张的影子证据</w:t>
      </w:r>
    </w:p>
    <w:p>
      <w:r>
        <w:rPr>
          <w:rFonts w:ascii="Calibri" w:hAnsi="Calibri" w:eastAsia="微软雅黑"/>
          <w:b w:val="0"/>
          <w:i w:val="0"/>
          <w:sz w:val="22"/>
        </w:rPr>
        <w:t>前三面镜子照的是意愿（政策）、需求（行业）、供给（企业）。还有第四面镜子常被管理层忽略，却最能反映市场的真实渗透深度：司法争议量。逻辑很朴素——只有被真实、大规模使用的交易模式，才会产生大规模的合同纠纷；争议量的曲线，是市场规模曲线的影子。</w:t>
      </w:r>
    </w:p>
    <w:p>
      <w:r>
        <w:rPr>
          <w:rFonts w:ascii="Calibri" w:hAnsi="Calibri" w:eastAsia="微软雅黑"/>
          <w:b/>
          <w:i w:val="0"/>
          <w:sz w:val="22"/>
        </w:rPr>
        <w:t>文书量的时间序列。</w:t>
      </w:r>
      <w:r>
        <w:rPr>
          <w:rFonts w:ascii="Calibri" w:hAnsi="Calibri" w:eastAsia="微软雅黑"/>
          <w:b w:val="0"/>
          <w:i w:val="0"/>
          <w:sz w:val="22"/>
        </w:rPr>
        <w:t xml:space="preserve"> 弹药库收录的裁判文书年度卷标注了各年度与EPC相关的文书收录量（见表3-4）。把2010至2021年的数字排开，趋势极为陡峭：2010年148篇（P3034）、2012年216篇（P3032）、2013年2170篇（P3031）、2014年5275篇（P3030）、2015年8654篇（P3028）、2016年10763篇（P3027）、2017年11716篇（P3026）、2018年5754篇（P3029）、2019年41550篇（P3025）、2020年42935篇（P3024）、2021年324篇（P3033）。</w:t>
      </w:r>
    </w:p>
    <w:p>
      <w:r>
        <w:rPr>
          <w:rFonts w:ascii="Calibri" w:hAnsi="Calibri" w:eastAsia="微软雅黑"/>
          <w:b/>
          <w:i w:val="0"/>
          <w:sz w:val="22"/>
        </w:rPr>
        <w:t>表3-4 裁判文书卷收录EPC相关文书量时间序列（2010—2021，据P3034/P3032/P3031/P3030/P3028/P3027/P3026/P3029/P3025/P3024/P3033整理）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年份</w:t>
            </w:r>
          </w:p>
        </w:tc>
        <w:tc>
          <w:tcPr>
            <w:tcW w:type="dxa" w:w="2075"/>
            <w:shd w:fill="1F3A5F"/>
          </w:tcPr>
          <w:p>
            <w:r>
              <w:rPr>
                <w:color w:val="FFFFFF"/>
              </w:rPr>
            </w:r>
            <w:r>
              <w:rPr>
                <w:rFonts w:ascii="Calibri" w:hAnsi="Calibri" w:eastAsia="微软雅黑"/>
                <w:b/>
                <w:i w:val="0"/>
                <w:color w:val="FFFFFF"/>
                <w:sz w:val="18"/>
              </w:rPr>
              <w:t>收录量（篇）</w:t>
            </w:r>
          </w:p>
        </w:tc>
        <w:tc>
          <w:tcPr>
            <w:tcW w:type="dxa" w:w="2075"/>
            <w:shd w:fill="1F3A5F"/>
          </w:tcPr>
          <w:p>
            <w:r>
              <w:rPr>
                <w:color w:val="FFFFFF"/>
              </w:rPr>
            </w:r>
            <w:r>
              <w:rPr>
                <w:rFonts w:ascii="Calibri" w:hAnsi="Calibri" w:eastAsia="微软雅黑"/>
                <w:b/>
                <w:i w:val="0"/>
                <w:color w:val="FFFFFF"/>
                <w:sz w:val="18"/>
              </w:rPr>
              <w:t>同比观察</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2010</w:t>
            </w:r>
          </w:p>
        </w:tc>
        <w:tc>
          <w:tcPr>
            <w:tcW w:type="dxa" w:w="2075"/>
          </w:tcPr>
          <w:p>
            <w:r/>
            <w:r>
              <w:rPr>
                <w:rFonts w:ascii="Calibri" w:hAnsi="Calibri" w:eastAsia="微软雅黑"/>
                <w:b w:val="0"/>
                <w:i w:val="0"/>
                <w:sz w:val="18"/>
              </w:rPr>
              <w:t>148</w:t>
            </w:r>
          </w:p>
        </w:tc>
        <w:tc>
          <w:tcPr>
            <w:tcW w:type="dxa" w:w="2075"/>
          </w:tcPr>
          <w:p>
            <w:r/>
            <w:r>
              <w:rPr>
                <w:rFonts w:ascii="Calibri" w:hAnsi="Calibri" w:eastAsia="微软雅黑"/>
                <w:b w:val="0"/>
                <w:i w:val="0"/>
                <w:sz w:val="18"/>
              </w:rPr>
              <w:t>基线</w:t>
            </w:r>
          </w:p>
        </w:tc>
        <w:tc>
          <w:tcPr>
            <w:tcW w:type="dxa" w:w="2075"/>
          </w:tcPr>
          <w:p>
            <w:r/>
            <w:r>
              <w:rPr>
                <w:rFonts w:ascii="Calibri" w:hAnsi="Calibri" w:eastAsia="微软雅黑"/>
                <w:b w:val="0"/>
                <w:i w:val="0"/>
                <w:sz w:val="18"/>
              </w:rPr>
              <w:t>P3034</w:t>
            </w:r>
          </w:p>
        </w:tc>
      </w:tr>
      <w:tr>
        <w:tc>
          <w:tcPr>
            <w:tcW w:type="dxa" w:w="2075"/>
          </w:tcPr>
          <w:p>
            <w:r/>
            <w:r>
              <w:rPr>
                <w:rFonts w:ascii="Calibri" w:hAnsi="Calibri" w:eastAsia="微软雅黑"/>
                <w:b w:val="0"/>
                <w:i w:val="0"/>
                <w:sz w:val="18"/>
              </w:rPr>
              <w:t>2012</w:t>
            </w:r>
          </w:p>
        </w:tc>
        <w:tc>
          <w:tcPr>
            <w:tcW w:type="dxa" w:w="2075"/>
          </w:tcPr>
          <w:p>
            <w:r/>
            <w:r>
              <w:rPr>
                <w:rFonts w:ascii="Calibri" w:hAnsi="Calibri" w:eastAsia="微软雅黑"/>
                <w:b w:val="0"/>
                <w:i w:val="0"/>
                <w:sz w:val="18"/>
              </w:rPr>
              <w:t>216</w:t>
            </w:r>
          </w:p>
        </w:tc>
        <w:tc>
          <w:tcPr>
            <w:tcW w:type="dxa" w:w="2075"/>
          </w:tcPr>
          <w:p>
            <w:r/>
            <w:r>
              <w:rPr>
                <w:rFonts w:ascii="Calibri" w:hAnsi="Calibri" w:eastAsia="微软雅黑"/>
                <w:b w:val="0"/>
                <w:i w:val="0"/>
                <w:sz w:val="18"/>
              </w:rPr>
              <w:t>低基数起步</w:t>
            </w:r>
          </w:p>
        </w:tc>
        <w:tc>
          <w:tcPr>
            <w:tcW w:type="dxa" w:w="2075"/>
          </w:tcPr>
          <w:p>
            <w:r/>
            <w:r>
              <w:rPr>
                <w:rFonts w:ascii="Calibri" w:hAnsi="Calibri" w:eastAsia="微软雅黑"/>
                <w:b w:val="0"/>
                <w:i w:val="0"/>
                <w:sz w:val="18"/>
              </w:rPr>
              <w:t>P3032</w:t>
            </w:r>
          </w:p>
        </w:tc>
      </w:tr>
      <w:tr>
        <w:tc>
          <w:tcPr>
            <w:tcW w:type="dxa" w:w="2075"/>
          </w:tcPr>
          <w:p>
            <w:r/>
            <w:r>
              <w:rPr>
                <w:rFonts w:ascii="Calibri" w:hAnsi="Calibri" w:eastAsia="微软雅黑"/>
                <w:b w:val="0"/>
                <w:i w:val="0"/>
                <w:sz w:val="18"/>
              </w:rPr>
              <w:t>2013</w:t>
            </w:r>
          </w:p>
        </w:tc>
        <w:tc>
          <w:tcPr>
            <w:tcW w:type="dxa" w:w="2075"/>
          </w:tcPr>
          <w:p>
            <w:r/>
            <w:r>
              <w:rPr>
                <w:rFonts w:ascii="Calibri" w:hAnsi="Calibri" w:eastAsia="微软雅黑"/>
                <w:b w:val="0"/>
                <w:i w:val="0"/>
                <w:sz w:val="18"/>
              </w:rPr>
              <w:t>2170</w:t>
            </w:r>
          </w:p>
        </w:tc>
        <w:tc>
          <w:tcPr>
            <w:tcW w:type="dxa" w:w="2075"/>
          </w:tcPr>
          <w:p>
            <w:r/>
            <w:r>
              <w:rPr>
                <w:rFonts w:ascii="Calibri" w:hAnsi="Calibri" w:eastAsia="微软雅黑"/>
                <w:b w:val="0"/>
                <w:i w:val="0"/>
                <w:sz w:val="18"/>
              </w:rPr>
              <w:t>首次破两千</w:t>
            </w:r>
          </w:p>
        </w:tc>
        <w:tc>
          <w:tcPr>
            <w:tcW w:type="dxa" w:w="2075"/>
          </w:tcPr>
          <w:p>
            <w:r/>
            <w:r>
              <w:rPr>
                <w:rFonts w:ascii="Calibri" w:hAnsi="Calibri" w:eastAsia="微软雅黑"/>
                <w:b w:val="0"/>
                <w:i w:val="0"/>
                <w:sz w:val="18"/>
              </w:rPr>
              <w:t>P3031</w:t>
            </w:r>
          </w:p>
        </w:tc>
      </w:tr>
      <w:tr>
        <w:tc>
          <w:tcPr>
            <w:tcW w:type="dxa" w:w="2075"/>
          </w:tcPr>
          <w:p>
            <w:r/>
            <w:r>
              <w:rPr>
                <w:rFonts w:ascii="Calibri" w:hAnsi="Calibri" w:eastAsia="微软雅黑"/>
                <w:b w:val="0"/>
                <w:i w:val="0"/>
                <w:sz w:val="18"/>
              </w:rPr>
              <w:t>2014</w:t>
            </w:r>
          </w:p>
        </w:tc>
        <w:tc>
          <w:tcPr>
            <w:tcW w:type="dxa" w:w="2075"/>
          </w:tcPr>
          <w:p>
            <w:r/>
            <w:r>
              <w:rPr>
                <w:rFonts w:ascii="Calibri" w:hAnsi="Calibri" w:eastAsia="微软雅黑"/>
                <w:b w:val="0"/>
                <w:i w:val="0"/>
                <w:sz w:val="18"/>
              </w:rPr>
              <w:t>5275</w:t>
            </w:r>
          </w:p>
        </w:tc>
        <w:tc>
          <w:tcPr>
            <w:tcW w:type="dxa" w:w="2075"/>
          </w:tcPr>
          <w:p>
            <w:r/>
            <w:r>
              <w:rPr>
                <w:rFonts w:ascii="Calibri" w:hAnsi="Calibri" w:eastAsia="微软雅黑"/>
                <w:b w:val="0"/>
                <w:i w:val="0"/>
                <w:sz w:val="18"/>
              </w:rPr>
              <w:t>快速爬坡</w:t>
            </w:r>
          </w:p>
        </w:tc>
        <w:tc>
          <w:tcPr>
            <w:tcW w:type="dxa" w:w="2075"/>
          </w:tcPr>
          <w:p>
            <w:r/>
            <w:r>
              <w:rPr>
                <w:rFonts w:ascii="Calibri" w:hAnsi="Calibri" w:eastAsia="微软雅黑"/>
                <w:b w:val="0"/>
                <w:i w:val="0"/>
                <w:sz w:val="18"/>
              </w:rPr>
              <w:t>P3030</w:t>
            </w:r>
          </w:p>
        </w:tc>
      </w:tr>
      <w:tr>
        <w:tc>
          <w:tcPr>
            <w:tcW w:type="dxa" w:w="2075"/>
          </w:tcPr>
          <w:p>
            <w:r/>
            <w:r>
              <w:rPr>
                <w:rFonts w:ascii="Calibri" w:hAnsi="Calibri" w:eastAsia="微软雅黑"/>
                <w:b w:val="0"/>
                <w:i w:val="0"/>
                <w:sz w:val="18"/>
              </w:rPr>
              <w:t>2015</w:t>
            </w:r>
          </w:p>
        </w:tc>
        <w:tc>
          <w:tcPr>
            <w:tcW w:type="dxa" w:w="2075"/>
          </w:tcPr>
          <w:p>
            <w:r/>
            <w:r>
              <w:rPr>
                <w:rFonts w:ascii="Calibri" w:hAnsi="Calibri" w:eastAsia="微软雅黑"/>
                <w:b w:val="0"/>
                <w:i w:val="0"/>
                <w:sz w:val="18"/>
              </w:rPr>
              <w:t>8654</w:t>
            </w:r>
          </w:p>
        </w:tc>
        <w:tc>
          <w:tcPr>
            <w:tcW w:type="dxa" w:w="2075"/>
          </w:tcPr>
          <w:p>
            <w:r/>
            <w:r>
              <w:rPr>
                <w:rFonts w:ascii="Calibri" w:hAnsi="Calibri" w:eastAsia="微软雅黑"/>
                <w:b w:val="0"/>
                <w:i w:val="0"/>
                <w:sz w:val="18"/>
              </w:rPr>
              <w:t>持续放量</w:t>
            </w:r>
          </w:p>
        </w:tc>
        <w:tc>
          <w:tcPr>
            <w:tcW w:type="dxa" w:w="2075"/>
          </w:tcPr>
          <w:p>
            <w:r/>
            <w:r>
              <w:rPr>
                <w:rFonts w:ascii="Calibri" w:hAnsi="Calibri" w:eastAsia="微软雅黑"/>
                <w:b w:val="0"/>
                <w:i w:val="0"/>
                <w:sz w:val="18"/>
              </w:rPr>
              <w:t>P3028</w:t>
            </w:r>
          </w:p>
        </w:tc>
      </w:tr>
      <w:tr>
        <w:tc>
          <w:tcPr>
            <w:tcW w:type="dxa" w:w="2075"/>
          </w:tcPr>
          <w:p>
            <w:r/>
            <w:r>
              <w:rPr>
                <w:rFonts w:ascii="Calibri" w:hAnsi="Calibri" w:eastAsia="微软雅黑"/>
                <w:b w:val="0"/>
                <w:i w:val="0"/>
                <w:sz w:val="18"/>
              </w:rPr>
              <w:t>2016</w:t>
            </w:r>
          </w:p>
        </w:tc>
        <w:tc>
          <w:tcPr>
            <w:tcW w:type="dxa" w:w="2075"/>
          </w:tcPr>
          <w:p>
            <w:r/>
            <w:r>
              <w:rPr>
                <w:rFonts w:ascii="Calibri" w:hAnsi="Calibri" w:eastAsia="微软雅黑"/>
                <w:b w:val="0"/>
                <w:i w:val="0"/>
                <w:sz w:val="18"/>
              </w:rPr>
              <w:t>10763</w:t>
            </w:r>
          </w:p>
        </w:tc>
        <w:tc>
          <w:tcPr>
            <w:tcW w:type="dxa" w:w="2075"/>
          </w:tcPr>
          <w:p>
            <w:r/>
            <w:r>
              <w:rPr>
                <w:rFonts w:ascii="Calibri" w:hAnsi="Calibri" w:eastAsia="微软雅黑"/>
                <w:b w:val="0"/>
                <w:i w:val="0"/>
                <w:sz w:val="18"/>
              </w:rPr>
              <w:t>破万</w:t>
            </w:r>
          </w:p>
        </w:tc>
        <w:tc>
          <w:tcPr>
            <w:tcW w:type="dxa" w:w="2075"/>
          </w:tcPr>
          <w:p>
            <w:r/>
            <w:r>
              <w:rPr>
                <w:rFonts w:ascii="Calibri" w:hAnsi="Calibri" w:eastAsia="微软雅黑"/>
                <w:b w:val="0"/>
                <w:i w:val="0"/>
                <w:sz w:val="18"/>
              </w:rPr>
              <w:t>P3027</w:t>
            </w:r>
          </w:p>
        </w:tc>
      </w:tr>
      <w:tr>
        <w:tc>
          <w:tcPr>
            <w:tcW w:type="dxa" w:w="2075"/>
          </w:tcPr>
          <w:p>
            <w:r/>
            <w:r>
              <w:rPr>
                <w:rFonts w:ascii="Calibri" w:hAnsi="Calibri" w:eastAsia="微软雅黑"/>
                <w:b w:val="0"/>
                <w:i w:val="0"/>
                <w:sz w:val="18"/>
              </w:rPr>
              <w:t>2017</w:t>
            </w:r>
          </w:p>
        </w:tc>
        <w:tc>
          <w:tcPr>
            <w:tcW w:type="dxa" w:w="2075"/>
          </w:tcPr>
          <w:p>
            <w:r/>
            <w:r>
              <w:rPr>
                <w:rFonts w:ascii="Calibri" w:hAnsi="Calibri" w:eastAsia="微软雅黑"/>
                <w:b w:val="0"/>
                <w:i w:val="0"/>
                <w:sz w:val="18"/>
              </w:rPr>
              <w:t>11716</w:t>
            </w:r>
          </w:p>
        </w:tc>
        <w:tc>
          <w:tcPr>
            <w:tcW w:type="dxa" w:w="2075"/>
          </w:tcPr>
          <w:p>
            <w:r/>
            <w:r>
              <w:rPr>
                <w:rFonts w:ascii="Calibri" w:hAnsi="Calibri" w:eastAsia="微软雅黑"/>
                <w:b w:val="0"/>
                <w:i w:val="0"/>
                <w:sz w:val="18"/>
              </w:rPr>
              <w:t>高位持平</w:t>
            </w:r>
          </w:p>
        </w:tc>
        <w:tc>
          <w:tcPr>
            <w:tcW w:type="dxa" w:w="2075"/>
          </w:tcPr>
          <w:p>
            <w:r/>
            <w:r>
              <w:rPr>
                <w:rFonts w:ascii="Calibri" w:hAnsi="Calibri" w:eastAsia="微软雅黑"/>
                <w:b w:val="0"/>
                <w:i w:val="0"/>
                <w:sz w:val="18"/>
              </w:rPr>
              <w:t>P3026</w:t>
            </w:r>
          </w:p>
        </w:tc>
      </w:tr>
      <w:tr>
        <w:tc>
          <w:tcPr>
            <w:tcW w:type="dxa" w:w="2075"/>
          </w:tcPr>
          <w:p>
            <w:r/>
            <w:r>
              <w:rPr>
                <w:rFonts w:ascii="Calibri" w:hAnsi="Calibri" w:eastAsia="微软雅黑"/>
                <w:b w:val="0"/>
                <w:i w:val="0"/>
                <w:sz w:val="18"/>
              </w:rPr>
              <w:t>2018</w:t>
            </w:r>
          </w:p>
        </w:tc>
        <w:tc>
          <w:tcPr>
            <w:tcW w:type="dxa" w:w="2075"/>
          </w:tcPr>
          <w:p>
            <w:r/>
            <w:r>
              <w:rPr>
                <w:rFonts w:ascii="Calibri" w:hAnsi="Calibri" w:eastAsia="微软雅黑"/>
                <w:b w:val="0"/>
                <w:i w:val="0"/>
                <w:sz w:val="18"/>
              </w:rPr>
              <w:t>5754</w:t>
            </w:r>
          </w:p>
        </w:tc>
        <w:tc>
          <w:tcPr>
            <w:tcW w:type="dxa" w:w="2075"/>
          </w:tcPr>
          <w:p>
            <w:r/>
            <w:r>
              <w:rPr>
                <w:rFonts w:ascii="Calibri" w:hAnsi="Calibri" w:eastAsia="微软雅黑"/>
                <w:b w:val="0"/>
                <w:i w:val="0"/>
                <w:sz w:val="18"/>
              </w:rPr>
              <w:t>卷内收录回落</w:t>
            </w:r>
          </w:p>
        </w:tc>
        <w:tc>
          <w:tcPr>
            <w:tcW w:type="dxa" w:w="2075"/>
          </w:tcPr>
          <w:p>
            <w:r/>
            <w:r>
              <w:rPr>
                <w:rFonts w:ascii="Calibri" w:hAnsi="Calibri" w:eastAsia="微软雅黑"/>
                <w:b w:val="0"/>
                <w:i w:val="0"/>
                <w:sz w:val="18"/>
              </w:rPr>
              <w:t>P3029</w:t>
            </w:r>
          </w:p>
        </w:tc>
      </w:tr>
      <w:tr>
        <w:tc>
          <w:tcPr>
            <w:tcW w:type="dxa" w:w="2075"/>
          </w:tcPr>
          <w:p>
            <w:r/>
            <w:r>
              <w:rPr>
                <w:rFonts w:ascii="Calibri" w:hAnsi="Calibri" w:eastAsia="微软雅黑"/>
                <w:b w:val="0"/>
                <w:i w:val="0"/>
                <w:sz w:val="18"/>
              </w:rPr>
              <w:t>2019</w:t>
            </w:r>
          </w:p>
        </w:tc>
        <w:tc>
          <w:tcPr>
            <w:tcW w:type="dxa" w:w="2075"/>
          </w:tcPr>
          <w:p>
            <w:r/>
            <w:r>
              <w:rPr>
                <w:rFonts w:ascii="Calibri" w:hAnsi="Calibri" w:eastAsia="微软雅黑"/>
                <w:b w:val="0"/>
                <w:i w:val="0"/>
                <w:sz w:val="18"/>
              </w:rPr>
              <w:t>41550</w:t>
            </w:r>
          </w:p>
        </w:tc>
        <w:tc>
          <w:tcPr>
            <w:tcW w:type="dxa" w:w="2075"/>
          </w:tcPr>
          <w:p>
            <w:r/>
            <w:r>
              <w:rPr>
                <w:rFonts w:ascii="Calibri" w:hAnsi="Calibri" w:eastAsia="微软雅黑"/>
                <w:b w:val="0"/>
                <w:i w:val="0"/>
                <w:sz w:val="18"/>
              </w:rPr>
              <w:t>数量级跃升</w:t>
            </w:r>
          </w:p>
        </w:tc>
        <w:tc>
          <w:tcPr>
            <w:tcW w:type="dxa" w:w="2075"/>
          </w:tcPr>
          <w:p>
            <w:r/>
            <w:r>
              <w:rPr>
                <w:rFonts w:ascii="Calibri" w:hAnsi="Calibri" w:eastAsia="微软雅黑"/>
                <w:b w:val="0"/>
                <w:i w:val="0"/>
                <w:sz w:val="18"/>
              </w:rPr>
              <w:t>P3025</w:t>
            </w:r>
          </w:p>
        </w:tc>
      </w:tr>
      <w:tr>
        <w:tc>
          <w:tcPr>
            <w:tcW w:type="dxa" w:w="2075"/>
          </w:tcPr>
          <w:p>
            <w:r/>
            <w:r>
              <w:rPr>
                <w:rFonts w:ascii="Calibri" w:hAnsi="Calibri" w:eastAsia="微软雅黑"/>
                <w:b w:val="0"/>
                <w:i w:val="0"/>
                <w:sz w:val="18"/>
              </w:rPr>
              <w:t>2020</w:t>
            </w:r>
          </w:p>
        </w:tc>
        <w:tc>
          <w:tcPr>
            <w:tcW w:type="dxa" w:w="2075"/>
          </w:tcPr>
          <w:p>
            <w:r/>
            <w:r>
              <w:rPr>
                <w:rFonts w:ascii="Calibri" w:hAnsi="Calibri" w:eastAsia="微软雅黑"/>
                <w:b w:val="0"/>
                <w:i w:val="0"/>
                <w:sz w:val="18"/>
              </w:rPr>
              <w:t>42935</w:t>
            </w:r>
          </w:p>
        </w:tc>
        <w:tc>
          <w:tcPr>
            <w:tcW w:type="dxa" w:w="2075"/>
          </w:tcPr>
          <w:p>
            <w:r/>
            <w:r>
              <w:rPr>
                <w:rFonts w:ascii="Calibri" w:hAnsi="Calibri" w:eastAsia="微软雅黑"/>
                <w:b w:val="0"/>
                <w:i w:val="0"/>
                <w:sz w:val="18"/>
              </w:rPr>
              <w:t>历史峰值</w:t>
            </w:r>
          </w:p>
        </w:tc>
        <w:tc>
          <w:tcPr>
            <w:tcW w:type="dxa" w:w="2075"/>
          </w:tcPr>
          <w:p>
            <w:r/>
            <w:r>
              <w:rPr>
                <w:rFonts w:ascii="Calibri" w:hAnsi="Calibri" w:eastAsia="微软雅黑"/>
                <w:b w:val="0"/>
                <w:i w:val="0"/>
                <w:sz w:val="18"/>
              </w:rPr>
              <w:t>P3024</w:t>
            </w:r>
          </w:p>
        </w:tc>
      </w:tr>
      <w:tr>
        <w:tc>
          <w:tcPr>
            <w:tcW w:type="dxa" w:w="2075"/>
          </w:tcPr>
          <w:p>
            <w:r/>
            <w:r>
              <w:rPr>
                <w:rFonts w:ascii="Calibri" w:hAnsi="Calibri" w:eastAsia="微软雅黑"/>
                <w:b w:val="0"/>
                <w:i w:val="0"/>
                <w:sz w:val="18"/>
              </w:rPr>
              <w:t>2021</w:t>
            </w:r>
          </w:p>
        </w:tc>
        <w:tc>
          <w:tcPr>
            <w:tcW w:type="dxa" w:w="2075"/>
          </w:tcPr>
          <w:p>
            <w:r/>
            <w:r>
              <w:rPr>
                <w:rFonts w:ascii="Calibri" w:hAnsi="Calibri" w:eastAsia="微软雅黑"/>
                <w:b w:val="0"/>
                <w:i w:val="0"/>
                <w:sz w:val="18"/>
              </w:rPr>
              <w:t>324</w:t>
            </w:r>
          </w:p>
        </w:tc>
        <w:tc>
          <w:tcPr>
            <w:tcW w:type="dxa" w:w="2075"/>
          </w:tcPr>
          <w:p>
            <w:r/>
            <w:r>
              <w:rPr>
                <w:rFonts w:ascii="Calibri" w:hAnsi="Calibri" w:eastAsia="微软雅黑"/>
                <w:b w:val="0"/>
                <w:i w:val="0"/>
                <w:sz w:val="18"/>
              </w:rPr>
              <w:t>口径断裂年</w:t>
            </w:r>
          </w:p>
        </w:tc>
        <w:tc>
          <w:tcPr>
            <w:tcW w:type="dxa" w:w="2075"/>
          </w:tcPr>
          <w:p>
            <w:r/>
            <w:r>
              <w:rPr>
                <w:rFonts w:ascii="Calibri" w:hAnsi="Calibri" w:eastAsia="微软雅黑"/>
                <w:b w:val="0"/>
                <w:i w:val="0"/>
                <w:sz w:val="18"/>
              </w:rPr>
              <w:t>P3033</w:t>
            </w:r>
          </w:p>
        </w:tc>
      </w:tr>
    </w:tbl>
    <w:p>
      <w:r>
        <w:rPr>
          <w:rFonts w:ascii="Calibri" w:hAnsi="Calibri" w:eastAsia="微软雅黑"/>
          <w:b w:val="0"/>
          <w:i w:val="0"/>
          <w:sz w:val="22"/>
        </w:rPr>
        <w:t>四条可查证的算术结论：2013年至2016年，收录量从2170篇（P3031）升至10763篇（P3027），四年增至近五倍（10763÷2170，own_calc，锚P3031/P3027）；2015年至2020年，从8654篇（P3028）升至42935篇（P3024），五年增至近五倍（42935÷8654，own_calc，锚P3028/P3024）；2013年至2020年七个完整年度区间，合计增至近二十倍（42935÷2170，own_calc，锚P3031/P3024）；若以可比性最弱的口径直接相除，2012年至2020年接近两百倍（42935÷216，own_calc，锚P3032/P3024）。这四组倍数必须配合下面这条口径声明一起读，否则就是误导。</w:t>
      </w:r>
    </w:p>
    <w:p>
      <w:r>
        <w:rPr>
          <w:rFonts w:ascii="Calibri" w:hAnsi="Calibri" w:eastAsia="微软雅黑"/>
          <w:b/>
          <w:i w:val="0"/>
          <w:sz w:val="22"/>
        </w:rPr>
        <w:t>口径纪律（本章最重要的诚实条款）。</w:t>
      </w:r>
      <w:r>
        <w:rPr>
          <w:rFonts w:ascii="Calibri" w:hAnsi="Calibri" w:eastAsia="微软雅黑"/>
          <w:b w:val="0"/>
          <w:i w:val="0"/>
          <w:sz w:val="22"/>
        </w:rPr>
        <w:t xml:space="preserve"> 表3-4中至少三处数字不能直接当作市场争议量的同比证据：其一，2010年、2012年、2021年的收录量分别为148篇（P3034）、216篇（P3032）、324篇（P3033），与动辄数千篇至上万篇的大卷年份不在一个量级，属于抽样级小卷；其二，2021年收录量骤降至324篇（P3033），与2020年的42935篇（P3024）之间隔着裁判文书公开范围收窄的口径变化，绝不构成争议量下降的证据；其三，2018年的5754篇（P3029）相对2017年的11716篇（P3026）回落，同样应先排除收录口径因素再谈趋势。管理层应当采信的趋势区间是2013—2020年大卷口径内的方向性结论：EPC相关争议总量在一个七年区间内从千篇级增长到四万篇级，与政策供给曲线（表3-2）和行业放量节奏相互印证——市场在真实地、高速地长出交易量，也同步长出纠纷量。</w:t>
      </w:r>
    </w:p>
    <w:p>
      <w:r>
        <w:rPr>
          <w:rFonts w:ascii="Calibri" w:hAnsi="Calibri" w:eastAsia="微软雅黑"/>
          <w:b/>
          <w:i w:val="0"/>
          <w:sz w:val="22"/>
        </w:rPr>
        <w:t>争议的价格标签：风险定价数字表。</w:t>
      </w:r>
      <w:r>
        <w:rPr>
          <w:rFonts w:ascii="Calibri" w:hAnsi="Calibri" w:eastAsia="微软雅黑"/>
          <w:b w:val="0"/>
          <w:i w:val="0"/>
          <w:sz w:val="22"/>
        </w:rPr>
        <w:t xml:space="preserve"> 争议面之所以是市场底账的一部分，因为每一条裁判尺度都会进入承包商的报价公式。弹药库给出了一组可直接用于报价评审的司法定价参数（表3-5）。</w:t>
      </w:r>
    </w:p>
    <w:p>
      <w:r>
        <w:rPr>
          <w:rFonts w:ascii="Calibri" w:hAnsi="Calibri" w:eastAsia="微软雅黑"/>
          <w:b/>
          <w:i w:val="0"/>
          <w:sz w:val="22"/>
        </w:rPr>
        <w:t>表3-5 EPC风险定价关键参数（据P3007/P3003整理）</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参数</w:t>
            </w:r>
          </w:p>
        </w:tc>
        <w:tc>
          <w:tcPr>
            <w:tcW w:type="dxa" w:w="2075"/>
            <w:shd w:fill="1F3A5F"/>
          </w:tcPr>
          <w:p>
            <w:r>
              <w:rPr>
                <w:color w:val="FFFFFF"/>
              </w:rPr>
            </w:r>
            <w:r>
              <w:rPr>
                <w:rFonts w:ascii="Calibri" w:hAnsi="Calibri" w:eastAsia="微软雅黑"/>
                <w:b/>
                <w:i w:val="0"/>
                <w:color w:val="FFFFFF"/>
                <w:sz w:val="18"/>
              </w:rPr>
              <w:t>数值/案号</w:t>
            </w:r>
          </w:p>
        </w:tc>
        <w:tc>
          <w:tcPr>
            <w:tcW w:type="dxa" w:w="2075"/>
            <w:shd w:fill="1F3A5F"/>
          </w:tcPr>
          <w:p>
            <w:r>
              <w:rPr>
                <w:color w:val="FFFFFF"/>
              </w:rPr>
            </w:r>
            <w:r>
              <w:rPr>
                <w:rFonts w:ascii="Calibri" w:hAnsi="Calibri" w:eastAsia="微软雅黑"/>
                <w:b/>
                <w:i w:val="0"/>
                <w:color w:val="FFFFFF"/>
                <w:sz w:val="18"/>
              </w:rPr>
              <w:t>商业含义</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竞标价差生死线</w:t>
            </w:r>
          </w:p>
        </w:tc>
        <w:tc>
          <w:tcPr>
            <w:tcW w:type="dxa" w:w="2075"/>
          </w:tcPr>
          <w:p>
            <w:r/>
            <w:r>
              <w:rPr>
                <w:rFonts w:ascii="Calibri" w:hAnsi="Calibri" w:eastAsia="微软雅黑"/>
                <w:b w:val="0"/>
                <w:i w:val="0"/>
                <w:sz w:val="18"/>
              </w:rPr>
              <w:t>427.03万元/约2.37%（利港案，1.8415亿对1.7988亿）</w:t>
            </w:r>
          </w:p>
        </w:tc>
        <w:tc>
          <w:tcPr>
            <w:tcW w:type="dxa" w:w="2075"/>
          </w:tcPr>
          <w:p>
            <w:r/>
            <w:r>
              <w:rPr>
                <w:rFonts w:ascii="Calibri" w:hAnsi="Calibri" w:eastAsia="微软雅黑"/>
                <w:b w:val="0"/>
                <w:i w:val="0"/>
                <w:sz w:val="18"/>
              </w:rPr>
              <w:t>采办分包溢价超2%即失标</w:t>
            </w:r>
          </w:p>
        </w:tc>
        <w:tc>
          <w:tcPr>
            <w:tcW w:type="dxa" w:w="2075"/>
          </w:tcPr>
          <w:p>
            <w:r/>
            <w:r>
              <w:rPr>
                <w:rFonts w:ascii="Calibri" w:hAnsi="Calibri" w:eastAsia="微软雅黑"/>
                <w:b w:val="0"/>
                <w:i w:val="0"/>
                <w:sz w:val="18"/>
              </w:rPr>
              <w:t>P3007</w:t>
            </w:r>
          </w:p>
        </w:tc>
      </w:tr>
      <w:tr>
        <w:tc>
          <w:tcPr>
            <w:tcW w:type="dxa" w:w="2075"/>
          </w:tcPr>
          <w:p>
            <w:r/>
            <w:r>
              <w:rPr>
                <w:rFonts w:ascii="Calibri" w:hAnsi="Calibri" w:eastAsia="微软雅黑"/>
                <w:b w:val="0"/>
                <w:i w:val="0"/>
                <w:sz w:val="18"/>
              </w:rPr>
              <w:t>违约金终止线</w:t>
            </w:r>
          </w:p>
        </w:tc>
        <w:tc>
          <w:tcPr>
            <w:tcW w:type="dxa" w:w="2075"/>
          </w:tcPr>
          <w:p>
            <w:r/>
            <w:r>
              <w:rPr>
                <w:rFonts w:ascii="Calibri" w:hAnsi="Calibri" w:eastAsia="微软雅黑"/>
                <w:b w:val="0"/>
                <w:i w:val="0"/>
                <w:sz w:val="18"/>
              </w:rPr>
              <w:t>累计达合同总额10.0%，发包人有权终止并没收履约保函</w:t>
            </w:r>
          </w:p>
        </w:tc>
        <w:tc>
          <w:tcPr>
            <w:tcW w:type="dxa" w:w="2075"/>
          </w:tcPr>
          <w:p>
            <w:r/>
            <w:r>
              <w:rPr>
                <w:rFonts w:ascii="Calibri" w:hAnsi="Calibri" w:eastAsia="微软雅黑"/>
                <w:b w:val="0"/>
                <w:i w:val="0"/>
                <w:sz w:val="18"/>
              </w:rPr>
              <w:t>投标前必须完成的工期质量风险压力测试</w:t>
            </w:r>
          </w:p>
        </w:tc>
        <w:tc>
          <w:tcPr>
            <w:tcW w:type="dxa" w:w="2075"/>
          </w:tcPr>
          <w:p>
            <w:r/>
            <w:r>
              <w:rPr>
                <w:rFonts w:ascii="Calibri" w:hAnsi="Calibri" w:eastAsia="微软雅黑"/>
                <w:b w:val="0"/>
                <w:i w:val="0"/>
                <w:sz w:val="18"/>
              </w:rPr>
              <w:t>P3007</w:t>
            </w:r>
          </w:p>
        </w:tc>
      </w:tr>
      <w:tr>
        <w:tc>
          <w:tcPr>
            <w:tcW w:type="dxa" w:w="2075"/>
          </w:tcPr>
          <w:p>
            <w:r/>
            <w:r>
              <w:rPr>
                <w:rFonts w:ascii="Calibri" w:hAnsi="Calibri" w:eastAsia="微软雅黑"/>
                <w:b w:val="0"/>
                <w:i w:val="0"/>
                <w:sz w:val="18"/>
              </w:rPr>
              <w:t>性能不达标退款案</w:t>
            </w:r>
          </w:p>
        </w:tc>
        <w:tc>
          <w:tcPr>
            <w:tcW w:type="dxa" w:w="2075"/>
          </w:tcPr>
          <w:p>
            <w:r/>
            <w:r>
              <w:rPr>
                <w:rFonts w:ascii="Calibri" w:hAnsi="Calibri" w:eastAsia="微软雅黑"/>
                <w:b w:val="0"/>
                <w:i w:val="0"/>
                <w:sz w:val="18"/>
              </w:rPr>
              <w:t>完工后实际发电量仅为设计的4.52%，判定根本性违约，总承包商退还全部工程款并赔偿全额损失</w:t>
            </w:r>
          </w:p>
        </w:tc>
        <w:tc>
          <w:tcPr>
            <w:tcW w:type="dxa" w:w="2075"/>
          </w:tcPr>
          <w:p>
            <w:r/>
            <w:r>
              <w:rPr>
                <w:rFonts w:ascii="Calibri" w:hAnsi="Calibri" w:eastAsia="微软雅黑"/>
                <w:b w:val="0"/>
                <w:i w:val="0"/>
                <w:sz w:val="18"/>
              </w:rPr>
              <w:t>性能保证条款=全额回吐条款</w:t>
            </w:r>
          </w:p>
        </w:tc>
        <w:tc>
          <w:tcPr>
            <w:tcW w:type="dxa" w:w="2075"/>
          </w:tcPr>
          <w:p>
            <w:r/>
            <w:r>
              <w:rPr>
                <w:rFonts w:ascii="Calibri" w:hAnsi="Calibri" w:eastAsia="微软雅黑"/>
                <w:b w:val="0"/>
                <w:i w:val="0"/>
                <w:sz w:val="18"/>
              </w:rPr>
              <w:t>P3007</w:t>
            </w:r>
          </w:p>
        </w:tc>
      </w:tr>
      <w:tr>
        <w:tc>
          <w:tcPr>
            <w:tcW w:type="dxa" w:w="2075"/>
          </w:tcPr>
          <w:p>
            <w:r/>
            <w:r>
              <w:rPr>
                <w:rFonts w:ascii="Calibri" w:hAnsi="Calibri" w:eastAsia="微软雅黑"/>
                <w:b w:val="0"/>
                <w:i w:val="0"/>
                <w:sz w:val="18"/>
              </w:rPr>
              <w:t>竣工试验赔偿上限</w:t>
            </w:r>
          </w:p>
        </w:tc>
        <w:tc>
          <w:tcPr>
            <w:tcW w:type="dxa" w:w="2075"/>
          </w:tcPr>
          <w:p>
            <w:r/>
            <w:r>
              <w:rPr>
                <w:rFonts w:ascii="Calibri" w:hAnsi="Calibri" w:eastAsia="微软雅黑"/>
                <w:b w:val="0"/>
                <w:i w:val="0"/>
                <w:sz w:val="18"/>
              </w:rPr>
              <w:t>渗滤液处理量不足案判赔60%合同总价</w:t>
            </w:r>
          </w:p>
        </w:tc>
        <w:tc>
          <w:tcPr>
            <w:tcW w:type="dxa" w:w="2075"/>
          </w:tcPr>
          <w:p>
            <w:r/>
            <w:r>
              <w:rPr>
                <w:rFonts w:ascii="Calibri" w:hAnsi="Calibri" w:eastAsia="微软雅黑"/>
                <w:b w:val="0"/>
                <w:i w:val="0"/>
                <w:sz w:val="18"/>
              </w:rPr>
              <w:t>性能指标未达标可吞噬多年利润</w:t>
            </w:r>
          </w:p>
        </w:tc>
        <w:tc>
          <w:tcPr>
            <w:tcW w:type="dxa" w:w="2075"/>
          </w:tcPr>
          <w:p>
            <w:r/>
            <w:r>
              <w:rPr>
                <w:rFonts w:ascii="Calibri" w:hAnsi="Calibri" w:eastAsia="微软雅黑"/>
                <w:b w:val="0"/>
                <w:i w:val="0"/>
                <w:sz w:val="18"/>
              </w:rPr>
              <w:t>P3007</w:t>
            </w:r>
          </w:p>
        </w:tc>
      </w:tr>
      <w:tr>
        <w:tc>
          <w:tcPr>
            <w:tcW w:type="dxa" w:w="2075"/>
          </w:tcPr>
          <w:p>
            <w:r/>
            <w:r>
              <w:rPr>
                <w:rFonts w:ascii="Calibri" w:hAnsi="Calibri" w:eastAsia="微软雅黑"/>
                <w:b w:val="0"/>
                <w:i w:val="0"/>
                <w:sz w:val="18"/>
              </w:rPr>
              <w:t>两金占用预警线</w:t>
            </w:r>
          </w:p>
        </w:tc>
        <w:tc>
          <w:tcPr>
            <w:tcW w:type="dxa" w:w="2075"/>
          </w:tcPr>
          <w:p>
            <w:r/>
            <w:r>
              <w:rPr>
                <w:rFonts w:ascii="Calibri" w:hAnsi="Calibri" w:eastAsia="微软雅黑"/>
                <w:b w:val="0"/>
                <w:i w:val="0"/>
                <w:sz w:val="18"/>
              </w:rPr>
              <w:t>存货加应收账款合计占营收比重上限35%</w:t>
            </w:r>
          </w:p>
        </w:tc>
        <w:tc>
          <w:tcPr>
            <w:tcW w:type="dxa" w:w="2075"/>
          </w:tcPr>
          <w:p>
            <w:r/>
            <w:r>
              <w:rPr>
                <w:rFonts w:ascii="Calibri" w:hAnsi="Calibri" w:eastAsia="微软雅黑"/>
                <w:b w:val="0"/>
                <w:i w:val="0"/>
                <w:sz w:val="18"/>
              </w:rPr>
              <w:t>超线触发现金流链预警，倒逼停工与保理贴现</w:t>
            </w:r>
          </w:p>
        </w:tc>
        <w:tc>
          <w:tcPr>
            <w:tcW w:type="dxa" w:w="2075"/>
          </w:tcPr>
          <w:p>
            <w:r/>
            <w:r>
              <w:rPr>
                <w:rFonts w:ascii="Calibri" w:hAnsi="Calibri" w:eastAsia="微软雅黑"/>
                <w:b w:val="0"/>
                <w:i w:val="0"/>
                <w:sz w:val="18"/>
              </w:rPr>
              <w:t>P3007</w:t>
            </w:r>
          </w:p>
        </w:tc>
      </w:tr>
      <w:tr>
        <w:tc>
          <w:tcPr>
            <w:tcW w:type="dxa" w:w="2075"/>
          </w:tcPr>
          <w:p>
            <w:r/>
            <w:r>
              <w:rPr>
                <w:rFonts w:ascii="Calibri" w:hAnsi="Calibri" w:eastAsia="微软雅黑"/>
                <w:b w:val="0"/>
                <w:i w:val="0"/>
                <w:sz w:val="18"/>
              </w:rPr>
              <w:t>审计纠偏风险</w:t>
            </w:r>
          </w:p>
        </w:tc>
        <w:tc>
          <w:tcPr>
            <w:tcW w:type="dxa" w:w="2075"/>
          </w:tcPr>
          <w:p>
            <w:r/>
            <w:r>
              <w:rPr>
                <w:rFonts w:ascii="Calibri" w:hAnsi="Calibri" w:eastAsia="微软雅黑"/>
                <w:b w:val="0"/>
                <w:i w:val="0"/>
                <w:sz w:val="18"/>
              </w:rPr>
              <w:t>《法工委函〔2017〕2号》清理审查及"重庆勇创案"计价标准纠偏</w:t>
            </w:r>
          </w:p>
        </w:tc>
        <w:tc>
          <w:tcPr>
            <w:tcW w:type="dxa" w:w="2075"/>
          </w:tcPr>
          <w:p>
            <w:r/>
            <w:r>
              <w:rPr>
                <w:rFonts w:ascii="Calibri" w:hAnsi="Calibri" w:eastAsia="微软雅黑"/>
                <w:b w:val="0"/>
                <w:i w:val="0"/>
                <w:sz w:val="18"/>
              </w:rPr>
              <w:t>行政审计强行介入结算的合规风险敞口</w:t>
            </w:r>
          </w:p>
        </w:tc>
        <w:tc>
          <w:tcPr>
            <w:tcW w:type="dxa" w:w="2075"/>
          </w:tcPr>
          <w:p>
            <w:r/>
            <w:r>
              <w:rPr>
                <w:rFonts w:ascii="Calibri" w:hAnsi="Calibri" w:eastAsia="微软雅黑"/>
                <w:b w:val="0"/>
                <w:i w:val="0"/>
                <w:sz w:val="18"/>
              </w:rPr>
              <w:t>P3003</w:t>
            </w:r>
          </w:p>
        </w:tc>
      </w:tr>
      <w:tr>
        <w:tc>
          <w:tcPr>
            <w:tcW w:type="dxa" w:w="2075"/>
          </w:tcPr>
          <w:p>
            <w:r/>
            <w:r>
              <w:rPr>
                <w:rFonts w:ascii="Calibri" w:hAnsi="Calibri" w:eastAsia="微软雅黑"/>
                <w:b w:val="0"/>
                <w:i w:val="0"/>
                <w:sz w:val="18"/>
              </w:rPr>
              <w:t>履约链纠纷形态</w:t>
            </w:r>
          </w:p>
        </w:tc>
        <w:tc>
          <w:tcPr>
            <w:tcW w:type="dxa" w:w="2075"/>
          </w:tcPr>
          <w:p>
            <w:r/>
            <w:r>
              <w:rPr>
                <w:rFonts w:ascii="Calibri" w:hAnsi="Calibri" w:eastAsia="微软雅黑"/>
                <w:b w:val="0"/>
                <w:i w:val="0"/>
                <w:sz w:val="18"/>
              </w:rPr>
              <w:t>（2016）最高法民终695号先履行抗辩权、（2016）最高法民再53号分包合同同步解除、（2017）川民终72号境外保函止付</w:t>
            </w:r>
          </w:p>
        </w:tc>
        <w:tc>
          <w:tcPr>
            <w:tcW w:type="dxa" w:w="2075"/>
          </w:tcPr>
          <w:p>
            <w:r/>
            <w:r>
              <w:rPr>
                <w:rFonts w:ascii="Calibri" w:hAnsi="Calibri" w:eastAsia="微软雅黑"/>
                <w:b w:val="0"/>
                <w:i w:val="0"/>
                <w:sz w:val="18"/>
              </w:rPr>
              <w:t>合同分拆模式下的典型履约抗辩谱系</w:t>
            </w:r>
          </w:p>
        </w:tc>
        <w:tc>
          <w:tcPr>
            <w:tcW w:type="dxa" w:w="2075"/>
          </w:tcPr>
          <w:p>
            <w:r/>
            <w:r>
              <w:rPr>
                <w:rFonts w:ascii="Calibri" w:hAnsi="Calibri" w:eastAsia="微软雅黑"/>
                <w:b w:val="0"/>
                <w:i w:val="0"/>
                <w:sz w:val="18"/>
              </w:rPr>
              <w:t>P3003</w:t>
            </w:r>
          </w:p>
        </w:tc>
      </w:tr>
    </w:tbl>
    <w:p>
      <w:r>
        <w:rPr>
          <w:rFonts w:ascii="Calibri" w:hAnsi="Calibri" w:eastAsia="微软雅黑"/>
          <w:b w:val="0"/>
          <w:i w:val="0"/>
          <w:sz w:val="22"/>
        </w:rPr>
        <w:t>裁判的总逻辑对承包商既是保护也是警钟：法院在合同有效的前提下严格遵从"有约从约"原则，尊重当事人对设计交付节点、付款条件、价格形式等内容的自主安排；即便在固定总价背景下因材料价格上涨、清单不实等引发的调价争议，法院亦普遍持审慎干预态度，仅在法定或约定情形下予以调整（P3018）。翻译成投标语言：总价包干合同签字之前，你有多少机会改条款，签字之后法院就给你多少尊重——条款即命运。</w:t>
      </w:r>
    </w:p>
    <w:p>
      <w:r>
        <w:rPr>
          <w:rFonts w:ascii="Calibri" w:hAnsi="Calibri" w:eastAsia="微软雅黑"/>
          <w:b w:val="0"/>
          <w:i w:val="0"/>
          <w:sz w:val="22"/>
        </w:rPr>
        <w:t>争议的"病灶分布"同样值得管理者建档。当前EPC项目的法律争议多集中于五个关键问题：合同效力认定、按约计价与按图计价的冲突、转包与违法分包边界、联合体协议的真实性认定以及造价鉴定程序的适用（P3018）。这五个问题恰好对应设计院转型总承包的五处组织性弱点：合同效力对应资质与发包合规审查能力；按约计价与按图计价的冲突对应"图纸思维"向"合同思维"的转换——EPC模式下业主购买的是工程产品而非建设服务（P3023），计价依据是合同约定而非图纸工程量；转包与违法分包边界对应分包管理体系；联合体真实性认定对应联合体协议的实质性履约安排；造价鉴定程序对应证据链管理。司法面的痛点清单，可以直接转译为总包能力建设的课程表。</w:t>
      </w:r>
    </w:p>
    <w:p>
      <w:r>
        <w:rPr>
          <w:rFonts w:ascii="Calibri" w:hAnsi="Calibri" w:eastAsia="微软雅黑"/>
          <w:b w:val="0"/>
          <w:i w:val="0"/>
          <w:sz w:val="22"/>
        </w:rPr>
        <w:t>极端情形的复盘深度，行业内有现成范本。那份以丰城电厂三期为对象的沉思录，把一次总承包失败拆解为层层递进的十二个章节：从事故全记录、全球百年重大工程事故警示，到"模式的困局：中国EPC工程总承包的基因缺陷与现实扭曲""物理的极限：混凝土与钢铁的'生死对话'""制度的失灵：从监管真空到责任碎片化""文化的塌陷：从'重物轻人'到'集体无意识'""技术的陷阱：从'设计失误'到'施工缺陷'"，再到"系统免疫工程：构建工程项目内生安全新范式"与"凤凰涅槃：丰城电厂三期重建的'三部曲'"（P3002）。这份结构清单的价值在于它的完整性：一个总承包项目的失败从来不是单点技术失误，而是模式、物理、制度、文化、技术五层缺陷的共振（P3002）。设计院做转型决策时，应当假设这五层缺陷在自己组织内同样存在，再逐层排查——而不是假设"我们是设计院、技术强，所以不会出事"。</w:t>
      </w:r>
    </w:p>
    <w:p>
      <w:r>
        <w:rPr>
          <w:rFonts w:ascii="Calibri" w:hAnsi="Calibri" w:eastAsia="微软雅黑"/>
          <w:b w:val="0"/>
          <w:i w:val="0"/>
          <w:sz w:val="22"/>
        </w:rPr>
        <w:t>把司法面放回市场底账的框架里，它的位置可以一言以蔽之：政策面告诉企业这个市场被允许做多大，需求面告诉企业钱在哪些行业流，供给面告诉企业跟谁分蛋糕，司法面则告诉企业每吃一口蛋糕要预留多少风险对价。一个只有前三个维度的市场规模测算是不完整的——把表3-5的违约终止线、性能赔偿比例与两金红线折算进报价与资本占用之后，很多"看起来赚钱"的总承包合同会现出原形。这正是本章坚持把司法争议作为市场规模影子证据的原因：争议量与风险定价参数共同构成这个市场的隐性税率，而隐性税率的高低，最终决定谁能在牌桌上活得久。</w:t>
      </w:r>
    </w:p>
    <w:p>
      <w:r>
        <w:rPr>
          <w:rFonts w:ascii="Calibri" w:hAnsi="Calibri" w:eastAsia="微软雅黑"/>
          <w:b/>
          <w:i w:val="0"/>
          <w:sz w:val="22"/>
        </w:rPr>
        <w:t>极端情形的底线提醒。</w:t>
      </w:r>
      <w:r>
        <w:rPr>
          <w:rFonts w:ascii="Calibri" w:hAnsi="Calibri" w:eastAsia="微软雅黑"/>
          <w:b w:val="0"/>
          <w:i w:val="0"/>
          <w:sz w:val="22"/>
        </w:rPr>
        <w:t xml:space="preserve"> 司法数字之外，还必须记住这个行业曾经付出过生命的对价。弹药库收录的《江西丰城电厂三期EPC特大事故沉思录》以专章剖析"模式的困局：中国EPC工程总承包的基因缺陷与现实扭曲""制度的失灵：从监管真空到责任碎片化"等系统性命题（P3002），其目录结构本身——从事故回顾、历史反思、物理极限、制度失灵、文化塌陷到伦理塌陷（P3002）——勾勒出总承包模式在赶工期压力下失控的完整失败链。任何把EPC仅理解为"放大版设计费"的管理层，都应先读这份失败清单。</w:t>
      </w:r>
    </w:p>
    <w:p>
      <w:r>
        <w:rPr>
          <w:rFonts w:ascii="Calibri" w:hAnsi="Calibri" w:eastAsia="微软雅黑"/>
          <w:b/>
          <w:i w:val="0"/>
          <w:sz w:val="22"/>
        </w:rPr>
        <w:t>所以呢（给决策者的三句话）</w:t>
      </w:r>
      <w:r>
        <w:rPr>
          <w:rFonts w:ascii="Calibri" w:hAnsi="Calibri" w:eastAsia="微软雅黑"/>
          <w:b w:val="0"/>
          <w:i w:val="0"/>
          <w:sz w:val="22"/>
        </w:rPr>
        <w:t>：第一，把表3-5直接贴进投标评审模板——10%违约终止线、60%性能赔偿、4.52%发电量案（P3007）这三个数字足以否决一批看似优质的总价合同；第二，司法量七年从千级涨到四万篇级（表3-4），说明纠纷处理能力（合同管理、证据管理、索赔管理）与交付能力同等重要，法务团队是生产部门不是后台；第三，"有约从约"的裁判基调（P3018）意味着风险分配在签约那一刻已经锁定，转型设计院的第一课不是怎么中标，而是怎么写合同。</w:t>
      </w:r>
    </w:p>
    <w:p>
      <w:pPr>
        <w:pStyle w:val="Heading2"/>
      </w:pPr>
      <w:r>
        <w:t>本章小结与盲区</w:t>
      </w:r>
    </w:p>
    <w:p>
      <w:r>
        <w:rPr>
          <w:rFonts w:ascii="Calibri" w:hAnsi="Calibri" w:eastAsia="微软雅黑"/>
          <w:b/>
          <w:i w:val="0"/>
          <w:sz w:val="22"/>
        </w:rPr>
        <w:t>三条带锚的结论。</w:t>
      </w:r>
      <w:r>
        <w:rPr>
          <w:rFonts w:ascii="Calibri" w:hAnsi="Calibri" w:eastAsia="微软雅黑"/>
          <w:b w:val="0"/>
          <w:i w:val="0"/>
          <w:sz w:val="22"/>
        </w:rPr>
        <w:t xml:space="preserve"> 第一，规模底账必须用代理指标拼图：政策供给在2017至2021年累计112份省级文件（own_calc，据P3001/P3009），2017年单年峰值41份（P3001），2022年退潮至6个省级地方但内容深化（P3000）——这是一个政策周期走完推广段、进入执行段的市场。第二，结构上，需求集中于能源（核电单台超200亿元、5-7年周期，P3004；光伏EPC 8.0016 亿元/100历日，P3006）、工业（P3003/P3006）、政策推动型房建市政（P3023/P3015）与规则分散的水利（P3016）；供给侧由央企设计院军团（P3006/P3004/P3003）与差异化省级院（P3007）构成，竞争烈度被2.37%的竞标价差（P3007）量化。第三，市场深度的影子证据是司法：EPC相关文书收录量2013至2020年从2170篇升至42935篇（P3031/P3024），风险定价参数已可列表化（表3-5）。</w:t>
      </w:r>
    </w:p>
    <w:p>
      <w:r>
        <w:rPr>
          <w:rFonts w:ascii="Calibri" w:hAnsi="Calibri" w:eastAsia="微软雅黑"/>
          <w:b/>
          <w:i w:val="0"/>
          <w:sz w:val="22"/>
        </w:rPr>
        <w:t>本章数字使用守则。</w:t>
      </w:r>
      <w:r>
        <w:rPr>
          <w:rFonts w:ascii="Calibri" w:hAnsi="Calibri" w:eastAsia="微软雅黑"/>
          <w:b w:val="0"/>
          <w:i w:val="0"/>
          <w:sz w:val="22"/>
        </w:rPr>
        <w:t xml:space="preserve"> 后续章节与管理层汇报引用本章数字时，请遵守四条边界：其一，跨年倍数与五年合计为本报告own_calc推算（算式已随文标注），原始年度数字以各锚源为准；其二，表3-2为"省级规则供给量"口径，不含中央部委文件与市县级文件（P3001口径说明），不得当作"全国政策总量"引用；其三，表3-4在2010、2012、2018、2021四个年份存在收录口径干扰（P3034/P3032/P3029/P3033），仅2013—2020区间的方向性趋势可作决策依据；其四，企业层面数字（如中机国际、安徽院案例）均来自单一企业研究报告（P3006/P3007），用于说明结构特征而非推算行业均值。</w:t>
      </w:r>
    </w:p>
    <w:p>
      <w:r>
        <w:rPr>
          <w:rFonts w:ascii="Calibri" w:hAnsi="Calibri" w:eastAsia="微软雅黑"/>
          <w:b/>
          <w:i w:val="0"/>
          <w:sz w:val="22"/>
        </w:rPr>
        <w:t>证据未覆盖处（如实声明）。</w:t>
      </w:r>
      <w:r>
        <w:rPr>
          <w:rFonts w:ascii="Calibri" w:hAnsi="Calibri" w:eastAsia="微软雅黑"/>
          <w:b w:val="0"/>
          <w:i w:val="0"/>
          <w:sz w:val="22"/>
        </w:rPr>
        <w:t xml:space="preserve"> 本章有五处盲区，弹药库未提供证据，任何后续引用者不应越过这些边界补充臆测：其一，全国工程总承包总产值及其占建筑业总产值的比重，无权威统计口径收录，本章未给出也不应给出"万亿级"总量数字；其二，裁判文书2021年收录量仅324篇（P3033）且2010/2012年为小体量卷（P3034/P3032），2021年与2020年（P3024）不可直接同比，2018年回落（P3029）亦需先剔除口径因素；其三，对外工程承包与国际市场的规模数据未入弹药库（P3010仅提及"走出去"方向性背景），本章的国际维度缺失；其四，地方政策统计仅覆盖省级文件、未含市与区县级（P3001口径说明），成都（P3014）、西安（P3017）等城市级细则无法纳入总量序列；其五，丰城"11·24"事故的具体伤亡人数与直接经济损失数字未收录于弹药库节选（P3002仅为篇章结构级材料），本章对该事故仅作定性警示。这五条盲区同时也是下一轮弹药补充的优先清单。</w:t>
      </w:r>
    </w:p>
    <w:p>
      <w:r>
        <w:rPr>
          <w:rFonts w:ascii="Calibri" w:hAnsi="Calibri" w:eastAsia="微软雅黑"/>
          <w:b/>
          <w:i w:val="0"/>
          <w:sz w:val="22"/>
        </w:rPr>
        <w:t>底账之后的行动指向。</w:t>
      </w:r>
      <w:r>
        <w:rPr>
          <w:rFonts w:ascii="Calibri" w:hAnsi="Calibri" w:eastAsia="微软雅黑"/>
          <w:b w:val="0"/>
          <w:i w:val="0"/>
          <w:sz w:val="22"/>
        </w:rPr>
        <w:t xml:space="preserve"> 市场底账本身不产生决策，它只是把决策的坐标系钉牢。本章坐标系给出四个锚点：政策周期处于执行细化段（表3-2），需求重心在能源与工业（表3-3），供给竞争以2%量级价差定生死（P3007），隐性成本以司法风险定价的形式存在（表3-5）。后续章节将沿此展开：转型路径的选择（先EPCM还是直接EPC）、能力底座的建设（项目管理机构、数智化财务、供应链契约网络）、以及风险制度的设计（合同、保函、分包、审计应对），都应回到本章的四锚坐标系上校准——偏离坐标系的战略讨论，无论辞藻多华丽，都是在没有底账的情况下做决策。</w:t>
      </w:r>
    </w:p>
    <w:p>
      <w:r>
        <w:rPr>
          <w:rFonts w:ascii="Calibri" w:hAnsi="Calibri" w:eastAsia="微软雅黑"/>
          <w:b w:val="0"/>
          <w:i w:val="0"/>
          <w:sz w:val="22"/>
        </w:rPr>
        <w:t>---</w:t>
      </w:r>
    </w:p>
    <w:p>
      <w:pPr>
        <w:pStyle w:val="Heading1"/>
      </w:pPr>
      <w:r>
        <w:t>第4章 竞争格局：四层玩家与转型位次</w:t>
      </w:r>
    </w:p>
    <w:p>
      <w:pPr>
        <w:ind w:left="454"/>
      </w:pPr>
      <w:r>
        <w:rPr>
          <w:rFonts w:ascii="Calibri" w:hAnsi="Calibri" w:eastAsia="微软雅黑"/>
          <w:b w:val="0"/>
          <w:i w:val="0"/>
          <w:color w:val="666666"/>
          <w:sz w:val="22"/>
        </w:rPr>
        <w:t>工程总承包的竞争已不是"要不要转型"的口号之争，而是一张层级分明的牌桌：工艺国家队、转型大院、地方与跨界玩家、国际巨头各居一层，门票与失败代价截然不同。本章用可核验的数据画出四层玩家的真实位次，帮你判断自己站在哪一层、还能不能上桌、上错层的代价是什么。</w:t>
      </w:r>
    </w:p>
    <w:p>
      <w:pPr>
        <w:pStyle w:val="Heading2"/>
      </w:pPr>
      <w:r>
        <w:t>4.1 牌桌重排：收缩的大盘与四层玩家的形成</w:t>
      </w:r>
    </w:p>
    <w:p>
      <w:pPr>
        <w:pStyle w:val="Heading3"/>
      </w:pPr>
      <w:r>
        <w:t>4.1.1 三条向下的曲线</w:t>
      </w:r>
    </w:p>
    <w:p>
      <w:r>
        <w:rPr>
          <w:rFonts w:ascii="Calibri" w:hAnsi="Calibri" w:eastAsia="微软雅黑"/>
          <w:b w:val="0"/>
          <w:i w:val="0"/>
          <w:sz w:val="22"/>
        </w:rPr>
        <w:t>先看牌桌本身。住建部《2025年全国工程勘察设计统计公报》给出三个基础数字：全国工程勘察设计企业26010家，同比减少8.5%（P4028）；年末从业人员432.9万人，其中专门从事设计的专业人员95.4万人，同比减少6.3%（P4028）。把时间轴拉长到三年，收缩更加直观：企业数量从2023年的29352家降到2024年的28430家、再到2025年的26010家（P4028）；年末从业人员沿482.7→457.8→432.9万人的路径逐年下台阶（P4028）。也就是说，短短两年，牌桌上少了3342家企业（own_calc：29352−26010=3342）、近五十万名从业人员（own_calc：482.7−432.9）。</w:t>
      </w:r>
    </w:p>
    <w:p>
      <w:r>
        <w:rPr>
          <w:rFonts w:ascii="Calibri" w:hAnsi="Calibri" w:eastAsia="微软雅黑"/>
          <w:b w:val="0"/>
          <w:i w:val="0"/>
          <w:sz w:val="22"/>
        </w:rPr>
        <w:t>收入端的曲线同样齐齐向下：2025年工程设计新签合同额同比减少5.0%（P4028）；工程设计收入同比减少5.4%（P4028）；工程总承包收入同比减少5.4%（P4028）；科技活动费用支出总额同比减少8.2%（四项指标的年度绝对读数均见P4028）。值得注意的是科技投入降幅（8.2%）大于收入降幅（5.4%）——收缩期最先被砍的是能力建设开支，而这些开支恰恰决定下一轮周期里的竞争位次（P4028）。</w:t>
      </w:r>
    </w:p>
    <w:p>
      <w:r>
        <w:rPr>
          <w:rFonts w:ascii="Calibri" w:hAnsi="Calibri" w:eastAsia="微软雅黑"/>
          <w:b w:val="0"/>
          <w:i w:val="0"/>
          <w:sz w:val="22"/>
        </w:rPr>
        <w:t>但收缩不等于市场消失。按同一份公报的年度读数计，工程总承包收入的体量仍在工程设计收入的八倍以上（P4028）。这组数字对管理层的含义很直接：设计费是一个以每年5%左右速度萎缩的小池子（P4028），总承包是一个同样在萎缩、但体量大八倍以上的大池子（P4028）。留在小池子里卷单价，还是进入大池子承担总承包风险，不是进取与保守之别，而是两种完全不同的商业模式与能力要求之别——这正是本章要拆开的"位次"问题。</w:t>
      </w:r>
    </w:p>
    <w:p>
      <w:r>
        <w:rPr>
          <w:rFonts w:ascii="Calibri" w:hAnsi="Calibri" w:eastAsia="微软雅黑"/>
          <w:b w:val="0"/>
          <w:i w:val="0"/>
          <w:sz w:val="22"/>
        </w:rPr>
        <w:t>收缩的微观体感比统计曲线更冷。全行业设计人员一年减少6.3%（P4028），行业里最容易传播的内容，已经从"我院荣获某某设计一等奖""某重大工程顺利建成"，变成"千万不要报土木""能不进设计院就别进""劝退一个算一个"（P4028）。当一个行业最有流量的内容是劝年轻人别进来，背后往往是两件更麻烦的事：一件是行业的水位确实在降，另一件是年轻人开始不太相信行业过去那套关于未来的故事（P4028）。对管理层而言，这不是舆情问题而是人才供给问题——今天的人才流失，就是五年后总承包项目班子的空心化。与此同时，科技活动费用支出总额同比减少8.2%（P4028），能力建设开支在收缩期最先被砍（P4028）——水位下降时最先扔掉的偏偏是救生设备，而救生设备恰恰决定谁能游到下一个周期。</w:t>
      </w:r>
    </w:p>
    <w:p>
      <w:pPr>
        <w:pStyle w:val="Heading3"/>
      </w:pPr>
      <w:r>
        <w:t>4.1.2 需求换挡与政策开门同时发生</w:t>
      </w:r>
    </w:p>
    <w:p>
      <w:r>
        <w:rPr>
          <w:rFonts w:ascii="Calibri" w:hAnsi="Calibri" w:eastAsia="微软雅黑"/>
          <w:b w:val="0"/>
          <w:i w:val="0"/>
          <w:sz w:val="22"/>
        </w:rPr>
        <w:t>为什么收缩？需求与政策两侧同时在换挡。需求侧，以水电为例，我国中东部水电资源基本开发完毕，常规水电建设的重点主要集中在西南地区和大江大河的上游，水电新开工项目的勘察设计市场将会持续减少（P4000）——传统设计粮田在退耕。基础设施领域投融资环境明显收紧，PPP等模式逐步规范，政府投资项目审批趋于审慎，项目资金获取的不确定性有所增加，依赖项目规模扩张获取设计收入的传统模式受到挤压，单纯依靠设计收费的盈利空间持续收缩（P4004）。地方财政端的约束同样在强化：截至2026年7月末，各地发行置换债券1.73万亿元，完成2026年2万亿元额度的86.7%（P4016）——化债优先于新建，是未来数年地方项目生态的底色，也直接决定第三层玩家的甲方口袋。</w:t>
      </w:r>
    </w:p>
    <w:p>
      <w:r>
        <w:rPr>
          <w:rFonts w:ascii="Calibri" w:hAnsi="Calibri" w:eastAsia="微软雅黑"/>
          <w:b w:val="0"/>
          <w:i w:val="0"/>
          <w:sz w:val="22"/>
        </w:rPr>
        <w:t>政策侧却在开门。《"十四五"工程勘察设计行业发展规划》鼓励有条件的设计企业承接技术复杂的建筑工程、市政工程以及以工艺为主导的工业工程总承包项目；《关于进一步推进工程总承包发展的若干意见》明确工程总承包是国际通行的建设项目组织实施方式，有利于实现设计、采购、施工等各阶段工作的深度融合，提高工程建设水平（P4000）。一收一放之间，政策把设计院往总承包的方向推：设计收费的路越走越窄，总承包的门越开越大。但门开得大不等于人人都能进——门的后面是分层筛选机制，这正是本章的核心命题。</w:t>
      </w:r>
    </w:p>
    <w:p>
      <w:pPr>
        <w:pStyle w:val="Heading3"/>
      </w:pPr>
      <w:r>
        <w:t>4.1.3 竞争重心迁移与四层的形成</w:t>
      </w:r>
    </w:p>
    <w:p>
      <w:r>
        <w:rPr>
          <w:rFonts w:ascii="Calibri" w:hAnsi="Calibri" w:eastAsia="微软雅黑"/>
          <w:b w:val="0"/>
          <w:i w:val="0"/>
          <w:sz w:val="22"/>
        </w:rPr>
        <w:t>竞争主体结构的变化，比总量收缩更值得管理层重视。第一股力量来自上方：部分工程总承包企业通过强化设计能力并将设计环节前移，提升项目获取和资源整合能力，对传统设计院形成冲击（P4004）——施工系巨头正在向上游抢设计话语权。第二股力量来自侧翼：民营设计机构及科技企业凭借机制灵活、响应迅速等优势进入市场，在细分领域形成竞争（P4004）。结果是行业竞争重心由单一设计能力转向综合服务能力与资源整合能力（P4004），单一设计服务已难以支撑长期竞争（P4004）。有研究把这一趋势概括为：传统设计院从DBB模式撕裂走向"后向一体化"EPC总承包，是商业模式演进的必然趋势（P4024）。</w:t>
      </w:r>
    </w:p>
    <w:p>
      <w:r>
        <w:rPr>
          <w:rFonts w:ascii="Calibri" w:hAnsi="Calibri" w:eastAsia="微软雅黑"/>
          <w:b w:val="0"/>
          <w:i w:val="0"/>
          <w:sz w:val="22"/>
        </w:rPr>
        <w:t>换句话说，当竞争的计分规则从"图纸质量"换成"整合能力"，玩家就自然按整合纵深分出了层级。竞争重心迁移还有一个常被忽略的表达：设计院在项目中的角色，正在由单一技术成果提供者逐步向全生命周期服务参与者转变（P4004）。以图纸交付为核心的传统模式已难以满足实际需要，项目更加关注方案的经济性、可实施性及对后续运营的支持能力（P4004）。这意味着即便不转型总承包，纯设计业务的竞争规则也已经变了：业主实际采购的是"设计+管理+运营支持"的复合能力，图纸只是其中一环。分层，就是在这个复合能力上分出来的。TCL创始人李东生复盘四十年四次大变革时的一句话适用于所有产业的下半场：在中国发展产业，一定要立足于挤压式竞争，能够有决心把对手挤掉，才能够成功（P4014）。工程总承包市场正是这样一场分层挤压：施工巨头挤压设计院——若固守平行发包与纯设计模式，设计院不仅将失去产业链主导权，更面临被施工巨头挤压为低利润技术分包商的被动局面（P4001）；大院挤压小院；国际巨头在高端挤压所有人。</w:t>
      </w:r>
    </w:p>
    <w:p>
      <w:r>
        <w:rPr>
          <w:rFonts w:ascii="Calibri" w:hAnsi="Calibri" w:eastAsia="微软雅黑"/>
          <w:b w:val="0"/>
          <w:i w:val="0"/>
          <w:sz w:val="22"/>
        </w:rPr>
        <w:t>基于弹药库证据（P4009/P4011/P4025/P4034），本章将当前中国工程总承包市场的玩家划为四层（表4-1）。</w:t>
      </w:r>
    </w:p>
    <w:p>
      <w:r>
        <w:rPr>
          <w:rFonts w:ascii="Calibri" w:hAnsi="Calibri" w:eastAsia="微软雅黑"/>
          <w:b/>
          <w:i w:val="0"/>
          <w:sz w:val="22"/>
        </w:rPr>
        <w:t>表4-1 工程总承包市场的四层玩家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层级</w:t>
            </w:r>
          </w:p>
        </w:tc>
        <w:tc>
          <w:tcPr>
            <w:tcW w:type="dxa" w:w="2075"/>
            <w:shd w:fill="1F3A5F"/>
          </w:tcPr>
          <w:p>
            <w:r>
              <w:rPr>
                <w:color w:val="FFFFFF"/>
              </w:rPr>
            </w:r>
            <w:r>
              <w:rPr>
                <w:rFonts w:ascii="Calibri" w:hAnsi="Calibri" w:eastAsia="微软雅黑"/>
                <w:b/>
                <w:i w:val="0"/>
                <w:color w:val="FFFFFF"/>
                <w:sz w:val="18"/>
              </w:rPr>
              <w:t>代表玩家</w:t>
            </w:r>
          </w:p>
        </w:tc>
        <w:tc>
          <w:tcPr>
            <w:tcW w:type="dxa" w:w="2075"/>
            <w:shd w:fill="1F3A5F"/>
          </w:tcPr>
          <w:p>
            <w:r>
              <w:rPr>
                <w:color w:val="FFFFFF"/>
              </w:rPr>
            </w:r>
            <w:r>
              <w:rPr>
                <w:rFonts w:ascii="Calibri" w:hAnsi="Calibri" w:eastAsia="微软雅黑"/>
                <w:b/>
                <w:i w:val="0"/>
                <w:color w:val="FFFFFF"/>
                <w:sz w:val="18"/>
              </w:rPr>
              <w:t>核心壁垒</w:t>
            </w:r>
          </w:p>
        </w:tc>
        <w:tc>
          <w:tcPr>
            <w:tcW w:type="dxa" w:w="2075"/>
            <w:shd w:fill="1F3A5F"/>
          </w:tcPr>
          <w:p>
            <w:r>
              <w:rPr>
                <w:color w:val="FFFFFF"/>
              </w:rPr>
            </w:r>
            <w:r>
              <w:rPr>
                <w:rFonts w:ascii="Calibri" w:hAnsi="Calibri" w:eastAsia="微软雅黑"/>
                <w:b/>
                <w:i w:val="0"/>
                <w:color w:val="FFFFFF"/>
                <w:sz w:val="18"/>
              </w:rPr>
              <w:t>证据锚</w:t>
            </w:r>
          </w:p>
        </w:tc>
      </w:tr>
      <w:tr>
        <w:tc>
          <w:tcPr>
            <w:tcW w:type="dxa" w:w="2075"/>
          </w:tcPr>
          <w:p>
            <w:r/>
            <w:r>
              <w:rPr>
                <w:rFonts w:ascii="Calibri" w:hAnsi="Calibri" w:eastAsia="微软雅黑"/>
                <w:b w:val="0"/>
                <w:i w:val="0"/>
                <w:sz w:val="18"/>
              </w:rPr>
              <w:t>第一层：工艺主导型国家队</w:t>
            </w:r>
          </w:p>
        </w:tc>
        <w:tc>
          <w:tcPr>
            <w:tcW w:type="dxa" w:w="2075"/>
          </w:tcPr>
          <w:p>
            <w:r/>
            <w:r>
              <w:rPr>
                <w:rFonts w:ascii="Calibri" w:hAnsi="Calibri" w:eastAsia="微软雅黑"/>
                <w:b w:val="0"/>
                <w:i w:val="0"/>
                <w:sz w:val="18"/>
              </w:rPr>
              <w:t>中核工程、中石化南京工程、中电工程/中国电建体系</w:t>
            </w:r>
          </w:p>
        </w:tc>
        <w:tc>
          <w:tcPr>
            <w:tcW w:type="dxa" w:w="2075"/>
          </w:tcPr>
          <w:p>
            <w:r/>
            <w:r>
              <w:rPr>
                <w:rFonts w:ascii="Calibri" w:hAnsi="Calibri" w:eastAsia="微软雅黑"/>
                <w:b w:val="0"/>
                <w:i w:val="0"/>
                <w:sz w:val="18"/>
              </w:rPr>
              <w:t>工艺技术+国家战略+百亿级资本</w:t>
            </w:r>
          </w:p>
        </w:tc>
        <w:tc>
          <w:tcPr>
            <w:tcW w:type="dxa" w:w="2075"/>
          </w:tcPr>
          <w:p>
            <w:r/>
            <w:r>
              <w:rPr>
                <w:rFonts w:ascii="Calibri" w:hAnsi="Calibri" w:eastAsia="微软雅黑"/>
                <w:b w:val="0"/>
                <w:i w:val="0"/>
                <w:sz w:val="18"/>
              </w:rPr>
              <w:t>P4009/P4019/P4021/P4023</w:t>
            </w:r>
          </w:p>
        </w:tc>
      </w:tr>
      <w:tr>
        <w:tc>
          <w:tcPr>
            <w:tcW w:type="dxa" w:w="2075"/>
          </w:tcPr>
          <w:p>
            <w:r/>
            <w:r>
              <w:rPr>
                <w:rFonts w:ascii="Calibri" w:hAnsi="Calibri" w:eastAsia="微软雅黑"/>
                <w:b w:val="0"/>
                <w:i w:val="0"/>
                <w:sz w:val="18"/>
              </w:rPr>
              <w:t>第二层：设计为龙头的转型大院</w:t>
            </w:r>
          </w:p>
        </w:tc>
        <w:tc>
          <w:tcPr>
            <w:tcW w:type="dxa" w:w="2075"/>
          </w:tcPr>
          <w:p>
            <w:r/>
            <w:r>
              <w:rPr>
                <w:rFonts w:ascii="Calibri" w:hAnsi="Calibri" w:eastAsia="微软雅黑"/>
                <w:b w:val="0"/>
                <w:i w:val="0"/>
                <w:sz w:val="18"/>
              </w:rPr>
              <w:t>中机国际、西北电力设计院、安徽院、中国电子院等央企甲级院</w:t>
            </w:r>
          </w:p>
        </w:tc>
        <w:tc>
          <w:tcPr>
            <w:tcW w:type="dxa" w:w="2075"/>
          </w:tcPr>
          <w:p>
            <w:r/>
            <w:r>
              <w:rPr>
                <w:rFonts w:ascii="Calibri" w:hAnsi="Calibri" w:eastAsia="微软雅黑"/>
                <w:b w:val="0"/>
                <w:i w:val="0"/>
                <w:sz w:val="18"/>
              </w:rPr>
              <w:t>高等级资质+设计主导权+集团信用</w:t>
            </w:r>
          </w:p>
        </w:tc>
        <w:tc>
          <w:tcPr>
            <w:tcW w:type="dxa" w:w="2075"/>
          </w:tcPr>
          <w:p>
            <w:r/>
            <w:r>
              <w:rPr>
                <w:rFonts w:ascii="Calibri" w:hAnsi="Calibri" w:eastAsia="微软雅黑"/>
                <w:b w:val="0"/>
                <w:i w:val="0"/>
                <w:sz w:val="18"/>
              </w:rPr>
              <w:t>P4011/P4003/P4012/P4017</w:t>
            </w:r>
          </w:p>
        </w:tc>
      </w:tr>
      <w:tr>
        <w:tc>
          <w:tcPr>
            <w:tcW w:type="dxa" w:w="2075"/>
          </w:tcPr>
          <w:p>
            <w:r/>
            <w:r>
              <w:rPr>
                <w:rFonts w:ascii="Calibri" w:hAnsi="Calibri" w:eastAsia="微软雅黑"/>
                <w:b w:val="0"/>
                <w:i w:val="0"/>
                <w:sz w:val="18"/>
              </w:rPr>
              <w:t>第三层：地方院、民营与跨界者</w:t>
            </w:r>
          </w:p>
        </w:tc>
        <w:tc>
          <w:tcPr>
            <w:tcW w:type="dxa" w:w="2075"/>
          </w:tcPr>
          <w:p>
            <w:r/>
            <w:r>
              <w:rPr>
                <w:rFonts w:ascii="Calibri" w:hAnsi="Calibri" w:eastAsia="微软雅黑"/>
                <w:b w:val="0"/>
                <w:i w:val="0"/>
                <w:sz w:val="18"/>
              </w:rPr>
              <w:t>地方国企/城投系、民营设计机构、科技企业</w:t>
            </w:r>
          </w:p>
        </w:tc>
        <w:tc>
          <w:tcPr>
            <w:tcW w:type="dxa" w:w="2075"/>
          </w:tcPr>
          <w:p>
            <w:r/>
            <w:r>
              <w:rPr>
                <w:rFonts w:ascii="Calibri" w:hAnsi="Calibri" w:eastAsia="微软雅黑"/>
                <w:b w:val="0"/>
                <w:i w:val="0"/>
                <w:sz w:val="18"/>
              </w:rPr>
              <w:t>属地资源+机制灵活+细分场景</w:t>
            </w:r>
          </w:p>
        </w:tc>
        <w:tc>
          <w:tcPr>
            <w:tcW w:type="dxa" w:w="2075"/>
          </w:tcPr>
          <w:p>
            <w:r/>
            <w:r>
              <w:rPr>
                <w:rFonts w:ascii="Calibri" w:hAnsi="Calibri" w:eastAsia="微软雅黑"/>
                <w:b w:val="0"/>
                <w:i w:val="0"/>
                <w:sz w:val="18"/>
              </w:rPr>
              <w:t>P4034/P4004/P4030</w:t>
            </w:r>
          </w:p>
        </w:tc>
      </w:tr>
      <w:tr>
        <w:tc>
          <w:tcPr>
            <w:tcW w:type="dxa" w:w="2075"/>
          </w:tcPr>
          <w:p>
            <w:r/>
            <w:r>
              <w:rPr>
                <w:rFonts w:ascii="Calibri" w:hAnsi="Calibri" w:eastAsia="微软雅黑"/>
                <w:b w:val="0"/>
                <w:i w:val="0"/>
                <w:sz w:val="18"/>
              </w:rPr>
              <w:t>第四层：国际巨头与出海军团</w:t>
            </w:r>
          </w:p>
        </w:tc>
        <w:tc>
          <w:tcPr>
            <w:tcW w:type="dxa" w:w="2075"/>
          </w:tcPr>
          <w:p>
            <w:r/>
            <w:r>
              <w:rPr>
                <w:rFonts w:ascii="Calibri" w:hAnsi="Calibri" w:eastAsia="微软雅黑"/>
                <w:b w:val="0"/>
                <w:i w:val="0"/>
                <w:sz w:val="18"/>
              </w:rPr>
              <w:t>Jacobs、Arcadis、WSP、盛邦裕廊；中国出海设计院与工程公司</w:t>
            </w:r>
          </w:p>
        </w:tc>
        <w:tc>
          <w:tcPr>
            <w:tcW w:type="dxa" w:w="2075"/>
          </w:tcPr>
          <w:p>
            <w:r/>
            <w:r>
              <w:rPr>
                <w:rFonts w:ascii="Calibri" w:hAnsi="Calibri" w:eastAsia="微软雅黑"/>
                <w:b w:val="0"/>
                <w:i w:val="0"/>
                <w:sz w:val="18"/>
              </w:rPr>
              <w:t>标准话语+属地网络+并购整合</w:t>
            </w:r>
          </w:p>
        </w:tc>
        <w:tc>
          <w:tcPr>
            <w:tcW w:type="dxa" w:w="2075"/>
          </w:tcPr>
          <w:p>
            <w:r/>
            <w:r>
              <w:rPr>
                <w:rFonts w:ascii="Calibri" w:hAnsi="Calibri" w:eastAsia="微软雅黑"/>
                <w:b w:val="0"/>
                <w:i w:val="0"/>
                <w:sz w:val="18"/>
              </w:rPr>
              <w:t>P4029/P4025/P4032</w:t>
            </w:r>
          </w:p>
        </w:tc>
      </w:tr>
    </w:tbl>
    <w:p>
      <w:r>
        <w:rPr>
          <w:rFonts w:ascii="Calibri" w:hAnsi="Calibri" w:eastAsia="微软雅黑"/>
          <w:b w:val="0"/>
          <w:i w:val="0"/>
          <w:sz w:val="22"/>
        </w:rPr>
        <w:t>需要强调：四层之间不是荣誉榜，而是风险与收益的重分配表。决定你站在哪一层的，是四个可验证的变量——资本与信用（能否垫资、扛得住索赔）、资质与工艺壁垒（有无别人拿不到的资质与核心技术）、资源整合纵深（有无施工与采办资源网络）、风险承载体系（有无全流程风控与指向总包利润的考核机制）。本章后续四节分别拆解每一层的证据、打法与失败代价，章尾再回到"位次选择"的决策问题。</w:t>
      </w:r>
    </w:p>
    <w:p>
      <w:pPr>
        <w:pStyle w:val="Heading2"/>
      </w:pPr>
      <w:r>
        <w:t>4.2 第一层：工艺主导型国家队——不对普通设计院开放的牌桌</w:t>
      </w:r>
    </w:p>
    <w:p>
      <w:pPr>
        <w:pStyle w:val="Heading3"/>
      </w:pPr>
      <w:r>
        <w:t>4.2.1 核电：把EPC做成国家能力</w:t>
      </w:r>
    </w:p>
    <w:p>
      <w:r>
        <w:rPr>
          <w:rFonts w:ascii="Calibri" w:hAnsi="Calibri" w:eastAsia="微软雅黑"/>
          <w:b w:val="0"/>
          <w:i w:val="0"/>
          <w:sz w:val="22"/>
        </w:rPr>
        <w:t>第一层玩家的原型是中国核电工程有限公司（中核工程）。核电项目单台机组投资通常超过200亿元，建设周期通常5-7年（P4009）；长周期意味着项目必须面对跨越周期的利率波动、原材料价格涨跌以及政策环境变化，核电企业的核心竞争力正在从单纯的技术研发转向复杂的金融统筹与全生命周期风险管控（P4009）。在这样的体量上，传统的设计、采购、施工分段管理模式已暴露出严重的接口失配风险，EPC总承包模式的引入不仅是管理手段的升级，更是组织形态的进化（P4009）。</w:t>
      </w:r>
    </w:p>
    <w:p>
      <w:r>
        <w:rPr>
          <w:rFonts w:ascii="Calibri" w:hAnsi="Calibri" w:eastAsia="微软雅黑"/>
          <w:b w:val="0"/>
          <w:i w:val="0"/>
          <w:sz w:val="22"/>
        </w:rPr>
        <w:t>中核工程把EPC管理精细化到了国家级体系：以"六大控制七个零"高质量精细化管控体系，让核电工程管理从经验驱动升维至体系驱动，确保在任何极端工况下应急指令的传导均具有最高优先级（P4009）；以"一软、一网、一硬、一平台"的智能工程生态实现三维设计"虚拟建造"与智慧工地数据"实时说话"，推动产业从"制造"向"智造"跃迁（P4009）。其能力兑现为可量化的管理收益：基于EB软件的数字化结构化设计能够自动生成清单，统计效率提升80%以上（P4020）；通过推进多项目批量化采购，2023年在二级集采项目中节资率达10%（P4018）。政策坐标同样清晰：中国已确立2030年成为世界最大"核能强国"的目标（P4010），中核工程以"华龙一号"为代表构建了全产业链整合能力，战略坐标由初期的"技术支撑者"跃迁为"核电建设全生命周期价值创造者"（P4009）。</w:t>
      </w:r>
    </w:p>
    <w:p>
      <w:r>
        <w:rPr>
          <w:rFonts w:ascii="Calibri" w:hAnsi="Calibri" w:eastAsia="微软雅黑"/>
          <w:b w:val="0"/>
          <w:i w:val="0"/>
          <w:sz w:val="22"/>
        </w:rPr>
        <w:t>分段模式与EPC模式在核电场景下的差异，可逐项对照：在投资规模维度，传统模式预算编制与现场施工脱节、易产生"三超"隐患，EPC模式建立动态预算调整机制、实现设计与成本的实时联动；在建设周期维度，传统模式接口协调成本高、关键路径容易受阻，EPC以设计-采购-施工一体化确保里程碑节点确定性；在技术要求维度，传统模式设计对施工反馈滞后、现场签证频繁，EPC让设计引领采购、关键设备提前介入设计审查；在安全标准维度，传统模式质量责任主体分散、追溯链条长，EPC统一质量保证体系、全过程闭环管理；在协同效率维度，传统模式"部门墙"导致信息衰减，EPC以数字化协同平台打破专业壁垒（P4010）。</w:t>
      </w:r>
    </w:p>
    <w:p>
      <w:r>
        <w:rPr>
          <w:rFonts w:ascii="Calibri" w:hAnsi="Calibri" w:eastAsia="微软雅黑"/>
          <w:b w:val="0"/>
          <w:i w:val="0"/>
          <w:sz w:val="22"/>
        </w:rPr>
        <w:t>支撑这一切的是"设计主导"的组织化。在核电EPC总承包模式中，设计主导是核心，通过数字化工具和标准化管理，实现从文档驱动向对象驱动的质变，统筹采购、施工、财务与风险管理（P4018）。以漳州1#、2#机组项目为例，数字化设计的核心在于建立"一个仪表对应一个标准"的强关联：把传统散落在图纸中的材质、重量、抗震等级等参数固化为对象的结构化属性，并通过"项目号-对象分类单元-机组号-设备单元-系统号"的五层级架构，确保大宗材料数据在全生命周期内的唯一性与可追溯性（P4020）。在此之前的仪控安装设计涉及上千种仪表、仪表架及数百种大宗材料，数据分散在孤立的纸质或电子文档中，极易出现设计修改不同步、材料错买漏买等"人因失效"（P4020）；对象化之后，源头修改、全系统自动更新（P4020）。对第二、三层玩家的启示是：设计主导不是口号，而是一套把设计数据变成项目总账的数据治理工程——这是他们与国家队差距最直观的地方，也是最可复制的地方。</w:t>
      </w:r>
    </w:p>
    <w:p>
      <w:pPr>
        <w:pStyle w:val="Heading3"/>
      </w:pPr>
      <w:r>
        <w:t>4.2.2 石化与电力：双源合一和十年1419亿</w:t>
      </w:r>
    </w:p>
    <w:p>
      <w:r>
        <w:rPr>
          <w:rFonts w:ascii="Calibri" w:hAnsi="Calibri" w:eastAsia="微软雅黑"/>
          <w:b w:val="0"/>
          <w:i w:val="0"/>
          <w:sz w:val="22"/>
        </w:rPr>
        <w:t>石化赛道的代表是中石化南京工程有限公司。它的关键词是"双源合一"——通过设计能力与施工能力的法人级深度重构，打破组织壁垒，实现组织交付基因与设计概算全过程控制的高度统一（P4019）。这提示第一层的另一个入口：不是"设计院慢慢学会施工"，而是设计与施工两种基因在股权与法人层面的合并同类项。其研究框架将EPC法人级交付效能表达为：设计控制因子×采购施工协同因子÷（组织摩擦风险+造价合规偏差），并把组织摩擦风险落到履约抗辩、分包合同同步解除、境外保函止付等真实法律场景（P4019）——第一层玩家连风险都管理到判例颗粒度。</w:t>
      </w:r>
    </w:p>
    <w:p>
      <w:r>
        <w:rPr>
          <w:rFonts w:ascii="Calibri" w:hAnsi="Calibri" w:eastAsia="微软雅黑"/>
          <w:b w:val="0"/>
          <w:i w:val="0"/>
          <w:sz w:val="22"/>
        </w:rPr>
        <w:t>电力赛道的位次变迁给出了中国设计院系玩家最强的跃迁时间序列。从2003年至2013年，中国电力工程顾问集团公司（中电工程）总承包项目合同额累计1419亿元，每年总承包合同额占当年合同总额的比例从23%上升到83%（P4021）；其中2011年至2013年总承包合同额累计708亿元，三年年均增长幅度达66%（P4021）。十年之内，总承包从中电工程合同盘子的不足四分之一膨胀到超过八成——这是"设计院转型工程公司"最硬的一条量化轨迹，也是第二层玩家位次跃迁的天花板参照。中国电建则进一步完成资本运作：2023年分拆设计板块借壳祁连山上市，2024年与深交所签署战略合作协议，新签合同额18812亿元（P4023）。</w:t>
      </w:r>
    </w:p>
    <w:p>
      <w:r>
        <w:rPr>
          <w:rFonts w:ascii="Calibri" w:hAnsi="Calibri" w:eastAsia="微软雅黑"/>
          <w:b w:val="0"/>
          <w:i w:val="0"/>
          <w:sz w:val="22"/>
        </w:rPr>
        <w:t>作为体量参照：国家能源集团截至2025年底总资产2.35万亿元、员工31万人，是全球最大的煤炭产销、火力发电、风力发电、煤制油煤化工企业（P4021）；中国铁建注册资本135.8亿元、员工逾三十万人（P4023）。第一层玩家的资产负债表与用人规模，与任何设计院都不在一个数量级——这也是"施工巨头挤压设计院"这一判断（P4001）的体量注脚。</w:t>
      </w:r>
    </w:p>
    <w:p>
      <w:r>
        <w:rPr>
          <w:rFonts w:ascii="Calibri" w:hAnsi="Calibri" w:eastAsia="微软雅黑"/>
          <w:b w:val="0"/>
          <w:i w:val="0"/>
          <w:sz w:val="22"/>
        </w:rPr>
        <w:t>还要看到，这一层的总承包是功能集成的游戏：建设工程总承包强调投资、设计、建造、采购、运营一体化，要求资金、劳动力、设备、方案设计、技术实力等功能集成化，需要不同专业企业的融合和跨界合作（P4000）。国家队并非单打独斗，而是以工艺为圆心组织庞大的专业协同网络；传统设计市场收缩时，通过转型EPC寻找新增长点（P4000）正是中下层玩家加入这一网络的现实动因。</w:t>
      </w:r>
    </w:p>
    <w:p>
      <w:pPr>
        <w:pStyle w:val="Heading3"/>
      </w:pPr>
      <w:r>
        <w:t>4.2.3 第一层的门票，与对你的意义</w:t>
      </w:r>
    </w:p>
    <w:p>
      <w:r>
        <w:rPr>
          <w:rFonts w:ascii="Calibri" w:hAnsi="Calibri" w:eastAsia="微软雅黑"/>
          <w:b w:val="0"/>
          <w:i w:val="0"/>
          <w:sz w:val="22"/>
        </w:rPr>
        <w:t>第一层的门票不是设计资质，而是工艺。政策语言里的"以工艺为主导的工业工程总承包项目"（P4000）正是这一层的定义性特征：核电、石化、大型电力，全是工艺密集、资本密集、国家战略绑定的领域。以中核工程为例，其壁垒由三重因素叠加：投资体量（单台机组超200亿元，P4009）、周期风险（5-7年，P4009）、核安全红线（质量的"零容忍"不仅是技术要求，更是政治任务，P4009）。这不是靠招几个项目经理、买几套软件就能复制的能力。</w:t>
      </w:r>
    </w:p>
    <w:p>
      <w:r>
        <w:rPr>
          <w:rFonts w:ascii="Calibri" w:hAnsi="Calibri" w:eastAsia="微软雅黑"/>
          <w:b w:val="0"/>
          <w:i w:val="0"/>
          <w:sz w:val="22"/>
        </w:rPr>
        <w:t>对绝大多数设计院管理层而言，这一层不是你的目标位，而是你的参照系与机会来源。参照系意义在于：它定义了总承包管理的天花板形态——体系驱动而非经验驱动（P4009）、集采节资10%（P4018）、设计统计效率提升80%以上（P4020）、数据源头唯一（P4020）。机会来源意义在于：国家队的大项目需要庞大的设计分包、专业分包与设备供应体系；核电设备采购具有"三高一长"特征，中核工程以"设计-采购协同+长周期设备管控+国产化供应链+核级质量保证"四位一体体系实现从图纸到现实的转化（P4018）——这条供应链上布满了下层玩家的生意。</w:t>
      </w:r>
    </w:p>
    <w:p>
      <w:r>
        <w:rPr>
          <w:rFonts w:ascii="Calibri" w:hAnsi="Calibri" w:eastAsia="微软雅黑"/>
          <w:b w:val="0"/>
          <w:i w:val="0"/>
          <w:sz w:val="22"/>
        </w:rPr>
        <w:t>所以呢：判断"进不进第一层"的正确问题不是"我们能不能干核电"，而是"我们能不能进入国家队的工艺链，并在其中守住一个不可替换的技术位"。对第二、三层玩家，第一层是最大的分包市场；对自身有工艺积淀的行业院（化工、冶金、电子等），与国家队共建供应链联盟，比单打独斗冲总承包更有位次效率。</w:t>
      </w:r>
    </w:p>
    <w:p>
      <w:r>
        <w:rPr>
          <w:rFonts w:ascii="Calibri" w:hAnsi="Calibri" w:eastAsia="微软雅黑"/>
          <w:b w:val="0"/>
          <w:i w:val="0"/>
          <w:sz w:val="22"/>
        </w:rPr>
        <w:t>进入这一网络的具体路径也有证据可循。核电设备采购具有"三高一长"特征，中核工程以"设计-采购协同+长周期设备管控+国产化供应链+核级质量保证"四位一体体系实现从图纸到现实的转化（P4018）；"华龙一号"蒸汽发生器的智能制造中，工程公司与装备制造方探索了"设计—制造—监造—协同平台"四个层级的深度融合及"九大场景"下的技术创新与应用（P4020）。这些体系需要大量专业配套：设计深化的分包、监造与检测服务、大宗材料的规格化供应、数字化平台的实施与运维。对行业院而言，与其在房建红海里拼价格，不如盘点自身工艺积淀，向国家队供应链上的"专精特新"环节收缩——这也是一种位次策略：不做牌桌上的庄家，做庄家离不开的牌。</w:t>
      </w:r>
    </w:p>
    <w:p>
      <w:pPr>
        <w:pStyle w:val="Heading2"/>
      </w:pPr>
      <w:r>
        <w:t>4.3 第二层：设计为龙头的转型大院——位次跃升的主战场</w:t>
      </w:r>
    </w:p>
    <w:p>
      <w:r>
        <w:rPr>
          <w:rFonts w:ascii="Calibri" w:hAnsi="Calibri" w:eastAsia="微软雅黑"/>
          <w:b w:val="0"/>
          <w:i w:val="0"/>
          <w:sz w:val="22"/>
        </w:rPr>
        <w:t>这一层是本书读者的主战场：有甲级资质、有行业积淀、有集团背景，但普遍缺施工队伍、缺采办规模、缺重资产。弹药库提供了四个完整画像与一组竞标、项目证据，足以拼出这一层的通行证、打法与生死线。</w:t>
      </w:r>
    </w:p>
    <w:p>
      <w:pPr>
        <w:pStyle w:val="Heading3"/>
      </w:pPr>
      <w:r>
        <w:t>4.3.1 四个画像：资质、资本与战绩</w:t>
      </w:r>
    </w:p>
    <w:p>
      <w:r>
        <w:rPr>
          <w:rFonts w:ascii="Calibri" w:hAnsi="Calibri" w:eastAsia="微软雅黑"/>
          <w:b/>
          <w:i w:val="0"/>
          <w:sz w:val="22"/>
        </w:rPr>
        <w:t>画像一：中机国际——资质与标准双高的全能样本。</w:t>
      </w:r>
      <w:r>
        <w:rPr>
          <w:rFonts w:ascii="Calibri" w:hAnsi="Calibri" w:eastAsia="微软雅黑"/>
          <w:b w:val="0"/>
          <w:i w:val="0"/>
          <w:sz w:val="22"/>
        </w:rPr>
        <w:t>中机国际（原机械工业第八设计研究院）创建于1951年，总部位于长沙，是国机集团旗下企业（P4011）。人才与技术底盘：现有员工2400余人，覆盖30多个专业类别，拥有各类国家注册师及高级专家700余人（P4011），注册人员占比超29%（P4027）；累计完成20000余项国内外工程设计，取得500余项科研成果，获国家科技奖10余项、省部级科技奖三十八项、优秀勘察设计奖350余项，拥有专利/专有技术/软著300余项，主/参编国家与行业技术标准规范240余项（P4011）。资质底盘：拥有机械、建筑、市政、军工、冶金、轻纺、风景园林、环境工程8个行业甲级设计资质，以及市政公用工程施工总承包一级、环保工程专业承包一级资质（P4011）；多年连续上榜ENR/《建筑时报》"中国工程设计企业60强"（P4011）。总承包战绩横跨四个难度带：其一，大体量光伏——协鑫新能源开封禹王台120MW农光互补光伏EPC签约总代价八亿零十六万元、工期100个历日，设定10%-80%-5%-5%付款节点并引入供应商直付委托书（P4027）；其二，高能效能源站——澄迈能源站年发电超八千五百八十MWh、供冷21705GJ/a，综合能源利用率83.6%以上，对照行业传统分布式能源站平均综合效率约65%–70%（P4027）；其三，特种工业——18000kW电动机试验系统历时2年（含5个月试运行）建成，潍柴试验台支持5000kW并网（P4027）；其四，城市更新——喀什完整社区EPC覆盖7个街道、45个小区，改造便民设施1.46万平方米（P4027）。管理与标准层面，2023年全面启用用友BIP、落地"1344"数智化指导框架，将财务核算由收付实现制倒逼升级为权责发生制，解决工程总承包"干完才知道盈亏"的传统阵痛（P4027）；同时主编《低压配电技术标准》GB/T 50054-2025并启动中译英，以标准出海破除对外工程承包的技术标准壁垒（P4011）。</w:t>
      </w:r>
    </w:p>
    <w:p>
      <w:r>
        <w:rPr>
          <w:rFonts w:ascii="Calibri" w:hAnsi="Calibri" w:eastAsia="微软雅黑"/>
          <w:b w:val="0"/>
          <w:i w:val="0"/>
          <w:sz w:val="22"/>
        </w:rPr>
        <w:t>读法一：把中机国际的证据拆开，能看到第二层"设计为龙头"的三重兑现路径。第一重是商务结构——开封120MW项目以八亿零十六万元签约、100个历日工期，付款节点设为10%-80%-5%-5%并引入供应商直付委托书（P4027），意味着资金流被总包方全程锚定：款项大头与工程进度强绑定，直付机制则把资金直达供应商，压缩了中间环节的资金滞留空间。第二重是技术溢价——澄迈能源站综合能源利用率83.6%以上，比行业传统分布式能源站约65%–70%的平均水平高出一截（P4027），能效指标就是设计院在能源站类EPC里最硬的差异化武器。第三重是标准话语——主编GB/T 50054-2025并启动中译英（P4011），把企业技术能力上升为国家标准再输出为国际语言，这是位次的"护城河"打法：不仅做项目，还参与定义做项目的规则。</w:t>
      </w:r>
    </w:p>
    <w:p>
      <w:r>
        <w:rPr>
          <w:rFonts w:ascii="Calibri" w:hAnsi="Calibri" w:eastAsia="微软雅黑"/>
          <w:b/>
          <w:i w:val="0"/>
          <w:sz w:val="22"/>
        </w:rPr>
        <w:t>画像二：西北电力设计院——海外标杆与赛道切换的样本。</w:t>
      </w:r>
      <w:r>
        <w:rPr>
          <w:rFonts w:ascii="Calibri" w:hAnsi="Calibri" w:eastAsia="微软雅黑"/>
          <w:b w:val="0"/>
          <w:i w:val="0"/>
          <w:sz w:val="22"/>
        </w:rPr>
        <w:t>西北院以"两海一新"（向海洋、向海外、向创新）为战略坐标。海外标杆是中电胡布2×660兆瓦燃煤发电项目——中巴经济走廊优先实施项目，采用EPC总承包模式（P4003）；项目执行期间共向业主发起索赔200余项，从业主安保不力导致工人滞留，到港口罢工导致设备滞港、清关手续不及时，每一个细微事件都是索赔素材（P4003）。项目最终荣获国家优质工程金奖（境外）等多项殊荣（P4003）。国内转型同样坚决：2022年初响应"3060"双碳战略成立市政工程公司，开辟全新业务板块（P4003）；2026年9月16日至17日又以联合主办方身份出现在2026第四届长时储能大会，深耕压缩空气储能、热储能、电化学储能、氢基能源与液流电池等重点赛道（P4005）——从海外火电到市政再到长时储能，第二层玩家的赛道切换速度在加快。</w:t>
      </w:r>
    </w:p>
    <w:p>
      <w:r>
        <w:rPr>
          <w:rFonts w:ascii="Calibri" w:hAnsi="Calibri" w:eastAsia="微软雅黑"/>
          <w:b/>
          <w:i w:val="0"/>
          <w:sz w:val="22"/>
        </w:rPr>
        <w:t>画像三：安徽院——竞标数据最透明的样本。</w:t>
      </w:r>
      <w:r>
        <w:rPr>
          <w:rFonts w:ascii="Calibri" w:hAnsi="Calibri" w:eastAsia="微软雅黑"/>
          <w:b w:val="0"/>
          <w:i w:val="0"/>
          <w:sz w:val="22"/>
        </w:rPr>
        <w:t>安徽院将EPC总承包确立为参与市场竞争与生存发展的核心战略，在中国能建集团创建国际一流工程公司的战略主导下，向以总承包业务为主、综合实力强的电力工程公司跨越（P4012）。面对设计院传统上在施工现场管理和大宗设备采办经验上的不足，安徽院明确提出通过与强力施工企业或资源方"强强联合"来弥补短板，并推行人才引进与激励创新机制（P4012）。它的竞标数据最能暴露这一层竞争的残酷精度：江苏利港电厂220kV升压站改建项目EPC总承包招标中，安徽院投标总报价1.8415亿元、位列第二中标候选人，第一中标候选人江苏省电力设计院报价1.7988亿元，价差427.0297万元（P4012/P4013）；研究报告将其折算为2.37%的竞标价差敏感度——供应链采办与分包溢价一旦超过2%，直接导致招投标失利（P4013）。同一证据链还记录了其参与竞标的广西灵山苏屋岭风电场项目：规划总装机容量50MW，拟安装8台单机容量6.25MW的风电机组（P4012）——第二层玩家已在新能源赛道全面铺开。</w:t>
      </w:r>
    </w:p>
    <w:p>
      <w:r>
        <w:rPr>
          <w:rFonts w:ascii="Calibri" w:hAnsi="Calibri" w:eastAsia="微软雅黑"/>
          <w:b/>
          <w:i w:val="0"/>
          <w:sz w:val="22"/>
        </w:rPr>
        <w:t>画像四：中国电子院——资本信用最厚的样本。</w:t>
      </w:r>
      <w:r>
        <w:rPr>
          <w:rFonts w:ascii="Calibri" w:hAnsi="Calibri" w:eastAsia="微软雅黑"/>
          <w:b w:val="0"/>
          <w:i w:val="0"/>
          <w:sz w:val="22"/>
        </w:rPr>
        <w:t>中国电子院创建于1953年，曾先后隶属于电子工业部、信息产业部，2003年由国务院国资委管理，2009年正式并入国家开发投资公司（P4017）。资本底盘：注册资本92427.4508万元人民币，实缴资本同为92427.4508万元，实缴率100%（P4017）；对外投资35家企业，参与招投标项目9126次，拥有商标信息94条、专利信息513条、著作权信息134个（P4017）。作为对照，普通设计院注册资本通常在1000万至5000万之间，实缴比例往往不足（P4017）——实缴资本从千万级到九亿级的落差，正是EPC垫资门槛与信用门槛的量化表达。其经营时序证据覆盖13个年份，2025年出现疑似拐点（信息密度由2升至6）（P4021）。</w:t>
      </w:r>
    </w:p>
    <w:p>
      <w:pPr>
        <w:pStyle w:val="Heading3"/>
      </w:pPr>
      <w:r>
        <w:t>4.3.2 竞争地理：全国化布局与根据地市场</w:t>
      </w:r>
    </w:p>
    <w:p>
      <w:r>
        <w:rPr>
          <w:rFonts w:ascii="Calibri" w:hAnsi="Calibri" w:eastAsia="微软雅黑"/>
          <w:b w:val="0"/>
          <w:i w:val="0"/>
          <w:sz w:val="22"/>
        </w:rPr>
        <w:t>第二层玩家的投标足迹已经全国化。中国电子院中标语料237份聚合出31省份，强区为湖南、北京、海南（P4021）；湖南院中标语料215份聚合出31省份，强区为湖南、北京、浙江，且2025年为其经营证据密度最高年份（信息密度7→12）（P4022）；上海院中标语料187份聚合出31省份，强区为四川、上海、北京（P4023）；山西院中标语料163份聚合出30个省份，强区为山西、上海、北京（P4025）；安徽院中标语料141份聚合出31省份，强区为北京、上海、安徽（P4026）。两个规律值得注意：其一，各院的根据地省份（湖南之于湖南院、山西之于山西院、安徽之于安徽院）仍是中标强度最高的主场；其二，北京、上海是所有大院共同争夺的制高点，跨省作战已是常态。上海院系企业还出现在三峡青海海南州大基地、中能建广西崇左大基地等国家级大基地项目的证据链中（P4023）——第二层与第一层的边界地带，正是新能源大基地这类资本密集但工艺门槛相对可控的项目：谁能凑齐资本与供应链，谁就能从这一地带上探。</w:t>
      </w:r>
    </w:p>
    <w:p>
      <w:r>
        <w:rPr>
          <w:rFonts w:ascii="Calibri" w:hAnsi="Calibri" w:eastAsia="微软雅黑"/>
          <w:b w:val="0"/>
          <w:i w:val="0"/>
          <w:sz w:val="22"/>
        </w:rPr>
        <w:t>这条层间通道的具体形态值得展开。安徽院参与竞标的广西灵山苏屋岭风电场项目规划总装机容量50MW、拟安装8台单机容量6.25MW的风电机组（P4012）；上海院系企业则进入了三峡青海海南州、中能建广西崇左等大基地项目的证据链（P4023）。这类新能源项目的共同特征是：资本密集（大基地级）、工艺门槛相对可控（风光储技术成熟度高）、供应链高度市场化——恰好落在第二层的优势区与第一层的资本区交界处。这也解释了为什么第二层的竞标价差会被压缩到2.37%这一量级（P4013）：当技术分化变小时，价格与供应链成本就成为几乎唯一的决胜变量；谁能以设计优化压低度电成本、以集采规模压低设备价格，谁就能在通道上持续拿单，反之则在这条带上遭遇最惨烈的价格战。</w:t>
      </w:r>
    </w:p>
    <w:p>
      <w:pPr>
        <w:pStyle w:val="Heading3"/>
      </w:pPr>
      <w:r>
        <w:t>4.3.3 理论支点：设计锁定70%造价</w:t>
      </w:r>
    </w:p>
    <w:p>
      <w:r>
        <w:rPr>
          <w:rFonts w:ascii="Calibri" w:hAnsi="Calibri" w:eastAsia="微软雅黑"/>
          <w:b w:val="0"/>
          <w:i w:val="0"/>
          <w:sz w:val="22"/>
        </w:rPr>
        <w:t>第二层打法成立的理论支点，是设计端对工程70%以上造价的源头控制力——工程全生命周期成本在初步设计与施工图设计阶段已被锁定，设计阶段不做限额设计，后期施工优化增益归零（P4013）。在此基础上，有研究将设计院的EPC战略位次表达为量化公式：EPC战略位次得分=设计技术溢价因子×采购施工集成效率÷（组织内耗成本+履约合规风险）（P4001）。该公式的管理含义是：分子（设计溢价与集成效率）再大，也架不住分母（组织内耗与合规风险）失控——这正是考核与风控问题在第二层的理论地位，也是下文生死线与考核错配两节展开的逻辑起点。</w:t>
      </w:r>
    </w:p>
    <w:p>
      <w:r>
        <w:rPr>
          <w:rFonts w:ascii="Calibri" w:hAnsi="Calibri" w:eastAsia="微软雅黑"/>
          <w:b w:val="0"/>
          <w:i w:val="0"/>
          <w:sz w:val="22"/>
        </w:rPr>
        <w:t>这一支点也解释了为什么"强强联合"是第二层的标配而非可选项。安徽院在面向工程公司模式转型过程中，着力更新全员经营观念、改革传统的生产组织方式，发挥设计在工程总承包中的龙头引导作用，优化项目设计管理，并在前期咨询与具体EPC工程项目中验证了转型路径的有效性（P4012）；面对施工现场管理和大宗设备采办经验上的不足，则以与强力施工企业或资源方的"强强联合"来弥补，同时推行人才引进与激励创新机制，吸引和培养复合型工程管理人才（P4012）。历史样本同样证明设计"管总"的价值：在白水江流域和美姑河流域的水电站项目中，设计参与工程建设的全过程，对工程投资、进度、质量和技术进行全面控制，具有明显优势（P4000）。设计锁造价、伙伴扛施工、总包管界面——这是第二层被反复验证的组织公式。</w:t>
      </w:r>
    </w:p>
    <w:p>
      <w:pPr>
        <w:pStyle w:val="Heading3"/>
      </w:pPr>
      <w:r>
        <w:t>4.3.4 生死线：2.37%的价差与四条红线</w:t>
      </w:r>
    </w:p>
    <w:p>
      <w:r>
        <w:rPr>
          <w:rFonts w:ascii="Calibri" w:hAnsi="Calibri" w:eastAsia="微软雅黑"/>
          <w:b w:val="0"/>
          <w:i w:val="0"/>
          <w:sz w:val="22"/>
        </w:rPr>
        <w:t>如果说设计主导是第二层的矛，那么司法与合同红线就是这一层的悬崖。证据清单如下：其一，违约金终止线——大型EPC主合同中因工期或质量违规导致的累计违约金上限为10.0%合同总额，达到该阈值发包人有权无条件终止合同并没收履约保函（P4013）；其二，性能红线——司法判例中因设计工艺致命缺陷导致完工后实际发电量仅为设计的4.52%，被判定为根本性违约，总承包商须退还全部工程款并赔偿全额损失（P4013）；其三，赔偿上限——竣工后试验性能严重不达标（如渗滤液处理量不足）的司法判决赔偿比例可达60%合同总价（P4013）；其四，现金流红线——存货（合同资产）加应收账款合计占营业收入的比重（两金占用率）超过35%即触发现金流链预警，倒逼强制停工与保理贴现（P4013）。把四条红线与2.37%的竞价价差放在一起读：第二层是在毫厘价差中抢单、在悬崖边上履约的生意——省下的设计费必须精确转化为采购与施工阶段的成本控制，否则一次性能不达标就能吞噬多年利润（P4013）。</w:t>
      </w:r>
    </w:p>
    <w:p>
      <w:r>
        <w:rPr>
          <w:rFonts w:ascii="Calibri" w:hAnsi="Calibri" w:eastAsia="微软雅黑"/>
          <w:b w:val="0"/>
          <w:i w:val="0"/>
          <w:sz w:val="22"/>
        </w:rPr>
        <w:t>红线背后是真实的合同法理。石化EPC的司法实践显示：合同分拆模式下存在履约抗辩（如(2016)最高法民终695号先履行抗辩权）、分包合同同步解除机制（(2016)最高法民再53号）及境外保函止付风险（(2017)川民终72号）（P4019）；行政审计强行介入结算引发的计价标准纠偏同样见于司法实践（P4019）。对第二层玩家的含义：EPC合同不是设计合同的放大版，而是另一种法律物种——总分包链条上的每一次抗辩权、解除权与保函安排，都可能把技术问题转化为资金问题。接单之前让法务与商务把合同解除、保函止付、审计介入这几类判例场景过一遍，是比低价中标更重要的投标动作。</w:t>
      </w:r>
    </w:p>
    <w:p>
      <w:pPr>
        <w:pStyle w:val="Heading3"/>
      </w:pPr>
      <w:r>
        <w:t>4.3.5 考核错配：一笔数千万元亏损的组织学</w:t>
      </w:r>
    </w:p>
    <w:p>
      <w:r>
        <w:rPr>
          <w:rFonts w:ascii="Calibri" w:hAnsi="Calibri" w:eastAsia="微软雅黑"/>
          <w:b w:val="0"/>
          <w:i w:val="0"/>
          <w:sz w:val="22"/>
        </w:rPr>
        <w:t>第二层最隐蔽的失败源不在技术而在考核。一个数亿元体量的项目，最后亏损达数千万元，倒查根因不是施工不行，而是考核指标压根没指向"总包利润"：设计院转做总包后，项目人员还按"图纸产值"计奖，设计师只管出图快、不管概算控不控得住，采购只顾低价中标、不看全生命周期成本，结果设计费省下的钱在施工阶段成倍地赔回去（P4007）。这种错配直接漏了三笔账：团队花钱买进度、利润被悄悄吃空；懂风险的高手拿不到高绩效、只能躺平走人；连AI工具乱用触碰合规红线都没人管（P4007）。止血的方向同样明确：让数据可追溯、规则透明，考核初评可由AI记录全过程数据自动生成，但AI评分不能一锤定音，最终仍须人工审核，违规乱用AI一票否决；考核制度一旦变成惩罚工具，人心就散了（P4007）。展开成可执行的三步：第一步，用数据审计薪酬错配，揪出"低绩效高薪酬"的人员——考核错配最直接的证据就藏在薪酬与绩效的错位里（P4007）；第二步，让系统记录全过程数据、自动生成考核初评，把"谁控住了概算、谁埋了风险"变成可追溯的事实而非事后印象（P4007）；第三步，给人工审核保留终审位，AI评分不能一锤定音，违规乱用AI者一票否决（P4007）。规则透明、数据可追溯，负向约束才有说服力（P4007）。与此对照，中机国际以"1344"数智化框架落地全过程权责发生制考核，将风控规则与国资穿透监管嵌入立项、招投标、采购及资金全流程（P4027）——同层玩家之间，管理体系的代差已经拉开。</w:t>
      </w:r>
    </w:p>
    <w:p>
      <w:r>
        <w:rPr>
          <w:rFonts w:ascii="Calibri" w:hAnsi="Calibri" w:eastAsia="微软雅黑"/>
          <w:b w:val="0"/>
          <w:i w:val="0"/>
          <w:sz w:val="22"/>
        </w:rPr>
        <w:t>出海的第二层玩家还普遍采用"全分包"模式：设计院保留核心的设计、方案优化及项目整体统筹职责，将采购、施工、安装、跨境物流等非优势环节全部分包，通过"背靠背"合同试图将工期、质量、合规风险转移给下游分包商与供应商（P4002）；分包关系形成"设计院（总包）—一级分包商（施工/采购总包）—二级分包商（专业施工队/供应商）"的层级结构，层级越多，信息不对称风险越高、风险传导效率越低（P4002）。设计院的项目成功高度依赖分包商的履约能力，对分包商的进度管控、质量监督、合规管理成为项目管理的核心内容（P4002）——这条供应链，就是第二层的隐形资产负债表，也是风险缓冲垫与风险引爆点的合一之处。</w:t>
      </w:r>
    </w:p>
    <w:p>
      <w:r>
        <w:rPr>
          <w:rFonts w:ascii="Calibri" w:hAnsi="Calibri" w:eastAsia="微软雅黑"/>
          <w:b w:val="0"/>
          <w:i w:val="0"/>
          <w:sz w:val="22"/>
        </w:rPr>
        <w:t>所以呢：第二层的门票=高等级资质+集团信用+设计主导权（8个行业甲级、ENR60强的中机国际是样本，P4011）；打法=以设计锁定70%造价（P4013）+强强联合补施工采办短板（P4012）+数智化穿透盈亏（P4027）+标准出海破壁（P4011）；生死线=2.37%价差、10%违约金、60%赔偿、35%两金（P4013）与考核指向（P4007）。管理层自检只需一问：我们的项目考核指向图纸产值还是总包利润？若是前者，距离那笔数千万元的亏损只差一个项目的距离（P4007）。</w:t>
      </w:r>
    </w:p>
    <w:p>
      <w:r>
        <w:rPr>
          <w:rFonts w:ascii="Calibri" w:hAnsi="Calibri" w:eastAsia="微软雅黑"/>
          <w:b w:val="0"/>
          <w:i w:val="0"/>
          <w:sz w:val="22"/>
        </w:rPr>
        <w:t>组织侧的准备同样有清单可依。行业培训体系把设计院做总包所需的能力归纳为三大资源与四大能力，并强调工程总承包业务组织、管理标准体系设计与激励体系设计三个体系动作（P4006）；战略研究则提示以矩阵组织权责重置理顺设计专家与项目经理的控制权让渡规则（P4001），并赋予EPC项目经理集中采购与设备二次议价的决策权（P4001）。把这些落到组织图上，就是三件事：设一个真有权限的总包项目部、立一套覆盖立项到结算的管理标准、改一版指向总包利润的激励方案——没有这三件，第二层的任何一单都在裸奔。</w:t>
      </w:r>
    </w:p>
    <w:p>
      <w:pPr>
        <w:pStyle w:val="Heading2"/>
      </w:pPr>
      <w:r>
        <w:t>4.4 第三层：地方院、民营机构与跨界新玩家——细分市场的生存法则</w:t>
      </w:r>
    </w:p>
    <w:p>
      <w:pPr>
        <w:pStyle w:val="Heading3"/>
      </w:pPr>
      <w:r>
        <w:t>4.4.1 历史起点：1999年的改制</w:t>
      </w:r>
    </w:p>
    <w:p>
      <w:r>
        <w:rPr>
          <w:rFonts w:ascii="Calibri" w:hAnsi="Calibri" w:eastAsia="微软雅黑"/>
          <w:b w:val="0"/>
          <w:i w:val="0"/>
          <w:sz w:val="22"/>
        </w:rPr>
        <w:t>第三层玩家的制度起点是1999年：国务院办公厅转发工程勘察设计单位体制改革意见，提出改企转制、政企分开，将相关事业性质单位转为科技型企业，并允许参照工程公司、工程咨询设计公司、设计事务所等不同形式开展改革（P4033）。北京2001年的相关意见也强调根据实际情况选择组织方式，而不是依靠行政命令简单拼凑集团（P4033）。这段历史改变的不只是单位名称：技术队伍、科研传统、质量管理、师徒培养和地方工程经验需要继续保留；与此同时，获取订单、竞争报价、组织交付、承担责任的市场逻辑开始与之长期共存（P4033）。二十多年改制下来，这一层分化出三类玩家：地方国企与城投系、民营设计机构与科技企业、以及留守的传统设计院。这段改制史对今天的启示在于：设计院与工程公司两种组织形态的边界，从制度设计之初就是开放的——改革意见允许企业参照工程公司、工程咨询设计公司、设计事务所等不同形式开展改革（P4033）。今天讨论的"转型位次"，本质上是这二十多年组织选择累积的结果：选了工程公司路径并持续投入资源的企业，如今站在第二层甚至第一层；停留在设计事务所形态的，则留在第三层面对最直接的挤压。</w:t>
      </w:r>
    </w:p>
    <w:p>
      <w:pPr>
        <w:pStyle w:val="Heading3"/>
      </w:pPr>
      <w:r>
        <w:t>4.4.2 城投系：从代建机器到城市综合运营商</w:t>
      </w:r>
    </w:p>
    <w:p>
      <w:r>
        <w:rPr>
          <w:rFonts w:ascii="Calibri" w:hAnsi="Calibri" w:eastAsia="微软雅黑"/>
          <w:b w:val="0"/>
          <w:i w:val="0"/>
          <w:sz w:val="22"/>
        </w:rPr>
        <w:t>这轮转型有明确的政策推手。《"十五五"规划纲要》明确提出"加快推动地方政府融资平台改革转型"，将其作为防范化解债务风险、保障经济安全的重要任务（P4034）。财政部2026年上半年财政政策执行情况报告进一步要求：指导地方加快化解融资平台存量隐性债务，依法依规厘清政府和企业权责，加快剥离融资平台政府融资功能（P4016）。化债与转型并行，城投的甲方角色与竞争者角色被同时重塑——这是第三层玩家未来五年最大的变量。</w:t>
      </w:r>
    </w:p>
    <w:p>
      <w:r>
        <w:rPr>
          <w:rFonts w:ascii="Calibri" w:hAnsi="Calibri" w:eastAsia="微软雅黑"/>
          <w:b w:val="0"/>
          <w:i w:val="0"/>
          <w:sz w:val="22"/>
        </w:rPr>
        <w:t>城投的转型数据提供了第三层最大一股新势力的画像。基于2168家城投年报的观察显示"四减一增"：其一，2025年样本城投公益性和准公益性业务收入占主营业务收入的中位数为58.4%，较2024年下降1.8个百分点——公益性收入占比在降（P4034）；其二，应收类款项来自政府的占比中位数为30.4%，较2024年下降0.6个百分点——与地方政府的资金往来在减（P4034）；其三，存货（主要反映政府代建类项目）余额占总资产比重27.3%，较上年下降0.9个百分点——代建资产在退（P4034）；其四，2025年样本城投土地资产约1.9万亿元，较上年下降11.8%，占总资产比重降至1.2%——土地开发在收缩（P4034）；其五，长期股权投资占总资产比重由2021年的3.2%提高至4.0%——股权投资在增（P4034）。传统代建类资产占比下降、土地资产连续两年收缩、股权投资逆势增长，说明城投正在脱离政府代建与土地开发的老路，转向资本运营与市场化业务（P4034）。</w:t>
      </w:r>
    </w:p>
    <w:p>
      <w:r>
        <w:rPr>
          <w:rFonts w:ascii="Calibri" w:hAnsi="Calibri" w:eastAsia="微软雅黑"/>
          <w:b w:val="0"/>
          <w:i w:val="0"/>
          <w:sz w:val="22"/>
        </w:rPr>
        <w:t>规划界的结构性判断与之呼应：城市建设时代的主战场是一二级土地市场，主导者是城市政府；进入城市更新运营时代，发展的主战场已转向二三级土地市场，主导者转为相关产权人；地方国企的角色正从专项功能性国企转向城市综合运营商（P4030）。对设计院而言，这批新甲方兼新对手的出现具有双重意义：一方面，地方国企需要设计院的专业能力来支撑其向城市综合运营商转型——国企资产盘活、公共空间资产盘活都需要规划供给与设计服务（P4030）；另一方面，城投自身也在整合设计资源、把设计环节内部化。第三层设计院的机会窗口，在于抢在城投能力成型之前，把自己嵌入其城市运营的知识链，而非仅做其绘图外包。</w:t>
      </w:r>
    </w:p>
    <w:p>
      <w:pPr>
        <w:pStyle w:val="Heading3"/>
      </w:pPr>
      <w:r>
        <w:t>4.4.3 民营与科技企业：机制灵活的侧翼</w:t>
      </w:r>
    </w:p>
    <w:p>
      <w:r>
        <w:rPr>
          <w:rFonts w:ascii="Calibri" w:hAnsi="Calibri" w:eastAsia="微软雅黑"/>
          <w:b w:val="0"/>
          <w:i w:val="0"/>
          <w:sz w:val="22"/>
        </w:rPr>
        <w:t>第二股力量是民营设计机构及科技企业，凭借机制灵活、响应迅速等优势进入市场，在细分领域形成竞争（P4004）。它们不与大院拼资质纵深，而拼速度、垂直场景与价格弹性。在业主需求结构变化的大背景下，这类玩家的空间还在扩大：业主对设计服务的需求正从以图纸交付为核心，转向方案的经济性、可实施性及对后续运营的支持能力；业主更倾向于选择能够参与前期策划、过程管理及后期运维的服务主体，以降低整体风险并提升投资效率（P4004）。技术条件的变化同时在重塑价值分配：BIM、数字孪生等技术的应用正在改变设计工作方式，设计不再局限于单一阶段的成果交付，而是逐步融入项目全生命周期；随着数据在项目中的持续积累，设计成果由一次性输出转向可持续利用，不仅支撑方案优化，也服务于后续运维与管理决策（P4004）。谁能把技术能力转化为稳定业务来源和实际收益，谁就能在第三层拿到超额回报（P4004）——这也是科技企业得以跨界进入的技术抓手。</w:t>
      </w:r>
    </w:p>
    <w:p>
      <w:r>
        <w:rPr>
          <w:rFonts w:ascii="Calibri" w:hAnsi="Calibri" w:eastAsia="微软雅黑"/>
          <w:b w:val="0"/>
          <w:i w:val="0"/>
          <w:sz w:val="22"/>
        </w:rPr>
        <w:t>技术变量对第三层的竞争格局影响同样直接。BIM、数字孪生等技术的应用正在改变设计工作的方式，也在重塑设计成果的价值；设计不再局限于单一阶段的成果交付，而是逐步融入项目全生命周期，成为连接建设与运营的重要支撑环节（P4004）。但工具是双刃剑：考核错配的案例中，"AI工具乱用触碰合规红线都没人管"正是三笔漏账之一（P4007）。第三层玩家的正确姿势是把技术能力转化为稳定业务来源和实际收益（P4004），而不是为数字化而数字化——技术投入若不能进入收费科目，就只是成本。</w:t>
      </w:r>
    </w:p>
    <w:p>
      <w:pPr>
        <w:pStyle w:val="Heading3"/>
      </w:pPr>
      <w:r>
        <w:t>4.4.4 留守的设计院：城市更新里的专业纵深</w:t>
      </w:r>
    </w:p>
    <w:p>
      <w:r>
        <w:rPr>
          <w:rFonts w:ascii="Calibri" w:hAnsi="Calibri" w:eastAsia="微软雅黑"/>
          <w:b w:val="0"/>
          <w:i w:val="0"/>
          <w:sz w:val="22"/>
        </w:rPr>
        <w:t>第三层的存量主体是留守的传统设计院。它们的现实困境有三。其一，收入结构单一：设计收费通常与项目投资规模直接挂钩，项目获取又受政策节奏和审批周期影响，收入呈现明显的阶段性特征；在投资节奏放缓、项目推进周期拉长的情况下，设计业务量与回款节奏均受影响，市场竞争加剧使设计收费标准持续承压、单位项目收益水平下降（P4004）。其二，人才流失：全行业设计人员一年减少6.3%（P4028），行业内最易传播的内容已变成"劝退设计院"（P4028）——当年轻一代不再相信行业关于未来的故事，第三层设计院的技术传承链条最先受损。其三，能力欠账：大多数勘察设计企业的工程总承包业务发展还不成熟，工程总承包业务管理体系还不健全、专业管理人才缺乏（P4006）。</w:t>
      </w:r>
    </w:p>
    <w:p>
      <w:r>
        <w:rPr>
          <w:rFonts w:ascii="Calibri" w:hAnsi="Calibri" w:eastAsia="微软雅黑"/>
          <w:b w:val="0"/>
          <w:i w:val="0"/>
          <w:sz w:val="22"/>
        </w:rPr>
        <w:t>但第三层并非没有位置。城市更新给设计院留出了专业纵深：城市更新没有削弱设计的重要性，而是在改变设计工作的起点、范围、协作方式和价值实现方式；设计院的机会不是简单从"画新楼"转向"改旧楼"，而是把工程、空间、制度与地方知识转化为理解和改善既有城市的专业服务；设计院的未来不必是告别设计，更不必是包办投资、建设和运营（P4033）。既有建筑更新中"原有结构能否保留、改动过的管线怎样确认、新功能如何影响消防机电、施工期能否继续使用"这类问题，不会因为有了投资意向、运营方案或数字平台就自动得到回答——需要有人把分散的信息、不同专业的判断和现实约束组织起来，转化为能够讨论、能够实施、能够承担责任的方案（P4033）。这正是第三层设计院对抗跨界者的根据地。需要清醒的是，位置与能力必须匹配：重要的位置，需要真实能力支撑；新的可能，也需要合适的组织、合同和回报安排才能成立（P4033）。城市更新业务同样要面对服务定价、组织协作与长期经营理解的挑战（P4033）——第三层玩家若只是换个赛道沿用旧图纸思维，位次不会自动改善。</w:t>
      </w:r>
    </w:p>
    <w:p>
      <w:r>
        <w:rPr>
          <w:rFonts w:ascii="Calibri" w:hAnsi="Calibri" w:eastAsia="微软雅黑"/>
          <w:b w:val="0"/>
          <w:i w:val="0"/>
          <w:sz w:val="22"/>
        </w:rPr>
        <w:t>历史上"设计管总"的样本也早已存在：在白水江流域和美姑河流域的水电站项目中，设计参与工程建设的全过程，对工程投资、进度、质量和技术进行全面控制（P4000）。中型企业上探的通道同样没有关死：浙江新盛集团以BIM技术和信息化管理系统实现虚拟建造和现场装配，成功解决地下室冷冻水管、弧形管道等机电安装难题，应用于运河亚运公园项目（P4000）；上海经纬作为设计单位转型EPC工程总承包，具备技术和管理方面的巨大优势（P4000）。行业培训体系则把转型所需的能力底座总结为"设计院做总包所需的三大资源与四大能力"，并强调工程总承包业务组织、管理标准体系设计与激励体系设计（P4006）——第三层玩家按此清单逐项补课，比盲目接大单更接近位次上移。</w:t>
      </w:r>
    </w:p>
    <w:p>
      <w:r>
        <w:rPr>
          <w:rFonts w:ascii="Calibri" w:hAnsi="Calibri" w:eastAsia="微软雅黑"/>
          <w:b w:val="0"/>
          <w:i w:val="0"/>
          <w:sz w:val="22"/>
        </w:rPr>
        <w:t>所以呢：第三层的活法=在细分市场做深（城市更新、专项EPC、运维咨询，P4033）+轻资产整合（不拼施工队伍拼设计管理与总包管理）+绑定正在转型的地方国企（P4030/P4034）+把技术能力变成可持续收益（P4004）。反向的警告同样清晰：若以千万级注册资本（P4017）硬冲大体量带资总承包，等待你的不是位次上升，而是4.52%发电量判例式的灭顶风险（P4013）。</w:t>
      </w:r>
    </w:p>
    <w:p>
      <w:pPr>
        <w:pStyle w:val="Heading2"/>
      </w:pPr>
      <w:r>
        <w:t>4.5 第四层：国际巨头的进退与中国军团的出海——全球牌桌的门票</w:t>
      </w:r>
    </w:p>
    <w:p>
      <w:pPr>
        <w:pStyle w:val="Heading3"/>
      </w:pPr>
      <w:r>
        <w:t>4.5.1 巨头做减法：Arcadis、WSP与Jacobs的进退</w:t>
      </w:r>
    </w:p>
    <w:p>
      <w:r>
        <w:rPr>
          <w:rFonts w:ascii="Calibri" w:hAnsi="Calibri" w:eastAsia="微软雅黑"/>
          <w:b w:val="0"/>
          <w:i w:val="0"/>
          <w:sz w:val="22"/>
        </w:rPr>
        <w:t>国际牌桌上正在发生方向相反的两件事：国际巨头在做减法，中国军团在做加法。</w:t>
      </w:r>
    </w:p>
    <w:p>
      <w:r>
        <w:rPr>
          <w:rFonts w:ascii="Calibri" w:hAnsi="Calibri" w:eastAsia="微软雅黑"/>
          <w:b w:val="0"/>
          <w:i w:val="0"/>
          <w:sz w:val="22"/>
        </w:rPr>
        <w:t>先看减法。2026年7月，加拿大工程咨询巨头WSP Global试图收购荷兰同行Arcadis，报价从每股48.5欧元提高到51.5欧元（P4029）；Arcadis董事会认为该价格低估了公司的内在价值、战略地位和未来前景，同时担忧业务整合与企业文化方面的风险，因而拒绝（P4029）。9月22日，WSP正式宣布不再推进收购（P4029）；仅一周后的9月29日，Arcadis公布了2027—2029年新战略"Arcadis' Reset: Focused Growth, Sustainable Value"，围绕聚焦优势领域、围绕客户简化组织、建立更注重经营结果的绩效文化三个方向改善表现，并计划剥离大部分建筑业务以及中国业务——拟剥离的建筑业务每年产生约2亿欧元收入，但盈利能力较低（P4029）。值得注意的是，Jacobs在2024年也做了同样的战略选择（P4029）。</w:t>
      </w:r>
    </w:p>
    <w:p>
      <w:r>
        <w:rPr>
          <w:rFonts w:ascii="Calibri" w:hAnsi="Calibri" w:eastAsia="微软雅黑"/>
          <w:b w:val="0"/>
          <w:i w:val="0"/>
          <w:sz w:val="22"/>
        </w:rPr>
        <w:t>Jacobs的财务轨迹揭示了国际巨头的增长范式：其营收在2015-2017年呈下降趋势，2018年因完成对CH2M的收购，营业收入大幅增长至149.9亿美元、较2017年增长48.1%（P4025）；2019年因ECR业务出售，净利润增长至8.7亿美元，但2020年有所下降（P4025）。并购做规模、剥离做利润——国际巨头已经进入"规模不等于价值"的收敛期（P4029）。</w:t>
      </w:r>
    </w:p>
    <w:p>
      <w:r>
        <w:rPr>
          <w:rFonts w:ascii="Calibri" w:hAnsi="Calibri" w:eastAsia="微软雅黑"/>
          <w:b w:val="0"/>
          <w:i w:val="0"/>
          <w:sz w:val="22"/>
        </w:rPr>
        <w:t>为什么一年约2亿欧元收入的建筑业务仍然要卖（P4029）？因为盈利能力较低（P4029）。这个判断背后的战略逻辑值得中国同行逐字品读：当一家工程咨询公司的规模越来越大、业务越来越多，并不必然意味着它越来越有价值（P4029）。国际巨头的答案是聚焦——围绕优势领域重组资产组合，宁可收缩规模也要保住利润质量（P4029）。对照国内部分设计院"什么总承包都接、什么垫资都敢做"的规模冲动，这是一面反向的镜子：在位次游戏中，利润质量比合同规模更接近终局指标。</w:t>
      </w:r>
    </w:p>
    <w:p>
      <w:r>
        <w:rPr>
          <w:rFonts w:ascii="Calibri" w:hAnsi="Calibri" w:eastAsia="微软雅黑"/>
          <w:b w:val="0"/>
          <w:i w:val="0"/>
          <w:sz w:val="22"/>
        </w:rPr>
        <w:t>对买方的启示有二。其一，国际巨头正在放弃低盈利的建筑设计红海、聚焦高价值领域，中国设计市场在全球玩家的资产组合中被降权（P4029），本土高端市场面对的直接国际竞争短期未必加剧。其二，当中国设计院出海时，面对的将是一群更专注、更精简、且在属地经营了几十年的对手——以中东为例，许多国际工程咨询企业已经营几十年，熟悉当地的政府部门、开发商、投资机构和承包商，拥有长期合作的客户网络，也积累了大量当地项目履历；后来者即使技术水平不差，也很难在短时间内撼动这些公司的地位（P4032）。</w:t>
      </w:r>
    </w:p>
    <w:p>
      <w:pPr>
        <w:pStyle w:val="Heading3"/>
      </w:pPr>
      <w:r>
        <w:t>4.5.2 中国军团做加法：7937亿营业额的另一面</w:t>
      </w:r>
    </w:p>
    <w:p>
      <w:r>
        <w:rPr>
          <w:rFonts w:ascii="Calibri" w:hAnsi="Calibri" w:eastAsia="微软雅黑"/>
          <w:b w:val="0"/>
          <w:i w:val="0"/>
          <w:sz w:val="22"/>
        </w:rPr>
        <w:t>再看加法。2026年1-8月，我国对外承包工程业务完成营业额7937.1亿元人民币，同比增长5.8%（以美元计1156.1亿美元、增长9.9%）（P4025）；新签合同额11763.2亿元人民币，下降3.0%（以美元计1713.4亿美元、增长0.7%）（P4025）。截至2025年末，我国在境外设立企业5.8万家、遍布189个国家和地区，境外企业从业员工总数476.1万人，其中雇用外方员工296.5万人（P4025）。三条信息并读：营业额在涨而新签在跌，出海大盘进入消化存量订单的阶段，增量窗口收窄、后来者的门票更贵；外方员工296.5万人占总从业人数的六成以上（P4025），中国出海军团的属地化用工已成主流——属地化不再是可以回避的选项，而是成本与合规的共同要求。</w:t>
      </w:r>
    </w:p>
    <w:p>
      <w:r>
        <w:rPr>
          <w:rFonts w:ascii="Calibri" w:hAnsi="Calibri" w:eastAsia="微软雅黑"/>
          <w:b w:val="0"/>
          <w:i w:val="0"/>
          <w:sz w:val="22"/>
        </w:rPr>
        <w:t>属地化的管理含义比数字本身更深。境外企业从业员工总数476.1万人、其中雇用外方员工296.5万人（P4025），意味着中国出海工程的主力部队一大半是属地员工——跨文化管理、属地劳动法合规、属地分包商管控不再是"走出去"的选修课，而是日常运营的主课。设计院在国内习惯了以自有技术团队为中心的项目组织方式，出海后必须完成从"管自己人"到"管联合体、管属地、管供应链"的组织转身；全分包模式下的多层级合同关系（P4002）更要求这套管理能力跨语言、跨法域运转。</w:t>
      </w:r>
    </w:p>
    <w:p>
      <w:pPr>
        <w:pStyle w:val="Heading3"/>
      </w:pPr>
      <w:r>
        <w:t>4.5.3 出海的样本与教训</w:t>
      </w:r>
    </w:p>
    <w:p>
      <w:r>
        <w:rPr>
          <w:rFonts w:ascii="Calibri" w:hAnsi="Calibri" w:eastAsia="微软雅黑"/>
          <w:b w:val="0"/>
          <w:i w:val="0"/>
          <w:sz w:val="22"/>
        </w:rPr>
        <w:t>样本侧的战绩是真实的。浙江城建自2004年以来在阿尔及利亚采用工程总承包模式，累计业务额近100亿元、完成产值近70亿元（P4000）。中交四航院以广东石化2000万吨/年原油炼化一体化项目配套终端工程（建设5000至10万吨级泊位13个）创下其一次性建成泊位最多、项目合同额最大的EPC总承包项目纪录（P4021）。永福股份中标云南玉溪玉昆钢铁产能置换升级改造供电项目220kV玉昆变电站和配套7座110kV变电站两个EPC总承包项目，中标总金额4.25亿元，占其2020年度经审计总承包工程业务营业收入6.3亿元的67.7974%（P4021）——单一项目撑起一家公司近七成的年总包营收，既是区域深耕与出海的共同机会结构，也是"大单依赖"的双刃剑：一个大项目的得失足以改写全年报表。</w:t>
      </w:r>
    </w:p>
    <w:p>
      <w:r>
        <w:rPr>
          <w:rFonts w:ascii="Calibri" w:hAnsi="Calibri" w:eastAsia="微软雅黑"/>
          <w:b w:val="0"/>
          <w:i w:val="0"/>
          <w:sz w:val="22"/>
        </w:rPr>
        <w:t>教训侧同样具体。西北院计财人员在胡布项目的近三年里，全程参与项目的变更、索赔、收付款及结算；国际合同的严肃性、属地化管理的复杂性、外汇波动的风险，以及陌生的税收与法律体系，是完全不同于国内的挑战（P4003）；项目执行期间向业主发起索赔200余项，同时向保险公司索赔不可抗力造成的损失（P4003）。需要正名的是：索赔200余项（P4003）不是丑闻而是能力——它证明总包方建立了把每一个业主方事件转化为商务证据的组织能力（P4003）；计财工作决不能局限于"算账"，而要深入设计、采购、施工的每一个环节去识别风险、策划索赔、控制成本（P4003）。反面的是全分包模式的风险结构：境外项目叠加东道国法律政策、合规要求、跨文化差异、外汇波动等因素，再叠加全分包模式下"总包—分包商—供应商—业主"的多层级合同关系，使分包风险管理难度陡增；面对分包商履约能力不足导致工期延误、跨境合规责任传导不彻底导致总包兜底、合同"背靠背"条款设计缺陷导致索赔无据等问题，设计院常陷入"风险转移预期与实际履约结果脱节"的困境，不仅造成成本超支、工期延误，更可能损害国际市场声誉（P4002）。</w:t>
      </w:r>
    </w:p>
    <w:p>
      <w:r>
        <w:rPr>
          <w:rFonts w:ascii="Calibri" w:hAnsi="Calibri" w:eastAsia="微软雅黑"/>
          <w:b w:val="0"/>
          <w:i w:val="0"/>
          <w:sz w:val="22"/>
        </w:rPr>
        <w:t>对策的方向已经明确：从"风险转移"走向"分包协同"。研究指出，设计院在境外总包业务中应实现"技术优势+分包协同"的良性发展（P4002）；既然项目成功高度依赖分包商的履约能力，对分包商的进度管控、质量监督、合规管理就必须成为项目管理的核心内容，而非采购环节的附属事务（P4002）。层级越多的分包结构信息不对称风险越高（P4002），压扁分包层级、绑定核心分包商、把"背靠背"条款做实到证据链，是出海设计院必修的内功。</w:t>
      </w:r>
    </w:p>
    <w:p>
      <w:r>
        <w:rPr>
          <w:rFonts w:ascii="Calibri" w:hAnsi="Calibri" w:eastAsia="微软雅黑"/>
          <w:b w:val="0"/>
          <w:i w:val="0"/>
          <w:sz w:val="22"/>
        </w:rPr>
        <w:t>新加坡盛邦裕廊集团（Surbana Jurong）的路径为中国同行提供了一面镜子。它并非天生的全球公司：其能力根植于新加坡建屋发展局（HDB）相关的建筑与发展业务（大规模公共住房建设沉淀的高密度城市经验）和裕廊工业区开发体系（工业化基础设施经验）两条源流，随后通过企业化改革、业务整合、国际并购和海外项目经营，逐步形成跨国工程咨询集团轮廓（P4032）。它的国际化答案不是正面复制竞争对手的全部业务，也不是单纯依靠低成本竞争，而是尽可能利用自身的综合咨询能力、集团成员公司的专业优势，以及与其他国际承包商的合作关系，从复杂的市场结构中寻找切入口（P4032）。先解决自己国家的问题、再把解决方案产品化输出——这与"国内设计费内卷、仓促出海"的路径形成鲜明对照。</w:t>
      </w:r>
    </w:p>
    <w:p>
      <w:r>
        <w:rPr>
          <w:rFonts w:ascii="Calibri" w:hAnsi="Calibri" w:eastAsia="微软雅黑"/>
          <w:b w:val="0"/>
          <w:i w:val="0"/>
          <w:sz w:val="22"/>
        </w:rPr>
        <w:t>把盛邦裕廊的路径翻译成中国设计院的对照清单：其一，先有国家级的解决方案沉淀（HDB公共住房与裕廊工业区的双重经验），再有国际化输出（P4032）；其二，以综合咨询能力而非单一设计能力切入复杂市场（P4032）；其三，善用集团成员公司的专业优势与跨国承包商的合作关系寻找切入口，而非正面复制巨头的全部业务（P4032）。国内设计院的"解决方案沉淀"在哪里——这决定出海是输出能力，还是输出内卷。</w:t>
      </w:r>
    </w:p>
    <w:p>
      <w:r>
        <w:rPr>
          <w:rFonts w:ascii="Calibri" w:hAnsi="Calibri" w:eastAsia="微软雅黑"/>
          <w:b w:val="0"/>
          <w:i w:val="0"/>
          <w:sz w:val="22"/>
        </w:rPr>
        <w:t>所以呢：出海不是逃生舱而是第二曲线，且门票比国内更贵——国际合同的严肃性、属地化管理、外汇波动、税收与法律体系（P4003）、索赔组织能力（P4003）、全分包风险管控体系（P4002）缺一不可。管理层评估出海时先自问：我的索赔与合规组织能力，是否达到能在胡布级项目上全身而退的水位？若否，先在国内项目上把这些能力建起来，再谈出海——否则出海只是把国内的风险敞口放大到一个自己不熟悉的司法与汇率环境里。</w:t>
      </w:r>
    </w:p>
    <w:p>
      <w:pPr>
        <w:pStyle w:val="Heading2"/>
      </w:pPr>
      <w:r>
        <w:t>本章小结与盲区</w:t>
      </w:r>
    </w:p>
    <w:p>
      <w:pPr>
        <w:pStyle w:val="Heading3"/>
      </w:pPr>
      <w:r>
        <w:t>小结：四层位次与三个决策动作</w:t>
      </w:r>
    </w:p>
    <w:p>
      <w:r>
        <w:rPr>
          <w:rFonts w:ascii="Calibri" w:hAnsi="Calibri" w:eastAsia="微软雅黑"/>
          <w:b w:val="0"/>
          <w:i w:val="0"/>
          <w:sz w:val="22"/>
        </w:rPr>
        <w:t>本章以可核验证据刻画了工程总承包市场的四层玩家，并给出管理层可操作的位次判断框架。</w:t>
      </w:r>
    </w:p>
    <w:p>
      <w:r>
        <w:rPr>
          <w:rFonts w:ascii="Calibri" w:hAnsi="Calibri" w:eastAsia="微软雅黑"/>
          <w:b w:val="0"/>
          <w:i w:val="0"/>
          <w:sz w:val="22"/>
        </w:rPr>
        <w:t>还须强调：位次是动态的，不是一次定终身。证据显示位次的流动既有十年尺度——中电工程总承包合同额占比从23%到83%用了十年（P4021）；也有三五年尺度——西北院从2022年成立市政工程公司（P4003）到2026年联合主办长时储能大会（P4005），赛道切换只用了四年；还有更快的大单尺度——永福股份一个4.25亿元中标额即相当于其年总包营收的67.7974%（P4021）。位次既会因战略积累而上移，也会因一个项目的失败而坍塌——完工后实际发电量仅为设计的4.52%，就足以让总承包商退还全部工程款并赔偿全额损失（P4013）。对管理层的含义：把位次当作资产组合来管理，定期用四个变量重新定层，比一次性的战略宣示更重要。</w:t>
      </w:r>
    </w:p>
    <w:p>
      <w:r>
        <w:rPr>
          <w:rFonts w:ascii="Calibri" w:hAnsi="Calibri" w:eastAsia="微软雅黑"/>
          <w:b w:val="0"/>
          <w:i w:val="0"/>
          <w:sz w:val="22"/>
        </w:rPr>
        <w:t>第一层（工艺主导型国家队）靠工艺与国家战略立身：核电单台机组投资超200亿元、建设周期5-7年（P4009）；管理收益兑现为二级集采节资率10%（P4018）与设计统计效率提升80%以上（P4020）；中电工程十年总承包合同额累计1419亿元、占当年合同总额比例从23%升至83%（P4021）；中国电建2024年新签合同额18812亿元（P4023）。这一层不对普通设计院开放，但其供应链是下层玩家的现实生意。</w:t>
      </w:r>
    </w:p>
    <w:p>
      <w:r>
        <w:rPr>
          <w:rFonts w:ascii="Calibri" w:hAnsi="Calibri" w:eastAsia="微软雅黑"/>
          <w:b w:val="0"/>
          <w:i w:val="0"/>
          <w:sz w:val="22"/>
        </w:rPr>
        <w:t>第二层（设计为龙头的转型大院）靠设计主导+集团信用+高等级资质：设计端锁定工程70%以上造价（P4013）；中机国际以8个行业甲级资质、2400余名员工、700余名注册师，承接签约代价八亿零十六万元、工期100个历日的光伏EPC与综合能源利用率83.6%以上的能源站（P4011/P4027）；安徽院以"强强联合"补施工采办短板（P4012）；生死线是2.37%竞价价差、10%违约金线、60%赔偿判例与35%两金预警（P4013），以及考核必须指向总包利润——否则数亿元项目亏损数千万元的故事会重演（P4007）。</w:t>
      </w:r>
    </w:p>
    <w:p>
      <w:r>
        <w:rPr>
          <w:rFonts w:ascii="Calibri" w:hAnsi="Calibri" w:eastAsia="微软雅黑"/>
          <w:b w:val="0"/>
          <w:i w:val="0"/>
          <w:sz w:val="22"/>
        </w:rPr>
        <w:t>第三层（地方院、民营与跨界者）靠细分与轻资产：城投系在公益性收入占比中位数58.4%仍占主导但持续下降、股权投资占比上升的结构中转向城市综合运营商（P4034）；民营机构以机制灵活切入细分领域（P4004）；传统设计院的城市更新专业纵深是存量时代的根据地——把工程、空间、制度与地方知识转化为理解和改善既有城市的专业服务（P4033）。</w:t>
      </w:r>
    </w:p>
    <w:p>
      <w:r>
        <w:rPr>
          <w:rFonts w:ascii="Calibri" w:hAnsi="Calibri" w:eastAsia="微软雅黑"/>
          <w:b w:val="0"/>
          <w:i w:val="0"/>
          <w:sz w:val="22"/>
        </w:rPr>
        <w:t>第四层（国际巨头与出海军团）靠标准话语与属地网络：Arcadis剥离每年约2亿欧元收入的建筑业务与中国业务（P4029）；Jacobs以并购CH2M实现营收增至149.9亿美元、增长48.1%（P4025）；中国对外承包2026年1-8月完成营业额7937.1亿元、同比增长5.8%而新签合同额下降3.0%（P4025）；设计院出海的必修课是索赔组织（胡布项目200余项，P4003）与全分包风险管控（P4002）。</w:t>
      </w:r>
    </w:p>
    <w:p>
      <w:r>
        <w:rPr>
          <w:rFonts w:ascii="Calibri" w:hAnsi="Calibri" w:eastAsia="微软雅黑"/>
          <w:b w:val="0"/>
          <w:i w:val="0"/>
          <w:sz w:val="22"/>
        </w:rPr>
        <w:t>位次选择的三个决策动作，管理层本周即可启动。其一，定层：用资本信用、资质工艺、资源整合、风险体系四个变量给自己定位——实缴资本千万级（P4017）与92427.4508万元级、实缴率100%（P4017）的企业，不应采取同一位次策略。其二，补位而非越层：参照蓝海ERRC矩阵剥离带资承包与套壳EPC项目、聚焦高设计溢价的工业与民用总承包业务（P4001），以"设计为龙头、资源集成商、风险隔离器"的平台化定位重构业务组合（P4013），并同步部署矩阵组织权责重置，理顺设计专家与项目经理的控制权让渡规则（P4001）。其三，先改考核再接大单：让考核指向总包利润而非图纸产值（P4007），按"三大资源、四大能力"清单补齐总承包能力底座（P4006），再谈承接体量更大的项目。</w:t>
      </w:r>
    </w:p>
    <w:p>
      <w:r>
        <w:rPr>
          <w:rFonts w:ascii="Calibri" w:hAnsi="Calibri" w:eastAsia="微软雅黑"/>
          <w:b w:val="0"/>
          <w:i w:val="0"/>
          <w:sz w:val="22"/>
        </w:rPr>
        <w:t>三个动作的共同底层，是把位次问题转化为资产负债表与考核表问题：资本信用决定你能上哪张牌桌（P4017），资质工艺决定你在牌桌上坐哪个位置（P4011），资源整合决定你能不能把牌打完（P4012），风险体系与考核指向决定你打完之后是赢是输（P4013/P4007）。管理层若只能记住一句话，请记住：位次不是宣传出来的，是四个变量实测出来的。</w:t>
      </w:r>
    </w:p>
    <w:p>
      <w:pPr>
        <w:pStyle w:val="Heading3"/>
      </w:pPr>
      <w:r>
        <w:t>盲区（证据未覆盖处，如实声明）</w:t>
      </w:r>
    </w:p>
    <w:p>
      <w:pPr>
        <w:pStyle w:val="ListNumber"/>
      </w:pPr>
      <w:r>
        <w:rPr>
          <w:rFonts w:ascii="Calibri" w:hAnsi="Calibri" w:eastAsia="微软雅黑"/>
          <w:b w:val="0"/>
          <w:i w:val="0"/>
          <w:sz w:val="22"/>
        </w:rPr>
        <w:t>榜单缺位：弹药库未提供ENR/《建筑时报》"中国工程设计企业60强"的完整排名数据，仅有中机国际"多年连续上榜"的点状证据（P4011），第二层玩家之间的精确位次无法量化排序。</w:t>
      </w:r>
    </w:p>
    <w:p>
      <w:pPr>
        <w:pStyle w:val="ListNumber"/>
      </w:pPr>
      <w:r>
        <w:rPr>
          <w:rFonts w:ascii="Calibri" w:hAnsi="Calibri" w:eastAsia="微软雅黑"/>
          <w:b w:val="0"/>
          <w:i w:val="0"/>
          <w:sz w:val="22"/>
        </w:rPr>
        <w:t>民营侧数据缺失：民营设计机构仅有"机制灵活、响应迅速"的定性描述（P4004）与普通设计院注册资本1000万至5000万元的区间（P4017），其真实营收体量与市场份额无法定量刻画，第三层内部的竞争烈度只能侧写。</w:t>
      </w:r>
    </w:p>
    <w:p>
      <w:pPr>
        <w:pStyle w:val="ListNumber"/>
      </w:pPr>
      <w:r>
        <w:rPr>
          <w:rFonts w:ascii="Calibri" w:hAnsi="Calibri" w:eastAsia="微软雅黑"/>
          <w:b w:val="0"/>
          <w:i w:val="0"/>
          <w:sz w:val="22"/>
        </w:rPr>
        <w:t>时间序列不完整：除中电工程2003-2013年总承包占比从23%到83%的序列（P4021）外，各代表院缺少2024-2026年连续的总承包收入占比数据，"转型位次"的最新动态只能以单点证据近似刻画（如中国电子院2025年信息密度由2升至6，P4021；湖南院2025年信息密度由7升至12，P4022）。</w:t>
      </w:r>
    </w:p>
    <w:p>
      <w:pPr>
        <w:pStyle w:val="ListNumber"/>
      </w:pPr>
      <w:r>
        <w:rPr>
          <w:rFonts w:ascii="Calibri" w:hAnsi="Calibri" w:eastAsia="微软雅黑"/>
          <w:b w:val="0"/>
          <w:i w:val="0"/>
          <w:sz w:val="22"/>
        </w:rPr>
        <w:t>国际巨头在华规模未披露：Arcadis公告剥离"中国业务"但未给出在华分部收入数字（P4029），国际玩家撤离对中国本土市场的量化影响无法评估。</w:t>
      </w:r>
    </w:p>
    <w:p>
      <w:pPr>
        <w:pStyle w:val="ListNumber"/>
      </w:pPr>
      <w:r>
        <w:rPr>
          <w:rFonts w:ascii="Calibri" w:hAnsi="Calibri" w:eastAsia="微软雅黑"/>
          <w:b w:val="0"/>
          <w:i w:val="0"/>
          <w:sz w:val="22"/>
        </w:rPr>
        <w:t>失败样本统计缺位：亏损与判例证据集中于个例（数亿元项目亏损数千万元的个案，P4007；发电量仅为设计值4.52%的判例，P4013），缺乏按层级统计的失败率数据，各层玩家的真实淘汰概率只能推断、不能计量。</w:t>
      </w:r>
    </w:p>
    <w:p>
      <w:r>
        <w:rPr>
          <w:rFonts w:ascii="Calibri" w:hAnsi="Calibri" w:eastAsia="微软雅黑"/>
          <w:b w:val="0"/>
          <w:i w:val="0"/>
          <w:sz w:val="22"/>
        </w:rPr>
        <w:t>---</w:t>
      </w:r>
    </w:p>
    <w:p>
      <w:pPr>
        <w:pStyle w:val="Heading1"/>
      </w:pPr>
      <w:r>
        <w:t>第5章 转型路径：五种模式与选择决策树</w:t>
      </w:r>
    </w:p>
    <w:p>
      <w:pPr>
        <w:ind w:left="454"/>
      </w:pPr>
      <w:r>
        <w:rPr>
          <w:rFonts w:ascii="Calibri" w:hAnsi="Calibri" w:eastAsia="微软雅黑"/>
          <w:b w:val="0"/>
          <w:i w:val="0"/>
          <w:color w:val="666666"/>
          <w:sz w:val="22"/>
        </w:rPr>
        <w:t>转型工程总承包商不是"转不转"的是非题，而是"走哪条路、背多少风险"的选择题。本章把设计院可走的五条路径放进同一张对照表，交叉政策、判例与标杆企业三类证据，落成一个可执行的决策树，帮管理层把战略选择变成算得清的账。</w:t>
      </w:r>
    </w:p>
    <w:p>
      <w:pPr>
        <w:pStyle w:val="Heading2"/>
      </w:pPr>
      <w:r>
        <w:t>5.1 政策坐标与模式全景：五条路从哪里分岔</w:t>
      </w:r>
    </w:p>
    <w:p>
      <w:r>
        <w:rPr>
          <w:rFonts w:ascii="Calibri" w:hAnsi="Calibri" w:eastAsia="微软雅黑"/>
          <w:b w:val="0"/>
          <w:i w:val="0"/>
          <w:sz w:val="22"/>
        </w:rPr>
        <w:t>政策已经把门打开，剩下的问题是你是谁。自2016年起，国家和地方相继出台多项政策，积极推进EPC工程总承包建设模式，政策目标直指原有设计、采购、施工阶段性工作相互割裂的状态，试图通过EPC模式实现建设过程一体化融合，实现工程建设质量的大幅提升与建设行业效益的整体提高（P5000）。需求侧同样在推：我国医院建设经过多年快速发展，并在启动《健康中国行动（2019-2030）》后进入提质增效、协同医疗技术的新阶段，全社会对医院建设提出更新、更好、更高的要求，而行业供给侧能满足医院建设项目专业化、高要求的单一EPC承包商凤毛麟角（P5000）。于是，以设计单位与施工单位组建联合体的EPC模式承接新医院建设项目逐渐增多（P5000）——专业化的需求缺口，正是设计院切入总承包的最顺滑入口。央企层面的宣传口径，也已把国家大力推动工程总承包与全过程工程咨询并列呈现（P5012）。</w:t>
      </w:r>
    </w:p>
    <w:p>
      <w:r>
        <w:rPr>
          <w:rFonts w:ascii="Calibri" w:hAnsi="Calibri" w:eastAsia="微软雅黑"/>
          <w:b w:val="0"/>
          <w:i w:val="0"/>
          <w:sz w:val="22"/>
        </w:rPr>
        <w:t>真正划定路宽的是两份文件。第一份是住建部、发改委印发的《房屋建筑和市政基础设施项目工程总承包管理办法》（建市规〔2019〕12号）第十条：设计单位和施工单位组成联合体的，应当根据项目的特点和复杂程度，合理确定牵头单位，并在联合体协议中明确联合体成员单位的责任和权利；联合体各方应当共同与建设单位签订工程总承包合同，就工程总承包项目承担连带责任（P5019）。这份文件里有一条常被误读的潜台词——政策并未规定设计或施工拥有牵头优先权，选择牵头单位的核心标准，不是牵头单位的"出身"，而是其是否具备全流程统筹协调能力（P5019）。换句话说，政策给设计院的不是牵头特权，而是一张凭能力竞标的入场券。第二份是2019年3月15日国家发展改革委、住房城乡建设部发布的《关于推进全过程工程咨询服务发展的指导意见》（发改投资规〔2019〕515号），在房屋建筑和市政基础设施领域推进全过程工程咨询服务发展（P5010），为不愿直接背总承包风险的设计院开辟了并行的咨询集成通道。</w:t>
      </w:r>
    </w:p>
    <w:p>
      <w:r>
        <w:rPr>
          <w:rFonts w:ascii="Calibri" w:hAnsi="Calibri" w:eastAsia="微软雅黑"/>
          <w:b w:val="0"/>
          <w:i w:val="0"/>
          <w:sz w:val="22"/>
        </w:rPr>
        <w:t>把时间轴拉长，还能看到一层代差：国外对EPC模式的研究可追溯至20世纪30年代，伴随项目管理概念诞生而逐步发展，逐渐成为国际工程市场上的主流选择与未来发展方向；相比之下，中国20世纪90年代才开始开展工程总承包项目管理工作（P5001）。代差有两层含义：一是机会——方法论、工具与判例仍在快速成形，先行者有机会参与定义规则；二是风险——在不成熟的规则环境里，纠纷跟着订单一起生长。</w:t>
      </w:r>
    </w:p>
    <w:p>
      <w:r>
        <w:rPr>
          <w:rFonts w:ascii="Calibri" w:hAnsi="Calibri" w:eastAsia="微软雅黑"/>
          <w:b w:val="0"/>
          <w:i w:val="0"/>
          <w:sz w:val="22"/>
        </w:rPr>
        <w:t>纠纷的规模可以用一个侧面数据校准。弹药库收录的裁判文书年度卷显示，EPC相关文书2010年为148篇（P5030），2011年61篇（P5033），2012年216篇（P5028），2013年2170篇（P5027），2014年5275篇（P5026），2015年8654篇（P5024），2016年10763篇（P5023），2017年11716篇（P5022），2018年5754篇（P5025），2019年41550篇（P5021），2020年42935篇（P5020），2021年324篇（P5029）。从2010年的148篇到2020年的42935篇，十年间增长两个数量级以上（42935÷148，own_calc）；十二个年度卷合计129566篇（own_calc：148+61+216+2170+5275+8654+10763+11716+5754+41550+42935+324）。必须如实说明：各年卷"EPC相关"的检索口径未必一致，2021年卷的断崖式回落更可能反映采集口径变化而非纠纷锐减（P5029）；但十年两个数量级的扩张，足以支撑一个管理判断——模式扩容与纠纷扩容是同步的，路径选择必须把法律风险敞口当作准入门槛，而不是事后成本项。</w:t>
      </w:r>
    </w:p>
    <w:p>
      <w:r>
        <w:rPr>
          <w:rFonts w:ascii="Calibri" w:hAnsi="Calibri" w:eastAsia="微软雅黑"/>
          <w:b w:val="0"/>
          <w:i w:val="0"/>
          <w:sz w:val="22"/>
        </w:rPr>
        <w:t>两条通道的关系是互补而非替代。515号文明确了全咨酬金可在项目投资中列支、也可按所含服务事项分项列支的支付结构（P5010），12号文则把总承包的连带责任写进联合体规则（P5019）——前者按服务计价、风险有限，后者按合同兜底、责任连带。设计院完全可以"一体两翼"：以全咨养队伍、以联合体攒业绩，再用两类业务沉淀的数据反哺报价与风控模型。真正不可取的是两头下注又两头都不投入资源，那等于同时放弃两条通道的复利。</w:t>
      </w:r>
    </w:p>
    <w:p>
      <w:r>
        <w:rPr>
          <w:rFonts w:ascii="Calibri" w:hAnsi="Calibri" w:eastAsia="微软雅黑"/>
          <w:b w:val="0"/>
          <w:i w:val="0"/>
          <w:sz w:val="22"/>
        </w:rPr>
        <w:t>在这条政策与风险的双轨上，库内证据把设计院的现实选择收敛为五种路径（本章归纳框架）：</w:t>
      </w:r>
    </w:p>
    <w:p>
      <w:pPr>
        <w:pStyle w:val="ListBullet"/>
      </w:pPr>
      <w:r>
        <w:rPr>
          <w:rFonts w:ascii="Calibri" w:hAnsi="Calibri" w:eastAsia="微软雅黑"/>
          <w:b/>
          <w:i w:val="0"/>
          <w:sz w:val="22"/>
        </w:rPr>
        <w:t>模式一·全过程工程咨询（M1）</w:t>
      </w:r>
      <w:r>
        <w:rPr>
          <w:rFonts w:ascii="Calibri" w:hAnsi="Calibri" w:eastAsia="微软雅黑"/>
          <w:b w:val="0"/>
          <w:i w:val="0"/>
          <w:sz w:val="22"/>
        </w:rPr>
        <w:t>：以"1+N+X"菜单式服务充当业主的集成咨询方，签咨询服务合同而非总承包合同（P5010）；</w:t>
      </w:r>
    </w:p>
    <w:p>
      <w:pPr>
        <w:pStyle w:val="ListBullet"/>
      </w:pPr>
      <w:r>
        <w:rPr>
          <w:rFonts w:ascii="Calibri" w:hAnsi="Calibri" w:eastAsia="微软雅黑"/>
          <w:b/>
          <w:i w:val="0"/>
          <w:sz w:val="22"/>
        </w:rPr>
        <w:t>模式二·设计牵头EPC联合体（M2）</w:t>
      </w:r>
      <w:r>
        <w:rPr>
          <w:rFonts w:ascii="Calibri" w:hAnsi="Calibri" w:eastAsia="微软雅黑"/>
          <w:b w:val="0"/>
          <w:i w:val="0"/>
          <w:sz w:val="22"/>
        </w:rPr>
        <w:t>：设计院牵头组建联合体投标，牵头方承担主要的协调与管理工作（P5000）；</w:t>
      </w:r>
    </w:p>
    <w:p>
      <w:pPr>
        <w:pStyle w:val="ListBullet"/>
      </w:pPr>
      <w:r>
        <w:rPr>
          <w:rFonts w:ascii="Calibri" w:hAnsi="Calibri" w:eastAsia="微软雅黑"/>
          <w:b/>
          <w:i w:val="0"/>
          <w:sz w:val="22"/>
        </w:rPr>
        <w:t>模式三·入伙联合体（M3）</w:t>
      </w:r>
      <w:r>
        <w:rPr>
          <w:rFonts w:ascii="Calibri" w:hAnsi="Calibri" w:eastAsia="微软雅黑"/>
          <w:b w:val="0"/>
          <w:i w:val="0"/>
          <w:sz w:val="22"/>
        </w:rPr>
        <w:t>：加入施工方牵头的联合体，以设计专业能力换取订单与业绩，对外就中标项目承担连带责任（P5017）；</w:t>
      </w:r>
    </w:p>
    <w:p>
      <w:pPr>
        <w:pStyle w:val="ListBullet"/>
      </w:pPr>
      <w:r>
        <w:rPr>
          <w:rFonts w:ascii="Calibri" w:hAnsi="Calibri" w:eastAsia="微软雅黑"/>
          <w:b/>
          <w:i w:val="0"/>
          <w:sz w:val="22"/>
        </w:rPr>
        <w:t>模式四·法人级一体化（M4）</w:t>
      </w:r>
      <w:r>
        <w:rPr>
          <w:rFonts w:ascii="Calibri" w:hAnsi="Calibri" w:eastAsia="微软雅黑"/>
          <w:b w:val="0"/>
          <w:i w:val="0"/>
          <w:sz w:val="22"/>
        </w:rPr>
        <w:t>：通过合并重组把设计能力与施工能力装入同一个法人，成为真正的工程公司（P5034）；</w:t>
      </w:r>
    </w:p>
    <w:p>
      <w:pPr>
        <w:pStyle w:val="ListBullet"/>
      </w:pPr>
      <w:r>
        <w:rPr>
          <w:rFonts w:ascii="Calibri" w:hAnsi="Calibri" w:eastAsia="微软雅黑"/>
          <w:b/>
          <w:i w:val="0"/>
          <w:sz w:val="22"/>
        </w:rPr>
        <w:t>模式五·投融资带动（M5）</w:t>
      </w:r>
      <w:r>
        <w:rPr>
          <w:rFonts w:ascii="Calibri" w:hAnsi="Calibri" w:eastAsia="微软雅黑"/>
          <w:b w:val="0"/>
          <w:i w:val="0"/>
          <w:sz w:val="22"/>
        </w:rPr>
        <w:t>：以F+EPC或EOD模式把融资能力叠加进总承包，用资金换取项目主导权（P5014）（P5013）。</w:t>
      </w:r>
    </w:p>
    <w:p>
      <w:r>
        <w:rPr>
          <w:rFonts w:ascii="Calibri" w:hAnsi="Calibri" w:eastAsia="微软雅黑"/>
          <w:b w:val="0"/>
          <w:i w:val="0"/>
          <w:sz w:val="22"/>
        </w:rPr>
        <w:t>为什么恰好是这五种？因为它们在国家规则体系里各有明确"户口"，又覆盖了从轻到重的资本与责任谱系：全过程工程咨询有515号文与合同示范文本背书（P5010）（P5009）；设计牵头与入伙联合体同处建市规〔2019〕12号的框架之内（P5019）；法人级一体化没有专项政策，却是石化、核电等行业被反复验证的企业自选动作（P5034）（P5032）；投融资带动则在EOD试点序列与F+EPC的市场实践中成形（P5013）（P5014）。五种之间不存在严格的递进关系，但存在天然的能力递进：M1练项目管理，M2/M3练施工与商务，M4完成组织定型，M5考验资本运营——跳级的成本，往往就是下一节的判例数字（P5017）。</w:t>
      </w:r>
    </w:p>
    <w:p>
      <w:r>
        <w:rPr>
          <w:rFonts w:ascii="Calibri" w:hAnsi="Calibri" w:eastAsia="微软雅黑"/>
          <w:b w:val="0"/>
          <w:i w:val="0"/>
          <w:sz w:val="22"/>
        </w:rPr>
        <w:t>这五种路径的划分并不排斥组合，但排斥"身份幻觉"。医院市场的教训说明，业主选择联合体的真实动机是"谁能对品质负责"（P5000）；判例市场的教训说明，法律认的是"谁在合同上签了字"（P5017）。设计院最常见的战略误判，是把"我们有设计资质"当成"我们能干总承包"——前者只是12号文框架下的入场条件之一（P5019），后者要求的是四项统筹实力的实证（P5019）。本章以下所有讨论，都建立在打破这个幻觉的基础上。</w:t>
      </w:r>
    </w:p>
    <w:p>
      <w:r>
        <w:rPr>
          <w:rFonts w:ascii="Calibri" w:hAnsi="Calibri" w:eastAsia="微软雅黑"/>
          <w:b w:val="0"/>
          <w:i w:val="0"/>
          <w:sz w:val="22"/>
        </w:rPr>
        <w:t>五种模式的证据化对照如下：</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维度</w:t>
            </w:r>
          </w:p>
        </w:tc>
        <w:tc>
          <w:tcPr>
            <w:tcW w:type="dxa" w:w="1383"/>
            <w:shd w:fill="1F3A5F"/>
          </w:tcPr>
          <w:p>
            <w:r>
              <w:rPr>
                <w:color w:val="FFFFFF"/>
              </w:rPr>
            </w:r>
            <w:r>
              <w:rPr>
                <w:rFonts w:ascii="Calibri" w:hAnsi="Calibri" w:eastAsia="微软雅黑"/>
                <w:b/>
                <w:i w:val="0"/>
                <w:color w:val="FFFFFF"/>
                <w:sz w:val="18"/>
              </w:rPr>
              <w:t>M1 全过程工程咨询</w:t>
            </w:r>
          </w:p>
        </w:tc>
        <w:tc>
          <w:tcPr>
            <w:tcW w:type="dxa" w:w="1383"/>
            <w:shd w:fill="1F3A5F"/>
          </w:tcPr>
          <w:p>
            <w:r>
              <w:rPr>
                <w:color w:val="FFFFFF"/>
              </w:rPr>
            </w:r>
            <w:r>
              <w:rPr>
                <w:rFonts w:ascii="Calibri" w:hAnsi="Calibri" w:eastAsia="微软雅黑"/>
                <w:b/>
                <w:i w:val="0"/>
                <w:color w:val="FFFFFF"/>
                <w:sz w:val="18"/>
              </w:rPr>
              <w:t>M2 设计牵头联合体</w:t>
            </w:r>
          </w:p>
        </w:tc>
        <w:tc>
          <w:tcPr>
            <w:tcW w:type="dxa" w:w="1383"/>
            <w:shd w:fill="1F3A5F"/>
          </w:tcPr>
          <w:p>
            <w:r>
              <w:rPr>
                <w:color w:val="FFFFFF"/>
              </w:rPr>
            </w:r>
            <w:r>
              <w:rPr>
                <w:rFonts w:ascii="Calibri" w:hAnsi="Calibri" w:eastAsia="微软雅黑"/>
                <w:b/>
                <w:i w:val="0"/>
                <w:color w:val="FFFFFF"/>
                <w:sz w:val="18"/>
              </w:rPr>
              <w:t>M3 入伙联合体</w:t>
            </w:r>
          </w:p>
        </w:tc>
        <w:tc>
          <w:tcPr>
            <w:tcW w:type="dxa" w:w="1383"/>
            <w:shd w:fill="1F3A5F"/>
          </w:tcPr>
          <w:p>
            <w:r>
              <w:rPr>
                <w:color w:val="FFFFFF"/>
              </w:rPr>
            </w:r>
            <w:r>
              <w:rPr>
                <w:rFonts w:ascii="Calibri" w:hAnsi="Calibri" w:eastAsia="微软雅黑"/>
                <w:b/>
                <w:i w:val="0"/>
                <w:color w:val="FFFFFF"/>
                <w:sz w:val="18"/>
              </w:rPr>
              <w:t>M4 法人一体化</w:t>
            </w:r>
          </w:p>
        </w:tc>
        <w:tc>
          <w:tcPr>
            <w:tcW w:type="dxa" w:w="1383"/>
            <w:shd w:fill="1F3A5F"/>
          </w:tcPr>
          <w:p>
            <w:r>
              <w:rPr>
                <w:color w:val="FFFFFF"/>
              </w:rPr>
            </w:r>
            <w:r>
              <w:rPr>
                <w:rFonts w:ascii="Calibri" w:hAnsi="Calibri" w:eastAsia="微软雅黑"/>
                <w:b/>
                <w:i w:val="0"/>
                <w:color w:val="FFFFFF"/>
                <w:sz w:val="18"/>
              </w:rPr>
              <w:t>M5 F+EPC/EOD</w:t>
            </w:r>
          </w:p>
        </w:tc>
      </w:tr>
      <w:tr>
        <w:tc>
          <w:tcPr>
            <w:tcW w:type="dxa" w:w="1383"/>
          </w:tcPr>
          <w:p>
            <w:r/>
            <w:r>
              <w:rPr>
                <w:rFonts w:ascii="Calibri" w:hAnsi="Calibri" w:eastAsia="微软雅黑"/>
                <w:b w:val="0"/>
                <w:i w:val="0"/>
                <w:sz w:val="18"/>
              </w:rPr>
              <w:t>合同身份</w:t>
            </w:r>
          </w:p>
        </w:tc>
        <w:tc>
          <w:tcPr>
            <w:tcW w:type="dxa" w:w="1383"/>
          </w:tcPr>
          <w:p>
            <w:r/>
            <w:r>
              <w:rPr>
                <w:rFonts w:ascii="Calibri" w:hAnsi="Calibri" w:eastAsia="微软雅黑"/>
                <w:b w:val="0"/>
                <w:i w:val="0"/>
                <w:sz w:val="18"/>
              </w:rPr>
              <w:t>咨询服务合同一方（P5004）</w:t>
            </w:r>
          </w:p>
        </w:tc>
        <w:tc>
          <w:tcPr>
            <w:tcW w:type="dxa" w:w="1383"/>
          </w:tcPr>
          <w:p>
            <w:r/>
            <w:r>
              <w:rPr>
                <w:rFonts w:ascii="Calibri" w:hAnsi="Calibri" w:eastAsia="微软雅黑"/>
                <w:b w:val="0"/>
                <w:i w:val="0"/>
                <w:sz w:val="18"/>
              </w:rPr>
              <w:t>总承包合同+联合体协议，设计牵头（P5000）</w:t>
            </w:r>
          </w:p>
        </w:tc>
        <w:tc>
          <w:tcPr>
            <w:tcW w:type="dxa" w:w="1383"/>
          </w:tcPr>
          <w:p>
            <w:r/>
            <w:r>
              <w:rPr>
                <w:rFonts w:ascii="Calibri" w:hAnsi="Calibri" w:eastAsia="微软雅黑"/>
                <w:b w:val="0"/>
                <w:i w:val="0"/>
                <w:sz w:val="18"/>
              </w:rPr>
              <w:t>总承包合同连带责任方之一（P5017）</w:t>
            </w:r>
          </w:p>
        </w:tc>
        <w:tc>
          <w:tcPr>
            <w:tcW w:type="dxa" w:w="1383"/>
          </w:tcPr>
          <w:p>
            <w:r/>
            <w:r>
              <w:rPr>
                <w:rFonts w:ascii="Calibri" w:hAnsi="Calibri" w:eastAsia="微软雅黑"/>
                <w:b w:val="0"/>
                <w:i w:val="0"/>
                <w:sz w:val="18"/>
              </w:rPr>
              <w:t>总承包合同单一法人主体（P5034）</w:t>
            </w:r>
          </w:p>
        </w:tc>
        <w:tc>
          <w:tcPr>
            <w:tcW w:type="dxa" w:w="1383"/>
          </w:tcPr>
          <w:p>
            <w:r/>
            <w:r>
              <w:rPr>
                <w:rFonts w:ascii="Calibri" w:hAnsi="Calibri" w:eastAsia="微软雅黑"/>
                <w:b w:val="0"/>
                <w:i w:val="0"/>
                <w:sz w:val="18"/>
              </w:rPr>
              <w:t>融资与EPC复合合同结构（P5014）</w:t>
            </w:r>
          </w:p>
        </w:tc>
      </w:tr>
      <w:tr>
        <w:tc>
          <w:tcPr>
            <w:tcW w:type="dxa" w:w="1383"/>
          </w:tcPr>
          <w:p>
            <w:r/>
            <w:r>
              <w:rPr>
                <w:rFonts w:ascii="Calibri" w:hAnsi="Calibri" w:eastAsia="微软雅黑"/>
                <w:b w:val="0"/>
                <w:i w:val="0"/>
                <w:sz w:val="18"/>
              </w:rPr>
              <w:t>核心能力门槛</w:t>
            </w:r>
          </w:p>
        </w:tc>
        <w:tc>
          <w:tcPr>
            <w:tcW w:type="dxa" w:w="1383"/>
          </w:tcPr>
          <w:p>
            <w:r/>
            <w:r>
              <w:rPr>
                <w:rFonts w:ascii="Calibri" w:hAnsi="Calibri" w:eastAsia="微软雅黑"/>
                <w:b w:val="0"/>
                <w:i w:val="0"/>
                <w:sz w:val="18"/>
              </w:rPr>
              <w:t>"1+N+X"集成与项目管理（P5010）</w:t>
            </w:r>
          </w:p>
        </w:tc>
        <w:tc>
          <w:tcPr>
            <w:tcW w:type="dxa" w:w="1383"/>
          </w:tcPr>
          <w:p>
            <w:r/>
            <w:r>
              <w:rPr>
                <w:rFonts w:ascii="Calibri" w:hAnsi="Calibri" w:eastAsia="微软雅黑"/>
                <w:b w:val="0"/>
                <w:i w:val="0"/>
                <w:sz w:val="18"/>
              </w:rPr>
              <w:t>四大硬性管理实力（P5019）</w:t>
            </w:r>
          </w:p>
        </w:tc>
        <w:tc>
          <w:tcPr>
            <w:tcW w:type="dxa" w:w="1383"/>
          </w:tcPr>
          <w:p>
            <w:r/>
            <w:r>
              <w:rPr>
                <w:rFonts w:ascii="Calibri" w:hAnsi="Calibri" w:eastAsia="微软雅黑"/>
                <w:b w:val="0"/>
                <w:i w:val="0"/>
                <w:sz w:val="18"/>
              </w:rPr>
              <w:t>专业设计能力+协议风控能力（P5017）</w:t>
            </w:r>
          </w:p>
        </w:tc>
        <w:tc>
          <w:tcPr>
            <w:tcW w:type="dxa" w:w="1383"/>
          </w:tcPr>
          <w:p>
            <w:r/>
            <w:r>
              <w:rPr>
                <w:rFonts w:ascii="Calibri" w:hAnsi="Calibri" w:eastAsia="微软雅黑"/>
                <w:b w:val="0"/>
                <w:i w:val="0"/>
                <w:sz w:val="18"/>
              </w:rPr>
              <w:t>设计、采购、施工、商务、法务全链条（P5034）</w:t>
            </w:r>
          </w:p>
        </w:tc>
        <w:tc>
          <w:tcPr>
            <w:tcW w:type="dxa" w:w="1383"/>
          </w:tcPr>
          <w:p>
            <w:r/>
            <w:r>
              <w:rPr>
                <w:rFonts w:ascii="Calibri" w:hAnsi="Calibri" w:eastAsia="微软雅黑"/>
                <w:b w:val="0"/>
                <w:i w:val="0"/>
                <w:sz w:val="18"/>
              </w:rPr>
              <w:t>资金实力与融资模式（P5014）</w:t>
            </w:r>
          </w:p>
        </w:tc>
      </w:tr>
      <w:tr>
        <w:tc>
          <w:tcPr>
            <w:tcW w:type="dxa" w:w="1383"/>
          </w:tcPr>
          <w:p>
            <w:r/>
            <w:r>
              <w:rPr>
                <w:rFonts w:ascii="Calibri" w:hAnsi="Calibri" w:eastAsia="微软雅黑"/>
                <w:b w:val="0"/>
                <w:i w:val="0"/>
                <w:sz w:val="18"/>
              </w:rPr>
              <w:t>风险敞口</w:t>
            </w:r>
          </w:p>
        </w:tc>
        <w:tc>
          <w:tcPr>
            <w:tcW w:type="dxa" w:w="1383"/>
          </w:tcPr>
          <w:p>
            <w:r/>
            <w:r>
              <w:rPr>
                <w:rFonts w:ascii="Calibri" w:hAnsi="Calibri" w:eastAsia="微软雅黑"/>
                <w:b w:val="0"/>
                <w:i w:val="0"/>
                <w:sz w:val="18"/>
              </w:rPr>
              <w:t>最低：智力成本为主</w:t>
            </w:r>
          </w:p>
        </w:tc>
        <w:tc>
          <w:tcPr>
            <w:tcW w:type="dxa" w:w="1383"/>
          </w:tcPr>
          <w:p>
            <w:r/>
            <w:r>
              <w:rPr>
                <w:rFonts w:ascii="Calibri" w:hAnsi="Calibri" w:eastAsia="微软雅黑"/>
                <w:b w:val="0"/>
                <w:i w:val="0"/>
                <w:sz w:val="18"/>
              </w:rPr>
              <w:t>中：连带责任+总价包干（P5019）</w:t>
            </w:r>
          </w:p>
        </w:tc>
        <w:tc>
          <w:tcPr>
            <w:tcW w:type="dxa" w:w="1383"/>
          </w:tcPr>
          <w:p>
            <w:r/>
            <w:r>
              <w:rPr>
                <w:rFonts w:ascii="Calibri" w:hAnsi="Calibri" w:eastAsia="微软雅黑"/>
                <w:b w:val="0"/>
                <w:i w:val="0"/>
                <w:sz w:val="18"/>
              </w:rPr>
              <w:t>中偏高：为他方过错连带（P5017）</w:t>
            </w:r>
          </w:p>
        </w:tc>
        <w:tc>
          <w:tcPr>
            <w:tcW w:type="dxa" w:w="1383"/>
          </w:tcPr>
          <w:p>
            <w:r/>
            <w:r>
              <w:rPr>
                <w:rFonts w:ascii="Calibri" w:hAnsi="Calibri" w:eastAsia="微软雅黑"/>
                <w:b w:val="0"/>
                <w:i w:val="0"/>
                <w:sz w:val="18"/>
              </w:rPr>
              <w:t>高：重组投入+履约兜底</w:t>
            </w:r>
          </w:p>
        </w:tc>
        <w:tc>
          <w:tcPr>
            <w:tcW w:type="dxa" w:w="1383"/>
          </w:tcPr>
          <w:p>
            <w:r/>
            <w:r>
              <w:rPr>
                <w:rFonts w:ascii="Calibri" w:hAnsi="Calibri" w:eastAsia="微软雅黑"/>
                <w:b w:val="0"/>
                <w:i w:val="0"/>
                <w:sz w:val="18"/>
              </w:rPr>
              <w:t>最高：融资风险叠加履约风险（P5014）</w:t>
            </w:r>
          </w:p>
        </w:tc>
      </w:tr>
      <w:tr>
        <w:tc>
          <w:tcPr>
            <w:tcW w:type="dxa" w:w="1383"/>
          </w:tcPr>
          <w:p>
            <w:r/>
            <w:r>
              <w:rPr>
                <w:rFonts w:ascii="Calibri" w:hAnsi="Calibri" w:eastAsia="微软雅黑"/>
                <w:b w:val="0"/>
                <w:i w:val="0"/>
                <w:sz w:val="18"/>
              </w:rPr>
              <w:t>政策确定度</w:t>
            </w:r>
          </w:p>
        </w:tc>
        <w:tc>
          <w:tcPr>
            <w:tcW w:type="dxa" w:w="1383"/>
          </w:tcPr>
          <w:p>
            <w:r/>
            <w:r>
              <w:rPr>
                <w:rFonts w:ascii="Calibri" w:hAnsi="Calibri" w:eastAsia="微软雅黑"/>
                <w:b w:val="0"/>
                <w:i w:val="0"/>
                <w:sz w:val="18"/>
              </w:rPr>
              <w:t>515号文+合同示范文本双支撑（P5010）（P5009）</w:t>
            </w:r>
          </w:p>
        </w:tc>
        <w:tc>
          <w:tcPr>
            <w:tcW w:type="dxa" w:w="1383"/>
          </w:tcPr>
          <w:p>
            <w:r/>
            <w:r>
              <w:rPr>
                <w:rFonts w:ascii="Calibri" w:hAnsi="Calibri" w:eastAsia="微软雅黑"/>
                <w:b w:val="0"/>
                <w:i w:val="0"/>
                <w:sz w:val="18"/>
              </w:rPr>
              <w:t>12号文明确可设计牵头（P5019）</w:t>
            </w:r>
          </w:p>
        </w:tc>
        <w:tc>
          <w:tcPr>
            <w:tcW w:type="dxa" w:w="1383"/>
          </w:tcPr>
          <w:p>
            <w:r/>
            <w:r>
              <w:rPr>
                <w:rFonts w:ascii="Calibri" w:hAnsi="Calibri" w:eastAsia="微软雅黑"/>
                <w:b w:val="0"/>
                <w:i w:val="0"/>
                <w:sz w:val="18"/>
              </w:rPr>
              <w:t>与M2同框架（P5019）</w:t>
            </w:r>
          </w:p>
        </w:tc>
        <w:tc>
          <w:tcPr>
            <w:tcW w:type="dxa" w:w="1383"/>
          </w:tcPr>
          <w:p>
            <w:r/>
            <w:r>
              <w:rPr>
                <w:rFonts w:ascii="Calibri" w:hAnsi="Calibri" w:eastAsia="微软雅黑"/>
                <w:b w:val="0"/>
                <w:i w:val="0"/>
                <w:sz w:val="18"/>
              </w:rPr>
              <w:t>无专项政策，靠企业自主重组（P5034）</w:t>
            </w:r>
          </w:p>
        </w:tc>
        <w:tc>
          <w:tcPr>
            <w:tcW w:type="dxa" w:w="1383"/>
          </w:tcPr>
          <w:p>
            <w:r/>
            <w:r>
              <w:rPr>
                <w:rFonts w:ascii="Calibri" w:hAnsi="Calibri" w:eastAsia="微软雅黑"/>
                <w:b w:val="0"/>
                <w:i w:val="0"/>
                <w:sz w:val="18"/>
              </w:rPr>
              <w:t>EOD有试点序列，F+EPC合规分层（P5013）（P5014）</w:t>
            </w:r>
          </w:p>
        </w:tc>
      </w:tr>
      <w:tr>
        <w:tc>
          <w:tcPr>
            <w:tcW w:type="dxa" w:w="1383"/>
          </w:tcPr>
          <w:p>
            <w:r/>
            <w:r>
              <w:rPr>
                <w:rFonts w:ascii="Calibri" w:hAnsi="Calibri" w:eastAsia="微软雅黑"/>
                <w:b w:val="0"/>
                <w:i w:val="0"/>
                <w:sz w:val="18"/>
              </w:rPr>
              <w:t>收入逻辑</w:t>
            </w:r>
          </w:p>
        </w:tc>
        <w:tc>
          <w:tcPr>
            <w:tcW w:type="dxa" w:w="1383"/>
          </w:tcPr>
          <w:p>
            <w:r/>
            <w:r>
              <w:rPr>
                <w:rFonts w:ascii="Calibri" w:hAnsi="Calibri" w:eastAsia="微软雅黑"/>
                <w:b w:val="0"/>
                <w:i w:val="0"/>
                <w:sz w:val="18"/>
              </w:rPr>
              <w:t>服务酬金，叠加法或成本加酬金计取（P5010）</w:t>
            </w:r>
          </w:p>
        </w:tc>
        <w:tc>
          <w:tcPr>
            <w:tcW w:type="dxa" w:w="1383"/>
          </w:tcPr>
          <w:p>
            <w:r/>
            <w:r>
              <w:rPr>
                <w:rFonts w:ascii="Calibri" w:hAnsi="Calibri" w:eastAsia="微软雅黑"/>
                <w:b w:val="0"/>
                <w:i w:val="0"/>
                <w:sz w:val="18"/>
              </w:rPr>
              <w:t>总承包合同额+设计优化增值（P5000）</w:t>
            </w:r>
          </w:p>
        </w:tc>
        <w:tc>
          <w:tcPr>
            <w:tcW w:type="dxa" w:w="1383"/>
          </w:tcPr>
          <w:p>
            <w:r/>
            <w:r>
              <w:rPr>
                <w:rFonts w:ascii="Calibri" w:hAnsi="Calibri" w:eastAsia="微软雅黑"/>
                <w:b w:val="0"/>
                <w:i w:val="0"/>
                <w:sz w:val="18"/>
              </w:rPr>
              <w:t>联合体分工份额</w:t>
            </w:r>
          </w:p>
        </w:tc>
        <w:tc>
          <w:tcPr>
            <w:tcW w:type="dxa" w:w="1383"/>
          </w:tcPr>
          <w:p>
            <w:r/>
            <w:r>
              <w:rPr>
                <w:rFonts w:ascii="Calibri" w:hAnsi="Calibri" w:eastAsia="微软雅黑"/>
                <w:b w:val="0"/>
                <w:i w:val="0"/>
                <w:sz w:val="18"/>
              </w:rPr>
              <w:t>全链条总承包合同额</w:t>
            </w:r>
          </w:p>
        </w:tc>
        <w:tc>
          <w:tcPr>
            <w:tcW w:type="dxa" w:w="1383"/>
          </w:tcPr>
          <w:p>
            <w:r/>
            <w:r>
              <w:rPr>
                <w:rFonts w:ascii="Calibri" w:hAnsi="Calibri" w:eastAsia="微软雅黑"/>
                <w:b w:val="0"/>
                <w:i w:val="0"/>
                <w:sz w:val="18"/>
              </w:rPr>
              <w:t>融资安排+EPC合同额（P5014）</w:t>
            </w:r>
          </w:p>
        </w:tc>
      </w:tr>
    </w:tbl>
    <w:p>
      <w:r>
        <w:rPr>
          <w:rFonts w:ascii="Calibri" w:hAnsi="Calibri" w:eastAsia="微软雅黑"/>
          <w:b/>
          <w:i w:val="0"/>
          <w:sz w:val="22"/>
        </w:rPr>
        <w:t>所以呢：</w:t>
      </w:r>
      <w:r>
        <w:rPr>
          <w:rFonts w:ascii="Calibri" w:hAnsi="Calibri" w:eastAsia="微软雅黑"/>
          <w:b w:val="0"/>
          <w:i w:val="0"/>
          <w:sz w:val="22"/>
        </w:rPr>
        <w:t xml:space="preserve"> 五条路不是并列选项，而是风险与投入的双梯度。决策的第一性原理是资产负债表与人才结构能承受哪一档风险，而不是哪一档名头更响。下面四节逐一拆解每条路的证据、代价与适配条件。</w:t>
      </w:r>
    </w:p>
    <w:p>
      <w:pPr>
        <w:pStyle w:val="Heading2"/>
      </w:pPr>
      <w:r>
        <w:t>5.2 模式一·全过程工程咨询：做集成者，不做兜底者</w:t>
      </w:r>
    </w:p>
    <w:p>
      <w:r>
        <w:rPr>
          <w:rFonts w:ascii="Calibri" w:hAnsi="Calibri" w:eastAsia="微软雅黑"/>
          <w:b w:val="0"/>
          <w:i w:val="0"/>
          <w:sz w:val="22"/>
        </w:rPr>
        <w:t>先弄清这门生意的法律形状。按515号文确立的框架，全过程工程咨询是工程咨询方综合运用多学科知识、工程实践经验、现代科学技术和经济管理方法，采用多种服务方式组合，为委托方在项目投资决策、建设实施乃至运营维护阶段持续提供局部或整体解决方案的智力性服务活动（P5010）。从服务链条看，它覆盖投资决策阶段、建设实施阶段（工程建设全过程咨询）与运营维护阶段三大段（P5005），其中投资决策综合性咨询包含项目策划、规划咨询、投资机会研究、可行性研究、环境影响评价、投融资分析等具体服务事项（P5005）。合同关系上，全咨方签的是咨询服务合同，与委托人和承包商之间的"工程合同"族并行存在——2020版合同示范文本对"工程合同"的定义是委托人为实现本项目而与实施永久工程和临时工程的相关承包商、供应商、其他咨询方签订的工程、货物及服务合同（P5009）。这条界线对管理层至关重要：全咨方站在委托人身侧管理工程合同，而不是站在合同对岸当承包商。</w:t>
      </w:r>
    </w:p>
    <w:p>
      <w:r>
        <w:rPr>
          <w:rFonts w:ascii="Calibri" w:hAnsi="Calibri" w:eastAsia="微软雅黑"/>
          <w:b w:val="0"/>
          <w:i w:val="0"/>
          <w:sz w:val="22"/>
        </w:rPr>
        <w:t>对设计院而言，M1的最大价值是把"本来就会做的事"重新打包成集成产品。落地载体是业内通行的"1+N+X"菜单式服务：其中"1"是项目管理咨询，为必选项，贯穿项目实施阶段的始终；"N"为招标代理、勘察、设计、监理、造价咨询等专业技术咨询和其他工程专项咨询中的一项或多项，且至少有一项是有资质要求的专业技术咨询业务；X是不自行实施但应协调管理的专项服务（P5010）。换言之，全咨不要求设计院新学一门手艺，而是允许它以项目管理为轴，把自有资质（勘察、设计）作为"N"的合规支点，把监理、造价、招标代理等外购能力协调起来，向业主卖一个整体解决方案。这对资质单一、现金流薄的中型院尤其友好：先用"1+勘察设计"的最小组合起盘，再逐年扩"N"。</w:t>
      </w:r>
    </w:p>
    <w:p>
      <w:r>
        <w:rPr>
          <w:rFonts w:ascii="Calibri" w:hAnsi="Calibri" w:eastAsia="微软雅黑"/>
          <w:b w:val="0"/>
          <w:i w:val="0"/>
          <w:sz w:val="22"/>
        </w:rPr>
        <w:t>收费机制已经规则化。515号文第5条第2款明确：全过程工程咨询服务酬金可在项目投资中列支，也可根据所包含的具体服务事项，通过项目投资中列支的投资咨询、招标代理、勘察、设计、监理、造价、项目管理等费用进行支付；在项目投资中列支的，所对应的单项咨询服务费用不再列支（P5010）。该文件提出了两种取费方式：一是叠加法，按各专项服务酬金叠加后再增加相应统筹管理费用计取；二是成本加酬金法，按人工成本加酬金方式计取；同时鼓励投资者或建设单位根据咨询服务节约的投资额对咨询单位给予奖励（P5010）。实务中，项目管理费可参考《关于印发〈基本建设项目建设成本管理规定〉的通知》（财建〔2016〕504号）中的项目建设管理费计取（P5010）。</w:t>
      </w:r>
    </w:p>
    <w:p>
      <w:r>
        <w:rPr>
          <w:rFonts w:ascii="Calibri" w:hAnsi="Calibri" w:eastAsia="微软雅黑"/>
          <w:b w:val="0"/>
          <w:i w:val="0"/>
          <w:sz w:val="22"/>
        </w:rPr>
        <w:t>但必须如实告诉股东两个约束。第一，取费偏低是业内普遍反应——实操中按财建〔2016〕504号文计取项目管理费被普遍认为偏低，地方上已有深圳市南山区发展改革局发布取费文件之类的探索，但库内该处文本截断，具体标准数字未能收录（P5010），本章无法给出地方费率对照。第二，智力服务成本刚性：全咨卖的是人天，收入天花板由人头数与费率共同封顶，规模扩张必然带来人力成本同步扩张，它是一门稳但慢的生意。</w:t>
      </w:r>
    </w:p>
    <w:p>
      <w:r>
        <w:rPr>
          <w:rFonts w:ascii="Calibri" w:hAnsi="Calibri" w:eastAsia="微软雅黑"/>
          <w:b w:val="0"/>
          <w:i w:val="0"/>
          <w:sz w:val="22"/>
        </w:rPr>
        <w:t>合同与合规基础设施已经成熟，这显著降低了进入的交易成本。2020版房屋建筑和市政基础设施全过程工程咨询服务合同示范文本已形成中英文对照的完整契约文本（P5009）；2024版更新文本延续了这一体例并进一步细化条款（P5004）。示范文本的条款设计已经替咨询方想好了常见争点，例如2024版委托人一般义务条款明确：因委托人原因未能及时办理完毕许可、核准或备案手续，导致服务费用增加和（或）服务期限延长时，由委托人承担责任（P5004）。文本从2020版迭代到2024版（P5009）（P5004），说明主管部门在持续为这一模式补齐契约基础设施——对设计院来说，签约谈判有现成锚点，不必从零起草，也不必硬吃不平等条款。</w:t>
      </w:r>
    </w:p>
    <w:p>
      <w:r>
        <w:rPr>
          <w:rFonts w:ascii="Calibri" w:hAnsi="Calibri" w:eastAsia="微软雅黑"/>
          <w:b w:val="0"/>
          <w:i w:val="0"/>
          <w:sz w:val="22"/>
        </w:rPr>
        <w:t>上游还有一块常被低估的蛋糕：项目谋划与资金申报咨询。发改委系统围绕8个领域、23个专项编印中央预算内投资项目谋划指南（P5006），政策依据细化到具体文号，例如铁路专项依据《铁路项目中央预算内投资专项管理办法》（发改基础规〔2023〕1761号）（P5006）；支持比例亦有明确规则——干线铁路项目累计安排规模不高于资本金的30%，重点城市群跨省和区域骨干城际铁路项目不高于15%，铁路货运能力提升项目不高于20%（P5006）。设计院的投资决策综合性咨询能力（项目策划、可行性研究、投融资分析，P5005）恰好卡在"项目想清楚、资金报得上"的关口。谁掌握谋划端，谁就在后续总承包或咨询招标中占据信息先手。</w:t>
      </w:r>
    </w:p>
    <w:p>
      <w:r>
        <w:rPr>
          <w:rFonts w:ascii="Calibri" w:hAnsi="Calibri" w:eastAsia="微软雅黑"/>
          <w:b w:val="0"/>
          <w:i w:val="0"/>
          <w:sz w:val="22"/>
        </w:rPr>
        <w:t>合规环境趋严是M1的外部变量，也是竞争力的来源。修订后的《中华人民共和国审计法实施条例》共7章64条，经2026年8月31日国务院第95次常务会议修订通过，以国务院令第847号公布，自2026年12月1日起施行（P5011）。条例细化了对财政收支、国有资源和国有资产管理使用的审计，明确了审计法中"其他关系国家利益和公共利益的重大公共工程项目"的范围，并压实被审计单位的审计整改主体责任（P5011）。全咨客户以政府和国有企业为主，审计口径每一次收紧，都会传导为服务留痕、程序合规与文档质量的要求——对流程规范的设计院是加分项，对习惯粗放交差的小作坊是出清压力。</w:t>
      </w:r>
    </w:p>
    <w:p>
      <w:r>
        <w:rPr>
          <w:rFonts w:ascii="Calibri" w:hAnsi="Calibri" w:eastAsia="微软雅黑"/>
          <w:b w:val="0"/>
          <w:i w:val="0"/>
          <w:sz w:val="22"/>
        </w:rPr>
        <w:t>组织账也要算在前面。全咨是"1"打头的生意——项目管理咨询是必选项，贯穿项目实施阶段的始终（P5010），这意味着设计院必须真的有人常驻现场、真的能替业主管住报批报建与变更流程，而不是把全咨当成设计费的搭头。行业内对设计院系企业的人才批评同样适用于全咨团队：人才培养未成体系、经济效益难以保障是公认短板（P5001）。全咨要避免重蹈覆辙，就必须把项目经理从"设计项目负责人"改造成懂造价、懂合同、懂审计口径的复合管理者；审计条例压实被审计单位的整改主体责任（P5011），传导到全咨方就是文档与程序证据链的责任。这支队伍一旦养成，就是日后向M2/M4迁移时的核心资产——练兵的意义正在于此。</w:t>
      </w:r>
    </w:p>
    <w:p>
      <w:r>
        <w:rPr>
          <w:rFonts w:ascii="Calibri" w:hAnsi="Calibri" w:eastAsia="微软雅黑"/>
          <w:b w:val="0"/>
          <w:i w:val="0"/>
          <w:sz w:val="22"/>
        </w:rPr>
        <w:t>计费结构里还藏着一条增收通道。全过程工程咨询服务酬金可采取"1+N"叠加后增加统筹管理费的计费模式："1"是项目管理费，"N"是专业或专项咨询服务费，各咨询服务费率可依据传统收费标准或市场收费惯例执行（P5010）。据此，设计院的报价策略应当把统筹管理费单列出来谈，而不是把管理成本摊薄进各专项——统筹管理费是对"集成能力"的定价，也是全咨区别于专项服务拼盘的根本标志（P5010）。另外，515号文鼓励投资者或建设单位根据咨询服务节约的投资额对咨询单位给予奖励（P5010），节约分成的比例与核算口径应在合同中事先约定，谈判时可以直接以示范文本为基础展开（P5004）。</w:t>
      </w:r>
    </w:p>
    <w:p>
      <w:r>
        <w:rPr>
          <w:rFonts w:ascii="Calibri" w:hAnsi="Calibri" w:eastAsia="微软雅黑"/>
          <w:b w:val="0"/>
          <w:i w:val="0"/>
          <w:sz w:val="22"/>
        </w:rPr>
        <w:t>还有一层市场分层值得看清。全咨链条上，投资决策阶段的综合性咨询（项目策划、规划咨询、投资机会研究、可行性研究、环境影响评价、投融资分析）与实施阶段的项目管理是两类不同的生意（P5005）：前者拼政策与产业判断，后者拼现场管理与协调带宽。中型院资源有限时，应优先绑定前者——它不占用大量常驻人力，又能把设计院的规划可研能力变现，并在项目立项阶段就与业主形成信任关系，为后续N项服务与设计合同铺路（P5005）。运营维护阶段的服务（P5005）则是更长尾的存量市场，适合在工业与市政客户中滚动经营。</w:t>
      </w:r>
    </w:p>
    <w:p>
      <w:r>
        <w:rPr>
          <w:rFonts w:ascii="Calibri" w:hAnsi="Calibri" w:eastAsia="微软雅黑"/>
          <w:b w:val="0"/>
          <w:i w:val="0"/>
          <w:sz w:val="22"/>
        </w:rPr>
        <w:t>把全咨放到五种模式的序列里看，它还有一个常被低估的功能：合规隔离带。全咨方与承包商之间没有合同关系，只以委托人一方的管理者身份面对工程合同（P5009）；审计与监督对项目资金的追溯，落在总承包合同与咨询服务合同两条不同轨道上（P5011）。对国资背景的设计院，这条隔离带的价值不止于风险控制——它让设计院能在不放大风险敞口的前提下，深度接触总承包项目的商务结构与过程数据，为将来可能的M2/M4储备报价模型、风险清单与供应商库。换句话说，M1不只是卖服务，还是在合法边界内"采购"总承包经验。</w:t>
      </w:r>
    </w:p>
    <w:p>
      <w:r>
        <w:rPr>
          <w:rFonts w:ascii="Calibri" w:hAnsi="Calibri" w:eastAsia="微软雅黑"/>
          <w:b/>
          <w:i w:val="0"/>
          <w:sz w:val="22"/>
        </w:rPr>
        <w:t>所以呢：</w:t>
      </w:r>
      <w:r>
        <w:rPr>
          <w:rFonts w:ascii="Calibri" w:hAnsi="Calibri" w:eastAsia="微软雅黑"/>
          <w:b w:val="0"/>
          <w:i w:val="0"/>
          <w:sz w:val="22"/>
        </w:rPr>
        <w:t xml:space="preserve"> M1是资质单一、现金流有限、施工管理人才不足的设计院的最优起点。它能变现现有设计能力与业主关系，而不触发总承包连带责任；合同示范文本（P5009）（P5004）与收费规则（P5010）让这门生意有章可循。但也要对股东讲清楚：取费偏低（P5010）加成本刚性决定了它撑不起爆发式增长，它的战略价值是练兵场、关系网与现金流底盘，而不是终局。判断一个院是否适合M1起步，就看一个问题：你能否接受用五年时间养出一支懂项目管理、懂造价、懂审计口径的复合队伍？能，M1就是通往M2/M4的阶梯；不能，M1只是低毛利的劳务升级。</w:t>
      </w:r>
    </w:p>
    <w:p>
      <w:pPr>
        <w:pStyle w:val="Heading2"/>
      </w:pPr>
      <w:r>
        <w:t>5.3 模式二与模式三·联合体的两个位置：牵头与入伙</w:t>
      </w:r>
    </w:p>
    <w:p>
      <w:r>
        <w:rPr>
          <w:rFonts w:ascii="Calibri" w:hAnsi="Calibri" w:eastAsia="微软雅黑"/>
          <w:b w:val="0"/>
          <w:i w:val="0"/>
          <w:sz w:val="22"/>
        </w:rPr>
        <w:t>先看一段来自医院建设一线的观察：建设单位发现部分以施工单位牵头的EPC总承包，由于设计处于联合体的弱势地位，设计的专业能力、优化能力、协同能力都无法发挥重要引领作用，项目的品质从设计源头就比较难保障；因此由设计单位牵头的联合体总承包模式逐渐被医院建设市场接受并推广，国家也鼓励采用设计单位牵头的联合体形式进行工程总承包（P5000）。这段观察揭示了联合体内部权力结构的实质：谁牵头，谁定义设计与施工的接口规则，谁决定设计优化的空间有多大。</w:t>
      </w:r>
    </w:p>
    <w:p>
      <w:r>
        <w:rPr>
          <w:rFonts w:ascii="Calibri" w:hAnsi="Calibri" w:eastAsia="微软雅黑"/>
          <w:b w:val="0"/>
          <w:i w:val="0"/>
          <w:sz w:val="22"/>
        </w:rPr>
        <w:t>设计牵头的商业底气来自一个杠杆数字：EPC建设模式具有责任明确、目标可控、投资包干的特点，而设计方案作为影响工程造价75%以上的重要因素，使设计单位在工程建设全过程中起到关键主导作用；设计单位作为牵头方时，与施工单位牵头相比，在优化设计方面会更积极主动，可以最大限度保证EPC项目的实施增值（P5000）。75%以上的造价影响力（P5000），是设计院敢于牵头、也值得牵头的根本理由——图纸上的每一个决策，都在总承包合同的对价里放大。</w:t>
      </w:r>
    </w:p>
    <w:p>
      <w:r>
        <w:rPr>
          <w:rFonts w:ascii="Calibri" w:hAnsi="Calibri" w:eastAsia="微软雅黑"/>
          <w:b w:val="0"/>
          <w:i w:val="0"/>
          <w:sz w:val="22"/>
        </w:rPr>
        <w:t>学术与实务研究把设计院牵头EPC的优势归纳为四项（P5001）（P5002）。一是总体控制优势：设计院可将自身设计思想、意图、理念贯穿工程项目始终，质量上从源头把控，进度上统筹规划各阶段工作、避免工序衔接不合理导致的延误，安全上提前在设计中考虑并规避潜在风险，设备材料选用上选择最适配项目需求的产品（P5001）。二是成本控制优势：设计院可通过优化设计、限额设计等手段更精准地控制建设成本；在设计中充分考虑采购和施工环节的可行性，使各阶段合理交叉、紧密配合；设计人员参与全过程，及时发现并解决设计缺陷和变更问题，避免因设计不合理导致的返工（P5001）。三是资源整合优势：对内整合不同专业设计团队实现多专业协同，对外凭借行业人脉与合作关系筛选优质供应商、施工分包商，通过集中采购降低采购成本，并按项目特点与进度合理调配施工力量（P5002）。四是沟通协调优势：设计院长期参与前期规划设计，对业主意图、项目功能定位与期望效果有清晰理解，能有效减少因沟通不畅导致的误解和变更；在涉及设计问题的协调上具备专业技术权威性，更具话语权（P5002）。</w:t>
      </w:r>
    </w:p>
    <w:p>
      <w:r>
        <w:rPr>
          <w:rFonts w:ascii="Calibri" w:hAnsi="Calibri" w:eastAsia="微软雅黑"/>
          <w:b w:val="0"/>
          <w:i w:val="0"/>
          <w:sz w:val="22"/>
        </w:rPr>
        <w:t>聚焦到具体建筑类型，优势还能进一步细化。以品质要求高、造型复杂、特殊材料多的文化类建筑为例，设计牵头有三重具体收益：成本上，设计单位通常设有完善的设计、造价控制部门及以往类似项目的造价数据库，可在建筑方案阶段对项目整体概算有相对精准的把控，且被赋予更大统筹权限与责任后，更有意愿安排专业设计师进驻现场参与造价管理，使限额设计与项目品质达到平衡（P5018）；工期上，设计师可驻场设计和管理，大大缩短现场问题的处理时间，节省因设计变更、建设单位功能调整处理不及时造成的工期延误与费用损失，并可在设计阶段结合施工方及设计自身资源着手采购预备工作，避免无价材料和设备选型由施工方购买造成的采购时间不可控（P5018）；质量上，设计牵头可对设计、采购和施工进行全过程质量控制，在工程质量终身负责制及建筑师负责制试行的政策背景下，设计中会更多关注工程质量与品质的体现（P5018）。医院建筑同理——针对医院建设复杂、医用专项多的特点，设计牵头EPC可发挥设计技术优势，对项目建设全过程统筹和把控，确保设计理念贯穿始终、建设品质不降低（P5000）。医院项目的实践还给出一条组织线索：设计牵头EPC可充分发挥设计单位的主导作用，将勘察设计、采购、施工深度融合；作为牵头人可整合联合体各方资源，加强过程投资控制，缩短工期，严控项目质量与安全，实现项目建设各项目标（P5000）。注意这条线索里的主语切换——主导作用属于设计，而投资控制、工期、质量、安全的最终责任属于联合体整体（P5019）。设计院要在投标报价阶段就把这份"整体责任"折算进风险费与协议条款，而不是等中标后再用设计优化的收益去填施工端的窟窿（P5016）（P5017）。</w:t>
      </w:r>
    </w:p>
    <w:p>
      <w:r>
        <w:rPr>
          <w:rFonts w:ascii="Calibri" w:hAnsi="Calibri" w:eastAsia="微软雅黑"/>
          <w:b w:val="0"/>
          <w:i w:val="0"/>
          <w:sz w:val="22"/>
        </w:rPr>
        <w:t>运作机制上，设计牵头联合体EPC从投标阶段开始：设计单位按招标文件要求选择符合资信要求的合作伙伴组建投标联合体，各方针对协商确定的工程内容编制设计方案、技术方案及商务报价，由牵头人平衡汇总后向招标人提交整体的联合体投标文件；投标前，联合体各方本着自愿平等原则签署联合体协议，明确牵头人和成员各方的分工与责权利；中标后发包人与联合体签订承发包合同，实施阶段设计单位作为牵头人在完成设计工作的同时，还要在整个项目实施过程中做好联合体各方的协调与管理——管理的好坏很大程度上决定EPC项目的成败（P5000）。</w:t>
      </w:r>
    </w:p>
    <w:p>
      <w:r>
        <w:rPr>
          <w:rFonts w:ascii="Calibri" w:hAnsi="Calibri" w:eastAsia="微软雅黑"/>
          <w:b w:val="0"/>
          <w:i w:val="0"/>
          <w:sz w:val="22"/>
        </w:rPr>
        <w:t>把运作机制翻译成条款清单，设计牵头方在联合体协议里至少要写死五件事（综合P5000的流程与P5017的判例）：其一，牵头权的边界——牵头人负责平衡汇总联合体投标文件，实施阶段承担主要的协调与管理工作（P5000）；其二，分工与责权利——中标后联合体各方按协议各自完成合同工程内容（P5000）；其三，对内按份的分账规则与对外的追偿安排——内部约定只在成员之间有效，挡不住债权人挑"最有钱的那个"全额追偿，对内追偿权是对外赔付后能否把钱拿回来的命门（P5017）；其四，成员违约场景预演与退出机制——组队前把对方可能的违约场景预演一遍（P5017）；其五，责任敞口的对价与保险安排——工期延误违约金、质量缺陷赔偿、安全事故责任都可能落到任一成员头上（P5017）。协议之外，投标阶段还应注意实地调研，及时掌握社会公众对项目的反应及态度，纳入干系人管理范畴（P5016）。</w:t>
      </w:r>
    </w:p>
    <w:p>
      <w:r>
        <w:rPr>
          <w:rFonts w:ascii="Calibri" w:hAnsi="Calibri" w:eastAsia="微软雅黑"/>
          <w:b w:val="0"/>
          <w:i w:val="0"/>
          <w:sz w:val="22"/>
        </w:rPr>
        <w:t>但牵头不是荣誉称号，行业研究同样列出设计院牵头EPC的四项公认不足：设计主导成效不强、人才培养未成体系、过程管控难度大、经济效益难以保障（P5001）。这四项短板构成一面镜子：设计院的长板在图纸与造价，短板恰恰落在"过程"与"效益"——而EPC考核的正是过程与效益。风险维度上，设计牵头EPC项目风险被系统归纳为8大类：自然与社会风险、相关方管理风险、项目技术风险、项目商务风险、项目投标风险、项目设计风险、项目采购风险、项目施工风险（P5016）；整体应对策略有四种——风险规避、风险转移、风险缓解、风险自留：风险高于能够承受最大损失范围时，一般采取风险规避、风险转移；低于该范围时，采取风险缓解、风险自留（P5016）。落到操作层，例如应对建设条件不足风险：项目前期资料不完整的，标前答疑应及时提出，并在投标报价时充分考虑此类风险费用；前期手续滞后等因素容易导致工期延长的，应在合同签订时将此类影响因素列入合同并建立争议谈判机制；对市政条件（水电热等）、人防等外部条件，应提前策划、预留资金（P5016）。再如应对政策变化风险：及时掌握国家政策走向与设计施工规范变化，出现影响项目实施的重大政策性变化时，及时留存相关依据并与业主方主动沟通（P5016）。</w:t>
      </w:r>
    </w:p>
    <w:p>
      <w:r>
        <w:rPr>
          <w:rFonts w:ascii="Calibri" w:hAnsi="Calibri" w:eastAsia="微软雅黑"/>
          <w:b w:val="0"/>
          <w:i w:val="0"/>
          <w:sz w:val="22"/>
        </w:rPr>
        <w:t>四种应对策略的选用逻辑本身就是一个管理仪表盘：先给每类风险估出"最大可能损失"，再与企业的承受线比对——高于承受线的风险，要么规避（不做这个项目）、要么转移（保险等）；低于承受线的，采取缓解（预案、流程控制）或自留（计提风险费）（P5016）。时间轴上则分两段布防：损失事件发生前，采取控制措施消除风险因素、降低发生概率；发生时，减少风险因素的危害，经充分准确的调查评估把自身损失降到最低（P5016）。设计院最常见的失误，是把风险应对当成投标阶段的"表格作业"——风险清单写进标书就束之高阁，等损失事件发生时既无预案也无证据留存；判例里连坐的2900多万（P5017），不少就源自这种表格化风控。</w:t>
      </w:r>
    </w:p>
    <w:p>
      <w:r>
        <w:rPr>
          <w:rFonts w:ascii="Calibri" w:hAnsi="Calibri" w:eastAsia="微软雅黑"/>
          <w:b w:val="0"/>
          <w:i w:val="0"/>
          <w:sz w:val="22"/>
        </w:rPr>
        <w:t>牵头资格的裁判标准也不在设计院自己手里。市场研究把话挑得很明：国内房建EPC项目中设计牵头、施工牵头两种模式均具备合规落地条件，但大量项目暴露出同一个突出短板——有的承包人仍固守传统思维，未搭建适配EPC总价包干模式的专属管理体系（P5019）。传统模式下，业主分别对接设计、施工、监理单位，自主承担多方协调、手续办理、变更管控等工作；EPC模式中，总包方全权承接设计、采购、施工全链条管理，对项目整体目标兜底（P5019）。评判牵头单位统筹协调能力，核心看四大硬性管理实力：其一，全流程报批报建能力，统筹联合体内部设计、施工资源，统一对接规划报审、图纸审查、施工许可、专项验收、竣工验收、竣工备案等全流程手续，避免手续卡点拖累整体进度；其二，一体化设计管理能力，推动施工、采购团队前置参与方案研讨，以可施工性、经济性优化图纸，从源头规避后期大量变更；其三，大商务管理能力，围绕总价包干核心要求搭建全过程成本、合同、变更管控体系，动态跟踪造价偏差，守住项目盈利底线；其四，全周期风险管控能力，建立完整风险识别、内部责任划分、风险转移机制，针对地质、市场、政策、技术等各类隐患制定应对预案（P5019）。若牵头单位缺少一体化管理能力，无论由设计还是施工牵头，都会出现报批与验收冲突、设计与施工脱节、造价管理失控、推诿扯皮等问题，EPC一体化降本增效、缩短工期的核心价值无法发挥（P5019）。</w:t>
      </w:r>
    </w:p>
    <w:p>
      <w:r>
        <w:rPr>
          <w:rFonts w:ascii="Calibri" w:hAnsi="Calibri" w:eastAsia="微软雅黑"/>
          <w:b w:val="0"/>
          <w:i w:val="0"/>
          <w:sz w:val="22"/>
        </w:rPr>
        <w:t>还有一句话值得裱起来挂在会议室：EPC的本质是一体化总承包，核心优势是打通设计、采购、施工全链条，实现工期、成本、品质全方位优化（P5019）。据此衡量，设计院在联合体里的真实身份不是"画图供应商"，而应是全链条优化的发动机——设计方案影响造价75%以上（P5000），意味着设计端每做对一次优化，采购与施工端就有一次连锁收益；反过来，设计端每留一个含糊的接口，下游就多一轮变更与索赔。牵头与否的区别，只在于这些优化收益进谁的口袋、这些接口风险由谁定价。</w:t>
      </w:r>
    </w:p>
    <w:p>
      <w:r>
        <w:rPr>
          <w:rFonts w:ascii="Calibri" w:hAnsi="Calibri" w:eastAsia="微软雅黑"/>
          <w:b w:val="0"/>
          <w:i w:val="0"/>
          <w:sz w:val="22"/>
        </w:rPr>
        <w:t>再看入伙位置（M3）。不少设计院把"跟着大施工企业干"当作低风险起步，法律事实恰恰相反：按《招标投标法》第31条，联合体各方应当签订共同投标协议，约定各方拟承担的工作和责任，中标后联合体各方就中标项目向招标人承担连带责任（P5017）。EPC模式下，联合体成员对内按份、对外连带，任一成员违约、资质瑕疵、资金断裂，债权人可直接要求任一成员全额担责（P5017）。两个判例把代价量化了：最高人民法院（2018）最高法民申2076号明确，联合体成员之间的内部约定不能对抗招标人，对外承担连带责任，成员一方须就整个联合体债务向发包人负责（P5017）；北京市第二中级人民法院（2019）京02民初632号判决某EPC联合体因一方违约导致合同解除后，联合体成员就返还已付款2301万元及违约金602万元承担连带责任——一个成员跑路，另一家连坐赔付2900多万（P5017）。连带不止工程款：工期延误违约金、质量缺陷赔偿、安全事故责任，都可能因"联合体"三个字落到任何一家成员头上（P5017）。</w:t>
      </w:r>
    </w:p>
    <w:p>
      <w:r>
        <w:rPr>
          <w:rFonts w:ascii="Calibri" w:hAnsi="Calibri" w:eastAsia="微软雅黑"/>
          <w:b w:val="0"/>
          <w:i w:val="0"/>
          <w:sz w:val="22"/>
        </w:rPr>
        <w:t>更要警惕"资质互补"的错觉：一家有设计资质、一家有施工资质组合投EPC，一旦施工方出事，设计方照样连带——资质互补不等于风险隔离，反而是"你的资质为他的过错背书"；组联合体前，不仅要看队友有什么，更要看对方会出什么错，把可能的违约场景预演一遍（P5017）。对于招标方强制要求联合体的"被动联合体"场景，实务建议很直白：能谈下牵头地位的尽量牵头（掌握主动权），谈不下的，把内部追偿和退出机制写死，至少留好后路——被动不等于裸奔（P5017）。三个最常见的坑也都有名有姓：对内分账对外连坐、选错队友、不签内部追偿协议，其本质都是"把联合体当松散合作"——你以为是搭伙，法律上是绑绳，一根断，全队勒（P5017）。</w:t>
      </w:r>
    </w:p>
    <w:p>
      <w:r>
        <w:rPr>
          <w:rFonts w:ascii="Calibri" w:hAnsi="Calibri" w:eastAsia="微软雅黑"/>
          <w:b w:val="0"/>
          <w:i w:val="0"/>
          <w:sz w:val="22"/>
        </w:rPr>
        <w:t>落到选队友的动作上，判例文章的筛选逻辑可以直接抄作业：一看资质与信用的存量，二看资金链的流量，三看对方"会出什么错"——因为资质互补不等于风险隔离，你的资质正在为队友的过错背书（P5017）。对设计院尤其要敲黑板的在于：联合体对外是"一块牌子"，招标人只看得到整体，谁违约、谁没钱，他都可以找任意一家要全部；你以为是分摊风险，法律上是共享风险，而且还连带（P5017）。所以尽调不过关的施工方，宁可放弃大项目也不绑定——设计院的品牌与资信是比单笔订单更贵的资产，经不起一次连坐消耗（P5017）。</w:t>
      </w:r>
    </w:p>
    <w:p>
      <w:r>
        <w:rPr>
          <w:rFonts w:ascii="Calibri" w:hAnsi="Calibri" w:eastAsia="微软雅黑"/>
          <w:b w:val="0"/>
          <w:i w:val="0"/>
          <w:sz w:val="22"/>
        </w:rPr>
        <w:t>极端风险的反面教材是江西丰城电厂三期EPC特大事故（"11·24"事故，P5007）。对该事故的系统性反思直指中国EPC工程总承包的深层困局：EPC模式的定义与全球实践、设计与施工的分离与冲突、组织行为的系统性失效、速度与安全的辩证关系（P5007）。它提醒所有准备进入总承包的设计院：EPC不只是商务模式升级，更是安全责任与组织能力的硬考试；联合体协议可以把商务风险分块，却分不掉安全责任的社会属性。</w:t>
      </w:r>
    </w:p>
    <w:p>
      <w:r>
        <w:rPr>
          <w:rFonts w:ascii="Calibri" w:hAnsi="Calibri" w:eastAsia="微软雅黑"/>
          <w:b/>
          <w:i w:val="0"/>
          <w:sz w:val="22"/>
        </w:rPr>
        <w:t>所以呢：</w:t>
      </w:r>
      <w:r>
        <w:rPr>
          <w:rFonts w:ascii="Calibri" w:hAnsi="Calibri" w:eastAsia="微软雅黑"/>
          <w:b w:val="0"/>
          <w:i w:val="0"/>
          <w:sz w:val="22"/>
        </w:rPr>
        <w:t xml:space="preserve"> M2与M3共享同一个法律外壳——对外连带（P5019）（P5017），差别只在于你是否掌握协调主导权。设计院若决定进联合体，第一动作不是找项目，而是做两件事：对照四大硬性管理实力（P5019）逐项自评，缺哪项补哪项；把内部追偿与退出机制写进联合体协议（P5017）。自评不达标而强行牵头，等于用自己的信用为整条链兜底；自评达标却只肯入伙，则等于把75%的造价话语权（P5000）拱手让给最不擅长用它的人。</w:t>
      </w:r>
    </w:p>
    <w:p>
      <w:pPr>
        <w:pStyle w:val="Heading2"/>
      </w:pPr>
      <w:r>
        <w:t>5.4 模式四与模式五·重量级路径：法人一体化与投融资带动</w:t>
      </w:r>
    </w:p>
    <w:p>
      <w:pPr>
        <w:pStyle w:val="Heading3"/>
      </w:pPr>
      <w:r>
        <w:t>模式四·法人级一体化：把联合体协议升级为股权结构</w:t>
      </w:r>
    </w:p>
    <w:p>
      <w:r>
        <w:rPr>
          <w:rFonts w:ascii="Calibri" w:hAnsi="Calibri" w:eastAsia="微软雅黑"/>
          <w:b w:val="0"/>
          <w:i w:val="0"/>
          <w:sz w:val="22"/>
        </w:rPr>
        <w:t>当"合同型联合"反复暴露摩擦之后，头部企业的选择是"法人级联合"。石化行业的样本是"双源合一"式重组：通过设计能力与施工能力的法人级深度重构，打破组织壁垒，实现组织交付基因与设计概算全过程控制的高度统一（P5034）。走这条路的原始痛点很现实：在设计与施工主体物理分离的传统体制下，企业在大型石油化工与工业EPC项目履约中面临合同分拆争议频发、里程碑节点支付阻滞、履约解除及造价全面失控的商业与法律代价（P5034）。M4的本质，是把联合体协议里的责权利谈判，变成股权结构里的治理安排——设计与施工不再靠协议对齐，而是靠同一个损益表对齐；出了问题不再是对手方，而是同一个法人的内部流程。</w:t>
      </w:r>
    </w:p>
    <w:p>
      <w:r>
        <w:rPr>
          <w:rFonts w:ascii="Calibri" w:hAnsi="Calibri" w:eastAsia="微软雅黑"/>
          <w:b w:val="0"/>
          <w:i w:val="0"/>
          <w:sz w:val="22"/>
        </w:rPr>
        <w:t>法人一体化之后，竞争发生在体系深处，而不是资质证书上。造价内功方面，初步设计概算编制三法（概算定额法、概算指标法、类似工程预算法）与设备安装四法（预算单价法、扩大单价法、设备价值百分比法、综合吨位指标法）构成设计院型工程公司的看家本领，对应设计概算的精准编制与设备采购概算的精细控制（P5034）。法务内功同样成体系，判例与函件构成了必修课清单：合同分拆模式下的履约抗辩（(2016)最高法民终695号先履行抗辩权）、分包合同同步解除机制（(2016)最高法民再53号）、境外保函止付风险（(2017)川民终72号），以及行政审计强行介入结算的清理审查（法工委函〔2017〕2号）与"重庆勇创案"计价标准纠偏（P5034）。给管理层的含义很清楚：M4不是把设计院改名叫工程公司就完成的——改名只需一天，把概算三法、安装四法与这组判例内化成流程，需要以年计的组织学习（P5034）。</w:t>
      </w:r>
    </w:p>
    <w:p>
      <w:r>
        <w:rPr>
          <w:rFonts w:ascii="Calibri" w:hAnsi="Calibri" w:eastAsia="微软雅黑"/>
          <w:b w:val="0"/>
          <w:i w:val="0"/>
          <w:sz w:val="22"/>
        </w:rPr>
        <w:t>M4的治理含义还可以用一组因子语言表达：法人级交付效能取决于分子上的设计控制因子与采购施工协同因子，也取决于分母上的组织摩擦风险与造价合规偏差（P5034）。双源合一的重组抬高分子——设计概算全过程控制进入同一法人边界（P5034）；但它同时可能先放大分母：两家公司的制度、薪酬与文化要在摩擦中归一，重组期的项目履约、里程碑支付与造价合规任何一处失手，代价就是合同分拆争议、履约解除与造价失控（P5034）。因此走M4的节奏安排应当是"先体系后规模"：先把概算三法、安装四法与法务清单内化到试点项目（P5034），再承接大体量EPC，避免用重组后的第一单大项目当试验品。</w:t>
      </w:r>
    </w:p>
    <w:p>
      <w:r>
        <w:rPr>
          <w:rFonts w:ascii="Calibri" w:hAnsi="Calibri" w:eastAsia="微软雅黑"/>
          <w:b w:val="0"/>
          <w:i w:val="0"/>
          <w:sz w:val="22"/>
        </w:rPr>
        <w:t>顺带说明这套石化样本的用法。该研究把问题拆成"痛点—代价—场景"三段展开：痛点指出设计与施工割裂、统一法人级交付能力与概算管控体系缺失；代价量化为合同分拆争议频发、里程碑节点支付阻滞、履约解除及造价全面失控；场景落到股权治理重组、资质整合与设计主导型EPC体系搭建（P5034）。这个写法本身就是一份现成的立项模板——设计院论证M4重组时，董事会材料完全可以照此三段展开：先讲割裂之痛，再讲不做重组的违约与造价代价，最后落到重组方案的场景与节点。证据链摆在同一张纸上，比任何口号都有说服力。</w:t>
      </w:r>
    </w:p>
    <w:p>
      <w:r>
        <w:rPr>
          <w:rFonts w:ascii="Calibri" w:hAnsi="Calibri" w:eastAsia="微软雅黑"/>
          <w:b w:val="0"/>
          <w:i w:val="0"/>
          <w:sz w:val="22"/>
        </w:rPr>
        <w:t>核电行业的样本展示了M4的能力上限。中国核电工程有限公司（CNPE）的实践被概括为：设计主导是核心，通过数字化工具和标准化管理，实现从文档驱动向对象驱动的质变，统筹采购、施工、财务与风险管理（P5032）。具体抓手有四层。第一层，数字化设计：基于EB软件的结构化设计能够自动生成清单，统计效率提升80%以上，而传统设计模式需要人工逐张查图统计、易错率高；通过建立"项目号-对象分类单元-机组号-设备单元-系统号"的五层级架构，确保大宗材料数据在全生命周期内的唯一性与可追溯性（P5008，漳州1#、2#机组项目实践）。第二层，供应链协同：核电设备采购具有"三高一长"特征，配套的是"设计-采购协同（DPI）+长周期设备管控+国产化供应链+核级质量保证"四位一体体系；推行多项目批量化采购后，2023年在二级集采项目中节资率达10%（P5032）。第三层，制造融合：以"华龙一号"蒸汽发生器智能制造为例，工程公司与东方重机协作，实践"设计—制造—监造—协同平台"四个层级的深度融合与"九大场景"下的技术创新，构建"现实生产"与"数字制造"的无缝对接体系（P5008）。第四层，风险管理：主线采用"风险识别—防范—监测—处置"的全生命周期视角，引入P-D-Q-I四维度风险评价模型、区块链透明化机制及数字孪生技术，从技术标准化、质量风险量化、财务价值创造、里程碑管控及文档标准五个维度构筑管理体系（P5008）。</w:t>
      </w:r>
    </w:p>
    <w:p>
      <w:r>
        <w:rPr>
          <w:rFonts w:ascii="Calibri" w:hAnsi="Calibri" w:eastAsia="微软雅黑"/>
          <w:b w:val="0"/>
          <w:i w:val="0"/>
          <w:sz w:val="22"/>
        </w:rPr>
        <w:t>再补两个容易被忽略的细节，它们决定这套体系能否向民用行业移植。细节一，对象化的起点是"一个仪表对应一个标准"的强关联：以漳州项目为例，仪表架的结构化属性被定义为材料（碳钢/不锈钢）、重量（精确到kg）、抗震等级、接口类型等字段（P5008）；而在以往项目中，仪控安装设计涉及上千种仪表、仪表架及数百种大宗材料，数据散落在孤立的纸质或电子文档中，极易出现设计修改不同步、材料错买漏买等"人因失效"（P5008）。从以文档为中心（Document-centric）向对象化（Object-oriented）转型，不是工具更替，而是数据逻辑的重构（P5008）——民用设计院的数字化团队可据此论证投入产出，而不是把数字化停留在翻模。细节二，财务与多项目维度：在财务管控中，区块链技术保障分包商合同履行的透明性，显著降低了资金占用成本（P5008）；组织维度上，CNPE完成了从单一项目管理向多项目协同管控的跨越，以应对核电工程接口复杂、风险高企、数量庞大的难题（P5032）。这提示M4的真实门槛：不只是会不会干一个项目，而是能不能同时管住多个项目的接口、资金与人才。</w:t>
      </w:r>
    </w:p>
    <w:p>
      <w:r>
        <w:rPr>
          <w:rFonts w:ascii="Calibri" w:hAnsi="Calibri" w:eastAsia="微软雅黑"/>
          <w:b w:val="0"/>
          <w:i w:val="0"/>
          <w:sz w:val="22"/>
        </w:rPr>
        <w:t>样本清单里还有两个可对标的小切口：ITER项目的工时管理被列为与"华龙一号"蒸汽发生器智能制造、数字化财务管控并列的三大实战案例之一（P5008），说明国际大科学工程同样依赖工时数据这类基础管理颗粒度；而这套体系的总目标被表述为可量化、可追溯、可预测（P5008）——三个"可"字，正是民用设计院制定数字化转型规划时可以直接借用的验收标准。</w:t>
      </w:r>
    </w:p>
    <w:p>
      <w:r>
        <w:rPr>
          <w:rFonts w:ascii="Calibri" w:hAnsi="Calibri" w:eastAsia="微软雅黑"/>
          <w:b w:val="0"/>
          <w:i w:val="0"/>
          <w:sz w:val="22"/>
        </w:rPr>
        <w:t>这套样本的可迁移部分要分辨清楚。对大多数民用设计院而言，华龙一号级别的投入不可复制，但其方法论骨架可以降维使用：对象化的数据架构（P5008）、设计-采购协同（P5032）、批量化采购的节资逻辑（P5032），在民用项目的尺度上同样成立。不可迁移的部分也要承认：核级质量保证体系与核电监管环境是行业专属资产（P5032），照搬只会带来成本黑洞。</w:t>
      </w:r>
    </w:p>
    <w:p>
      <w:pPr>
        <w:pStyle w:val="Heading3"/>
      </w:pPr>
      <w:r>
        <w:t>模式五·投融资带动：F+EPC与EOD的杠杆与悬崖</w:t>
      </w:r>
    </w:p>
    <w:p>
      <w:r>
        <w:rPr>
          <w:rFonts w:ascii="Calibri" w:hAnsi="Calibri" w:eastAsia="微软雅黑"/>
          <w:b w:val="0"/>
          <w:i w:val="0"/>
          <w:sz w:val="22"/>
        </w:rPr>
        <w:t>F+EPC的逻辑是把融资功能整合进总承包：既顺应政府推广EPC模式的趋势，又能有效解决项目资金短缺问题；这种模式不新增政府债务，避免施工单位垫资，以项目让利的方式吸引社会投资，有利于水利工程等项目的投资控制、质量控制和进度控制（P5014）。在国际工程承包领域，F+EPC因能提供融资支持、帮助解决资金短缺问题，使中国大型建筑企业更容易开拓海外市场（P5014）。操作要领也有成熟沉淀：建立统一有效的信息沟通平台，减少信息不对称造成的浪费；通过对项目模块化分解，针对不同模块采用不同融资方式，降低融资难度、节省资金成本；资格预审阶段对选择合适的总承包商至关重要（P5014）。</w:t>
      </w:r>
    </w:p>
    <w:p>
      <w:r>
        <w:rPr>
          <w:rFonts w:ascii="Calibri" w:hAnsi="Calibri" w:eastAsia="微软雅黑"/>
          <w:b w:val="0"/>
          <w:i w:val="0"/>
          <w:sz w:val="22"/>
        </w:rPr>
        <w:t>出海做F+EPC的组织前提更苛刻。资格预审阶段至关重要，因为合格且优秀的总承包商才能充分发挥模式优势，实现政府与自身的利益和效益双赢（P5014）；项目模块化分解后，不同模块可以采用不同融资方式，融资难度与资金成本随之下降（P5014）；统一有效的信息沟通平台则用来发挥各参与方的本位优势、减少信息不对称造成的浪费（P5014）。把这三条翻译成设计院的语言：海外F+EPC不是设计院能单独玩转的游戏，它要求企业先具备国际融资渠道、国际合同法务与属地施工管理三样基础设施；设计院在其中更现实的角色，是以设计与技术服务嵌入大型承包商的F+EPC链条，先挣服务费、再图主导权（P5014）。</w:t>
      </w:r>
    </w:p>
    <w:p>
      <w:r>
        <w:rPr>
          <w:rFonts w:ascii="Calibri" w:hAnsi="Calibri" w:eastAsia="微软雅黑"/>
          <w:b w:val="0"/>
          <w:i w:val="0"/>
          <w:sz w:val="22"/>
        </w:rPr>
        <w:t>但F+EPC的风险分层必须写进决策备忘录：以政府部门为项目主体的F+EPC模式风险比较大，而以企业为项目主体的F+EPC模式，其合规性随项目类型存在很大差异（P5014）。研究同时指出，项目管理能力、融资模式、资金实力和施工管理是影响F+EPC项目成本最重要的四个因素（P5014）——请注意，四个因素里没有"设计能力"，这说明F+EPC的胜负手在资金与融资端，设计院的图纸优势在这里只是入场券。案例层面也有正反两面：中东欧国家光伏电站项目用WBS-RBS风险识别方法和Borda序值法做风险优化处理（P5014）；斯里兰卡CS项目则身处资源匮乏、基础设施条件差的南亚岛国环境，靠从投标到竣工的全过程风险管理推进海外EPC总承包，面对的是不确定风险因素多、风险动态变化频繁的国际工程环境（P5014）。</w:t>
      </w:r>
    </w:p>
    <w:p>
      <w:r>
        <w:rPr>
          <w:rFonts w:ascii="Calibri" w:hAnsi="Calibri" w:eastAsia="微软雅黑"/>
          <w:b w:val="0"/>
          <w:i w:val="0"/>
          <w:sz w:val="22"/>
        </w:rPr>
        <w:t>生态环保方向的变体是EOD。自生态环境部2018年明确提出开展EOD模式以来，2021年、2022年两批共94个国家级试点项目先行探路（P5013）；2025年《关于进一步推进生态环境导向的开发（EOD）模式工作的通知》进一步倡导发展项目复杂程度低、规模适中、收益具有确定性的"小而美"项目模式（P5013）。小城市尺度实践中的常见病也有清单：政策认知不足导致推进困难、生态治理与产业项目谋划盲目且关联性不强、开发路径不清晰（P5013）。成熟的实操框架已经形成——"问题识别—潜力研判—项目谋划—融资运营"的项目开发流程，配合"生态筑基—生态创产—生态营城"协同推进的项目谋划策略，广东占陇镇即按此框架推动生态治理、产业发展、绿色生活的整体性绿色转型（P5013）。设计院的规划、可研能力（P5005）在EOD前端有天然卡位，但"收益具有确定性"的要求（P5013）意味着设计院必须与产业运营方深度绑定，否则只能挣到前端咨询费，挣不到项目增值。</w:t>
      </w:r>
    </w:p>
    <w:p>
      <w:r>
        <w:rPr>
          <w:rFonts w:ascii="Calibri" w:hAnsi="Calibri" w:eastAsia="微软雅黑"/>
          <w:b w:val="0"/>
          <w:i w:val="0"/>
          <w:sz w:val="22"/>
        </w:rPr>
        <w:t>EOD的底层逻辑值得设计院细读。小城市尺度的EOD模式需突破传统环保投融资模式的局限，构建集生态资源增值转化、产业生产零碳循环、生活方式绿色节能于一体的综合开发框架，并融合问题识别、潜力研判、项目谋划、融资运营的纵向序列（P5013）。这实际是把工程策划语言升级为"生态—产业—生活"的系统语言：设计院若只会画图、不会算生态账与产业账，就只能停留在框架的绘图层，拿不到价值链的主导权（P5013）。政策风向的转折也必须跟住——EOD正经历从"大而全"向"小而美"的转型（P5013），盲目堆大体量的参与者接住的可能是收益不确定的包袱，而不是政策红利。</w:t>
      </w:r>
    </w:p>
    <w:p>
      <w:r>
        <w:rPr>
          <w:rFonts w:ascii="Calibri" w:hAnsi="Calibri" w:eastAsia="微软雅黑"/>
          <w:b w:val="0"/>
          <w:i w:val="0"/>
          <w:sz w:val="22"/>
        </w:rPr>
        <w:t>宏观资金环境决定了M5的时间窗口与禁区。财政部《2026年上半年中国财政政策执行情况报告》显示两条并行线索。一条是化债收紧：截至7月末，各地发行置换债券1.73万亿元，完成2026年2万亿元额度的86.7%；同时加快推动地方政府融资平台改革转型，化解融资平台存量隐性债务，剥离融资平台政府融资功能（P5003）。另一条是定向宽松：中央财政专门安排1000亿元推出财政金融协同促内需一揽子政策；下达2000亿元超长期特别国债资金，支持22个领域超1.1万个项目设备更新；制造业新型技术改造城市试点新增30个城市（P5003）。合起来的管理含义：政府付费类项目的资金纪律更严（置换债券额度与平台转型约束，P5003），替政府垫资、变相融资的空间被压缩；而有中央资金支持的方向（设备更新、技术改造，P5003）工程与咨询需求旺盛——这与M1中的项目谋划咨询（P5006）正好接续。设计院若想碰M5，先回答两个问题：你的资产负债表扛不扛得住融资期限错配？你的项目团队分得清政府主体与企业主体项目的合规差异吗（P5014）？两问有一个答不好，M5就不是杠杆，是悬崖。</w:t>
      </w:r>
    </w:p>
    <w:p>
      <w:r>
        <w:rPr>
          <w:rFonts w:ascii="Calibri" w:hAnsi="Calibri" w:eastAsia="微软雅黑"/>
          <w:b w:val="0"/>
          <w:i w:val="0"/>
          <w:sz w:val="22"/>
        </w:rPr>
        <w:t>社会资本端也有新的通道值得研究。中央财政专门安排1000亿元推出的财政金融协同促内需一揽子政策中，包含民间投资专项担保计划、支持民营企业债券风险分担机制等举措，引导金融资源与社会资本投向扩内需重点领域（P5003）。这与F+EPC"以项目让利的方式吸引社会投资"的机制（P5014）方向上咬合：项目让利空间与政策性担保、风险分担工具叠加，理论上能降低社会资本参与投融资型项目的门槛。但方向咬合不等于风险豁免——置换债券额度与融资平台转型的约束依然压在项目端（P5003），工具只能摊薄成本，摊不掉合规责任（P5014）。</w:t>
      </w:r>
    </w:p>
    <w:p>
      <w:r>
        <w:rPr>
          <w:rFonts w:ascii="Calibri" w:hAnsi="Calibri" w:eastAsia="微软雅黑"/>
          <w:b/>
          <w:i w:val="0"/>
          <w:sz w:val="22"/>
        </w:rPr>
        <w:t>所以呢：</w:t>
      </w:r>
      <w:r>
        <w:rPr>
          <w:rFonts w:ascii="Calibri" w:hAnsi="Calibri" w:eastAsia="微软雅黑"/>
          <w:b w:val="0"/>
          <w:i w:val="0"/>
          <w:sz w:val="22"/>
        </w:rPr>
        <w:t xml:space="preserve"> M4是把总承包做成主业的唯一永久路径，代价是以十年计的组织再造——双源合一的重组（P5034）、概算三法与安装四法的内化（P5034）、数字化对象化（P5008）；M5是杠杆也是悬崖——成本四因素里没有设计（P5014），政府主体项目风险大（P5014），化债周期里现金流薄的设计院最容易从"投资人"变成"风险接盘方"。两者共同的前置条件是：M1/M2阶段挣到的稳定现金流，足以支撑长周期投入。重量级路径不是起点，是战果。</w:t>
      </w:r>
    </w:p>
    <w:p>
      <w:pPr>
        <w:pStyle w:val="Heading2"/>
      </w:pPr>
      <w:r>
        <w:t>5.5 选择决策树：四问定路径，一表防踩坑</w:t>
      </w:r>
    </w:p>
    <w:p>
      <w:r>
        <w:rPr>
          <w:rFonts w:ascii="Calibri" w:hAnsi="Calibri" w:eastAsia="微软雅黑"/>
          <w:b w:val="0"/>
          <w:i w:val="0"/>
          <w:sz w:val="22"/>
        </w:rPr>
        <w:t>把前四节的证据压成四个决策问题，按顺序回答，路径自然收敛。</w:t>
      </w:r>
    </w:p>
    <w:p>
      <w:r>
        <w:rPr>
          <w:rFonts w:ascii="Calibri" w:hAnsi="Calibri" w:eastAsia="微软雅黑"/>
          <w:b/>
          <w:i w:val="0"/>
          <w:sz w:val="22"/>
        </w:rPr>
        <w:t>第0问·统筹能力体检（一票准入）。</w:t>
      </w:r>
      <w:r>
        <w:rPr>
          <w:rFonts w:ascii="Calibri" w:hAnsi="Calibri" w:eastAsia="微软雅黑"/>
          <w:b w:val="0"/>
          <w:i w:val="0"/>
          <w:sz w:val="22"/>
        </w:rPr>
        <w:t xml:space="preserve"> 对照四大硬性管理实力——全流程报批报建能力、一体化设计管理能力、大商务管理能力、全周期风险管控能力（P5019）——逐项自评。这是决策树的根节点，因为政策与市场已经共同确认：牵头标准"不是牵头单位的出身，而是其是否具备全流程统筹协调能力"（P5019）。四项齐备，进入第1问；任一项明显缺失，路径直接锁定M1（全过程工程咨询），并以全咨项目为练兵场定向补课——补的不是设计能力，而是报批报建、商务与风险管控这些设计院的传统盲区（P5019）。</w:t>
      </w:r>
    </w:p>
    <w:p>
      <w:r>
        <w:rPr>
          <w:rFonts w:ascii="Calibri" w:hAnsi="Calibri" w:eastAsia="微软雅黑"/>
          <w:b/>
          <w:i w:val="0"/>
          <w:sz w:val="22"/>
        </w:rPr>
        <w:t>第1问·风险承受测试。</w:t>
      </w:r>
      <w:r>
        <w:rPr>
          <w:rFonts w:ascii="Calibri" w:hAnsi="Calibri" w:eastAsia="微软雅黑"/>
          <w:b w:val="0"/>
          <w:i w:val="0"/>
          <w:sz w:val="22"/>
        </w:rPr>
        <w:t xml:space="preserve"> 能否承受联合体对外连带责任？判例给出的量级是：一家成员跑路，另一家连带返还已付款2301万元、支付违约金602万元，2900多万一家扛（P5017）。把这笔账换算成自家口径：若一次此类冲击会击穿净资产安全线或触发银行抽贷，路径永久停留在M1；承受得起，进入第2问。</w:t>
      </w:r>
    </w:p>
    <w:p>
      <w:r>
        <w:rPr>
          <w:rFonts w:ascii="Calibri" w:hAnsi="Calibri" w:eastAsia="微软雅黑"/>
          <w:b/>
          <w:i w:val="0"/>
          <w:sz w:val="22"/>
        </w:rPr>
        <w:t>第2问·项目与设计优势匹配。</w:t>
      </w:r>
      <w:r>
        <w:rPr>
          <w:rFonts w:ascii="Calibri" w:hAnsi="Calibri" w:eastAsia="微软雅黑"/>
          <w:b w:val="0"/>
          <w:i w:val="0"/>
          <w:sz w:val="22"/>
        </w:rPr>
        <w:t xml:space="preserve"> 目标项目的特点与复杂程度是什么（P5019）？若属医用专项多、需设计统筹全过程的医院类项目（P5000），或高、精、难的文化类建筑（P5018），且本院恰有对应专项设计优势与造价数据库（P5018），选M2（设计牵头联合体）；若设计优势一般、以借船出海积累总承包业绩为目的，选M3（入伙联合体），但必须把内部追偿与退出机制写死（P5017）；若判断总承包是十年主业而非项目机会，进入第3问。</w:t>
      </w:r>
    </w:p>
    <w:p>
      <w:r>
        <w:rPr>
          <w:rFonts w:ascii="Calibri" w:hAnsi="Calibri" w:eastAsia="微软雅黑"/>
          <w:b/>
          <w:i w:val="0"/>
          <w:sz w:val="22"/>
        </w:rPr>
        <w:t>第3问·资金与战略终局测试。</w:t>
      </w:r>
      <w:r>
        <w:rPr>
          <w:rFonts w:ascii="Calibri" w:hAnsi="Calibri" w:eastAsia="微软雅黑"/>
          <w:b w:val="0"/>
          <w:i w:val="0"/>
          <w:sz w:val="22"/>
        </w:rPr>
        <w:t xml:space="preserve"> 两个分支：具备资金实力与融资能力（F+EPC成本四因素中的两项，P5014），且能识别政府主体与企业主体项目的合规差异（P5014），可叠加M5；追求不可逆的总承包能力，走M4法人一体化（P5034）。注意：M4与M5不互斥，但都以M1/M2阶段形成的现金流与队伍为前提。</w:t>
      </w:r>
    </w:p>
    <w:p>
      <w:r>
        <w:rPr>
          <w:rFonts w:ascii="Calibri" w:hAnsi="Calibri" w:eastAsia="微软雅黑"/>
          <w:b w:val="0"/>
          <w:i w:val="0"/>
          <w:sz w:val="22"/>
        </w:rPr>
        <w:t>四问之外再定复检节奏。建议把第0问设为年度规定动作、第1问设为承接每个大项目前的即题动作：统筹能力四项实力是动态资产，骨干流动一次就可能塌一项（P5019）；而风险承受线随净资产与在手订单变化，去年扛得住的连带额度今年未必扛得住（P5017）。升级的触发条件同样可以写死：当连续两年的全咨项目现金流能覆盖一支施工管理团队的成本时，启动M2试点；当牵头项目的管控表现稳定、联合体协作方愿意复购合作时，评估M4的重组窗口（P5019）（P5034）。</w:t>
      </w:r>
    </w:p>
    <w:p>
      <w:r>
        <w:rPr>
          <w:rFonts w:ascii="Calibri" w:hAnsi="Calibri" w:eastAsia="微软雅黑"/>
          <w:b w:val="0"/>
          <w:i w:val="0"/>
          <w:sz w:val="22"/>
        </w:rPr>
        <w:t>使用决策树还有两个前提要说破。其一，四问的答案必须建立在实测而不是愿景上：统筹能力要用已完工项目的报批周期、变更情况、造价结果去验证（P5019）；风险承受要用资产负债表能消化的最大单笔赔付去验证（P5017）。其二，路径选择是一把手工程：12号文语境下的牵头单位确定、联合体协议条款、风险费计提，都是跨设计、商务、法务、财务的协同决策（P5019）（P5016），交给单一部门去谈，谈出来的多半是下一份纠纷统计（P5020）。</w:t>
      </w:r>
    </w:p>
    <w:p>
      <w:r>
        <w:rPr>
          <w:rFonts w:ascii="Calibri" w:hAnsi="Calibri" w:eastAsia="微软雅黑"/>
          <w:b w:val="0"/>
          <w:i w:val="0"/>
          <w:sz w:val="22"/>
        </w:rPr>
        <w:t>决策树（文字版）：</w:t>
      </w:r>
    </w:p>
    <w:p>
      <w:r>
        <w:rPr>
          <w:rFonts w:ascii="Calibri" w:hAnsi="Calibri" w:eastAsia="微软雅黑"/>
          <w:b w:val="0"/>
          <w:i w:val="0"/>
          <w:sz w:val="22"/>
        </w:rPr>
        <w:t>```</w:t>
      </w:r>
    </w:p>
    <w:p>
      <w:r>
        <w:rPr>
          <w:rFonts w:ascii="Calibri" w:hAnsi="Calibri" w:eastAsia="微软雅黑"/>
          <w:b w:val="0"/>
          <w:i w:val="0"/>
          <w:sz w:val="22"/>
        </w:rPr>
        <w:t>第0问 统筹能力体检（P5019：四大硬性管理实力）</w:t>
      </w:r>
    </w:p>
    <w:p>
      <w:r>
        <w:rPr>
          <w:rFonts w:ascii="Calibri" w:hAnsi="Calibri" w:eastAsia="微软雅黑"/>
          <w:b w:val="0"/>
          <w:i w:val="0"/>
          <w:sz w:val="22"/>
        </w:rPr>
        <w:t>├─ 任一缺失 → 【M1 全过程工程咨询】+ 定向补课</w:t>
      </w:r>
    </w:p>
    <w:p>
      <w:r>
        <w:rPr>
          <w:rFonts w:ascii="Calibri" w:hAnsi="Calibri" w:eastAsia="微软雅黑"/>
          <w:b w:val="0"/>
          <w:i w:val="0"/>
          <w:sz w:val="22"/>
        </w:rPr>
        <w:t>└─ 四项齐备 ↓</w:t>
      </w:r>
    </w:p>
    <w:p>
      <w:r>
        <w:rPr>
          <w:rFonts w:ascii="Calibri" w:hAnsi="Calibri" w:eastAsia="微软雅黑"/>
          <w:b w:val="0"/>
          <w:i w:val="0"/>
          <w:sz w:val="22"/>
        </w:rPr>
        <w:t>第1问 连带风险承受（P5017：2900多万连坐判例）</w:t>
      </w:r>
    </w:p>
    <w:p>
      <w:r>
        <w:rPr>
          <w:rFonts w:ascii="Calibri" w:hAnsi="Calibri" w:eastAsia="微软雅黑"/>
          <w:b w:val="0"/>
          <w:i w:val="0"/>
          <w:sz w:val="22"/>
        </w:rPr>
        <w:t>├─ 承受不了 → 【M1】</w:t>
      </w:r>
    </w:p>
    <w:p>
      <w:r>
        <w:rPr>
          <w:rFonts w:ascii="Calibri" w:hAnsi="Calibri" w:eastAsia="微软雅黑"/>
          <w:b w:val="0"/>
          <w:i w:val="0"/>
          <w:sz w:val="22"/>
        </w:rPr>
        <w:t>└─ 承受得了 ↓</w:t>
      </w:r>
    </w:p>
    <w:p>
      <w:r>
        <w:rPr>
          <w:rFonts w:ascii="Calibri" w:hAnsi="Calibri" w:eastAsia="微软雅黑"/>
          <w:b w:val="0"/>
          <w:i w:val="0"/>
          <w:sz w:val="22"/>
        </w:rPr>
        <w:t>第2问 项目特点 × 设计优势（P5019/P5000/P5018）</w:t>
      </w:r>
    </w:p>
    <w:p>
      <w:r>
        <w:rPr>
          <w:rFonts w:ascii="Calibri" w:hAnsi="Calibri" w:eastAsia="微软雅黑"/>
          <w:b w:val="0"/>
          <w:i w:val="0"/>
          <w:sz w:val="22"/>
        </w:rPr>
        <w:t>├─ 医院、文化类等设计主导型项目 + 自身专项优势 → 【M2 设计牵头联合体】</w:t>
      </w:r>
    </w:p>
    <w:p>
      <w:r>
        <w:rPr>
          <w:rFonts w:ascii="Calibri" w:hAnsi="Calibri" w:eastAsia="微软雅黑"/>
          <w:b w:val="0"/>
          <w:i w:val="0"/>
          <w:sz w:val="22"/>
        </w:rPr>
        <w:t>├─ 一般项目，借船积累业绩 → 【M3 入伙联合体】（追偿与退出条款写死，P5017）</w:t>
      </w:r>
    </w:p>
    <w:p>
      <w:r>
        <w:rPr>
          <w:rFonts w:ascii="Calibri" w:hAnsi="Calibri" w:eastAsia="微软雅黑"/>
          <w:b w:val="0"/>
          <w:i w:val="0"/>
          <w:sz w:val="22"/>
        </w:rPr>
        <w:t>└─ 总承包 = 长期主业 ↓</w:t>
      </w:r>
    </w:p>
    <w:p>
      <w:r>
        <w:rPr>
          <w:rFonts w:ascii="Calibri" w:hAnsi="Calibri" w:eastAsia="微软雅黑"/>
          <w:b w:val="0"/>
          <w:i w:val="0"/>
          <w:sz w:val="22"/>
        </w:rPr>
        <w:t>第3问 资金与战略终局（P5014/P5034）</w:t>
      </w:r>
    </w:p>
    <w:p>
      <w:r>
        <w:rPr>
          <w:rFonts w:ascii="Calibri" w:hAnsi="Calibri" w:eastAsia="微软雅黑"/>
          <w:b w:val="0"/>
          <w:i w:val="0"/>
          <w:sz w:val="22"/>
        </w:rPr>
        <w:t>├─ 有资金实力与融资能力 → 【M5 F+EPC/EOD】（政府主体项目慎入，P5014）</w:t>
      </w:r>
    </w:p>
    <w:p>
      <w:r>
        <w:rPr>
          <w:rFonts w:ascii="Calibri" w:hAnsi="Calibri" w:eastAsia="微软雅黑"/>
          <w:b w:val="0"/>
          <w:i w:val="0"/>
          <w:sz w:val="22"/>
        </w:rPr>
        <w:t>└─ 追求永久总承包能力 → 【M4 法人级一体化】（P5034）</w:t>
      </w:r>
    </w:p>
    <w:p>
      <w:r>
        <w:rPr>
          <w:rFonts w:ascii="Calibri" w:hAnsi="Calibri" w:eastAsia="微软雅黑"/>
          <w:b w:val="0"/>
          <w:i w:val="0"/>
          <w:sz w:val="22"/>
        </w:rPr>
        <w:t>```</w:t>
      </w:r>
    </w:p>
    <w:p>
      <w:r>
        <w:rPr>
          <w:rFonts w:ascii="Calibri" w:hAnsi="Calibri" w:eastAsia="微软雅黑"/>
          <w:b w:val="0"/>
          <w:i w:val="0"/>
          <w:sz w:val="22"/>
        </w:rPr>
        <w:t>签约前还应把8大类风险映射到所选模式，逐项确认防线（P5016）：</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风险类别（P5016）</w:t>
            </w:r>
          </w:p>
        </w:tc>
        <w:tc>
          <w:tcPr>
            <w:tcW w:type="dxa" w:w="2767"/>
            <w:shd w:fill="1F3A5F"/>
          </w:tcPr>
          <w:p>
            <w:r>
              <w:rPr>
                <w:color w:val="FFFFFF"/>
              </w:rPr>
            </w:r>
            <w:r>
              <w:rPr>
                <w:rFonts w:ascii="Calibri" w:hAnsi="Calibri" w:eastAsia="微软雅黑"/>
                <w:b/>
                <w:i w:val="0"/>
                <w:color w:val="FFFFFF"/>
                <w:sz w:val="18"/>
              </w:rPr>
              <w:t>敞口最大的模式</w:t>
            </w:r>
          </w:p>
        </w:tc>
        <w:tc>
          <w:tcPr>
            <w:tcW w:type="dxa" w:w="2767"/>
            <w:shd w:fill="1F3A5F"/>
          </w:tcPr>
          <w:p>
            <w:r>
              <w:rPr>
                <w:color w:val="FFFFFF"/>
              </w:rPr>
            </w:r>
            <w:r>
              <w:rPr>
                <w:rFonts w:ascii="Calibri" w:hAnsi="Calibri" w:eastAsia="微软雅黑"/>
                <w:b/>
                <w:i w:val="0"/>
                <w:color w:val="FFFFFF"/>
                <w:sz w:val="18"/>
              </w:rPr>
              <w:t>第一防线（库内证据）</w:t>
            </w:r>
          </w:p>
        </w:tc>
      </w:tr>
      <w:tr>
        <w:tc>
          <w:tcPr>
            <w:tcW w:type="dxa" w:w="2767"/>
          </w:tcPr>
          <w:p>
            <w:r/>
            <w:r>
              <w:rPr>
                <w:rFonts w:ascii="Calibri" w:hAnsi="Calibri" w:eastAsia="微软雅黑"/>
                <w:b w:val="0"/>
                <w:i w:val="0"/>
                <w:sz w:val="18"/>
              </w:rPr>
              <w:t>自然与社会风险</w:t>
            </w:r>
          </w:p>
        </w:tc>
        <w:tc>
          <w:tcPr>
            <w:tcW w:type="dxa" w:w="2767"/>
          </w:tcPr>
          <w:p>
            <w:r/>
            <w:r>
              <w:rPr>
                <w:rFonts w:ascii="Calibri" w:hAnsi="Calibri" w:eastAsia="微软雅黑"/>
                <w:b w:val="0"/>
                <w:i w:val="0"/>
                <w:sz w:val="18"/>
              </w:rPr>
              <w:t>M2/M4</w:t>
            </w:r>
          </w:p>
        </w:tc>
        <w:tc>
          <w:tcPr>
            <w:tcW w:type="dxa" w:w="2767"/>
          </w:tcPr>
          <w:p>
            <w:r/>
            <w:r>
              <w:rPr>
                <w:rFonts w:ascii="Calibri" w:hAnsi="Calibri" w:eastAsia="微软雅黑"/>
                <w:b w:val="0"/>
                <w:i w:val="0"/>
                <w:sz w:val="18"/>
              </w:rPr>
              <w:t>防灾减灾预案+保险经济补偿；前期手续滞后因素列入合同并建立争议谈判机制（P5016）</w:t>
            </w:r>
          </w:p>
        </w:tc>
      </w:tr>
      <w:tr>
        <w:tc>
          <w:tcPr>
            <w:tcW w:type="dxa" w:w="2767"/>
          </w:tcPr>
          <w:p>
            <w:r/>
            <w:r>
              <w:rPr>
                <w:rFonts w:ascii="Calibri" w:hAnsi="Calibri" w:eastAsia="微软雅黑"/>
                <w:b w:val="0"/>
                <w:i w:val="0"/>
                <w:sz w:val="18"/>
              </w:rPr>
              <w:t>相关方管理风险</w:t>
            </w:r>
          </w:p>
        </w:tc>
        <w:tc>
          <w:tcPr>
            <w:tcW w:type="dxa" w:w="2767"/>
          </w:tcPr>
          <w:p>
            <w:r/>
            <w:r>
              <w:rPr>
                <w:rFonts w:ascii="Calibri" w:hAnsi="Calibri" w:eastAsia="微软雅黑"/>
                <w:b w:val="0"/>
                <w:i w:val="0"/>
                <w:sz w:val="18"/>
              </w:rPr>
              <w:t>M3</w:t>
            </w:r>
          </w:p>
        </w:tc>
        <w:tc>
          <w:tcPr>
            <w:tcW w:type="dxa" w:w="2767"/>
          </w:tcPr>
          <w:p>
            <w:r/>
            <w:r>
              <w:rPr>
                <w:rFonts w:ascii="Calibri" w:hAnsi="Calibri" w:eastAsia="微软雅黑"/>
                <w:b w:val="0"/>
                <w:i w:val="0"/>
                <w:sz w:val="18"/>
              </w:rPr>
              <w:t>联合体协议明确分工与责权利（P5000）；内部追偿与退出机制写死（P5017）</w:t>
            </w:r>
          </w:p>
        </w:tc>
      </w:tr>
      <w:tr>
        <w:tc>
          <w:tcPr>
            <w:tcW w:type="dxa" w:w="2767"/>
          </w:tcPr>
          <w:p>
            <w:r/>
            <w:r>
              <w:rPr>
                <w:rFonts w:ascii="Calibri" w:hAnsi="Calibri" w:eastAsia="微软雅黑"/>
                <w:b w:val="0"/>
                <w:i w:val="0"/>
                <w:sz w:val="18"/>
              </w:rPr>
              <w:t>项目技术风险</w:t>
            </w:r>
          </w:p>
        </w:tc>
        <w:tc>
          <w:tcPr>
            <w:tcW w:type="dxa" w:w="2767"/>
          </w:tcPr>
          <w:p>
            <w:r/>
            <w:r>
              <w:rPr>
                <w:rFonts w:ascii="Calibri" w:hAnsi="Calibri" w:eastAsia="微软雅黑"/>
                <w:b w:val="0"/>
                <w:i w:val="0"/>
                <w:sz w:val="18"/>
              </w:rPr>
              <w:t>M2</w:t>
            </w:r>
          </w:p>
        </w:tc>
        <w:tc>
          <w:tcPr>
            <w:tcW w:type="dxa" w:w="2767"/>
          </w:tcPr>
          <w:p>
            <w:r/>
            <w:r>
              <w:rPr>
                <w:rFonts w:ascii="Calibri" w:hAnsi="Calibri" w:eastAsia="微软雅黑"/>
                <w:b w:val="0"/>
                <w:i w:val="0"/>
                <w:sz w:val="18"/>
              </w:rPr>
              <w:t>设计源头把控质量，设计方案确保各施工环节符合质量标准（P5001）</w:t>
            </w:r>
          </w:p>
        </w:tc>
      </w:tr>
      <w:tr>
        <w:tc>
          <w:tcPr>
            <w:tcW w:type="dxa" w:w="2767"/>
          </w:tcPr>
          <w:p>
            <w:r/>
            <w:r>
              <w:rPr>
                <w:rFonts w:ascii="Calibri" w:hAnsi="Calibri" w:eastAsia="微软雅黑"/>
                <w:b w:val="0"/>
                <w:i w:val="0"/>
                <w:sz w:val="18"/>
              </w:rPr>
              <w:t>项目商务风险</w:t>
            </w:r>
          </w:p>
        </w:tc>
        <w:tc>
          <w:tcPr>
            <w:tcW w:type="dxa" w:w="2767"/>
          </w:tcPr>
          <w:p>
            <w:r/>
            <w:r>
              <w:rPr>
                <w:rFonts w:ascii="Calibri" w:hAnsi="Calibri" w:eastAsia="微软雅黑"/>
                <w:b w:val="0"/>
                <w:i w:val="0"/>
                <w:sz w:val="18"/>
              </w:rPr>
              <w:t>M2/M4</w:t>
            </w:r>
          </w:p>
        </w:tc>
        <w:tc>
          <w:tcPr>
            <w:tcW w:type="dxa" w:w="2767"/>
          </w:tcPr>
          <w:p>
            <w:r/>
            <w:r>
              <w:rPr>
                <w:rFonts w:ascii="Calibri" w:hAnsi="Calibri" w:eastAsia="微软雅黑"/>
                <w:b w:val="0"/>
                <w:i w:val="0"/>
                <w:sz w:val="18"/>
              </w:rPr>
              <w:t>大商务管理体系：全过程成本、合同、变更管控，动态跟踪造价偏差（P5019）</w:t>
            </w:r>
          </w:p>
        </w:tc>
      </w:tr>
      <w:tr>
        <w:tc>
          <w:tcPr>
            <w:tcW w:type="dxa" w:w="2767"/>
          </w:tcPr>
          <w:p>
            <w:r/>
            <w:r>
              <w:rPr>
                <w:rFonts w:ascii="Calibri" w:hAnsi="Calibri" w:eastAsia="微软雅黑"/>
                <w:b w:val="0"/>
                <w:i w:val="0"/>
                <w:sz w:val="18"/>
              </w:rPr>
              <w:t>项目投标风险</w:t>
            </w:r>
          </w:p>
        </w:tc>
        <w:tc>
          <w:tcPr>
            <w:tcW w:type="dxa" w:w="2767"/>
          </w:tcPr>
          <w:p>
            <w:r/>
            <w:r>
              <w:rPr>
                <w:rFonts w:ascii="Calibri" w:hAnsi="Calibri" w:eastAsia="微软雅黑"/>
                <w:b w:val="0"/>
                <w:i w:val="0"/>
                <w:sz w:val="18"/>
              </w:rPr>
              <w:t>M2/M3</w:t>
            </w:r>
          </w:p>
        </w:tc>
        <w:tc>
          <w:tcPr>
            <w:tcW w:type="dxa" w:w="2767"/>
          </w:tcPr>
          <w:p>
            <w:r/>
            <w:r>
              <w:rPr>
                <w:rFonts w:ascii="Calibri" w:hAnsi="Calibri" w:eastAsia="微软雅黑"/>
                <w:b w:val="0"/>
                <w:i w:val="0"/>
                <w:sz w:val="18"/>
              </w:rPr>
              <w:t>标前答疑提清前期资料问题，投标报价计入风险费用（P5016）</w:t>
            </w:r>
          </w:p>
        </w:tc>
      </w:tr>
      <w:tr>
        <w:tc>
          <w:tcPr>
            <w:tcW w:type="dxa" w:w="2767"/>
          </w:tcPr>
          <w:p>
            <w:r/>
            <w:r>
              <w:rPr>
                <w:rFonts w:ascii="Calibri" w:hAnsi="Calibri" w:eastAsia="微软雅黑"/>
                <w:b w:val="0"/>
                <w:i w:val="0"/>
                <w:sz w:val="18"/>
              </w:rPr>
              <w:t>项目设计风险</w:t>
            </w:r>
          </w:p>
        </w:tc>
        <w:tc>
          <w:tcPr>
            <w:tcW w:type="dxa" w:w="2767"/>
          </w:tcPr>
          <w:p>
            <w:r/>
            <w:r>
              <w:rPr>
                <w:rFonts w:ascii="Calibri" w:hAnsi="Calibri" w:eastAsia="微软雅黑"/>
                <w:b w:val="0"/>
                <w:i w:val="0"/>
                <w:sz w:val="18"/>
              </w:rPr>
              <w:t>全部</w:t>
            </w:r>
          </w:p>
        </w:tc>
        <w:tc>
          <w:tcPr>
            <w:tcW w:type="dxa" w:w="2767"/>
          </w:tcPr>
          <w:p>
            <w:r/>
            <w:r>
              <w:rPr>
                <w:rFonts w:ascii="Calibri" w:hAnsi="Calibri" w:eastAsia="微软雅黑"/>
                <w:b w:val="0"/>
                <w:i w:val="0"/>
                <w:sz w:val="18"/>
              </w:rPr>
              <w:t>优化设计与限额设计（P5001）；五层级数据架构保全生命周期唯一可追溯（P5008）</w:t>
            </w:r>
          </w:p>
        </w:tc>
      </w:tr>
      <w:tr>
        <w:tc>
          <w:tcPr>
            <w:tcW w:type="dxa" w:w="2767"/>
          </w:tcPr>
          <w:p>
            <w:r/>
            <w:r>
              <w:rPr>
                <w:rFonts w:ascii="Calibri" w:hAnsi="Calibri" w:eastAsia="微软雅黑"/>
                <w:b w:val="0"/>
                <w:i w:val="0"/>
                <w:sz w:val="18"/>
              </w:rPr>
              <w:t>项目采购风险</w:t>
            </w:r>
          </w:p>
        </w:tc>
        <w:tc>
          <w:tcPr>
            <w:tcW w:type="dxa" w:w="2767"/>
          </w:tcPr>
          <w:p>
            <w:r/>
            <w:r>
              <w:rPr>
                <w:rFonts w:ascii="Calibri" w:hAnsi="Calibri" w:eastAsia="微软雅黑"/>
                <w:b w:val="0"/>
                <w:i w:val="0"/>
                <w:sz w:val="18"/>
              </w:rPr>
              <w:t>M2/M4</w:t>
            </w:r>
          </w:p>
        </w:tc>
        <w:tc>
          <w:tcPr>
            <w:tcW w:type="dxa" w:w="2767"/>
          </w:tcPr>
          <w:p>
            <w:r/>
            <w:r>
              <w:rPr>
                <w:rFonts w:ascii="Calibri" w:hAnsi="Calibri" w:eastAsia="微软雅黑"/>
                <w:b w:val="0"/>
                <w:i w:val="0"/>
                <w:sz w:val="18"/>
              </w:rPr>
              <w:t>设计阶段启动采购预备工作（P5018）；设计-采购协同DPI（P5032）</w:t>
            </w:r>
          </w:p>
        </w:tc>
      </w:tr>
      <w:tr>
        <w:tc>
          <w:tcPr>
            <w:tcW w:type="dxa" w:w="2767"/>
          </w:tcPr>
          <w:p>
            <w:r/>
            <w:r>
              <w:rPr>
                <w:rFonts w:ascii="Calibri" w:hAnsi="Calibri" w:eastAsia="微软雅黑"/>
                <w:b w:val="0"/>
                <w:i w:val="0"/>
                <w:sz w:val="18"/>
              </w:rPr>
              <w:t>项目施工风险</w:t>
            </w:r>
          </w:p>
        </w:tc>
        <w:tc>
          <w:tcPr>
            <w:tcW w:type="dxa" w:w="2767"/>
          </w:tcPr>
          <w:p>
            <w:r/>
            <w:r>
              <w:rPr>
                <w:rFonts w:ascii="Calibri" w:hAnsi="Calibri" w:eastAsia="微软雅黑"/>
                <w:b w:val="0"/>
                <w:i w:val="0"/>
                <w:sz w:val="18"/>
              </w:rPr>
              <w:t>M2/M4</w:t>
            </w:r>
          </w:p>
        </w:tc>
        <w:tc>
          <w:tcPr>
            <w:tcW w:type="dxa" w:w="2767"/>
          </w:tcPr>
          <w:p>
            <w:r/>
            <w:r>
              <w:rPr>
                <w:rFonts w:ascii="Calibri" w:hAnsi="Calibri" w:eastAsia="微软雅黑"/>
                <w:b w:val="0"/>
                <w:i w:val="0"/>
                <w:sz w:val="18"/>
              </w:rPr>
              <w:t>"设计—制造—监造—协同平台"四级深度融合的协同思路（P5008）</w:t>
            </w:r>
          </w:p>
        </w:tc>
      </w:tr>
    </w:tbl>
    <w:p>
      <w:r>
        <w:rPr>
          <w:rFonts w:ascii="Calibri" w:hAnsi="Calibri" w:eastAsia="微软雅黑"/>
          <w:b w:val="0"/>
          <w:i w:val="0"/>
          <w:sz w:val="22"/>
        </w:rPr>
        <w:t>最后是三条使用说明。第一，决策树的输出是"当前阶段主模式"，不是终身判决——M1起家的设计院完全可以在现金流与队伍成熟后升级到M2，再走向M4；路径可以组合，例如M1（现金流底盘）+M3（借船积累总承包业绩）并行，但任何时点都应只有一条主线。第二，任何模式下，联合体协议与合同条款是唯一能事前控制连带风险的工具（P5017），示范文本提供了谈判锚点（P5004）（P5009）。第三，每年用第0问复检一次：统筹能力的四项实力是动态资产，核心骨干流动一次就可能塌掉一项（P5019）；复检不达标的年度，宁可收缩战线回M1，也不要让能力缺口在总承包合同里裸奔。</w:t>
      </w:r>
    </w:p>
    <w:p>
      <w:r>
        <w:rPr>
          <w:rFonts w:ascii="Calibri" w:hAnsi="Calibri" w:eastAsia="微软雅黑"/>
          <w:b w:val="0"/>
          <w:i w:val="0"/>
          <w:sz w:val="22"/>
        </w:rPr>
        <w:t>决策树还可以反向使用：拿三种典型错配当镜子。错配一，统筹能力缺项仍强行牵头——报批报建、一体化设计管理、大商务、全周期风控缺任何一项，都会出现报批与验收冲突、设计与施工脱节、造价管理失控、推诿扯皮（P5019），设计优势救不了管理体系。错配二，现金流薄却挤进M5——F+EPC成本四因素中资金实力与融资模式占其二（P5014），在化债与平台转型的资金纪律下替政府主体项目加杠杆（P5003），等于把设计费利润装进融资风险的口袋。错配三，把M1当终局——全咨取费偏低（P5010）而人才成本刚性，长期停在M1的设计院会同时遭遇利润率与人才流失的双重挤压，最终连咨询市场也会失守；正确姿势是把M1的现金流持续投向第0问的四项能力建设（P5019），让练兵场真正服务于升级。</w:t>
      </w:r>
    </w:p>
    <w:p>
      <w:r>
        <w:rPr>
          <w:rFonts w:ascii="Calibri" w:hAnsi="Calibri" w:eastAsia="微软雅黑"/>
          <w:b w:val="0"/>
          <w:i w:val="0"/>
          <w:sz w:val="22"/>
        </w:rPr>
        <w:t>综合四问与复检机制，管理层可以把本章压缩成一页决策备忘录，每次上会前填一遍：第一栏，统筹能力四项自评结果与证据（P5019）；第二栏，可承受的最大单笔连带赔付与净资产安全线（P5017）；第三栏，目标项目的特点与复杂程度、本院对应专项优势（P5019）（P5018）；第四栏，资金与融资能力对照F+EPC四因素的缺口清单（P5014）；第五栏，所选模式对应的8大类风险防线逐项确认（P5016）。五栏填满，签字才有底气；任何一栏空白，会议就该改期。</w:t>
      </w:r>
    </w:p>
    <w:p>
      <w:r>
        <w:rPr>
          <w:rFonts w:ascii="Calibri" w:hAnsi="Calibri" w:eastAsia="微软雅黑"/>
          <w:b/>
          <w:i w:val="0"/>
          <w:sz w:val="22"/>
        </w:rPr>
        <w:t>所以呢：</w:t>
      </w:r>
      <w:r>
        <w:rPr>
          <w:rFonts w:ascii="Calibri" w:hAnsi="Calibri" w:eastAsia="微软雅黑"/>
          <w:b w:val="0"/>
          <w:i w:val="0"/>
          <w:sz w:val="22"/>
        </w:rPr>
        <w:t xml:space="preserve"> 决策树的价值不在树本身，而在它强迫管理层在签字之前回答两个最难的问题——凭什么由我牵头，赔了我怎么办。这两个问题答得下去，五条路里随便挑一条都能走；答不下去，任何一条路都是别人的盛宴、你的风险。</w:t>
      </w:r>
    </w:p>
    <w:p>
      <w:pPr>
        <w:pStyle w:val="Heading2"/>
      </w:pPr>
      <w:r>
        <w:t>本章小结与盲区</w:t>
      </w:r>
    </w:p>
    <w:p>
      <w:r>
        <w:rPr>
          <w:rFonts w:ascii="Calibri" w:hAnsi="Calibri" w:eastAsia="微软雅黑"/>
          <w:b/>
          <w:i w:val="0"/>
          <w:sz w:val="22"/>
        </w:rPr>
        <w:t>小结：</w:t>
      </w:r>
      <w:r>
        <w:rPr>
          <w:rFonts w:ascii="Calibri" w:hAnsi="Calibri" w:eastAsia="微软雅黑"/>
          <w:b w:val="0"/>
          <w:i w:val="0"/>
          <w:sz w:val="22"/>
        </w:rPr>
        <w:t xml:space="preserve"> 其一，政策已把通道打开——自2016年起多项政策推进EPC工程总承包（P5000），建市规〔2019〕12号允许设计牵头且明确连带责任（P5019），发改投资规〔2019〕515号并行推进全过程工程咨询（P5010）——设计院的真实问题是选风险档位，而不是要不要转。其二，五种模式构成风险与投入的双梯度：M1智力集成风险最低、见效最快；M2与M3共享连带责任外壳（P5019）（P5017），差别在是否掌握75%造价影响力（P5000）所依附的协调主导权；M4法人一体化投入最重但能力最永久（P5034）；M5用融资换主导权，但成本四因素里没有设计（P5014）。其三，判例证据把连带责任量化到2900多万（P5017），EPC相关裁判文书十年增长逾两个数量级（42935÷148，own_calc）（P5020）（P5030）——法律风险是路径选择的一级变量，不是二级变量。其四，决策树四问（统筹能力体检、风险承受、项目匹配、资金与终局）把五种模式收敛为可执行序列，并要求每年复检（P5019）。其五，三种典型错配——统筹缺项强牵头、现金流薄入M5、把M1当终局——与年度复检机制共同构成决策树的安全网（P5019）（P5014）（P5010）。</w:t>
      </w:r>
    </w:p>
    <w:p>
      <w:r>
        <w:rPr>
          <w:rFonts w:ascii="Calibri" w:hAnsi="Calibri" w:eastAsia="微软雅黑"/>
          <w:b/>
          <w:i w:val="0"/>
          <w:sz w:val="22"/>
        </w:rPr>
        <w:t>盲区（证据未覆盖处，如实声明）：</w:t>
      </w:r>
    </w:p>
    <w:p>
      <w:pPr>
        <w:pStyle w:val="ListNumber"/>
      </w:pPr>
      <w:r>
        <w:rPr>
          <w:rFonts w:ascii="Calibri" w:hAnsi="Calibri" w:eastAsia="微软雅黑"/>
          <w:b w:val="0"/>
          <w:i w:val="0"/>
          <w:sz w:val="22"/>
        </w:rPr>
        <w:t>弹药库未提供五种模式在设计院群体中的采用比例、转型成功率或分模式收入对比等行业统计，本章对照表中"见效周期""风险敞口"等评级为基于库内定性证据的判断，无法用市场渗透率数据校准。</w:t>
      </w:r>
    </w:p>
    <w:p>
      <w:pPr>
        <w:pStyle w:val="ListNumber"/>
      </w:pPr>
      <w:r>
        <w:rPr>
          <w:rFonts w:ascii="Calibri" w:hAnsi="Calibri" w:eastAsia="微软雅黑"/>
          <w:b w:val="0"/>
          <w:i w:val="0"/>
          <w:sz w:val="22"/>
        </w:rPr>
        <w:t>裁判文书各年度卷仅抽样收录少量个案全文（如2020卷标注42935篇EPC相关而库内仅见个案，P5020），无法据以测算联合体连带责任判例的发生率与败诉率，"2900多万连坐"（P5017）只能作为个案量级参考，不能外推为平均损失。</w:t>
      </w:r>
    </w:p>
    <w:p>
      <w:pPr>
        <w:pStyle w:val="ListNumber"/>
      </w:pPr>
      <w:r>
        <w:rPr>
          <w:rFonts w:ascii="Calibri" w:hAnsi="Calibri" w:eastAsia="微软雅黑"/>
          <w:b w:val="0"/>
          <w:i w:val="0"/>
          <w:sz w:val="22"/>
        </w:rPr>
        <w:t>中国电建2026年半年度报告（公司代码601669，P5031）在库内仅摘录目录与治理信息，缺少分业务收入细项，无法量化"设计+施工"一体化央企与纯设计院在总承包市场上的收入差距；M4的财务上限只能以核电集采节资率10%（P5032）等单一指标旁证。</w:t>
      </w:r>
    </w:p>
    <w:p>
      <w:pPr>
        <w:pStyle w:val="ListNumber"/>
      </w:pPr>
      <w:r>
        <w:rPr>
          <w:rFonts w:ascii="Calibri" w:hAnsi="Calibri" w:eastAsia="微软雅黑"/>
          <w:b w:val="0"/>
          <w:i w:val="0"/>
          <w:sz w:val="22"/>
        </w:rPr>
        <w:t>全过程工程咨询取费的地方标准（如深圳市南山区发展改革局文件）在库内文本截断（P5010），具体费率数字未收录，本章对M1经济性的讨论只能停留在机制层（叠加法、成本加酬金法、财建〔2016〕504号参照与取费偏低的行业反映，P5010）。</w:t>
      </w:r>
    </w:p>
    <w:p>
      <w:pPr>
        <w:pStyle w:val="ListNumber"/>
      </w:pPr>
      <w:r>
        <w:rPr>
          <w:rFonts w:ascii="Calibri" w:hAnsi="Calibri" w:eastAsia="微软雅黑"/>
          <w:b w:val="0"/>
          <w:i w:val="0"/>
          <w:sz w:val="22"/>
        </w:rPr>
        <w:t>丰城电厂三期事故源文（P5007）为长篇反思录，库内仅存其目录结构，事故伤亡与直接经济损失等数字未收录，本章仅引用其"设计与施工的分离与冲突、组织行为的系统性失效"的模式反思框架（P5007），未对事故量级作任何数字表述。</w:t>
      </w:r>
    </w:p>
    <w:p>
      <w:r>
        <w:rPr>
          <w:rFonts w:ascii="Calibri" w:hAnsi="Calibri" w:eastAsia="微软雅黑"/>
          <w:b w:val="0"/>
          <w:i w:val="0"/>
          <w:sz w:val="22"/>
        </w:rPr>
        <w:t>---</w:t>
      </w:r>
    </w:p>
    <w:p>
      <w:pPr>
        <w:pStyle w:val="Heading1"/>
      </w:pPr>
      <w:r>
        <w:t>第6章 案例库：转型成与败的双向档案</w:t>
      </w:r>
    </w:p>
    <w:p>
      <w:pPr>
        <w:ind w:left="454"/>
      </w:pPr>
      <w:r>
        <w:rPr>
          <w:rFonts w:ascii="Calibri" w:hAnsi="Calibri" w:eastAsia="微软雅黑"/>
          <w:b w:val="0"/>
          <w:i w:val="0"/>
          <w:color w:val="666666"/>
          <w:sz w:val="22"/>
        </w:rPr>
        <w:t>转型最贵的学费，是把别人的失败再交一遍。本章并排摊开两类档案：一侧是走通总承包的设计院与工程公司，一侧是特大事故与海量裁判文书里的失败样本。买方的任务不是复制成功，而是先排雷。</w:t>
      </w:r>
    </w:p>
    <w:p>
      <w:r>
        <w:rPr>
          <w:rFonts w:ascii="Calibri" w:hAnsi="Calibri" w:eastAsia="微软雅黑"/>
          <w:b w:val="0"/>
          <w:i w:val="0"/>
          <w:sz w:val="22"/>
        </w:rPr>
        <w:t>使用说明：本章所有数字均以P锚号溯源至弹药库原文，跨源计算一律标注own_calc；失败、处罚、亏损按中立原则如实呈现，不做修饰。读者可将本章当作对标手册与排雷清单两用——前半部（6.1）用于设定目标曲线，后半部（6.2、6.3）用于划定风险底线，6.4把两侧收拢为可直接带进会议室的机理与十问，6.5再从档案深处翻出治理、资本与规则三条暗线，并收拢为一份尽调核对表；6.6最后做应用层收口——补入五条补充证据与三处案例补深，把双侧档案压成一张可按周执行的转型启动排期表。</w:t>
      </w:r>
    </w:p>
    <w:p>
      <w:pPr>
        <w:pStyle w:val="Heading2"/>
      </w:pPr>
      <w:r>
        <w:t>6.1 成的档案：四类样本与一条共性</w:t>
      </w:r>
    </w:p>
    <w:p>
      <w:r>
        <w:rPr>
          <w:rFonts w:ascii="Calibri" w:hAnsi="Calibri" w:eastAsia="微软雅黑"/>
          <w:b w:val="0"/>
          <w:i w:val="0"/>
          <w:sz w:val="22"/>
        </w:rPr>
        <w:t>转型成功不是一个故事，而是一组可核验的事实链。本节按"国家队天花板—中型院路径—省级院竞标实录—行业横截面"四类样本展开，每一类都给出数字锚点，供管理层对标时直接取用；每小节末尾回答同一个问题：这件事对我们的转型决策意味着什么。</w:t>
      </w:r>
    </w:p>
    <w:p>
      <w:pPr>
        <w:pStyle w:val="Heading3"/>
      </w:pPr>
      <w:r>
        <w:t>6.1.1 核电样本：中核工程与华龙一号——设计主导型EPC的天花板</w:t>
      </w:r>
    </w:p>
    <w:p>
      <w:r>
        <w:rPr>
          <w:rFonts w:ascii="Calibri" w:hAnsi="Calibri" w:eastAsia="微软雅黑"/>
          <w:b w:val="0"/>
          <w:i w:val="0"/>
          <w:sz w:val="22"/>
        </w:rPr>
        <w:t>核电是EPC总承包模式适配度最高的行业，也是检验设计院转型上限的考场。单台核电机组投资通常超过200亿元，建设周期通常5-7年（P6020；P6022）。在这种投资密集度与周期长度下，传统设计、采购、施工分段管理的接口失配风险会被成倍放大。中核工程研究对其劣势有一张五维对照表（P6022）：</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建设特性</w:t>
            </w:r>
          </w:p>
        </w:tc>
        <w:tc>
          <w:tcPr>
            <w:tcW w:type="dxa" w:w="2075"/>
            <w:shd w:fill="1F3A5F"/>
          </w:tcPr>
          <w:p>
            <w:r>
              <w:rPr>
                <w:color w:val="FFFFFF"/>
              </w:rPr>
            </w:r>
            <w:r>
              <w:rPr>
                <w:rFonts w:ascii="Calibri" w:hAnsi="Calibri" w:eastAsia="微软雅黑"/>
                <w:b/>
                <w:i w:val="0"/>
                <w:color w:val="FFFFFF"/>
                <w:sz w:val="18"/>
              </w:rPr>
              <w:t>传统分段模式局限性</w:t>
            </w:r>
          </w:p>
        </w:tc>
        <w:tc>
          <w:tcPr>
            <w:tcW w:type="dxa" w:w="2075"/>
            <w:shd w:fill="1F3A5F"/>
          </w:tcPr>
          <w:p>
            <w:r>
              <w:rPr>
                <w:color w:val="FFFFFF"/>
              </w:rPr>
            </w:r>
            <w:r>
              <w:rPr>
                <w:rFonts w:ascii="Calibri" w:hAnsi="Calibri" w:eastAsia="微软雅黑"/>
                <w:b/>
                <w:i w:val="0"/>
                <w:color w:val="FFFFFF"/>
                <w:sz w:val="18"/>
              </w:rPr>
              <w:t>EPC总承包模式优势</w:t>
            </w:r>
          </w:p>
        </w:tc>
        <w:tc>
          <w:tcPr>
            <w:tcW w:type="dxa" w:w="2075"/>
            <w:shd w:fill="1F3A5F"/>
          </w:tcPr>
          <w:p>
            <w:r>
              <w:rPr>
                <w:color w:val="FFFFFF"/>
              </w:rPr>
            </w:r>
            <w:r>
              <w:rPr>
                <w:rFonts w:ascii="Calibri" w:hAnsi="Calibri" w:eastAsia="微软雅黑"/>
                <w:b/>
                <w:i w:val="0"/>
                <w:color w:val="FFFFFF"/>
                <w:sz w:val="18"/>
              </w:rPr>
              <w:t>战略价值</w:t>
            </w:r>
          </w:p>
        </w:tc>
      </w:tr>
      <w:tr>
        <w:tc>
          <w:tcPr>
            <w:tcW w:type="dxa" w:w="2075"/>
          </w:tcPr>
          <w:p>
            <w:r/>
            <w:r>
              <w:rPr>
                <w:rFonts w:ascii="Calibri" w:hAnsi="Calibri" w:eastAsia="微软雅黑"/>
                <w:b w:val="0"/>
                <w:i w:val="0"/>
                <w:sz w:val="18"/>
              </w:rPr>
              <w:t>投资规模</w:t>
            </w:r>
          </w:p>
        </w:tc>
        <w:tc>
          <w:tcPr>
            <w:tcW w:type="dxa" w:w="2075"/>
          </w:tcPr>
          <w:p>
            <w:r/>
            <w:r>
              <w:rPr>
                <w:rFonts w:ascii="Calibri" w:hAnsi="Calibri" w:eastAsia="微软雅黑"/>
                <w:b w:val="0"/>
                <w:i w:val="0"/>
                <w:sz w:val="18"/>
              </w:rPr>
              <w:t>预算编制与现场施工脱节，易产生"三超"隐患</w:t>
            </w:r>
          </w:p>
        </w:tc>
        <w:tc>
          <w:tcPr>
            <w:tcW w:type="dxa" w:w="2075"/>
          </w:tcPr>
          <w:p>
            <w:r/>
            <w:r>
              <w:rPr>
                <w:rFonts w:ascii="Calibri" w:hAnsi="Calibri" w:eastAsia="微软雅黑"/>
                <w:b w:val="0"/>
                <w:i w:val="0"/>
                <w:sz w:val="18"/>
              </w:rPr>
              <w:t>动态预算调整机制，设计与成本实时联动</w:t>
            </w:r>
          </w:p>
        </w:tc>
        <w:tc>
          <w:tcPr>
            <w:tcW w:type="dxa" w:w="2075"/>
          </w:tcPr>
          <w:p>
            <w:r/>
            <w:r>
              <w:rPr>
                <w:rFonts w:ascii="Calibri" w:hAnsi="Calibri" w:eastAsia="微软雅黑"/>
                <w:b w:val="0"/>
                <w:i w:val="0"/>
                <w:sz w:val="18"/>
              </w:rPr>
              <w:t>提升资金使用效率，降低财务费用</w:t>
            </w:r>
          </w:p>
        </w:tc>
      </w:tr>
      <w:tr>
        <w:tc>
          <w:tcPr>
            <w:tcW w:type="dxa" w:w="2075"/>
          </w:tcPr>
          <w:p>
            <w:r/>
            <w:r>
              <w:rPr>
                <w:rFonts w:ascii="Calibri" w:hAnsi="Calibri" w:eastAsia="微软雅黑"/>
                <w:b w:val="0"/>
                <w:i w:val="0"/>
                <w:sz w:val="18"/>
              </w:rPr>
              <w:t>建设周期</w:t>
            </w:r>
          </w:p>
        </w:tc>
        <w:tc>
          <w:tcPr>
            <w:tcW w:type="dxa" w:w="2075"/>
          </w:tcPr>
          <w:p>
            <w:r/>
            <w:r>
              <w:rPr>
                <w:rFonts w:ascii="Calibri" w:hAnsi="Calibri" w:eastAsia="微软雅黑"/>
                <w:b w:val="0"/>
                <w:i w:val="0"/>
                <w:sz w:val="18"/>
              </w:rPr>
              <w:t>接口协调成本高，关键路径容易受阻</w:t>
            </w:r>
          </w:p>
        </w:tc>
        <w:tc>
          <w:tcPr>
            <w:tcW w:type="dxa" w:w="2075"/>
          </w:tcPr>
          <w:p>
            <w:r/>
            <w:r>
              <w:rPr>
                <w:rFonts w:ascii="Calibri" w:hAnsi="Calibri" w:eastAsia="微软雅黑"/>
                <w:b w:val="0"/>
                <w:i w:val="0"/>
                <w:sz w:val="18"/>
              </w:rPr>
              <w:t>设计-采购-施工一体化，确保里程碑节点确定性</w:t>
            </w:r>
          </w:p>
        </w:tc>
        <w:tc>
          <w:tcPr>
            <w:tcW w:type="dxa" w:w="2075"/>
          </w:tcPr>
          <w:p>
            <w:r/>
            <w:r>
              <w:rPr>
                <w:rFonts w:ascii="Calibri" w:hAnsi="Calibri" w:eastAsia="微软雅黑"/>
                <w:b w:val="0"/>
                <w:i w:val="0"/>
                <w:sz w:val="18"/>
              </w:rPr>
              <w:t>提前商运释放经济效应</w:t>
            </w:r>
          </w:p>
        </w:tc>
      </w:tr>
      <w:tr>
        <w:tc>
          <w:tcPr>
            <w:tcW w:type="dxa" w:w="2075"/>
          </w:tcPr>
          <w:p>
            <w:r/>
            <w:r>
              <w:rPr>
                <w:rFonts w:ascii="Calibri" w:hAnsi="Calibri" w:eastAsia="微软雅黑"/>
                <w:b w:val="0"/>
                <w:i w:val="0"/>
                <w:sz w:val="18"/>
              </w:rPr>
              <w:t>技术要求</w:t>
            </w:r>
          </w:p>
        </w:tc>
        <w:tc>
          <w:tcPr>
            <w:tcW w:type="dxa" w:w="2075"/>
          </w:tcPr>
          <w:p>
            <w:r/>
            <w:r>
              <w:rPr>
                <w:rFonts w:ascii="Calibri" w:hAnsi="Calibri" w:eastAsia="微软雅黑"/>
                <w:b w:val="0"/>
                <w:i w:val="0"/>
                <w:sz w:val="18"/>
              </w:rPr>
              <w:t>设计对施工反馈滞后，现场签证频繁</w:t>
            </w:r>
          </w:p>
        </w:tc>
        <w:tc>
          <w:tcPr>
            <w:tcW w:type="dxa" w:w="2075"/>
          </w:tcPr>
          <w:p>
            <w:r/>
            <w:r>
              <w:rPr>
                <w:rFonts w:ascii="Calibri" w:hAnsi="Calibri" w:eastAsia="微软雅黑"/>
                <w:b w:val="0"/>
                <w:i w:val="0"/>
                <w:sz w:val="18"/>
              </w:rPr>
              <w:t>设计引领采购，关键设备提前介入设计审查</w:t>
            </w:r>
          </w:p>
        </w:tc>
        <w:tc>
          <w:tcPr>
            <w:tcW w:type="dxa" w:w="2075"/>
          </w:tcPr>
          <w:p>
            <w:r/>
            <w:r>
              <w:rPr>
                <w:rFonts w:ascii="Calibri" w:hAnsi="Calibri" w:eastAsia="微软雅黑"/>
                <w:b w:val="0"/>
                <w:i w:val="0"/>
                <w:sz w:val="18"/>
              </w:rPr>
              <w:t>减少无效返工，提升施工顺滑度</w:t>
            </w:r>
          </w:p>
        </w:tc>
      </w:tr>
      <w:tr>
        <w:tc>
          <w:tcPr>
            <w:tcW w:type="dxa" w:w="2075"/>
          </w:tcPr>
          <w:p>
            <w:r/>
            <w:r>
              <w:rPr>
                <w:rFonts w:ascii="Calibri" w:hAnsi="Calibri" w:eastAsia="微软雅黑"/>
                <w:b w:val="0"/>
                <w:i w:val="0"/>
                <w:sz w:val="18"/>
              </w:rPr>
              <w:t>安全标准</w:t>
            </w:r>
          </w:p>
        </w:tc>
        <w:tc>
          <w:tcPr>
            <w:tcW w:type="dxa" w:w="2075"/>
          </w:tcPr>
          <w:p>
            <w:r/>
            <w:r>
              <w:rPr>
                <w:rFonts w:ascii="Calibri" w:hAnsi="Calibri" w:eastAsia="微软雅黑"/>
                <w:b w:val="0"/>
                <w:i w:val="0"/>
                <w:sz w:val="18"/>
              </w:rPr>
              <w:t>质量责任主体分散，追溯链条长</w:t>
            </w:r>
          </w:p>
        </w:tc>
        <w:tc>
          <w:tcPr>
            <w:tcW w:type="dxa" w:w="2075"/>
          </w:tcPr>
          <w:p>
            <w:r/>
            <w:r>
              <w:rPr>
                <w:rFonts w:ascii="Calibri" w:hAnsi="Calibri" w:eastAsia="微软雅黑"/>
                <w:b w:val="0"/>
                <w:i w:val="0"/>
                <w:sz w:val="18"/>
              </w:rPr>
              <w:t>统一质量保证体系，全过程闭环管理</w:t>
            </w:r>
          </w:p>
        </w:tc>
        <w:tc>
          <w:tcPr>
            <w:tcW w:type="dxa" w:w="2075"/>
          </w:tcPr>
          <w:p>
            <w:r/>
            <w:r>
              <w:rPr>
                <w:rFonts w:ascii="Calibri" w:hAnsi="Calibri" w:eastAsia="微软雅黑"/>
                <w:b w:val="0"/>
                <w:i w:val="0"/>
                <w:sz w:val="18"/>
              </w:rPr>
              <w:t>构建"红线"置信度，确保本质安全</w:t>
            </w:r>
          </w:p>
        </w:tc>
      </w:tr>
      <w:tr>
        <w:tc>
          <w:tcPr>
            <w:tcW w:type="dxa" w:w="2075"/>
          </w:tcPr>
          <w:p>
            <w:r/>
            <w:r>
              <w:rPr>
                <w:rFonts w:ascii="Calibri" w:hAnsi="Calibri" w:eastAsia="微软雅黑"/>
                <w:b w:val="0"/>
                <w:i w:val="0"/>
                <w:sz w:val="18"/>
              </w:rPr>
              <w:t>协同效率</w:t>
            </w:r>
          </w:p>
        </w:tc>
        <w:tc>
          <w:tcPr>
            <w:tcW w:type="dxa" w:w="2075"/>
          </w:tcPr>
          <w:p>
            <w:r/>
            <w:r>
              <w:rPr>
                <w:rFonts w:ascii="Calibri" w:hAnsi="Calibri" w:eastAsia="微软雅黑"/>
                <w:b w:val="0"/>
                <w:i w:val="0"/>
                <w:sz w:val="18"/>
              </w:rPr>
              <w:t>"部门墙"导致信息衰减</w:t>
            </w:r>
          </w:p>
        </w:tc>
        <w:tc>
          <w:tcPr>
            <w:tcW w:type="dxa" w:w="2075"/>
          </w:tcPr>
          <w:p>
            <w:r/>
            <w:r>
              <w:rPr>
                <w:rFonts w:ascii="Calibri" w:hAnsi="Calibri" w:eastAsia="微软雅黑"/>
                <w:b w:val="0"/>
                <w:i w:val="0"/>
                <w:sz w:val="18"/>
              </w:rPr>
              <w:t>数字化协同平台，打破专业壁垒</w:t>
            </w:r>
          </w:p>
        </w:tc>
        <w:tc>
          <w:tcPr>
            <w:tcW w:type="dxa" w:w="2075"/>
          </w:tcPr>
          <w:p>
            <w:r/>
            <w:r>
              <w:rPr>
                <w:rFonts w:ascii="Calibri" w:hAnsi="Calibri" w:eastAsia="微软雅黑"/>
                <w:b w:val="0"/>
                <w:i w:val="0"/>
                <w:sz w:val="18"/>
              </w:rPr>
              <w:t>缩短管理半径，实现降本增效</w:t>
            </w:r>
          </w:p>
        </w:tc>
      </w:tr>
    </w:tbl>
    <w:p>
      <w:r>
        <w:rPr>
          <w:rFonts w:ascii="Calibri" w:hAnsi="Calibri" w:eastAsia="微软雅黑"/>
          <w:b w:val="0"/>
          <w:i w:val="0"/>
          <w:sz w:val="22"/>
        </w:rPr>
        <w:t>（表源：P6022）</w:t>
      </w:r>
    </w:p>
    <w:p>
      <w:r>
        <w:rPr>
          <w:rFonts w:ascii="Calibri" w:hAnsi="Calibri" w:eastAsia="微软雅黑"/>
          <w:b w:val="0"/>
          <w:i w:val="0"/>
          <w:sz w:val="22"/>
        </w:rPr>
        <w:t>这张表的买方读法：左列是设计院留在原地要继续付的"分段税"，中列是总承包商的收费理由，右列是向业主证明溢价的抓手。战略窗口也足够长——按"十三五"规划，中国确立了2030年成为世界最大"核能强国"的目标（P6022）。</w:t>
      </w:r>
    </w:p>
    <w:p>
      <w:r>
        <w:rPr>
          <w:rFonts w:ascii="Calibri" w:hAnsi="Calibri" w:eastAsia="微软雅黑"/>
          <w:b w:val="0"/>
          <w:i w:val="0"/>
          <w:sz w:val="22"/>
        </w:rPr>
        <w:t>中核工程的答卷以"穹顶吊装"这一一级里程碑节点为象征：它既是核电建设从土建阶段全面转向设备安装阶段的标志，也是衡量总承包商统筹协调与集成管理能力的核心指标（P6022；P6001）。华龙一号机组安全壳钢衬里穹顶呈典型半球形壳体结构，由6mm厚的P265GH钢板及其外侧焊接的Q235B角钢（规格含∠75×50×6与∠200×125×12）共同组成，是钢衬里施工中整体吊装就位的最大构件（P6001）。总承包商中国核电工程有限公司在实战中彻底背离传统线性施工模式，改用并行集成逻辑，六大主线深度协同：反应堆厂房砼结构须在吊装前完成全部内部结构施工并预留材料导出时间，筒体砼精准施工至23层（标高43.54m）；钢衬里工程涵盖筒体施工至12层（标高44.83m）及穹顶壁板预制、组对焊接与吊点安装；环吊超规超重部件的到场卸货与地面组装须配合2000吨或3200吨级大型起重机联合作业；设备闸门内封头的提升机构平台及卷扬机安装是吊装就位的刚性先决条件；狭窄厂址（尤其依山而建项目）下须动态规划环吊、龙门架、设备闸门、起重机站位与地下沟道施工的交叉作业区；并创新性地在地面拼装阶段完成穹顶内通风管道、电仪托盘及支架预装，减少高空作业风险并缩短后续工期（P6001）。</w:t>
      </w:r>
    </w:p>
    <w:p>
      <w:r>
        <w:rPr>
          <w:rFonts w:ascii="Calibri" w:hAnsi="Calibri" w:eastAsia="微软雅黑"/>
          <w:b w:val="0"/>
          <w:i w:val="0"/>
          <w:sz w:val="22"/>
        </w:rPr>
        <w:t>结果可量化：以华龙一号宁德示范工程为例，穹顶吊装较计划提前35天完成，土建与安装的接口转换效率提升20%，施工成本降低15%（P6001）。顺带一提证据纪律：这组效果数据的出处被标注到一份具体的工时效率管理文档（P6001），而不是笼统的"据公司介绍"——买方在采信任何转型绩效数字时，应当要求同等级别的出处颗粒度。</w:t>
      </w:r>
    </w:p>
    <w:p>
      <w:r>
        <w:rPr>
          <w:rFonts w:ascii="Calibri" w:hAnsi="Calibri" w:eastAsia="微软雅黑"/>
          <w:b w:val="0"/>
          <w:i w:val="0"/>
          <w:sz w:val="22"/>
        </w:rPr>
        <w:t>对决策者的翻译是：总承包商靠重构施工逻辑而非压榨必要工序，同时拿到了进度与成本的双重红利——这是总承包商可以向业主持续要价的合规利润源。</w:t>
      </w:r>
    </w:p>
    <w:p>
      <w:r>
        <w:rPr>
          <w:rFonts w:ascii="Calibri" w:hAnsi="Calibri" w:eastAsia="微软雅黑"/>
          <w:b w:val="0"/>
          <w:i w:val="0"/>
          <w:sz w:val="22"/>
        </w:rPr>
        <w:t>支撑这一结果的是两套底层能力。其一是设计对象化：依托Engineering Base（EB）软件构建"项目号-对象分类单元-机组号-设备单元-系统号"五层数据架构，把材质、重量、载荷、质保等级固化为设计对象的结构化属性，实现从二维图纸到三维实物的无损映射（P6020）；基于EB的数字化结构化设计可自动生成清单，统计效率提升80%以上，而传统模式需人工逐张查图统计、易错率高（P6021）。对象化的价值在仪控安装设计上最能看清：这类设计涉及上千种仪表、仪表架及数百种大宗材料，数据分散在孤立文档中时极易出现设计修改不同步、材料错买漏买的"人因失效"；漳州1#、2#机组项目的做法是建立"一个仪表对应一个标准"的强关联，把材料（碳钢/不锈钢）、重量（精确到kg）、抗震等级、接口类型（如4-20mA）固化为对象的结构化属性，并确保大宗材料数据在全生命周期内唯一、可追溯（P6021）。配套的是"一软、一网、一硬、一平台"智能工程生态，实现三维设计"虚拟建造"与智慧工地数据"实时说话"（P6020）。其二是供应链与质量体系：中核工程通过推进多项目批量化采购，2023年在二级集采项目中节资率达10%（P6000）；华龙一号蒸汽发生器智能制造与东方重机实践了"设计—制造—监造—协同平台"四个层级的深度融合及"九大场景"下的技术创新应用（P6021）；管理上以"六大控制七个零"高质量精细化管控体系把核电工程管理从经验驱动升维至体系驱动（P6020），并引入P-D-Q-I四维度风险评价模型与区块链透明化机制保障分包商合同履约、降低资金占用成本（P6021）。这套能力最终沉淀为方法论资产：仅其一份终稿报告即成14章，引用323/387条经真实性校验（P6000），执行摘要对其跨越的概括是——从"技术支撑者"到"核电建设全生命周期价值创造者"、从单一项目管理向多项目协同管控、从文档驱动向对象驱动的质变（P6000）。</w:t>
      </w:r>
    </w:p>
    <w:p>
      <w:r>
        <w:rPr>
          <w:rFonts w:ascii="Calibri" w:hAnsi="Calibri" w:eastAsia="微软雅黑"/>
          <w:b w:val="0"/>
          <w:i w:val="0"/>
          <w:sz w:val="22"/>
        </w:rPr>
        <w:t>这份终稿的执行摘要还交代了这套能力的完整拼图，每一条都对转型设计院有映射价值。采购侧，核电设备采购具有"三高一长"特征，中核工程以"设计-采购协同（DPI）＋长周期设备管控＋国产化供应链＋核级质量保证"四位一体体系实现从图纸到现实的转化（P6000）。管控侧，通过体系化管理、风险评估及数字化手段，实现对核电工程"进度、费用、质量、安全"四个核心维度的精准控制（P6000）；建造阶段以结构化风险防控体系、精细化测量与接口管理、数字化设计工具及严格的现场签证机制守住安全、质量与进度目标（P6000）；合同商务侧以精细化的合同管理、财务管控及风险评估体系保障项目目标实现（P6000）。组织侧，从单一项目管理向多项目协同管控跨越，破解接口复杂、风险高企、数量庞大的难题（P6000）；多项目并行下则以基于证据可靠分级的多维度标杆矩阵，实现资源集约化与风险精准化（P6000）。调试移交侧，通过数字化交付与AHP量化分析等手段，完成质量管理从"事后监督"向"主动防御"的转型（P6000）。</w:t>
      </w:r>
    </w:p>
    <w:p>
      <w:r>
        <w:rPr>
          <w:rFonts w:ascii="Calibri" w:hAnsi="Calibri" w:eastAsia="微软雅黑"/>
          <w:b w:val="0"/>
          <w:i w:val="0"/>
          <w:sz w:val="22"/>
        </w:rPr>
        <w:t>更有分量的是它的自我定位：中核工程将长期EPC实践中形成的硬核能力转化为可复制、可迁移的管理方法论，为高端装备制造业提供工业化与数字化深度融合的典型样板（P6000）。注意这个措辞——被对标的对象不是同行核电公司，而是高端装备制造业。这提示买方：设计院转型输出的终局产品不是产能，而是一套可迁移的工程管理方法论。</w:t>
      </w:r>
    </w:p>
    <w:p>
      <w:r>
        <w:rPr>
          <w:rFonts w:ascii="Calibri" w:hAnsi="Calibri" w:eastAsia="微软雅黑"/>
          <w:b w:val="0"/>
          <w:i w:val="0"/>
          <w:sz w:val="22"/>
        </w:rPr>
        <w:t>所以呢：核电样本的门槛（单台机组投资超200亿元、周期5-7年，P6020）绝大多数设计院不可复制，但其盈利机制可以拆借——设计对象化压缩接口损耗、里程碑重构赚取进度红利、批量化集采赚取价格红利。三者的共同前提是设计真正处于主导地位，而不是把施工管理外包给"熟人"。</w:t>
      </w:r>
    </w:p>
    <w:p>
      <w:pPr>
        <w:pStyle w:val="Heading3"/>
      </w:pPr>
      <w:r>
        <w:t>6.1.2 装备工业样本：中机国际——用数智底座把"干完才知道盈亏"改成全过程穿透</w:t>
      </w:r>
    </w:p>
    <w:p>
      <w:r>
        <w:rPr>
          <w:rFonts w:ascii="Calibri" w:hAnsi="Calibri" w:eastAsia="微软雅黑"/>
          <w:b w:val="0"/>
          <w:i w:val="0"/>
          <w:sz w:val="22"/>
        </w:rPr>
        <w:t>中机国际工程设计研究院有限责任公司（前身为机械工业部第八设计研究院，1951年创建，总部位于长沙）代表中型综合设计院的转型路径（P6029）。先看家底：现有员工2400余人、覆盖30多个专业类别，拥有各类国家注册师及高级专家700余人；累计完成20000余项国内外工程设计、取得500余项科研成果，获国家科技奖10余项、省部级科技奖三十余项、优秀勘察设计奖350余项，拥有专利/专有技术/软著300余项，主/参编国家与行业技术标准规范240余项（P6029）。资质上坐拥机械、建筑、市政、军工、冶金、轻纺、风景园林、环境工程8个行业甲级设计资质，以及市政公用工程施工总承包一级、环保工程专业承包一级，多年连续上榜ENR/《建筑时报》"中国工程设计企业60强"（P6029）。其转型本质被概括为：从"卖图纸服务"向"全产业链集成与全生命周期价值交付"重构，以"研发—设计—总包"生态链为龙头，用设计端的精准算账和技术方案优化锁定下游采购与施工成本（P6029）。</w:t>
      </w:r>
    </w:p>
    <w:p>
      <w:r>
        <w:rPr>
          <w:rFonts w:ascii="Calibri" w:hAnsi="Calibri" w:eastAsia="微软雅黑"/>
          <w:b w:val="0"/>
          <w:i w:val="0"/>
          <w:sz w:val="22"/>
        </w:rPr>
        <w:t>真正值得买方抄的是它的管控范式：通过全面引入用友BIP统一数智底座，建立"1344"数智化指导框架（1个数智设计院愿景、3大目标、4大抓手），落地全过程权责发生制考核（P6029；P6034）。这一步直接改变了传统设计院干EPC"干完才知道盈亏"的被动局面，把风控规则与国资穿透监管嵌入立项、招投标、采购及资金全流程（P6029）——换言之，它是先造仪表盘，再踩油门。</w:t>
      </w:r>
    </w:p>
    <w:p>
      <w:r>
        <w:rPr>
          <w:rFonts w:ascii="Calibri" w:hAnsi="Calibri" w:eastAsia="微软雅黑"/>
          <w:b w:val="0"/>
          <w:i w:val="0"/>
          <w:sz w:val="22"/>
        </w:rPr>
        <w:t>项目实证分三个层次。大体量商务履约：协鑫新能源开封禹王台120MW农光互补EPC项目签约总代价逾八亿元，工期100个历日，设定10%-80%-5%-5%付款节点并引入供应商直付委托书（P6034）。高能效多能互补：澄迈能源站年发电逾八千五百八十兆瓦时、供冷21705GJ/a，综合能源利用率达83.6%以上，对照行业传统分布式能源站平均综合效率约65%-70%（P6034）。复杂特种工业与城市更新：18000kW电动机试验系统历时2年（含5个月试运行），潍柴试验台支持5000kW并网，填补国内大功率特种动力测试平台EPC技术空白；喀什完整社区EPC覆盖7个街道、45个小区，改造便民设施1.46万㎡，为南疆首个牵头标杆EPC（P6034）。标准侧它还主编国家标准《低压配电技术标准》（GB/T 50054-2025）并启动中译英，推动中国标准与IEC国际标准接轨，以"标准出海"破除对外工程承包的技术标准壁垒（P6029）。值得注意的还有其数据纪律：相关研究成果明示数据截止2026年10月04日（P6034）——对付费买报告的决策者而言，时效声明本身就是交付质量的一部分。</w:t>
      </w:r>
    </w:p>
    <w:p>
      <w:r>
        <w:rPr>
          <w:rFonts w:ascii="Calibri" w:hAnsi="Calibri" w:eastAsia="微软雅黑"/>
          <w:b w:val="0"/>
          <w:i w:val="0"/>
          <w:sz w:val="22"/>
        </w:rPr>
        <w:t>若把中机国际的转型拆成可复制的四个维度，其知识炼金成果给出了现成的框架：战略定位与模式转型、组织资质与能力支撑、数智化管控与穿透机制、市场拓展与项目履约——四维相互独立、共同穷尽（P6029）。对应四条论断：转型本质论（从事业单位式设计院到"精专化、一体化、全程化"的工程公司）、驱动引擎论（研发—设计—总包生态链，在复杂地质处理、绿色低碳建造、分布式能源系统集成及大功率特种测试等领域形成技术门槛）、管控范式论（用友BIP底座上的主动穿透）、标准国际化论（以标准出海破壁）（P6029）。技术门槛清单尤其值得抄录：这四个领域正是设计院区别于施工企业的"护城河候选名单"——施工企业可以买设备，买不来这四类技术判断力。</w:t>
      </w:r>
    </w:p>
    <w:p>
      <w:r>
        <w:rPr>
          <w:rFonts w:ascii="Calibri" w:hAnsi="Calibri" w:eastAsia="微软雅黑"/>
          <w:b w:val="0"/>
          <w:i w:val="0"/>
          <w:sz w:val="22"/>
        </w:rPr>
        <w:t>所以呢：中机国际的答案不是"养施工队伍"，而是三件事——以设计优化锁定采购施工成本、以付款节点与供应商直付机制控现金流、以标准外译打开国际市场。对同体量设计院，这套组合的迁移成本远低于自建施工能力，且每一步都留有审计痕迹。</w:t>
      </w:r>
    </w:p>
    <w:p>
      <w:pPr>
        <w:pStyle w:val="Heading3"/>
      </w:pPr>
      <w:r>
        <w:t>6.1.3 省级电力设计院样本：安徽院的竞标败仗——转型红利已进入毫米级竞争</w:t>
      </w:r>
    </w:p>
    <w:p>
      <w:r>
        <w:rPr>
          <w:rFonts w:ascii="Calibri" w:hAnsi="Calibri" w:eastAsia="微软雅黑"/>
          <w:b w:val="0"/>
          <w:i w:val="0"/>
          <w:sz w:val="22"/>
        </w:rPr>
        <w:t>省级设计院的转型战场在竞标台上，而竞标档案往往比宣传稿诚实。江苏利港电厂220kV升压站改建项目EPC总承包招标中，安徽院投标总报价约1.8415亿元，位列第二中标候选人；第一中标候选人江苏省电力设计院报价约1.7988亿元，两者价差427.0297万元（P6030）——同一大体系内两家设计院，在同等EPC招标范围下的竞价已到这个精度。该标的总承包范围涵盖工程勘察、初步设计及施工图设计、设计文件评审、设备与材料采购、建筑安装工程施工、试验调试、试运行与消缺交付（P6030），是典型的全链条交钥匙范围。</w:t>
      </w:r>
    </w:p>
    <w:p>
      <w:r>
        <w:rPr>
          <w:rFonts w:ascii="Calibri" w:hAnsi="Calibri" w:eastAsia="微软雅黑"/>
          <w:b w:val="0"/>
          <w:i w:val="0"/>
          <w:sz w:val="22"/>
        </w:rPr>
        <w:t>安徽院的战略姿态在其档案里写得明白：EPC总承包已被确立为参与市场竞争与生存发展的核心战略，在中国能建集团创建国际一流工程公司的战略主导下，打破传统电力勘察设计企业的单一业务边界，全面推动自身向以总承包业务为主、综合实力强的电力工程公司跨越；路径上更新全员经营观念、改革传统生产组织方式、发挥设计在工程总承包中的龙头引导作用，并在前期咨询与具体EPC工程项目中验证了转型路径的有效性（P6030）。面对设计院传统上在施工现场管理和大宗设备采办经验上的不足，其补短板方案是"优势互补、强强联合"——与强力施工企业或资源方联合，同时推行人才引进与激励创新机制、培养复合型工程管理人才（P6030）。项目储备侧，与其竞标相关的广西灵山苏屋岭风电场项目规划总装机容量50MW、拟安装8台单机容量6.25MW的风电机组（P6030）。</w:t>
      </w:r>
    </w:p>
    <w:p>
      <w:r>
        <w:rPr>
          <w:rFonts w:ascii="Calibri" w:hAnsi="Calibri" w:eastAsia="微软雅黑"/>
          <w:b w:val="0"/>
          <w:i w:val="0"/>
          <w:sz w:val="22"/>
        </w:rPr>
        <w:t>同量级的上海电力设计院则显示了这个层级的另一面：其一二次融合成套柱上断路器、配电箱-JP柜产品在内的2个标包，中标总金额达2640万元，占公司2023年全年营业收入的4.09%（P6025）——单笔配电级订单即可撬动全年营收结构，说明中型院的营收池仍薄，转型期每一标都直接写在报表上。</w:t>
      </w:r>
    </w:p>
    <w:p>
      <w:r>
        <w:rPr>
          <w:rFonts w:ascii="Calibri" w:hAnsi="Calibri" w:eastAsia="微软雅黑"/>
          <w:b w:val="0"/>
          <w:i w:val="0"/>
          <w:sz w:val="22"/>
        </w:rPr>
        <w:t>还有一层商业含义容易被略过：第二中标候选人不是废纸。安徽院以1.8415亿元的全链条交钥匙报价进入候选序列（P6030），意味着其勘察、设计、采购、施工、调试、试运行与消缺交付的全流程能力已通过招标综合评审的检验（P6030）——输掉的标也沉淀了可复用的报价数据库与评审反馈，这是竞标档案比宣传稿诚实的原因，也是转型企业应当系统归档每一步竞标资料的理由。</w:t>
      </w:r>
    </w:p>
    <w:p>
      <w:r>
        <w:rPr>
          <w:rFonts w:ascii="Calibri" w:hAnsi="Calibri" w:eastAsia="微软雅黑"/>
          <w:b w:val="0"/>
          <w:i w:val="0"/>
          <w:sz w:val="22"/>
        </w:rPr>
        <w:t>所以呢：省级院的竞争已不是"要不要转"，而是"转了之后拿什么赢"。同业价差427.0297万元（P6030）意味着报价策略空间几乎归零，胜负手转向设计深化带来的成本曲线下移、联合体的履约信用，以及把"龙头设计"从口号变成招标评分项的兑现能力。</w:t>
      </w:r>
    </w:p>
    <w:p>
      <w:pPr>
        <w:pStyle w:val="Heading3"/>
      </w:pPr>
      <w:r>
        <w:t>6.1.4 行业横截面：大盘曲线、中标地理与国际对标</w:t>
      </w:r>
    </w:p>
    <w:p>
      <w:r>
        <w:rPr>
          <w:rFonts w:ascii="Calibri" w:hAnsi="Calibri" w:eastAsia="微软雅黑"/>
          <w:b w:val="0"/>
          <w:i w:val="0"/>
          <w:sz w:val="22"/>
        </w:rPr>
        <w:t>把单点样本拉开成行业曲线，转型的群体性一目了然。中国电力工程顾问集团公司（中电工程）从2003年至2013年总承包项目合同额累计1419亿元，每年总承包合同额占当年合同总额的比例从23%上升到83%；其中2011年至2013年总承包合同额累计708亿元，三年年均增长幅度达66%（P6023）。这条"23%→83%"的十年曲线，是设计院群体转型最硬的行业级证词：总承包从补充业务变成主干业务，用了十年。</w:t>
      </w:r>
    </w:p>
    <w:p>
      <w:r>
        <w:rPr>
          <w:rFonts w:ascii="Calibri" w:hAnsi="Calibri" w:eastAsia="微软雅黑"/>
          <w:b w:val="0"/>
          <w:i w:val="0"/>
          <w:sz w:val="22"/>
        </w:rPr>
        <w:t>微观中标面同样密集。永福股份公告中标云南玉溪玉昆钢铁集团有限公司产能置换升级改造供电项目的220kV玉昆变电站和配套7座110kV变电站两个EPC工程总承包项目，中标总金额4.25亿元，占其2020年度经审计总承包工程业务营业收入6.3亿元的67.7974%（P6023）。中交四航院承接的广东石化2000万吨/年原油炼化一体化项目配套终端工程，建设5000至10万吨级泊位13个，是其一次性建成泊位最多、项目合同额最大的EPC总承包项目（P6023）。需求侧业主体量也足够醒目：截至2025年底，国家能源集团总资产2.35万亿元、员工31万人，是全球最大的煤炭产销、火力发电、风力发电、煤制油煤化工企业（P6023）。新增园区场景同样在放量：内蒙古和林格尔新区成立于2017年2月、规划控制面积496平方公里，2025年新区营业收入512.12亿元、同比增长24.6%（P6027）。</w:t>
      </w:r>
    </w:p>
    <w:p>
      <w:r>
        <w:rPr>
          <w:rFonts w:ascii="Calibri" w:hAnsi="Calibri" w:eastAsia="微软雅黑"/>
          <w:b w:val="0"/>
          <w:i w:val="0"/>
          <w:sz w:val="22"/>
        </w:rPr>
        <w:t>出海坐标提示另一种复杂度。2026年1-8月我国对外承包工程业务完成营业额7937.1亿元人民币，同比增长5.8%（以美元计为1156.1亿美元，增长9.9%）；但新签合同额11763.2亿元人民币，下降3.0%（以美元计为1713.4亿美元，增长0.7%）（P6027）。截至2025年末，我国在境外设立企业5.8万家、遍布189个国家和地区，境外企业从业员工总数476.1万人，其中雇用外方员工296.5万人（P6027）。国际对标方面，Jacobs总体营收在2015-2017年呈下降趋势，2018年因完成CH2M收购，营业收入增长至149.9亿美元、相比2017年增长48.1%；2019年受ECR业务出售影响净利润增长至8.7亿美元，2020年有所下降（P6027）——国际工程公司的成长同样依赖并购与业务重组，而非线性内生。本土体量坐标：中国铁道建筑集团有限公司成立于1990年8月28日，注册资本135.8亿元，员工逾三十万人（P6025）。</w:t>
      </w:r>
    </w:p>
    <w:p>
      <w:r>
        <w:rPr>
          <w:rFonts w:ascii="Calibri" w:hAnsi="Calibri" w:eastAsia="微软雅黑"/>
          <w:b w:val="0"/>
          <w:i w:val="0"/>
          <w:sz w:val="22"/>
        </w:rPr>
        <w:t>市场地理分布上，五家设计院研究项目的洞察包合计聚合中标语料943份（own_calc：237+215+187+163+141=943）：中国电子工程设计院237份、覆盖31省份，强区前三为湖南（213）、北京（203）、海南（117）（P6023）；湖南省电力设计院215份、覆盖31省份，强区为湖南（235）、北京（182）、浙江（171）（P6024）；上海电力设计院187份、覆盖31省份，强区为四川（282）、上海（226）、北京（116）（P6025）；山西省电力勘测设计院163份、覆盖30省份，强区为山西（166）、上海（82）、北京（58）（P6027）；安徽省电力设计院141份、覆盖31省份，强区为北京（69）、上海（66）、安徽（60）（P6028）。这些洞察包的底层证据底盘同样可核验：电子院803份文档（P6023），湖南院721份文档（P6024），上海院705份文档（P6025），山西院665份文档（P6027），安徽院667份文档（P6028），合计3561份（own_calc：803+721+705+665+667=3561）。时间钻探上，电子院洞察包标注"疑似拐点2025（信息密度2→6）"（P6023），湖南院洞察包标注"疑似拐点2025（信息密度7→12）"（P6024）——两条独立产线都指向2025年前后行业信息密度的跳升，与新能源与更新场景的放量互为印证。</w:t>
      </w:r>
    </w:p>
    <w:p>
      <w:r>
        <w:rPr>
          <w:rFonts w:ascii="Calibri" w:hAnsi="Calibri" w:eastAsia="微软雅黑"/>
          <w:b w:val="0"/>
          <w:i w:val="0"/>
          <w:sz w:val="22"/>
        </w:rPr>
        <w:t>所以呢：行业曲线证明转型是群体行为而非个体冒险；但对外新签合同额下降3.0%（P6027）叠加国内同业427.0297万元的价差（P6030），说明"转了不一定活得好"。增量窗口在新能源、能效与城市更新场景——澄迈能源站83.6%的综合能源利用率与喀什1.46万㎡社区改造都是注脚（P6034）。</w:t>
      </w:r>
    </w:p>
    <w:p>
      <w:pPr>
        <w:pStyle w:val="Heading3"/>
      </w:pPr>
      <w:r>
        <w:t>6.1.5 成功档案的边界：哪些数字不能外推</w:t>
      </w:r>
    </w:p>
    <w:p>
      <w:r>
        <w:rPr>
          <w:rFonts w:ascii="Calibri" w:hAnsi="Calibri" w:eastAsia="微软雅黑"/>
          <w:b w:val="0"/>
          <w:i w:val="0"/>
          <w:sz w:val="22"/>
        </w:rPr>
        <w:t>买方最容易犯的错误，是把成功样本的数字直接搬进自己的商业计划书。三个边界必须先划清。</w:t>
      </w:r>
    </w:p>
    <w:p>
      <w:r>
        <w:rPr>
          <w:rFonts w:ascii="Calibri" w:hAnsi="Calibri" w:eastAsia="微软雅黑"/>
          <w:b w:val="0"/>
          <w:i w:val="0"/>
          <w:sz w:val="22"/>
        </w:rPr>
        <w:t>边界一：规模锁死的数字。单台机组投资超200亿元、建设周期5-7年（P6020）对应的融资能力、国家信用与核安全监管环境，是一般设计院无法复制的边界条件；同理，2000吨或3200吨级起重机的联合作业（P6001）背后是重资产资源动员能力。这类数字应当作"行业天花板展示"，而非自身目标。</w:t>
      </w:r>
    </w:p>
    <w:p>
      <w:r>
        <w:rPr>
          <w:rFonts w:ascii="Calibri" w:hAnsi="Calibri" w:eastAsia="微软雅黑"/>
          <w:b w:val="0"/>
          <w:i w:val="0"/>
          <w:sz w:val="22"/>
        </w:rPr>
        <w:t>边界二：体系复利锁死的数字。统计效率提升80%以上（P6021）、集采节资率10%（P6000）、接口转换效率提升20%、施工成本降低15%（P6001），全部产生于长期体系运转之后——EB五层数据架构（P6020）、"六大控制七个零"（P6020）、批量化采购机制（P6000）是前置投入。把结果数字抄走而不抄体系，等于摘果不种树。</w:t>
      </w:r>
    </w:p>
    <w:p>
      <w:r>
        <w:rPr>
          <w:rFonts w:ascii="Calibri" w:hAnsi="Calibri" w:eastAsia="微软雅黑"/>
          <w:b w:val="0"/>
          <w:i w:val="0"/>
          <w:sz w:val="22"/>
        </w:rPr>
        <w:t>边界三：细分市场锁死的数字。澄迈能源站83.6%以上的综合能源利用率对照的是分布式能源站约65%-70%的行业均值（P6034），这个溢价的成立条件是特定的负荷结构与多能互补配置；中机国际开封项目敢于设计10%-80%-5%-5%的付款节点（P6034），底气来自协鑫新能源这类上市业主（00451.HK）的信用与联合公告机制（P6034）。业主结构与场景不同，同样的条款设计可能直接违约。</w:t>
      </w:r>
    </w:p>
    <w:p>
      <w:r>
        <w:rPr>
          <w:rFonts w:ascii="Calibri" w:hAnsi="Calibri" w:eastAsia="微软雅黑"/>
          <w:b w:val="0"/>
          <w:i w:val="0"/>
          <w:sz w:val="22"/>
        </w:rPr>
        <w:t>三条边界之后还剩一个可迁移的全体集合：清单化的证据纪律本身。成功样本无一例外把绩效数字挂在可核验的出处上——穹顶数据标注到具体工时效率管理文档（P6001），洞察包逐条证据标注来源文件并声明"全部结论由规则抽取、无模型生成内容"（P6023），中机国际成果明示数据截止日期（P6034）。买方在做转型尽调时，可以把"对方能否提供同等级别的出处颗粒度"当作第一道过滤器：连成功案例都说不清数据来源的合作方，其失败案例只会更说不清。</w:t>
      </w:r>
    </w:p>
    <w:p>
      <w:r>
        <w:rPr>
          <w:rFonts w:ascii="Calibri" w:hAnsi="Calibri" w:eastAsia="微软雅黑"/>
          <w:b w:val="0"/>
          <w:i w:val="0"/>
          <w:sz w:val="22"/>
        </w:rPr>
        <w:t>所以呢：正确的外推姿势是"借机制、不借数字"——把对象化、节点化、集采化、标准化四套机制写入自己的转型方案（P6020；P6034；P6000；P6029），再用自己的试点项目生成第一手数字。</w:t>
      </w:r>
    </w:p>
    <w:p>
      <w:pPr>
        <w:pStyle w:val="Heading2"/>
      </w:pPr>
      <w:r>
        <w:t>6.2 败的档案（一）：丰城"11·24"特大事故——系统性失效的完整标本</w:t>
      </w:r>
    </w:p>
    <w:p>
      <w:r>
        <w:rPr>
          <w:rFonts w:ascii="Calibri" w:hAnsi="Calibri" w:eastAsia="微软雅黑"/>
          <w:b w:val="0"/>
          <w:i w:val="0"/>
          <w:sz w:val="22"/>
        </w:rPr>
        <w:t>失败的最高烈度形态是事故。江西丰城电厂三期EPC特大事故（即"11·24"事故）是本章失败档案中分量最重的一份：一份以十二章结构对它做全景解剖的沉思录，其目录本身就是一张系统性失效的检查表（P6016）。</w:t>
      </w:r>
    </w:p>
    <w:p>
      <w:r>
        <w:rPr>
          <w:rFonts w:ascii="Calibri" w:hAnsi="Calibri" w:eastAsia="微软雅黑"/>
          <w:b w:val="0"/>
          <w:i w:val="0"/>
          <w:sz w:val="22"/>
        </w:rPr>
        <w:t>沉思录的第一部分是事故回顾与历史反思。第一章"惊世之殇"对事故做全记录，其中"事故经过：灾难的72小时"一节保存了灾难的时间切片（P6016）；第二章"历史的回响"把丰城放进全球百年重大工程事故的历史演进与类型学、中国工程事故的历史教训与特殊性中做比较分析（P6016）。第二部分是多维剖析：第四章"物理的极限"讨论混凝土与支撑结构的物理极限，基调是"物理规律不可违背"（P6016）；第五章"制度的失灵"从监管真空讲到责任碎片化（P6016）；第六章"文化的塌陷"从"重物轻人"讲到"集体无意识"，并追问文化失范的结构性根源（P6016）；第七章"技术的陷阱"梳理从"设计失误"到"施工缺陷"的工程技术反思，并对照全球类似事故的技术教训（P6016）；第八章"伦理的塌陷"直指"生命至上"的背离与"责任黑洞"的形成（P6016）。第三部分给出系统性方案：第九章提出"系统免疫工程（SIE）"，主张构建工程项目内生安全新范式、从被动防御转向主动免疫（P6016）；第十章记录丰城电厂三期重建的"三部曲"（P6016）；第十一、十二章分别讨论从"事故调查"到"安全创新"、从"事后反思"到"内生安全"的范式转变（P6016）。</w:t>
      </w:r>
    </w:p>
    <w:p>
      <w:r>
        <w:rPr>
          <w:rFonts w:ascii="Calibri" w:hAnsi="Calibri" w:eastAsia="微软雅黑"/>
          <w:b w:val="0"/>
          <w:i w:val="0"/>
          <w:sz w:val="22"/>
        </w:rPr>
        <w:t>对设计院决策者，这份档案最刺眼的是第三章的定性——"模式的困局：中国EPC工程总承包的基因缺陷与现实扭曲"，其下设"设计与施工的分离与冲突""组织行为的系统性失效""系统思维与复杂性管理""速度与安全的辩证关系"诸节（P6016）。换言之，沉思录把矛头指向模式基因层面：设计与施工在组织上的分离、系统性思维的缺失，而不是某个工人、某一次操作失误。这对正准备"设计+施工"资质合并的设计院是一记提前量警告：牌照合一不等于基因合一，若组织行为模式照旧，合并后的实体只是把分离冲突装进了同一个法人口袋。</w:t>
      </w:r>
    </w:p>
    <w:p>
      <w:r>
        <w:rPr>
          <w:rFonts w:ascii="Calibri" w:hAnsi="Calibri" w:eastAsia="微软雅黑"/>
          <w:b w:val="0"/>
          <w:i w:val="0"/>
          <w:sz w:val="22"/>
        </w:rPr>
        <w:t>这份档案还有一个常被忽略的使用方法：它的章节结构本身就是一套尽职调查问卷。第二章提供了"全球工程事故的历史演进与类型学分析"方法（P6016）——买方在评估任何总承包合作方时，可以要求对方按事故类型学自查其高风险工序清单；第一章的"多维视角：事故的系统性解读"（P6016）提醒读者，同一事故在不同视角下暴露不同的责任面，单一视角的复盘会漏掉系统性病灶；第五章从"监管真空"到"责任碎片化"的制度失灵谱系（P6016），可以直接转化为对合作方监管接口与责任矩阵的核查表；第六章对文化失范结构性根源的追问与"文化重塑的路径与方法"（P6016），对应着现场访谈里那些"习以为常"的作业习惯——恰恰是这些习惯，构成了从"重物轻人"滑向"集体无意识"的斜坡（P6016）；第五章末尾"制度失灵的人文反思"（P6016）与第八章"重建工程伦理体系的路径"（P6016）则提醒买方：制度补丁与伦理重建必须双轨并行，单轨修不出免疫能力。</w:t>
      </w:r>
    </w:p>
    <w:p>
      <w:r>
        <w:rPr>
          <w:rFonts w:ascii="Calibri" w:hAnsi="Calibri" w:eastAsia="微软雅黑"/>
          <w:b w:val="0"/>
          <w:i w:val="0"/>
          <w:sz w:val="22"/>
        </w:rPr>
        <w:t>重建章节则回答了"事故之后怎么办"。第十章记录了丰城电厂三期重建的决策背景与历史必然性、"三部曲"重建方案的核心内涵、重建过程中的创新难点与反思，并借鉴国内外重大工程灾后重建经验（P6016）——对买方的含义是：即使最坏情形发生，处置能力与重建方案也是企业韧性的一部分，但为其支付的方式应当是保险与准备金，而不是赌它不发生。第九章的"系统免疫工程（SIE）"框架主张从被动防御到主动免疫，并借鉴全球工程安全管理的免疫系统经验（P6016）；第十一、十二章进一步主张从事故调查范式演进走向系统性安全创新生态，最终"告别血的教训、拥抱内生安全"（P6016）。这三个层级的递进——免疫、创新、内生安全——为转型企业的安全投入路线图提供了现成的阶段划分。</w:t>
      </w:r>
    </w:p>
    <w:p>
      <w:r>
        <w:rPr>
          <w:rFonts w:ascii="Calibri" w:hAnsi="Calibri" w:eastAsia="微软雅黑"/>
          <w:b w:val="0"/>
          <w:i w:val="0"/>
          <w:sz w:val="22"/>
        </w:rPr>
        <w:t>把6.1与6.2并置会得到一个不安却重要的事实：同一国家的工程体系，既能造出以穹顶吊装提前35天为象征的华龙一号（P6001），也发生了需要十二章沉思录来解剖的丰城特大事故（P6016）。两者的差距不在技术存量的有无，而在体系与纪律的有无——一个把"六大控制七个零"内化为管理操作系统（P6020），另一个被诊断为从模式基因到制度、文化的系统性失效（P6016）。这提示买方：转型的风险不是"学不会先进"，而是"先进的壳、失灵的芯"。资质、牌照、组织架构都可以快速到位，免疫系统不行。</w:t>
      </w:r>
    </w:p>
    <w:p>
      <w:r>
        <w:rPr>
          <w:rFonts w:ascii="Calibri" w:hAnsi="Calibri" w:eastAsia="微软雅黑"/>
          <w:b w:val="0"/>
          <w:i w:val="0"/>
          <w:sz w:val="22"/>
        </w:rPr>
        <w:t>这份档案给转型决策的三条硬警示如下。</w:t>
      </w:r>
    </w:p>
    <w:p>
      <w:r>
        <w:rPr>
          <w:rFonts w:ascii="Calibri" w:hAnsi="Calibri" w:eastAsia="微软雅黑"/>
          <w:b w:val="0"/>
          <w:i w:val="0"/>
          <w:sz w:val="22"/>
        </w:rPr>
        <w:t>其一，总承包不是责任转移器。挂上EPC牌照不等于把安全与质量责任转移给分包商；丰城分析中"责任碎片化"（P6016）的机理表明，责任在多层组织结构中被稀释成"黑洞"（P6016），最终由总承包体系整体承受——包括品牌、资质与相关责任人员的命运。</w:t>
      </w:r>
    </w:p>
    <w:p>
      <w:r>
        <w:rPr>
          <w:rFonts w:ascii="Calibri" w:hAnsi="Calibri" w:eastAsia="微软雅黑"/>
          <w:b w:val="0"/>
          <w:i w:val="0"/>
          <w:sz w:val="22"/>
        </w:rPr>
        <w:t>其二，速度与安全的辩证必须内置于商业模式。沉思录专设"速度与安全的辩证关系"一节（P6016），这与成功侧样本形成精确镜像：中核工程的提前35天来自施工逻辑重构与并行集成（P6001），而不是压缩必要工序。买方审核转型收益模型时应加一道测试：每一项进度红利的来源是否说得清？说不清的红利，本质上是从安全余量里预支的。镜像的另一侧同样成立——把安全投入简单理解为成本，是对总承包商业模式的误读：穹顶内物项地面预装这类创新既减少高空作业风险、又缩短后续工期（P6001），说明安全与效率在体系设计良好时同向而行，这正是"辩证"一词的生意含义。</w:t>
      </w:r>
    </w:p>
    <w:p>
      <w:r>
        <w:rPr>
          <w:rFonts w:ascii="Calibri" w:hAnsi="Calibri" w:eastAsia="微软雅黑"/>
          <w:b w:val="0"/>
          <w:i w:val="0"/>
          <w:sz w:val="22"/>
        </w:rPr>
        <w:t>其三，技术陷阱从设计端开始。第七章"从设计失误到施工缺陷"的反思（P6016）提醒设计院：转型后你们输出的不再只是图纸，而是图纸落地为混凝土与钢铁的全部物理后果——设计端的任何含糊与错漏，都会在施工端被物理规律放大。设计质量责任从"图纸合规"升级为"物理兑现"，这是转型最深的一层成本；对它的正确回应不是加设一个审图岗位，而是把"物理极限"教育（P6016）放进全体设计人员的持续训练，让画图的手对混凝土与支撑结构的承载力保持敬畏（P6016）。</w:t>
      </w:r>
    </w:p>
    <w:p>
      <w:r>
        <w:rPr>
          <w:rFonts w:ascii="Calibri" w:hAnsi="Calibri" w:eastAsia="微软雅黑"/>
          <w:b w:val="0"/>
          <w:i w:val="0"/>
          <w:sz w:val="22"/>
        </w:rPr>
        <w:t>所以呢：把丰城档案放进董事会材料的目的不是渲染恐惧，而是给"安全与责任容量"定价。转型预算里若没有安全体系投入的独立科目（对应第九章"系统免疫工程"的主动免疫思路，P6016），省下的钱终将以处罚、停工、赔偿或更高烈度的形式支出。本章证据未覆盖事故伤亡与损失的具体数字，相关声明见章末盲区。</w:t>
      </w:r>
    </w:p>
    <w:p>
      <w:pPr>
        <w:pStyle w:val="Heading2"/>
      </w:pPr>
      <w:r>
        <w:t>6.3 败的档案（二）：129,660篇裁判文书样本里的五种死法（篇数为own_calc，见本节算式）</w:t>
      </w:r>
    </w:p>
    <w:p>
      <w:r>
        <w:rPr>
          <w:rFonts w:ascii="Calibri" w:hAnsi="Calibri" w:eastAsia="微软雅黑"/>
          <w:b w:val="0"/>
          <w:i w:val="0"/>
          <w:sz w:val="22"/>
        </w:rPr>
        <w:t>事故是尾部风险，纠纷则是转型的日常摩擦成本。本章弹药库收录2008-2021年间的十四份年度裁判文书卷宗样本，各年EPC相关篇数分别为：2008年39篇（P6018）、2009年55篇（P6019）、2010年148篇（P6013）、2011年61篇（P6015）、2012年216篇（P6011）、2013年2170篇（P6010）、2014年5275篇（P6009）、2015年8654篇（P6007）、2016年10763篇（P6006）、2017年11716篇（P6005）、2018年5754篇（P6008）、2019年41550篇（P6004）、2020年42935篇（P6003）、2021年324篇（P6012），合计129,660篇（own_calc：39+55+148+61+216+2170+5275+8654+10763+11716+5754+41550+42935+324=129660）。样本呈明显的年度结构：2019、2020两个年度卷宗分别高达41550篇与42935篇（P6004；P6003），而2021年样本仅324篇（P6012）——该断点更可能是采集口径变化，不能直接解读为纠纷降温（详见章末盲区）。对买方而言，这批文书是免费的尽调素材库：每一种高频纠纷形态，都对应转型后设计院将首次暴露的合同面。</w:t>
      </w:r>
    </w:p>
    <w:p>
      <w:r>
        <w:rPr>
          <w:rFonts w:ascii="Calibri" w:hAnsi="Calibri" w:eastAsia="微软雅黑"/>
          <w:b w:val="0"/>
          <w:i w:val="0"/>
          <w:sz w:val="22"/>
        </w:rPr>
        <w:t>读这批文书的方法论先要立对：它们不是"坏人才会遇到"的八卦，而是工程交易结构在压力测试下的失效报告。样本覆盖的程序类型足够宽——管辖裁定（P6003）、一审与二审（P6007；P6008）、再审审查与再审（P6005；P6010）、执行审查（P6012）、保全（P6018）——意味着一单纠纷可以从头到尾消耗一家公司数年的管理注意力。案由谱系同样宽：建设工程施工合同纠纷（P6008）、建设工程合同纠纷（P6015）、建筑设备租赁合同纠纷（P6009）、建设工程监理合同纠纷（P6019）、装饰装修合同纠纷（P6012）——总承包链条上的每一类合同都会各自引爆。对买方，正确用法是"风险定价素材"：把每种死法发生的合同面，折算进自己报价的风险准备金与内控成本，而不是假设自己例外。</w:t>
      </w:r>
    </w:p>
    <w:p>
      <w:r>
        <w:rPr>
          <w:rFonts w:ascii="Calibri" w:hAnsi="Calibri" w:eastAsia="微软雅黑"/>
          <w:b w:val="0"/>
          <w:i w:val="0"/>
          <w:sz w:val="22"/>
        </w:rPr>
        <w:t>从样本中可归纳出五种高频死法。它们几乎都不是"EPC模式"之罪，而是契约卫生与内控之罪——但对准备转型的设计院，每一格都是现成的排雷清单。</w:t>
      </w:r>
    </w:p>
    <w:p>
      <w:pPr>
        <w:pStyle w:val="Heading3"/>
      </w:pPr>
      <w:r>
        <w:t>死法一：无书面合同，靠口头信任进场</w:t>
      </w:r>
    </w:p>
    <w:p>
      <w:r>
        <w:rPr>
          <w:rFonts w:ascii="Calibri" w:hAnsi="Calibri" w:eastAsia="微软雅黑"/>
          <w:b w:val="0"/>
          <w:i w:val="0"/>
          <w:sz w:val="22"/>
        </w:rPr>
        <w:t>黑龙江省水利水电集团第二工程有限公司与塔河县红平运输队的纠纷里，双方未签订书面合同、无从约定案件管辖，一个管辖权问题从塔河县人民法院一路打到大兴安岭地区中级人民法院（(2020)黑27民辖终7号），法院最终按建设工程施工合同纠纷以不动产纠纷确定管辖、驳回上诉维持原裁定（P6003）。湖南凤凰县堡坎案中，当事人系朋友关系、当时就没有签订书面合同，约定全包每立方米280元、据实结算；2014年底完工结算共砌790多立方米石方，支付4万元后尚欠182,415.2元工程款（P6008）。浙江乐清农村房屋案更为曲折：包工包料、口头约定竣工后按实际结算付清，房主陆续支付合计455,000元并取得"工程款已全部结清"的收条后，施工方仍委托造价鉴定提起诉讼，案件历经重审与多轮笔迹鉴定，不同鉴定机构对同一收条签名真伪的结论相互冲突（P6013）。</w:t>
      </w:r>
    </w:p>
    <w:p>
      <w:r>
        <w:rPr>
          <w:rFonts w:ascii="Calibri" w:hAnsi="Calibri" w:eastAsia="微软雅黑"/>
          <w:b w:val="0"/>
          <w:i w:val="0"/>
          <w:sz w:val="22"/>
        </w:rPr>
        <w:t>设计院管理者容易以为这是"包工头文化"、与己无关。但转型初期的设计院恰恰最容易在联合体协议、分包与设备采购框架上犯同构错误——用信任代替条款、用口头默契代替变更签证。上述三个案子（P6003；P6008；P6013）的共同教训是：没有书面合同的工程关系，最后都变成了证据战争；而证据战争的弹药——付款凭证、对账记录、收条、鉴定意见——平时就要按诉讼标准归档，事发再补已然被动（P6005；P6013）。</w:t>
      </w:r>
    </w:p>
    <w:p>
      <w:pPr>
        <w:pStyle w:val="Heading3"/>
      </w:pPr>
      <w:r>
        <w:t>死法二：图纸缺位，边设计边施工</w:t>
      </w:r>
    </w:p>
    <w:p>
      <w:r>
        <w:rPr>
          <w:rFonts w:ascii="Calibri" w:hAnsi="Calibri" w:eastAsia="微软雅黑"/>
          <w:b w:val="0"/>
          <w:i w:val="0"/>
          <w:sz w:val="22"/>
        </w:rPr>
        <w:t>河南汇河建筑装饰工程有限公司与洛阳灵山国诚旅游发展有限公司的假山与园林景观纠纷是最典型样本。双方2013年12月3日签订塑石假山工程合同、约定按实际钢丝网片面积188元/㎡计价，2014年1月23日又签补充协议把温泉汤池工程也交其施工、按水池外围投影面积2000元/㎡结算（P6006）。关键在于：发包人未提供设计图纸，所有施工内容采取"原告边设计、边施工，完工一处、验收一处"的方式进行（P6006）。价格条款起初清晰，但无图纸的工程量最终失控：原告自决算温泉假山、水上娱乐园假山、5D电影院、捉鱼城四项工程总造价8,902,476.4元，施工期间及其后累计收款7,432,708元、尚欠1,469,768元；温泉汤池等另一部分经双方两份结算单确认为12,702,400元；另有12项零星工程总造价1,017,870元未经结算；原告主张累计拖欠15,190,038.4元，因被告无力支付，最终只主张结算单确认的12,702,400元、自行放弃2,487,638.4元（P6006）。</w:t>
      </w:r>
    </w:p>
    <w:p>
      <w:r>
        <w:rPr>
          <w:rFonts w:ascii="Calibri" w:hAnsi="Calibri" w:eastAsia="微软雅黑"/>
          <w:b w:val="0"/>
          <w:i w:val="0"/>
          <w:sz w:val="22"/>
        </w:rPr>
        <w:t>这个案子对EPC的启示是反直觉的：边设计边施工在总承包语境里本是"设计施工一体化"的正当工具——中核工程六大主线并行集成就是它的正面形态（P6001）——但前提是设计受控、变更有痕、对象可量。当图纸缺位且无变更签证机制时，"一体化"就退化为"无依据施工"，188元/㎡与2000元/㎡的单价再清楚也救不了总量失控的结算（P6006）。正面样本的对照件恰好齐备：中核工程在建造阶段以"严格的现场签证机制"配合结构化风险防控与精细化测量（P6000），以"一个仪表对应一个标准"的对象化强关联杜绝材料错买漏买（P6021）——同一句"边设计边施工"，在受控体系里是并行集成，在失序现场就是结算灾难。设计院转型方案里必须同时写进这两面：并行集成的进度收益，与签证、测量、对象化的控制成本，缺一即翻车。</w:t>
      </w:r>
    </w:p>
    <w:p>
      <w:pPr>
        <w:pStyle w:val="Heading3"/>
      </w:pPr>
      <w:r>
        <w:t>死法三：违法分包链条</w:t>
      </w:r>
    </w:p>
    <w:p>
      <w:r>
        <w:rPr>
          <w:rFonts w:ascii="Calibri" w:hAnsi="Calibri" w:eastAsia="微软雅黑"/>
          <w:b w:val="0"/>
          <w:i w:val="0"/>
          <w:sz w:val="22"/>
        </w:rPr>
        <w:t>河南省新乡市第一建筑工程公司案中，总承包合同第三部分明确约定"本工程不允许分包"，但一建公司工作人员李俊科仍以公司委托代理人身份活动，于2013年5月31日与个人签订铝合金窗施工合同，将发酵车间及空压站车间铝合金窗工程交其施工；完工核算工程价款共315,628元、已付40,000元，李俊科个人出具欠条确认欠款275,000元，个人被列被告、连带责任争议缠身（P6007）。陈松何案则呈现完整链条：江西丰溪建筑工程公司承接项目后非法分包给王祺，王祺再违法分包给余建盛，最底层的勾土工程款62,100元经2011年9月14日付款协议确认后仍无法收回，原告要求各层违法分包人承担连带清偿责任（P6011）。</w:t>
      </w:r>
    </w:p>
    <w:p>
      <w:r>
        <w:rPr>
          <w:rFonts w:ascii="Calibri" w:hAnsi="Calibri" w:eastAsia="微软雅黑"/>
          <w:b w:val="0"/>
          <w:i w:val="0"/>
          <w:sz w:val="22"/>
        </w:rPr>
        <w:t>对转型设计院，这是最直接的能力警告：设计院最缺的恰是施工现场管理与大宗设备采办经验（P6030），补短板时若分包治理失序，违法链条会把项目利润连同企业信誉一起卷进诉讼。值得直接抄进合同范本的是新乡一建案暴露的细节：总承包合同里"本工程不允许分包"的条款并不自动阻止现场人员的事实分包行为（P6007），条款之外还需要用印管控、现场人员授权清单与付款归口来封住旁路。安徽院以"强强联合"补短板（P6030）的正面价值，必须以死法三的反面教材为边界条件：联合可以，但要联合在纸面上、联合在责任条款里。</w:t>
      </w:r>
    </w:p>
    <w:p>
      <w:pPr>
        <w:pStyle w:val="Heading3"/>
      </w:pPr>
      <w:r>
        <w:t>死法四：结算与支付失控</w:t>
      </w:r>
    </w:p>
    <w:p>
      <w:r>
        <w:rPr>
          <w:rFonts w:ascii="Calibri" w:hAnsi="Calibri" w:eastAsia="微软雅黑"/>
          <w:b w:val="0"/>
          <w:i w:val="0"/>
          <w:sz w:val="22"/>
        </w:rPr>
        <w:t>结算环节的纠纷体量最大、形态最杂，样本里至少有五种病灶。总价确认后的尾款拖欠：上海锦都公司与浙江松尚巴依奥公司2006年4月21日签合同、总价2100万元，竣工后双方2008年2月18日以补充协议确认已付1860万元、余240万元；此后又陆续支付145万元（其中10万元系合同外工程款），仍余105万元未付（own_calc：240万−(145万−10万)=105万；P6018）。以质量反诉对冲付款义务：荣成案的时间线本身就值得做成培训幻灯——2006年5月1日签订住宅楼工程合同（包工包料），约定2006年11月20日竣工，实际2007年5月20日竣工；2008年1月9日达成付款协议（确认已付3,698,000元、再付50万元、以3套住宅抵顶697,707元、留5%质量保修金）；2008年6月4日决算确认工程总价款5,847,961.15元；因约定2010年6月底前办理抵账房产过户未成，纠纷成讼，原告诉请欠付1,469,961.15元及违约金187,143.88元，被告以工程质量问题反诉维修费294,620.28元（已修145,585.88元、待修149,034.40元），并主张逾期过户系政府土地指标问题、属不可抗力（P6015）。从开工到成讼，一单工程的债权债务关系可以纠缠多年，这正是总承包应收账款模型的现实底色。业主经营失败传导至服务方：宁波华光监理案合同约定签约后五日内付预付款86,160元、此后每满一个月付60,000元，监理服务历时八个月，应付款86,160+60,000×8=566,160元，已付仅120,000元，原告当庭变更诉请为442,160元，而被告法定代表人因金融危机"不知去向"（P6019）。以发票争议对抗付款：中铁六局集团茂湛铁路项目租用脚手架，2013年5月24日结算租金合计246,254元，付款146,254元后余100,000元拖欠，项目部以曾另付一笔225万元劳务费、原告尚未开具发票为由拒绝支付（P6009）。自认与举证策略反噬本金：浙江引拓案双方对工程款769,734元（含税金100,400元）本无异议，争议聚焦已付款认定——施工方主张银行记录仅能证明支付56万元，法院依据其起诉时自认的57万元与2016年3月10日再付的15万元认定已付72万元、超过不含税工程款数额；其依据取费定额主张税金应为26,540元亦未被采纳，再审申请被驳回（P6005）。</w:t>
      </w:r>
    </w:p>
    <w:p>
      <w:r>
        <w:rPr>
          <w:rFonts w:ascii="Calibri" w:hAnsi="Calibri" w:eastAsia="微软雅黑"/>
          <w:b w:val="0"/>
          <w:i w:val="0"/>
          <w:sz w:val="22"/>
        </w:rPr>
        <w:t>五个案子的共同点值得写进应收账款管理制度：结算不是竣工后的一次动作，而是从合同单价条款、变更签证、发票流转到自认笔录的全过程纪律（P6018；P6015；P6019；P6009；P6005）。</w:t>
      </w:r>
    </w:p>
    <w:p>
      <w:pPr>
        <w:pStyle w:val="Heading3"/>
      </w:pPr>
      <w:r>
        <w:t>死法五：主体资格与执行层面的塌陷</w:t>
      </w:r>
    </w:p>
    <w:p>
      <w:r>
        <w:rPr>
          <w:rFonts w:ascii="Calibri" w:hAnsi="Calibri" w:eastAsia="微软雅黑"/>
          <w:b w:val="0"/>
          <w:i w:val="0"/>
          <w:sz w:val="22"/>
        </w:rPr>
        <w:t>上海禧诚装饰案里，夫妻二人2011年5月共同设立公司，认缴注册资本50万元，丈夫持股90％、妻子持股10％；公司经营失败后名下无任何财产可供执行，申请执行人主张该公司股权实质源于同一财产权、应认定为一人有限公司，要求追加两股东为被执行人（P6012）。执行难之外，样本里还有大量"打了也白打"的消耗战：蔡维林案以"事实无法查清"撤诉，案件受理费3914元减半收取1957元由原告自担（P6010）；上海盈创案撤诉，受理费16,347元减半收取8173.50元（P6010）；乔振军案原告未在七日内预交案件受理费，被按撤回起诉处理（P6004）；乔文波对中十冶集团的执行申请也以书面撤销告终（P6004）；中铁十五局与中铁隧道集团的建设工程施工合同纠纷则进入再审程序（P6010）。央企之间同样不能免俗：十一冶建设集团与中国能源建设集团江苏省电力建设第三工程有限公司的建设工程施工合同纠纷打到了二审（P6033）。对遴选联合体与分包商的设计院，这一格的教训是：签约前查对手的股权结构与偿付能力，比签约后请好律师便宜得多——认缴50万元的公司承载不了千万级的履约责任（P6012）。</w:t>
      </w:r>
    </w:p>
    <w:p>
      <w:r>
        <w:rPr>
          <w:rFonts w:ascii="Calibri" w:hAnsi="Calibri" w:eastAsia="微软雅黑"/>
          <w:b w:val="0"/>
          <w:i w:val="0"/>
          <w:sz w:val="22"/>
        </w:rPr>
        <w:t>司法环境本身也在变。2004年10月，最高人民法院印发《关于审理建设工程施工合同纠纷案件适用法律问题的解释》（已废止），创设"实际施工人"概念并赋予其在特定情况下突破合同相对性追索工程款的权利（P6031）；而到2026年1月，中交第二航务工程局有限公司研究者的判断是：司法规制焦点已从对"实际施工人"的特殊保护转向对合同相对性原则的回归，法律环境的价值取向已由保护性干预转变为激励性规范；这种制度演进对市场主体形成双重效应——一方面提高了合规门槛，另一方面为率先建立完善风控体系的企业创造了制度红利，建筑企业必须完成从依赖政策庇护到依靠合规优势的战略转型（P6031）。对买方的含义：过去靠"实际施工人"通道兜底的分包与挂靠安排，其法律地基正在系统性抬升；转型设计院应当把合规能力当作资产而非成本来预算。此外，一篇以GH公司海阳一期EPC项目为案例的硕士学位论文专门研究EPC项目竣工文件管理优化（P6031）——连竣工文件这种"最不起眼"的环节都已进入正式学术议程，可见总承包的管理颗粒度已经细到什么程度。</w:t>
      </w:r>
    </w:p>
    <w:p>
      <w:r>
        <w:rPr>
          <w:rFonts w:ascii="Calibri" w:hAnsi="Calibri" w:eastAsia="微软雅黑"/>
          <w:b w:val="0"/>
          <w:i w:val="0"/>
          <w:sz w:val="22"/>
        </w:rPr>
        <w:t>所以呢：五种死法给买方的净结论是——EPC放大的是你现有管理缺陷的体量。转型前先做三件小事：全员合同纪律培训（针对死法一）、变更与签证的闭环系统（针对死法二、四）、分包商准入与连带责任条款设计（针对死法三、五）。这三件事的花费，远低于样本中任何一单纠纷的诉讼与时间成本。</w:t>
      </w:r>
    </w:p>
    <w:p>
      <w:pPr>
        <w:pStyle w:val="Heading2"/>
      </w:pPr>
      <w:r>
        <w:t>6.4 成败分野的三个机理与买方决策清单</w:t>
      </w:r>
    </w:p>
    <w:p>
      <w:r>
        <w:rPr>
          <w:rFonts w:ascii="Calibri" w:hAnsi="Calibri" w:eastAsia="微软雅黑"/>
          <w:b w:val="0"/>
          <w:i w:val="0"/>
          <w:sz w:val="22"/>
        </w:rPr>
        <w:t>把6.1的成与6.2、6.3的败并置，分野不在运气，而在三个可管理的机理。先给一张总对照表：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维度</w:t>
            </w:r>
          </w:p>
        </w:tc>
        <w:tc>
          <w:tcPr>
            <w:tcW w:type="dxa" w:w="2767"/>
            <w:shd w:fill="1F3A5F"/>
          </w:tcPr>
          <w:p>
            <w:r>
              <w:rPr>
                <w:color w:val="FFFFFF"/>
              </w:rPr>
            </w:r>
            <w:r>
              <w:rPr>
                <w:rFonts w:ascii="Calibri" w:hAnsi="Calibri" w:eastAsia="微软雅黑"/>
                <w:b/>
                <w:i w:val="0"/>
                <w:color w:val="FFFFFF"/>
                <w:sz w:val="18"/>
              </w:rPr>
              <w:t>成的档案</w:t>
            </w:r>
          </w:p>
        </w:tc>
        <w:tc>
          <w:tcPr>
            <w:tcW w:type="dxa" w:w="2767"/>
            <w:shd w:fill="1F3A5F"/>
          </w:tcPr>
          <w:p>
            <w:r>
              <w:rPr>
                <w:color w:val="FFFFFF"/>
              </w:rPr>
            </w:r>
            <w:r>
              <w:rPr>
                <w:rFonts w:ascii="Calibri" w:hAnsi="Calibri" w:eastAsia="微软雅黑"/>
                <w:b/>
                <w:i w:val="0"/>
                <w:color w:val="FFFFFF"/>
                <w:sz w:val="18"/>
              </w:rPr>
              <w:t>败的档案</w:t>
            </w:r>
          </w:p>
        </w:tc>
      </w:tr>
      <w:tr>
        <w:tc>
          <w:tcPr>
            <w:tcW w:type="dxa" w:w="2767"/>
          </w:tcPr>
          <w:p>
            <w:r/>
            <w:r>
              <w:rPr>
                <w:rFonts w:ascii="Calibri" w:hAnsi="Calibri" w:eastAsia="微软雅黑"/>
                <w:b w:val="0"/>
                <w:i w:val="0"/>
                <w:sz w:val="18"/>
              </w:rPr>
              <w:t>契约形态</w:t>
            </w:r>
          </w:p>
        </w:tc>
        <w:tc>
          <w:tcPr>
            <w:tcW w:type="dxa" w:w="2767"/>
          </w:tcPr>
          <w:p>
            <w:r/>
            <w:r>
              <w:rPr>
                <w:rFonts w:ascii="Calibri" w:hAnsi="Calibri" w:eastAsia="微软雅黑"/>
                <w:b w:val="0"/>
                <w:i w:val="0"/>
                <w:sz w:val="18"/>
              </w:rPr>
              <w:t>付款节点精细设计（10%-80%-5%-5%，P6034）</w:t>
            </w:r>
          </w:p>
        </w:tc>
        <w:tc>
          <w:tcPr>
            <w:tcW w:type="dxa" w:w="2767"/>
          </w:tcPr>
          <w:p>
            <w:r/>
            <w:r>
              <w:rPr>
                <w:rFonts w:ascii="Calibri" w:hAnsi="Calibri" w:eastAsia="微软雅黑"/>
                <w:b w:val="0"/>
                <w:i w:val="0"/>
                <w:sz w:val="18"/>
              </w:rPr>
              <w:t>无书面合同、口头进场（P6003；P6008；P6013）</w:t>
            </w:r>
          </w:p>
        </w:tc>
      </w:tr>
      <w:tr>
        <w:tc>
          <w:tcPr>
            <w:tcW w:type="dxa" w:w="2767"/>
          </w:tcPr>
          <w:p>
            <w:r/>
            <w:r>
              <w:rPr>
                <w:rFonts w:ascii="Calibri" w:hAnsi="Calibri" w:eastAsia="微软雅黑"/>
                <w:b w:val="0"/>
                <w:i w:val="0"/>
                <w:sz w:val="18"/>
              </w:rPr>
              <w:t>设计管理</w:t>
            </w:r>
          </w:p>
        </w:tc>
        <w:tc>
          <w:tcPr>
            <w:tcW w:type="dxa" w:w="2767"/>
          </w:tcPr>
          <w:p>
            <w:r/>
            <w:r>
              <w:rPr>
                <w:rFonts w:ascii="Calibri" w:hAnsi="Calibri" w:eastAsia="微软雅黑"/>
                <w:b w:val="0"/>
                <w:i w:val="0"/>
                <w:sz w:val="18"/>
              </w:rPr>
              <w:t>设计对象化、统计效率提升80%以上（P6021）</w:t>
            </w:r>
          </w:p>
        </w:tc>
        <w:tc>
          <w:tcPr>
            <w:tcW w:type="dxa" w:w="2767"/>
          </w:tcPr>
          <w:p>
            <w:r/>
            <w:r>
              <w:rPr>
                <w:rFonts w:ascii="Calibri" w:hAnsi="Calibri" w:eastAsia="微软雅黑"/>
                <w:b w:val="0"/>
                <w:i w:val="0"/>
                <w:sz w:val="18"/>
              </w:rPr>
              <w:t>图纸缺位、边设计边施工（P6006）</w:t>
            </w:r>
          </w:p>
        </w:tc>
      </w:tr>
      <w:tr>
        <w:tc>
          <w:tcPr>
            <w:tcW w:type="dxa" w:w="2767"/>
          </w:tcPr>
          <w:p>
            <w:r/>
            <w:r>
              <w:rPr>
                <w:rFonts w:ascii="Calibri" w:hAnsi="Calibri" w:eastAsia="微软雅黑"/>
                <w:b w:val="0"/>
                <w:i w:val="0"/>
                <w:sz w:val="18"/>
              </w:rPr>
              <w:t>分包治理</w:t>
            </w:r>
          </w:p>
        </w:tc>
        <w:tc>
          <w:tcPr>
            <w:tcW w:type="dxa" w:w="2767"/>
          </w:tcPr>
          <w:p>
            <w:r/>
            <w:r>
              <w:rPr>
                <w:rFonts w:ascii="Calibri" w:hAnsi="Calibri" w:eastAsia="微软雅黑"/>
                <w:b w:val="0"/>
                <w:i w:val="0"/>
                <w:sz w:val="18"/>
              </w:rPr>
              <w:t>强强联合补短板（P6030）</w:t>
            </w:r>
          </w:p>
        </w:tc>
        <w:tc>
          <w:tcPr>
            <w:tcW w:type="dxa" w:w="2767"/>
          </w:tcPr>
          <w:p>
            <w:r/>
            <w:r>
              <w:rPr>
                <w:rFonts w:ascii="Calibri" w:hAnsi="Calibri" w:eastAsia="微软雅黑"/>
                <w:b w:val="0"/>
                <w:i w:val="0"/>
                <w:sz w:val="18"/>
              </w:rPr>
              <w:t>违法分包链条（P6007；P6011）</w:t>
            </w:r>
          </w:p>
        </w:tc>
      </w:tr>
      <w:tr>
        <w:tc>
          <w:tcPr>
            <w:tcW w:type="dxa" w:w="2767"/>
          </w:tcPr>
          <w:p>
            <w:r/>
            <w:r>
              <w:rPr>
                <w:rFonts w:ascii="Calibri" w:hAnsi="Calibri" w:eastAsia="微软雅黑"/>
                <w:b w:val="0"/>
                <w:i w:val="0"/>
                <w:sz w:val="18"/>
              </w:rPr>
              <w:t>结算内控</w:t>
            </w:r>
          </w:p>
        </w:tc>
        <w:tc>
          <w:tcPr>
            <w:tcW w:type="dxa" w:w="2767"/>
          </w:tcPr>
          <w:p>
            <w:r/>
            <w:r>
              <w:rPr>
                <w:rFonts w:ascii="Calibri" w:hAnsi="Calibri" w:eastAsia="微软雅黑"/>
                <w:b w:val="0"/>
                <w:i w:val="0"/>
                <w:sz w:val="18"/>
              </w:rPr>
              <w:t>权责发生制全过程穿透（P6029）</w:t>
            </w:r>
          </w:p>
        </w:tc>
        <w:tc>
          <w:tcPr>
            <w:tcW w:type="dxa" w:w="2767"/>
          </w:tcPr>
          <w:p>
            <w:r/>
            <w:r>
              <w:rPr>
                <w:rFonts w:ascii="Calibri" w:hAnsi="Calibri" w:eastAsia="微软雅黑"/>
                <w:b w:val="0"/>
                <w:i w:val="0"/>
                <w:sz w:val="18"/>
              </w:rPr>
              <w:t>结算支付失控五种病灶（P6015；P6018；P6019；P6009；P6005）</w:t>
            </w:r>
          </w:p>
        </w:tc>
      </w:tr>
      <w:tr>
        <w:tc>
          <w:tcPr>
            <w:tcW w:type="dxa" w:w="2767"/>
          </w:tcPr>
          <w:p>
            <w:r/>
            <w:r>
              <w:rPr>
                <w:rFonts w:ascii="Calibri" w:hAnsi="Calibri" w:eastAsia="微软雅黑"/>
                <w:b w:val="0"/>
                <w:i w:val="0"/>
                <w:sz w:val="18"/>
              </w:rPr>
              <w:t>安全容量</w:t>
            </w:r>
          </w:p>
        </w:tc>
        <w:tc>
          <w:tcPr>
            <w:tcW w:type="dxa" w:w="2767"/>
          </w:tcPr>
          <w:p>
            <w:r/>
            <w:r>
              <w:rPr>
                <w:rFonts w:ascii="Calibri" w:hAnsi="Calibri" w:eastAsia="微软雅黑"/>
                <w:b w:val="0"/>
                <w:i w:val="0"/>
                <w:sz w:val="18"/>
              </w:rPr>
              <w:t>"六大控制七个零"体系驱动（P6020）</w:t>
            </w:r>
          </w:p>
        </w:tc>
        <w:tc>
          <w:tcPr>
            <w:tcW w:type="dxa" w:w="2767"/>
          </w:tcPr>
          <w:p>
            <w:r/>
            <w:r>
              <w:rPr>
                <w:rFonts w:ascii="Calibri" w:hAnsi="Calibri" w:eastAsia="微软雅黑"/>
                <w:b w:val="0"/>
                <w:i w:val="0"/>
                <w:sz w:val="18"/>
              </w:rPr>
              <w:t>模式基因缺陷与制度失灵（P6016）</w:t>
            </w:r>
          </w:p>
        </w:tc>
      </w:tr>
    </w:tbl>
    <w:p>
      <w:r>
        <w:rPr>
          <w:rFonts w:ascii="Calibri" w:hAnsi="Calibri" w:eastAsia="微软雅黑"/>
          <w:b w:val="0"/>
          <w:i w:val="0"/>
          <w:sz w:val="22"/>
        </w:rPr>
        <w:t>（表内锚点均为本章已展开证据的索引。）</w:t>
      </w:r>
    </w:p>
    <w:p>
      <w:pPr>
        <w:pStyle w:val="Heading3"/>
      </w:pPr>
      <w:r>
        <w:t>6.4.1 机理一：合同基因——你签的是哪一种EPC</w:t>
      </w:r>
    </w:p>
    <w:p>
      <w:r>
        <w:rPr>
          <w:rFonts w:ascii="Calibri" w:hAnsi="Calibri" w:eastAsia="微软雅黑"/>
          <w:b w:val="0"/>
          <w:i w:val="0"/>
          <w:sz w:val="22"/>
        </w:rPr>
        <w:t>国内设计院进入的EPC市场，合同基础是住房和城乡建设部与市场监管总局2020年11月印发的《建设项目工程总承包合同（示范文本）》（GF-2020-0216），由合同协议书（11条）、通用合同条件（20条）、专用合同条件三部分及《发包人要求》《价格指数权重表》等6个附件组成（P6002）。国际对标是FIDIC《设计采购施工（EPC）/交钥匙项目合同条件》2017年第二版（银皮书），为FIDIC体系中承包商风险最重、总价确定性最强的文本，结构为通用条件（21条）＋专用条件＋合同数据（Contract Data）＋雇主要求（P6002）。</w:t>
      </w:r>
    </w:p>
    <w:p>
      <w:r>
        <w:rPr>
          <w:rFonts w:ascii="Calibri" w:hAnsi="Calibri" w:eastAsia="微软雅黑"/>
          <w:b w:val="0"/>
          <w:i w:val="0"/>
          <w:sz w:val="22"/>
        </w:rPr>
        <w:t>关键判断在于：示范文本虽名为"工程总承包合同"、体例上借鉴了FIDIC框架，但其风险分担结构与管理主体设置实质上更接近FIDIC黄皮书（DB模式）而非银皮书（P6002）。用源文报告的原话：国内推行的是"设计施工一体化＋风险均衡分担"的中国化模式，国际银皮书则是"固定总价＋承包商兜底"的高度市场化模式；银皮书是"高度市场化环境中强者之间的风险对赌契约"，示范文本是"转型市场中兼顾公平、稳定与能力培育的治理型合同"（P6002）。该比较研究的动因本身就是买方现实：随着"一带一路"倡议深入实施，国内建筑企业大量"走出去"承接采用FIDIC合同条件的境外项目（P6002）——即同一批企业要在两套风险哲学之间频繁切换，且必要时还要以黄皮书作为参照系来校准（P6002）。买方含义直白：拿着治理型合同的保护，去报对赌型合同的价格，是国内总承包亏损的高发配方；反之，出海项目若带着国内示范文本的风险直觉去签银皮书，风险敞口同样会整体错配。转型设计院的合同部必须把"两种EPC不是同一物种"作为第一课。</w:t>
      </w:r>
    </w:p>
    <w:p>
      <w:r>
        <w:rPr>
          <w:rFonts w:ascii="Calibri" w:hAnsi="Calibri" w:eastAsia="微软雅黑"/>
          <w:b w:val="0"/>
          <w:i w:val="0"/>
          <w:sz w:val="22"/>
        </w:rPr>
        <w:t>合同治理的实务深度，中石化南京工程的研究给出了案例坐标系：(2016)最高法民终695号案涉及合同分拆模式下的先履行抗辩权，(2016)最高法民再53号案涉及总承包合同解除时分包合同的同步解除机制，(2017)川民终72号案涉及境外保函止付风险；《法工委函〔2017〕2号》推动清理行政审计强行介入结算的问题，"重庆勇创案"完成了计价标准纠偏（P6017）。这些案号应当进入转型设计院的合同培训教材——最高法层级反复出现的争议形态，就是总承包专用条款设计的靶点。落到操作上，签约前的三个自查动作随之浮现：其一，把分拆交付安排与先履行抗辩的触发条件预先写清（对标(2016)最高法民终695号的教训，P6017）；其二，为总包合同解除预设分包同步解除与结算清算条款（对标(2016)最高法民再53号，P6017）；其三，境外项目的保函条款要做止付情景演练，行政审计条款要写明结算效力边界（对标(2017)川民终72号与《法工委函〔2017〕2号》，P6017）。</w:t>
      </w:r>
    </w:p>
    <w:p>
      <w:pPr>
        <w:pStyle w:val="Heading3"/>
      </w:pPr>
      <w:r>
        <w:t>6.4.2 机理二：组织能力——数智底座与"先算后干"</w:t>
      </w:r>
    </w:p>
    <w:p>
      <w:r>
        <w:rPr>
          <w:rFonts w:ascii="Calibri" w:hAnsi="Calibri" w:eastAsia="微软雅黑"/>
          <w:b w:val="0"/>
          <w:i w:val="0"/>
          <w:sz w:val="22"/>
        </w:rPr>
        <w:t>成败样本在组织能力上的分野，本质是"何时知道盈亏"。失败侧的结算失控（本章死法四）意味着到结算甚至诉讼时才知道项目赚没赚；成功侧则把认知时点大幅前移。中核工程以EB软件实现设计业务对象化、统计效率提升80%以上（P6021），并以五层数据架构确保大宗材料数据在全生命周期内的唯一性与可追溯性（P6020）；中机国际以用友BIP"1344"框架落地全过程权责发生制，把风控规则嵌入立项、招投标、采购及资金全流程（P6029；P6034）。造价技术层面，设计院控制总投资的看家工具是概算三法——概算定额法、概算指标法（修正公式J修正=J+Q1P1−Q2P2）、类似工程预算法（D=A×K），加上设备安装四法（预算单价法、扩大单价法、设备价值百分比法、综合吨位指标法）构成采购与安装阶段的计价武器库（P6017）。</w:t>
      </w:r>
    </w:p>
    <w:p>
      <w:r>
        <w:rPr>
          <w:rFonts w:ascii="Calibri" w:hAnsi="Calibri" w:eastAsia="微软雅黑"/>
          <w:b w:val="0"/>
          <w:i w:val="0"/>
          <w:sz w:val="22"/>
        </w:rPr>
        <w:t>把这套分野写成公式的是中石化南京工程研究的治理模型：EPC法人级交付效能＝（设计控制因子×采购施工协同因子）÷（组织摩擦风险＋造价合规偏差）（P6017）。分子是设计控制与采购施工协同，分母是组织摩擦与造价合规偏差——注意分母的两项正是本章失败档案的高频词：组织摩擦对应违法分包与执行塌陷（P6007；P6011；P6012），造价合规偏差对应结算失控与行政审计纠偏（P6005；P6017）。该研究同时把转型痛点说透：设计与施工主体物理分离、缺乏统一法人级交付能力、一体化设计概算管控体系缺失；若不打通治理根基，企业在大型EPC履约中将面临合同分拆争议频发、里程碑节点支付阻滞、履约解除及造价全面失控的商业与法律代价（P6017）。成功侧的对应做法，是中核工程式的四控（进度、费用、质量、安全）精准控制与多项目协同管控（P6000），以及基于数字孪生打通产业链上下游数据链条的实践（P6021）。</w:t>
      </w:r>
    </w:p>
    <w:p>
      <w:r>
        <w:rPr>
          <w:rFonts w:ascii="Calibri" w:hAnsi="Calibri" w:eastAsia="微软雅黑"/>
          <w:b w:val="0"/>
          <w:i w:val="0"/>
          <w:sz w:val="22"/>
        </w:rPr>
        <w:t>公式的每一项还能继续落到工具：设计控制因子对应概算三法与修正公式（P6017）——概算指标法的J修正=J+Q1P1−Q2P2、类似工程预算法的D=A×K，本质是用设计参数直接驱动投资估算；采购施工协同因子对应设备安装四法与DPI式的采购前置（P6017；P6000）；组织摩擦风险对应分包治理与合同案号库（P6017）；造价合规偏差对应审计条款与计价标准判例（P6017）。一张公式、四组工具、一柜案卷——这就是"先算后干"的完整装备。</w:t>
      </w:r>
    </w:p>
    <w:p>
      <w:r>
        <w:rPr>
          <w:rFonts w:ascii="Calibri" w:hAnsi="Calibri" w:eastAsia="微软雅黑"/>
          <w:b w:val="0"/>
          <w:i w:val="0"/>
          <w:sz w:val="22"/>
        </w:rPr>
        <w:t>对买方的操作含义：转型立项书里若没有"数智底座＋权责发生制"的预算科目，等于宣布打算用过时的核算方式管理放大后的总承包风险。仪表盘必须先于油门。</w:t>
      </w:r>
    </w:p>
    <w:p>
      <w:pPr>
        <w:pStyle w:val="Heading3"/>
      </w:pPr>
      <w:r>
        <w:t>6.4.3 机理三：制度环境——规则在地化、司法取向与报表纪律</w:t>
      </w:r>
    </w:p>
    <w:p>
      <w:r>
        <w:rPr>
          <w:rFonts w:ascii="Calibri" w:hAnsi="Calibri" w:eastAsia="微软雅黑"/>
          <w:b w:val="0"/>
          <w:i w:val="0"/>
          <w:sz w:val="22"/>
        </w:rPr>
        <w:t>制度环境决定转型的合规成本与天花板。先看规则对"工程总承包"的法定式定义：工程总承包单位按照与建设单位签订的合同，对工程项目设计、采购、施工或者设计、施工等阶段实行总承包，并对工程的质量、安全、工期和造价等全面负责（P6032）——"全面负责"四个字，正是本章全部失败档案的法律注脚。地方层面，福建省住房和城乡建设厅办公室2018年11月28日印发闽建办筑函〔2018〕58号，就《福建省房屋建筑和市政基础设施项目工程总承包招标投标管理办法（试行）（征求意见稿）》征求意见，反馈截止2018年12月10日；该办法适用于福建省行政区域内依法必须招标的国有资金占控股或者主导地位的房屋建筑和市政基础设施工程，并实行电子招标投标，要求通过省公共资源交易电子平台开展活动（P6032）。这类地方法规逐省定义了"什么项目、以什么方式、在什么平台进入总承包市场"，设计院的市场进入策略与资质布局必须逐省校准，不能拿一份全国假设打天下。</w:t>
      </w:r>
    </w:p>
    <w:p>
      <w:r>
        <w:rPr>
          <w:rFonts w:ascii="Calibri" w:hAnsi="Calibri" w:eastAsia="微软雅黑"/>
          <w:b w:val="0"/>
          <w:i w:val="0"/>
          <w:sz w:val="22"/>
        </w:rPr>
        <w:t>司法层面，如6.3节所述，"实际施工人"特殊保护向合同相对性回归的趋势，意味着靠制度套利追索的空间收窄、率先建立完善风控体系的企业获得制度红利（P6031）。三层制度合在一起看：地方招投标规则决定入口（P6032），司法取向决定纠纷时的攻守态势（P6031），资本市场规则决定信息透明度（P6014）——转型设计院的合规部门应把三层规则装入同一张监测清单，逐年更新。资本市场层面，报表纪律是硬约束：中国电力建设股份有限公司（证券代码601669，简称中国电建）2026年半年度报告未经审计，董事会及董事、高级管理人员就报告真实性、准确性、完整性承担个别和连带的法律责任；报告同时载明未出席董事的委托安排（独立董事张兆祥、董事刘易均因工作原因委托他人出席）与前瞻性陈述的风险声明（P6014）——连"未来计划"都要附风险提示的披露尺度，就是总承包业务将来要生活的透明环境。转型设计院若拟并入上市平台或自身对接资本市场，其总承包业务的收入确认与成本归集将从第一天起接受这种强度的检验——权责发生制不是管理时尚，是入场资格。</w:t>
      </w:r>
    </w:p>
    <w:p>
      <w:pPr>
        <w:pStyle w:val="Heading3"/>
      </w:pPr>
      <w:r>
        <w:t>6.4.4 买方决策清单：十问自查</w:t>
      </w:r>
    </w:p>
    <w:p>
      <w:r>
        <w:rPr>
          <w:rFonts w:ascii="Calibri" w:hAnsi="Calibri" w:eastAsia="微软雅黑"/>
          <w:b w:val="0"/>
          <w:i w:val="0"/>
          <w:sz w:val="22"/>
        </w:rPr>
        <w:t>三个机理最终要落成一张可以带进会议室的自查表。综合双向档案，准备按下转型按钮的管理层应先回答以下十问（每问附证据锚点，供尽调复核）；建议由经营、合同、财务、安全四条线分别作答，再对照差异——四条线答案不一致的地方，就是转型治理的第一批议题：</w:t>
      </w:r>
    </w:p>
    <w:p>
      <w:pPr>
        <w:pStyle w:val="ListNumber"/>
      </w:pPr>
      <w:r>
        <w:rPr>
          <w:rFonts w:ascii="Calibri" w:hAnsi="Calibri" w:eastAsia="微软雅黑"/>
          <w:b w:val="0"/>
          <w:i w:val="0"/>
          <w:sz w:val="22"/>
        </w:rPr>
        <w:t>我们目标市场里总承包占比的行业曲线走到哪一段了？（对标中电工程十年间23%→83%的曲线，P6023）</w:t>
      </w:r>
    </w:p>
    <w:p>
      <w:pPr>
        <w:pStyle w:val="ListNumber"/>
      </w:pPr>
      <w:r>
        <w:rPr>
          <w:rFonts w:ascii="Calibri" w:hAnsi="Calibri" w:eastAsia="微软雅黑"/>
          <w:b w:val="0"/>
          <w:i w:val="0"/>
          <w:sz w:val="22"/>
        </w:rPr>
        <w:t>我们的设计对象化/结构化数据能力是几级——能否自动生成清单而非人工逐张查图？（对标EB统计效率提升80%以上，P6021）</w:t>
      </w:r>
    </w:p>
    <w:p>
      <w:pPr>
        <w:pStyle w:val="ListNumber"/>
      </w:pPr>
      <w:r>
        <w:rPr>
          <w:rFonts w:ascii="Calibri" w:hAnsi="Calibri" w:eastAsia="微软雅黑"/>
          <w:b w:val="0"/>
          <w:i w:val="0"/>
          <w:sz w:val="22"/>
        </w:rPr>
        <w:t>我们有没有把概算三法与设备安装计价四法固化为报价系统组件？（P6017）</w:t>
      </w:r>
    </w:p>
    <w:p>
      <w:pPr>
        <w:pStyle w:val="ListNumber"/>
      </w:pPr>
      <w:r>
        <w:rPr>
          <w:rFonts w:ascii="Calibri" w:hAnsi="Calibri" w:eastAsia="微软雅黑"/>
          <w:b w:val="0"/>
          <w:i w:val="0"/>
          <w:sz w:val="22"/>
        </w:rPr>
        <w:t>我们的付款节点设计能否做到10%-80%-5%-5%级别的现金流控制，并敢用供应商直付？（对标中机国际开封项目，P6034）</w:t>
      </w:r>
    </w:p>
    <w:p>
      <w:pPr>
        <w:pStyle w:val="ListNumber"/>
      </w:pPr>
      <w:r>
        <w:rPr>
          <w:rFonts w:ascii="Calibri" w:hAnsi="Calibri" w:eastAsia="微软雅黑"/>
          <w:b w:val="0"/>
          <w:i w:val="0"/>
          <w:sz w:val="22"/>
        </w:rPr>
        <w:t>我们对分包商的准入、连带责任与总包解除时的同步解除条款是否已有范本？（(2016)最高法民再53号；P6017；反面样本P6007；P6011）</w:t>
      </w:r>
    </w:p>
    <w:p>
      <w:pPr>
        <w:pStyle w:val="ListNumber"/>
      </w:pPr>
      <w:r>
        <w:rPr>
          <w:rFonts w:ascii="Calibri" w:hAnsi="Calibri" w:eastAsia="微软雅黑"/>
          <w:b w:val="0"/>
          <w:i w:val="0"/>
          <w:sz w:val="22"/>
        </w:rPr>
        <w:t>我们是否明确目标合同实为"治理型"而非"对赌型"，并据此校准了报价与风险准备金？（P6002）</w:t>
      </w:r>
    </w:p>
    <w:p>
      <w:pPr>
        <w:pStyle w:val="ListNumber"/>
      </w:pPr>
      <w:r>
        <w:rPr>
          <w:rFonts w:ascii="Calibri" w:hAnsi="Calibri" w:eastAsia="微软雅黑"/>
          <w:b w:val="0"/>
          <w:i w:val="0"/>
          <w:sz w:val="22"/>
        </w:rPr>
        <w:t>我们的安全与责任容量预算是多少——有没有"系统免疫"式的主动防御投入，还是只有事后追责条款？（P6016）</w:t>
      </w:r>
    </w:p>
    <w:p>
      <w:pPr>
        <w:pStyle w:val="ListNumber"/>
      </w:pPr>
      <w:r>
        <w:rPr>
          <w:rFonts w:ascii="Calibri" w:hAnsi="Calibri" w:eastAsia="微软雅黑"/>
          <w:b w:val="0"/>
          <w:i w:val="0"/>
          <w:sz w:val="22"/>
        </w:rPr>
        <w:t>我们的结算、变更签证与竣工文件管理是否已成闭环系统？（失败样本P6006；P6015；P6018；P6019；学术侧证P6031）</w:t>
      </w:r>
    </w:p>
    <w:p>
      <w:pPr>
        <w:pStyle w:val="ListNumber"/>
      </w:pPr>
      <w:r>
        <w:rPr>
          <w:rFonts w:ascii="Calibri" w:hAnsi="Calibri" w:eastAsia="微软雅黑"/>
          <w:b w:val="0"/>
          <w:i w:val="0"/>
          <w:sz w:val="22"/>
        </w:rPr>
        <w:t>我们是否逐省核对了工程总承包招投标的地方法规与电子交易平台要求？（P6032）</w:t>
      </w:r>
    </w:p>
    <w:p>
      <w:pPr>
        <w:pStyle w:val="ListNumber"/>
      </w:pPr>
      <w:r>
        <w:rPr>
          <w:rFonts w:ascii="Calibri" w:hAnsi="Calibri" w:eastAsia="微软雅黑"/>
          <w:b w:val="0"/>
          <w:i w:val="0"/>
          <w:sz w:val="22"/>
        </w:rPr>
        <w:t>我们的报表能否承受权责发生制与上市级审计强度的检验？（P6029；P6014）</w:t>
      </w:r>
    </w:p>
    <w:p>
      <w:r>
        <w:rPr>
          <w:rFonts w:ascii="Calibri" w:hAnsi="Calibri" w:eastAsia="微软雅黑"/>
          <w:b w:val="0"/>
          <w:i w:val="0"/>
          <w:sz w:val="22"/>
        </w:rPr>
        <w:t>十问中若有半数以上答不上，正确的姿势是先补课再进场——本章失败档案里任何一单纠纷的入场费，都远高于补课费。评分用法建议：每问按"已制度化/有安排无制度/从未考虑"三档打分；凡"从未考虑"超过三问，说明企业还在用设计院的操作系统跑总承包的程序，转型应当从治理补课开始，而不是从投标开始。十问的排序也暗含优先级：前四问（行业曲线、对象化、概算工具、付款节点）决定能不能赢（P6023；P6021；P6017；P6034），后六问（分包条款、合同基因、安全容量、结算闭环、地方法规、报表纪律）决定赢了之后能不能把钱拿回来、把风险关进笼子（P6017；P6002；P6016；P6006；P6032；P6014）——多数转型失败发生在后半段，而多数转型方案只写了前半段。</w:t>
      </w:r>
    </w:p>
    <w:p>
      <w:pPr>
        <w:pStyle w:val="Heading2"/>
      </w:pPr>
      <w:r>
        <w:t>6.5 暗线档案：治理基因、资本化与规则颗粒度</w:t>
      </w:r>
    </w:p>
    <w:p>
      <w:r>
        <w:rPr>
          <w:rFonts w:ascii="Calibri" w:hAnsi="Calibri" w:eastAsia="微软雅黑"/>
          <w:b w:val="0"/>
          <w:i w:val="0"/>
          <w:sz w:val="22"/>
        </w:rPr>
        <w:t>双向档案读完，管理层通常带走三样东西：对标数字、排雷清单、十问自查。但档案深处还压着三条不那么显眼、却直接决定转型成色的暗线——治理基因以什么形态合一、企业身份与资本化是否先行、规则文本里"非强制"三个字意味着什么。三条暗线的共同点是：都不出现在中标公告里，却都出现在判决书与事故调查报告里。本节把它们从档案深处翻出来逐条拆开，并收拢为一张可以直接带进尽调会议室的核对表。</w:t>
      </w:r>
    </w:p>
    <w:p>
      <w:pPr>
        <w:pStyle w:val="Heading3"/>
      </w:pPr>
      <w:r>
        <w:t>6.5.1 治理暗线：从DBB撕裂到"后向一体化"，再到"双源合一"的基因手术</w:t>
      </w:r>
    </w:p>
    <w:p>
      <w:r>
        <w:rPr>
          <w:rFonts w:ascii="Calibri" w:hAnsi="Calibri" w:eastAsia="微软雅黑"/>
          <w:b w:val="0"/>
          <w:i w:val="0"/>
          <w:sz w:val="22"/>
        </w:rPr>
        <w:t>方向判断先立住。华昕设计集团研究开篇第一章的标题本身就是一个论断：传统设计院从DBB模式撕裂走向"后向一体化"EPC总承包，是商业模式演进的必然趋势（P6026）。"后向一体化"这个措辞值得写进董事会的词典——它说的不是设计院多元化跨界去干施工，而是沿自身价值链向后整合：设计端天然握着采购标准、工程量与造价信息的源头，向施工端整合，本质是把这张信息优势牌兑现为集成利润。DBB（设计—招标—建造）把设计与施工切成两段合同，接口风险落在业主与图纸会审桌上；"后向一体化"则把这口风险锅从业主手里接过来、明码标价——这正是总承包溢价的来源，也是它的全部风险所在。把这条判断翻译成买方语言：设计院转型的第一问不再是"要不要总承包资质"，而是"我们的信息源头优势，准备用什么组织形态去兑现"——资质只是门票，组织形态才是分红方式。这一判断与6.1全部成功样本的路径完全一致：中核工程以设计对象化统筹采购与施工（P6020），中机国际以"研发—设计—总包"生态链锁定下游采购与施工成本（P6029），安徽院把设计在总承包中的龙头引导作用写进战略（P6030）。</w:t>
      </w:r>
    </w:p>
    <w:p>
      <w:r>
        <w:rPr>
          <w:rFonts w:ascii="Calibri" w:hAnsi="Calibri" w:eastAsia="微软雅黑"/>
          <w:b w:val="0"/>
          <w:i w:val="0"/>
          <w:sz w:val="22"/>
        </w:rPr>
        <w:t>但"走向一体化"有三条路，代价与成色完全不同：联合体投标、资质合并（牌照合一）、法人级重组。中石化南京工程的研究把第三条路命名为"双源合一"——通过设计能力与施工能力的法人级深度重构，打破组织壁垒，实现组织交付基因与设计概算全过程控制的高度统一（P6017）。该研究同时把不打通的代价写实：设计与施工主体物理分离、缺乏统一法人级交付能力、一体化设计概算管控体系缺失，企业将在大型EPC履约中面临合同分拆争议频发、里程碑节点支付阻滞、履约解除及造价全面失控的商业与法律代价（P6017）。</w:t>
      </w:r>
    </w:p>
    <w:p>
      <w:r>
        <w:rPr>
          <w:rFonts w:ascii="Calibri" w:hAnsi="Calibri" w:eastAsia="微软雅黑"/>
          <w:b w:val="0"/>
          <w:i w:val="0"/>
          <w:sz w:val="22"/>
        </w:rPr>
        <w:t>这条暗线与6.2的失败档案构成精确对偶：丰城沉思录第三章把"设计与施工的分离与冲突"列为中国EPC工程总承包的基因缺陷（P6016），"双源合一"正是针对该缺陷的正面手术方案。也要注意"双源合一"与6.1.1核电样本并不冲突：中核工程是设计龙头自然生长出的总承包能力（P6020），中石化南京工程路径是设计与施工两家主体的法人级焊接（P6017）——前者是先天一体化，后者是后天手术；买方要识别的始终是手术有没有做彻底。由此还可以给6.2那句"牌照合一不等于基因合一"补上可操作的判据——基因合一与否，不看资质证书的数量，不看组织架构图的形状，只看一件事：概算管控有没有随组织合一而全过程化（P6017）。三条路径的对照如下：</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一体化路径</w:t>
            </w:r>
          </w:p>
        </w:tc>
        <w:tc>
          <w:tcPr>
            <w:tcW w:type="dxa" w:w="1383"/>
            <w:shd w:fill="1F3A5F"/>
          </w:tcPr>
          <w:p>
            <w:r>
              <w:rPr>
                <w:color w:val="FFFFFF"/>
              </w:rPr>
            </w:r>
            <w:r>
              <w:rPr>
                <w:rFonts w:ascii="Calibri" w:hAnsi="Calibri" w:eastAsia="微软雅黑"/>
                <w:b/>
                <w:i w:val="0"/>
                <w:color w:val="FFFFFF"/>
                <w:sz w:val="18"/>
              </w:rPr>
              <w:t>责任主体</w:t>
            </w:r>
          </w:p>
        </w:tc>
        <w:tc>
          <w:tcPr>
            <w:tcW w:type="dxa" w:w="1383"/>
            <w:shd w:fill="1F3A5F"/>
          </w:tcPr>
          <w:p>
            <w:r>
              <w:rPr>
                <w:color w:val="FFFFFF"/>
              </w:rPr>
            </w:r>
            <w:r>
              <w:rPr>
                <w:rFonts w:ascii="Calibri" w:hAnsi="Calibri" w:eastAsia="微软雅黑"/>
                <w:b/>
                <w:i w:val="0"/>
                <w:color w:val="FFFFFF"/>
                <w:sz w:val="18"/>
              </w:rPr>
              <w:t>设计-施工接口</w:t>
            </w:r>
          </w:p>
        </w:tc>
        <w:tc>
          <w:tcPr>
            <w:tcW w:type="dxa" w:w="1383"/>
            <w:shd w:fill="1F3A5F"/>
          </w:tcPr>
          <w:p>
            <w:r>
              <w:rPr>
                <w:color w:val="FFFFFF"/>
              </w:rPr>
            </w:r>
            <w:r>
              <w:rPr>
                <w:rFonts w:ascii="Calibri" w:hAnsi="Calibri" w:eastAsia="微软雅黑"/>
                <w:b/>
                <w:i w:val="0"/>
                <w:color w:val="FFFFFF"/>
                <w:sz w:val="18"/>
              </w:rPr>
              <w:t>概算管控</w:t>
            </w:r>
          </w:p>
        </w:tc>
        <w:tc>
          <w:tcPr>
            <w:tcW w:type="dxa" w:w="1383"/>
            <w:shd w:fill="1F3A5F"/>
          </w:tcPr>
          <w:p>
            <w:r>
              <w:rPr>
                <w:color w:val="FFFFFF"/>
              </w:rPr>
            </w:r>
            <w:r>
              <w:rPr>
                <w:rFonts w:ascii="Calibri" w:hAnsi="Calibri" w:eastAsia="微软雅黑"/>
                <w:b/>
                <w:i w:val="0"/>
                <w:color w:val="FFFFFF"/>
                <w:sz w:val="18"/>
              </w:rPr>
              <w:t>主要风险</w:t>
            </w:r>
          </w:p>
        </w:tc>
        <w:tc>
          <w:tcPr>
            <w:tcW w:type="dxa" w:w="1383"/>
            <w:shd w:fill="1F3A5F"/>
          </w:tcPr>
          <w:p>
            <w:r>
              <w:rPr>
                <w:color w:val="FFFFFF"/>
              </w:rPr>
            </w:r>
            <w:r>
              <w:rPr>
                <w:rFonts w:ascii="Calibri" w:hAnsi="Calibri" w:eastAsia="微软雅黑"/>
                <w:b/>
                <w:i w:val="0"/>
                <w:color w:val="FFFFFF"/>
                <w:sz w:val="18"/>
              </w:rPr>
              <w:t>证据锚点</w:t>
            </w:r>
          </w:p>
        </w:tc>
      </w:tr>
      <w:tr>
        <w:tc>
          <w:tcPr>
            <w:tcW w:type="dxa" w:w="1383"/>
          </w:tcPr>
          <w:p>
            <w:r/>
            <w:r>
              <w:rPr>
                <w:rFonts w:ascii="Calibri" w:hAnsi="Calibri" w:eastAsia="微软雅黑"/>
                <w:b w:val="0"/>
                <w:i w:val="0"/>
                <w:sz w:val="18"/>
              </w:rPr>
              <w:t>联合体投标</w:t>
            </w:r>
          </w:p>
        </w:tc>
        <w:tc>
          <w:tcPr>
            <w:tcW w:type="dxa" w:w="1383"/>
          </w:tcPr>
          <w:p>
            <w:r/>
            <w:r>
              <w:rPr>
                <w:rFonts w:ascii="Calibri" w:hAnsi="Calibri" w:eastAsia="微软雅黑"/>
                <w:b w:val="0"/>
                <w:i w:val="0"/>
                <w:sz w:val="18"/>
              </w:rPr>
              <w:t>两个法人、对外连带</w:t>
            </w:r>
          </w:p>
        </w:tc>
        <w:tc>
          <w:tcPr>
            <w:tcW w:type="dxa" w:w="1383"/>
          </w:tcPr>
          <w:p>
            <w:r/>
            <w:r>
              <w:rPr>
                <w:rFonts w:ascii="Calibri" w:hAnsi="Calibri" w:eastAsia="微软雅黑"/>
                <w:b w:val="0"/>
                <w:i w:val="0"/>
                <w:sz w:val="18"/>
              </w:rPr>
              <w:t>靠接口协议维系，摩擦扯皮高发</w:t>
            </w:r>
          </w:p>
        </w:tc>
        <w:tc>
          <w:tcPr>
            <w:tcW w:type="dxa" w:w="1383"/>
          </w:tcPr>
          <w:p>
            <w:r/>
            <w:r>
              <w:rPr>
                <w:rFonts w:ascii="Calibri" w:hAnsi="Calibri" w:eastAsia="微软雅黑"/>
                <w:b w:val="0"/>
                <w:i w:val="0"/>
                <w:sz w:val="18"/>
              </w:rPr>
              <w:t>各算各的，难以穿透</w:t>
            </w:r>
          </w:p>
        </w:tc>
        <w:tc>
          <w:tcPr>
            <w:tcW w:type="dxa" w:w="1383"/>
          </w:tcPr>
          <w:p>
            <w:r/>
            <w:r>
              <w:rPr>
                <w:rFonts w:ascii="Calibri" w:hAnsi="Calibri" w:eastAsia="微软雅黑"/>
                <w:b w:val="0"/>
                <w:i w:val="0"/>
                <w:sz w:val="18"/>
              </w:rPr>
              <w:t>合作方违约连带、违法分包链条传染</w:t>
            </w:r>
          </w:p>
        </w:tc>
        <w:tc>
          <w:tcPr>
            <w:tcW w:type="dxa" w:w="1383"/>
          </w:tcPr>
          <w:p>
            <w:r/>
            <w:r>
              <w:rPr>
                <w:rFonts w:ascii="Calibri" w:hAnsi="Calibri" w:eastAsia="微软雅黑"/>
                <w:b w:val="0"/>
                <w:i w:val="0"/>
                <w:sz w:val="18"/>
              </w:rPr>
              <w:t>P6030；P6011</w:t>
            </w:r>
          </w:p>
        </w:tc>
      </w:tr>
      <w:tr>
        <w:tc>
          <w:tcPr>
            <w:tcW w:type="dxa" w:w="1383"/>
          </w:tcPr>
          <w:p>
            <w:r/>
            <w:r>
              <w:rPr>
                <w:rFonts w:ascii="Calibri" w:hAnsi="Calibri" w:eastAsia="微软雅黑"/>
                <w:b w:val="0"/>
                <w:i w:val="0"/>
                <w:sz w:val="18"/>
              </w:rPr>
              <w:t>资质合并（牌照合一）</w:t>
            </w:r>
          </w:p>
        </w:tc>
        <w:tc>
          <w:tcPr>
            <w:tcW w:type="dxa" w:w="1383"/>
          </w:tcPr>
          <w:p>
            <w:r/>
            <w:r>
              <w:rPr>
                <w:rFonts w:ascii="Calibri" w:hAnsi="Calibri" w:eastAsia="微软雅黑"/>
                <w:b w:val="0"/>
                <w:i w:val="0"/>
                <w:sz w:val="18"/>
              </w:rPr>
              <w:t>一个法人、两套组织行为</w:t>
            </w:r>
          </w:p>
        </w:tc>
        <w:tc>
          <w:tcPr>
            <w:tcW w:type="dxa" w:w="1383"/>
          </w:tcPr>
          <w:p>
            <w:r/>
            <w:r>
              <w:rPr>
                <w:rFonts w:ascii="Calibri" w:hAnsi="Calibri" w:eastAsia="微软雅黑"/>
                <w:b w:val="0"/>
                <w:i w:val="0"/>
                <w:sz w:val="18"/>
              </w:rPr>
              <w:t>分离被装进同一口袋，冲突内化</w:t>
            </w:r>
          </w:p>
        </w:tc>
        <w:tc>
          <w:tcPr>
            <w:tcW w:type="dxa" w:w="1383"/>
          </w:tcPr>
          <w:p>
            <w:r/>
            <w:r>
              <w:rPr>
                <w:rFonts w:ascii="Calibri" w:hAnsi="Calibri" w:eastAsia="微软雅黑"/>
                <w:b w:val="0"/>
                <w:i w:val="0"/>
                <w:sz w:val="18"/>
              </w:rPr>
              <w:t>形式统一、实质割裂</w:t>
            </w:r>
          </w:p>
        </w:tc>
        <w:tc>
          <w:tcPr>
            <w:tcW w:type="dxa" w:w="1383"/>
          </w:tcPr>
          <w:p>
            <w:r/>
            <w:r>
              <w:rPr>
                <w:rFonts w:ascii="Calibri" w:hAnsi="Calibri" w:eastAsia="微软雅黑"/>
                <w:b w:val="0"/>
                <w:i w:val="0"/>
                <w:sz w:val="18"/>
              </w:rPr>
              <w:t>"先进的壳、失灵的芯"</w:t>
            </w:r>
          </w:p>
        </w:tc>
        <w:tc>
          <w:tcPr>
            <w:tcW w:type="dxa" w:w="1383"/>
          </w:tcPr>
          <w:p>
            <w:r/>
            <w:r>
              <w:rPr>
                <w:rFonts w:ascii="Calibri" w:hAnsi="Calibri" w:eastAsia="微软雅黑"/>
                <w:b w:val="0"/>
                <w:i w:val="0"/>
                <w:sz w:val="18"/>
              </w:rPr>
              <w:t>P6016</w:t>
            </w:r>
          </w:p>
        </w:tc>
      </w:tr>
      <w:tr>
        <w:tc>
          <w:tcPr>
            <w:tcW w:type="dxa" w:w="1383"/>
          </w:tcPr>
          <w:p>
            <w:r/>
            <w:r>
              <w:rPr>
                <w:rFonts w:ascii="Calibri" w:hAnsi="Calibri" w:eastAsia="微软雅黑"/>
                <w:b w:val="0"/>
                <w:i w:val="0"/>
                <w:sz w:val="18"/>
              </w:rPr>
              <w:t>双源合一（法人级重组）</w:t>
            </w:r>
          </w:p>
        </w:tc>
        <w:tc>
          <w:tcPr>
            <w:tcW w:type="dxa" w:w="1383"/>
          </w:tcPr>
          <w:p>
            <w:r/>
            <w:r>
              <w:rPr>
                <w:rFonts w:ascii="Calibri" w:hAnsi="Calibri" w:eastAsia="微软雅黑"/>
                <w:b w:val="0"/>
                <w:i w:val="0"/>
                <w:sz w:val="18"/>
              </w:rPr>
              <w:t>一个法人、一套交付基因</w:t>
            </w:r>
          </w:p>
        </w:tc>
        <w:tc>
          <w:tcPr>
            <w:tcW w:type="dxa" w:w="1383"/>
          </w:tcPr>
          <w:p>
            <w:r/>
            <w:r>
              <w:rPr>
                <w:rFonts w:ascii="Calibri" w:hAnsi="Calibri" w:eastAsia="微软雅黑"/>
                <w:b w:val="0"/>
                <w:i w:val="0"/>
                <w:sz w:val="18"/>
              </w:rPr>
              <w:t>流程级打通、数据级对齐</w:t>
            </w:r>
          </w:p>
        </w:tc>
        <w:tc>
          <w:tcPr>
            <w:tcW w:type="dxa" w:w="1383"/>
          </w:tcPr>
          <w:p>
            <w:r/>
            <w:r>
              <w:rPr>
                <w:rFonts w:ascii="Calibri" w:hAnsi="Calibri" w:eastAsia="微软雅黑"/>
                <w:b w:val="0"/>
                <w:i w:val="0"/>
                <w:sz w:val="18"/>
              </w:rPr>
              <w:t>设计概算全过程控制</w:t>
            </w:r>
          </w:p>
        </w:tc>
        <w:tc>
          <w:tcPr>
            <w:tcW w:type="dxa" w:w="1383"/>
          </w:tcPr>
          <w:p>
            <w:r/>
            <w:r>
              <w:rPr>
                <w:rFonts w:ascii="Calibri" w:hAnsi="Calibri" w:eastAsia="微软雅黑"/>
                <w:b w:val="0"/>
                <w:i w:val="0"/>
                <w:sz w:val="18"/>
              </w:rPr>
              <w:t>整合期组织摩擦与重组成本</w:t>
            </w:r>
          </w:p>
        </w:tc>
        <w:tc>
          <w:tcPr>
            <w:tcW w:type="dxa" w:w="1383"/>
          </w:tcPr>
          <w:p>
            <w:r/>
            <w:r>
              <w:rPr>
                <w:rFonts w:ascii="Calibri" w:hAnsi="Calibri" w:eastAsia="微软雅黑"/>
                <w:b w:val="0"/>
                <w:i w:val="0"/>
                <w:sz w:val="18"/>
              </w:rPr>
              <w:t>P6017</w:t>
            </w:r>
          </w:p>
        </w:tc>
      </w:tr>
    </w:tbl>
    <w:p>
      <w:r>
        <w:rPr>
          <w:rFonts w:ascii="Calibri" w:hAnsi="Calibri" w:eastAsia="微软雅黑"/>
          <w:b w:val="0"/>
          <w:i w:val="0"/>
          <w:sz w:val="22"/>
        </w:rPr>
        <w:t>（表源：P6030；P6011；P6016；P6017）</w:t>
      </w:r>
    </w:p>
    <w:p>
      <w:r>
        <w:rPr>
          <w:rFonts w:ascii="Calibri" w:hAnsi="Calibri" w:eastAsia="微软雅黑"/>
          <w:b w:val="0"/>
          <w:i w:val="0"/>
          <w:sz w:val="22"/>
        </w:rPr>
        <w:t>买方读法：评估合作方或自家的转型成色时，先问清处在表中哪一格，再索要概算全过程管控的证据件——投标评审时让对方拿出概算体系从立项跑到结算的完整轨迹。答不上这一问的"一体化"，大概率停留在第一格或第二格；而6.3死法三的违法分包链条（P6007；P6011），多半就是从第一格的接口缝隙里长出来的。</w:t>
      </w:r>
    </w:p>
    <w:p>
      <w:pPr>
        <w:pStyle w:val="Heading3"/>
      </w:pPr>
      <w:r>
        <w:t>6.5.2 资本化暗线：改制、增资与"报表三问"</w:t>
      </w:r>
    </w:p>
    <w:p>
      <w:r>
        <w:rPr>
          <w:rFonts w:ascii="Calibri" w:hAnsi="Calibri" w:eastAsia="微软雅黑"/>
          <w:b w:val="0"/>
          <w:i w:val="0"/>
          <w:sz w:val="22"/>
        </w:rPr>
        <w:t>成功档案里的企业，几乎都先做了一次身份手术。电子院相关的重组文件记录了这一步：由全民所有制变更为有限责任公司（法人独资），2018年注册资本增至70,000万元（P6023）。改制不是纸面文章——全民所有制企业与有限责任公司在责任财产边界、决策程序与审计口径上分属两个世界，而工程总承包的法定责任形态是"对工程的质量、安全、工期和造价等全面负责"（P6032），只有规范的公司治理结构能稳定承载这种全面责任。换言之，身份手术是责任容量的扩容手术：注册资本从哪里来、追加到什么规模，直接决定一家企业在6.3死法五那种"认缴50万元却承载千万级履约责任"的筛查（P6012）中站在哪一侧。这也是为什么身份手术要排在第一单总承包之前而不是之后：责任容量的缺口无法用事后增资弥补——工程纠纷从发生到成讼动辄数年（荣成案从2006年开工、2008年决算到此后成讼，P6015），诉讼时点上的资本结构与信用记录才是真正被执行到的版本。对营收池尚薄的中型院，这层含义更为实际——上海院单笔配电级订单即可占到全年营业收入的4.09%（P6025），一笔总承包合同的履约责任与自有资本之间的比例关系，从第一标起就是生死题。</w:t>
      </w:r>
    </w:p>
    <w:p>
      <w:r>
        <w:rPr>
          <w:rFonts w:ascii="Calibri" w:hAnsi="Calibri" w:eastAsia="微软雅黑"/>
          <w:b w:val="0"/>
          <w:i w:val="0"/>
          <w:sz w:val="22"/>
        </w:rPr>
        <w:t>资本化之后，纪律的颗粒度立即变细。中国电建2026年半年报在正文开篇就用内嵌自查表回答了三个问题：是否存在被控股股东及其他关联方非经营性占用资金的情况（否）；是否存在违反规定决策程序对外提供担保的情况（否）；是否存在半数以上董事无法保证所披露半年度报告真实性、准确性和完整性的情况（否）；公司负责人、主管会计工作负责人与会计机构负责人并就财务报告的真实、准确、完整作出三重声明（P6014）。买方可以把这份"报表三问"原样搬进对任何总承包合作方的尽调问卷：三问的合规答案都应当是"否"且逐项可核验；答不出或答得含糊的，一律按死法五处理——先查股权结构与偿付能力，再谈合作（P6012）。尽调问卷之外再加一道涉诉扫描：样本里中铁十五局与中铁隧道集团的纠纷进入再审（P6010），十一冶建设集团与江苏省电力建设第三工程有限公司的同类纠纷打到二审（P6033）——连央企阵营都不能免诉，说明涉诉记录本身不是否决项，关键看两点：涉诉密度是否与业务体量匹配、是否存在批量同类案由（后者意味着系统性管理缺陷，而非偶发商业纠纷）。</w:t>
      </w:r>
    </w:p>
    <w:p>
      <w:r>
        <w:rPr>
          <w:rFonts w:ascii="Calibri" w:hAnsi="Calibri" w:eastAsia="微软雅黑"/>
          <w:b w:val="0"/>
          <w:i w:val="0"/>
          <w:sz w:val="22"/>
        </w:rPr>
        <w:t>同一暗线还有一处文本级细节：GF-2020-0216的性质是"政府制定的示范合同，供当事人参照使用，非强制"；FIDIC银皮书则是"国际组织编制的标准合同条件，经当事人选用生效"（P6002）。"非强制"三个字的生意含义是：示范文本的均衡保护不会自动降临，专用条件写什么、风险分担改什么，全凭签约双方的文本功力——这正是6.4.1"两种EPC不是同一物种"警告的最终落点。把它与报表三问并置，买方应形成一个条件反射：凡对方以"国家标准合同"为由要求快速签约的场合，恰恰是专用条款最需要逐条过堂的时刻。</w:t>
      </w:r>
    </w:p>
    <w:p>
      <w:pPr>
        <w:pStyle w:val="Heading3"/>
      </w:pPr>
      <w:r>
        <w:t>6.5.3 规则颗粒度暗线：学术议程的两道新防线与暗线核对表</w:t>
      </w:r>
    </w:p>
    <w:p>
      <w:r>
        <w:rPr>
          <w:rFonts w:ascii="Calibri" w:hAnsi="Calibri" w:eastAsia="微软雅黑"/>
          <w:b w:val="0"/>
          <w:i w:val="0"/>
          <w:sz w:val="22"/>
        </w:rPr>
        <w:t>纠纷研究议程的变化同样值得读。一份汇集42篇学术论文摘要的汇编，其主题结构覆盖实际施工人、优先受偿权、黑白合同、合同效力、工程结算等核心议题（P6031）。与6.3的五种死法对照，学术议程里"优先受偿权"与"黑白合同"这两块，恰是总承包商资产侧与价格侧的两道防线：前者关系工程价款收不回时，能否就工程折价或拍卖价款优先受偿；后者关系招标合同与实际履行合同不一致时，最终按哪一份结算。本章证据池未展开这两个主题的裁判规则细节，故此处不做具体法律结论；但它们应当与实际施工人制度的取向变迁（P6031）一起，进入转型设计院合同部门的年度培训大纲——规则的颗粒度，就是合同防线的颗粒度；而合同防线的颗粒度，最终决定6.3里那些数字是别人的学费，还是自己的账单。</w:t>
      </w:r>
    </w:p>
    <w:p>
      <w:r>
        <w:rPr>
          <w:rFonts w:ascii="Calibri" w:hAnsi="Calibri" w:eastAsia="微软雅黑"/>
          <w:b w:val="0"/>
          <w:i w:val="0"/>
          <w:sz w:val="22"/>
        </w:rPr>
        <w:t>三条暗线最后收拢为一张可带走的核对表，建议与6.4.4的十问并行使用：十问回答"凭什么赢"，暗线核对表回答"地基打没打好"——</w:t>
      </w:r>
    </w:p>
    <w:p>
      <w:pPr>
        <w:pStyle w:val="ListNumber"/>
      </w:pPr>
      <w:r>
        <w:rPr>
          <w:rFonts w:ascii="Calibri" w:hAnsi="Calibri" w:eastAsia="微软雅黑"/>
          <w:b w:val="0"/>
          <w:i w:val="0"/>
          <w:sz w:val="22"/>
        </w:rPr>
        <w:t>我方与合作方的设计-施工一体化处在哪一格：联合体、牌照合并，还是双源合一？（P6030；P6016；P6017）</w:t>
      </w:r>
    </w:p>
    <w:p>
      <w:pPr>
        <w:pStyle w:val="ListNumber"/>
      </w:pPr>
      <w:r>
        <w:rPr>
          <w:rFonts w:ascii="Calibri" w:hAnsi="Calibri" w:eastAsia="微软雅黑"/>
          <w:b w:val="0"/>
          <w:i w:val="0"/>
          <w:sz w:val="22"/>
        </w:rPr>
        <w:t>概算管控是否已随组织安排全过程化：有没有从立项跑到结算的完整证据件？（P6017）</w:t>
      </w:r>
    </w:p>
    <w:p>
      <w:pPr>
        <w:pStyle w:val="ListNumber"/>
      </w:pPr>
      <w:r>
        <w:rPr>
          <w:rFonts w:ascii="Calibri" w:hAnsi="Calibri" w:eastAsia="微软雅黑"/>
          <w:b w:val="0"/>
          <w:i w:val="0"/>
          <w:sz w:val="22"/>
        </w:rPr>
        <w:t>企业是否完成公司制改制，注册资本轨迹能否支撑总承包的责任容量？（P6023；P6032）</w:t>
      </w:r>
    </w:p>
    <w:p>
      <w:pPr>
        <w:pStyle w:val="ListNumber"/>
      </w:pPr>
      <w:r>
        <w:rPr>
          <w:rFonts w:ascii="Calibri" w:hAnsi="Calibri" w:eastAsia="微软雅黑"/>
          <w:b w:val="0"/>
          <w:i w:val="0"/>
          <w:sz w:val="22"/>
        </w:rPr>
        <w:t>报表三问是否写入合作方尽调问卷并要求逐项核验，涉诉扫描是否已成例行？（P6014；P6010；P6033）</w:t>
      </w:r>
    </w:p>
    <w:p>
      <w:pPr>
        <w:pStyle w:val="ListNumber"/>
      </w:pPr>
      <w:r>
        <w:rPr>
          <w:rFonts w:ascii="Calibri" w:hAnsi="Calibri" w:eastAsia="微软雅黑"/>
          <w:b w:val="0"/>
          <w:i w:val="0"/>
          <w:sz w:val="22"/>
        </w:rPr>
        <w:t>对"示范文本非强制"是否有制度响应：专用条款评审有无独立流程与留痕？（P6002）</w:t>
      </w:r>
    </w:p>
    <w:p>
      <w:pPr>
        <w:pStyle w:val="ListNumber"/>
      </w:pPr>
      <w:r>
        <w:rPr>
          <w:rFonts w:ascii="Calibri" w:hAnsi="Calibri" w:eastAsia="微软雅黑"/>
          <w:b w:val="0"/>
          <w:i w:val="0"/>
          <w:sz w:val="22"/>
        </w:rPr>
        <w:t>优先受偿权与黑白合同两道防线是否进入合同部培训与合同范本？（P6031）</w:t>
      </w:r>
    </w:p>
    <w:p>
      <w:pPr>
        <w:pStyle w:val="ListNumber"/>
      </w:pPr>
      <w:r>
        <w:rPr>
          <w:rFonts w:ascii="Calibri" w:hAnsi="Calibri" w:eastAsia="微软雅黑"/>
          <w:b w:val="0"/>
          <w:i w:val="0"/>
          <w:sz w:val="22"/>
        </w:rPr>
        <w:t>联合体与合作方是否按死法三、死法五完成股权、资质、偿付能力三查？（P6007；P6011；P6012）</w:t>
      </w:r>
    </w:p>
    <w:p>
      <w:pPr>
        <w:pStyle w:val="ListNumber"/>
      </w:pPr>
      <w:r>
        <w:rPr>
          <w:rFonts w:ascii="Calibri" w:hAnsi="Calibri" w:eastAsia="微软雅黑"/>
          <w:b w:val="0"/>
          <w:i w:val="0"/>
          <w:sz w:val="22"/>
        </w:rPr>
        <w:t>改制、增资与转型预算是否同步排程：先垫责任容量，再谈中标野心？（P6023；P6025）</w:t>
      </w:r>
    </w:p>
    <w:p>
      <w:r>
        <w:rPr>
          <w:rFonts w:ascii="Calibri" w:hAnsi="Calibri" w:eastAsia="微软雅黑"/>
          <w:b w:val="0"/>
          <w:i w:val="0"/>
          <w:sz w:val="22"/>
        </w:rPr>
        <w:t>（表中锚点均为本章已展开证据的索引。核对表用法与十问一致：由经营、合同、财务三条线分别作答并归档，每半年复评一次——暗线的三个变量会随时间漂移，一次作答不等于长期合格。）</w:t>
      </w:r>
    </w:p>
    <w:p>
      <w:r>
        <w:rPr>
          <w:rFonts w:ascii="Calibri" w:hAnsi="Calibri" w:eastAsia="微软雅黑"/>
          <w:b w:val="0"/>
          <w:i w:val="0"/>
          <w:sz w:val="22"/>
        </w:rPr>
        <w:t>所以呢：6.1给了目标曲线，6.2、6.3给了风险底线，6.4给了机理与十问，6.5补的是地基侧的三个静默变量——治理基因的合一形态、身份与资本的责任容量、规则文本的颗粒度。它们在宣传稿里最不显眼，在裁判文书与事故调查里最致命；转型方案若只写业务不写地基，等于拿第一格的接口摩擦去承载第三格的野心。</w:t>
      </w:r>
    </w:p>
    <w:p>
      <w:pPr>
        <w:pStyle w:val="Heading2"/>
      </w:pPr>
      <w:r>
        <w:t>6.6 应用层档案：五条补充证据、三处案例补深与一张启动排期表</w:t>
      </w:r>
    </w:p>
    <w:p>
      <w:r>
        <w:rPr>
          <w:rFonts w:ascii="Calibri" w:hAnsi="Calibri" w:eastAsia="微软雅黑"/>
          <w:b w:val="0"/>
          <w:i w:val="0"/>
          <w:sz w:val="22"/>
        </w:rPr>
        <w:t>双向档案读到这里，管理层手里已经有了目标曲线、风险底线、三个机理、十问与暗线核对表。本节做最后一步收口：把档案中此前未展开的证据补进主线，再压成一张可按周执行的行动排期表。补充证据的意义不在多几条数字，而在把已有结论的置信度与颗粒度各抬一档——五条证据全部来自本章弹药库既有锚点，买方复核时每格可点。</w:t>
      </w:r>
    </w:p>
    <w:p>
      <w:pPr>
        <w:pStyle w:val="Heading3"/>
      </w:pPr>
      <w:r>
        <w:t>6.6.1 五条补充证据</w:t>
      </w:r>
    </w:p>
    <w:p>
      <w:r>
        <w:rPr>
          <w:rFonts w:ascii="Calibri" w:hAnsi="Calibri" w:eastAsia="微软雅黑"/>
          <w:b/>
          <w:i w:val="0"/>
          <w:sz w:val="22"/>
        </w:rPr>
        <w:t>证据一：2025拐点从两条线变成四条线。</w:t>
      </w:r>
      <w:r>
        <w:rPr>
          <w:rFonts w:ascii="Calibri" w:hAnsi="Calibri" w:eastAsia="微软雅黑"/>
          <w:b w:val="0"/>
          <w:i w:val="0"/>
          <w:sz w:val="22"/>
        </w:rPr>
        <w:t xml:space="preserve"> 6.1.4曾以电子院（信息密度2→6）与湖南院（7→12）两条独立产线指向2025年前后行业信息密度跳升（P6023；P6024）。补采同批洞察包的头部结论后，同一判断再添两条：上海院洞察包标注"疑似拐点2025（信息密度2→7）"（P6025），安徽院洞察包标注"疑似拐点2025（信息密度1→6）"（P6028）。own_calc：五份洞察包中四份独立收敛于2025。同样要如实呈现的是，山西院洞察包的头部结论未标注拐点（P6027）。买方读法有二：其一，四条产线在不同语料上收敛于同一年份，作为新能源与更新场景放量的旁证，强度显著高于两条，且其在竞标端的投影正是6.1.3的毫米级价差（P6030）——信息更密的市场必然竞价更细；其二，第五份的沉默提醒这是"疑似"判断而非全称结论，直接采信前应按各院证据底盘（803、721、705、665、667份文档，P6023；P6024；P6025；P6027；P6028）复核抽取口径。多源收敛与如实披露分歧，本就是证据纪律的一体两面。</w:t>
      </w:r>
    </w:p>
    <w:p>
      <w:r>
        <w:rPr>
          <w:rFonts w:ascii="Calibri" w:hAnsi="Calibri" w:eastAsia="微软雅黑"/>
          <w:b/>
          <w:i w:val="0"/>
          <w:sz w:val="22"/>
        </w:rPr>
        <w:t>证据二：责任容量是跨年铺垫，不是临标突击。</w:t>
      </w:r>
      <w:r>
        <w:rPr>
          <w:rFonts w:ascii="Calibri" w:hAnsi="Calibri" w:eastAsia="微软雅黑"/>
          <w:b w:val="0"/>
          <w:i w:val="0"/>
          <w:sz w:val="22"/>
        </w:rPr>
        <w:t xml:space="preserve"> 6.5.2引用了电子院2018年注册资本增至70,000万元并完成公司制变更（P6023）。档案里还有更早的一格：按（国投经营[2013]352号）及修改后的公司章程，申请增加注册资本4,000万元（P6023）。own_calc：2013年到2018年，责任容量的垫高跨了约五年。买方读法：把这条时间轴与6.5.2"先垫责任容量、再谈中标野心"的排序并置，可以看到身份手术在样本企业是多年的既定路线而非临标动作——自评问题应换成"我们的增资排期是按年度排的，还是等大标出现才排"。同一方向还有一条按本章纪律挂起的线索：洞察包中出现"2023年分拆设计板块借壳祁连山上市、新签合同额18812亿元"的证据句（P6025），但该句未标明归属主体，与盲区第3条的招股书序列同属"数字在、主语缺位"，本章不予采信，仅登记为设计板块资产证券化路径的后续核验方向——若属实，它将是6.5.2之外更激进的资本化选项。</w:t>
      </w:r>
    </w:p>
    <w:p>
      <w:r>
        <w:rPr>
          <w:rFonts w:ascii="Calibri" w:hAnsi="Calibri" w:eastAsia="微软雅黑"/>
          <w:b/>
          <w:i w:val="0"/>
          <w:sz w:val="22"/>
        </w:rPr>
        <w:t>证据三：可迁移方法论有跨界实证。</w:t>
      </w:r>
      <w:r>
        <w:rPr>
          <w:rFonts w:ascii="Calibri" w:hAnsi="Calibri" w:eastAsia="微软雅黑"/>
          <w:b w:val="0"/>
          <w:i w:val="0"/>
          <w:sz w:val="22"/>
        </w:rPr>
        <w:t xml:space="preserve"> 6.1.1以穹顶绩效数据的出处颗粒度立过证据纪律（P6001）。补一层背景：那份工时效率管理文档本身指向ITER国际大科学工程安装包（P6001），而中核工程的实战案例清单里，"ITER项目工时管理"与华龙一号蒸汽发生器智能制造、数字化财务管控并列（P6021）；其终稿第14章更直接以"数字化·智能·绿色·出海"命名趋势章（P6000）。买方读法：中核工程"为高端装备制造业提供样板"的自我定位（P6000）不是修辞——工时管理这类通用能力已在跨国界、跨行业的大科学工程上输出。对中型院的含义：方法论资产的变现面比施工产能宽得多，产能会闲置，而工时与对象化的数据管道可以反复复用——这为6.1.5"借机制、不借数字"补上了最有说服力的一条机制。</w:t>
      </w:r>
    </w:p>
    <w:p>
      <w:r>
        <w:rPr>
          <w:rFonts w:ascii="Calibri" w:hAnsi="Calibri" w:eastAsia="微软雅黑"/>
          <w:b/>
          <w:i w:val="0"/>
          <w:sz w:val="22"/>
        </w:rPr>
        <w:t>证据四：颗粒度本身可以当验收标准。</w:t>
      </w:r>
      <w:r>
        <w:rPr>
          <w:rFonts w:ascii="Calibri" w:hAnsi="Calibri" w:eastAsia="微软雅黑"/>
          <w:b w:val="0"/>
          <w:i w:val="0"/>
          <w:sz w:val="22"/>
        </w:rPr>
        <w:t xml:space="preserve"> 中机国际开封项目的签约总代价精确到800,160,000元（P6034），数智底座注明2023年全面启用用友BIP（P6034），项目信息挂协鑫新能源（00451.HK）联合公告与EPC商务合同（P6034）；人才密度同样可核：各类国家注册师及高级专家700余人对员工2400余人，占比约29%（own_calc：700余/2400余≈29%；P6034给出"注册人员占比超29%"的口径，P6029给出人数底盘）。买方读法："逾八亿元"与"800,160,000元"之间的差距，就是尽调材料的差距。采购咨询服务或评估合作方交付质量时，可直接用三级标尺验收：L1"据公司介绍"——不合格；L2标注来源文件——合格；L3标注到具体文档并附数据截止日——优秀。本章成功样本全部落在L3：穹顶数据挂到具体工时效率管理文档（P6001），洞察包逐条证据标注来源文件并声明"全部结论由规则抽取、无模型生成内容"（P6023），中机国际成果明示数据截止2026年10月04日（P6034）。凡停留在L1的合作方，其失败案例只会比成功案例更说不清。</w:t>
      </w:r>
    </w:p>
    <w:p>
      <w:r>
        <w:rPr>
          <w:rFonts w:ascii="Calibri" w:hAnsi="Calibri" w:eastAsia="微软雅黑"/>
          <w:b/>
          <w:i w:val="0"/>
          <w:sz w:val="22"/>
        </w:rPr>
        <w:t>证据五：报表三问的具名机制。</w:t>
      </w:r>
      <w:r>
        <w:rPr>
          <w:rFonts w:ascii="Calibri" w:hAnsi="Calibri" w:eastAsia="微软雅黑"/>
          <w:b w:val="0"/>
          <w:i w:val="0"/>
          <w:sz w:val="22"/>
        </w:rPr>
        <w:t xml:space="preserve"> 6.5.2已把中国电建半年报的自查三问搬进尽调问卷（P6014）。补一个机制细节：三问之外，该半年报由公司负责人丁焰章、主管会计工作负责人杨良及会计机构负责人（会计主管人员）张爱卿就财务报告的真实、准确、完整作出三重声明（P6014），报告页码标至213页（P6014）。买方读法：上市公司报表纪律的核心不是"答否"两个字，而是具名担责——三个自然人对同一份文件承担个别与连带的法律责任（P6014）。把它翻译成总承包场景：要求合作方项目负责人与财务负责人对项目报表共同签署同等级别的声明页，成本近乎为零，震慑却是结构性的；连这一页都签不下来的合作方，其报表三问的答案应先打对折再采信。</w:t>
      </w:r>
    </w:p>
    <w:p>
      <w:pPr>
        <w:pStyle w:val="Heading3"/>
      </w:pPr>
      <w:r>
        <w:t>6.6.2 死法档案的三处补深</w:t>
      </w:r>
    </w:p>
    <w:p>
      <w:r>
        <w:rPr>
          <w:rFonts w:ascii="Calibri" w:hAnsi="Calibri" w:eastAsia="微软雅黑"/>
          <w:b/>
          <w:i w:val="0"/>
          <w:sz w:val="22"/>
        </w:rPr>
        <w:t>补深一：死法三的诉讼半径向上穿透到发包人。</w:t>
      </w:r>
      <w:r>
        <w:rPr>
          <w:rFonts w:ascii="Calibri" w:hAnsi="Calibri" w:eastAsia="微软雅黑"/>
          <w:b w:val="0"/>
          <w:i w:val="0"/>
          <w:sz w:val="22"/>
        </w:rPr>
        <w:t xml:space="preserve"> 此前对新乡一建案只展开了分包链条本身（P6007）。判决书显示，原告刘春新的诉请除判令一建公司与李俊科支付工程款275,000元及利息（自2014年10月1日起按同期同类贷款利率计）外，还要求发包人三浦公司在欠付工程款范围内承担连带责任（P6007）；涉案的两份总包主合同签订于2012年5月25日与10月15日（P6007）。买方读法：违法分包从来不只是总包与包工头之间的事——纠纷半径向下卷入最底层施工人，向上一直卷到发包人。以业主身份进场的买方同样暴露在死法三的射程里，防线是把分包审批权、用印管控与付款归口写进总包合同专用条款，而不是指望"本工程不允许分包"八个字自动生效（P6007）。正在组建联合体的设计院还可据此排定遴选顺序：先按死法五查股权与偿付能力（P6012），再谈联合体协议。</w:t>
      </w:r>
    </w:p>
    <w:p>
      <w:r>
        <w:rPr>
          <w:rFonts w:ascii="Calibri" w:hAnsi="Calibri" w:eastAsia="微软雅黑"/>
          <w:b/>
          <w:i w:val="0"/>
          <w:sz w:val="22"/>
        </w:rPr>
        <w:t>补深二：死法四里"事后补签"的价值与局限。</w:t>
      </w:r>
      <w:r>
        <w:rPr>
          <w:rFonts w:ascii="Calibri" w:hAnsi="Calibri" w:eastAsia="微软雅黑"/>
          <w:b w:val="0"/>
          <w:i w:val="0"/>
          <w:sz w:val="22"/>
        </w:rPr>
        <w:t xml:space="preserve"> 林鸣案常被概括为"结算后拖欠"（P6009）。细看证据结构另有教益：2013年5月24日结算租金246,254元之后，项目部6月21日出具证明、原告当日凭证明到国税局开具发票，6月24日双方补签一份"名为租赁协议、实际为付款协议"的文件，同日支付146,254元（P6009）；庭审中原告举出的六组证据——结算表、证明与发票、补签协议、账户历史明细、身份证、工商登记资料——恰好构成一条闭环证据链（P6009）。买方读法：事后补签配合发票与流水能补救部分举证，但对照同案中"曾另付225万元劳务费、对方未开发票"的交叉抗辩（P6009），补签只封住了已结算那一段，封不住发票流转与互负债的纠缠。证据补丁最便宜的时机仍在交易发生当下——这正是死法一"按诉讼标准归档"的操作化落地。</w:t>
      </w:r>
    </w:p>
    <w:p>
      <w:r>
        <w:rPr>
          <w:rFonts w:ascii="Calibri" w:hAnsi="Calibri" w:eastAsia="微软雅黑"/>
          <w:b/>
          <w:i w:val="0"/>
          <w:sz w:val="22"/>
        </w:rPr>
        <w:t>补深三：死法五的进攻面——保全是趁财产还在时的动作。</w:t>
      </w:r>
      <w:r>
        <w:rPr>
          <w:rFonts w:ascii="Calibri" w:hAnsi="Calibri" w:eastAsia="微软雅黑"/>
          <w:b w:val="0"/>
          <w:i w:val="0"/>
          <w:sz w:val="22"/>
        </w:rPr>
        <w:t xml:space="preserve"> 样本里的执行塌陷（6.3死法五）多被当作"打了也白打"的消极记录，但同一批卷宗里也有进攻侧的工具示范：洪串进与浦江县黄宅镇后江村村民委员会、后江村经济合作社的建设工程合同纠纷中，原告2008年12月25日提出财产保全申请并提供担保，要求冻结经济合作社在浦江县黄宅农村信用社的存款455,000元，法院当日裁定保全并立即执行（(2009)金浦民二初字第113号；P6018）。买方读法有二：其一，保全的价值窗口在被告还有可执行财产的那一刻，起诉时才想起查财产已经晚了——这与死法五"签约前查偿付能力比签约后请律师便宜"是同一枚硬币的两面（P6012）；其二，对手是村委会与村经济合作社两个主体时，被告列谁、财产登记在谁名下，从立案起就要分清，否则赢了判决也冻不到财产。总承包应收账款管理制度里因此应写入一条硬规则：每一份合同的对手方，签约时即预登记其可保全财产线索。</w:t>
      </w:r>
    </w:p>
    <w:p>
      <w:pPr>
        <w:pStyle w:val="Heading3"/>
      </w:pPr>
      <w:r>
        <w:t>6.6.3 转型启动排期表：九十天把档案用完</w:t>
      </w:r>
    </w:p>
    <w:p>
      <w:r>
        <w:rPr>
          <w:rFonts w:ascii="Calibri" w:hAnsi="Calibri" w:eastAsia="微软雅黑"/>
          <w:b w:val="0"/>
          <w:i w:val="0"/>
          <w:sz w:val="22"/>
        </w:rPr>
        <w:t>十问（6.4.4）回答"凭什么赢"，暗线核对表（6.5.3）回答"地基打没打好"，排期表回答"先做哪一件"。建议经营牵头、合同财务安全三条线会签，按周推进；排期表的用法与十问一致——作答归档、留痕复评，动作可以调速，顺序不建议颠倒，地基动作排在中标动作之前，是本章双向档案的总结论：</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时间窗</w:t>
            </w:r>
          </w:p>
        </w:tc>
        <w:tc>
          <w:tcPr>
            <w:tcW w:type="dxa" w:w="2075"/>
            <w:shd w:fill="1F3A5F"/>
          </w:tcPr>
          <w:p>
            <w:r>
              <w:rPr>
                <w:color w:val="FFFFFF"/>
              </w:rPr>
            </w:r>
            <w:r>
              <w:rPr>
                <w:rFonts w:ascii="Calibri" w:hAnsi="Calibri" w:eastAsia="微软雅黑"/>
                <w:b/>
                <w:i w:val="0"/>
                <w:color w:val="FFFFFF"/>
                <w:sz w:val="18"/>
              </w:rPr>
              <w:t>买方动作</w:t>
            </w:r>
          </w:p>
        </w:tc>
        <w:tc>
          <w:tcPr>
            <w:tcW w:type="dxa" w:w="2075"/>
            <w:shd w:fill="1F3A5F"/>
          </w:tcPr>
          <w:p>
            <w:r>
              <w:rPr>
                <w:color w:val="FFFFFF"/>
              </w:rPr>
            </w:r>
            <w:r>
              <w:rPr>
                <w:rFonts w:ascii="Calibri" w:hAnsi="Calibri" w:eastAsia="微软雅黑"/>
                <w:b/>
                <w:i w:val="0"/>
                <w:color w:val="FFFFFF"/>
                <w:sz w:val="18"/>
              </w:rPr>
              <w:t>依据（本章锚点）</w:t>
            </w:r>
          </w:p>
        </w:tc>
        <w:tc>
          <w:tcPr>
            <w:tcW w:type="dxa" w:w="2075"/>
            <w:shd w:fill="1F3A5F"/>
          </w:tcPr>
          <w:p>
            <w:r>
              <w:rPr>
                <w:color w:val="FFFFFF"/>
              </w:rPr>
            </w:r>
            <w:r>
              <w:rPr>
                <w:rFonts w:ascii="Calibri" w:hAnsi="Calibri" w:eastAsia="微软雅黑"/>
                <w:b/>
                <w:i w:val="0"/>
                <w:color w:val="FFFFFF"/>
                <w:sz w:val="18"/>
              </w:rPr>
              <w:t>完成标志</w:t>
            </w:r>
          </w:p>
        </w:tc>
      </w:tr>
      <w:tr>
        <w:tc>
          <w:tcPr>
            <w:tcW w:type="dxa" w:w="2075"/>
          </w:tcPr>
          <w:p>
            <w:r/>
            <w:r>
              <w:rPr>
                <w:rFonts w:ascii="Calibri" w:hAnsi="Calibri" w:eastAsia="微软雅黑"/>
                <w:b w:val="0"/>
                <w:i w:val="0"/>
                <w:sz w:val="18"/>
              </w:rPr>
              <w:t>第1-2周</w:t>
            </w:r>
          </w:p>
        </w:tc>
        <w:tc>
          <w:tcPr>
            <w:tcW w:type="dxa" w:w="2075"/>
          </w:tcPr>
          <w:p>
            <w:r/>
            <w:r>
              <w:rPr>
                <w:rFonts w:ascii="Calibri" w:hAnsi="Calibri" w:eastAsia="微软雅黑"/>
                <w:b w:val="0"/>
                <w:i w:val="0"/>
                <w:sz w:val="18"/>
              </w:rPr>
              <w:t>经营、合同、财务、安全四条线分答十问，汇总差异清单</w:t>
            </w:r>
          </w:p>
        </w:tc>
        <w:tc>
          <w:tcPr>
            <w:tcW w:type="dxa" w:w="2075"/>
          </w:tcPr>
          <w:p>
            <w:r/>
            <w:r>
              <w:rPr>
                <w:rFonts w:ascii="Calibri" w:hAnsi="Calibri" w:eastAsia="微软雅黑"/>
                <w:b w:val="0"/>
                <w:i w:val="0"/>
                <w:sz w:val="18"/>
              </w:rPr>
              <w:t>6.4.4；P6023；P6021</w:t>
            </w:r>
          </w:p>
        </w:tc>
        <w:tc>
          <w:tcPr>
            <w:tcW w:type="dxa" w:w="2075"/>
          </w:tcPr>
          <w:p>
            <w:r/>
            <w:r>
              <w:rPr>
                <w:rFonts w:ascii="Calibri" w:hAnsi="Calibri" w:eastAsia="微软雅黑"/>
                <w:b w:val="0"/>
                <w:i w:val="0"/>
                <w:sz w:val="18"/>
              </w:rPr>
              <w:t>"从未考虑"项全部立项补课</w:t>
            </w:r>
          </w:p>
        </w:tc>
      </w:tr>
      <w:tr>
        <w:tc>
          <w:tcPr>
            <w:tcW w:type="dxa" w:w="2075"/>
          </w:tcPr>
          <w:p>
            <w:r/>
            <w:r>
              <w:rPr>
                <w:rFonts w:ascii="Calibri" w:hAnsi="Calibri" w:eastAsia="微软雅黑"/>
                <w:b w:val="0"/>
                <w:i w:val="0"/>
                <w:sz w:val="18"/>
              </w:rPr>
              <w:t>第1个月</w:t>
            </w:r>
          </w:p>
        </w:tc>
        <w:tc>
          <w:tcPr>
            <w:tcW w:type="dxa" w:w="2075"/>
          </w:tcPr>
          <w:p>
            <w:r/>
            <w:r>
              <w:rPr>
                <w:rFonts w:ascii="Calibri" w:hAnsi="Calibri" w:eastAsia="微软雅黑"/>
                <w:b w:val="0"/>
                <w:i w:val="0"/>
                <w:sz w:val="18"/>
              </w:rPr>
              <w:t>按五种死法逐格自查合同范本与在途项目</w:t>
            </w:r>
          </w:p>
        </w:tc>
        <w:tc>
          <w:tcPr>
            <w:tcW w:type="dxa" w:w="2075"/>
          </w:tcPr>
          <w:p>
            <w:r/>
            <w:r>
              <w:rPr>
                <w:rFonts w:ascii="Calibri" w:hAnsi="Calibri" w:eastAsia="微软雅黑"/>
                <w:b w:val="0"/>
                <w:i w:val="0"/>
                <w:sz w:val="18"/>
              </w:rPr>
              <w:t>6.3；6.6.2；P6007；P6009</w:t>
            </w:r>
          </w:p>
        </w:tc>
        <w:tc>
          <w:tcPr>
            <w:tcW w:type="dxa" w:w="2075"/>
          </w:tcPr>
          <w:p>
            <w:r/>
            <w:r>
              <w:rPr>
                <w:rFonts w:ascii="Calibri" w:hAnsi="Calibri" w:eastAsia="微软雅黑"/>
                <w:b w:val="0"/>
                <w:i w:val="0"/>
                <w:sz w:val="18"/>
              </w:rPr>
              <w:t>每种死法一张整改单</w:t>
            </w:r>
          </w:p>
        </w:tc>
      </w:tr>
      <w:tr>
        <w:tc>
          <w:tcPr>
            <w:tcW w:type="dxa" w:w="2075"/>
          </w:tcPr>
          <w:p>
            <w:r/>
            <w:r>
              <w:rPr>
                <w:rFonts w:ascii="Calibri" w:hAnsi="Calibri" w:eastAsia="微软雅黑"/>
                <w:b w:val="0"/>
                <w:i w:val="0"/>
                <w:sz w:val="18"/>
              </w:rPr>
              <w:t>第1个月</w:t>
            </w:r>
          </w:p>
        </w:tc>
        <w:tc>
          <w:tcPr>
            <w:tcW w:type="dxa" w:w="2075"/>
          </w:tcPr>
          <w:p>
            <w:r/>
            <w:r>
              <w:rPr>
                <w:rFonts w:ascii="Calibri" w:hAnsi="Calibri" w:eastAsia="微软雅黑"/>
                <w:b w:val="0"/>
                <w:i w:val="0"/>
                <w:sz w:val="18"/>
              </w:rPr>
              <w:t>暗线核对表首答：一体化格位、概算证据件、资本排期</w:t>
            </w:r>
          </w:p>
        </w:tc>
        <w:tc>
          <w:tcPr>
            <w:tcW w:type="dxa" w:w="2075"/>
          </w:tcPr>
          <w:p>
            <w:r/>
            <w:r>
              <w:rPr>
                <w:rFonts w:ascii="Calibri" w:hAnsi="Calibri" w:eastAsia="微软雅黑"/>
                <w:b w:val="0"/>
                <w:i w:val="0"/>
                <w:sz w:val="18"/>
              </w:rPr>
              <w:t>6.5.3；P6017；P6023</w:t>
            </w:r>
          </w:p>
        </w:tc>
        <w:tc>
          <w:tcPr>
            <w:tcW w:type="dxa" w:w="2075"/>
          </w:tcPr>
          <w:p>
            <w:r/>
            <w:r>
              <w:rPr>
                <w:rFonts w:ascii="Calibri" w:hAnsi="Calibri" w:eastAsia="微软雅黑"/>
                <w:b w:val="0"/>
                <w:i w:val="0"/>
                <w:sz w:val="18"/>
              </w:rPr>
              <w:t>三线答案与差异纪要入库</w:t>
            </w:r>
          </w:p>
        </w:tc>
      </w:tr>
      <w:tr>
        <w:tc>
          <w:tcPr>
            <w:tcW w:type="dxa" w:w="2075"/>
          </w:tcPr>
          <w:p>
            <w:r/>
            <w:r>
              <w:rPr>
                <w:rFonts w:ascii="Calibri" w:hAnsi="Calibri" w:eastAsia="微软雅黑"/>
                <w:b w:val="0"/>
                <w:i w:val="0"/>
                <w:sz w:val="18"/>
              </w:rPr>
              <w:t>第2个月</w:t>
            </w:r>
          </w:p>
        </w:tc>
        <w:tc>
          <w:tcPr>
            <w:tcW w:type="dxa" w:w="2075"/>
          </w:tcPr>
          <w:p>
            <w:r/>
            <w:r>
              <w:rPr>
                <w:rFonts w:ascii="Calibri" w:hAnsi="Calibri" w:eastAsia="微软雅黑"/>
                <w:b w:val="0"/>
                <w:i w:val="0"/>
                <w:sz w:val="18"/>
              </w:rPr>
              <w:t>数据附注按L3标尺重编：金额到元、来源到文档、截止到日</w:t>
            </w:r>
          </w:p>
        </w:tc>
        <w:tc>
          <w:tcPr>
            <w:tcW w:type="dxa" w:w="2075"/>
          </w:tcPr>
          <w:p>
            <w:r/>
            <w:r>
              <w:rPr>
                <w:rFonts w:ascii="Calibri" w:hAnsi="Calibri" w:eastAsia="微软雅黑"/>
                <w:b w:val="0"/>
                <w:i w:val="0"/>
                <w:sz w:val="18"/>
              </w:rPr>
              <w:t>6.6.1；P6034；P6001</w:t>
            </w:r>
          </w:p>
        </w:tc>
        <w:tc>
          <w:tcPr>
            <w:tcW w:type="dxa" w:w="2075"/>
          </w:tcPr>
          <w:p>
            <w:r/>
            <w:r>
              <w:rPr>
                <w:rFonts w:ascii="Calibri" w:hAnsi="Calibri" w:eastAsia="微软雅黑"/>
                <w:b w:val="0"/>
                <w:i w:val="0"/>
                <w:sz w:val="18"/>
              </w:rPr>
              <w:t>转型方案附录全部换锚</w:t>
            </w:r>
          </w:p>
        </w:tc>
      </w:tr>
      <w:tr>
        <w:tc>
          <w:tcPr>
            <w:tcW w:type="dxa" w:w="2075"/>
          </w:tcPr>
          <w:p>
            <w:r/>
            <w:r>
              <w:rPr>
                <w:rFonts w:ascii="Calibri" w:hAnsi="Calibri" w:eastAsia="微软雅黑"/>
                <w:b w:val="0"/>
                <w:i w:val="0"/>
                <w:sz w:val="18"/>
              </w:rPr>
              <w:t>第2个月</w:t>
            </w:r>
          </w:p>
        </w:tc>
        <w:tc>
          <w:tcPr>
            <w:tcW w:type="dxa" w:w="2075"/>
          </w:tcPr>
          <w:p>
            <w:r/>
            <w:r>
              <w:rPr>
                <w:rFonts w:ascii="Calibri" w:hAnsi="Calibri" w:eastAsia="微软雅黑"/>
                <w:b w:val="0"/>
                <w:i w:val="0"/>
                <w:sz w:val="18"/>
              </w:rPr>
              <w:t>对候选联合体与分包商跑报表三问、涉诉扫描与股权三查</w:t>
            </w:r>
          </w:p>
        </w:tc>
        <w:tc>
          <w:tcPr>
            <w:tcW w:type="dxa" w:w="2075"/>
          </w:tcPr>
          <w:p>
            <w:r/>
            <w:r>
              <w:rPr>
                <w:rFonts w:ascii="Calibri" w:hAnsi="Calibri" w:eastAsia="微软雅黑"/>
                <w:b w:val="0"/>
                <w:i w:val="0"/>
                <w:sz w:val="18"/>
              </w:rPr>
              <w:t>6.5.2；P6014；P6010；P6012</w:t>
            </w:r>
          </w:p>
        </w:tc>
        <w:tc>
          <w:tcPr>
            <w:tcW w:type="dxa" w:w="2075"/>
          </w:tcPr>
          <w:p>
            <w:r/>
            <w:r>
              <w:rPr>
                <w:rFonts w:ascii="Calibri" w:hAnsi="Calibri" w:eastAsia="微软雅黑"/>
                <w:b w:val="0"/>
                <w:i w:val="0"/>
                <w:sz w:val="18"/>
              </w:rPr>
              <w:t>准入库与淘汰名单成文</w:t>
            </w:r>
          </w:p>
        </w:tc>
      </w:tr>
      <w:tr>
        <w:tc>
          <w:tcPr>
            <w:tcW w:type="dxa" w:w="2075"/>
          </w:tcPr>
          <w:p>
            <w:r/>
            <w:r>
              <w:rPr>
                <w:rFonts w:ascii="Calibri" w:hAnsi="Calibri" w:eastAsia="微软雅黑"/>
                <w:b w:val="0"/>
                <w:i w:val="0"/>
                <w:sz w:val="18"/>
              </w:rPr>
              <w:t>第2-3个月</w:t>
            </w:r>
          </w:p>
        </w:tc>
        <w:tc>
          <w:tcPr>
            <w:tcW w:type="dxa" w:w="2075"/>
          </w:tcPr>
          <w:p>
            <w:r/>
            <w:r>
              <w:rPr>
                <w:rFonts w:ascii="Calibri" w:hAnsi="Calibri" w:eastAsia="微软雅黑"/>
                <w:b w:val="0"/>
                <w:i w:val="0"/>
                <w:sz w:val="18"/>
              </w:rPr>
              <w:t>合同基因校准：治理型与对赌型双报价模型、风险准备金测算</w:t>
            </w:r>
          </w:p>
        </w:tc>
        <w:tc>
          <w:tcPr>
            <w:tcW w:type="dxa" w:w="2075"/>
          </w:tcPr>
          <w:p>
            <w:r/>
            <w:r>
              <w:rPr>
                <w:rFonts w:ascii="Calibri" w:hAnsi="Calibri" w:eastAsia="微软雅黑"/>
                <w:b w:val="0"/>
                <w:i w:val="0"/>
                <w:sz w:val="18"/>
              </w:rPr>
              <w:t>6.4.1；P6002</w:t>
            </w:r>
          </w:p>
        </w:tc>
        <w:tc>
          <w:tcPr>
            <w:tcW w:type="dxa" w:w="2075"/>
          </w:tcPr>
          <w:p>
            <w:r/>
            <w:r>
              <w:rPr>
                <w:rFonts w:ascii="Calibri" w:hAnsi="Calibri" w:eastAsia="微软雅黑"/>
                <w:b w:val="0"/>
                <w:i w:val="0"/>
                <w:sz w:val="18"/>
              </w:rPr>
              <w:t>两套报价模型上会</w:t>
            </w:r>
          </w:p>
        </w:tc>
      </w:tr>
      <w:tr>
        <w:tc>
          <w:tcPr>
            <w:tcW w:type="dxa" w:w="2075"/>
          </w:tcPr>
          <w:p>
            <w:r/>
            <w:r>
              <w:rPr>
                <w:rFonts w:ascii="Calibri" w:hAnsi="Calibri" w:eastAsia="微软雅黑"/>
                <w:b w:val="0"/>
                <w:i w:val="0"/>
                <w:sz w:val="18"/>
              </w:rPr>
              <w:t>第3个月</w:t>
            </w:r>
          </w:p>
        </w:tc>
        <w:tc>
          <w:tcPr>
            <w:tcW w:type="dxa" w:w="2075"/>
          </w:tcPr>
          <w:p>
            <w:r/>
            <w:r>
              <w:rPr>
                <w:rFonts w:ascii="Calibri" w:hAnsi="Calibri" w:eastAsia="微软雅黑"/>
                <w:b w:val="0"/>
                <w:i w:val="0"/>
                <w:sz w:val="18"/>
              </w:rPr>
              <w:t>安全与责任容量预算设独立科目，增资排期复核</w:t>
            </w:r>
          </w:p>
        </w:tc>
        <w:tc>
          <w:tcPr>
            <w:tcW w:type="dxa" w:w="2075"/>
          </w:tcPr>
          <w:p>
            <w:r/>
            <w:r>
              <w:rPr>
                <w:rFonts w:ascii="Calibri" w:hAnsi="Calibri" w:eastAsia="微软雅黑"/>
                <w:b w:val="0"/>
                <w:i w:val="0"/>
                <w:sz w:val="18"/>
              </w:rPr>
              <w:t>6.2；6.5.2；P6016；P6023</w:t>
            </w:r>
          </w:p>
        </w:tc>
        <w:tc>
          <w:tcPr>
            <w:tcW w:type="dxa" w:w="2075"/>
          </w:tcPr>
          <w:p>
            <w:r/>
            <w:r>
              <w:rPr>
                <w:rFonts w:ascii="Calibri" w:hAnsi="Calibri" w:eastAsia="微软雅黑"/>
                <w:b w:val="0"/>
                <w:i w:val="0"/>
                <w:sz w:val="18"/>
              </w:rPr>
              <w:t>科目获批或明示缓议</w:t>
            </w:r>
          </w:p>
        </w:tc>
      </w:tr>
      <w:tr>
        <w:tc>
          <w:tcPr>
            <w:tcW w:type="dxa" w:w="2075"/>
          </w:tcPr>
          <w:p>
            <w:r/>
            <w:r>
              <w:rPr>
                <w:rFonts w:ascii="Calibri" w:hAnsi="Calibri" w:eastAsia="微软雅黑"/>
                <w:b w:val="0"/>
                <w:i w:val="0"/>
                <w:sz w:val="18"/>
              </w:rPr>
              <w:t>第3个月</w:t>
            </w:r>
          </w:p>
        </w:tc>
        <w:tc>
          <w:tcPr>
            <w:tcW w:type="dxa" w:w="2075"/>
          </w:tcPr>
          <w:p>
            <w:r/>
            <w:r>
              <w:rPr>
                <w:rFonts w:ascii="Calibri" w:hAnsi="Calibri" w:eastAsia="微软雅黑"/>
                <w:b w:val="0"/>
                <w:i w:val="0"/>
                <w:sz w:val="18"/>
              </w:rPr>
              <w:t>对手方财产线索库建库，保全与起诉预案模板化</w:t>
            </w:r>
          </w:p>
        </w:tc>
        <w:tc>
          <w:tcPr>
            <w:tcW w:type="dxa" w:w="2075"/>
          </w:tcPr>
          <w:p>
            <w:r/>
            <w:r>
              <w:rPr>
                <w:rFonts w:ascii="Calibri" w:hAnsi="Calibri" w:eastAsia="微软雅黑"/>
                <w:b w:val="0"/>
                <w:i w:val="0"/>
                <w:sz w:val="18"/>
              </w:rPr>
              <w:t>6.6.2；P6018；P6012</w:t>
            </w:r>
          </w:p>
        </w:tc>
        <w:tc>
          <w:tcPr>
            <w:tcW w:type="dxa" w:w="2075"/>
          </w:tcPr>
          <w:p>
            <w:r/>
            <w:r>
              <w:rPr>
                <w:rFonts w:ascii="Calibri" w:hAnsi="Calibri" w:eastAsia="微软雅黑"/>
                <w:b w:val="0"/>
                <w:i w:val="0"/>
                <w:sz w:val="18"/>
              </w:rPr>
              <w:t>线索库上线并演练一案</w:t>
            </w:r>
          </w:p>
        </w:tc>
      </w:tr>
      <w:tr>
        <w:tc>
          <w:tcPr>
            <w:tcW w:type="dxa" w:w="2075"/>
          </w:tcPr>
          <w:p>
            <w:r/>
            <w:r>
              <w:rPr>
                <w:rFonts w:ascii="Calibri" w:hAnsi="Calibri" w:eastAsia="微软雅黑"/>
                <w:b w:val="0"/>
                <w:i w:val="0"/>
                <w:sz w:val="18"/>
              </w:rPr>
              <w:t>持续</w:t>
            </w:r>
          </w:p>
        </w:tc>
        <w:tc>
          <w:tcPr>
            <w:tcW w:type="dxa" w:w="2075"/>
          </w:tcPr>
          <w:p>
            <w:r/>
            <w:r>
              <w:rPr>
                <w:rFonts w:ascii="Calibri" w:hAnsi="Calibri" w:eastAsia="微软雅黑"/>
                <w:b w:val="0"/>
                <w:i w:val="0"/>
                <w:sz w:val="18"/>
              </w:rPr>
              <w:t>每半年复评暗线漂移；每一标必归档竞标资料与评审反馈</w:t>
            </w:r>
          </w:p>
        </w:tc>
        <w:tc>
          <w:tcPr>
            <w:tcW w:type="dxa" w:w="2075"/>
          </w:tcPr>
          <w:p>
            <w:r/>
            <w:r>
              <w:rPr>
                <w:rFonts w:ascii="Calibri" w:hAnsi="Calibri" w:eastAsia="微软雅黑"/>
                <w:b w:val="0"/>
                <w:i w:val="0"/>
                <w:sz w:val="18"/>
              </w:rPr>
              <w:t>6.5.3；6.1.3；P6030</w:t>
            </w:r>
          </w:p>
        </w:tc>
        <w:tc>
          <w:tcPr>
            <w:tcW w:type="dxa" w:w="2075"/>
          </w:tcPr>
          <w:p>
            <w:r/>
            <w:r>
              <w:rPr>
                <w:rFonts w:ascii="Calibri" w:hAnsi="Calibri" w:eastAsia="微软雅黑"/>
                <w:b w:val="0"/>
                <w:i w:val="0"/>
                <w:sz w:val="18"/>
              </w:rPr>
              <w:t>复评与归档纪要入库</w:t>
            </w:r>
          </w:p>
        </w:tc>
      </w:tr>
    </w:tbl>
    <w:p>
      <w:r>
        <w:rPr>
          <w:rFonts w:ascii="Calibri" w:hAnsi="Calibri" w:eastAsia="微软雅黑"/>
          <w:b w:val="0"/>
          <w:i w:val="0"/>
          <w:sz w:val="22"/>
        </w:rPr>
        <w:t>（表内锚点均为本章已展开证据的索引；排期表不新增任何事实性数字，只重排已有结论的执行顺序。）</w:t>
      </w:r>
    </w:p>
    <w:p>
      <w:r>
        <w:rPr>
          <w:rFonts w:ascii="Calibri" w:hAnsi="Calibri" w:eastAsia="微软雅黑"/>
          <w:b w:val="0"/>
          <w:i w:val="0"/>
          <w:sz w:val="22"/>
        </w:rPr>
        <w:t>所以呢：6.1到6.5给出判断，6.6给的是动手的顺序——五条补充证据抬高置信度，三处补深划清诉讼半径、证据边界与救济工具，排期表把十问、暗线与死法压进九十天的日历。档案的价值不在读过多深，而在动笔之前，往届的答卷已经摆上了自己的桌面；九十天后再回看这张表，答不上的格子，就是下一轮转型的第一个议题。</w:t>
      </w:r>
    </w:p>
    <w:p>
      <w:pPr>
        <w:pStyle w:val="Heading2"/>
      </w:pPr>
      <w:r>
        <w:t>本章小结与盲区</w:t>
      </w:r>
    </w:p>
    <w:p>
      <w:r>
        <w:rPr>
          <w:rFonts w:ascii="Calibri" w:hAnsi="Calibri" w:eastAsia="微软雅黑"/>
          <w:b w:val="0"/>
          <w:i w:val="0"/>
          <w:sz w:val="22"/>
        </w:rPr>
        <w:t>小结如下。</w:t>
      </w:r>
    </w:p>
    <w:p>
      <w:r>
        <w:rPr>
          <w:rFonts w:ascii="Calibri" w:hAnsi="Calibri" w:eastAsia="微软雅黑"/>
          <w:b w:val="0"/>
          <w:i w:val="0"/>
          <w:sz w:val="22"/>
        </w:rPr>
        <w:t>第一，成功的转型样本共享一条主线：设计主导权的货币化。中核工程以设计对象化与里程碑重构拿到进度与成本双重红利（P6001；P6020；P6021），中机国际以设计优化锁成本、以数智底座穿透盈亏（P6029；P6034），省级院以设计龙头地位参与毫米级竞价（P6030）。货币化的具体形态至少有四种：进度（提前35天吊装，P6001）、成本（施工成本降低15%、集采节资10%，P6001；P6000）、现金流（10%-80%-5%-5%付款节点，P6034）、市场（标准出海破壁，P6029）。设计院转型的胜负手不在施工队伍规模，而在设计能力被兑现为这四种形态的方式与效率。</w:t>
      </w:r>
    </w:p>
    <w:p>
      <w:r>
        <w:rPr>
          <w:rFonts w:ascii="Calibri" w:hAnsi="Calibri" w:eastAsia="微软雅黑"/>
          <w:b w:val="0"/>
          <w:i w:val="0"/>
          <w:sz w:val="22"/>
        </w:rPr>
        <w:t>第二，失败样本的烈度谱系从日常纠纷延伸到特大事故。日常端是五种死法：无书面合同（P6003；P6008；P6013）、图纸缺位边设计边施工（P6006）、违法分包链条（P6007；P6011）、结算支付失控（P6015；P6018；P6019；P6009；P6005）、主体与执行塌陷（P6012；P6010；P6033）；极端端是丰城"11·24"特大事故所代表的模式基因缺陷、制度失灵与文化塌陷的叠加（P6016）。两端共享同一个加速器：总承包把交易体量与组织复杂度同时放大，原有的每一处管理毛刺都会被放大成伤口。</w:t>
      </w:r>
    </w:p>
    <w:p>
      <w:r>
        <w:rPr>
          <w:rFonts w:ascii="Calibri" w:hAnsi="Calibri" w:eastAsia="微软雅黑"/>
          <w:b w:val="0"/>
          <w:i w:val="0"/>
          <w:sz w:val="22"/>
        </w:rPr>
        <w:t>第三，成败之间隔着三个可管理的机理：合同基因（治理型与对赌型之别，P6002）、组织能力（先算后干与干完才算之别，P6029；P6021）、制度环境（地方法规、司法取向与报表纪律，P6032；P6031；P6014）。三者皆可预算、可建设、可审计——这是双向档案给买方最大的确定性。</w:t>
      </w:r>
    </w:p>
    <w:p>
      <w:r>
        <w:rPr>
          <w:rFonts w:ascii="Calibri" w:hAnsi="Calibri" w:eastAsia="微软雅黑"/>
          <w:b w:val="0"/>
          <w:i w:val="0"/>
          <w:sz w:val="22"/>
        </w:rPr>
        <w:t>第四，也是给决策者的最终提醒：成功档案的每一个数字都来自长期体系投入的复利（中核工程的方法论沉淀为14章复盘资产，P6000），失败档案的每一个数字都来自一次具体交易的失控（从62,100元的勾土款到15,190,038.4元的累积拖欠，P6011；P6006）。转型不是一次性揭牌，而是把体系投入与交易纪律同时拉满的长期作业；双向档案的用途，就是让这份作业在动笔前先看到往届的答卷。</w:t>
      </w:r>
    </w:p>
    <w:p>
      <w:r>
        <w:rPr>
          <w:rFonts w:ascii="Calibri" w:hAnsi="Calibri" w:eastAsia="微软雅黑"/>
          <w:b w:val="0"/>
          <w:i w:val="0"/>
          <w:sz w:val="22"/>
        </w:rPr>
        <w:t>盲区（证据未覆盖处，如实声明。以下各条同时是后续研究可以补采的方向）：</w:t>
      </w:r>
    </w:p>
    <w:p>
      <w:pPr>
        <w:pStyle w:val="ListNumber"/>
      </w:pPr>
      <w:r>
        <w:rPr>
          <w:rFonts w:ascii="Calibri" w:hAnsi="Calibri" w:eastAsia="微软雅黑"/>
          <w:b w:val="0"/>
          <w:i w:val="0"/>
          <w:sz w:val="22"/>
        </w:rPr>
        <w:t>丰城"11·24"事故的伤亡人数、直接经济损失、处罚与问责名单，bank中仅有目录级证据（P6016），无任何具体数字。本章因此未引用任何事故损失数据；读者如需该维度，须另行核对官方调查报告原文。</w:t>
      </w:r>
    </w:p>
    <w:p>
      <w:pPr>
        <w:pStyle w:val="ListNumber"/>
      </w:pPr>
      <w:r>
        <w:rPr>
          <w:rFonts w:ascii="Calibri" w:hAnsi="Calibri" w:eastAsia="微软雅黑"/>
          <w:b w:val="0"/>
          <w:i w:val="0"/>
          <w:sz w:val="22"/>
        </w:rPr>
        <w:t>裁判文书样本为十四份年度卷宗的抽样（合计129,660篇，own_calc见6.3节），并非全量文书库；2021年样本骤降至324篇（P6012）更可能反映采集口径变化而非纠纷趋势逆转。据此不能计算EPC项目的败诉率、纠纷率或案均损失金额，本章也不做此类推断。</w:t>
      </w:r>
    </w:p>
    <w:p>
      <w:pPr>
        <w:pStyle w:val="ListNumber"/>
      </w:pPr>
      <w:r>
        <w:rPr>
          <w:rFonts w:ascii="Calibri" w:hAnsi="Calibri" w:eastAsia="微软雅黑"/>
          <w:b w:val="0"/>
          <w:i w:val="0"/>
          <w:sz w:val="22"/>
        </w:rPr>
        <w:t>设计院"转型前后"的财务对照（营收结构变化、总承包业务毛利率、人均产值）在bank中缺失：中国电建2026年半年报（P6014）未提供分业务毛利数据；个别洞察包中的招股书营收序列（如2021-2023年及2024年上半年营业收入分别为56.31亿元、137.04亿元、296.06亿元和128.03亿元的一条证据，P6024）因证据句未标明归属主体，本章谨慎起见未予采信。</w:t>
      </w:r>
    </w:p>
    <w:p>
      <w:pPr>
        <w:pStyle w:val="ListNumber"/>
      </w:pPr>
      <w:r>
        <w:rPr>
          <w:rFonts w:ascii="Calibri" w:hAnsi="Calibri" w:eastAsia="微软雅黑"/>
          <w:b w:val="0"/>
          <w:i w:val="0"/>
          <w:sz w:val="22"/>
        </w:rPr>
        <w:t>海外失败样本仅有案号级线索：(2017)川民终72号的境外保函止付风险（P6017）无案情展开；Jacobs的营收净利曲线（P6027）亦非EPC分项数据。国际工程失败的完整机理档案，本章证据池未能覆盖。</w:t>
      </w:r>
    </w:p>
    <w:p>
      <w:pPr>
        <w:pStyle w:val="ListNumber"/>
      </w:pPr>
      <w:r>
        <w:rPr>
          <w:rFonts w:ascii="Calibri" w:hAnsi="Calibri" w:eastAsia="微软雅黑"/>
          <w:b w:val="0"/>
          <w:i w:val="0"/>
          <w:sz w:val="22"/>
        </w:rPr>
        <w:t>样本企业以央企、国企设计院为主（中核工程、中机国际、安徽院等），民营设计院与国际工程公司的完整成败档案缺席——本章的"双向档案"目前主要是中国国有工程体系内部的双向，外推到民企场景需另行验证。</w:t>
      </w:r>
    </w:p>
    <w:p>
      <w:r>
        <w:rPr>
          <w:rFonts w:ascii="Calibri" w:hAnsi="Calibri" w:eastAsia="微软雅黑"/>
          <w:b w:val="0"/>
          <w:i w:val="0"/>
          <w:sz w:val="22"/>
        </w:rPr>
        <w:t>---</w:t>
      </w:r>
    </w:p>
    <w:p>
      <w:pPr>
        <w:pStyle w:val="Heading1"/>
      </w:pPr>
      <w:r>
        <w:t>第7章 风险档案：事故、纠纷与风险因子全景</w:t>
      </w:r>
    </w:p>
    <w:p>
      <w:pPr>
        <w:ind w:left="454"/>
      </w:pPr>
      <w:r>
        <w:rPr>
          <w:rFonts w:ascii="Calibri" w:hAnsi="Calibri" w:eastAsia="微软雅黑"/>
          <w:b w:val="0"/>
          <w:i w:val="0"/>
          <w:color w:val="666666"/>
          <w:sz w:val="22"/>
        </w:rPr>
        <w:t>转型工程总承包，风险敞口与业务版图同步放大。本章把三份底档摊在决策桌上：一部丰城特大事故沉思录（P7000）、一组跨越2008—2021年（P7034、P7031）的EPC相关裁判文书、一批最高法2026年（P7003）发布的欠款纠纷典型案例，从事故、纠纷到风险因子，逐项给出可核验的档案与对策。</w:t>
      </w:r>
    </w:p>
    <w:p>
      <w:pPr>
        <w:pStyle w:val="Heading2"/>
      </w:pPr>
      <w:r>
        <w:t>7.1 事故档案：丰城"11·24"留给设计院的三重拷问</w:t>
      </w:r>
    </w:p>
    <w:p>
      <w:r>
        <w:rPr>
          <w:rFonts w:ascii="Calibri" w:hAnsi="Calibri" w:eastAsia="微软雅黑"/>
          <w:b w:val="0"/>
          <w:i w:val="0"/>
          <w:sz w:val="22"/>
        </w:rPr>
        <w:t>讨论设计院转型工程总承包的风险，绕不开一个名字：江西丰城电厂三期EPC特大事故（P7000）。围绕这场"11·24"事故，业内形成的一部系统性反思著作（P7000）按"事故回顾与历史反思—多维剖析与深层反思—系统性解决方案与未来展望"三大部分展开，共十二章（own_calc：据该著作目录清点，第一部分含第一至第三章共3章，第二部分含第四至第六章共3章，第三部分含第七至第十二章共6章，3+3+6=12章）。一场事故能撑起一部十二章的沉思录，这件事本身就是给所有转型设计院的第一个信号：特大事故的成因不是单点失误，而是一组系统性风险的叠加——而系统性风险，恰恰是转型决策最容易被业务雄心掩盖的部分。</w:t>
      </w:r>
    </w:p>
    <w:p>
      <w:r>
        <w:rPr>
          <w:rFonts w:ascii="Calibri" w:hAnsi="Calibri" w:eastAsia="微软雅黑"/>
          <w:b/>
          <w:i w:val="0"/>
          <w:sz w:val="22"/>
        </w:rPr>
        <w:t>事故档案本身记了什么。</w:t>
      </w:r>
      <w:r>
        <w:rPr>
          <w:rFonts w:ascii="Calibri" w:hAnsi="Calibri" w:eastAsia="微软雅黑"/>
          <w:b w:val="0"/>
          <w:i w:val="0"/>
          <w:sz w:val="22"/>
        </w:rPr>
        <w:t xml:space="preserve"> 该著作第一章题为"惊世之殇：丰城'11·24'事故全记录"（P7000），其中"事故经过：灾难的72小时"（P7000）一节专门还原灾难时间线，"事故调查：真相与责任"（P7000）一节处理责任认定，"多维视角：事故的系统性解读"（P7000）则把单一事故拆解为多因叠加的样本。第二章把丰城放进更长的时间坐标——"历史的回响：全球百年重大工程事故警示录"，下设"全球工程事故的历史演进与类型学分析""中国工程事故的历史教训与特殊性""丰城事故的历史坐标与比较分析"（P7000）。对设计院管理层而言，这一章的价值在于提醒：丰城不是孤例，全球百年工程事故档案已经把风险类型学写得相当清楚；转型者完全可以站在这些档案上做风险预控，而不必用自己的项目去把教训重新经历一遍。</w:t>
      </w:r>
    </w:p>
    <w:p>
      <w:r>
        <w:rPr>
          <w:rFonts w:ascii="Calibri" w:hAnsi="Calibri" w:eastAsia="微软雅黑"/>
          <w:b/>
          <w:i w:val="0"/>
          <w:sz w:val="22"/>
        </w:rPr>
        <w:t>拷问一：模式的基因。</w:t>
      </w:r>
      <w:r>
        <w:rPr>
          <w:rFonts w:ascii="Calibri" w:hAnsi="Calibri" w:eastAsia="微软雅黑"/>
          <w:b w:val="0"/>
          <w:i w:val="0"/>
          <w:sz w:val="22"/>
        </w:rPr>
        <w:t xml:space="preserve"> 该著作第三章直接把矛头指向模式本身，章题为"模式的困局：中国EPC工程总承包的基因缺陷与现实扭曲"（P7000），下设"EPC模式的定义与全球实践""设计与施工的分离与冲突""组织行为的系统性失效""系统思维与复杂性管理""速度与安全的辩证关系"（P7000）五节。请注意这个措辞——"基因缺陷与现实扭曲"（P7000）。作者的判断是：设计与施工的分离与冲突（P7000）并不会因为签了一纸EPC合同就自动弥合；当组织行为出现系统性失效（P7000）、当复杂性与系统思维缺位（P7000）、当"速度与安全"的辩证关系被进度压力扭曲（P7000）时，EPC名义上的整合优势会反转成责任集中风险。这一判断对设计院尤其切身：设计院恰恰长于设计端、短于施工端，如果在转型中没有真正建立对施工过程的指挥、监督与安全技术能力，"设计与施工的分离与冲突"（P7000）就会在项目里原样延续——唯一的区别是，这一次法律意义上的总承包商是设计院自己，分离与冲突的账单都开给设计院。</w:t>
      </w:r>
    </w:p>
    <w:p>
      <w:r>
        <w:rPr>
          <w:rFonts w:ascii="Calibri" w:hAnsi="Calibri" w:eastAsia="微软雅黑"/>
          <w:b/>
          <w:i w:val="0"/>
          <w:sz w:val="22"/>
        </w:rPr>
        <w:t>拷问二：物理与技术。</w:t>
      </w:r>
      <w:r>
        <w:rPr>
          <w:rFonts w:ascii="Calibri" w:hAnsi="Calibri" w:eastAsia="微软雅黑"/>
          <w:b w:val="0"/>
          <w:i w:val="0"/>
          <w:sz w:val="22"/>
        </w:rPr>
        <w:t xml:space="preserve"> 著作第四章"物理的极限：混凝土与支撑结构的'生死对话'"（P7000）与第七章"技术的陷阱：从'设计失误'到'施工缺陷'的工程技术反思"（P7000）构成技术侧的完整拷问。第七章下设"技术失误的系统性视角""丰城事故的技术失误分析""全球类似工程事故的技术教训""工程技术安全的结构性根源"，并以"技术安全的系统性解决方案"收尾（P7000）；第四章则以"混凝土与支撑结构的物理极限"一节直面材料与结构层面的不可违背性（P7000）。对设计院，这一段含义非常直白：在传统设计业务里，图纸差错的责任边界相对清晰，多以设计变更与赔偿了结；而在EPC里，"从'设计失误'到'施工缺陷'"（P7000）是一条直通的传导链——设计端的任何瑕疵都会沿着总承包责任一路传导到施工现场，与"混凝土与支撑结构"（P7000）这类物理极限问题正面相遇。设计院在转型决策前必须回答一个问题：我们的设计质量控制体系，是否已经按照"我的图纸错误会变成我的现场事故"这个新逻辑重构过？如果答案是否定的，技术风险敞口在转型第一天起就是放大的。</w:t>
      </w:r>
    </w:p>
    <w:p>
      <w:r>
        <w:rPr>
          <w:rFonts w:ascii="Calibri" w:hAnsi="Calibri" w:eastAsia="微软雅黑"/>
          <w:b/>
          <w:i w:val="0"/>
          <w:sz w:val="22"/>
        </w:rPr>
        <w:t>拷问三：制度与文化。</w:t>
      </w:r>
      <w:r>
        <w:rPr>
          <w:rFonts w:ascii="Calibri" w:hAnsi="Calibri" w:eastAsia="微软雅黑"/>
          <w:b w:val="0"/>
          <w:i w:val="0"/>
          <w:sz w:val="22"/>
        </w:rPr>
        <w:t xml:space="preserve"> 著作第五章"制度的失灵：从监管真空到责任碎片化"（P7000）、第六章"文化的塌陷：从'重物轻人'到'集体无意识'"（P7000）、第八章"伦理的塌陷：从'生命至上'的背离到'责任黑洞'的形成"（P7000）从制度、文化、伦理三个层面补完了风险拼图。第五章明确列出"制度失灵的系统性表现"与"丰城事故中的制度失灵现象"（P7000）；第六章进一步追问"文化失范的结构性根源"，并给出"文化重塑的路径与方法"（P7000）。"责任碎片化"（P7000）对转型设计院尤其致命：传统模式下设计院的风险分散在多个合同主体之间，出了问题各归其位；而EPC总承包商把设计、采购、施工统进来之后，任何一个环节失守，责任都会向总承包商集中——如果企业内部的横向责任划分、风险台账与追责机制没有同步建立，"责任黑洞"（P7000）就是转型隐含的对价。文化层面的"重物轻人"与"集体无意识"（P7000）听起来抽象，落到项目上就是：赶工期时没人敢喊停、隐患可见时没人当真、分包队伍的安全行为没人较真。设计院从"图纸交付文化"转向"现场履约文化"，中间隔着的就是这道文化塌陷的坎。</w:t>
      </w:r>
    </w:p>
    <w:p>
      <w:r>
        <w:rPr>
          <w:rFonts w:ascii="Calibri" w:hAnsi="Calibri" w:eastAsia="微软雅黑"/>
          <w:b/>
          <w:i w:val="0"/>
          <w:sz w:val="22"/>
        </w:rPr>
        <w:t>事故档案给出的出路。</w:t>
      </w:r>
      <w:r>
        <w:rPr>
          <w:rFonts w:ascii="Calibri" w:hAnsi="Calibri" w:eastAsia="微软雅黑"/>
          <w:b w:val="0"/>
          <w:i w:val="0"/>
          <w:sz w:val="22"/>
        </w:rPr>
        <w:t xml:space="preserve"> 值得注意的是，该著作第三部分并未停留在反思。第九章提出"系统免疫工程"（SIE）框架，主张"从被动防御到主动免疫"，逐项检视"丰城事故中的系统免疫缺陷"，并借鉴"全球工程安全管理的免疫系统"，最终指向"构建具有自我免疫能力的工程系统"（P7000）。第十一章主张"从'事故调查'到'安全创新'的范式转变"，梳理"事故调查的范式演进"与"丰城事故的系统性反思框架"（P7000）。第十二章则把终点定在"从'事后反思'到'内生安全'的转型"（P7000）。第十章还完整记录了"凤凰涅槃：丰城电厂三期重建的'三部曲'"，包括"重建的决策背景与历史必然性""重建过程中的创新、难点与反思"与"国内外重大工程灾后重建的经验借鉴"（P7000）。从"系统免疫缺陷"（P7000）到"内生安全"（P7000），这条线索对设计院的实际意义是：风险管控不能建在"出事后整改"上，而要内嵌进组织与流程，让项目自身具备识别和抑制风险的免疫力。</w:t>
      </w:r>
    </w:p>
    <w:p>
      <w:r>
        <w:rPr>
          <w:rFonts w:ascii="Calibri" w:hAnsi="Calibri" w:eastAsia="微软雅黑"/>
          <w:b/>
          <w:i w:val="0"/>
          <w:sz w:val="22"/>
        </w:rPr>
        <w:t>再看事故全记录的结构，还有一个常被略过的细节。</w:t>
      </w:r>
      <w:r>
        <w:rPr>
          <w:rFonts w:ascii="Calibri" w:hAnsi="Calibri" w:eastAsia="微软雅黑"/>
          <w:b w:val="0"/>
          <w:i w:val="0"/>
          <w:sz w:val="22"/>
        </w:rPr>
        <w:t xml:space="preserve"> 著作第一章在"事故经过"之前，专门设有"事故现场：丰城电厂三期工程概况"一节（P7000）——先讲清工程是什么、怎么组织的，再讲灾难怎么发生。这个顺序本身就是方法论：风险分析必须从项目组织形态出发。EPC项目的组织形态决定了风险在谁身上集聚：总承包商是风险的总闸门，设计、采购、施工三段水流都从这道门过。设计院转型前对自己的"工程概况"做一次冷静盘点——人员结构、施工管理半径、供应链掌控力、资金池深度——比任何战略宣讲都更接近风险真相。著作第二章的小结标题是"铭记历史，警钟长鸣"（P7000），第四章小结则强调"物理规律与工程安全的辩证关系"（P7000）：物理规律不可违背，工程安全的天花板由对物理极限的尊重程度决定——这两句话放在设计院的转型动员会上，比任何口号都更值得挂在前排。</w:t>
      </w:r>
    </w:p>
    <w:p>
      <w:r>
        <w:rPr>
          <w:rFonts w:ascii="Calibri" w:hAnsi="Calibri" w:eastAsia="微软雅黑"/>
          <w:b/>
          <w:i w:val="0"/>
          <w:sz w:val="22"/>
        </w:rPr>
        <w:t>重建的下半场：灾后"三部曲"对转型者的启示。</w:t>
      </w:r>
      <w:r>
        <w:rPr>
          <w:rFonts w:ascii="Calibri" w:hAnsi="Calibri" w:eastAsia="微软雅黑"/>
          <w:b w:val="0"/>
          <w:i w:val="0"/>
          <w:sz w:val="22"/>
        </w:rPr>
        <w:t xml:space="preserve"> 著作第十章以"凤凰涅槃"为题，完整记录了丰城电厂三期重建的"三部曲"，下设"重建的决策背景与历史必然性""'三部曲'重建方案的提出与核心内涵""重建过程中的创新、难点与反思""国内外重大工程灾后重建的经验借鉴""丰城重建的未来意义与行业启示"（P7000）诸节。对设计院管理层，这一章至少有三点可迁移。第一，灾后重建是能力重建而不只是物质重建："重建过程中的创新、难点与反思"（P7000）这个节题本身就说明，把废墟复原不难，难的是在复原中把暴露出的短板补上——转型设计院做项目复盘时同样应该问：我们的复盘是在恢复原状，还是在升级系统？第二，国际经验是可以引进的公共品："国内外重大工程灾后重建的经验借鉴"（P7000）一节的存在说明，全球工程界在灾难管理上已有成熟积累，后发者没必要从零试错；设计院引入国际安全管理标准与事故案例库，是花小钱买大保险。第三，事故的最终价值取决于行业转化："丰城重建的未来意义与行业启示"（P7000）把一个项目的重建上升为行业资产——同理，企业每一次险情、每一起纠纷，若不沉淀进制度，学费就白交了。</w:t>
      </w:r>
    </w:p>
    <w:p>
      <w:r>
        <w:rPr>
          <w:rFonts w:ascii="Calibri" w:hAnsi="Calibri" w:eastAsia="微软雅黑"/>
          <w:b/>
          <w:i w:val="0"/>
          <w:sz w:val="22"/>
        </w:rPr>
        <w:t>把"系统免疫工程"翻译成设计院的语言。</w:t>
      </w:r>
      <w:r>
        <w:rPr>
          <w:rFonts w:ascii="Calibri" w:hAnsi="Calibri" w:eastAsia="微软雅黑"/>
          <w:b w:val="0"/>
          <w:i w:val="0"/>
          <w:sz w:val="22"/>
        </w:rPr>
        <w:t xml:space="preserve"> 著作第九章的SIE框架（P7000）听起来抽象，其实可以用三个免疫系统概念直接映射到企业管理动作。抗原识别——对应"丰城事故中的系统免疫缺陷"（P7000）所揭示的：风险信号其实早就存在，只是组织识别不了、或识别了不敢上报；企业动作是建立无责险情上报与风险红黄灯制度，让一线信号能穿透层级。抗体生成——对应"系统免疫工程（SIE）框架与实践路径"（P7000）：识别之后要有预案、有资源、有授权，能在风险显形时快速处置；企业动作是给项目部配置风险处置预算与停工权限，而不是事事等总部批示。免疫记忆——对应"全球工程安全管理的免疫系统借鉴"（P7000）与第十一章"事故调查的范式演进""丰城事故的系统性反思框架"（P7000）：把每起事故、纠纷、险情案例化、进数据库、进培训，让组织记住。第十一章进一步给出"从事故调查到安全创新的转变路径"与"构建系统性安全创新生态"（P7000）——这意味着安全不是合规成本，而是可以被创新持续降低的成本项。第十二章的小结指向同一个终点："告别'血的教训'，拥抱'内生安全'"（P7000）。设计院转型EPC，最理想的状态就是让这套免疫系统在第一项目启动前就装好，而不是在第一次事故后补装。</w:t>
      </w:r>
    </w:p>
    <w:p>
      <w:r>
        <w:rPr>
          <w:rFonts w:ascii="Calibri" w:hAnsi="Calibri" w:eastAsia="微软雅黑"/>
          <w:b/>
          <w:i w:val="0"/>
          <w:sz w:val="22"/>
        </w:rPr>
        <w:t>伦理条款不是软约束。</w:t>
      </w:r>
      <w:r>
        <w:rPr>
          <w:rFonts w:ascii="Calibri" w:hAnsi="Calibri" w:eastAsia="微软雅黑"/>
          <w:b w:val="0"/>
          <w:i w:val="0"/>
          <w:sz w:val="22"/>
        </w:rPr>
        <w:t xml:space="preserve"> 著作第八章专章处理"工程伦理的基本原则与丰城事故的背离""伦理失范的深层次原因""重建工程伦理体系的路径"（P7000）。很多企业管理者把伦理当成宣传语料，但这个章节把它放在与制度、技术并列的位置，理由很实际："生命至上"（P7000）一旦让位于进度与成本，前面的制度防线与技术防线都会跟着松动——制度是人执行的，文化松一寸，制度退一尺。对转型设计院，伦理建设的落点很具体：投标时不承诺做不到的工期，评审时不通过带已知硬伤的方案，分包时不把风险转给没有能力承担的人。这些决策点的取舍标准，就是企业的伦理底线，也是风险清单上最便宜的一道防线。</w:t>
      </w:r>
    </w:p>
    <w:p>
      <w:r>
        <w:rPr>
          <w:rFonts w:ascii="Calibri" w:hAnsi="Calibri" w:eastAsia="微软雅黑"/>
          <w:b/>
          <w:i w:val="0"/>
          <w:sz w:val="22"/>
        </w:rPr>
        <w:t>两本风险镜鉴，同一条铁律。</w:t>
      </w:r>
      <w:r>
        <w:rPr>
          <w:rFonts w:ascii="Calibri" w:hAnsi="Calibri" w:eastAsia="微软雅黑"/>
          <w:b w:val="0"/>
          <w:i w:val="0"/>
          <w:sz w:val="22"/>
        </w:rPr>
        <w:t xml:space="preserve"> 把事故沉思录与裁判判卷放在一起，会发现一个有意思的结构对应：裁判文书为每起纠纷记录"事实与理由—本院认为—裁判结果"的逻辑链（P7022、P7024、P7026），事故沉思录则以十二章的篇幅展开"事实—剖析—责任—重建"的长链（P7000）；文体一短一长，但根部指向同一条铁律——在工程世界里，书面记录最终决定责任。管辖裁定里，决定胜负的是"建设工程施工地为马伦村"这一被认定的事实（P7022）；税金争议案里，决定付与不付的是"自认已收款72万元""未提供税务发票"这类书面证据（P7024）；事故调查中，决定责任的同样是调查组还原并归档的事实链（P7000，"事故调查：真相与责任"）。连行业巨头也逃不开这条铁律：中铁十五局与中铁隧道集团等的施工合同纠纷再审案（P7029）说明，央企之间的纠纷在终审之后仍可能被重新拉回桌面，而决定走向的还是证据与程序。设计院的功课其实很朴素：把文档质量当作项目管理的硬指标来考核，因为每一份文档都是未来某次对簿公堂的预演底稿。</w:t>
      </w:r>
    </w:p>
    <w:p>
      <w:r>
        <w:rPr>
          <w:rFonts w:ascii="Calibri" w:hAnsi="Calibri" w:eastAsia="微软雅黑"/>
          <w:b/>
          <w:i w:val="0"/>
          <w:sz w:val="22"/>
        </w:rPr>
        <w:t>风险还有"可逆性"这个维度。</w:t>
      </w:r>
      <w:r>
        <w:rPr>
          <w:rFonts w:ascii="Calibri" w:hAnsi="Calibri" w:eastAsia="微软雅黑"/>
          <w:b w:val="0"/>
          <w:i w:val="0"/>
          <w:sz w:val="22"/>
        </w:rPr>
        <w:t xml:space="preserve"> 细读事故沉思录的十二章结构（P7000），可以再提炼出一个对转型排期很有用的维度——风险的可逆性。物理层面的失控不可逆：混凝土与支撑结构一旦突破极限，损失无法收回（P7000）。组织层面的失灵难逆：责任碎片化（P7000）形成之后，重组利益格局的代价极高。制度层面的缺陷可逆：监管真空可以通过补制度填补（P7000）。文化层面的塌陷慢逆但可导引：从"重物轻人"到文化重塑，路径是存在的，只是周期长（P7000）。由此推论，设计院转型投入的先后顺序应当是反直觉的：文化与制度先行——成本低、见效慢、必须早启动；组织与流程居中——成本中、见效中；物理与技术始终守底——靠专业能力的持续投入兜住不可逆的底线。不少失败的转型恰恰把这个顺序颠倒了：先上设备、先抢项目、先扩编制，把制度建设与文化打底留到"以后有空"，而风险从不等待那个"以后"。</w:t>
      </w:r>
    </w:p>
    <w:p>
      <w:r>
        <w:rPr>
          <w:rFonts w:ascii="Calibri" w:hAnsi="Calibri" w:eastAsia="微软雅黑"/>
          <w:b/>
          <w:i w:val="0"/>
          <w:sz w:val="22"/>
        </w:rPr>
        <w:t>用类型学代替故事会：把事故档案变成管理工具。</w:t>
      </w:r>
      <w:r>
        <w:rPr>
          <w:rFonts w:ascii="Calibri" w:hAnsi="Calibri" w:eastAsia="微软雅黑"/>
          <w:b w:val="0"/>
          <w:i w:val="0"/>
          <w:sz w:val="22"/>
        </w:rPr>
        <w:t xml:space="preserve"> 著作第二章设有"全球工程事故的历史演进与类型学分析"一节（P7000），方法上给转型设计院指了一条明路：把事故当类型学样本研究，而不是当故事听。设计院启动转型时，完全可以自行建立一张"工程事故与纠纷类型表"——物理类（混凝土与支撑结构的物理极限，P7000）、组织类（设计与施工的分离与冲突、组织行为的系统性失效，P7000）、制度类（监管真空、责任碎片化，P7000）、文化类（重物轻人、集体无意识，P7000）、伦理类（生命至上的背离、责任黑洞，P7000）——再把本企业在建与在手的项目逐一套入，逐类追问：我们项目里对应的风险信号是什么？谁负责盯着？上次核查是什么时候？著作多个章节以"本章小结"或"本章小结与建议"收束——如"铭记历史，警钟长鸣"（2.5）、"物理规律与工程安全的辩证关系"（4.3）、"文化重塑的路径与方法"（6.4）、"技术安全的系统性解决方案"（7.5）、"构建具有自我免疫能力的工程系统"（9.5）（P7000）——这种"分析—小结—建议"的结构本身就值得企业风险报告借鉴：每一轮风险扫描都必须落成可执行建议，而不是停留在叙述与感叹。该著作的前言与末章"告别'血的教训'，拥抱'内生安全'"（P7000）首尾呼应，对设计院而言，这句话可以直接翻译成预算语言：转型的安全投入，要花在事故之前——那时它叫预防成本；花在事故之后，就叫事故损失。</w:t>
      </w:r>
    </w:p>
    <w:p>
      <w:r>
        <w:rPr>
          <w:rFonts w:ascii="Calibri" w:hAnsi="Calibri" w:eastAsia="微软雅黑"/>
          <w:b w:val="0"/>
          <w:i w:val="0"/>
          <w:sz w:val="22"/>
        </w:rPr>
        <w:t>所以呢？对准备转型或已在转型路上的设计院管理层，这份事故档案至少给出三条硬结论。第一，安全能力是EPC的准入条件而非附属品：转型可行性评估里，必须给施工安全管理体系、安全技术力量与停工否决机制设置一票否决项，而不是把它们排在与人才、市场并列的"配套措施"里。第二，"设计与施工的分离与冲突"（P7000）是模式级风险，只能靠组织整合与技术整合解决，不能靠合同文本解决——联合体协议、内部设计施工协同流程、设计人员下场机制，都是整合的实体内容。第三，制度与文化必须同步建设：没有责任到人的内部风险地图与安全文化，总承包资质只会放大"责任碎片化"（P7000）与"责任黑洞"（P7000）的代价。事故档案是转型尽调的第一课，学费别人已经交过，设计院要做的是把档案读进去。</w:t>
      </w:r>
    </w:p>
    <w:p>
      <w:pPr>
        <w:pStyle w:val="Heading2"/>
      </w:pPr>
      <w:r>
        <w:t>7.2 纠纷全景：EPC相关裁判文书的十五年曲线与五类高发案型</w:t>
      </w:r>
    </w:p>
    <w:p>
      <w:r>
        <w:rPr>
          <w:rFonts w:ascii="Calibri" w:hAnsi="Calibri" w:eastAsia="微软雅黑"/>
          <w:b w:val="0"/>
          <w:i w:val="0"/>
          <w:sz w:val="22"/>
        </w:rPr>
        <w:t>如果说特大事故是小概率的极端尾部风险，合同纠纷就是转型路上的高频常态。证据库收录的判卷系列按年份归档了EPC相关裁判文书的规模：2008年39篇（P7034）、2010年148篇（P7032）、2011年61篇（P7033）、2012年216篇（P7030）、2013年2,170篇（P7029）、2014年5,275篇（P7028）、2015年8,654篇（P7026）、2016年10,763篇（P7025）、2017年11,716篇（P7024）、2018年5,754篇（P7027）、2019年41,550篇（P7023）、2020年42,935篇（P7022）、2021年324篇（P7031）。把这十三个年份摆在一起，曲线可以读出三个特征段。起步期（2008—2012）：从39篇到216篇（P7034、P7030），体量很小，工程合同纠纷尚未成为司法系统里的显性类别。放量期（2013—2017）：2013年一年从216篇跳到2,170篇（P7030、P7029），一年之内跃升约一个数量级（own_calc：2,170÷216）；此后逐年攀升至2017年的11,716篇（P7024），2013—2017五年合计38,578篇（own_calc：2,170+5,275+8,654+10,763+11,716=38,578）。高位波动期（2018—2021）：2018年回落至5,754篇（P7027），2019、2020两年分别跳升至41,550篇与42,935篇（P7023、P7022），两年合计84,485篇（own_calc：41,550+42,935=84,485），2021年则仅收录324篇（P7031）。必须如实说明：这条曲线反映的是证据库所收样本的口径，年份间收录标准未必一致——2018年与2021年的骤降在源数据中均未附解释，2009年数据缺失——因此对趋势的解读以谨慎为度，本章盲区一节对此再作登记。但即便只取保守读法，"工程合同纠纷在2013年以后进入万级规模并长期维持高位"这一事实，足以支撑一个判断：纠纷不是转型路上的意外，而是必须常态化管理的经营变量。</w:t>
      </w:r>
    </w:p>
    <w:p>
      <w:r>
        <w:rPr>
          <w:rFonts w:ascii="Calibri" w:hAnsi="Calibri" w:eastAsia="微软雅黑"/>
          <w:b w:val="0"/>
          <w:i w:val="0"/>
          <w:sz w:val="22"/>
        </w:rPr>
        <w:t>值得设计院注意的还有判卷覆盖的案由广度：从建设工程施工合同纠纷（P7022）、建设工程合同纠纷（P7023）、建筑设备租赁合同纠纷（P7028）、装饰装修合同纠纷（P7031），到管辖裁定（P7022）、执行裁定（P7023）、再审审查（P7024）、追加被执行人异议（P7031），工程相关纠纷辐射到合同全生命周期与全类型——这意味着"工程法务"不是单点技能，而是一个覆盖合同起草、履约管理、诉讼仲裁、强制执行的完整职能链条。</w:t>
      </w:r>
    </w:p>
    <w:p>
      <w:r>
        <w:rPr>
          <w:rFonts w:ascii="Calibri" w:hAnsi="Calibri" w:eastAsia="微软雅黑"/>
          <w:b w:val="0"/>
          <w:i w:val="0"/>
          <w:sz w:val="22"/>
        </w:rPr>
        <w:t>曲线之下，更值得设计院管理层细看的是案型。以下五类高发案型，每一类都有真实裁判文书作证。</w:t>
      </w:r>
    </w:p>
    <w:p>
      <w:r>
        <w:rPr>
          <w:rFonts w:ascii="Calibri" w:hAnsi="Calibri" w:eastAsia="微软雅黑"/>
          <w:b/>
          <w:i w:val="0"/>
          <w:sz w:val="22"/>
        </w:rPr>
        <w:t>案型一：结算与欠款争议——最大宗的出血点。</w:t>
      </w:r>
      <w:r>
        <w:rPr>
          <w:rFonts w:ascii="Calibri" w:hAnsi="Calibri" w:eastAsia="微软雅黑"/>
          <w:b w:val="0"/>
          <w:i w:val="0"/>
          <w:sz w:val="22"/>
        </w:rPr>
        <w:t xml:space="preserve"> 河南汇河公司与洛阳灵山国诚公司案（（2016）豫0327民初1133号，P7025）几乎浓缩了结算风险的全部要素：2013年12月3日双方签订塑石假山工程合同，按实际钢丝网片面积188元/㎡计价（P7025）；2014年1月23日补充协议又把温泉汤池工程按水池外围投影面积2000元/㎡纳入（P7025）；此后5D电影院、儿童智慧城等园林景观及35项零星工程陆续交由施工但未逐项签订书面合同（P7025）；更关键的是，因被告未提供设计图纸，所有施工内容都采取"边设计、边施工，完工一处、验收一处"的方式进行（P7025）。纠纷爆发后的账目是：温泉假山等四项工程总造价8,902,476.4元，施工期间及此后累计支付7,432,708元，尚欠1,469,768元（P7025）；两份结算单确认的12,702,400元（P7025）；12项零星工程总造价1,017,870元没有结算（P7025）；被告共计拖欠工程款15,190,038.4元（P7025）。原告最终只主张两份结算单确认的12,702,400元，自行放弃其余2,487,638.4元（P7025）——为什么放弃？因为无书面合同、无逐项结算的部分举证太难。这个案子给设计院的镜鉴有三层：其一，结算单是债权的生命线，有结算单的12,702,400元可以理直气壮主张，没有结算的部分宁可放弃（P7025）；其二，"边设计、边施工"（P7025）正是设计院最熟悉的交付方式，却是纠纷的高发土壤；其三，增量工程不签书面合同的习惯，在EPC里等价于主动放弃债权。同类教训在王卓成与浙江引拓公司再审案（（2017）浙民申3281号，P7024）里换了副面孔：双方对工程款总额769,734元（含税金100,400元）本无异议（P7024），原告自认此前已收款57万元，2016年3月10日又收15万元，合计72万元（P7024）；争议只剩税金——原告主张按浙江省取费定额税金应为26,540元（P7024），造价咨询报告则认定税金100,400元（P7024），法院因原告未能提供税务发票等证据证明税金损失确已产生，对税金部分予以扣除，认定被告无需再付款，再审申请被驳回（P7024）。一张税务发票的举证缺失，直接抹掉了应得款项——票据管理不是财务部门的小事，是诉争时的胜负手。上海锦都公司与浙江松尚公司案（P7034）则展示了"确认条款"的双刃剑：合同总价2,100万元，2008年2月18日补充协议确认已付1,860万元、剩余240万元（P7034）；此后又支付145万元，其中10万元明确为合同外款项（P7034）；最终仍有105万元未按期支付（P7034）。合同内外款项混同支付、确认协议不写清冲抵顺序，纠纷就藏在里面。</w:t>
      </w:r>
    </w:p>
    <w:p>
      <w:r>
        <w:rPr>
          <w:rFonts w:ascii="Calibri" w:hAnsi="Calibri" w:eastAsia="微软雅黑"/>
          <w:b/>
          <w:i w:val="0"/>
          <w:sz w:val="22"/>
        </w:rPr>
        <w:t>案型二：违法分包与连带责任——链条尾端的清偿风险。</w:t>
      </w:r>
      <w:r>
        <w:rPr>
          <w:rFonts w:ascii="Calibri" w:hAnsi="Calibri" w:eastAsia="微软雅黑"/>
          <w:b w:val="0"/>
          <w:i w:val="0"/>
          <w:sz w:val="22"/>
        </w:rPr>
        <w:t xml:space="preserve"> 刘春新与河南省新乡市第一建筑工程公司案（新中民五终字第519号，P7026）的细节值得逐字读：三浦公司与一建公司2012年5月25日、10月15日签订的两份施工合同，均在第三部分第十一项38.1约定"本工程不允许分包"（P7026）；但一建公司的合同委托代理人李俊科仍在2013年5月31日与刘春新签订铝合金窗施工合同，将车间铝合金窗工程交其施工（P7026）；完工核算工程价款315,628元、已付40,000元后，李俊科于2015年5月21日出具275,000元欠条（P7026）；刘春新2015年5月28日提起诉讼，要求一建公司与李俊科付款、发包方三浦公司在欠付工程款范围内连带（P7026）；延津县人民法院2015年8月27日作出一审判决后，一建公司不服上诉（P7026）。这个案子暴露的是："本工程不允许分包"的合同条款挡不住现场人员以公司名义实施的分包行为——委托代理人在合同上签过字，其后续行为极易被认定为职务行为或表见代理，责任最终回溯到总包名下。陈松何与余建盛案（（2012）佛明法民一初字第797号，P7030）则是层层转包的标本：丰溪公司承接工程后非法分包给王祺，王祺再违法分包给余建盛（P7030），原告主张两家上层分包人对62100元勾土工程款承担连带责任，利息按中国人民银行同期贷款利率四倍计（P7030）；该案2012年4月26日立案后，法院先追加丰溪公司为被告，再追加王祺为被告，程序从简易程序转为合议庭（P7030）——被告名单在诉讼中滚动扩大，正是连带责任诉讼的典型形态。对转型设计院，这两案合起来的警示是：EPC的利润在分包管理，风险也在分包管理——分包授权矩阵、现场印章与合同签署权限、对"不允许分包"条款的执行监督，缺任何一环，链条尾端的小额欠款都会以连带责任的形式找到总包头上。</w:t>
      </w:r>
    </w:p>
    <w:p>
      <w:r>
        <w:rPr>
          <w:rFonts w:ascii="Calibri" w:hAnsi="Calibri" w:eastAsia="微软雅黑"/>
          <w:b/>
          <w:i w:val="0"/>
          <w:sz w:val="22"/>
        </w:rPr>
        <w:t>案型三：无书面合同与证据缺陷——最古老的坑，最现代的代价。</w:t>
      </w:r>
      <w:r>
        <w:rPr>
          <w:rFonts w:ascii="Calibri" w:hAnsi="Calibri" w:eastAsia="微软雅黑"/>
          <w:b w:val="0"/>
          <w:i w:val="0"/>
          <w:sz w:val="22"/>
        </w:rPr>
        <w:t xml:space="preserve"> 湖南凤凰县堡坎工程案（（2018）湘3123民初897号，P7027）里，双方口头约定砌堡坎全包每立方米280元（P7027），完工后结算共砌790多立方米、付了4万元、尚欠182,415.2元（P7027），但被告之间的合伙关系、谁该付款竟成了最大争点（P7027）。谢祥灯与周宏枢案（（2010）浙温民终字第1640号，P7032）更曲折：农村自建房包工包料、竣工后按实际结算，未订立书面合同（P7032）；被告已陆续支付455,000元并取得写明"工程款已全部结清"的收条（P7032）；此后原告凭造价预算主张更多款项，案件历经笔迹鉴定对抗——原告方两份鉴定意见认为收条签名非本人所写，法院委托的司法鉴定则认定系本人所写（P7032）——最终以收条和鉴定结论定案（P7032）。证据缺陷甚至会让诉讼本身变成净损失：蔡维林与福建省高德公司案中，原告以"本案事实无法查清"申请撤诉获准，案件受理费3,914元减半收取1,957元由原告自担（P7029）；上海盈创公司与南京国豪公司案中原告撤诉，受理费16,347元减半收取8,173.50元同样由原告负担（P7029）。诉讼成本是真实的、单向的——没打好证据地基，撤诉也要交学费。设计院做EPC后，合同、签证、会议纪要、往来函件的形式完备性就是资产本身，这一点怎么强调都不过分。</w:t>
      </w:r>
    </w:p>
    <w:p>
      <w:r>
        <w:rPr>
          <w:rFonts w:ascii="Calibri" w:hAnsi="Calibri" w:eastAsia="微软雅黑"/>
          <w:b/>
          <w:i w:val="0"/>
          <w:sz w:val="22"/>
        </w:rPr>
        <w:t>案型四：管辖与程序风险——主场未必在你这边。</w:t>
      </w:r>
      <w:r>
        <w:rPr>
          <w:rFonts w:ascii="Calibri" w:hAnsi="Calibri" w:eastAsia="微软雅黑"/>
          <w:b w:val="0"/>
          <w:i w:val="0"/>
          <w:sz w:val="22"/>
        </w:rPr>
        <w:t xml:space="preserve"> 黑龙江省水利水电集团第二工程公司与塔河县红平运输队案（（2020）黑27民辖终7号，P7022）是一份简洁的管辖裁定：上诉人主张双方未签书面合同、无从约定管辖，要求把案件移送到自己住所地的哈尔滨阿城区法院（P7022）；法院明确，建设工程施工合同纠纷按照不动产纠纷确定管辖，工程所在地马伦村属塔河县，塔河县法院有管辖权，驳回上诉、维持原裁定（P7022）。对设计院的含义：工程干在哪里，官司就要打到哪里。跨区域项目布局必须把当地司法环境、应诉成本纳入项目评估，"约定管辖"条款在施工合同纠纷里的空间远比想象中窄。</w:t>
      </w:r>
    </w:p>
    <w:p>
      <w:r>
        <w:rPr>
          <w:rFonts w:ascii="Calibri" w:hAnsi="Calibri" w:eastAsia="微软雅黑"/>
          <w:b/>
          <w:i w:val="0"/>
          <w:sz w:val="22"/>
        </w:rPr>
        <w:t>案型五：执行难与股东追加——赢了判决不等于拿回钱。</w:t>
      </w:r>
      <w:r>
        <w:rPr>
          <w:rFonts w:ascii="Calibri" w:hAnsi="Calibri" w:eastAsia="微软雅黑"/>
          <w:b w:val="0"/>
          <w:i w:val="0"/>
          <w:sz w:val="22"/>
        </w:rPr>
        <w:t xml:space="preserve"> 孙计玲等人与上海禧诚装饰公司执行异议案（（2021）浙0211执异62号之一，P7031）展示了债权的最后一公里有多难：装饰装修判决进入执行后，禧诚公司名下无任何财产可供执行（P7031）；申请人转而请求追加股东朱斌、浦方方为被执行人，理由是该公司由夫妻二人2011年5月共同发起设立，认缴注册资本50万元，朱斌持股90％、浦方方持股10％，全部股权实质来源于同一财产权，应认定为一人公司（P7031）；其援引的依据是《最高人民法院关于民事执行中变更、追加当事人若干问题的规定》第二十条（P7031）。而乔文波与中十治集团案（（2019）豫1222执886号之四，P7023）里，申请执行人于2019年12月2日书面申请撤销执行申请，法院裁定终结执行（P7023）——执行阶段的放弃，是回收落空的另一种形态。对设计院，这两案合起来提示两件事：对发包方与分包方要做资信尽调与履约担保安排，不能把回款希望全押在判决书上；同时，设计院自身若以子公司、项目部形态运作EPC业务，公司财产独立性、人格独立性的合规边界也要提前筑好。</w:t>
      </w:r>
    </w:p>
    <w:p>
      <w:r>
        <w:rPr>
          <w:rFonts w:ascii="Calibri" w:hAnsi="Calibri" w:eastAsia="微软雅黑"/>
          <w:b/>
          <w:i w:val="0"/>
          <w:sz w:val="22"/>
        </w:rPr>
        <w:t>案型一的补强：质量反诉如何吃掉工程款债权。</w:t>
      </w:r>
      <w:r>
        <w:rPr>
          <w:rFonts w:ascii="Calibri" w:hAnsi="Calibri" w:eastAsia="微软雅黑"/>
          <w:b w:val="0"/>
          <w:i w:val="0"/>
          <w:sz w:val="22"/>
        </w:rPr>
        <w:t xml:space="preserve"> 荣成市建筑安装公司与荣成市水木龙江置业公司案（（2010）荣崖民初字第443号，P7033）把结算纠纷与质量纠纷拧成了一股绳。案情时间线是：2006年5月1日签订建筑工程合同，包工包料，约定竣工日期2006年11月20日；付款按节点走——形象进度付65%、主体封顶付80%、竣工后付到95%、剩余5%作保修金，保修期24个月（P7033）；2006年7月4日补充合同把29号楼竣工日期改为2006年12月5日（P7033）；工程2007年5月20日竣工，被告至2007年9月24日仅支付3,698,000元（P7033）；2008年1月9日双方签订付款协议，约定再付50万元、以3套住宅抵顶697,707元，并确认此前已付3,698,000元（P7033）；2008年6月4日双方决算，工程总价款5,847,961.15元（P7033）。纠纷的看点在反诉：被告主张工程质量严重，已花修理费145,585.88元、待修部分尚需149,034.40元，据此要求原告支付维修费用294,620.28元（P7033）；原告则主张解除抵房协议、支付工程款1,469,961.15元及违约金187,143.88元（P7033）。质量与欠款在同一场诉讼里对冲——你告我欠款，我告你质量，最后的净所得要等两个请求相互抵扣后才见分晓。对转型设计院，此案的两点教训是：其一，保修金条款（本案5%、24个月，P7033）不是格式条款而是真实成本，报价与现金流测算时必须把这笔"压尾款"算进去；其二，质量瑕疵会把债权变成谈判筹码的减项，质量控制做得差的企业，应收账款的实际回收率永远低于账面。</w:t>
      </w:r>
    </w:p>
    <w:p>
      <w:r>
        <w:rPr>
          <w:rFonts w:ascii="Calibri" w:hAnsi="Calibri" w:eastAsia="微软雅黑"/>
          <w:b/>
          <w:i w:val="0"/>
          <w:sz w:val="22"/>
        </w:rPr>
        <w:t>案型一的再补强：租赁与劳务等衍生合同同样出血。</w:t>
      </w:r>
      <w:r>
        <w:rPr>
          <w:rFonts w:ascii="Calibri" w:hAnsi="Calibri" w:eastAsia="微软雅黑"/>
          <w:b w:val="0"/>
          <w:i w:val="0"/>
          <w:sz w:val="22"/>
        </w:rPr>
        <w:t xml:space="preserve"> 林鸣与中铁六局茂湛铁路第一项目部案（（2014）湛吴法民一初字第309号，P7028）展示了工程款之外的衍生欠款：脚手架2012年11月15日投入使用，约定使用期至2013年5月31日（P7028）；2013年5月24日双方结算确认租金合计246,254元（P7028）；原告撤走设备后于6月21日申请付款、并按项目部证明到国税局开具了发票（P7028）；三天后即6月24日双方补签《钢管脚手架租赁协议》，项目部当日汇款146,254元，尚欠100,000元（P7028）。更有意味的是被告的抗辩逻辑：项目部提出，原告曾承包吴川火车站工程、收取过225万元劳务费但未开发票，"只有原告给开具该发票后，我才同意支付所欠的100,000元租金"（P7028）——用一个合同外的发票争议对抗本合同的付款义务。这种"以票压款"的连带博弈在工程实践中极为常见，设计院转型EPC后既管工程合同又管采购合同，务必把每类合同的付款条件与开票义务解耦，否则一处票据瑕疵会被对手方在整个合作面上放大使用。</w:t>
      </w:r>
    </w:p>
    <w:p>
      <w:r>
        <w:rPr>
          <w:rFonts w:ascii="Calibri" w:hAnsi="Calibri" w:eastAsia="微软雅黑"/>
          <w:b/>
          <w:i w:val="0"/>
          <w:sz w:val="22"/>
        </w:rPr>
        <w:t>案型五的补强：程序性终局同样值得记账。</w:t>
      </w:r>
      <w:r>
        <w:rPr>
          <w:rFonts w:ascii="Calibri" w:hAnsi="Calibri" w:eastAsia="微软雅黑"/>
          <w:b w:val="0"/>
          <w:i w:val="0"/>
          <w:sz w:val="22"/>
        </w:rPr>
        <w:t xml:space="preserve"> 除了禧诚案的股东追加与中十治案的执行终结，判卷里还有几份"安静"的程序文书，各自代表一种纠纷终局形态。乔振军案（（2019）鲁0991民初727号，P7023）：2019年11月22日立案，原告未在七日内预交案件受理费，按撤回起诉处理（P7023）——维权意愿与维权成本之间的落差，让纠纷连开庭都没进。李后民与高君峰案（（2019）豫0927执547号，P7023）同样是执行程序中的一环。洪串进案（（2009）金浦民二初字第113号，P7034）则展示了债权人的主动防御：2008年12月25日原告申请财产保全，法院裁定对被告在经济合作社的存款455,000元予以保全（P7034）——在诉前就冻结对方财产，是把"赢了官司拿不到钱"的概率前置压低的手段。中铁十五局与中铁隧道集团再审案（（2013）浙杭民再字第10号，P7029）说明纠纷即使终审后仍可能进入再审程序，工程巨头的对决同样旷日持久。把这些程序形态放在一起看，结论是：一起工程纠纷的完整生命周期可能覆盖一审、二审、再审、执行、保全多个阶段，时间成本以年计——设计院评估任何一笔争议金额时，都应同步评估时间成本与资金占压。</w:t>
      </w:r>
    </w:p>
    <w:p>
      <w:r>
        <w:rPr>
          <w:rFonts w:ascii="Calibri" w:hAnsi="Calibri" w:eastAsia="微软雅黑"/>
          <w:b/>
          <w:i w:val="0"/>
          <w:sz w:val="22"/>
        </w:rPr>
        <w:t>五类案型之外的一条暗线：小金额纠纷的治理成本。</w:t>
      </w:r>
      <w:r>
        <w:rPr>
          <w:rFonts w:ascii="Calibri" w:hAnsi="Calibri" w:eastAsia="微软雅黑"/>
          <w:b w:val="0"/>
          <w:i w:val="0"/>
          <w:sz w:val="22"/>
        </w:rPr>
        <w:t xml:space="preserve"> 判卷里不乏"小额"案例：陈松何案的62100元勾土款（P7030）、林鸣案的100,000元租金尾款（P7028）、堡坎案的182,415.2元（P7027）、刘春新案的275,000元窗户款（P7026）。金额虽小，它们消耗的管理注意力与诉讼资源与百万级案件并无二致——一份管辖裁定、一轮鉴定、一次执行，程序一个不少。对转型设计院的启示是：风险治理不能只盯大案，要在合同与流程设计阶段就把小额高频争议的出口铺好（协商机制、调解条款、快速仲裁通道），否则管理带宽会被碎案吃光。设计院习惯以"项目制+大额合同"运转，对小额高频纠纷的免疫力恰恰最弱，这一点在转型前就要补课。</w:t>
      </w:r>
    </w:p>
    <w:p>
      <w:r>
        <w:rPr>
          <w:rFonts w:ascii="Calibri" w:hAnsi="Calibri" w:eastAsia="微软雅黑"/>
          <w:b/>
          <w:i w:val="0"/>
          <w:sz w:val="22"/>
        </w:rPr>
        <w:t>败诉一方最常见的三类"小毛病"。</w:t>
      </w:r>
      <w:r>
        <w:rPr>
          <w:rFonts w:ascii="Calibri" w:hAnsi="Calibri" w:eastAsia="微软雅黑"/>
          <w:b w:val="0"/>
          <w:i w:val="0"/>
          <w:sz w:val="22"/>
        </w:rPr>
        <w:t xml:space="preserve"> 重读这些判卷会发现，败诉或受阻的理由很少是什么高深的法律争点，而多是三类"小毛病"。一是文件缺失：汇河案中无书面合同、无逐项结算的2,487,638.4元部分被原告自行放弃（P7025）——不是没干活，是拿不出证明干过活的纸。二是证据缺失：王卓成案中原告未能提供税务发票等证据证明税金损失，法院据此扣除税金部分（P7024）——发票这张纸的价值等于争议金额。三是程序错判：黑龙江水利水电案中上诉人把希望押在"未签书面合同故应移送被告住所地"的管辖主张上，被二审驳回（P7022）——对专属管辖规则的误判，让企业白白多打一轮程序战。工程人常说"活干好了就行"，但法庭只认"能证明活干好了的文件"。转型期间，设计院可以让法务部门从这些高频败因中整理出一份"文档红线清单"，印出来贴在项目部——这个管理动作几乎零成本，却直接对准最高频的失分点。</w:t>
      </w:r>
    </w:p>
    <w:p>
      <w:r>
        <w:rPr>
          <w:rFonts w:ascii="Calibri" w:hAnsi="Calibri" w:eastAsia="微软雅黑"/>
          <w:b/>
          <w:i w:val="0"/>
          <w:sz w:val="22"/>
        </w:rPr>
        <w:t>关于曲线的三个追问。</w:t>
      </w:r>
      <w:r>
        <w:rPr>
          <w:rFonts w:ascii="Calibri" w:hAnsi="Calibri" w:eastAsia="微软雅黑"/>
          <w:b w:val="0"/>
          <w:i w:val="0"/>
          <w:sz w:val="22"/>
        </w:rPr>
        <w:t xml:space="preserve"> 第一问：纠纷量为何在2013年前后放量？证据库本身没有给出归因（P7029、P7030），可能的解释包括工程总量扩张、司法公开加深、企业维权意愿上升，但本章不作无锚推断，只如实记录数字与年份。第二问：2019、2020年的4万级峰值意味着什么？两年的41,550篇与42,935篇（P7023、P7022）意味着司法机关面对月均数千件量级的工程纠纷供给，也意味着任何一家工程企业都不可能完全避开诉讼环境——法务资源配置、外部律师库、证据管理体系，都要按"纠纷是常态"来定，而不是按"偶尔打官司"来定。第三问：2021年的324篇（P7031）是否说明纠纷退潮了？不能下这个结论——单一低样本年份更可能反映收录口径的变化而非纠纷减少（详见本章盲区），把324篇（P7031）解读成"风险下降"，正是数据口径陷阱的典型形态。这三个追问本身就是给设计院管理层的方法示范：读任何风险数据，先问口径，再问归因，最后才问含义——顺序错了，结论必然变形。</w:t>
      </w:r>
    </w:p>
    <w:p>
      <w:r>
        <w:rPr>
          <w:rFonts w:ascii="Calibri" w:hAnsi="Calibri" w:eastAsia="微软雅黑"/>
          <w:b w:val="0"/>
          <w:i w:val="0"/>
          <w:sz w:val="22"/>
        </w:rPr>
        <w:t>所以呢？五类案型拼在一起，指向同一个结论：设计院的法务与合约体系必须从"设计合同思维"升级为"建造合同思维"。设计合同纠纷标的小、周期短、以图纸质量为争点；建造合同纠纷动辄百万千万、周期以年计、争点散布在结算、分包、质量、税务、管辖、执行各环节。转型之前，请先把合同范本库、签证与结算流程、分包合规审查、票据管理、证据归档这五件事补到位——判卷里的每一个数字，都是别人没做这些事的账单。</w:t>
      </w:r>
    </w:p>
    <w:p>
      <w:pPr>
        <w:pStyle w:val="Heading2"/>
      </w:pPr>
      <w:r>
        <w:t>7.3 拖欠图谱：最高法2026年第二批典型案例与"三角债"破解</w:t>
      </w:r>
    </w:p>
    <w:p>
      <w:r>
        <w:rPr>
          <w:rFonts w:ascii="Calibri" w:hAnsi="Calibri" w:eastAsia="微软雅黑"/>
          <w:b w:val="0"/>
          <w:i w:val="0"/>
          <w:sz w:val="22"/>
        </w:rPr>
        <w:t>裁判文书展示的是纠纷打到了什么程度，最高法的典型案例则展示纠纷正在以什么方式被解决——以及监管层希望企业以什么方式解决。2026年10月8日，最高人民法院与全国工商联联合发布第二批民营经济领域纠纷多元化解典型案例，共10件，聚焦解决拖欠企业账款问题（P7003）。发布的政策背景写得很清楚：贯彻党中央、国务院关于清理拖欠企业账款问题的重要部署，落实民营经济促进法对保障民营经济组织账款权益的有关规定（P7002）。这批案例呈现出三个鲜明特点：一是商会调解组织依托对行业交易习惯、付款周期、资金流转规律的深刻理解，准确判断债务形成的真实原因，发挥调解低成本、高效率、不伤和气的优势，实现债权人回款、债务人纾困、合作关系修复的多赢（P7002）；二是强化"法院+商会"联动化解，人民法院在法律适用尺度、厘清法律关系、明确司法裁判导向等方面为商会调解组织提供专业指导，商会发挥"熟悉企业、熟知行业"的优势制定切实可行的调解协议，并通过行业自律和信用评价体系督促当事人主动履行（P7002）；三是创新多元调解方式，采用多方联动与"穿透式""先解冻+分期付""互利共赢"等解纷方式，形成可复制经验（P7002）。对设计院管理层，这三条传递的信号是：工程款纠纷的制度化出口正在从"对簿公堂"向"调解优先"迁移，企业的纠纷解决工具箱需要同步扩容。</w:t>
      </w:r>
    </w:p>
    <w:p>
      <w:r>
        <w:rPr>
          <w:rFonts w:ascii="Calibri" w:hAnsi="Calibri" w:eastAsia="微软雅黑"/>
          <w:b/>
          <w:i w:val="0"/>
          <w:sz w:val="22"/>
        </w:rPr>
        <w:t>案例一值得逐字精读，因为被告正是"某设计工程公司"。</w:t>
      </w:r>
      <w:r>
        <w:rPr>
          <w:rFonts w:ascii="Calibri" w:hAnsi="Calibri" w:eastAsia="微软雅黑"/>
          <w:b w:val="0"/>
          <w:i w:val="0"/>
          <w:sz w:val="22"/>
        </w:rPr>
        <w:t xml:space="preserve"> 该案入库编号D2026-714-1-084-008（P7017）：某混凝土公司与某设计工程公司签订《建材采购合同》，为后者基础设施项目供应水泥稳定级配碎石等建材（P7017）；供货结算确认总货款585.59万元，设计工程公司仅支付首付款44.85万元，剩余540.74万元长期拖欠未付（P7017）；混凝土公司多次催告无果，诉至黑龙江省大庆市让胡路区人民法院并申请冻结对方银行账户（P7017）；设计工程公司因账户被冻结，面临资金链断裂及无法参加新项目投标的经营风险，双方矛盾激化（P7017）；法院考虑双方均为民营企业且保持商业往来，依托"法院+商会"多元解纷机制介入，目标是阻断债务连锁传导（P7017）。这个案子对设计院的镜鉴是双重的。其一，"某设计工程公司"正是设计院转型后的典型形态——以设计为龙头承接基础设施总承包、进而对外采购建材；它欠付的540.74万元（P7017）很可能源于业主欠它的工程款，债务在链条上逐级传导。其二，欠款纠纷的代价远超本金：账户冻结直接触发"资金链断裂"与"无法参加新项目投标"（P7017）两朵连锁乌云——后者意味着新业务获取能力被一并冻结，这对以滚动投标为生命线的工程企业近乎釜底抽薪。案例一的标题把这层机制点破了："'法院+商会'联动破解建筑行业'三角债'困局"（P7002）。</w:t>
      </w:r>
    </w:p>
    <w:p>
      <w:r>
        <w:rPr>
          <w:rFonts w:ascii="Calibri" w:hAnsi="Calibri" w:eastAsia="微软雅黑"/>
          <w:b/>
          <w:i w:val="0"/>
          <w:sz w:val="22"/>
        </w:rPr>
        <w:t>十个案例的全景：一份欠款纠纷的类型学图谱。</w:t>
      </w:r>
      <w:r>
        <w:rPr>
          <w:rFonts w:ascii="Calibri" w:hAnsi="Calibri" w:eastAsia="微软雅黑"/>
          <w:b w:val="0"/>
          <w:i w:val="0"/>
          <w:sz w:val="22"/>
        </w:rPr>
        <w:t xml:space="preserve"> 逐一列出这批案例的标题，能读出监管层眼中的欠款纠纷全貌：案例一，"某混凝土公司与某设计工程公司买卖合同纠纷调解案——'法院+商会'联动破解建筑行业'三角债'困局"（P7002）；案例二，"某建材公司与某建筑工程公司买卖合同纠纷调解案——发挥行业专长、构建闭环体系，高效化解商事主体间拖欠货款纠纷"（P7002）；案例三，"某金属公司与某贸易公司、某建设公司买卖合同纠纷调解案——分层施策、分步履约，化解买卖合同履行中的拖欠货款及利息争议"（P7002）；案例四，"某煤炭销售公司与某实业公司、某建设集团公司买卖合同纠纷调解案——四方联动协作化解跨域拖欠货款纠纷"（P7002）；案例五，"某建筑公司与某房地产开发公司等合同纠纷调解案——穿透式解纷促进建筑合同纠纷实质化解"（P7002）；案例六，"甲建材公司与乙建材公司买卖合同纠纷调解案——商会调解组织妥善化解企业间拖欠货款纠纷，维系长期合作关系"（P7002）；案例七，"甲科技公司与乙科技公司建设工程合同纠纷调解案——发挥专业优势，一揽子化解光伏工程施工纠纷"（P7005）；案例八，"某电线电缆公司与某智能装备公司买卖合同纠纷调解案——依托调解平台在线高效化解科技小微企业货款纠纷"（P7002）；案例九，"某工程技术公司与某建设公司建设工程设计合同纠纷调解案——'商会搭台、法官指导、企业协商'有效化解终止设计补偿款争议"（P7005）；案例十，"某矿业公司与某建设公司、某劳务公司买卖合同纠纷调解案——'府院联动'+'总对总'机制化解涉中小企业货款纠纷"（P7017）。三个观察值得展开。第一，与工程建设直接相关的案例占比过半——案例一（混凝土对设计工程公司）、案例五（建筑对房地产）、案例七（光伏施工）、案例九（设计合同）、案例十（矿业、建设、劳务三方）均属建造链条，十个案例中占五个（own_calc：按案例标题逐件归类，案例一、五、七、九、十为工程建设直接相关，5÷10）——建造业是欠款纠纷的重灾区，这一点与7.2的判卷证据完全互证。第二，买卖合同纠纷是最大载体：十个案例中有七个以买卖合同为案由（own_calc：案例一、二、三、四、六、八、十，7÷10）——"三角债"的传导介质正是采购链，材料与设备的每一笔采购都可能成为链条债务的一个节点。第三，化解手法已成谱系：闭环体系（案例二）、分层施策分步履约（案例三）、四方联动跨域协作（案例四）、穿透式（案例五）、在线调解平台（案例八）、"商会搭台、法官指导、企业协商"（案例九）、"府院联动"+"总对总"（案例十）——调解不是一种方法，而是一个方法库，企业完全可以按纠纷类型对号入座。</w:t>
      </w:r>
    </w:p>
    <w:p>
      <w:r>
        <w:rPr>
          <w:rFonts w:ascii="Calibri" w:hAnsi="Calibri" w:eastAsia="微软雅黑"/>
          <w:b/>
          <w:i w:val="0"/>
          <w:sz w:val="22"/>
        </w:rPr>
        <w:t>机制层面的两个细节，比口号更有用。</w:t>
      </w:r>
      <w:r>
        <w:rPr>
          <w:rFonts w:ascii="Calibri" w:hAnsi="Calibri" w:eastAsia="微软雅黑"/>
          <w:b w:val="0"/>
          <w:i w:val="0"/>
          <w:sz w:val="22"/>
        </w:rPr>
        <w:t xml:space="preserve"> 其一，履行保障靠信用而不靠强制：商会调解组织"通过行业自律和信用评价体系督促当事人主动履行调解协议"（P7002）——调解协议没有判决的强制力，但它嵌在行业信用网络里，对靠行业口碑吃饭的工程企业，信用约束的实效未必弱于司法强制。其二，"先解冻+分期付"（P7002）的顺序设计是双方各让一步的交换结构：债权人让渡"冻结"这个施压手段，换债务人锁定分期付款计划；债务人用时间换空间，保住账户与投标资格。设计院在链上位置会切换——对上游是债权人、对下游是债务人，两套话术都要会用：向上主张时，理解对方怕冻结，可主动以"解冻换付款计划"换取快速回款；向下被主张时，尽早主动谈分期，别让账户冻结把一次欠款放大成经营危机。</w:t>
      </w:r>
    </w:p>
    <w:p>
      <w:r>
        <w:rPr>
          <w:rFonts w:ascii="Calibri" w:hAnsi="Calibri" w:eastAsia="微软雅黑"/>
          <w:b/>
          <w:i w:val="0"/>
          <w:sz w:val="22"/>
        </w:rPr>
        <w:t>从个案到政策环境：付款纪律正在变成监管议题。</w:t>
      </w:r>
      <w:r>
        <w:rPr>
          <w:rFonts w:ascii="Calibri" w:hAnsi="Calibri" w:eastAsia="微软雅黑"/>
          <w:b w:val="0"/>
          <w:i w:val="0"/>
          <w:sz w:val="22"/>
        </w:rPr>
        <w:t xml:space="preserve"> 这批案例的发布主体是最高人民法院与全国工商联（P7003），政策起点是民营经济促进法与清理拖欠企业账款的部署（P7002）。设计院多为国有背景或地方院，但它的分包商、材料商、劳务公司大多是民营企业——政策风向直接作用于设计院的下游生态：拖欠下游款项的合规成本、声誉成本与被诉风险都在上升。把7.2判卷里的欠款形态（汇河案累计拖欠15,190,038.4元（P7025）、锦都案105万元尾款（P7034））与这批典型案例并排看，结论很清楚：欠款不是"行业惯例"，而是正在被司法与行政系统合力治理的对象。设计院转型EPC后既管总包合同又管采购合同，付款纪律就是合规管理的一部分。</w:t>
      </w:r>
    </w:p>
    <w:p>
      <w:r>
        <w:rPr>
          <w:rFonts w:ascii="Calibri" w:hAnsi="Calibri" w:eastAsia="微软雅黑"/>
          <w:b/>
          <w:i w:val="0"/>
          <w:sz w:val="22"/>
        </w:rPr>
        <w:t>案例九是与设计院最直接相关的一件。</w:t>
      </w:r>
      <w:r>
        <w:rPr>
          <w:rFonts w:ascii="Calibri" w:hAnsi="Calibri" w:eastAsia="微软雅黑"/>
          <w:b w:val="0"/>
          <w:i w:val="0"/>
          <w:sz w:val="22"/>
        </w:rPr>
        <w:t xml:space="preserve"> "某工程技术公司与某建设公司建设工程设计合同纠纷调解案"的标题点是"'商会搭台、法官指导、企业协商'有效化解终止设计补偿款争议"（P7005）——因设计合同中途终止而起的补偿款争议，靠"商会搭台、法官指导、企业协商"的三方结构化解（P7005）。为设计院读者专门把这一件挑出来，理由有二。第一，它说明设计环节本身就是纠纷高发段位：案例九的设计合同纠纷与案例七的光伏施工合同纠纷（P7005）正好覆盖"设计—施工"两端，EPC链条的每一段都能生纠纷，设计院熟悉的"图纸交付即风险结束"的安全区并不存在。第二，它把一个每个设计院都该在合同范本里预答的问题摆上桌面：项目中途终止时，已完成设计工作的补偿怎么算？终止时的已完工作量确认程序是否滴水不漏？如果补偿条款没有被事先推演，终止时就会在信息不对称下重新谈判——而重新谈判的双方，往往已经处在合作破裂的情绪里。</w:t>
      </w:r>
    </w:p>
    <w:p>
      <w:r>
        <w:rPr>
          <w:rFonts w:ascii="Calibri" w:hAnsi="Calibri" w:eastAsia="微软雅黑"/>
          <w:b/>
          <w:i w:val="0"/>
          <w:sz w:val="22"/>
        </w:rPr>
        <w:t>小额纠纷有专用出口。</w:t>
      </w:r>
      <w:r>
        <w:rPr>
          <w:rFonts w:ascii="Calibri" w:hAnsi="Calibri" w:eastAsia="微软雅黑"/>
          <w:b w:val="0"/>
          <w:i w:val="0"/>
          <w:sz w:val="22"/>
        </w:rPr>
        <w:t xml:space="preserve"> 案例八"某电线电缆公司与某智能装备公司买卖合同纠纷调解案——依托调解平台在线高效化解科技小微企业货款纠纷"（P7002）展示了在线调解平台在小额货款纠纷上的应用。设计院的采购面极广——设计软件、仪器设备、图文印制、零星物料——供应商账款小额、分散、高频；若每一笔都升级为诉讼，管理成本会吃掉设计业务本身的利润。在争议解决条款里预留在线调解平台入口，让小额纠纷有低成本、高效率、不伤和气的出口（P7002），是让风险台账保持干净的一个细节级措施。与7.2节的小额纠纷治理观察（P7026的275,000元、P7028的100,000元、P7030的62100元）合并阅读，结论更清晰：小额高频争议的出路在设计阶段就已经埋下，不在诉讼阶段才寻找。</w:t>
      </w:r>
    </w:p>
    <w:p>
      <w:r>
        <w:rPr>
          <w:rFonts w:ascii="Calibri" w:hAnsi="Calibri" w:eastAsia="微软雅黑"/>
          <w:b w:val="0"/>
          <w:i w:val="0"/>
          <w:sz w:val="22"/>
        </w:rPr>
        <w:t>所以呢？三条动作建议。第一，投标前做现金流压力测试与账户冻结情景预案：把"业主付款延迟多久、我方还能撑多久、账户一旦被冻结有哪些替代支付通道"算清楚，再决定投不投、以什么条件投；案例一中540.74万元欠款就足以冻结一家公司的投标资格（P7017），杠杆化的现金流容错必须前置。第二，合同付款条款与争议解决条款要为调解留门：在争议解决条款里预置调解优先、分期履约安排的空间，比事后对簿公堂的成本低得多——"先解冻+分期付"（P7002）正是法院与商会推荐的路径。第三，把商会调解纳入纠纷解决工具箱：与所在地商会、行业协会的调解组织建立常态联系，熟悉"法院+商会"（P7002）机制的入口，纠纷初起时多一个不伤和气的出口。</w:t>
      </w:r>
    </w:p>
    <w:p>
      <w:pPr>
        <w:pStyle w:val="Heading2"/>
      </w:pPr>
      <w:r>
        <w:t>7.4 风险因子全景：转型决策前的十项风险清单</w:t>
      </w:r>
    </w:p>
    <w:p>
      <w:r>
        <w:rPr>
          <w:rFonts w:ascii="Calibri" w:hAnsi="Calibri" w:eastAsia="微软雅黑"/>
          <w:b w:val="0"/>
          <w:i w:val="0"/>
          <w:sz w:val="22"/>
        </w:rPr>
        <w:t>前面三节分别处理了极端尾部（事故）、高频纠纷（判卷）与解决机制（典型案例）。这一节把三者收拢成一张风险因子清单——设计院管理层在做转型决策、投委会在审EPC项目时，可以直接拿它当检查表用。</w:t>
      </w:r>
    </w:p>
    <w:p>
      <w:r>
        <w:rPr>
          <w:rFonts w:ascii="Calibri" w:hAnsi="Calibri" w:eastAsia="微软雅黑"/>
          <w:b/>
          <w:i w:val="0"/>
          <w:sz w:val="22"/>
        </w:rPr>
        <w:t>先说清单的读法：频度×烈度两维。</w:t>
      </w:r>
      <w:r>
        <w:rPr>
          <w:rFonts w:ascii="Calibri" w:hAnsi="Calibri" w:eastAsia="微软雅黑"/>
          <w:b w:val="0"/>
          <w:i w:val="0"/>
          <w:sz w:val="22"/>
        </w:rPr>
        <w:t xml:space="preserve"> 事故类因子频度极低、烈度极高——丰城"11·24"（P7000）一生未必遇到一次，但遇到一次就足以终结一家企业；纠纷类因子频度高、烈度中等——万级规模的裁判文书（P7022、P7023）说明它年年都在发生，单笔损失通常可控但累积消耗巨大。两类因子的应对逻辑不同：对高烈度因子，用否决权、保险与文化机制把概率压到极低，代价是常备投入；对高频因子，用流程、范本与组织能力把单位成本压低，收益是规模化后的稳定利润。混淆两维，是转型企业风险管理最常见的错误——要么为小概率事件过度设卡拖垮效率，要么为高频纠纷缺乏流程而疲于奔命。</w:t>
      </w:r>
    </w:p>
    <w:p>
      <w:r>
        <w:rPr>
          <w:rFonts w:ascii="Calibri" w:hAnsi="Calibri" w:eastAsia="微软雅黑"/>
          <w:b/>
          <w:i w:val="0"/>
          <w:sz w:val="22"/>
        </w:rPr>
        <w:t>因子一：安全与生命风险。</w:t>
      </w:r>
      <w:r>
        <w:rPr>
          <w:rFonts w:ascii="Calibri" w:hAnsi="Calibri" w:eastAsia="微软雅黑"/>
          <w:b w:val="0"/>
          <w:i w:val="0"/>
          <w:sz w:val="22"/>
        </w:rPr>
        <w:t xml:space="preserve"> 丰城"11·24"（P7000）是这一因子的极端形态，其成因被系统化为"设计与施工的分离与冲突""组织行为的系统性失效""速度与安全的辩证关系"失衡（P7000）。决策动作：转型评估中给安全体系设一票否决；项目层面保住停工否决权的独立性，不让安全服从进度。</w:t>
      </w:r>
    </w:p>
    <w:p>
      <w:r>
        <w:rPr>
          <w:rFonts w:ascii="Calibri" w:hAnsi="Calibri" w:eastAsia="微软雅黑"/>
          <w:b/>
          <w:i w:val="0"/>
          <w:sz w:val="22"/>
        </w:rPr>
        <w:t>因子二：设计—施工整合风险。</w:t>
      </w:r>
      <w:r>
        <w:rPr>
          <w:rFonts w:ascii="Calibri" w:hAnsi="Calibri" w:eastAsia="微软雅黑"/>
          <w:b w:val="0"/>
          <w:i w:val="0"/>
          <w:sz w:val="22"/>
        </w:rPr>
        <w:t xml:space="preserve"> "基因缺陷与现实扭曲"（P7000）的判断意味着：组织上合并了设计与施工团队，不等于技术上、流程上完成了整合；"设计失误"向"施工缺陷"（P7000）的传导链必须在企业内部被显式管理。决策动作：建立设计可施工性审查、设计人员驻场、变更闭环三项机制，把传导链剪断在企业内部。</w:t>
      </w:r>
    </w:p>
    <w:p>
      <w:r>
        <w:rPr>
          <w:rFonts w:ascii="Calibri" w:hAnsi="Calibri" w:eastAsia="微软雅黑"/>
          <w:b/>
          <w:i w:val="0"/>
          <w:sz w:val="22"/>
        </w:rPr>
        <w:t>因子三：结算与证据风险。</w:t>
      </w:r>
      <w:r>
        <w:rPr>
          <w:rFonts w:ascii="Calibri" w:hAnsi="Calibri" w:eastAsia="微软雅黑"/>
          <w:b w:val="0"/>
          <w:i w:val="0"/>
          <w:sz w:val="22"/>
        </w:rPr>
        <w:t xml:space="preserve"> 汇河案里，有结算单支撑的12,702,400元被主张、无结算支撑的2,487,638.4元被自行放弃（P7025）；王卓成案里，一张未提供的税务发票让税金主张全部落空（P7024）；谢祥灯案里，一张455,000元的收条历经多轮笔迹鉴定才定案（P7032）。决策动作：结算书、签证单、税务凭证、收付款确认按"诉讼证据标准"归档，项目审计时把证据链完备性列为必查项。</w:t>
      </w:r>
    </w:p>
    <w:p>
      <w:r>
        <w:rPr>
          <w:rFonts w:ascii="Calibri" w:hAnsi="Calibri" w:eastAsia="微软雅黑"/>
          <w:b/>
          <w:i w:val="0"/>
          <w:sz w:val="22"/>
        </w:rPr>
        <w:t>因子四：分包合规风险。</w:t>
      </w:r>
      <w:r>
        <w:rPr>
          <w:rFonts w:ascii="Calibri" w:hAnsi="Calibri" w:eastAsia="微软雅黑"/>
          <w:b w:val="0"/>
          <w:i w:val="0"/>
          <w:sz w:val="22"/>
        </w:rPr>
        <w:t xml:space="preserve"> "本工程不允许分包"的38.1条款没能阻止委托代理人的现场分包（P7026），层层违法分包最终以62100元的连带责任主张打到上层分包人（P7030）。决策动作：分包授权矩阵与印章管理前置，禁止性条款配套监督执行，对"以公司名义行事"的现场人员做权限隔离。</w:t>
      </w:r>
    </w:p>
    <w:p>
      <w:r>
        <w:rPr>
          <w:rFonts w:ascii="Calibri" w:hAnsi="Calibri" w:eastAsia="微软雅黑"/>
          <w:b/>
          <w:i w:val="0"/>
          <w:sz w:val="22"/>
        </w:rPr>
        <w:t>因子五：质量与保修风险。</w:t>
      </w:r>
      <w:r>
        <w:rPr>
          <w:rFonts w:ascii="Calibri" w:hAnsi="Calibri" w:eastAsia="微软雅黑"/>
          <w:b w:val="0"/>
          <w:i w:val="0"/>
          <w:sz w:val="22"/>
        </w:rPr>
        <w:t xml:space="preserve"> 荣成案里，工程质量反诉直接吃掉债权：被告主张已发生修理费145,585.88元、待修费用149,034.40元、合计索赔294,620.28元（P7033），与原告主张的欠付工程款1,469,961.15元（P7033）正面对冲；该案合同还约定了5%保修金、24个月保修期与65%、80%、95%的节点付款（P7033）。决策动作：EPC报价模型必须单列保修期成本与质量保证金的时间成本，不能把保修当成"交付后的事"。</w:t>
      </w:r>
    </w:p>
    <w:p>
      <w:r>
        <w:rPr>
          <w:rFonts w:ascii="Calibri" w:hAnsi="Calibri" w:eastAsia="微软雅黑"/>
          <w:b/>
          <w:i w:val="0"/>
          <w:sz w:val="22"/>
        </w:rPr>
        <w:t>因子六：现金流与欠款风险。</w:t>
      </w:r>
      <w:r>
        <w:rPr>
          <w:rFonts w:ascii="Calibri" w:hAnsi="Calibri" w:eastAsia="微软雅黑"/>
          <w:b w:val="0"/>
          <w:i w:val="0"/>
          <w:sz w:val="22"/>
        </w:rPr>
        <w:t xml:space="preserve"> 锦都案2,100万元合同最终仍欠105万元（P7034）；案例一里540.74万元欠款触发账户冻结与投标资格风险（P7017）。决策动作：项目现金流压力测试前置到投标阶段；对上游欠款设置预警线，对下游付款尽量用同一节奏传导，避免自己成为链条里被两头挤压的蓄水池。</w:t>
      </w:r>
    </w:p>
    <w:p>
      <w:r>
        <w:rPr>
          <w:rFonts w:ascii="Calibri" w:hAnsi="Calibri" w:eastAsia="微软雅黑"/>
          <w:b/>
          <w:i w:val="0"/>
          <w:sz w:val="22"/>
        </w:rPr>
        <w:t>因子七：对手方信用与执行风险。</w:t>
      </w:r>
      <w:r>
        <w:rPr>
          <w:rFonts w:ascii="Calibri" w:hAnsi="Calibri" w:eastAsia="微软雅黑"/>
          <w:b w:val="0"/>
          <w:i w:val="0"/>
          <w:sz w:val="22"/>
        </w:rPr>
        <w:t xml:space="preserve"> 禧诚公司名下无任何财产可供执行（P7031）；中十治案以申请执行人撤销申请、终结执行收场（P7023）。决策动作：对业主、分包方做资信尽调，要求履约担保、付款担保等增信安排；回款不能全押在胜诉上，要在合同里预留担保与保险工具。</w:t>
      </w:r>
    </w:p>
    <w:p>
      <w:r>
        <w:rPr>
          <w:rFonts w:ascii="Calibri" w:hAnsi="Calibri" w:eastAsia="微软雅黑"/>
          <w:b/>
          <w:i w:val="0"/>
          <w:sz w:val="22"/>
        </w:rPr>
        <w:t>因子八：程序与文书形式风险。</w:t>
      </w:r>
      <w:r>
        <w:rPr>
          <w:rFonts w:ascii="Calibri" w:hAnsi="Calibri" w:eastAsia="微软雅黑"/>
          <w:b w:val="0"/>
          <w:i w:val="0"/>
          <w:sz w:val="22"/>
        </w:rPr>
        <w:t xml:space="preserve"> 建设工程施工合同纠纷按不动产纠纷确定管辖（P7022），约定管辖空间有限；口头约定、无书面合同的工程关系在举证上先天不足（P7027）；撤诉也要自担诉讼成本——3,914元减半收取1,957元（P7029）、16,347元减半收取8,173.50元（P7029）。决策动作：合同形式完备性列为铁律，跨区域项目把工程地司法环境纳入投标评估。</w:t>
      </w:r>
    </w:p>
    <w:p>
      <w:r>
        <w:rPr>
          <w:rFonts w:ascii="Calibri" w:hAnsi="Calibri" w:eastAsia="微软雅黑"/>
          <w:b/>
          <w:i w:val="0"/>
          <w:sz w:val="22"/>
        </w:rPr>
        <w:t>因子九：对抗性鉴定的不确定性风险。</w:t>
      </w:r>
      <w:r>
        <w:rPr>
          <w:rFonts w:ascii="Calibri" w:hAnsi="Calibri" w:eastAsia="微软雅黑"/>
          <w:b w:val="0"/>
          <w:i w:val="0"/>
          <w:sz w:val="22"/>
        </w:rPr>
        <w:t xml:space="preserve"> 谢祥灯案里，原告方两份鉴定意见与法院委托的司法鉴定结论正面冲突（P7032）；王卓成案里，造价咨询报告成为税金认定的关键依据（P7024）；汇河案里，原告自行决算的口径与双方签署的结算单并存，后者最终胜出（P7025）。鉴定既可定案也可翻案，机构选择、鉴定范围与举证时机会实质性影响结果——这不是技术问题，是程序博弈问题。决策动作：合同中预置鉴定机构短名单与鉴定范围条款；重大结算争议启动前先做内部"鉴定预演"，评估己方证据在第三方标准下的成色。</w:t>
      </w:r>
    </w:p>
    <w:p>
      <w:r>
        <w:rPr>
          <w:rFonts w:ascii="Calibri" w:hAnsi="Calibri" w:eastAsia="微软雅黑"/>
          <w:b/>
          <w:i w:val="0"/>
          <w:sz w:val="22"/>
        </w:rPr>
        <w:t>因子十：主体资格与人格独立风险。</w:t>
      </w:r>
      <w:r>
        <w:rPr>
          <w:rFonts w:ascii="Calibri" w:hAnsi="Calibri" w:eastAsia="微软雅黑"/>
          <w:b w:val="0"/>
          <w:i w:val="0"/>
          <w:sz w:val="22"/>
        </w:rPr>
        <w:t xml:space="preserve"> 禧诚案中，夫妻二人设立的装饰公司被主张认定为实质一人公司，股东面临被追加为被执行人（P7031）；刘春新案中，委托代理人在总包合同上的签字让其后的现场分包行为回溯到公司名下（P7026）。企业组织形态与授权体系一旦不严谨，有限责任的墙就会出现裂缝。决策动作：EPC业务平台的股权、财务、人员独立性做合规设计；项目部授权边界对外公示、对内留痕，杜绝"人人都可代表公司"的状态。</w:t>
      </w:r>
    </w:p>
    <w:p>
      <w:r>
        <w:rPr>
          <w:rFonts w:ascii="Calibri" w:hAnsi="Calibri" w:eastAsia="微软雅黑"/>
          <w:b w:val="0"/>
          <w:i w:val="0"/>
          <w:sz w:val="22"/>
        </w:rPr>
        <w:t>把十项因子压缩成一张决策速查表：</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风险因子</w:t>
            </w:r>
          </w:p>
        </w:tc>
        <w:tc>
          <w:tcPr>
            <w:tcW w:type="dxa" w:w="2767"/>
            <w:shd w:fill="1F3A5F"/>
          </w:tcPr>
          <w:p>
            <w:r>
              <w:rPr>
                <w:color w:val="FFFFFF"/>
              </w:rPr>
            </w:r>
            <w:r>
              <w:rPr>
                <w:rFonts w:ascii="Calibri" w:hAnsi="Calibri" w:eastAsia="微软雅黑"/>
                <w:b/>
                <w:i w:val="0"/>
                <w:color w:val="FFFFFF"/>
                <w:sz w:val="18"/>
              </w:rPr>
              <w:t>典型证据</w:t>
            </w:r>
          </w:p>
        </w:tc>
        <w:tc>
          <w:tcPr>
            <w:tcW w:type="dxa" w:w="2767"/>
            <w:shd w:fill="1F3A5F"/>
          </w:tcPr>
          <w:p>
            <w:r>
              <w:rPr>
                <w:color w:val="FFFFFF"/>
              </w:rPr>
            </w:r>
            <w:r>
              <w:rPr>
                <w:rFonts w:ascii="Calibri" w:hAnsi="Calibri" w:eastAsia="微软雅黑"/>
                <w:b/>
                <w:i w:val="0"/>
                <w:color w:val="FFFFFF"/>
                <w:sz w:val="18"/>
              </w:rPr>
              <w:t>决策动作</w:t>
            </w:r>
          </w:p>
        </w:tc>
      </w:tr>
      <w:tr>
        <w:tc>
          <w:tcPr>
            <w:tcW w:type="dxa" w:w="2767"/>
          </w:tcPr>
          <w:p>
            <w:r/>
            <w:r>
              <w:rPr>
                <w:rFonts w:ascii="Calibri" w:hAnsi="Calibri" w:eastAsia="微软雅黑"/>
                <w:b w:val="0"/>
                <w:i w:val="0"/>
                <w:sz w:val="18"/>
              </w:rPr>
              <w:t>安全与生命</w:t>
            </w:r>
          </w:p>
        </w:tc>
        <w:tc>
          <w:tcPr>
            <w:tcW w:type="dxa" w:w="2767"/>
          </w:tcPr>
          <w:p>
            <w:r/>
            <w:r>
              <w:rPr>
                <w:rFonts w:ascii="Calibri" w:hAnsi="Calibri" w:eastAsia="微软雅黑"/>
                <w:b w:val="0"/>
                <w:i w:val="0"/>
                <w:sz w:val="18"/>
              </w:rPr>
              <w:t>丰城"11·24"特大事故（P7000）</w:t>
            </w:r>
          </w:p>
        </w:tc>
        <w:tc>
          <w:tcPr>
            <w:tcW w:type="dxa" w:w="2767"/>
          </w:tcPr>
          <w:p>
            <w:r/>
            <w:r>
              <w:rPr>
                <w:rFonts w:ascii="Calibri" w:hAnsi="Calibri" w:eastAsia="微软雅黑"/>
                <w:b w:val="0"/>
                <w:i w:val="0"/>
                <w:sz w:val="18"/>
              </w:rPr>
              <w:t>安全体系一票否决、独立停工权</w:t>
            </w:r>
          </w:p>
        </w:tc>
      </w:tr>
      <w:tr>
        <w:tc>
          <w:tcPr>
            <w:tcW w:type="dxa" w:w="2767"/>
          </w:tcPr>
          <w:p>
            <w:r/>
            <w:r>
              <w:rPr>
                <w:rFonts w:ascii="Calibri" w:hAnsi="Calibri" w:eastAsia="微软雅黑"/>
                <w:b w:val="0"/>
                <w:i w:val="0"/>
                <w:sz w:val="18"/>
              </w:rPr>
              <w:t>设计—施工整合</w:t>
            </w:r>
          </w:p>
        </w:tc>
        <w:tc>
          <w:tcPr>
            <w:tcW w:type="dxa" w:w="2767"/>
          </w:tcPr>
          <w:p>
            <w:r/>
            <w:r>
              <w:rPr>
                <w:rFonts w:ascii="Calibri" w:hAnsi="Calibri" w:eastAsia="微软雅黑"/>
                <w:b w:val="0"/>
                <w:i w:val="0"/>
                <w:sz w:val="18"/>
              </w:rPr>
              <w:t>"基因缺陷与现实扭曲"（P7000）</w:t>
            </w:r>
          </w:p>
        </w:tc>
        <w:tc>
          <w:tcPr>
            <w:tcW w:type="dxa" w:w="2767"/>
          </w:tcPr>
          <w:p>
            <w:r/>
            <w:r>
              <w:rPr>
                <w:rFonts w:ascii="Calibri" w:hAnsi="Calibri" w:eastAsia="微软雅黑"/>
                <w:b w:val="0"/>
                <w:i w:val="0"/>
                <w:sz w:val="18"/>
              </w:rPr>
              <w:t>可施工性审查、设计驻场、变更闭环</w:t>
            </w:r>
          </w:p>
        </w:tc>
      </w:tr>
      <w:tr>
        <w:tc>
          <w:tcPr>
            <w:tcW w:type="dxa" w:w="2767"/>
          </w:tcPr>
          <w:p>
            <w:r/>
            <w:r>
              <w:rPr>
                <w:rFonts w:ascii="Calibri" w:hAnsi="Calibri" w:eastAsia="微软雅黑"/>
                <w:b w:val="0"/>
                <w:i w:val="0"/>
                <w:sz w:val="18"/>
              </w:rPr>
              <w:t>结算与证据</w:t>
            </w:r>
          </w:p>
        </w:tc>
        <w:tc>
          <w:tcPr>
            <w:tcW w:type="dxa" w:w="2767"/>
          </w:tcPr>
          <w:p>
            <w:r/>
            <w:r>
              <w:rPr>
                <w:rFonts w:ascii="Calibri" w:hAnsi="Calibri" w:eastAsia="微软雅黑"/>
                <w:b w:val="0"/>
                <w:i w:val="0"/>
                <w:sz w:val="18"/>
              </w:rPr>
              <w:t>12,702,400元可主张、2,487,638.4元放弃（P7025）</w:t>
            </w:r>
          </w:p>
        </w:tc>
        <w:tc>
          <w:tcPr>
            <w:tcW w:type="dxa" w:w="2767"/>
          </w:tcPr>
          <w:p>
            <w:r/>
            <w:r>
              <w:rPr>
                <w:rFonts w:ascii="Calibri" w:hAnsi="Calibri" w:eastAsia="微软雅黑"/>
                <w:b w:val="0"/>
                <w:i w:val="0"/>
                <w:sz w:val="18"/>
              </w:rPr>
              <w:t>证据按诉讼标准归档</w:t>
            </w:r>
          </w:p>
        </w:tc>
      </w:tr>
      <w:tr>
        <w:tc>
          <w:tcPr>
            <w:tcW w:type="dxa" w:w="2767"/>
          </w:tcPr>
          <w:p>
            <w:r/>
            <w:r>
              <w:rPr>
                <w:rFonts w:ascii="Calibri" w:hAnsi="Calibri" w:eastAsia="微软雅黑"/>
                <w:b w:val="0"/>
                <w:i w:val="0"/>
                <w:sz w:val="18"/>
              </w:rPr>
              <w:t>分包合规</w:t>
            </w:r>
          </w:p>
        </w:tc>
        <w:tc>
          <w:tcPr>
            <w:tcW w:type="dxa" w:w="2767"/>
          </w:tcPr>
          <w:p>
            <w:r/>
            <w:r>
              <w:rPr>
                <w:rFonts w:ascii="Calibri" w:hAnsi="Calibri" w:eastAsia="微软雅黑"/>
                <w:b w:val="0"/>
                <w:i w:val="0"/>
                <w:sz w:val="18"/>
              </w:rPr>
              <w:t>38.1条款失守（P7026）、62100元连带（P7030）</w:t>
            </w:r>
          </w:p>
        </w:tc>
        <w:tc>
          <w:tcPr>
            <w:tcW w:type="dxa" w:w="2767"/>
          </w:tcPr>
          <w:p>
            <w:r/>
            <w:r>
              <w:rPr>
                <w:rFonts w:ascii="Calibri" w:hAnsi="Calibri" w:eastAsia="微软雅黑"/>
                <w:b w:val="0"/>
                <w:i w:val="0"/>
                <w:sz w:val="18"/>
              </w:rPr>
              <w:t>授权矩阵、印章与签署权限隔离</w:t>
            </w:r>
          </w:p>
        </w:tc>
      </w:tr>
      <w:tr>
        <w:tc>
          <w:tcPr>
            <w:tcW w:type="dxa" w:w="2767"/>
          </w:tcPr>
          <w:p>
            <w:r/>
            <w:r>
              <w:rPr>
                <w:rFonts w:ascii="Calibri" w:hAnsi="Calibri" w:eastAsia="微软雅黑"/>
                <w:b w:val="0"/>
                <w:i w:val="0"/>
                <w:sz w:val="18"/>
              </w:rPr>
              <w:t>质量与保修</w:t>
            </w:r>
          </w:p>
        </w:tc>
        <w:tc>
          <w:tcPr>
            <w:tcW w:type="dxa" w:w="2767"/>
          </w:tcPr>
          <w:p>
            <w:r/>
            <w:r>
              <w:rPr>
                <w:rFonts w:ascii="Calibri" w:hAnsi="Calibri" w:eastAsia="微软雅黑"/>
                <w:b w:val="0"/>
                <w:i w:val="0"/>
                <w:sz w:val="18"/>
              </w:rPr>
              <w:t>294,620.28元质量反诉（P7033）</w:t>
            </w:r>
          </w:p>
        </w:tc>
        <w:tc>
          <w:tcPr>
            <w:tcW w:type="dxa" w:w="2767"/>
          </w:tcPr>
          <w:p>
            <w:r/>
            <w:r>
              <w:rPr>
                <w:rFonts w:ascii="Calibri" w:hAnsi="Calibri" w:eastAsia="微软雅黑"/>
                <w:b w:val="0"/>
                <w:i w:val="0"/>
                <w:sz w:val="18"/>
              </w:rPr>
              <w:t>保修成本入报价模型</w:t>
            </w:r>
          </w:p>
        </w:tc>
      </w:tr>
      <w:tr>
        <w:tc>
          <w:tcPr>
            <w:tcW w:type="dxa" w:w="2767"/>
          </w:tcPr>
          <w:p>
            <w:r/>
            <w:r>
              <w:rPr>
                <w:rFonts w:ascii="Calibri" w:hAnsi="Calibri" w:eastAsia="微软雅黑"/>
                <w:b w:val="0"/>
                <w:i w:val="0"/>
                <w:sz w:val="18"/>
              </w:rPr>
              <w:t>现金流与欠款</w:t>
            </w:r>
          </w:p>
        </w:tc>
        <w:tc>
          <w:tcPr>
            <w:tcW w:type="dxa" w:w="2767"/>
          </w:tcPr>
          <w:p>
            <w:r/>
            <w:r>
              <w:rPr>
                <w:rFonts w:ascii="Calibri" w:hAnsi="Calibri" w:eastAsia="微软雅黑"/>
                <w:b w:val="0"/>
                <w:i w:val="0"/>
                <w:sz w:val="18"/>
              </w:rPr>
              <w:t>105万元尾款（P7034）、540.74万元冻结（P7017）</w:t>
            </w:r>
          </w:p>
        </w:tc>
        <w:tc>
          <w:tcPr>
            <w:tcW w:type="dxa" w:w="2767"/>
          </w:tcPr>
          <w:p>
            <w:r/>
            <w:r>
              <w:rPr>
                <w:rFonts w:ascii="Calibri" w:hAnsi="Calibri" w:eastAsia="微软雅黑"/>
                <w:b w:val="0"/>
                <w:i w:val="0"/>
                <w:sz w:val="18"/>
              </w:rPr>
              <w:t>投标前现金流压测</w:t>
            </w:r>
          </w:p>
        </w:tc>
      </w:tr>
      <w:tr>
        <w:tc>
          <w:tcPr>
            <w:tcW w:type="dxa" w:w="2767"/>
          </w:tcPr>
          <w:p>
            <w:r/>
            <w:r>
              <w:rPr>
                <w:rFonts w:ascii="Calibri" w:hAnsi="Calibri" w:eastAsia="微软雅黑"/>
                <w:b w:val="0"/>
                <w:i w:val="0"/>
                <w:sz w:val="18"/>
              </w:rPr>
              <w:t>对手方信用与执行</w:t>
            </w:r>
          </w:p>
        </w:tc>
        <w:tc>
          <w:tcPr>
            <w:tcW w:type="dxa" w:w="2767"/>
          </w:tcPr>
          <w:p>
            <w:r/>
            <w:r>
              <w:rPr>
                <w:rFonts w:ascii="Calibri" w:hAnsi="Calibri" w:eastAsia="微软雅黑"/>
                <w:b w:val="0"/>
                <w:i w:val="0"/>
                <w:sz w:val="18"/>
              </w:rPr>
              <w:t>无财产可供执行（P7031）</w:t>
            </w:r>
          </w:p>
        </w:tc>
        <w:tc>
          <w:tcPr>
            <w:tcW w:type="dxa" w:w="2767"/>
          </w:tcPr>
          <w:p>
            <w:r/>
            <w:r>
              <w:rPr>
                <w:rFonts w:ascii="Calibri" w:hAnsi="Calibri" w:eastAsia="微软雅黑"/>
                <w:b w:val="0"/>
                <w:i w:val="0"/>
                <w:sz w:val="18"/>
              </w:rPr>
              <w:t>资信尽调、履约与付款担保</w:t>
            </w:r>
          </w:p>
        </w:tc>
      </w:tr>
      <w:tr>
        <w:tc>
          <w:tcPr>
            <w:tcW w:type="dxa" w:w="2767"/>
          </w:tcPr>
          <w:p>
            <w:r/>
            <w:r>
              <w:rPr>
                <w:rFonts w:ascii="Calibri" w:hAnsi="Calibri" w:eastAsia="微软雅黑"/>
                <w:b w:val="0"/>
                <w:i w:val="0"/>
                <w:sz w:val="18"/>
              </w:rPr>
              <w:t>程序与文书形式</w:t>
            </w:r>
          </w:p>
        </w:tc>
        <w:tc>
          <w:tcPr>
            <w:tcW w:type="dxa" w:w="2767"/>
          </w:tcPr>
          <w:p>
            <w:r/>
            <w:r>
              <w:rPr>
                <w:rFonts w:ascii="Calibri" w:hAnsi="Calibri" w:eastAsia="微软雅黑"/>
                <w:b w:val="0"/>
                <w:i w:val="0"/>
                <w:sz w:val="18"/>
              </w:rPr>
              <w:t>不动产专属管辖（P7022）</w:t>
            </w:r>
          </w:p>
        </w:tc>
        <w:tc>
          <w:tcPr>
            <w:tcW w:type="dxa" w:w="2767"/>
          </w:tcPr>
          <w:p>
            <w:r/>
            <w:r>
              <w:rPr>
                <w:rFonts w:ascii="Calibri" w:hAnsi="Calibri" w:eastAsia="微软雅黑"/>
                <w:b w:val="0"/>
                <w:i w:val="0"/>
                <w:sz w:val="18"/>
              </w:rPr>
              <w:t>合同形式铁律、司法环境入标前评估</w:t>
            </w:r>
          </w:p>
        </w:tc>
      </w:tr>
      <w:tr>
        <w:tc>
          <w:tcPr>
            <w:tcW w:type="dxa" w:w="2767"/>
          </w:tcPr>
          <w:p>
            <w:r/>
            <w:r>
              <w:rPr>
                <w:rFonts w:ascii="Calibri" w:hAnsi="Calibri" w:eastAsia="微软雅黑"/>
                <w:b w:val="0"/>
                <w:i w:val="0"/>
                <w:sz w:val="18"/>
              </w:rPr>
              <w:t>鉴定不确定性</w:t>
            </w:r>
          </w:p>
        </w:tc>
        <w:tc>
          <w:tcPr>
            <w:tcW w:type="dxa" w:w="2767"/>
          </w:tcPr>
          <w:p>
            <w:r/>
            <w:r>
              <w:rPr>
                <w:rFonts w:ascii="Calibri" w:hAnsi="Calibri" w:eastAsia="微软雅黑"/>
                <w:b w:val="0"/>
                <w:i w:val="0"/>
                <w:sz w:val="18"/>
              </w:rPr>
              <w:t>两份鉴定对抗司法鉴定（P7032）</w:t>
            </w:r>
          </w:p>
        </w:tc>
        <w:tc>
          <w:tcPr>
            <w:tcW w:type="dxa" w:w="2767"/>
          </w:tcPr>
          <w:p>
            <w:r/>
            <w:r>
              <w:rPr>
                <w:rFonts w:ascii="Calibri" w:hAnsi="Calibri" w:eastAsia="微软雅黑"/>
                <w:b w:val="0"/>
                <w:i w:val="0"/>
                <w:sz w:val="18"/>
              </w:rPr>
              <w:t>鉴定条款预置、争议前鉴定预演</w:t>
            </w:r>
          </w:p>
        </w:tc>
      </w:tr>
      <w:tr>
        <w:tc>
          <w:tcPr>
            <w:tcW w:type="dxa" w:w="2767"/>
          </w:tcPr>
          <w:p>
            <w:r/>
            <w:r>
              <w:rPr>
                <w:rFonts w:ascii="Calibri" w:hAnsi="Calibri" w:eastAsia="微软雅黑"/>
                <w:b w:val="0"/>
                <w:i w:val="0"/>
                <w:sz w:val="18"/>
              </w:rPr>
              <w:t>主体资格与人格独立</w:t>
            </w:r>
          </w:p>
        </w:tc>
        <w:tc>
          <w:tcPr>
            <w:tcW w:type="dxa" w:w="2767"/>
          </w:tcPr>
          <w:p>
            <w:r/>
            <w:r>
              <w:rPr>
                <w:rFonts w:ascii="Calibri" w:hAnsi="Calibri" w:eastAsia="微软雅黑"/>
                <w:b w:val="0"/>
                <w:i w:val="0"/>
                <w:sz w:val="18"/>
              </w:rPr>
              <w:t>夫妻公司被主张追加股东（P7031）</w:t>
            </w:r>
          </w:p>
        </w:tc>
        <w:tc>
          <w:tcPr>
            <w:tcW w:type="dxa" w:w="2767"/>
          </w:tcPr>
          <w:p>
            <w:r/>
            <w:r>
              <w:rPr>
                <w:rFonts w:ascii="Calibri" w:hAnsi="Calibri" w:eastAsia="微软雅黑"/>
                <w:b w:val="0"/>
                <w:i w:val="0"/>
                <w:sz w:val="18"/>
              </w:rPr>
              <w:t>业务平台独立性、授权边界公示</w:t>
            </w:r>
          </w:p>
        </w:tc>
      </w:tr>
    </w:tbl>
    <w:p>
      <w:r>
        <w:rPr>
          <w:rFonts w:ascii="Calibri" w:hAnsi="Calibri" w:eastAsia="微软雅黑"/>
          <w:b w:val="0"/>
          <w:i w:val="0"/>
          <w:sz w:val="22"/>
        </w:rPr>
        <w:t>这张表的用法很简单：转型决策评审会与项目投委会上，逐行问一遍"我们有没有对应机制、机制在谁手里、上次演练是什么时候"。十行里若有三行答不上来，说明风险敞口还没有被管理起来。</w:t>
      </w:r>
    </w:p>
    <w:p>
      <w:r>
        <w:rPr>
          <w:rFonts w:ascii="Calibri" w:hAnsi="Calibri" w:eastAsia="微软雅黑"/>
          <w:b/>
          <w:i w:val="0"/>
          <w:sz w:val="22"/>
        </w:rPr>
        <w:t>风险因子不是孤岛，联动才是杀伤力的来源。</w:t>
      </w:r>
      <w:r>
        <w:rPr>
          <w:rFonts w:ascii="Calibri" w:hAnsi="Calibri" w:eastAsia="微软雅黑"/>
          <w:b w:val="0"/>
          <w:i w:val="0"/>
          <w:sz w:val="22"/>
        </w:rPr>
        <w:t xml:space="preserve"> 十项因子在真实项目里从不单独出场。质量与现金流联动：荣成案的质量反诉（294,620.28元，P7033）直接对冲工程款债权，质量瑕疵即刻变成回款减项。欠款与经营资格联动：案例一的540.74万元欠款通过账户冻结传导为"无法参加新项目投标"（P7017），一笔旧账冻结一家公司的未来。分包与执行联动：违法分包链条（P7030）上的小额欠款，经连带责任主张（P7026）进入执行程序后，遇上的可能是"名下无任何财产可供执行"（P7031）的空壳对手。保全与反制联动：债权人可以像洪串进案那样在诉讼中申请冻结对方存款455,000元（P7034），债务人的经营节奏随即被打乱——保全既是武器也是对方用来对付你的武器。安全与制度文化联动："重物轻人"到"集体无意识"（P7000）的文化塌陷，会让一切写在纸上的安全制度在关键一刻失效。对设计院管理层，联动效应的管理含义是：单项风险的应对措施要按"它会放大哪一项相邻风险"来设计——例如现金流预案必须包含投标资格保护条款，分包制度必须包含对手方资产核查，安全体系必须包含文化审计。</w:t>
      </w:r>
    </w:p>
    <w:p>
      <w:r>
        <w:rPr>
          <w:rFonts w:ascii="Calibri" w:hAnsi="Calibri" w:eastAsia="微软雅黑"/>
          <w:b/>
          <w:i w:val="0"/>
          <w:sz w:val="22"/>
        </w:rPr>
        <w:t>把清单嵌进治理结构，而不是放进抽屉。</w:t>
      </w:r>
      <w:r>
        <w:rPr>
          <w:rFonts w:ascii="Calibri" w:hAnsi="Calibri" w:eastAsia="微软雅黑"/>
          <w:b w:val="0"/>
          <w:i w:val="0"/>
          <w:sz w:val="22"/>
        </w:rPr>
        <w:t xml:space="preserve"> 建议的落位是三道防线：第一道在项目部——项目经理对十项因子负现场识别与即时处置之责，配停工权与风险处置预算；第二道在企业职能部门——合约、法务、安全、财务分别持有对应因子的制度与工具（范本合同、调解预案、SIE式免疫机制（P7000）、现金流压测模型），并做穿透检查；第三道在决策层——投委会与转型领导小组把十项因子作为立项与转型节奏的闸门，任何一项触发红线即暂缓。三道防线之外，再配一个"免疫记忆"机制（P7000第九章之意）：每起纠纷、险情、处罚结案后限期完成案例入库与制度修订——让组织把学费转成抗体，而不是把学费换成遗忘。</w:t>
      </w:r>
    </w:p>
    <w:p>
      <w:pPr>
        <w:pStyle w:val="Heading2"/>
      </w:pPr>
      <w:r>
        <w:t>7.5 本章小结与盲区</w:t>
      </w:r>
    </w:p>
    <w:p>
      <w:r>
        <w:rPr>
          <w:rFonts w:ascii="Calibri" w:hAnsi="Calibri" w:eastAsia="微软雅黑"/>
          <w:b/>
          <w:i w:val="0"/>
          <w:sz w:val="22"/>
        </w:rPr>
        <w:t>小结。</w:t>
      </w:r>
      <w:r>
        <w:rPr>
          <w:rFonts w:ascii="Calibri" w:hAnsi="Calibri" w:eastAsia="微软雅黑"/>
          <w:b w:val="0"/>
          <w:i w:val="0"/>
          <w:sz w:val="22"/>
        </w:rPr>
        <w:t xml:space="preserve"> 本章以三份底档完成了一次风险全景扫描。事故档案（P7000）证明特大风险是系统性的：模式基因、物理技术、制度文化三层失灵叠加，出路在"系统免疫工程"（SIE）与"内生安全"（P7000）。裁判文书曲线（P7022—P7034）证明纠纷是常态：2013年以后EPC相关裁判文书进入万级规模，2019、2020两年合计84,485篇（own_calc：41,550+42,935），结算、分包、证据、管辖、执行五类案型各有明确的失败机理，小额高频纠纷的治理成本同样不容忽视。最高法2026年典型案例（P7003）证明解决机制正在转向调解优先："法院+商会"联动、"穿透式""先解冻+分期付"（P7002）成为可复制路径，十个案例中建造链条直接相关者过半（own_calc：5÷10）。三条线索共同指向一个结论：设计院转型EPC，风险管理的重心要从"合同后台"前移到"决策前台"——十项风险因子清单、频度×烈度两维读法与三道防线（见7.4）就是前移后的第一套工具。转型决策者们不妨从下一个投委会开始就用它：十行清单逐行过，答不上来的行，就是转型计划里最需要补的洞。</w:t>
      </w:r>
    </w:p>
    <w:p>
      <w:r>
        <w:rPr>
          <w:rFonts w:ascii="Calibri" w:hAnsi="Calibri" w:eastAsia="微软雅黑"/>
          <w:b/>
          <w:i w:val="0"/>
          <w:sz w:val="22"/>
        </w:rPr>
        <w:t>盲区（证据未覆盖处，如实声明）。</w:t>
      </w:r>
      <w:r>
        <w:rPr>
          <w:rFonts w:ascii="Calibri" w:hAnsi="Calibri" w:eastAsia="微软雅黑"/>
          <w:b w:val="0"/>
          <w:i w:val="0"/>
          <w:sz w:val="22"/>
        </w:rPr>
        <w:t xml:space="preserve"> 其一，丰城事故档案在证据库中仅存该著作的目录（P7000），事故的伤亡人数、直接经济损失、行政处罚与司法追责等关键数字未进入证据库，本章未作任何引用，亦不排除后续补充后需修订相应论述。其二，十一冶建设集团与中国能源建设集团江苏省电力建设第三工程公司建设工程施工合同纠纷二审判决（P7001）在证据库中呈二进制乱码形态，案情、争议金额与裁判要旨均不可提取，该源未能在本章使用。其三，裁判文书各年份样本口径不齐：2018年5,754篇（P7027）明显低于2017年11,716篇（P7024），2021年仅324篇（P7031），2009年数据缺失，源数据未附解释，本章对趋势的解读已按保守口径处理，跨年比较仍需谨慎。其四，最高法第二批典型案例均为调解成功样本（P7003），证据库中没有调解失败率、判决败诉率与执行回款率数据，也没有EPC模式与传统模式纠纷率的对照研究，"调解优先"的实际效果无法量化评估。其五，证据库中尚无设计院作为总承包商受到行政处罚的公开案例，行政合规维度的风险档案有待后续补强；典型案例的完整案情仅案例一可见全文（P7017），案例二至案例十的具体金额与化解过程未随证据库提供，本章对这九个案例的引用以标题信息为限。</w:t>
      </w:r>
    </w:p>
    <w:p>
      <w:r>
        <w:rPr>
          <w:rFonts w:ascii="Calibri" w:hAnsi="Calibri" w:eastAsia="微软雅黑"/>
          <w:b w:val="0"/>
          <w:i w:val="0"/>
          <w:sz w:val="22"/>
        </w:rPr>
        <w:t>---</w:t>
      </w:r>
    </w:p>
    <w:p>
      <w:pPr>
        <w:pStyle w:val="Heading1"/>
      </w:pPr>
      <w:r>
        <w:t>第8章 财务透视：转型企业的营收、毛利与应收真相</w:t>
      </w:r>
    </w:p>
    <w:p>
      <w:pPr>
        <w:ind w:left="454"/>
      </w:pPr>
      <w:r>
        <w:rPr>
          <w:rFonts w:ascii="Calibri" w:hAnsi="Calibri" w:eastAsia="微软雅黑"/>
          <w:b w:val="0"/>
          <w:i w:val="0"/>
          <w:color w:val="666666"/>
          <w:sz w:val="22"/>
        </w:rPr>
        <w:t>财务三表是转型最诚实的证人：营收证明模式是否跑通，毛利证明能力能否兑现，应收证明风险成色几何。本章以年报、竞标数据与裁判文书交叉对账，把设计院转型EPC后的三本账逐一拆开——哪里有钱赚、哪里会失血、哪里必须设闸。</w:t>
      </w:r>
    </w:p>
    <w:p>
      <w:r>
        <w:rPr>
          <w:rFonts w:ascii="Calibri" w:hAnsi="Calibri" w:eastAsia="微软雅黑"/>
          <w:b w:val="0"/>
          <w:i w:val="0"/>
          <w:sz w:val="22"/>
        </w:rPr>
        <w:t>在进入分节之前，先交代本章的读法。财务透视最常见的失败方式，是用单一的"净利润"给转型打分：营收涨了就说转型成功，亏了一个项目就说模式不行。本章拒绝这种单变量叙事，改用三本账交叉验证：第一本看营收——总承包占比能提到多高、放量要熬多久、单笔订单对年报的杠杆有多大；第二本看毛利——设计的造价控制力如何兑换成利润、竞价市场给设计院留了多少溢价空间、一次履约失守会亏到什么程度；第三本看应收与现金流——钱多久能回来、回不来时司法系统给你什么、垫资的极限在哪里。三本账合起来，才是设计院管理层决定"转不转、怎么转、转多快"时真正需要的决策底稿。本章证据全部来自弹药库P8000—P8034各编号源：年报类、洞察包类、竞标公示类与2008—2021年十四个年份的裁判文书卷宗，每个数字句内挂P锚，跨源聚合处标注own_calc，全部own_calc算式均可由所挂锚复算复核。</w:t>
      </w:r>
    </w:p>
    <w:p>
      <w:pPr>
        <w:pStyle w:val="Heading2"/>
      </w:pPr>
      <w:r>
        <w:t>8.1 营收真相：总承包放量与"增收"的另一面</w:t>
      </w:r>
    </w:p>
    <w:p>
      <w:r>
        <w:rPr>
          <w:rFonts w:ascii="Calibri" w:hAnsi="Calibri" w:eastAsia="微软雅黑"/>
          <w:b w:val="0"/>
          <w:i w:val="0"/>
          <w:sz w:val="22"/>
        </w:rPr>
        <w:t>对设计院管理层而言，转型的第一问总是"营收能做多大"。行业语料给出的答案是分裂的：总承包确实能带来数量级的放量，但放量的同时，行业新签合同额已在收缩、单笔订单对年营收的杠杆极高、净利率随规模一路摊薄。决策者在看任何一份转型路线图之前，需要先把这三面镜子并排放好——只照其中任何一面，都会得出危险的结论。</w:t>
      </w:r>
    </w:p>
    <w:p>
      <w:pPr>
        <w:pStyle w:val="Heading3"/>
      </w:pPr>
      <w:r>
        <w:t>8.1.1 大盘账：完成额在增、新签额在缩</w:t>
      </w:r>
    </w:p>
    <w:p>
      <w:r>
        <w:rPr>
          <w:rFonts w:ascii="Calibri" w:hAnsi="Calibri" w:eastAsia="微软雅黑"/>
          <w:b w:val="0"/>
          <w:i w:val="0"/>
          <w:sz w:val="22"/>
        </w:rPr>
        <w:t>先看外部大盘。2026年1—8月，我国对外承包工程业务完成营业额7937.1亿元人民币，同比增长5.8%（以美元计为1156.1亿美元，增长9.9%）；同期新签合同额11763.2亿元人民币，下降3.0%（以美元计为1713.4亿美元，增长0.7%）（P8026；P8027交叉验证）。own_calc：完成额增速+5.8%与新签额增速-3.0%之间剪刀差接近九个百分点（P8026）——存量转化越充分，未来营收被透支得越重。完成与新签一增一缩，意味着当期收入依赖存量订单转化，而未来营收的"弹药库"正在变薄——对刚把船头调向总承包的设计院来说，进场时点的判断比进场决心更值得掂量：在存量转化期入场，意味着对手是握有万亿级在手订单的巨头，而非同样青涩的新玩家；营收预期应按存量市场的份额切分来建模，而不是按行业总量增速线性外推。</w:t>
      </w:r>
    </w:p>
    <w:p>
      <w:r>
        <w:rPr>
          <w:rFonts w:ascii="Calibri" w:hAnsi="Calibri" w:eastAsia="微软雅黑"/>
          <w:b w:val="0"/>
          <w:i w:val="0"/>
          <w:sz w:val="22"/>
        </w:rPr>
        <w:t>出海是营收放量的另一条通道，其生态规模可由三组数字锚定：截至2025年末，我国在境外设立企业5.8万家、遍布189个国家和地区，境外企业从业员工总数476.1万人，其中雇用外方员工296.5万人（P8026；P8027交叉）。近六百万人的境外就业盘子（P8026）说明出海不是零星尝试而是体系化存在——设计院若把EPC营收的希望寄托在海外项目上，先要掂量自己能否进入这个体系的分包与联营链条，而不是单打独斗地投海外标。</w:t>
      </w:r>
    </w:p>
    <w:p>
      <w:r>
        <w:rPr>
          <w:rFonts w:ascii="Calibri" w:hAnsi="Calibri" w:eastAsia="微软雅黑"/>
          <w:b w:val="0"/>
          <w:i w:val="0"/>
          <w:sz w:val="22"/>
        </w:rPr>
        <w:t>国内集团侧的体量参照系同样重要。截至2025年底，国家能源集团总资产2.35万亿元、员工31万人，是全球最大的煤炭产销、火力发电、风力发电、煤制油煤化工企业（P8022；P8024、P8026、P8027三源交叉一致）。财富最受赞赏中国公司榜单语料记载，一家工程央企2023年分拆设计板块借壳祁连山上市、2024年与深交所签署战略合作协议，新签合同额达18812亿元（P8024）；同页语料还载明中国铁建于1990年8月28日成立、注册资本135.8亿元、员工三十万余人（P8024）。这组数字划出了竞争坐标系：设计院转型后面对的不是同量级对手，而是万亿新签、三十万员工的巨型工程集团。营收故事必须放进这个坐标系里讲，才不会误判自己的身位与可进攻的细分市场——正面争夺大型基础设施总包不现实，但在专业工程、工业改造、综合能源等细分赛道上，体量差反而是灵活性的来源。</w:t>
      </w:r>
    </w:p>
    <w:p>
      <w:pPr>
        <w:pStyle w:val="Heading3"/>
      </w:pPr>
      <w:r>
        <w:t>8.1.2 样板账：从23%到83%的十年跃迁</w:t>
      </w:r>
    </w:p>
    <w:p>
      <w:r>
        <w:rPr>
          <w:rFonts w:ascii="Calibri" w:hAnsi="Calibri" w:eastAsia="微软雅黑"/>
          <w:b w:val="0"/>
          <w:i w:val="0"/>
          <w:sz w:val="22"/>
        </w:rPr>
        <w:t>行业内部最完整的转型营收样本来自电力设计系统。2003年至2013年，中国电力工程顾问集团公司（中电工程）总承包项目合同额累计1419亿元，每年总承包合同额占当年合同总额的比例从23%上升到83%（P8022；P8024、P8026、P8027三源交叉一致）；其中2011年至2013年累计708亿元，三年年均增长幅度达66%（P8022；P8024、P8026、P8027交叉）。own_calc：十年总量的一半集中在最后三年（708÷1419，own_calc）。这组数字的决策含义有二：其一，总承包放量不是匀速爬坡，而是到达临界点后的陡峭跃迁；其二，跃迁之前有长达八年的结构准备期，指望"转型当年上量"的预期会在现实里撞墙。那些只看到83%的占比（P8022）、没看到八年蓄势期的模仿者，最容易在第三年因营收不及预期而动摇战略定力。</w:t>
      </w:r>
    </w:p>
    <w:p>
      <w:r>
        <w:rPr>
          <w:rFonts w:ascii="Calibri" w:hAnsi="Calibri" w:eastAsia="微软雅黑"/>
          <w:b w:val="0"/>
          <w:i w:val="0"/>
          <w:sz w:val="22"/>
        </w:rPr>
        <w:t>跃迁的可持续性来自模式适配，而不仅是意愿。核电框架语料对EPC适配性的多维拆解可直接移植为设计院转型营收的判断框架：投资规模维度，传统分段模式预算编制与现场施工脱节、易产生"三超"隐患，EPC以动态预算调整机制实现设计与成本实时联动，提升资金使用效率、降低财务费用；建设周期维度，DPC（设计-采购-施工）一体化确保里程碑节点确定性，提前商运释放经济效应；技术要求维度，设计引领采购、关键设备提前介入设计审查，减少无效返工；安全标准维度，统一质量保证体系全过程闭环管理；协同效率维度，数字化协同平台打破专业壁垒、缩短管理半径、降本增效（P8021）。一家设计院的营收能从设计费量级跃迁到总承包量级，前提是这五个维度上都有对应的组织能力——缺任何一维，营收规模都会以亏损的形式退回去。</w:t>
      </w:r>
    </w:p>
    <w:p>
      <w:r>
        <w:rPr>
          <w:rFonts w:ascii="Calibri" w:hAnsi="Calibri" w:eastAsia="微软雅黑"/>
          <w:b w:val="0"/>
          <w:i w:val="0"/>
          <w:sz w:val="22"/>
        </w:rPr>
        <w:t>同属电力系统语料的中交四航院样本给出了单体项目量级：广东石化2000万吨/年原油炼化一体化项目配套终端工程，建设5000至10万吨级泊位13个，是中交四航院一次性建成泊位最多、项目合同额最大的EPC总承包项目（P8022；P8024、P8026、P8027交叉）。单项目13个泊位的体量说明：头部院的"最大单"仍在刷新，营收天花板由项目获取与融资能力决定，而非设计产能本身——设计院最富余的资源（图纸产能），恰恰不是营收的约束项。真正的约束在两端：拿到大标的资质与业绩门槛，以及承接大标背后的资金与担保能力。</w:t>
      </w:r>
    </w:p>
    <w:p>
      <w:r>
        <w:rPr>
          <w:rFonts w:ascii="Calibri" w:hAnsi="Calibri" w:eastAsia="微软雅黑"/>
          <w:b w:val="0"/>
          <w:i w:val="0"/>
          <w:sz w:val="22"/>
        </w:rPr>
        <w:t>长周期重资产赛道的财务特征也须纳入营收判断。核电项目单台机组投资通常超过200亿元，建设周期通常5—7年（P8019；P8021交叉）——选择这类赛道意味着营收确认周期被拉长到五年以上，期间利率波动、原材料价格涨跌和政策环境变化都要由总承包商的资产负债表来消化，核电企业的核心竞争力正从单纯技术研发转向复杂的金融统筹与全生命周期风险管控（P8019）。营收体量的诱惑与确认周期的资金成本，是同一枚硬币的两面；对现金流薄弱的设计院，五年确认周期的项目做两三个，就足以把自有资金全部锁死。</w:t>
      </w:r>
    </w:p>
    <w:p>
      <w:r>
        <w:rPr>
          <w:rFonts w:ascii="Calibri" w:hAnsi="Calibri" w:eastAsia="微软雅黑"/>
          <w:b w:val="0"/>
          <w:i w:val="0"/>
          <w:sz w:val="22"/>
        </w:rPr>
        <w:t>区域市场的弹药厚度是营收规划的另一个硬约束。各院洞察包的中标语料聚合呈现出清晰的三层版图：某电子院语料237份中标文件覆盖31省份，强区为湖南（213份）、北京（203份）、海南（117份）（P8022）；湖南院语料215份，强区湖南（235份）、北京（182份）、浙江（171份）（P8023）；上海院语料187份，强区四川（282份）、上海（226份）、北京（116份）（P8024）；山西院语料163份，强区山西（166份）、上海（82份）、北京（58份）（P8026）。四组数字交叉可读出两个规律：各省院的中标重心都在本省与北京（政治资源与总部经济所在），跨省输出呈点状而非面状；营收目标设定在哪个省，先查那个省的中标语料厚度，比查宏观经济增速靠谱。</w:t>
      </w:r>
    </w:p>
    <w:p>
      <w:pPr>
        <w:pStyle w:val="Heading3"/>
      </w:pPr>
      <w:r>
        <w:t>8.1.3 个账：单笔订单撬动全年营收的弹性与脆弱</w:t>
      </w:r>
    </w:p>
    <w:p>
      <w:r>
        <w:rPr>
          <w:rFonts w:ascii="Calibri" w:hAnsi="Calibri" w:eastAsia="微软雅黑"/>
          <w:b w:val="0"/>
          <w:i w:val="0"/>
          <w:sz w:val="22"/>
        </w:rPr>
        <w:t>上市公司层面的数据既揭示了转型营收的"弹性"，也暴露了它的"脆弱"。永福股份公告中标云南玉溪玉昆钢铁集团产能置换升级改造供电项目220kV玉昆变电站和配套7座110kV变电站两个EPC工程总承包项目，中标总金额4.25亿元，占其2020年度经审计总承包工程业务营业收入6.3亿元的67.7974%（P8022）——该公告随后由合同签订公告再次确认同一比例（P8022）。单笔订单相当于全年总承包营收的三分之二：这是总承包模式对设计院的魅力，也是它的命门——中一单，年报跃升；丢一单，报表塌一角。以小体量追逐大EPC，营收波动率会被成倍放大，这对上市公司是估值折价项，对非上市国企则是考核指标的过山车。中标公告与合同公告两次确认同一比例（P8022）也提示了披露纪律：上市公司对单订单依赖有公告义务，转型企业对集团总部同样应建立"重大订单即报"机制，让报表使用者同步看见集中度风险，而不是在年报里才被动解释波动。</w:t>
      </w:r>
    </w:p>
    <w:p>
      <w:r>
        <w:rPr>
          <w:rFonts w:ascii="Calibri" w:hAnsi="Calibri" w:eastAsia="微软雅黑"/>
          <w:b w:val="0"/>
          <w:i w:val="0"/>
          <w:sz w:val="22"/>
        </w:rPr>
        <w:t>另一份洞察包语料显示，一家配电网成套设备企业2个标包（一二次融合成套柱上断路器、配电箱-JP柜产品）中标总金额2640万元，占其2023年全年营业收入的4.09%（P8024）；own_calc：其全年营收规模可由（2640÷4.09%，own_calc，P8024）反推。同一逻辑反向成立：数千万级订单对数亿元营收体量的企业即有约四个百分点的报表意义。转型企业的订单簿集中度必须当作风险指标来管理，而不是当作政绩来宣传——理想的年报结构是"总承包营收由若干个不超过年营收一定比例的订单构成"，而不是被一两个巨型单绑架。</w:t>
      </w:r>
    </w:p>
    <w:p>
      <w:r>
        <w:rPr>
          <w:rFonts w:ascii="Calibri" w:hAnsi="Calibri" w:eastAsia="微软雅黑"/>
          <w:b w:val="0"/>
          <w:i w:val="0"/>
          <w:sz w:val="22"/>
        </w:rPr>
        <w:t>再看一份光伏EPC企业招股书披露：2021年至2023年及2024年上半年，营业收入分别为56.31亿元、137.04亿元、296.06亿元和128.03亿元，净利润分别为8.67亿元、17.53亿元、26.04亿元和12.69亿元（P8023）。对应净利率可由（8.67÷56.31，own_calc）、（17.53÷137.04，own_calc）、（26.04÷296.06，own_calc）与（12.69÷128.03，own_calc）逐期复算（P8023）——营收两年成倍放量（296.06÷56.31，own_calc），净利率却逐期摊薄。这是"增收不增利"的教科书样本：总承包放量必然摊薄利润率，除非毛利端存在真实的结构性护城河（本章8.2详述）。决策者在做转型三年营收规划时，应同步给出净利率摊薄曲线，并回答"摊薄到哪里为止"——如果答案是"不知道"，说明护城河还没建起来，营收目标就该相应收敛。</w:t>
      </w:r>
    </w:p>
    <w:p>
      <w:r>
        <w:rPr>
          <w:rFonts w:ascii="Calibri" w:hAnsi="Calibri" w:eastAsia="微软雅黑"/>
          <w:b w:val="0"/>
          <w:i w:val="0"/>
          <w:sz w:val="22"/>
        </w:rPr>
        <w:t>营收判断还须区分"订单储备期"与"收入确认期"。语料中另一家企业在2020年录得EPC业务24%的增速、当年新签订单19亿元，市场解读为"是在为EPC后续爆发准备"（P8026）——订单到手与收入入账之间隔着数月到数年，转型企业更健康的披露口径是把"新签—在手—确认"三张口径并列，避免把订单储备误读为当期营收，也避免投资者或上级用当期营收误判订单储备。</w:t>
      </w:r>
    </w:p>
    <w:p>
      <w:r>
        <w:rPr>
          <w:rFonts w:ascii="Calibri" w:hAnsi="Calibri" w:eastAsia="微软雅黑"/>
          <w:b w:val="0"/>
          <w:i w:val="0"/>
          <w:sz w:val="22"/>
        </w:rPr>
        <w:t>跨行业参照可以帮助校准对"好生意"的预期。医药侧，恒瑞医药2025财年营收316亿元、净利77亿元创历史峰值（P8023），净利率可由（77÷316，own_calc）复算——显著高于光伏EPC样本同期（26.04÷296.06，own_calc，P8023）；半导体设备侧，中微公司公告2022年半年度营业收入约19.7亿元、同比增长约47.1%，预计净利润4.2亿元到4.8亿元、同比增加5.89%到21.02%（P8023）。制造业侧的轴承行业2024年主营收入约2315亿元，却是典型的"大行业、小公司"——CR10仅约28%、高端产品仅占约5%、进口依赖约70%（P8023）。工程行业与轴承行业结构相似：大盘子、碎格局，放量不等于定价权，营收规模买不来净利率——转型设计院对"规模换利润"的幻想，应在这两组跨行业数字面前清醒。</w:t>
      </w:r>
    </w:p>
    <w:p>
      <w:r>
        <w:rPr>
          <w:rFonts w:ascii="Calibri" w:hAnsi="Calibri" w:eastAsia="微软雅黑"/>
          <w:b w:val="0"/>
          <w:i w:val="0"/>
          <w:sz w:val="22"/>
        </w:rPr>
        <w:t>集团内部金融板块的数字则提示另一重风险。中国电建旗下财务公司2025年营业收入13.11亿（P8024），较上年收缩，幅度可由（14.86÷13.11，own_calc，P8024）复算——即便是央企体内的资金平台，营收也会收缩。转型企业做现金流规划时不能默认"明年不低于今年"，尤其是依赖集团财务公司融资配给的转型项目，更要把资金端的收缩当作基准情景之一。</w:t>
      </w:r>
    </w:p>
    <w:p>
      <w:pPr>
        <w:pStyle w:val="Heading3"/>
      </w:pPr>
      <w:r>
        <w:t>8.1.4 国际对照账：并购做大的营收与"平平"的净利</w:t>
      </w:r>
    </w:p>
    <w:p>
      <w:r>
        <w:rPr>
          <w:rFonts w:ascii="Calibri" w:hAnsi="Calibri" w:eastAsia="微软雅黑"/>
          <w:b w:val="0"/>
          <w:i w:val="0"/>
          <w:sz w:val="22"/>
        </w:rPr>
        <w:t>国际工程公司的营收史同样值得镜鉴。Jacobs总体营收在2015—2017年呈现下降趋势，2018年因完成CH2M收购，营业收入大幅增长至149.9亿美元，相比2017年增长48.1%；其净利润率表现相对平平，2019年受ECR业务出售影响，净利润增长至8.7亿美元，但2020年有所下降（P8026；P8027交叉验证）。三个细节值得中国决策者注意：其一，营收跃升靠并购而非内生——收购CH2M把收入盘子一步抬高48.1%（P8026），但净利率并未随规模上台阶；其二，利润的跳变来自资产处置——2019年净利润增至8.7亿美元主要因ECR业务出售（P8026），属一次性损益而非经营改善；其三，2020年利润再度回落（P8026），说明并购做大的营收并不自动产生稳定盈利能力。翻译成决策语言：规模与盈利是两场不同的战争；靠重组、并购、借壳做大的营收（如前述借壳祁连山案例，P8024），与靠项目履约做大的营收，在资本市场和银行授信那里从来不是同一种信用。</w:t>
      </w:r>
    </w:p>
    <w:p>
      <w:r>
        <w:rPr>
          <w:rFonts w:ascii="Calibri" w:hAnsi="Calibri" w:eastAsia="微软雅黑"/>
          <w:b w:val="0"/>
          <w:i w:val="0"/>
          <w:sz w:val="22"/>
        </w:rPr>
        <w:t>表8-1 营收放量五类样本对照表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样本</w:t>
            </w:r>
          </w:p>
        </w:tc>
        <w:tc>
          <w:tcPr>
            <w:tcW w:type="dxa" w:w="2075"/>
            <w:shd w:fill="1F3A5F"/>
          </w:tcPr>
          <w:p>
            <w:r>
              <w:rPr>
                <w:color w:val="FFFFFF"/>
              </w:rPr>
            </w:r>
            <w:r>
              <w:rPr>
                <w:rFonts w:ascii="Calibri" w:hAnsi="Calibri" w:eastAsia="微软雅黑"/>
                <w:b/>
                <w:i w:val="0"/>
                <w:color w:val="FFFFFF"/>
                <w:sz w:val="18"/>
              </w:rPr>
              <w:t>关键数字</w:t>
            </w:r>
          </w:p>
        </w:tc>
        <w:tc>
          <w:tcPr>
            <w:tcW w:type="dxa" w:w="2075"/>
            <w:shd w:fill="1F3A5F"/>
          </w:tcPr>
          <w:p>
            <w:r>
              <w:rPr>
                <w:color w:val="FFFFFF"/>
              </w:rPr>
            </w:r>
            <w:r>
              <w:rPr>
                <w:rFonts w:ascii="Calibri" w:hAnsi="Calibri" w:eastAsia="微软雅黑"/>
                <w:b/>
                <w:i w:val="0"/>
                <w:color w:val="FFFFFF"/>
                <w:sz w:val="18"/>
              </w:rPr>
              <w:t>放量机制</w:t>
            </w:r>
          </w:p>
        </w:tc>
        <w:tc>
          <w:tcPr>
            <w:tcW w:type="dxa" w:w="2075"/>
            <w:shd w:fill="1F3A5F"/>
          </w:tcPr>
          <w:p>
            <w:r>
              <w:rPr>
                <w:color w:val="FFFFFF"/>
              </w:rPr>
            </w:r>
            <w:r>
              <w:rPr>
                <w:rFonts w:ascii="Calibri" w:hAnsi="Calibri" w:eastAsia="微软雅黑"/>
                <w:b/>
                <w:i w:val="0"/>
                <w:color w:val="FFFFFF"/>
                <w:sz w:val="18"/>
              </w:rPr>
              <w:t>决策提示</w:t>
            </w:r>
          </w:p>
        </w:tc>
      </w:tr>
      <w:tr>
        <w:tc>
          <w:tcPr>
            <w:tcW w:type="dxa" w:w="2075"/>
          </w:tcPr>
          <w:p>
            <w:r/>
            <w:r>
              <w:rPr>
                <w:rFonts w:ascii="Calibri" w:hAnsi="Calibri" w:eastAsia="微软雅黑"/>
                <w:b w:val="0"/>
                <w:i w:val="0"/>
                <w:sz w:val="18"/>
              </w:rPr>
              <w:t>中电工程（2003—2013）</w:t>
            </w:r>
          </w:p>
        </w:tc>
        <w:tc>
          <w:tcPr>
            <w:tcW w:type="dxa" w:w="2075"/>
          </w:tcPr>
          <w:p>
            <w:r/>
            <w:r>
              <w:rPr>
                <w:rFonts w:ascii="Calibri" w:hAnsi="Calibri" w:eastAsia="微软雅黑"/>
                <w:b w:val="0"/>
                <w:i w:val="0"/>
                <w:sz w:val="18"/>
              </w:rPr>
              <w:t>总承包合同额累计1419亿元，占比23%→83%（P8022等四源交叉）</w:t>
            </w:r>
          </w:p>
        </w:tc>
        <w:tc>
          <w:tcPr>
            <w:tcW w:type="dxa" w:w="2075"/>
          </w:tcPr>
          <w:p>
            <w:r/>
            <w:r>
              <w:rPr>
                <w:rFonts w:ascii="Calibri" w:hAnsi="Calibri" w:eastAsia="微软雅黑"/>
                <w:b w:val="0"/>
                <w:i w:val="0"/>
                <w:sz w:val="18"/>
              </w:rPr>
              <w:t>十年结构调整</w:t>
            </w:r>
          </w:p>
        </w:tc>
        <w:tc>
          <w:tcPr>
            <w:tcW w:type="dxa" w:w="2075"/>
          </w:tcPr>
          <w:p>
            <w:r/>
            <w:r>
              <w:rPr>
                <w:rFonts w:ascii="Calibri" w:hAnsi="Calibri" w:eastAsia="微软雅黑"/>
                <w:b w:val="0"/>
                <w:i w:val="0"/>
                <w:sz w:val="18"/>
              </w:rPr>
              <w:t>放量前有八年蓄势期（708÷1419，own_calc）</w:t>
            </w:r>
          </w:p>
        </w:tc>
      </w:tr>
      <w:tr>
        <w:tc>
          <w:tcPr>
            <w:tcW w:type="dxa" w:w="2075"/>
          </w:tcPr>
          <w:p>
            <w:r/>
            <w:r>
              <w:rPr>
                <w:rFonts w:ascii="Calibri" w:hAnsi="Calibri" w:eastAsia="微软雅黑"/>
                <w:b w:val="0"/>
                <w:i w:val="0"/>
                <w:sz w:val="18"/>
              </w:rPr>
              <w:t>光伏EPC企业招股书</w:t>
            </w:r>
          </w:p>
        </w:tc>
        <w:tc>
          <w:tcPr>
            <w:tcW w:type="dxa" w:w="2075"/>
          </w:tcPr>
          <w:p>
            <w:r/>
            <w:r>
              <w:rPr>
                <w:rFonts w:ascii="Calibri" w:hAnsi="Calibri" w:eastAsia="微软雅黑"/>
                <w:b w:val="0"/>
                <w:i w:val="0"/>
                <w:sz w:val="18"/>
              </w:rPr>
              <w:t>营收56.31→296.06亿元，净利8.67→26.04亿元（P8023）</w:t>
            </w:r>
          </w:p>
        </w:tc>
        <w:tc>
          <w:tcPr>
            <w:tcW w:type="dxa" w:w="2075"/>
          </w:tcPr>
          <w:p>
            <w:r/>
            <w:r>
              <w:rPr>
                <w:rFonts w:ascii="Calibri" w:hAnsi="Calibri" w:eastAsia="微软雅黑"/>
                <w:b w:val="0"/>
                <w:i w:val="0"/>
                <w:sz w:val="18"/>
              </w:rPr>
              <w:t>行业风口</w:t>
            </w:r>
          </w:p>
        </w:tc>
        <w:tc>
          <w:tcPr>
            <w:tcW w:type="dxa" w:w="2075"/>
          </w:tcPr>
          <w:p>
            <w:r/>
            <w:r>
              <w:rPr>
                <w:rFonts w:ascii="Calibri" w:hAnsi="Calibri" w:eastAsia="微软雅黑"/>
                <w:b w:val="0"/>
                <w:i w:val="0"/>
                <w:sz w:val="18"/>
              </w:rPr>
              <w:t>净利率逐期摊薄（8.67÷56.31 对比 26.04÷296.06，own_calc）</w:t>
            </w:r>
          </w:p>
        </w:tc>
      </w:tr>
      <w:tr>
        <w:tc>
          <w:tcPr>
            <w:tcW w:type="dxa" w:w="2075"/>
          </w:tcPr>
          <w:p>
            <w:r/>
            <w:r>
              <w:rPr>
                <w:rFonts w:ascii="Calibri" w:hAnsi="Calibri" w:eastAsia="微软雅黑"/>
                <w:b w:val="0"/>
                <w:i w:val="0"/>
                <w:sz w:val="18"/>
              </w:rPr>
              <w:t>永福股份</w:t>
            </w:r>
          </w:p>
        </w:tc>
        <w:tc>
          <w:tcPr>
            <w:tcW w:type="dxa" w:w="2075"/>
          </w:tcPr>
          <w:p>
            <w:r/>
            <w:r>
              <w:rPr>
                <w:rFonts w:ascii="Calibri" w:hAnsi="Calibri" w:eastAsia="微软雅黑"/>
                <w:b w:val="0"/>
                <w:i w:val="0"/>
                <w:sz w:val="18"/>
              </w:rPr>
              <w:t>单笔中标4.25亿元＝年总承包营收6.3亿元的67.7974%（P8022）</w:t>
            </w:r>
          </w:p>
        </w:tc>
        <w:tc>
          <w:tcPr>
            <w:tcW w:type="dxa" w:w="2075"/>
          </w:tcPr>
          <w:p>
            <w:r/>
            <w:r>
              <w:rPr>
                <w:rFonts w:ascii="Calibri" w:hAnsi="Calibri" w:eastAsia="微软雅黑"/>
                <w:b w:val="0"/>
                <w:i w:val="0"/>
                <w:sz w:val="18"/>
              </w:rPr>
              <w:t>单订单杠杆</w:t>
            </w:r>
          </w:p>
        </w:tc>
        <w:tc>
          <w:tcPr>
            <w:tcW w:type="dxa" w:w="2075"/>
          </w:tcPr>
          <w:p>
            <w:r/>
            <w:r>
              <w:rPr>
                <w:rFonts w:ascii="Calibri" w:hAnsi="Calibri" w:eastAsia="微软雅黑"/>
                <w:b w:val="0"/>
                <w:i w:val="0"/>
                <w:sz w:val="18"/>
              </w:rPr>
              <w:t>丢单即伤年报</w:t>
            </w:r>
          </w:p>
        </w:tc>
      </w:tr>
      <w:tr>
        <w:tc>
          <w:tcPr>
            <w:tcW w:type="dxa" w:w="2075"/>
          </w:tcPr>
          <w:p>
            <w:r/>
            <w:r>
              <w:rPr>
                <w:rFonts w:ascii="Calibri" w:hAnsi="Calibri" w:eastAsia="微软雅黑"/>
                <w:b w:val="0"/>
                <w:i w:val="0"/>
                <w:sz w:val="18"/>
              </w:rPr>
              <w:t>Jacobs</w:t>
            </w:r>
          </w:p>
        </w:tc>
        <w:tc>
          <w:tcPr>
            <w:tcW w:type="dxa" w:w="2075"/>
          </w:tcPr>
          <w:p>
            <w:r/>
            <w:r>
              <w:rPr>
                <w:rFonts w:ascii="Calibri" w:hAnsi="Calibri" w:eastAsia="微软雅黑"/>
                <w:b w:val="0"/>
                <w:i w:val="0"/>
                <w:sz w:val="18"/>
              </w:rPr>
              <w:t>2018营收149.9亿美元（+48.1%），2019净利8.7亿美元（P8026；P8027）</w:t>
            </w:r>
          </w:p>
        </w:tc>
        <w:tc>
          <w:tcPr>
            <w:tcW w:type="dxa" w:w="2075"/>
          </w:tcPr>
          <w:p>
            <w:r/>
            <w:r>
              <w:rPr>
                <w:rFonts w:ascii="Calibri" w:hAnsi="Calibri" w:eastAsia="微软雅黑"/>
                <w:b w:val="0"/>
                <w:i w:val="0"/>
                <w:sz w:val="18"/>
              </w:rPr>
              <w:t>并购CH2M、出售ECR</w:t>
            </w:r>
          </w:p>
        </w:tc>
        <w:tc>
          <w:tcPr>
            <w:tcW w:type="dxa" w:w="2075"/>
          </w:tcPr>
          <w:p>
            <w:r/>
            <w:r>
              <w:rPr>
                <w:rFonts w:ascii="Calibri" w:hAnsi="Calibri" w:eastAsia="微软雅黑"/>
                <w:b w:val="0"/>
                <w:i w:val="0"/>
                <w:sz w:val="18"/>
              </w:rPr>
              <w:t>净利率"表现相对平平"</w:t>
            </w:r>
          </w:p>
        </w:tc>
      </w:tr>
      <w:tr>
        <w:tc>
          <w:tcPr>
            <w:tcW w:type="dxa" w:w="2075"/>
          </w:tcPr>
          <w:p>
            <w:r/>
            <w:r>
              <w:rPr>
                <w:rFonts w:ascii="Calibri" w:hAnsi="Calibri" w:eastAsia="微软雅黑"/>
                <w:b w:val="0"/>
                <w:i w:val="0"/>
                <w:sz w:val="18"/>
              </w:rPr>
              <w:t>对外承包大盘</w:t>
            </w:r>
          </w:p>
        </w:tc>
        <w:tc>
          <w:tcPr>
            <w:tcW w:type="dxa" w:w="2075"/>
          </w:tcPr>
          <w:p>
            <w:r/>
            <w:r>
              <w:rPr>
                <w:rFonts w:ascii="Calibri" w:hAnsi="Calibri" w:eastAsia="微软雅黑"/>
                <w:b w:val="0"/>
                <w:i w:val="0"/>
                <w:sz w:val="18"/>
              </w:rPr>
              <w:t>2026年1—8月完成7937.1亿元（+5.8%）、新签11763.2亿元（-3.0%）（P8026；P8027）</w:t>
            </w:r>
          </w:p>
        </w:tc>
        <w:tc>
          <w:tcPr>
            <w:tcW w:type="dxa" w:w="2075"/>
          </w:tcPr>
          <w:p>
            <w:r/>
            <w:r>
              <w:rPr>
                <w:rFonts w:ascii="Calibri" w:hAnsi="Calibri" w:eastAsia="微软雅黑"/>
                <w:b w:val="0"/>
                <w:i w:val="0"/>
                <w:sz w:val="18"/>
              </w:rPr>
              <w:t>存量转化</w:t>
            </w:r>
          </w:p>
        </w:tc>
        <w:tc>
          <w:tcPr>
            <w:tcW w:type="dxa" w:w="2075"/>
          </w:tcPr>
          <w:p>
            <w:r/>
            <w:r>
              <w:rPr>
                <w:rFonts w:ascii="Calibri" w:hAnsi="Calibri" w:eastAsia="微软雅黑"/>
                <w:b w:val="0"/>
                <w:i w:val="0"/>
                <w:sz w:val="18"/>
              </w:rPr>
              <w:t>新签收缩，进场看时点</w:t>
            </w:r>
          </w:p>
        </w:tc>
      </w:tr>
    </w:tbl>
    <w:p>
      <w:r>
        <w:rPr>
          <w:rFonts w:ascii="Calibri" w:hAnsi="Calibri" w:eastAsia="微软雅黑"/>
          <w:b w:val="0"/>
          <w:i w:val="0"/>
          <w:sz w:val="22"/>
        </w:rPr>
        <w:t>所以呢？营收端给决策者的结论有三条：第一，总承包放量是真实可行的——中电工程用十年把总承包占比从23%做到83%（P8022），路径成立，但要按"八年蓄势、三年跃迁"的节奏排兵布阵；第二，放量必然伴随利润率摊薄——光伏样本净利率逐期摊薄（8.67÷56.31 对比 26.04÷296.06，own_calc，P8023），增收不增利是常态而非意外，转型测算里必须内置这条摊薄曲线；第三，行业新签已转负（P8026），转型窗口的算盘要按"存量博弈"打，而不是按"增量红利"打——这意味着营收目标要从"抢多少新市场"改写为"从谁的碗里分多少"，并把区域弹药厚度（P8022、P8023、P8024、P8026）作为份额目标的约束条件。</w:t>
      </w:r>
    </w:p>
    <w:p>
      <w:pPr>
        <w:pStyle w:val="Heading2"/>
      </w:pPr>
      <w:r>
        <w:t>8.2 毛利真相：设计龙头为何未必兑换成高毛利</w:t>
      </w:r>
    </w:p>
    <w:p>
      <w:r>
        <w:rPr>
          <w:rFonts w:ascii="Calibri" w:hAnsi="Calibri" w:eastAsia="微软雅黑"/>
          <w:b w:val="0"/>
          <w:i w:val="0"/>
          <w:sz w:val="22"/>
        </w:rPr>
        <w:t>设计院转型EPC的核心商业叙事是"设计主导"：设计阶段锁定造价，从而锁定利润。这条逻辑链的前半段有硬数据支撑，后半段却要闯过竞价、履约与违约三道关。本节把毛利真相拆成杠杆、竞价、红线、样板四层，逐层给出可核验的数字——四层合起来才是毛利的完整公式：可锁定的造价空间，减去竞价让渡，减去履约波动，再减去违约尾部损失。</w:t>
      </w:r>
    </w:p>
    <w:p>
      <w:pPr>
        <w:pStyle w:val="Heading3"/>
      </w:pPr>
      <w:r>
        <w:t>8.2.1 杠杆层：70%造价控制力与概算工具箱</w:t>
      </w:r>
    </w:p>
    <w:p>
      <w:r>
        <w:rPr>
          <w:rFonts w:ascii="Calibri" w:hAnsi="Calibri" w:eastAsia="微软雅黑"/>
          <w:b w:val="0"/>
          <w:i w:val="0"/>
          <w:sz w:val="22"/>
        </w:rPr>
        <w:t>设计龙头的毛利杠杆首先来自造价锁定。安徽院框架研究给出的判断是：设计端对工程70%以上造价具有源头控制力，造价锁定率大于70%（P8034）——安徽院转型的本质，正是利用这一杠杆撬动数百倍于设计费的工程总包市场（P8034）。换言之，毛利不是在施工阶段"干"出来的，而是在初步设计与施工图阶段"算"出来的；设计院若放弃在设计阶段做造价主导，等于把唯一的护城河填平。这条杠杆的财务表达很直接：一个1.8415亿元级别的EPC标（如利港升压站竞标，P8029），设计费本身不过数百万元量级，但设计阶段锁定的造价差异可以吃掉全部毛利。</w:t>
      </w:r>
    </w:p>
    <w:p>
      <w:r>
        <w:rPr>
          <w:rFonts w:ascii="Calibri" w:hAnsi="Calibri" w:eastAsia="微软雅黑"/>
          <w:b w:val="0"/>
          <w:i w:val="0"/>
          <w:sz w:val="22"/>
        </w:rPr>
        <w:t>"算"需要工具箱。中石化南京工程的实务框架沉淀了设计概算编制三法——概算定额法、概算指标法（修正公式J修正＝J＋Q1P1－Q2P2）、类似工程预算法（D＝A×K），以及设备安装概算四法——预算单价法、扩大单价法、设备价值百分比法、综合吨位指标法（P8016）。对刚转型的设计院，这套工具箱的意义在于：EPC报价不是施工报价的放大版，概算精度直接决定中标价与成本线之间的毛利空间。概算指标法的修正公式意味着结构差异要用增减项逐项修正（P8016），类似工程预算法的D＝A×K则要求对价格调整系数K有可靠的数据库支撑（P8016）——没有历史项目数据积累的院，K系数就是拍脑袋，毛利从报价那天起就是悬的；设备安装四法的存在（P8016）则提醒：设备占比越高的EPC，概算方法选错一项，报价偏差就以千万元计。</w:t>
      </w:r>
    </w:p>
    <w:p>
      <w:r>
        <w:rPr>
          <w:rFonts w:ascii="Calibri" w:hAnsi="Calibri" w:eastAsia="微软雅黑"/>
          <w:b w:val="0"/>
          <w:i w:val="0"/>
          <w:sz w:val="22"/>
        </w:rPr>
        <w:t>采购与数字化侧的节资证据同样关键。中核工程2023年在二级集采项目中节资率达10%（P8013）；其基于EB软件的数字化结构化设计可自动生成清单，统计效率提升80%以上（P8020）。传统分段模式"预算编制与现场施工脱节，易产生'三超'隐患"，EPC模式通过动态预算调整机制实现设计与成本的实时联动（P8021）。这组数字的含义直白：毛利保卫战的前线在集采与数据——10%的集采节资率（P8013）已足以覆盖多数设计院全年的设计净利率，80%的统计效率提升（P8020）则把概算滚动更新的成本降到了可以"边设计边算账"的水平。</w:t>
      </w:r>
    </w:p>
    <w:p>
      <w:r>
        <w:rPr>
          <w:rFonts w:ascii="Calibri" w:hAnsi="Calibri" w:eastAsia="微软雅黑"/>
          <w:b w:val="0"/>
          <w:i w:val="0"/>
          <w:sz w:val="22"/>
        </w:rPr>
        <w:t>数字化的落点可以更具体。中核工程基于EB软件建立"项目号—对象分类单元—机组号—设备单元—系统号"五层级架构，确保大宗材料数据在全生命周期内的唯一性与可追溯性（P8020）；在"华龙一号"蒸汽发生器智能制造中，工程公司与东方重机实践了"设计—制造—监造—协同平台"四个层级的深度融合与"九大场景"技术创新（P8020）。落到财务语言：数据唯一性就是结算依据的唯一性——设计、采购、施工三方对的是同一套数据，概算滚动与成本归集才能实时咬合，毛利偏差才可能在月度经营分析里被看见，而不是在竣工结算时才爆雷。</w:t>
      </w:r>
    </w:p>
    <w:p>
      <w:pPr>
        <w:pStyle w:val="Heading3"/>
      </w:pPr>
      <w:r>
        <w:t>8.2.2 竞价层：2.37%的价差就能改写排名</w:t>
      </w:r>
    </w:p>
    <w:p>
      <w:r>
        <w:rPr>
          <w:rFonts w:ascii="Calibri" w:hAnsi="Calibri" w:eastAsia="微软雅黑"/>
          <w:b w:val="0"/>
          <w:i w:val="0"/>
          <w:sz w:val="22"/>
        </w:rPr>
        <w:t>设计优势并不能自动兑换成中标低价。江苏利港电厂220kV升压站改建项目EPC总承包竞标中，安徽院投标总报价约1.8415亿元，位列第二中标候选人；第一中标候选人江苏省电力设计院报价约1.7988亿元，两者价差427.0297万元（P8029；P8034交叉），折合价差率2.37%（P8034）。这个案例的残酷之处在于对手身份：赢它的是同系统的兄弟设计院（江苏省电力设计院，P8029），即设计能力同源、品牌溢价同源——当双方设计优势相互抵消，胜负就完全落在采购与分包报价的毫厘之间。安徽院框架的结论一针见血：供应链采办与分包溢价一旦超过2%，直接导致招投标失利（P8034）。</w:t>
      </w:r>
    </w:p>
    <w:p>
      <w:r>
        <w:rPr>
          <w:rFonts w:ascii="Calibri" w:hAnsi="Calibri" w:eastAsia="微软雅黑"/>
          <w:b w:val="0"/>
          <w:i w:val="0"/>
          <w:sz w:val="22"/>
        </w:rPr>
        <w:t>同系语料中的广西灵山苏屋岭风电场项目规划总装机容量50MW、拟安装8台单机6.25MW风电机组（P8029），提示新能源EPC已进入标准化竞价区间。在同质化标段里，2%的价差敏感度意味着：设计院若无法把设计优化变现为采购与分包价格优势，"设计龙头"四个字反而是成本包袱——养着数百名注册师与高级专家的组织（参照中机国际700余人的注册师与专家队伍，P8028），报价表上却没有"设计院溢价"这一栏，业主只认总价。安徽院框架更点破结构性命门：在"交钥匙（Lump-Sum）"包干体系下，设计院做EPC的核心命门在于缺乏重资产施工队与大宗设备采办规模（P8034）。毛利的第一课由此而来：竞标阶段的毛利是让渡出来的，真正的毛利要么在设计优化里，要么在集采议价里，二者必居其一。</w:t>
      </w:r>
    </w:p>
    <w:p>
      <w:r>
        <w:rPr>
          <w:rFonts w:ascii="Calibri" w:hAnsi="Calibri" w:eastAsia="微软雅黑"/>
          <w:b w:val="0"/>
          <w:i w:val="0"/>
          <w:sz w:val="22"/>
        </w:rPr>
        <w:t>安徽院自身的应对是承认短板、借力补位：面对设计院传统上在施工现场管理和大宗设备采办经验上的不足，明确主张"优势互补、强强联合"，通过与强力施工企业或资源方结盟弥补短板（P8029）；其框架进一步把可复制路径概括为"设计为龙头、资源集成商、风险隔离器"的平台化定位，通过与头部施工企业及供应链建立背靠背契约网络，把垫资、履约延误与安质环风险合法下传（P8034）。翻译成毛利语言：自己养重资产施工队伍摊薄毛利，用契约网络外购施工能力保住毛利——2.37%的价差空间（P8034）经不起任何一环的溢价，风险下传的每一份契约都必须带价格约束，否则风险传出去、成本留下来。</w:t>
      </w:r>
    </w:p>
    <w:p>
      <w:pPr>
        <w:pStyle w:val="Heading3"/>
      </w:pPr>
      <w:r>
        <w:t>8.2.3 红线层：一次失守吞噬多年利润</w:t>
      </w:r>
    </w:p>
    <w:p>
      <w:r>
        <w:rPr>
          <w:rFonts w:ascii="Calibri" w:hAnsi="Calibri" w:eastAsia="微软雅黑"/>
          <w:b w:val="0"/>
          <w:i w:val="0"/>
          <w:sz w:val="22"/>
        </w:rPr>
        <w:t>比丢标更残酷的是"中标签约后失守"。司法判例划出了三条利润红线（P8034）：其一，性能红线——某判例中因设计工艺致命缺陷，完工后实际发电量仅为设计值的4.52%，被判定为根本性违约，总承包商须退还全部工程款并赔偿全额损失（P8034）；其二，赔偿红线——某渗滤液处理项目竣工后试验性能严重不达标（处理量不足），司法判决赔偿比例达合同总价的60%（P8034），性能不达标可直接吞噬企业多年积累的全部利润；其三，终止红线——大型EPC主合同中因工期或质量违规导致的累计违约金上限为合同总额的10.0%，达到该阈值发包人有权无条件终止合同并没收履约保函（P8034）。三条红线的关系是递进的：10%是合同内的损失上限（P8034），60%与"退全款＋全额赔偿"是法院判出来的合同外损失（P8034）——投标风控只算合同内违约金是严重低估。</w:t>
      </w:r>
    </w:p>
    <w:p>
      <w:r>
        <w:rPr>
          <w:rFonts w:ascii="Calibri" w:hAnsi="Calibri" w:eastAsia="微软雅黑"/>
          <w:b w:val="0"/>
          <w:i w:val="0"/>
          <w:sz w:val="22"/>
        </w:rPr>
        <w:t>质量失守的代价在高安全等级赛道被进一步放大：核电工程对质量的"零容忍"不仅是技术要求，更是政治任务（P8019），行业为此建立"六大控制七个零"高质量精细化管控体系（P8019）。江西丰城电厂三期EPC特大事故的行业沉思录从事故调查、制度失灵到文化塌陷做了系统复盘，其第三部分更提出"系统免疫工程"的内生安全新范式构想（P8015）——安全与质量事件对总承包商的财务与存续冲击，远超一般商务违约。落到财务操作上，毛利管理必须向下覆盖"最坏情形预算"：按10%违约金终止线与60%赔偿判例（P8034）对拟投标项目做压力测试，测算一次失守是否会击穿公司净资产安全垫，再决定接不接这个标。风险与毛利的联管在头部工程公司那里已是体系而非口号——中核工程框架即以"风险识别—防范—监测—处置"的全生命周期视角，建立在"华龙一号"蒸汽发生器智能制造、ITER项目工时管理及数字化财务管控的实战案例之上（P8020）。</w:t>
      </w:r>
    </w:p>
    <w:p>
      <w:r>
        <w:rPr>
          <w:rFonts w:ascii="Calibri" w:hAnsi="Calibri" w:eastAsia="微软雅黑"/>
          <w:b w:val="0"/>
          <w:i w:val="0"/>
          <w:sz w:val="22"/>
        </w:rPr>
        <w:t>红线之外还有"灰色绞杀"：结算依据之争。中石化南京工程框架收录的制度线索显示，法工委函〔2017〕2号对"以审计结果作为结算依据"的条款展开清理审查，"重庆勇创案"则完成了计价标准的司法纠偏（P8016）——行政审计强行介入结算曾是总承包商应收悬置的重要成因，制度清理后，合同约定的计价标准与结算程序才是唯一的锚。毛利压力测试因此要加一项：若结算被拖入审计或计价争议，你的资金成本能否扛住账期再延长一年——毛利是算出来的，也是等出来的，等不起的毛利不是毛利。</w:t>
      </w:r>
    </w:p>
    <w:p>
      <w:r>
        <w:rPr>
          <w:rFonts w:ascii="Calibri" w:hAnsi="Calibri" w:eastAsia="微软雅黑"/>
          <w:b w:val="0"/>
          <w:i w:val="0"/>
          <w:sz w:val="22"/>
        </w:rPr>
        <w:t>表8-2 毛利三道关：杠杆、竞价与红线</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关口</w:t>
            </w:r>
          </w:p>
        </w:tc>
        <w:tc>
          <w:tcPr>
            <w:tcW w:type="dxa" w:w="2075"/>
            <w:shd w:fill="1F3A5F"/>
          </w:tcPr>
          <w:p>
            <w:r>
              <w:rPr>
                <w:color w:val="FFFFFF"/>
              </w:rPr>
            </w:r>
            <w:r>
              <w:rPr>
                <w:rFonts w:ascii="Calibri" w:hAnsi="Calibri" w:eastAsia="微软雅黑"/>
                <w:b/>
                <w:i w:val="0"/>
                <w:color w:val="FFFFFF"/>
                <w:sz w:val="18"/>
              </w:rPr>
              <w:t>关键数据</w:t>
            </w:r>
          </w:p>
        </w:tc>
        <w:tc>
          <w:tcPr>
            <w:tcW w:type="dxa" w:w="2075"/>
            <w:shd w:fill="1F3A5F"/>
          </w:tcPr>
          <w:p>
            <w:r>
              <w:rPr>
                <w:color w:val="FFFFFF"/>
              </w:rPr>
            </w:r>
            <w:r>
              <w:rPr>
                <w:rFonts w:ascii="Calibri" w:hAnsi="Calibri" w:eastAsia="微软雅黑"/>
                <w:b/>
                <w:i w:val="0"/>
                <w:color w:val="FFFFFF"/>
                <w:sz w:val="18"/>
              </w:rPr>
              <w:t>决策含义</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杠杆</w:t>
            </w:r>
          </w:p>
        </w:tc>
        <w:tc>
          <w:tcPr>
            <w:tcW w:type="dxa" w:w="2075"/>
          </w:tcPr>
          <w:p>
            <w:r/>
            <w:r>
              <w:rPr>
                <w:rFonts w:ascii="Calibri" w:hAnsi="Calibri" w:eastAsia="微软雅黑"/>
                <w:b w:val="0"/>
                <w:i w:val="0"/>
                <w:sz w:val="18"/>
              </w:rPr>
              <w:t>造价锁定率&gt;70%；二级集采节资率10%；EB统计效率提升80%以上</w:t>
            </w:r>
          </w:p>
        </w:tc>
        <w:tc>
          <w:tcPr>
            <w:tcW w:type="dxa" w:w="2075"/>
          </w:tcPr>
          <w:p>
            <w:r/>
            <w:r>
              <w:rPr>
                <w:rFonts w:ascii="Calibri" w:hAnsi="Calibri" w:eastAsia="微软雅黑"/>
                <w:b w:val="0"/>
                <w:i w:val="0"/>
                <w:sz w:val="18"/>
              </w:rPr>
              <w:t>毛利在设计端与集采端被决定</w:t>
            </w:r>
          </w:p>
        </w:tc>
        <w:tc>
          <w:tcPr>
            <w:tcW w:type="dxa" w:w="2075"/>
          </w:tcPr>
          <w:p>
            <w:r/>
            <w:r>
              <w:rPr>
                <w:rFonts w:ascii="Calibri" w:hAnsi="Calibri" w:eastAsia="微软雅黑"/>
                <w:b w:val="0"/>
                <w:i w:val="0"/>
                <w:sz w:val="18"/>
              </w:rPr>
              <w:t>P8034；P8013；P8020</w:t>
            </w:r>
          </w:p>
        </w:tc>
      </w:tr>
      <w:tr>
        <w:tc>
          <w:tcPr>
            <w:tcW w:type="dxa" w:w="2075"/>
          </w:tcPr>
          <w:p>
            <w:r/>
            <w:r>
              <w:rPr>
                <w:rFonts w:ascii="Calibri" w:hAnsi="Calibri" w:eastAsia="微软雅黑"/>
                <w:b w:val="0"/>
                <w:i w:val="0"/>
                <w:sz w:val="18"/>
              </w:rPr>
              <w:t>竞价</w:t>
            </w:r>
          </w:p>
        </w:tc>
        <w:tc>
          <w:tcPr>
            <w:tcW w:type="dxa" w:w="2075"/>
          </w:tcPr>
          <w:p>
            <w:r/>
            <w:r>
              <w:rPr>
                <w:rFonts w:ascii="Calibri" w:hAnsi="Calibri" w:eastAsia="微软雅黑"/>
                <w:b w:val="0"/>
                <w:i w:val="0"/>
                <w:sz w:val="18"/>
              </w:rPr>
              <w:t>利港案价差427.0297万元＝2.37%；采办分包溢价&gt;2%即失标</w:t>
            </w:r>
          </w:p>
        </w:tc>
        <w:tc>
          <w:tcPr>
            <w:tcW w:type="dxa" w:w="2075"/>
          </w:tcPr>
          <w:p>
            <w:r/>
            <w:r>
              <w:rPr>
                <w:rFonts w:ascii="Calibri" w:hAnsi="Calibri" w:eastAsia="微软雅黑"/>
                <w:b w:val="0"/>
                <w:i w:val="0"/>
                <w:sz w:val="18"/>
              </w:rPr>
              <w:t>设计优势须变现为采购分包优势</w:t>
            </w:r>
          </w:p>
        </w:tc>
        <w:tc>
          <w:tcPr>
            <w:tcW w:type="dxa" w:w="2075"/>
          </w:tcPr>
          <w:p>
            <w:r/>
            <w:r>
              <w:rPr>
                <w:rFonts w:ascii="Calibri" w:hAnsi="Calibri" w:eastAsia="微软雅黑"/>
                <w:b w:val="0"/>
                <w:i w:val="0"/>
                <w:sz w:val="18"/>
              </w:rPr>
              <w:t>P8029；P8034</w:t>
            </w:r>
          </w:p>
        </w:tc>
      </w:tr>
      <w:tr>
        <w:tc>
          <w:tcPr>
            <w:tcW w:type="dxa" w:w="2075"/>
          </w:tcPr>
          <w:p>
            <w:r/>
            <w:r>
              <w:rPr>
                <w:rFonts w:ascii="Calibri" w:hAnsi="Calibri" w:eastAsia="微软雅黑"/>
                <w:b w:val="0"/>
                <w:i w:val="0"/>
                <w:sz w:val="18"/>
              </w:rPr>
              <w:t>红线</w:t>
            </w:r>
          </w:p>
        </w:tc>
        <w:tc>
          <w:tcPr>
            <w:tcW w:type="dxa" w:w="2075"/>
          </w:tcPr>
          <w:p>
            <w:r/>
            <w:r>
              <w:rPr>
                <w:rFonts w:ascii="Calibri" w:hAnsi="Calibri" w:eastAsia="微软雅黑"/>
                <w:b w:val="0"/>
                <w:i w:val="0"/>
                <w:sz w:val="18"/>
              </w:rPr>
              <w:t>发电量仅4.52%判退全款；渗滤液案赔60%合同总价；违约金累计上限10%即终止</w:t>
            </w:r>
          </w:p>
        </w:tc>
        <w:tc>
          <w:tcPr>
            <w:tcW w:type="dxa" w:w="2075"/>
          </w:tcPr>
          <w:p>
            <w:r/>
            <w:r>
              <w:rPr>
                <w:rFonts w:ascii="Calibri" w:hAnsi="Calibri" w:eastAsia="微软雅黑"/>
                <w:b w:val="0"/>
                <w:i w:val="0"/>
                <w:sz w:val="18"/>
              </w:rPr>
              <w:t>一次失守吞噬多年利润</w:t>
            </w:r>
          </w:p>
        </w:tc>
        <w:tc>
          <w:tcPr>
            <w:tcW w:type="dxa" w:w="2075"/>
          </w:tcPr>
          <w:p>
            <w:r/>
            <w:r>
              <w:rPr>
                <w:rFonts w:ascii="Calibri" w:hAnsi="Calibri" w:eastAsia="微软雅黑"/>
                <w:b w:val="0"/>
                <w:i w:val="0"/>
                <w:sz w:val="18"/>
              </w:rPr>
              <w:t>P8034</w:t>
            </w:r>
          </w:p>
        </w:tc>
      </w:tr>
      <w:tr>
        <w:tc>
          <w:tcPr>
            <w:tcW w:type="dxa" w:w="2075"/>
          </w:tcPr>
          <w:p>
            <w:r/>
            <w:r>
              <w:rPr>
                <w:rFonts w:ascii="Calibri" w:hAnsi="Calibri" w:eastAsia="微软雅黑"/>
                <w:b w:val="0"/>
                <w:i w:val="0"/>
                <w:sz w:val="18"/>
              </w:rPr>
              <w:t>结算</w:t>
            </w:r>
          </w:p>
        </w:tc>
        <w:tc>
          <w:tcPr>
            <w:tcW w:type="dxa" w:w="2075"/>
          </w:tcPr>
          <w:p>
            <w:r/>
            <w:r>
              <w:rPr>
                <w:rFonts w:ascii="Calibri" w:hAnsi="Calibri" w:eastAsia="微软雅黑"/>
                <w:b w:val="0"/>
                <w:i w:val="0"/>
                <w:sz w:val="18"/>
              </w:rPr>
              <w:t>法工委函〔2017〕2号清理审计结算介入；重庆勇创案计价纠偏</w:t>
            </w:r>
          </w:p>
        </w:tc>
        <w:tc>
          <w:tcPr>
            <w:tcW w:type="dxa" w:w="2075"/>
          </w:tcPr>
          <w:p>
            <w:r/>
            <w:r>
              <w:rPr>
                <w:rFonts w:ascii="Calibri" w:hAnsi="Calibri" w:eastAsia="微软雅黑"/>
                <w:b w:val="0"/>
                <w:i w:val="0"/>
                <w:sz w:val="18"/>
              </w:rPr>
              <w:t>结算依据须合同锁定</w:t>
            </w:r>
          </w:p>
        </w:tc>
        <w:tc>
          <w:tcPr>
            <w:tcW w:type="dxa" w:w="2075"/>
          </w:tcPr>
          <w:p>
            <w:r/>
            <w:r>
              <w:rPr>
                <w:rFonts w:ascii="Calibri" w:hAnsi="Calibri" w:eastAsia="微软雅黑"/>
                <w:b w:val="0"/>
                <w:i w:val="0"/>
                <w:sz w:val="18"/>
              </w:rPr>
              <w:t>P8016</w:t>
            </w:r>
          </w:p>
        </w:tc>
      </w:tr>
    </w:tbl>
    <w:p>
      <w:pPr>
        <w:pStyle w:val="Heading3"/>
      </w:pPr>
      <w:r>
        <w:t>8.2.4 样板层：中机国际的"高毛利履约"配方</w:t>
      </w:r>
    </w:p>
    <w:p>
      <w:r>
        <w:rPr>
          <w:rFonts w:ascii="Calibri" w:hAnsi="Calibri" w:eastAsia="微软雅黑"/>
          <w:b w:val="0"/>
          <w:i w:val="0"/>
          <w:sz w:val="22"/>
        </w:rPr>
        <w:t>有没有正面对照？中机国际的样本值得逐项拆解。其开封禹王台120MW农光互补EPC项目签约总代价800,160,000 元、工期100个历日，付款节点设定为10%—80%—5%—5%并引入供应商直付委托书（P8033）；澄迈能源站年发电超8580 MWh、供冷21705GJ/a、综合能源利用率83.6%以上，对照行业传统分布式能源站平均综合效率约65%—70%（P8033）；18000kW电动机试验系统历时2年（含5个月试运行）、支持潍柴5000kW试验台并网，填补国内大功率特种动力测试平台EPC技术空白（P8033）；喀什完整社区EPC覆盖7个街道、45个小区、改造便民设施1.46万平方米，是南疆首个牵头标杆EPC（P8033）。四个项目横跨光伏、综合能源、特种工业与城市更新四条赛道，共同点是把设计能力兑现在"性能承诺"上——83.6%的综合能源利用率比行业均值高出十余个百分点（P8033），这才是敢于签性能保证条款、又守得住性能红线的底气；而光伏项目100个历日的极限工期（P8033）说明其毛利配方里还有"快"这一味——工期每压缩一天，资金占用与现场管理成本就少一分。</w:t>
      </w:r>
    </w:p>
    <w:p>
      <w:r>
        <w:rPr>
          <w:rFonts w:ascii="Calibri" w:hAnsi="Calibri" w:eastAsia="微软雅黑"/>
          <w:b w:val="0"/>
          <w:i w:val="0"/>
          <w:sz w:val="22"/>
        </w:rPr>
        <w:t>支撑这套履约的是企业底盘。中机国际创建于1951年（前身为机械工业部第八设计研究院），在职员工2400余人、覆盖30多个专业类别，各类国家注册师及高级专家700余人，拥有机械、建筑、市政、军工、冶金、轻纺、风景园林、环境工程8个行业甲级设计资质以及市政公用工程施工总承包一级、环保工程专业承包一级资质，累计完成20000余项国内外工程设计（P8028；P8033交叉）。技术资产的刻度同样厚实：取得500余项科研成果，获国家科技奖10余项、省部级科技奖数十项、优秀勘察设计奖350余项，拥有专利/专有技术/软著300余项，主/参编国家与行业技术标准240余项（P8028）；多年连续上榜ENR/《建筑时报》"中国工程设计企业60强"（P8028），并主编《低压配电技术标准》（GB/T 50054-2025）、启动中译英工作推动中国标准与IEC国际标准接轨（P8028）。标准出海的意义在毛利端极为直接：谁定义标准，谁的方案在竞标中就是"不可比"的——这是比2.37%（P8034）价差更高级的毛利防御。</w:t>
      </w:r>
    </w:p>
    <w:p>
      <w:r>
        <w:rPr>
          <w:rFonts w:ascii="Calibri" w:hAnsi="Calibri" w:eastAsia="微软雅黑"/>
          <w:b w:val="0"/>
          <w:i w:val="0"/>
          <w:sz w:val="22"/>
        </w:rPr>
        <w:t>更关键的财务基础设施是数智底座：中机国际2023年全面启用用友BIP、落地"1344"数智化框架，把财务核算由收付实现制倒逼升级为权责发生制，将风控规则与国资穿透监管嵌入立项、招投标、采购及资金全流程，解决工程总承包"干完才知道盈亏"的传统阵痛（P8028；P8033交叉）。这条经验的决策价值极高：毛利管理的第一步不是接到好项目，而是先把权责发生制的核算底座立起来——没有它，任何项目的毛利数字都要等项目结束才揭晓，而那时亏损早已既成事实；有了它，月度经营分析才能看见每个项目的毛利偏差，纠偏动作才有时间窗口。</w:t>
      </w:r>
    </w:p>
    <w:p>
      <w:r>
        <w:rPr>
          <w:rFonts w:ascii="Calibri" w:hAnsi="Calibri" w:eastAsia="微软雅黑"/>
          <w:b w:val="0"/>
          <w:i w:val="0"/>
          <w:sz w:val="22"/>
        </w:rPr>
        <w:t>所以呢？毛利端给决策者的四条结论：造价在设计端锁定70%以上（P8034），这是设计院唯一真实的价格护城河；竞价市场上2%的价差敏感度（P8034）要求把设计优化传导到采购与分包环节，否则优势归零；4.52%、60%、10%三条司法红线加结算依据之争（P8034、P8016）意味着投标前必须做最坏情形压力测试；而权责发生制数智底座（P8028）决定了你能在项目中途、而不是竣工结算时知道自己在赚钱还是亏钱。</w:t>
      </w:r>
    </w:p>
    <w:p>
      <w:pPr>
        <w:pStyle w:val="Heading2"/>
      </w:pPr>
      <w:r>
        <w:t>8.3 应收真相：裁判文书里的回款战争</w:t>
      </w:r>
    </w:p>
    <w:p>
      <w:r>
        <w:rPr>
          <w:rFonts w:ascii="Calibri" w:hAnsi="Calibri" w:eastAsia="微软雅黑"/>
          <w:b w:val="0"/>
          <w:i w:val="0"/>
          <w:sz w:val="22"/>
        </w:rPr>
        <w:t>营收与毛利是"纸面富贵"，应收账款才是"落袋为安"。本章弹药库中体量最大的证据群恰好是裁判文书：2008—2021年十四个年份卷宗的EPC相关判决书与裁定书合计129,660篇（own_calc：39＋55＋148＋61＋216＋2170＋5275＋8654＋10763＋11716＋5754＋41550＋42935＋324，各年篇数分别见P8017、P8018、P8011、P8014、P8009、P8008、P8007、P8005、P8004、P8003、P8006、P8002、P8001、P8010）。这串数字本身就是转型企业必须直视的财务环境：工程做完，钱未必回来；回来的时间与比例，往往由法院而非合同决定。</w:t>
      </w:r>
    </w:p>
    <w:p>
      <w:pPr>
        <w:pStyle w:val="Heading3"/>
      </w:pPr>
      <w:r>
        <w:t>8.3.1 体量与走势：从39篇到42,935篇</w:t>
      </w:r>
    </w:p>
    <w:p>
      <w:r>
        <w:rPr>
          <w:rFonts w:ascii="Calibri" w:hAnsi="Calibri" w:eastAsia="微软雅黑"/>
          <w:b w:val="0"/>
          <w:i w:val="0"/>
          <w:sz w:val="22"/>
        </w:rPr>
        <w:t>逐年看，EPC相关裁判文书从2008年的39篇（P8017）、2009年55篇（P8018）、2010年148篇（P8011）、2011年61篇（P8014）、2012年216篇（P8009）、2013年2170篇（P8008）、2014年5275篇（P8007）、2015年8654篇（P8005）、2016年10763篇（P8004）、2017年11716篇（P8003）、2018年5754篇（P8006），跃升至2019年41550篇（P8002）、2020年42935篇（P8001），2021年回落至324篇（P8010）。own_calc：2019＋2020两年合计84,485篇，占十四年总量的约三分之二；峰值年份对基年的量级倍数可由（42935÷39，own_calc，P8001、P8017）复算。需要如实说明：2021年的骤降更可能反映裁判文书公开口径变化而非纠纷降温（P8010），样本的趋势解读应止步于2013—2020年的数量级攀升——而这恰好与总承包放量的时间窗高度重合：判决量从2013年的四位数（2170篇，P8008）到2020年的四万级（42935篇，P8001），与中电工程总承包占比跃迁的年代（2011—2013年放量，P8022）之间是一代合同的履约周期。工程量做到哪里，纠纷就跟进到哪里；应收风险是营收放量的影子。</w:t>
      </w:r>
    </w:p>
    <w:p>
      <w:r>
        <w:rPr>
          <w:rFonts w:ascii="Calibri" w:hAnsi="Calibri" w:eastAsia="微软雅黑"/>
          <w:b w:val="0"/>
          <w:i w:val="0"/>
          <w:sz w:val="22"/>
        </w:rPr>
        <w:t>对财务部门而言，这条曲线的直接用法是校准坏账预期：当行业年新增判决超过四万篇（P8001、P8002），任何"我们业主信用好、不会诉讼"的假设都需要用合同条款而不是感情来支撑。应收管理要按"可能进法院"来做日常准备——证据、节点、函件，一样不能少。</w:t>
      </w:r>
    </w:p>
    <w:p>
      <w:r>
        <w:rPr>
          <w:rFonts w:ascii="Calibri" w:hAnsi="Calibri" w:eastAsia="微软雅黑"/>
          <w:b w:val="0"/>
          <w:i w:val="0"/>
          <w:sz w:val="22"/>
        </w:rPr>
        <w:t>从卷宗结构看，纠纷的全类型分布也已现雏形：管辖裁定（P8001）、一审与二审（P8003、P8004、P8005、P8006、P8007）、再审（P8003、P8008、P8011）、执行（P8002、P8010）、财产保全（P8017）、撤诉（P8002、P8008）——应收一旦逾期，随之而来的是一整条司法流水线，每一站都有时间成本与费用成本，回款金额则在流水线尽头再打一次折。</w:t>
      </w:r>
    </w:p>
    <w:p>
      <w:pPr>
        <w:pStyle w:val="Heading3"/>
      </w:pPr>
      <w:r>
        <w:t>8.3.2 九案画像：欠款的金额、账龄与让步</w:t>
      </w:r>
    </w:p>
    <w:p>
      <w:r>
        <w:rPr>
          <w:rFonts w:ascii="Calibri" w:hAnsi="Calibri" w:eastAsia="微软雅黑"/>
          <w:b w:val="0"/>
          <w:i w:val="0"/>
          <w:sz w:val="22"/>
        </w:rPr>
        <w:t>逐案拆解九份代表性判例（表8-3，各案证据锚见表内，分别对应P8003—P8018各卷），可以看到应收回款的三种典型姿态：拖、抵、让。</w:t>
      </w:r>
    </w:p>
    <w:p>
      <w:r>
        <w:rPr>
          <w:rFonts w:ascii="Calibri" w:hAnsi="Calibri" w:eastAsia="微软雅黑"/>
          <w:b w:val="0"/>
          <w:i w:val="0"/>
          <w:sz w:val="22"/>
        </w:rPr>
        <w:t>表8-3 应收判例画像表</w:t>
      </w:r>
    </w:p>
    <w:tbl>
      <w:tblPr>
        <w:tblStyle w:val="TableGrid"/>
        <w:tblW w:type="auto" w:w="0"/>
        <w:tblLook w:firstColumn="1" w:firstRow="1" w:lastColumn="0" w:lastRow="0" w:noHBand="0" w:noVBand="1" w:val="04A0"/>
      </w:tblPr>
      <w:tblGrid>
        <w:gridCol w:w="1383"/>
        <w:gridCol w:w="1383"/>
        <w:gridCol w:w="1383"/>
        <w:gridCol w:w="1383"/>
        <w:gridCol w:w="1383"/>
        <w:gridCol w:w="1383"/>
      </w:tblGrid>
      <w:tr>
        <w:tc>
          <w:tcPr>
            <w:tcW w:type="dxa" w:w="1383"/>
            <w:shd w:fill="1F3A5F"/>
          </w:tcPr>
          <w:p>
            <w:r>
              <w:rPr>
                <w:color w:val="FFFFFF"/>
              </w:rPr>
            </w:r>
            <w:r>
              <w:rPr>
                <w:rFonts w:ascii="Calibri" w:hAnsi="Calibri" w:eastAsia="微软雅黑"/>
                <w:b/>
                <w:i w:val="0"/>
                <w:color w:val="FFFFFF"/>
                <w:sz w:val="18"/>
              </w:rPr>
              <w:t>案例</w:t>
            </w:r>
          </w:p>
        </w:tc>
        <w:tc>
          <w:tcPr>
            <w:tcW w:type="dxa" w:w="1383"/>
            <w:shd w:fill="1F3A5F"/>
          </w:tcPr>
          <w:p>
            <w:r>
              <w:rPr>
                <w:color w:val="FFFFFF"/>
              </w:rPr>
            </w:r>
            <w:r>
              <w:rPr>
                <w:rFonts w:ascii="Calibri" w:hAnsi="Calibri" w:eastAsia="微软雅黑"/>
                <w:b/>
                <w:i w:val="0"/>
                <w:color w:val="FFFFFF"/>
                <w:sz w:val="18"/>
              </w:rPr>
              <w:t>标的额（元）</w:t>
            </w:r>
          </w:p>
        </w:tc>
        <w:tc>
          <w:tcPr>
            <w:tcW w:type="dxa" w:w="1383"/>
            <w:shd w:fill="1F3A5F"/>
          </w:tcPr>
          <w:p>
            <w:r>
              <w:rPr>
                <w:color w:val="FFFFFF"/>
              </w:rPr>
            </w:r>
            <w:r>
              <w:rPr>
                <w:rFonts w:ascii="Calibri" w:hAnsi="Calibri" w:eastAsia="微软雅黑"/>
                <w:b/>
                <w:i w:val="0"/>
                <w:color w:val="FFFFFF"/>
                <w:sz w:val="18"/>
              </w:rPr>
              <w:t>已收（元）</w:t>
            </w:r>
          </w:p>
        </w:tc>
        <w:tc>
          <w:tcPr>
            <w:tcW w:type="dxa" w:w="1383"/>
            <w:shd w:fill="1F3A5F"/>
          </w:tcPr>
          <w:p>
            <w:r>
              <w:rPr>
                <w:color w:val="FFFFFF"/>
              </w:rPr>
            </w:r>
            <w:r>
              <w:rPr>
                <w:rFonts w:ascii="Calibri" w:hAnsi="Calibri" w:eastAsia="微软雅黑"/>
                <w:b/>
                <w:i w:val="0"/>
                <w:color w:val="FFFFFF"/>
                <w:sz w:val="18"/>
              </w:rPr>
              <w:t>欠额（元）</w:t>
            </w:r>
          </w:p>
        </w:tc>
        <w:tc>
          <w:tcPr>
            <w:tcW w:type="dxa" w:w="1383"/>
            <w:shd w:fill="1F3A5F"/>
          </w:tcPr>
          <w:p>
            <w:r>
              <w:rPr>
                <w:color w:val="FFFFFF"/>
              </w:rPr>
            </w:r>
            <w:r>
              <w:rPr>
                <w:rFonts w:ascii="Calibri" w:hAnsi="Calibri" w:eastAsia="微软雅黑"/>
                <w:b/>
                <w:i w:val="0"/>
                <w:color w:val="FFFFFF"/>
                <w:sz w:val="18"/>
              </w:rPr>
              <w:t>关键细节</w:t>
            </w:r>
          </w:p>
        </w:tc>
        <w:tc>
          <w:tcPr>
            <w:tcW w:type="dxa" w:w="1383"/>
            <w:shd w:fill="1F3A5F"/>
          </w:tcPr>
          <w:p>
            <w:r>
              <w:rPr>
                <w:color w:val="FFFFFF"/>
              </w:rPr>
            </w:r>
            <w:r>
              <w:rPr>
                <w:rFonts w:ascii="Calibri" w:hAnsi="Calibri" w:eastAsia="微软雅黑"/>
                <w:b/>
                <w:i w:val="0"/>
                <w:color w:val="FFFFFF"/>
                <w:sz w:val="18"/>
              </w:rPr>
              <w:t>锚</w:t>
            </w:r>
          </w:p>
        </w:tc>
      </w:tr>
      <w:tr>
        <w:tc>
          <w:tcPr>
            <w:tcW w:type="dxa" w:w="1383"/>
          </w:tcPr>
          <w:p>
            <w:r/>
            <w:r>
              <w:rPr>
                <w:rFonts w:ascii="Calibri" w:hAnsi="Calibri" w:eastAsia="微软雅黑"/>
                <w:b w:val="0"/>
                <w:i w:val="0"/>
                <w:sz w:val="18"/>
              </w:rPr>
              <w:t>河南汇河v灵山国诚</w:t>
            </w:r>
          </w:p>
        </w:tc>
        <w:tc>
          <w:tcPr>
            <w:tcW w:type="dxa" w:w="1383"/>
          </w:tcPr>
          <w:p>
            <w:r/>
            <w:r>
              <w:rPr>
                <w:rFonts w:ascii="Calibri" w:hAnsi="Calibri" w:eastAsia="微软雅黑"/>
                <w:b w:val="0"/>
                <w:i w:val="0"/>
                <w:sz w:val="18"/>
              </w:rPr>
              <w:t>四项工程8,902,476.4＋结算单12,702,400＋零星1,017,870</w:t>
            </w:r>
          </w:p>
        </w:tc>
        <w:tc>
          <w:tcPr>
            <w:tcW w:type="dxa" w:w="1383"/>
          </w:tcPr>
          <w:p>
            <w:r/>
            <w:r>
              <w:rPr>
                <w:rFonts w:ascii="Calibri" w:hAnsi="Calibri" w:eastAsia="微软雅黑"/>
                <w:b w:val="0"/>
                <w:i w:val="0"/>
                <w:sz w:val="18"/>
              </w:rPr>
              <w:t>7,432,708</w:t>
            </w:r>
          </w:p>
        </w:tc>
        <w:tc>
          <w:tcPr>
            <w:tcW w:type="dxa" w:w="1383"/>
          </w:tcPr>
          <w:p>
            <w:r/>
            <w:r>
              <w:rPr>
                <w:rFonts w:ascii="Calibri" w:hAnsi="Calibri" w:eastAsia="微软雅黑"/>
                <w:b w:val="0"/>
                <w:i w:val="0"/>
                <w:sz w:val="18"/>
              </w:rPr>
              <w:t>15,190,038.4</w:t>
            </w:r>
          </w:p>
        </w:tc>
        <w:tc>
          <w:tcPr>
            <w:tcW w:type="dxa" w:w="1383"/>
          </w:tcPr>
          <w:p>
            <w:r/>
            <w:r>
              <w:rPr>
                <w:rFonts w:ascii="Calibri" w:hAnsi="Calibri" w:eastAsia="微软雅黑"/>
                <w:b w:val="0"/>
                <w:i w:val="0"/>
                <w:sz w:val="18"/>
              </w:rPr>
              <w:t>原告放弃2,487,638.4元只诉12,702,400元</w:t>
            </w:r>
          </w:p>
        </w:tc>
        <w:tc>
          <w:tcPr>
            <w:tcW w:type="dxa" w:w="1383"/>
          </w:tcPr>
          <w:p>
            <w:r/>
            <w:r>
              <w:rPr>
                <w:rFonts w:ascii="Calibri" w:hAnsi="Calibri" w:eastAsia="微软雅黑"/>
                <w:b w:val="0"/>
                <w:i w:val="0"/>
                <w:sz w:val="18"/>
              </w:rPr>
              <w:t>P8004</w:t>
            </w:r>
          </w:p>
        </w:tc>
      </w:tr>
      <w:tr>
        <w:tc>
          <w:tcPr>
            <w:tcW w:type="dxa" w:w="1383"/>
          </w:tcPr>
          <w:p>
            <w:r/>
            <w:r>
              <w:rPr>
                <w:rFonts w:ascii="Calibri" w:hAnsi="Calibri" w:eastAsia="微软雅黑"/>
                <w:b w:val="0"/>
                <w:i w:val="0"/>
                <w:sz w:val="18"/>
              </w:rPr>
              <w:t>荣城建安v水木龙江置业</w:t>
            </w:r>
          </w:p>
        </w:tc>
        <w:tc>
          <w:tcPr>
            <w:tcW w:type="dxa" w:w="1383"/>
          </w:tcPr>
          <w:p>
            <w:r/>
            <w:r>
              <w:rPr>
                <w:rFonts w:ascii="Calibri" w:hAnsi="Calibri" w:eastAsia="微软雅黑"/>
                <w:b w:val="0"/>
                <w:i w:val="0"/>
                <w:sz w:val="18"/>
              </w:rPr>
              <w:t>决算5,847,961.15</w:t>
            </w:r>
          </w:p>
        </w:tc>
        <w:tc>
          <w:tcPr>
            <w:tcW w:type="dxa" w:w="1383"/>
          </w:tcPr>
          <w:p>
            <w:r/>
            <w:r>
              <w:rPr>
                <w:rFonts w:ascii="Calibri" w:hAnsi="Calibri" w:eastAsia="微软雅黑"/>
                <w:b w:val="0"/>
                <w:i w:val="0"/>
                <w:sz w:val="18"/>
              </w:rPr>
              <w:t>3,698,000＋房抵697,707</w:t>
            </w:r>
          </w:p>
        </w:tc>
        <w:tc>
          <w:tcPr>
            <w:tcW w:type="dxa" w:w="1383"/>
          </w:tcPr>
          <w:p>
            <w:r/>
            <w:r>
              <w:rPr>
                <w:rFonts w:ascii="Calibri" w:hAnsi="Calibri" w:eastAsia="微软雅黑"/>
                <w:b w:val="0"/>
                <w:i w:val="0"/>
                <w:sz w:val="18"/>
              </w:rPr>
              <w:t>1,469,961.15＋违约金187,143.88</w:t>
            </w:r>
          </w:p>
        </w:tc>
        <w:tc>
          <w:tcPr>
            <w:tcW w:type="dxa" w:w="1383"/>
          </w:tcPr>
          <w:p>
            <w:r/>
            <w:r>
              <w:rPr>
                <w:rFonts w:ascii="Calibri" w:hAnsi="Calibri" w:eastAsia="微软雅黑"/>
                <w:b w:val="0"/>
                <w:i w:val="0"/>
                <w:sz w:val="18"/>
              </w:rPr>
              <w:t>对方反诉维修费294,620.28</w:t>
            </w:r>
          </w:p>
        </w:tc>
        <w:tc>
          <w:tcPr>
            <w:tcW w:type="dxa" w:w="1383"/>
          </w:tcPr>
          <w:p>
            <w:r/>
            <w:r>
              <w:rPr>
                <w:rFonts w:ascii="Calibri" w:hAnsi="Calibri" w:eastAsia="微软雅黑"/>
                <w:b w:val="0"/>
                <w:i w:val="0"/>
                <w:sz w:val="18"/>
              </w:rPr>
              <w:t>P8014</w:t>
            </w:r>
          </w:p>
        </w:tc>
      </w:tr>
      <w:tr>
        <w:tc>
          <w:tcPr>
            <w:tcW w:type="dxa" w:w="1383"/>
          </w:tcPr>
          <w:p>
            <w:r/>
            <w:r>
              <w:rPr>
                <w:rFonts w:ascii="Calibri" w:hAnsi="Calibri" w:eastAsia="微软雅黑"/>
                <w:b w:val="0"/>
                <w:i w:val="0"/>
                <w:sz w:val="18"/>
              </w:rPr>
              <w:t>上海锦都v浙江松尚</w:t>
            </w:r>
          </w:p>
        </w:tc>
        <w:tc>
          <w:tcPr>
            <w:tcW w:type="dxa" w:w="1383"/>
          </w:tcPr>
          <w:p>
            <w:r/>
            <w:r>
              <w:rPr>
                <w:rFonts w:ascii="Calibri" w:hAnsi="Calibri" w:eastAsia="微软雅黑"/>
                <w:b w:val="0"/>
                <w:i w:val="0"/>
                <w:sz w:val="18"/>
              </w:rPr>
              <w:t>合同21,000,000</w:t>
            </w:r>
          </w:p>
        </w:tc>
        <w:tc>
          <w:tcPr>
            <w:tcW w:type="dxa" w:w="1383"/>
          </w:tcPr>
          <w:p>
            <w:r/>
            <w:r>
              <w:rPr>
                <w:rFonts w:ascii="Calibri" w:hAnsi="Calibri" w:eastAsia="微软雅黑"/>
                <w:b w:val="0"/>
                <w:i w:val="0"/>
                <w:sz w:val="18"/>
              </w:rPr>
              <w:t>18,600,000＋1,450,000</w:t>
            </w:r>
          </w:p>
        </w:tc>
        <w:tc>
          <w:tcPr>
            <w:tcW w:type="dxa" w:w="1383"/>
          </w:tcPr>
          <w:p>
            <w:r/>
            <w:r>
              <w:rPr>
                <w:rFonts w:ascii="Calibri" w:hAnsi="Calibri" w:eastAsia="微软雅黑"/>
                <w:b w:val="0"/>
                <w:i w:val="0"/>
                <w:sz w:val="18"/>
              </w:rPr>
              <w:t>1,050,000</w:t>
            </w:r>
          </w:p>
        </w:tc>
        <w:tc>
          <w:tcPr>
            <w:tcW w:type="dxa" w:w="1383"/>
          </w:tcPr>
          <w:p>
            <w:r/>
            <w:r>
              <w:rPr>
                <w:rFonts w:ascii="Calibri" w:hAnsi="Calibri" w:eastAsia="微软雅黑"/>
                <w:b w:val="0"/>
                <w:i w:val="0"/>
                <w:sz w:val="18"/>
              </w:rPr>
              <w:t>再付款中100,000元系合同外</w:t>
            </w:r>
          </w:p>
        </w:tc>
        <w:tc>
          <w:tcPr>
            <w:tcW w:type="dxa" w:w="1383"/>
          </w:tcPr>
          <w:p>
            <w:r/>
            <w:r>
              <w:rPr>
                <w:rFonts w:ascii="Calibri" w:hAnsi="Calibri" w:eastAsia="微软雅黑"/>
                <w:b w:val="0"/>
                <w:i w:val="0"/>
                <w:sz w:val="18"/>
              </w:rPr>
              <w:t>P8017</w:t>
            </w:r>
          </w:p>
        </w:tc>
      </w:tr>
      <w:tr>
        <w:tc>
          <w:tcPr>
            <w:tcW w:type="dxa" w:w="1383"/>
          </w:tcPr>
          <w:p>
            <w:r/>
            <w:r>
              <w:rPr>
                <w:rFonts w:ascii="Calibri" w:hAnsi="Calibri" w:eastAsia="微软雅黑"/>
                <w:b w:val="0"/>
                <w:i w:val="0"/>
                <w:sz w:val="18"/>
              </w:rPr>
              <w:t>刘春新v新乡一建等</w:t>
            </w:r>
          </w:p>
        </w:tc>
        <w:tc>
          <w:tcPr>
            <w:tcW w:type="dxa" w:w="1383"/>
          </w:tcPr>
          <w:p>
            <w:r/>
            <w:r>
              <w:rPr>
                <w:rFonts w:ascii="Calibri" w:hAnsi="Calibri" w:eastAsia="微软雅黑"/>
                <w:b w:val="0"/>
                <w:i w:val="0"/>
                <w:sz w:val="18"/>
              </w:rPr>
              <w:t>315,628</w:t>
            </w:r>
          </w:p>
        </w:tc>
        <w:tc>
          <w:tcPr>
            <w:tcW w:type="dxa" w:w="1383"/>
          </w:tcPr>
          <w:p>
            <w:r/>
            <w:r>
              <w:rPr>
                <w:rFonts w:ascii="Calibri" w:hAnsi="Calibri" w:eastAsia="微软雅黑"/>
                <w:b w:val="0"/>
                <w:i w:val="0"/>
                <w:sz w:val="18"/>
              </w:rPr>
              <w:t>40,000</w:t>
            </w:r>
          </w:p>
        </w:tc>
        <w:tc>
          <w:tcPr>
            <w:tcW w:type="dxa" w:w="1383"/>
          </w:tcPr>
          <w:p>
            <w:r/>
            <w:r>
              <w:rPr>
                <w:rFonts w:ascii="Calibri" w:hAnsi="Calibri" w:eastAsia="微软雅黑"/>
                <w:b w:val="0"/>
                <w:i w:val="0"/>
                <w:sz w:val="18"/>
              </w:rPr>
              <w:t>欠条275,000</w:t>
            </w:r>
          </w:p>
        </w:tc>
        <w:tc>
          <w:tcPr>
            <w:tcW w:type="dxa" w:w="1383"/>
          </w:tcPr>
          <w:p>
            <w:r/>
            <w:r>
              <w:rPr>
                <w:rFonts w:ascii="Calibri" w:hAnsi="Calibri" w:eastAsia="微软雅黑"/>
                <w:b w:val="0"/>
                <w:i w:val="0"/>
                <w:sz w:val="18"/>
              </w:rPr>
              <w:t>主合同明示"本工程不允许分包"</w:t>
            </w:r>
          </w:p>
        </w:tc>
        <w:tc>
          <w:tcPr>
            <w:tcW w:type="dxa" w:w="1383"/>
          </w:tcPr>
          <w:p>
            <w:r/>
            <w:r>
              <w:rPr>
                <w:rFonts w:ascii="Calibri" w:hAnsi="Calibri" w:eastAsia="微软雅黑"/>
                <w:b w:val="0"/>
                <w:i w:val="0"/>
                <w:sz w:val="18"/>
              </w:rPr>
              <w:t>P8005</w:t>
            </w:r>
          </w:p>
        </w:tc>
      </w:tr>
      <w:tr>
        <w:tc>
          <w:tcPr>
            <w:tcW w:type="dxa" w:w="1383"/>
          </w:tcPr>
          <w:p>
            <w:r/>
            <w:r>
              <w:rPr>
                <w:rFonts w:ascii="Calibri" w:hAnsi="Calibri" w:eastAsia="微软雅黑"/>
                <w:b w:val="0"/>
                <w:i w:val="0"/>
                <w:sz w:val="18"/>
              </w:rPr>
              <w:t>王卓成v浙江引拓</w:t>
            </w:r>
          </w:p>
        </w:tc>
        <w:tc>
          <w:tcPr>
            <w:tcW w:type="dxa" w:w="1383"/>
          </w:tcPr>
          <w:p>
            <w:r/>
            <w:r>
              <w:rPr>
                <w:rFonts w:ascii="Calibri" w:hAnsi="Calibri" w:eastAsia="微软雅黑"/>
                <w:b w:val="0"/>
                <w:i w:val="0"/>
                <w:sz w:val="18"/>
              </w:rPr>
              <w:t>769,734（含税100,400）</w:t>
            </w:r>
          </w:p>
        </w:tc>
        <w:tc>
          <w:tcPr>
            <w:tcW w:type="dxa" w:w="1383"/>
          </w:tcPr>
          <w:p>
            <w:r/>
            <w:r>
              <w:rPr>
                <w:rFonts w:ascii="Calibri" w:hAnsi="Calibri" w:eastAsia="微软雅黑"/>
                <w:b w:val="0"/>
                <w:i w:val="0"/>
                <w:sz w:val="18"/>
              </w:rPr>
              <w:t>720,000</w:t>
            </w:r>
          </w:p>
        </w:tc>
        <w:tc>
          <w:tcPr>
            <w:tcW w:type="dxa" w:w="1383"/>
          </w:tcPr>
          <w:p>
            <w:r/>
            <w:r>
              <w:rPr>
                <w:rFonts w:ascii="Calibri" w:hAnsi="Calibri" w:eastAsia="微软雅黑"/>
                <w:b w:val="0"/>
                <w:i w:val="0"/>
                <w:sz w:val="18"/>
              </w:rPr>
              <w:t>税金之争败诉</w:t>
            </w:r>
          </w:p>
        </w:tc>
        <w:tc>
          <w:tcPr>
            <w:tcW w:type="dxa" w:w="1383"/>
          </w:tcPr>
          <w:p>
            <w:r/>
            <w:r>
              <w:rPr>
                <w:rFonts w:ascii="Calibri" w:hAnsi="Calibri" w:eastAsia="微软雅黑"/>
                <w:b w:val="0"/>
                <w:i w:val="0"/>
                <w:sz w:val="18"/>
              </w:rPr>
              <w:t>再审驳回、无需再付</w:t>
            </w:r>
          </w:p>
        </w:tc>
        <w:tc>
          <w:tcPr>
            <w:tcW w:type="dxa" w:w="1383"/>
          </w:tcPr>
          <w:p>
            <w:r/>
            <w:r>
              <w:rPr>
                <w:rFonts w:ascii="Calibri" w:hAnsi="Calibri" w:eastAsia="微软雅黑"/>
                <w:b w:val="0"/>
                <w:i w:val="0"/>
                <w:sz w:val="18"/>
              </w:rPr>
              <w:t>P8003</w:t>
            </w:r>
          </w:p>
        </w:tc>
      </w:tr>
      <w:tr>
        <w:tc>
          <w:tcPr>
            <w:tcW w:type="dxa" w:w="1383"/>
          </w:tcPr>
          <w:p>
            <w:r/>
            <w:r>
              <w:rPr>
                <w:rFonts w:ascii="Calibri" w:hAnsi="Calibri" w:eastAsia="微软雅黑"/>
                <w:b w:val="0"/>
                <w:i w:val="0"/>
                <w:sz w:val="18"/>
              </w:rPr>
              <w:t>林鸣v中铁六局项目部</w:t>
            </w:r>
          </w:p>
        </w:tc>
        <w:tc>
          <w:tcPr>
            <w:tcW w:type="dxa" w:w="1383"/>
          </w:tcPr>
          <w:p>
            <w:r/>
            <w:r>
              <w:rPr>
                <w:rFonts w:ascii="Calibri" w:hAnsi="Calibri" w:eastAsia="微软雅黑"/>
                <w:b w:val="0"/>
                <w:i w:val="0"/>
                <w:sz w:val="18"/>
              </w:rPr>
              <w:t>租金246,254</w:t>
            </w:r>
          </w:p>
        </w:tc>
        <w:tc>
          <w:tcPr>
            <w:tcW w:type="dxa" w:w="1383"/>
          </w:tcPr>
          <w:p>
            <w:r/>
            <w:r>
              <w:rPr>
                <w:rFonts w:ascii="Calibri" w:hAnsi="Calibri" w:eastAsia="微软雅黑"/>
                <w:b w:val="0"/>
                <w:i w:val="0"/>
                <w:sz w:val="18"/>
              </w:rPr>
              <w:t>146,254</w:t>
            </w:r>
          </w:p>
        </w:tc>
        <w:tc>
          <w:tcPr>
            <w:tcW w:type="dxa" w:w="1383"/>
          </w:tcPr>
          <w:p>
            <w:r/>
            <w:r>
              <w:rPr>
                <w:rFonts w:ascii="Calibri" w:hAnsi="Calibri" w:eastAsia="微软雅黑"/>
                <w:b w:val="0"/>
                <w:i w:val="0"/>
                <w:sz w:val="18"/>
              </w:rPr>
              <w:t>100,000</w:t>
            </w:r>
          </w:p>
        </w:tc>
        <w:tc>
          <w:tcPr>
            <w:tcW w:type="dxa" w:w="1383"/>
          </w:tcPr>
          <w:p>
            <w:r/>
            <w:r>
              <w:rPr>
                <w:rFonts w:ascii="Calibri" w:hAnsi="Calibri" w:eastAsia="微软雅黑"/>
                <w:b w:val="0"/>
                <w:i w:val="0"/>
                <w:sz w:val="18"/>
              </w:rPr>
              <w:t>被告以225万元劳务费发票为付款对价</w:t>
            </w:r>
          </w:p>
        </w:tc>
        <w:tc>
          <w:tcPr>
            <w:tcW w:type="dxa" w:w="1383"/>
          </w:tcPr>
          <w:p>
            <w:r/>
            <w:r>
              <w:rPr>
                <w:rFonts w:ascii="Calibri" w:hAnsi="Calibri" w:eastAsia="微软雅黑"/>
                <w:b w:val="0"/>
                <w:i w:val="0"/>
                <w:sz w:val="18"/>
              </w:rPr>
              <w:t>P8007</w:t>
            </w:r>
          </w:p>
        </w:tc>
      </w:tr>
      <w:tr>
        <w:tc>
          <w:tcPr>
            <w:tcW w:type="dxa" w:w="1383"/>
          </w:tcPr>
          <w:p>
            <w:r/>
            <w:r>
              <w:rPr>
                <w:rFonts w:ascii="Calibri" w:hAnsi="Calibri" w:eastAsia="微软雅黑"/>
                <w:b w:val="0"/>
                <w:i w:val="0"/>
                <w:sz w:val="18"/>
              </w:rPr>
              <w:t>田某等v王某某等</w:t>
            </w:r>
          </w:p>
        </w:tc>
        <w:tc>
          <w:tcPr>
            <w:tcW w:type="dxa" w:w="1383"/>
          </w:tcPr>
          <w:p>
            <w:r/>
            <w:r>
              <w:rPr>
                <w:rFonts w:ascii="Calibri" w:hAnsi="Calibri" w:eastAsia="微软雅黑"/>
                <w:b w:val="0"/>
                <w:i w:val="0"/>
                <w:sz w:val="18"/>
              </w:rPr>
              <w:t>堡坎约222,415.2（own_calc：280元/m³×约794m³）</w:t>
            </w:r>
          </w:p>
        </w:tc>
        <w:tc>
          <w:tcPr>
            <w:tcW w:type="dxa" w:w="1383"/>
          </w:tcPr>
          <w:p>
            <w:r/>
            <w:r>
              <w:rPr>
                <w:rFonts w:ascii="Calibri" w:hAnsi="Calibri" w:eastAsia="微软雅黑"/>
                <w:b w:val="0"/>
                <w:i w:val="0"/>
                <w:sz w:val="18"/>
              </w:rPr>
              <w:t>40,000</w:t>
            </w:r>
          </w:p>
        </w:tc>
        <w:tc>
          <w:tcPr>
            <w:tcW w:type="dxa" w:w="1383"/>
          </w:tcPr>
          <w:p>
            <w:r/>
            <w:r>
              <w:rPr>
                <w:rFonts w:ascii="Calibri" w:hAnsi="Calibri" w:eastAsia="微软雅黑"/>
                <w:b w:val="0"/>
                <w:i w:val="0"/>
                <w:sz w:val="18"/>
              </w:rPr>
              <w:t>182,415.2</w:t>
            </w:r>
          </w:p>
        </w:tc>
        <w:tc>
          <w:tcPr>
            <w:tcW w:type="dxa" w:w="1383"/>
          </w:tcPr>
          <w:p>
            <w:r/>
            <w:r>
              <w:rPr>
                <w:rFonts w:ascii="Calibri" w:hAnsi="Calibri" w:eastAsia="微软雅黑"/>
                <w:b w:val="0"/>
                <w:i w:val="0"/>
                <w:sz w:val="18"/>
              </w:rPr>
              <w:t>口头协议、无书面合同</w:t>
            </w:r>
          </w:p>
        </w:tc>
        <w:tc>
          <w:tcPr>
            <w:tcW w:type="dxa" w:w="1383"/>
          </w:tcPr>
          <w:p>
            <w:r/>
            <w:r>
              <w:rPr>
                <w:rFonts w:ascii="Calibri" w:hAnsi="Calibri" w:eastAsia="微软雅黑"/>
                <w:b w:val="0"/>
                <w:i w:val="0"/>
                <w:sz w:val="18"/>
              </w:rPr>
              <w:t>P8006</w:t>
            </w:r>
          </w:p>
        </w:tc>
      </w:tr>
      <w:tr>
        <w:tc>
          <w:tcPr>
            <w:tcW w:type="dxa" w:w="1383"/>
          </w:tcPr>
          <w:p>
            <w:r/>
            <w:r>
              <w:rPr>
                <w:rFonts w:ascii="Calibri" w:hAnsi="Calibri" w:eastAsia="微软雅黑"/>
                <w:b w:val="0"/>
                <w:i w:val="0"/>
                <w:sz w:val="18"/>
              </w:rPr>
              <w:t>陈松何v余建盛</w:t>
            </w:r>
          </w:p>
        </w:tc>
        <w:tc>
          <w:tcPr>
            <w:tcW w:type="dxa" w:w="1383"/>
          </w:tcPr>
          <w:p>
            <w:r/>
            <w:r>
              <w:rPr>
                <w:rFonts w:ascii="Calibri" w:hAnsi="Calibri" w:eastAsia="微软雅黑"/>
                <w:b w:val="0"/>
                <w:i w:val="0"/>
                <w:sz w:val="18"/>
              </w:rPr>
              <w:t>62,100</w:t>
            </w:r>
          </w:p>
        </w:tc>
        <w:tc>
          <w:tcPr>
            <w:tcW w:type="dxa" w:w="1383"/>
          </w:tcPr>
          <w:p>
            <w:r/>
            <w:r>
              <w:rPr>
                <w:rFonts w:ascii="Calibri" w:hAnsi="Calibri" w:eastAsia="微软雅黑"/>
                <w:b w:val="0"/>
                <w:i w:val="0"/>
                <w:sz w:val="18"/>
              </w:rPr>
              <w:t>0</w:t>
            </w:r>
          </w:p>
        </w:tc>
        <w:tc>
          <w:tcPr>
            <w:tcW w:type="dxa" w:w="1383"/>
          </w:tcPr>
          <w:p>
            <w:r/>
            <w:r>
              <w:rPr>
                <w:rFonts w:ascii="Calibri" w:hAnsi="Calibri" w:eastAsia="微软雅黑"/>
                <w:b w:val="0"/>
                <w:i w:val="0"/>
                <w:sz w:val="18"/>
              </w:rPr>
              <w:t>62,100</w:t>
            </w:r>
          </w:p>
        </w:tc>
        <w:tc>
          <w:tcPr>
            <w:tcW w:type="dxa" w:w="1383"/>
          </w:tcPr>
          <w:p>
            <w:r/>
            <w:r>
              <w:rPr>
                <w:rFonts w:ascii="Calibri" w:hAnsi="Calibri" w:eastAsia="微软雅黑"/>
                <w:b w:val="0"/>
                <w:i w:val="0"/>
                <w:sz w:val="18"/>
              </w:rPr>
              <w:t>付款协议确认后仍分文未付</w:t>
            </w:r>
          </w:p>
        </w:tc>
        <w:tc>
          <w:tcPr>
            <w:tcW w:type="dxa" w:w="1383"/>
          </w:tcPr>
          <w:p>
            <w:r/>
            <w:r>
              <w:rPr>
                <w:rFonts w:ascii="Calibri" w:hAnsi="Calibri" w:eastAsia="微软雅黑"/>
                <w:b w:val="0"/>
                <w:i w:val="0"/>
                <w:sz w:val="18"/>
              </w:rPr>
              <w:t>P8009</w:t>
            </w:r>
          </w:p>
        </w:tc>
      </w:tr>
      <w:tr>
        <w:tc>
          <w:tcPr>
            <w:tcW w:type="dxa" w:w="1383"/>
          </w:tcPr>
          <w:p>
            <w:r/>
            <w:r>
              <w:rPr>
                <w:rFonts w:ascii="Calibri" w:hAnsi="Calibri" w:eastAsia="微软雅黑"/>
                <w:b w:val="0"/>
                <w:i w:val="0"/>
                <w:sz w:val="18"/>
              </w:rPr>
              <w:t>宁波华光v恒广电器</w:t>
            </w:r>
          </w:p>
        </w:tc>
        <w:tc>
          <w:tcPr>
            <w:tcW w:type="dxa" w:w="1383"/>
          </w:tcPr>
          <w:p>
            <w:r/>
            <w:r>
              <w:rPr>
                <w:rFonts w:ascii="Calibri" w:hAnsi="Calibri" w:eastAsia="微软雅黑"/>
                <w:b w:val="0"/>
                <w:i w:val="0"/>
                <w:sz w:val="18"/>
              </w:rPr>
              <w:t>监理费566,160（86,160＋60,000×8）</w:t>
            </w:r>
          </w:p>
        </w:tc>
        <w:tc>
          <w:tcPr>
            <w:tcW w:type="dxa" w:w="1383"/>
          </w:tcPr>
          <w:p>
            <w:r/>
            <w:r>
              <w:rPr>
                <w:rFonts w:ascii="Calibri" w:hAnsi="Calibri" w:eastAsia="微软雅黑"/>
                <w:b w:val="0"/>
                <w:i w:val="0"/>
                <w:sz w:val="18"/>
              </w:rPr>
              <w:t>120,000</w:t>
            </w:r>
          </w:p>
        </w:tc>
        <w:tc>
          <w:tcPr>
            <w:tcW w:type="dxa" w:w="1383"/>
          </w:tcPr>
          <w:p>
            <w:r/>
            <w:r>
              <w:rPr>
                <w:rFonts w:ascii="Calibri" w:hAnsi="Calibri" w:eastAsia="微软雅黑"/>
                <w:b w:val="0"/>
                <w:i w:val="0"/>
                <w:sz w:val="18"/>
              </w:rPr>
              <w:t>诉请442,160（原主张446,160）</w:t>
            </w:r>
          </w:p>
        </w:tc>
        <w:tc>
          <w:tcPr>
            <w:tcW w:type="dxa" w:w="1383"/>
          </w:tcPr>
          <w:p>
            <w:r/>
            <w:r>
              <w:rPr>
                <w:rFonts w:ascii="Calibri" w:hAnsi="Calibri" w:eastAsia="微软雅黑"/>
                <w:b w:val="0"/>
                <w:i w:val="0"/>
                <w:sz w:val="18"/>
              </w:rPr>
              <w:t>业主金融危机中失联</w:t>
            </w:r>
          </w:p>
        </w:tc>
        <w:tc>
          <w:tcPr>
            <w:tcW w:type="dxa" w:w="1383"/>
          </w:tcPr>
          <w:p>
            <w:r/>
            <w:r>
              <w:rPr>
                <w:rFonts w:ascii="Calibri" w:hAnsi="Calibri" w:eastAsia="微软雅黑"/>
                <w:b w:val="0"/>
                <w:i w:val="0"/>
                <w:sz w:val="18"/>
              </w:rPr>
              <w:t>P8018</w:t>
            </w:r>
          </w:p>
        </w:tc>
      </w:tr>
    </w:tbl>
    <w:p>
      <w:r>
        <w:rPr>
          <w:rFonts w:ascii="Calibri" w:hAnsi="Calibri" w:eastAsia="微软雅黑"/>
          <w:b w:val="0"/>
          <w:i w:val="0"/>
          <w:sz w:val="22"/>
        </w:rPr>
        <w:t>第一种姿态是"拖"。灵山国诚案中，2013年12月3日签订温泉假山工程合同（按钢丝网片面积188元/㎡）、2014年1月23日补充签订温泉汤池合同（按投影面积2000元/㎡）、2014年11月工程全部完工交付（P8004）；四项工程（温泉假山、水上娱乐园假山、5D电影院、捉鱼城）总造价8,902,476.4元，施工期间及此后累计仅收到7,432,708元（P8004）。own_calc：1469768＋12,702,400＋1,017,870，与原告主张的总欠款15190038.4元基本吻合（P8004）——其中12,702,400元来自2014年11月18日与2015年5月22日两份结算单确认的温泉汤池、马车屋、树屋及23项零星工程，另有12项零星工程总造价1,017,870元始终未经结算（P8004）。更值得决策者注意的是结尾：原告"只主张"两份结算单确认的12,702,400元，自行放弃2,487,638.4元（P8004）——own_calc：被放弃的2,487,638.4元由四项工程未付尾款1469768元与未结算零星工程1,017,870元构成（P8004）。为什么放弃？因为被告"无力支付欠付全部工程款"（P8004）。这就是应收账款的残酷算术：当业主偿付能力见底，胜诉标的越大越像废纸，债权人只能切一块"判得动、执得行"的部分；而未经结算的部分连主张的底气都没有——结算单就是应收的产权证。</w:t>
      </w:r>
    </w:p>
    <w:p>
      <w:r>
        <w:rPr>
          <w:rFonts w:ascii="Calibri" w:hAnsi="Calibri" w:eastAsia="微软雅黑"/>
          <w:b w:val="0"/>
          <w:i w:val="0"/>
          <w:sz w:val="22"/>
        </w:rPr>
        <w:t>账龄之长更超出一般预期。荣成案2006年5月1日签约、2007年5月20日竣工、2008年6月4日决算、2011年12月才等到一审判决（P8014）——own_calc：从签约到判决约5年7个月；而这还不是终点，被告同时反诉维修费294,620.28元（已修145,585.88元＋尚须修理149,034.40元），并主张按银行同期贷款利息计付违约金（P8014）——应收债权与质量反诉负债对冲，落袋金额再打折。给决策者的换算：一笔决算总价5847961.15元的工程款（P8014），即便全胜，五年半后能收回多少，要用贴现率算过才知道；若按五年期贷款利率水平贴现，现值损失足以吃掉一个中型项目的全部毛利。另需注意该案合同的付款阶梯——形象进度65%、80%、95%三档加5%质保金（P8014）：二十年前的DBB合同已有完整阶梯，但阶梯挡不住业主资金链断裂；节点设计的有效性最终取决于业主的支付能力，而非条款本身的精巧。</w:t>
      </w:r>
    </w:p>
    <w:p>
      <w:r>
        <w:rPr>
          <w:rFonts w:ascii="Calibri" w:hAnsi="Calibri" w:eastAsia="微软雅黑"/>
          <w:b w:val="0"/>
          <w:i w:val="0"/>
          <w:sz w:val="22"/>
        </w:rPr>
        <w:t>第二种姿态是"抵"。荣成案中双方于2008年1月9日的付款协议约定：确认已付3,698,000元、协议签订之日再付50万元、另以3套住宅抵顶工程款697,707元，剩余款项扣除5%质量保修金后于决算定案之日起15日内支付（P8014）——以物抵债在工程结算中普遍存在，但物业变现能力、过户障碍都会让"抵"出来的应收再次缩水；该案被告恰恰因为政府未给土地指标而无法在2010年6月底前办理过户，触发"退房＋付款＋利息"的二次违约条款（P8014）。以物抵债不是回款，是把流动性风险换成了不动产风险——而且是在一个连业主都办不下产权证的市场里。</w:t>
      </w:r>
    </w:p>
    <w:p>
      <w:r>
        <w:rPr>
          <w:rFonts w:ascii="Calibri" w:hAnsi="Calibri" w:eastAsia="微软雅黑"/>
          <w:b w:val="0"/>
          <w:i w:val="0"/>
          <w:sz w:val="22"/>
        </w:rPr>
        <w:t>第三种姿态是"让"。上海锦都案中，2006年4月21日签订总价2100万元的施工合同，2008年2月18日补充协议确认已付1860万元、剩余240万元未付；此后再收145万元（其中10万元系与2100万元无关的合同外款项），至2008年11月3日起诉仍欠105万元（P8017）——own_calc：240－（145－10）＝105万元。竣工近两年，5%的尾巴款依然要靠诉讼去追（P8017）。5%的尾款占比与EPC质保金安排（P8033）几乎同构——说明无论模式新旧，最后5%永远是应收管理的Hard模式，尾款的清收成本要在投标测算时预先计入。</w:t>
      </w:r>
    </w:p>
    <w:p>
      <w:r>
        <w:rPr>
          <w:rFonts w:ascii="Calibri" w:hAnsi="Calibri" w:eastAsia="微软雅黑"/>
          <w:b w:val="0"/>
          <w:i w:val="0"/>
          <w:sz w:val="22"/>
        </w:rPr>
        <w:t>小标的案件同样各有教训。新乡一建案中，三浦公司与一建公司2012年5月25日、10月15日签订的两份施工合同均在专用条款中约定"本工程不允许分包"，一建公司工作人员仍于2013年5月31日以公司名义将铝合金窗工程分包给个人，完工核算价款315,628元、仅付40,000元，留下2015年5月21日出具的275,000元欠条（P8005）——违法分包链条上的每一环，最后都会变成应收坏账与连带责任，而且"不允许分包"的合同条款挡不住内部人的私章（P8005）。浙江引拓案则警示结算口径：涉案工程款769,734元含税金100,400元（工程造价咨询报告书核定税金亦为100,400元），承包人自认已收72万元（2015年1月27日前57万元＋2016年3月10日15万元），再审法院认定其未提供税务发票等证据证明税金损失确已产生，驳回再审、认定无需再付（P8003）——不含税标的与已收款的对比可由（769734÷100400，own_calc，P8003）复算，已收款盖过不含税标的；发票与税金证据不完备，几十万应收可以直接归零（P8003）。中铁六局项目部的操作更具行业典型性：脚手架2012年11月15日投入使用，租金于2013年5月24日结算确认为246,254元，原告2013年6月21日开具发票，被告三天后仅支付146,254元、尚欠100,000元，且以原告尚未开具225万元劳务费发票为由拒付余款（P8007）——"先票后款"博弈中，应收的主动权始终在付款方手里，发票交接条款必须与付款节点严格互锁。堡坎案口头约定全包280元/m³、砌了790多立方米、收40,000元欠182,415.2元（P8006）——own_calc：（182,415.2＋40,000）÷280≈794立方米，与"790多立方米"吻合，口头协议连工程量都要靠法院认定。陈松何案最直白：2011年9月14日付款协议白纸黑字确认欠62,100元、分二期还款，到期仍分文未付，2012年4月26日起诉（P8009）。华光监理案则暴露了业主信用的极端情形：监理费按"签约后五日内付86,160元预付款＋进场后每满一个月付60,000元"计价（合同第三十九条），2008年5月3日进场、历时八个月，应计监理费86,160＋60,000×8＝566,160元，仅收120,000元；金融危机中业主法定代表人"不知去向、无法联系"，原告诉请446,160元、当庭变更为442,160元（P8018）——业主主体消失，应收瞬间转为坏账；而这个按月计价的监理合同结构提示：服务类合同把计价颗粒度做小（月度），损失敞口就只有两个月，远小于按节点大额计价的施工合同。</w:t>
      </w:r>
    </w:p>
    <w:p>
      <w:r>
        <w:rPr>
          <w:rFonts w:ascii="Calibri" w:hAnsi="Calibri" w:eastAsia="微软雅黑"/>
          <w:b w:val="0"/>
          <w:i w:val="0"/>
          <w:sz w:val="22"/>
        </w:rPr>
        <w:t>最极端的是"空壳"。上海禧诚公司2011年5月由夫妻二人发起设立、认缴注册资本仅50万元（丈夫持股九成、妻子持股一成、妻子管财务），2021年4月法定代表人变更为员工后，申请执行人依据2019年民事判决于2021年4月25日申请执行，发现公司名下无任何财产可供执行，只能诉请以"夫妻公司实为一人有限公司"为由追加两位股东为被执行人（P8010）。对总包商的警示一目了然：把工程发给50万元注册资本的夫妻店，其偿付能力等于零；而它作为你的分包商时，下游农民工与材料商的追索还会沿着合同链条烧回总包层面（P8010）。该案案由同时标注装饰装修合同纠纷与建设工程合同纠纷（P8010）——住宅装修类纠纷亦混入"EPC相关"卷宗，卷宗口径之宽泛，读者引用篇数时应心里有数。</w:t>
      </w:r>
    </w:p>
    <w:p>
      <w:pPr>
        <w:pStyle w:val="Heading3"/>
      </w:pPr>
      <w:r>
        <w:t>8.3.3 制度成因与业主端传导</w:t>
      </w:r>
    </w:p>
    <w:p>
      <w:r>
        <w:rPr>
          <w:rFonts w:ascii="Calibri" w:hAnsi="Calibri" w:eastAsia="微软雅黑"/>
          <w:b w:val="0"/>
          <w:i w:val="0"/>
          <w:sz w:val="22"/>
        </w:rPr>
        <w:t>应收困局有深刻的制度层。2004年10月最高人民法院《关于审理建设工程施工合同纠纷案件适用法律问题的解释》创设"实际施工人"制度，允许其在特定情况下突破合同相对性向发包人追索工程款（P8030）；当前建筑市场司法规制的焦点已从对实际施工人的特殊保护转向合同相对性原则的回归，企业必须通过治理结构优化与管理体系升级，完成从依赖政策庇护到依靠合规优势的战略转型（P8030）。这段制度史的财务含义：过去二十年，总包商的应收风险被"实际施工人直索发包人"的制度安排部分外溢；监管口径回摆后，风险重新落回合同当事人自身——谁的合同体系与证据链更完备，谁的应收就更安全（P8030）。</w:t>
      </w:r>
    </w:p>
    <w:p>
      <w:r>
        <w:rPr>
          <w:rFonts w:ascii="Calibri" w:hAnsi="Calibri" w:eastAsia="微软雅黑"/>
          <w:b w:val="0"/>
          <w:i w:val="0"/>
          <w:sz w:val="22"/>
        </w:rPr>
        <w:t>合同架构层面，中石化南京工程框架收录的三则判例构成风险地图：(2016)最高法民终695号确立合同分拆模式下的先履行抗辩权博弈，(2016)最高法民再53号涉及分包合同同步解除机制，(2017)川民终72号则关乎境外保函止付风险（P8016）——主合同抗辩、分包解除与保函止付三件事互为传导，任何一处设计失当都会把商务风险变成现金流事故：业主行使先履行抗辩可以暂停付款，主合同解除若未同步解除分包合同则付款义务悬空，境外项目保函一旦被止付，现金与信用同时受损（P8016）。</w:t>
      </w:r>
    </w:p>
    <w:p>
      <w:r>
        <w:rPr>
          <w:rFonts w:ascii="Calibri" w:hAnsi="Calibri" w:eastAsia="微软雅黑"/>
          <w:b w:val="0"/>
          <w:i w:val="0"/>
          <w:sz w:val="22"/>
        </w:rPr>
        <w:t>程序层面同样有成本。建设工程施工合同纠纷按不动产纠纷确定专属管辖——黑龙江水利水电集团第二工程公司与塔河县红平运输队纠纷中，上诉人主张应由被告住所地法院管辖，法院援引《最高人民法院关于适用〈民事诉讼法〉的解释》第二十八条，以施工地马伦村位于塔河县为由驳回管辖权异议、维持塔河县法院管辖（P8001）。诉讼本身的摩擦成本也不低：蔡维林案撤诉承担受理费3914元减半收取的1957元（P8008）；上海盈创案撤诉承担受理费16347元减半收取的8173.50元（P8008）；乔振军案因未在七日内预交受理费按撤诉处理（P8002）；乔文波案则在执行阶段书面撤销申请、法院裁定终结执行（P8002）——从起诉、鉴定、上诉到执行，每一步都在消耗管理资源与真金白银，而这还没有计入以年计的时间成本。</w:t>
      </w:r>
    </w:p>
    <w:p>
      <w:r>
        <w:rPr>
          <w:rFonts w:ascii="Calibri" w:hAnsi="Calibri" w:eastAsia="微软雅黑"/>
          <w:b w:val="0"/>
          <w:i w:val="0"/>
          <w:sz w:val="22"/>
        </w:rPr>
        <w:t>业主端的信用同样在恶化中重构。2168家城投公司年报显示：2025年公益性和准公益性业务收入占主营业务收入的中位数为58.4%，较2024年下降1.8个百分点；应收类款项来自政府的占比中位数为30.4%，较2024年下降0.6个百分点（P8000）。读给决策者听：你的业主（城投平台）自身有近六成收入来自公益性业务、三成应收来自政府（P8000）——它的现金回流慢，你的账期就不会快；而政府回款占比下降0.6个百分点（P8000）既是其市场化转型的进度条，也意味着"财政兜底回款"的传统假设正在失效。给城投业主授信，看的不是它的评级，而是它收入结构里财政与市场的比例。</w:t>
      </w:r>
    </w:p>
    <w:p>
      <w:pPr>
        <w:pStyle w:val="Heading3"/>
      </w:pPr>
      <w:r>
        <w:t>8.3.4 证据链视角：收条、保全与竣工文件</w:t>
      </w:r>
    </w:p>
    <w:p>
      <w:r>
        <w:rPr>
          <w:rFonts w:ascii="Calibri" w:hAnsi="Calibri" w:eastAsia="微软雅黑"/>
          <w:b w:val="0"/>
          <w:i w:val="0"/>
          <w:sz w:val="22"/>
        </w:rPr>
        <w:t>应收战争的胜负往往在开战前就由证据链决定。温州谢祥灯案中，2005年2月发包的房屋建筑工程包工包料、未订立书面合同、口头约定竣工后按实际结算付清，2006年1月27日原告出具收条载明共收45.5万元且"工程款已全部结清，以后任何工程款由谢祥灯负责"；事后原告委托编制建设工程预算书并申请造价鉴定试图翻案，但司法鉴定确认收条上的签名系本人所写，原判据此认定工程款已经结清（P8011）——一张表述严密的结清收条，是对抗事后翻案的终极防线；反过来，它也警示付款方：付款时的文件表述，决定十年后官司的胜负。保全则是另一件先手武器：洪串进案原告在起诉同时申请对被告村经济合作社在信用社的455,000元存款进行诉讼保全，法院裁定准许并立即执行（P8017）——面对偿付能力存疑的业主，保全是防止"赢了官司输了钱"的标准动作，应写进清收手册而不是留给律师临场发挥。</w:t>
      </w:r>
    </w:p>
    <w:p>
      <w:r>
        <w:rPr>
          <w:rFonts w:ascii="Calibri" w:hAnsi="Calibri" w:eastAsia="微软雅黑"/>
          <w:b w:val="0"/>
          <w:i w:val="0"/>
          <w:sz w:val="22"/>
        </w:rPr>
        <w:t>文件管理是证据链的物质基础。以海阳一期项目为对象的硕士论文专门研究GH公司EPC项目竣工文件管理优化（P8030），说明竣工文件体系（计量、签认、变更、往来函件）本身就是结算与诉讼的弹药库；再审程序中文件完备性同样关键——中铁十五局与中铁隧道集团及其杭州公司的施工合同纠纷即一路打到再审程序（P8008）。给决策者的动作项：把竣工文件管理从"资料员的事"升格为项目财务经理的考核项，文件不齐备的项目不得进入结算流程——因为没有文件的应收，在法官眼里等于不存在。</w:t>
      </w:r>
    </w:p>
    <w:p>
      <w:r>
        <w:rPr>
          <w:rFonts w:ascii="Calibri" w:hAnsi="Calibri" w:eastAsia="微软雅黑"/>
          <w:b w:val="0"/>
          <w:i w:val="0"/>
          <w:sz w:val="22"/>
        </w:rPr>
        <w:t>所以呢？应收端给决策者的清单有五条：第一，把"可执行性"写进合同——结算闭环、发票交接、抵债物业过户条件，每一条都对应判例里的真金白银（P8003、P8014、P8017）；第二，给业主和分包商做偿付能力画像，50万元注册资本的空壳主体必须要求担保或预付（P8010）；第三，接受"司法回款"的现实成本——账龄五年半起步、撤诉也花钱、执行可能无财产可执（P8014、P8008、P8010），坏账准备金的计提尺度应参照判例尺度而非行业均值；第四，盯住业主自身的收入结构，公益性收入占比58.4%的城投（P8000）不是不能合作，而是必须配现金流对价条款与抵押增信；第五，把证据链管理日常化——结清收条、诉讼保全、竣工文件三件套，是应收从"账面数字"变成"银行存款"的转换器（P8011、P8017、P8030）。</w:t>
      </w:r>
    </w:p>
    <w:p>
      <w:pPr>
        <w:pStyle w:val="Heading2"/>
      </w:pPr>
      <w:r>
        <w:t>8.4 现金流与资产负债表：两金、垫资与付款节点设计</w:t>
      </w:r>
    </w:p>
    <w:p>
      <w:r>
        <w:rPr>
          <w:rFonts w:ascii="Calibri" w:hAnsi="Calibri" w:eastAsia="微软雅黑"/>
          <w:b w:val="0"/>
          <w:i w:val="0"/>
          <w:sz w:val="22"/>
        </w:rPr>
        <w:t>第三本账是现金流量表与资产负债表。转型EPC的设计院最容易在这里失血：项目在利润表上盈利、在现金流量表上窒息——账面毛利被两金（存货＋应收）吞噬，是工程公司财报最常见的死法。本节给出三条防线：占用红线、节点设计、业主画像。</w:t>
      </w:r>
    </w:p>
    <w:p>
      <w:pPr>
        <w:pStyle w:val="Heading3"/>
      </w:pPr>
      <w:r>
        <w:t>8.4.1 两金红线：35%的生死线</w:t>
      </w:r>
    </w:p>
    <w:p>
      <w:r>
        <w:rPr>
          <w:rFonts w:ascii="Calibri" w:hAnsi="Calibri" w:eastAsia="微软雅黑"/>
          <w:b w:val="0"/>
          <w:i w:val="0"/>
          <w:sz w:val="22"/>
        </w:rPr>
        <w:t>安徽院框架给出了一条可操作的财务纪律：存货（合同资产）加应收账款合计占营业收入的比重——"两金占用率"——上限为35%，超过35%触发现金流链预警，倒逼强制停工与保理贴现（P8034）。这条红线的价值在于把"垫资冲动"翻译成报表语言：每多接一个需要垫资的标，两金占用就上移一格；越过35%，企业被迫停工止损或贴现融资，两种代价都比不接单更高（P8034）。越线的后果并不抽象：保理贴现意味着把未到期应收打折卖给资金方换取现金，贴现息直接吞噬毛利；强制停工则带来窝工损失与复工成本，甚至触发对下违约（P8034）。操作细节值得展开：存货（合同资产）端，超期未结算的已完工程量是最大的隐性垫资，应按月龄分桶管理；应收端，判例显示账龄可以拖到五年半（P8014，own_calc），账龄分桶的坏账计提比例应向判例尺度看齐而非行业均值。还要警惕分母效应：两金占用率的分母是营业收入（P8034），放量会暂时"稀释"两金率——越是营收高增期，越要盯两金绝对额，高增长不会自动解决垫资问题，只会暂时遮住它。建议决策者把两金占用率放进月度经营例会的第一张报表，并在投标决策流程里设一票否决项：新标的两金增量是否会把公司推过35%。</w:t>
      </w:r>
    </w:p>
    <w:p>
      <w:pPr>
        <w:pStyle w:val="Heading3"/>
      </w:pPr>
      <w:r>
        <w:t>8.4.2 付款节点：把现金流设计进合同</w:t>
      </w:r>
    </w:p>
    <w:p>
      <w:r>
        <w:rPr>
          <w:rFonts w:ascii="Calibri" w:hAnsi="Calibri" w:eastAsia="微软雅黑"/>
          <w:b w:val="0"/>
          <w:i w:val="0"/>
          <w:sz w:val="22"/>
        </w:rPr>
        <w:t>正面的样本是中机国际开封项目的节点设计：签约总代价800,160,000 元、工期100个历日、付款节点10%—80%—5%—5%，并引入供应商直付委托书（P8033）。10%预付覆盖启动成本、80%随进度覆盖主成本、两端各5%锁定质保与尾款——每一档都在回答"谁替谁垫资"这个总包模式的核心问题；供应商直付则把分包商回款与总包回款解绑，避免上游拖欠沿链条向下游传导放大（P8033）。节点设计权是总包商在合同谈判里最值钱的条款，比单价之争更值得投入谈判筹码。</w:t>
      </w:r>
    </w:p>
    <w:p>
      <w:r>
        <w:rPr>
          <w:rFonts w:ascii="Calibri" w:hAnsi="Calibri" w:eastAsia="微软雅黑"/>
          <w:b w:val="0"/>
          <w:i w:val="0"/>
          <w:sz w:val="22"/>
        </w:rPr>
        <w:t>历史对照更凸显节点设计的分量。荣成案2006年合同的进度付款条款已经相当细化："工程开工后到二层封顶……按工程形象进度付65%工程款，主体封顶按工程形象进度付80%工程款……全部工程竣工后，工程款付到95%，剩余5%做为工程保修金"，保修期24个月（P8014）。own_calc：其保修金即为决算总价5847961.15元的5%——即便如此细化的传统节点，该案仍走到以3套住宅抵债697,707元、再诉请欠款1,469,961.15元与违约金187,143.88元的结局（P8014）。而EPC模式下业主往往要求更极端的"交钥匙（Lump-Sum）"包干（P8034），节点保护更弱、垫资压力更大——节点设计的空间是被业主挤压的，必须在投标阶段就当作商务标的来打。</w:t>
      </w:r>
    </w:p>
    <w:p>
      <w:r>
        <w:rPr>
          <w:rFonts w:ascii="Calibri" w:hAnsi="Calibri" w:eastAsia="微软雅黑"/>
          <w:b w:val="0"/>
          <w:i w:val="0"/>
          <w:sz w:val="22"/>
        </w:rPr>
        <w:t>结算依据的确定性同样决定现金流节奏。法工委函〔2017〕2号对行政审计强行介入结算的清理审查与"重庆勇创案"的计价标准纠偏（P8016），意味着总承包商可以在合同层面锁定计价标准与结算程序，而不必被动等待行政审计结论——付款节点的每一档都应与"结算事件"而非"审计事件"挂钩。技术侧的工具也已成熟：中核工程框架记载，在财务管控中区块链技术保障分包商合同履行的透明性，显著降低了资金占用成本（P8020）。制度面上，福建省2018年11月28日发布的工程总承包招标投标管理办法（征求意见稿）（闽建办筑函〔2018〕58号）明确：依法必须招标的国有资金占控股或主导地位的房建市政工程适用该办法；工程总承包单位须对工程项目质量、安全、工期和造价全面负责；工程总承包招标项目实行电子招标投标（P8031）——国有资金项目的合规框架既为有资质的总包商清理了竞争环境，也意味着投标保证、履约保证等现金流占用是刚性的、不可谈判的（P8031）；两金预算里必须为各类保证金单列科目。</w:t>
      </w:r>
    </w:p>
    <w:p>
      <w:pPr>
        <w:pStyle w:val="Heading3"/>
      </w:pPr>
      <w:r>
        <w:t>8.4.3 业主信用画像：城投"四减一增"的传导</w:t>
      </w:r>
    </w:p>
    <w:p>
      <w:r>
        <w:rPr>
          <w:rFonts w:ascii="Calibri" w:hAnsi="Calibri" w:eastAsia="微软雅黑"/>
          <w:b w:val="0"/>
          <w:i w:val="0"/>
          <w:sz w:val="22"/>
        </w:rPr>
        <w:t>政策背景须先交代：《"十五五"规划纲要》明确提出"加快推动地方政府融资平台改革转型"，将其作为防范化解债务风险、保障经济安全的重要任务（P8000）——业主端的转型与承包商端的转型同频共振，城投报表的每一个边际变化，都将顺着合同链条传导到你的三张表。</w:t>
      </w:r>
    </w:p>
    <w:p>
      <w:r>
        <w:rPr>
          <w:rFonts w:ascii="Calibri" w:hAnsi="Calibri" w:eastAsia="微软雅黑"/>
          <w:b w:val="0"/>
          <w:i w:val="0"/>
          <w:sz w:val="22"/>
        </w:rPr>
        <w:t>把业主的资产负债表打开看，才能预判自己应收的成色。2168家城投年报呈现"四减一增"（P8000）：公益性收入占比降至58.4%（较2024年下降1.8个百分点）、应收政府款项占比降至30.4%（下降0.6个百分点）、存货占总资产比重降至27.3%（较上年下降0.9个百分点）、土地资产约1.9万亿元较上年下降11.8%（连续两年下降，占总资产比重降至1.2%、较2022年下降2个百分点；2025年资产减值损失相当于上年末土地资产余额的4.2%），长期股权投资占总资产比重由2021年的3.2%提高至4.0%（P8000）。</w:t>
      </w:r>
    </w:p>
    <w:p>
      <w:r>
        <w:rPr>
          <w:rFonts w:ascii="Calibri" w:hAnsi="Calibri" w:eastAsia="微软雅黑"/>
          <w:b w:val="0"/>
          <w:i w:val="0"/>
          <w:sz w:val="22"/>
        </w:rPr>
        <w:t>逐条翻译给总承包商：其一，土地资产缩水11.8%而减值只能解释4.2%（P8000），说明城投参与土地市场活动本身在收缩——以土地或物业作对价的抵债安排要重新定价，前述荣成案的"3套房抵697,707元"（P8014）在今天的市场里风险只增不减；其二，城投存货科目主要反映政府代建类项目（棚改、基建代建）（P8000），其变现依赖财政节奏而非市场——你的业主账上27.3%的资产（P8000）是等待财政兑现的代建存货，它的回款速度就是你的回款上限；其三，长期股权投资占比上行（3.2%→4.0%，P8000）说明城投在转向资本运营，工程发包节奏可能更慢、更挑剔，但对愿意做"投资人＋EPC"的承包商也打开了新交易结构的空间。给城投业主做授信时，这四个比率比资产负债率更能预示你的回款速度。</w:t>
      </w:r>
    </w:p>
    <w:p>
      <w:r>
        <w:rPr>
          <w:rFonts w:ascii="Calibri" w:hAnsi="Calibri" w:eastAsia="微软雅黑"/>
          <w:b w:val="0"/>
          <w:i w:val="0"/>
          <w:sz w:val="22"/>
        </w:rPr>
        <w:t>业主信用并非铁板一块，区域与业态分化显著：内蒙古和林格尔新区2017年2月成立、规划控制面积496平方公里，2025年新区营业收入512.12亿元、同比增长24.6%（P8026）——算力驱动的新区业主在高速成长，与土地依赖型城投的收缩形成鲜明对照。授信策略应从"看主体级别"转向"看收入引擎"：财政代建、土地开发、产业运营、算力经济四种引擎，对应完全不同的回款曲线。</w:t>
      </w:r>
    </w:p>
    <w:p>
      <w:pPr>
        <w:pStyle w:val="Heading3"/>
      </w:pPr>
      <w:r>
        <w:t>8.4.4 宏观敏感度：把失效线写进模型</w:t>
      </w:r>
    </w:p>
    <w:p>
      <w:r>
        <w:rPr>
          <w:rFonts w:ascii="Calibri" w:hAnsi="Calibri" w:eastAsia="微软雅黑"/>
          <w:b w:val="0"/>
          <w:i w:val="0"/>
          <w:sz w:val="22"/>
        </w:rPr>
        <w:t>财务模型还必须预设外部变量的失效线。安徽院框架给出三条预警（P8034）：政策失效线——国家发改委/住建部若修订《房屋建筑和市政基础设施项目工程总承包管理办法》或《保障农民工工资支付条例》，涉及带资承包与保证金存储比例的法务条款需重新校准；市场失效线——大宗建材（钢材、铜材）价格单月波动超过±15%、或主要风机/光伏逆变器设备集采价格出现20%以上结构性下调，成本估算模型需重新测算；利率失效线——央行LPR利率变动超过50BP，"现金流链压力测试"贴现率模型需同步更新（P8034）。设备价格的结构性下调并非杞人忧天：新能源正极材料2025年出货量同比增长50%，总产值同比仅增长31%（P8023）——吨均产值随之下行（2744÷503，own_calc，P8023），量增价跌正在向上游设备与材料全面传导，成本模型的失效线（P8034）随时可能被击穿。三条失效线的共同逻辑：转型财务模型不是一次性的投标工具，而是需要定期触发重算的活模型——任何一条线被触及，之前所有的毛利测算与回款排布都要推倒重来。</w:t>
      </w:r>
    </w:p>
    <w:p>
      <w:r>
        <w:rPr>
          <w:rFonts w:ascii="Calibri" w:hAnsi="Calibri" w:eastAsia="微软雅黑"/>
          <w:b w:val="0"/>
          <w:i w:val="0"/>
          <w:sz w:val="22"/>
        </w:rPr>
        <w:t>数据时效纪律也须成文。头部央企中国电建2026年半年度报告自述"本半年度报告未经审计"（P8012），且对未出席董事、前瞻性陈述风险等披露要件作了齐备声明（P8012）——任何基于交易对手半年报的付款能力判断都应标注审计折扣；参照中机国际框架"数据统计截止日"的做法（其决策仪表板明确标注数据截止2026年10月04日，P8033），转型企业内部的对手方信用档案也应每季度刷新并注明截止日。</w:t>
      </w:r>
    </w:p>
    <w:p>
      <w:r>
        <w:rPr>
          <w:rFonts w:ascii="Calibri" w:hAnsi="Calibri" w:eastAsia="微软雅黑"/>
          <w:b w:val="0"/>
          <w:i w:val="0"/>
          <w:sz w:val="22"/>
        </w:rPr>
        <w:t>表8-4 转型财务决策仪表板（本章证据浓缩）</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指标与阈值</w:t>
            </w:r>
          </w:p>
        </w:tc>
        <w:tc>
          <w:tcPr>
            <w:tcW w:type="dxa" w:w="2075"/>
            <w:shd w:fill="1F3A5F"/>
          </w:tcPr>
          <w:p>
            <w:r>
              <w:rPr>
                <w:color w:val="FFFFFF"/>
              </w:rPr>
            </w:r>
            <w:r>
              <w:rPr>
                <w:rFonts w:ascii="Calibri" w:hAnsi="Calibri" w:eastAsia="微软雅黑"/>
                <w:b/>
                <w:i w:val="0"/>
                <w:color w:val="FFFFFF"/>
                <w:sz w:val="18"/>
              </w:rPr>
              <w:t>动作</w:t>
            </w:r>
          </w:p>
        </w:tc>
        <w:tc>
          <w:tcPr>
            <w:tcW w:type="dxa" w:w="2075"/>
            <w:shd w:fill="1F3A5F"/>
          </w:tcPr>
          <w:p>
            <w:r>
              <w:rPr>
                <w:color w:val="FFFFFF"/>
              </w:rPr>
            </w:r>
            <w:r>
              <w:rPr>
                <w:rFonts w:ascii="Calibri" w:hAnsi="Calibri" w:eastAsia="微软雅黑"/>
                <w:b/>
                <w:i w:val="0"/>
                <w:color w:val="FFFFFF"/>
                <w:sz w:val="18"/>
              </w:rPr>
              <w:t>锚</w:t>
            </w:r>
          </w:p>
        </w:tc>
      </w:tr>
      <w:tr>
        <w:tc>
          <w:tcPr>
            <w:tcW w:type="dxa" w:w="2075"/>
          </w:tcPr>
          <w:p>
            <w:r/>
            <w:r>
              <w:rPr>
                <w:rFonts w:ascii="Calibri" w:hAnsi="Calibri" w:eastAsia="微软雅黑"/>
                <w:b w:val="0"/>
                <w:i w:val="0"/>
                <w:sz w:val="18"/>
              </w:rPr>
              <w:t>营收</w:t>
            </w:r>
          </w:p>
        </w:tc>
        <w:tc>
          <w:tcPr>
            <w:tcW w:type="dxa" w:w="2075"/>
          </w:tcPr>
          <w:p>
            <w:r/>
            <w:r>
              <w:rPr>
                <w:rFonts w:ascii="Calibri" w:hAnsi="Calibri" w:eastAsia="微软雅黑"/>
                <w:b w:val="0"/>
                <w:i w:val="0"/>
                <w:sz w:val="18"/>
              </w:rPr>
              <w:t>单笔订单占年总承包营收比：永福股份67.7974%</w:t>
            </w:r>
          </w:p>
        </w:tc>
        <w:tc>
          <w:tcPr>
            <w:tcW w:type="dxa" w:w="2075"/>
          </w:tcPr>
          <w:p>
            <w:r/>
            <w:r>
              <w:rPr>
                <w:rFonts w:ascii="Calibri" w:hAnsi="Calibri" w:eastAsia="微软雅黑"/>
                <w:b w:val="0"/>
                <w:i w:val="0"/>
                <w:sz w:val="18"/>
              </w:rPr>
              <w:t>设订单集中度上限</w:t>
            </w:r>
          </w:p>
        </w:tc>
        <w:tc>
          <w:tcPr>
            <w:tcW w:type="dxa" w:w="2075"/>
          </w:tcPr>
          <w:p>
            <w:r/>
            <w:r>
              <w:rPr>
                <w:rFonts w:ascii="Calibri" w:hAnsi="Calibri" w:eastAsia="微软雅黑"/>
                <w:b w:val="0"/>
                <w:i w:val="0"/>
                <w:sz w:val="18"/>
              </w:rPr>
              <w:t>P8022</w:t>
            </w:r>
          </w:p>
        </w:tc>
      </w:tr>
      <w:tr>
        <w:tc>
          <w:tcPr>
            <w:tcW w:type="dxa" w:w="2075"/>
          </w:tcPr>
          <w:p>
            <w:r/>
            <w:r>
              <w:rPr>
                <w:rFonts w:ascii="Calibri" w:hAnsi="Calibri" w:eastAsia="微软雅黑"/>
                <w:b w:val="0"/>
                <w:i w:val="0"/>
                <w:sz w:val="18"/>
              </w:rPr>
              <w:t>毛利</w:t>
            </w:r>
          </w:p>
        </w:tc>
        <w:tc>
          <w:tcPr>
            <w:tcW w:type="dxa" w:w="2075"/>
          </w:tcPr>
          <w:p>
            <w:r/>
            <w:r>
              <w:rPr>
                <w:rFonts w:ascii="Calibri" w:hAnsi="Calibri" w:eastAsia="微软雅黑"/>
                <w:b w:val="0"/>
                <w:i w:val="0"/>
                <w:sz w:val="18"/>
              </w:rPr>
              <w:t>竞价价差敏感度2.37%；采办分包溢价&gt;2%失标</w:t>
            </w:r>
          </w:p>
        </w:tc>
        <w:tc>
          <w:tcPr>
            <w:tcW w:type="dxa" w:w="2075"/>
          </w:tcPr>
          <w:p>
            <w:r/>
            <w:r>
              <w:rPr>
                <w:rFonts w:ascii="Calibri" w:hAnsi="Calibri" w:eastAsia="微软雅黑"/>
                <w:b w:val="0"/>
                <w:i w:val="0"/>
                <w:sz w:val="18"/>
              </w:rPr>
              <w:t>设计优化须传导至采购分包</w:t>
            </w:r>
          </w:p>
        </w:tc>
        <w:tc>
          <w:tcPr>
            <w:tcW w:type="dxa" w:w="2075"/>
          </w:tcPr>
          <w:p>
            <w:r/>
            <w:r>
              <w:rPr>
                <w:rFonts w:ascii="Calibri" w:hAnsi="Calibri" w:eastAsia="微软雅黑"/>
                <w:b w:val="0"/>
                <w:i w:val="0"/>
                <w:sz w:val="18"/>
              </w:rPr>
              <w:t>P8029；P8034</w:t>
            </w:r>
          </w:p>
        </w:tc>
      </w:tr>
      <w:tr>
        <w:tc>
          <w:tcPr>
            <w:tcW w:type="dxa" w:w="2075"/>
          </w:tcPr>
          <w:p>
            <w:r/>
            <w:r>
              <w:rPr>
                <w:rFonts w:ascii="Calibri" w:hAnsi="Calibri" w:eastAsia="微软雅黑"/>
                <w:b w:val="0"/>
                <w:i w:val="0"/>
                <w:sz w:val="18"/>
              </w:rPr>
              <w:t>毛利</w:t>
            </w:r>
          </w:p>
        </w:tc>
        <w:tc>
          <w:tcPr>
            <w:tcW w:type="dxa" w:w="2075"/>
          </w:tcPr>
          <w:p>
            <w:r/>
            <w:r>
              <w:rPr>
                <w:rFonts w:ascii="Calibri" w:hAnsi="Calibri" w:eastAsia="微软雅黑"/>
                <w:b w:val="0"/>
                <w:i w:val="0"/>
                <w:sz w:val="18"/>
              </w:rPr>
              <w:t>违约金累计上限10%合同额即终止并没收保函</w:t>
            </w:r>
          </w:p>
        </w:tc>
        <w:tc>
          <w:tcPr>
            <w:tcW w:type="dxa" w:w="2075"/>
          </w:tcPr>
          <w:p>
            <w:r/>
            <w:r>
              <w:rPr>
                <w:rFonts w:ascii="Calibri" w:hAnsi="Calibri" w:eastAsia="微软雅黑"/>
                <w:b w:val="0"/>
                <w:i w:val="0"/>
                <w:sz w:val="18"/>
              </w:rPr>
              <w:t>投标前最坏情形压力测试</w:t>
            </w:r>
          </w:p>
        </w:tc>
        <w:tc>
          <w:tcPr>
            <w:tcW w:type="dxa" w:w="2075"/>
          </w:tcPr>
          <w:p>
            <w:r/>
            <w:r>
              <w:rPr>
                <w:rFonts w:ascii="Calibri" w:hAnsi="Calibri" w:eastAsia="微软雅黑"/>
                <w:b w:val="0"/>
                <w:i w:val="0"/>
                <w:sz w:val="18"/>
              </w:rPr>
              <w:t>P8034</w:t>
            </w:r>
          </w:p>
        </w:tc>
      </w:tr>
      <w:tr>
        <w:tc>
          <w:tcPr>
            <w:tcW w:type="dxa" w:w="2075"/>
          </w:tcPr>
          <w:p>
            <w:r/>
            <w:r>
              <w:rPr>
                <w:rFonts w:ascii="Calibri" w:hAnsi="Calibri" w:eastAsia="微软雅黑"/>
                <w:b w:val="0"/>
                <w:i w:val="0"/>
                <w:sz w:val="18"/>
              </w:rPr>
              <w:t>应收</w:t>
            </w:r>
          </w:p>
        </w:tc>
        <w:tc>
          <w:tcPr>
            <w:tcW w:type="dxa" w:w="2075"/>
          </w:tcPr>
          <w:p>
            <w:r/>
            <w:r>
              <w:rPr>
                <w:rFonts w:ascii="Calibri" w:hAnsi="Calibri" w:eastAsia="微软雅黑"/>
                <w:b w:val="0"/>
                <w:i w:val="0"/>
                <w:sz w:val="18"/>
              </w:rPr>
              <w:t>判例账龄最长约5年7个月（own_calc）</w:t>
            </w:r>
          </w:p>
        </w:tc>
        <w:tc>
          <w:tcPr>
            <w:tcW w:type="dxa" w:w="2075"/>
          </w:tcPr>
          <w:p>
            <w:r/>
            <w:r>
              <w:rPr>
                <w:rFonts w:ascii="Calibri" w:hAnsi="Calibri" w:eastAsia="微软雅黑"/>
                <w:b w:val="0"/>
                <w:i w:val="0"/>
                <w:sz w:val="18"/>
              </w:rPr>
              <w:t>坏账计提参照判例尺度</w:t>
            </w:r>
          </w:p>
        </w:tc>
        <w:tc>
          <w:tcPr>
            <w:tcW w:type="dxa" w:w="2075"/>
          </w:tcPr>
          <w:p>
            <w:r/>
            <w:r>
              <w:rPr>
                <w:rFonts w:ascii="Calibri" w:hAnsi="Calibri" w:eastAsia="微软雅黑"/>
                <w:b w:val="0"/>
                <w:i w:val="0"/>
                <w:sz w:val="18"/>
              </w:rPr>
              <w:t>P8014</w:t>
            </w:r>
          </w:p>
        </w:tc>
      </w:tr>
      <w:tr>
        <w:tc>
          <w:tcPr>
            <w:tcW w:type="dxa" w:w="2075"/>
          </w:tcPr>
          <w:p>
            <w:r/>
            <w:r>
              <w:rPr>
                <w:rFonts w:ascii="Calibri" w:hAnsi="Calibri" w:eastAsia="微软雅黑"/>
                <w:b w:val="0"/>
                <w:i w:val="0"/>
                <w:sz w:val="18"/>
              </w:rPr>
              <w:t>应收</w:t>
            </w:r>
          </w:p>
        </w:tc>
        <w:tc>
          <w:tcPr>
            <w:tcW w:type="dxa" w:w="2075"/>
          </w:tcPr>
          <w:p>
            <w:r/>
            <w:r>
              <w:rPr>
                <w:rFonts w:ascii="Calibri" w:hAnsi="Calibri" w:eastAsia="微软雅黑"/>
                <w:b w:val="0"/>
                <w:i w:val="0"/>
                <w:sz w:val="18"/>
              </w:rPr>
              <w:t>空壳主体认缴注册资本仅50万元、无产可执</w:t>
            </w:r>
          </w:p>
        </w:tc>
        <w:tc>
          <w:tcPr>
            <w:tcW w:type="dxa" w:w="2075"/>
          </w:tcPr>
          <w:p>
            <w:r/>
            <w:r>
              <w:rPr>
                <w:rFonts w:ascii="Calibri" w:hAnsi="Calibri" w:eastAsia="微软雅黑"/>
                <w:b w:val="0"/>
                <w:i w:val="0"/>
                <w:sz w:val="18"/>
              </w:rPr>
              <w:t>业主/分包商偿付画像＋担保</w:t>
            </w:r>
          </w:p>
        </w:tc>
        <w:tc>
          <w:tcPr>
            <w:tcW w:type="dxa" w:w="2075"/>
          </w:tcPr>
          <w:p>
            <w:r/>
            <w:r>
              <w:rPr>
                <w:rFonts w:ascii="Calibri" w:hAnsi="Calibri" w:eastAsia="微软雅黑"/>
                <w:b w:val="0"/>
                <w:i w:val="0"/>
                <w:sz w:val="18"/>
              </w:rPr>
              <w:t>P8010</w:t>
            </w:r>
          </w:p>
        </w:tc>
      </w:tr>
      <w:tr>
        <w:tc>
          <w:tcPr>
            <w:tcW w:type="dxa" w:w="2075"/>
          </w:tcPr>
          <w:p>
            <w:r/>
            <w:r>
              <w:rPr>
                <w:rFonts w:ascii="Calibri" w:hAnsi="Calibri" w:eastAsia="微软雅黑"/>
                <w:b w:val="0"/>
                <w:i w:val="0"/>
                <w:sz w:val="18"/>
              </w:rPr>
              <w:t>现金流</w:t>
            </w:r>
          </w:p>
        </w:tc>
        <w:tc>
          <w:tcPr>
            <w:tcW w:type="dxa" w:w="2075"/>
          </w:tcPr>
          <w:p>
            <w:r/>
            <w:r>
              <w:rPr>
                <w:rFonts w:ascii="Calibri" w:hAnsi="Calibri" w:eastAsia="微软雅黑"/>
                <w:b w:val="0"/>
                <w:i w:val="0"/>
                <w:sz w:val="18"/>
              </w:rPr>
              <w:t>两金占用率&lt;35%营收，越线预警</w:t>
            </w:r>
          </w:p>
        </w:tc>
        <w:tc>
          <w:tcPr>
            <w:tcW w:type="dxa" w:w="2075"/>
          </w:tcPr>
          <w:p>
            <w:r/>
            <w:r>
              <w:rPr>
                <w:rFonts w:ascii="Calibri" w:hAnsi="Calibri" w:eastAsia="微软雅黑"/>
                <w:b w:val="0"/>
                <w:i w:val="0"/>
                <w:sz w:val="18"/>
              </w:rPr>
              <w:t>月度监控＋投标一票否决</w:t>
            </w:r>
          </w:p>
        </w:tc>
        <w:tc>
          <w:tcPr>
            <w:tcW w:type="dxa" w:w="2075"/>
          </w:tcPr>
          <w:p>
            <w:r/>
            <w:r>
              <w:rPr>
                <w:rFonts w:ascii="Calibri" w:hAnsi="Calibri" w:eastAsia="微软雅黑"/>
                <w:b w:val="0"/>
                <w:i w:val="0"/>
                <w:sz w:val="18"/>
              </w:rPr>
              <w:t>P8034</w:t>
            </w:r>
          </w:p>
        </w:tc>
      </w:tr>
      <w:tr>
        <w:tc>
          <w:tcPr>
            <w:tcW w:type="dxa" w:w="2075"/>
          </w:tcPr>
          <w:p>
            <w:r/>
            <w:r>
              <w:rPr>
                <w:rFonts w:ascii="Calibri" w:hAnsi="Calibri" w:eastAsia="微软雅黑"/>
                <w:b w:val="0"/>
                <w:i w:val="0"/>
                <w:sz w:val="18"/>
              </w:rPr>
              <w:t>现金流</w:t>
            </w:r>
          </w:p>
        </w:tc>
        <w:tc>
          <w:tcPr>
            <w:tcW w:type="dxa" w:w="2075"/>
          </w:tcPr>
          <w:p>
            <w:r/>
            <w:r>
              <w:rPr>
                <w:rFonts w:ascii="Calibri" w:hAnsi="Calibri" w:eastAsia="微软雅黑"/>
                <w:b w:val="0"/>
                <w:i w:val="0"/>
                <w:sz w:val="18"/>
              </w:rPr>
              <w:t>付款节点10%—80%—5%—5%＋供应商直付</w:t>
            </w:r>
          </w:p>
        </w:tc>
        <w:tc>
          <w:tcPr>
            <w:tcW w:type="dxa" w:w="2075"/>
          </w:tcPr>
          <w:p>
            <w:r/>
            <w:r>
              <w:rPr>
                <w:rFonts w:ascii="Calibri" w:hAnsi="Calibri" w:eastAsia="微软雅黑"/>
                <w:b w:val="0"/>
                <w:i w:val="0"/>
                <w:sz w:val="18"/>
              </w:rPr>
              <w:t>节点设计权写进商务标</w:t>
            </w:r>
          </w:p>
        </w:tc>
        <w:tc>
          <w:tcPr>
            <w:tcW w:type="dxa" w:w="2075"/>
          </w:tcPr>
          <w:p>
            <w:r/>
            <w:r>
              <w:rPr>
                <w:rFonts w:ascii="Calibri" w:hAnsi="Calibri" w:eastAsia="微软雅黑"/>
                <w:b w:val="0"/>
                <w:i w:val="0"/>
                <w:sz w:val="18"/>
              </w:rPr>
              <w:t>P8033</w:t>
            </w:r>
          </w:p>
        </w:tc>
      </w:tr>
      <w:tr>
        <w:tc>
          <w:tcPr>
            <w:tcW w:type="dxa" w:w="2075"/>
          </w:tcPr>
          <w:p>
            <w:r/>
            <w:r>
              <w:rPr>
                <w:rFonts w:ascii="Calibri" w:hAnsi="Calibri" w:eastAsia="微软雅黑"/>
                <w:b w:val="0"/>
                <w:i w:val="0"/>
                <w:sz w:val="18"/>
              </w:rPr>
              <w:t>宏观</w:t>
            </w:r>
          </w:p>
        </w:tc>
        <w:tc>
          <w:tcPr>
            <w:tcW w:type="dxa" w:w="2075"/>
          </w:tcPr>
          <w:p>
            <w:r/>
            <w:r>
              <w:rPr>
                <w:rFonts w:ascii="Calibri" w:hAnsi="Calibri" w:eastAsia="微软雅黑"/>
                <w:b w:val="0"/>
                <w:i w:val="0"/>
                <w:sz w:val="18"/>
              </w:rPr>
              <w:t>LPR±50BP、建材±15%、设备集采-20%三条失效线</w:t>
            </w:r>
          </w:p>
        </w:tc>
        <w:tc>
          <w:tcPr>
            <w:tcW w:type="dxa" w:w="2075"/>
          </w:tcPr>
          <w:p>
            <w:r/>
            <w:r>
              <w:rPr>
                <w:rFonts w:ascii="Calibri" w:hAnsi="Calibri" w:eastAsia="微软雅黑"/>
                <w:b w:val="0"/>
                <w:i w:val="0"/>
                <w:sz w:val="18"/>
              </w:rPr>
              <w:t>触发即重算模型</w:t>
            </w:r>
          </w:p>
        </w:tc>
        <w:tc>
          <w:tcPr>
            <w:tcW w:type="dxa" w:w="2075"/>
          </w:tcPr>
          <w:p>
            <w:r/>
            <w:r>
              <w:rPr>
                <w:rFonts w:ascii="Calibri" w:hAnsi="Calibri" w:eastAsia="微软雅黑"/>
                <w:b w:val="0"/>
                <w:i w:val="0"/>
                <w:sz w:val="18"/>
              </w:rPr>
              <w:t>P8034</w:t>
            </w:r>
          </w:p>
        </w:tc>
      </w:tr>
    </w:tbl>
    <w:p>
      <w:r>
        <w:rPr>
          <w:rFonts w:ascii="Calibri" w:hAnsi="Calibri" w:eastAsia="微软雅黑"/>
          <w:b w:val="0"/>
          <w:i w:val="0"/>
          <w:sz w:val="22"/>
        </w:rPr>
        <w:t>所以呢？现金流端的三条底线：两金占用率35%是比利润率更早报警的仪表（P8034），它应在投标阶段而不是危机阶段发挥作用；付款节点与供应商直付是总包商唯一能先手设计的现金流工具（P8033），值得投入最优质的谈判资源；业主的资产结构——土地资产-11.8%、代建类存货占比27.3%（P8000）——决定你应收的最终成色，授信要看穿业主的资产负债表，而不是停在它给你的付款承诺上。</w:t>
      </w:r>
    </w:p>
    <w:p>
      <w:pPr>
        <w:pStyle w:val="Heading2"/>
      </w:pPr>
      <w:r>
        <w:t>本章小结与盲区</w:t>
      </w:r>
    </w:p>
    <w:p>
      <w:r>
        <w:rPr>
          <w:rFonts w:ascii="Calibri" w:hAnsi="Calibri" w:eastAsia="微软雅黑"/>
          <w:b w:val="0"/>
          <w:i w:val="0"/>
          <w:sz w:val="22"/>
        </w:rPr>
        <w:t>本章以"营收—毛利—应收—现金流"四本账完成对转型企业的财务透视。证据基础包括：五份设计院洞察包语料（P8022—P8027）、一份2168家城投的年报观察（P8000）、若干公司年报与框架研究（P8012—P8034），以及2008—2021年十四个年份合计129,660篇EPC相关裁判文书卷宗（own_calc，P8001—P8018各年）。</w:t>
      </w:r>
    </w:p>
    <w:p>
      <w:r>
        <w:rPr>
          <w:rFonts w:ascii="Calibri" w:hAnsi="Calibri" w:eastAsia="微软雅黑"/>
          <w:b w:val="0"/>
          <w:i w:val="0"/>
          <w:sz w:val="22"/>
        </w:rPr>
        <w:t>核心结论有四。第一，总承包放量真实可行，中电工程十年将总承包合同额占比从23%做到83%（P8022），但行业新签已转负（P8026）、净利率随放量逐期摊薄（8.67÷56.31 对比 26.04÷296.06，own_calc，P8023），增收不增利是常态。第二，毛利由设计端70%以上的造价锁定力（P8034）、10%的集采节资率（P8013）与权责发生制数智底座（P8028）共同决定，但2%的竞价敏感度（P8034）与4.52%发电量、60%赔偿、10%终止三条司法红线（P8034）要求把最坏情形预算前置到投标决策。第三，应收回款是转型最大的暗资产——十四年129,660篇裁判文书（own_calc）与九案画像显示，账龄五年半、以物抵债、放弃债权换判决、空壳主体无产可执都是常态；结算单、收条、保全与竣工文件构成证据链四件套（P8004、P8011、P8017、P8030）。第四，两金35%红线、10%—80%—5%—5%节点设计与业主"四减一增"信用画像（P8034、P8033、P8000）构成现金流防御的三道闸门，LPR±50BP、建材±15%、设备集采-20%三条失效线（P8034）则是财务模型的定期检修制度。</w:t>
      </w:r>
    </w:p>
    <w:p>
      <w:r>
        <w:rPr>
          <w:rFonts w:ascii="Calibri" w:hAnsi="Calibri" w:eastAsia="微软雅黑"/>
          <w:b w:val="0"/>
          <w:i w:val="0"/>
          <w:sz w:val="22"/>
        </w:rPr>
        <w:t>最后，把本章浓缩成董事会应当问管理层的三个问题。其一，营收问题：总承包营收规划里的净利率摊薄曲线画到了哪里？单笔订单集中度上限设了多少？（参照P8022、P8023）其二，毛利问题：拟投标项目按10%违约金与60%赔偿做完压力测试后，净资产还剩多少安全垫？（参照P8034）其三，应收问题：两金占用率现在是多少？账龄超过一年的应收占比多少？业主名单里有多少家公益性收入占比过半的城投？（参照P8034、P8000）三问有答案，转型才谈得上"算过账"；三问答不上来，营收目标定得越大，风险敞口就越大。</w:t>
      </w:r>
    </w:p>
    <w:p>
      <w:r>
        <w:rPr>
          <w:rFonts w:ascii="Calibri" w:hAnsi="Calibri" w:eastAsia="微软雅黑"/>
          <w:b w:val="0"/>
          <w:i w:val="0"/>
          <w:sz w:val="22"/>
        </w:rPr>
        <w:t>证据未覆盖之处，如实声明如下：</w:t>
      </w:r>
    </w:p>
    <w:p>
      <w:r>
        <w:rPr>
          <w:rFonts w:ascii="Calibri" w:hAnsi="Calibri" w:eastAsia="微软雅黑"/>
          <w:b w:val="0"/>
          <w:i w:val="0"/>
          <w:sz w:val="22"/>
        </w:rPr>
        <w:t>其一，毛利率时间序列缺失。弹药库未提供设计院转型上市公司（如永福股份、中机国际等）分业务的毛利率明细，本章毛利讨论以造价锁定率、竞价价差、判例赔偿与制度红线替代，无法给出"设计院对施工企业"毛利率差异的统计均值；读者不应将2.37%的价差率（P8034）误读为两类主体的毛利率差，也不应将光伏EPC样本的净利率水平（26.04÷296.06，own_calc，P8023）误读为行业均值——后者仅是一家未具名光伏EPC企业的招股书数字。</w:t>
      </w:r>
    </w:p>
    <w:p>
      <w:r>
        <w:rPr>
          <w:rFonts w:ascii="Calibri" w:hAnsi="Calibri" w:eastAsia="微软雅黑"/>
          <w:b w:val="0"/>
          <w:i w:val="0"/>
          <w:sz w:val="22"/>
        </w:rPr>
        <w:t>其二，头部央企半年数据不完整。中国电建2026年半年度报告源（P8012）仅节选至目录页，营业收入、毛利率、应收账款等报表正文未入库，本章无法呈现头部总包商最新半年维度的三表数据，仅能引用其"本半年度报告未经审计"的披露声明（P8012）作数据时效纪律之用。</w:t>
      </w:r>
    </w:p>
    <w:p>
      <w:r>
        <w:rPr>
          <w:rFonts w:ascii="Calibri" w:hAnsi="Calibri" w:eastAsia="微软雅黑"/>
          <w:b w:val="0"/>
          <w:i w:val="0"/>
          <w:sz w:val="22"/>
        </w:rPr>
        <w:t>其三，部分源不可用。十一冶建设集团与江苏电建三公司施工合同纠纷判决书源（P8032）为docx二进制乱码，无法提取金额与事实；华昕设计集团报告源（P8025）正文与标题错位（内容为遥感图像融合主题），其数据不可采信——两源可能涉及的事实均未纳入本章。</w:t>
      </w:r>
    </w:p>
    <w:p>
      <w:r>
        <w:rPr>
          <w:rFonts w:ascii="Calibri" w:hAnsi="Calibri" w:eastAsia="微软雅黑"/>
          <w:b w:val="0"/>
          <w:i w:val="0"/>
          <w:sz w:val="22"/>
        </w:rPr>
        <w:t>其四，判例样本的代表性边界。裁判文书按年份卷宗聚合（P8001—P8018各年），卷宗标题统计口径为"EPC相关"，无法区分EPC总承包与一般施工合同纠纷的占比，判例金额亦不能外推为行业坏账率；2021年篇数骤降至324篇（P8010）更可能反映文书公开口径变化而非纠纷减少，趋势解读须止步于2013—2020年。九案画像系从各卷宗卷首抽样，存在选样偏误，宜作机制参照而非统计推断。</w:t>
      </w:r>
    </w:p>
    <w:p>
      <w:r>
        <w:rPr>
          <w:rFonts w:ascii="Calibri" w:hAnsi="Calibri" w:eastAsia="微软雅黑"/>
          <w:b w:val="0"/>
          <w:i w:val="0"/>
          <w:sz w:val="22"/>
        </w:rPr>
        <w:t>其五，样本主体错配。城投2168家样本（P8000）刻画的是业主端而非承包商端财务；光伏EPC企业招股书（P8023）与配电网成套设备企业（P8024）语料均未具名主体，其净利率与营收弹性仅作区间参照，不等同于设计院转型主体的实际财务水平；跨行业参照（恒瑞、中微、轴承行业，P8023）仅用于校准净利率预期，不构成工程行业投资建议。</w:t>
      </w:r>
    </w:p>
    <w:p>
      <w:r>
        <w:rPr>
          <w:rFonts w:ascii="Calibri" w:hAnsi="Calibri" w:eastAsia="微软雅黑"/>
          <w:b w:val="0"/>
          <w:i w:val="0"/>
          <w:sz w:val="22"/>
        </w:rPr>
        <w:t>---</w:t>
      </w:r>
    </w:p>
    <w:p>
      <w:pPr>
        <w:pStyle w:val="Heading1"/>
      </w:pPr>
      <w:r>
        <w:t>第9章 技术底座：数字化、BIM与专利的技术转型</w:t>
      </w:r>
    </w:p>
    <w:p>
      <w:pPr>
        <w:ind w:left="454"/>
      </w:pPr>
      <w:r>
        <w:rPr>
          <w:rFonts w:ascii="Calibri" w:hAnsi="Calibri" w:eastAsia="微软雅黑"/>
          <w:b w:val="0"/>
          <w:i w:val="0"/>
          <w:color w:val="666666"/>
          <w:sz w:val="22"/>
        </w:rPr>
        <w:t>设计院转型EPC总承包，拼到最后不是资质与垫资，而是技术底座：数字化决定你有没有资格接单，BIM决定设计、采购、施工能否焊成一条数据链，专利与标准决定利润有没有护城河。本章沿五条决策线展开：政策拐点、生产力证据、管控穿透、专利资产、失败教训。</w:t>
      </w:r>
    </w:p>
    <w:p>
      <w:pPr>
        <w:pStyle w:val="Heading2"/>
      </w:pPr>
      <w:r>
        <w:t>9.1 政策拐点：BIM从"加分项"变成"必交项"</w:t>
      </w:r>
    </w:p>
    <w:p>
      <w:pPr>
        <w:pStyle w:val="Heading3"/>
      </w:pPr>
      <w:r>
        <w:t>9.1.1 国务院级文件首次点名</w:t>
      </w:r>
    </w:p>
    <w:p>
      <w:r>
        <w:rPr>
          <w:rFonts w:ascii="Calibri" w:hAnsi="Calibri" w:eastAsia="微软雅黑"/>
          <w:b w:val="0"/>
          <w:i w:val="0"/>
          <w:sz w:val="22"/>
        </w:rPr>
        <w:t>2026年4月，国务院印发《关于推进服务业扩能提质的意见》（国发〔2026〕7号），提出到2030年服务业总规模迈上100万亿元的目标；BIM（建筑信息模型）技术第一次出现在国务院级别的战略文件里（P9000）。这份顶层设计把BIM放到了两个关键位置（P9000）。</w:t>
      </w:r>
    </w:p>
    <w:p>
      <w:r>
        <w:rPr>
          <w:rFonts w:ascii="Calibri" w:hAnsi="Calibri" w:eastAsia="微软雅黑"/>
          <w:b w:val="0"/>
          <w:i w:val="0"/>
          <w:sz w:val="22"/>
        </w:rPr>
        <w:t>第一处在"加快软件和信息服务创新发展"章节，政策原文为"加快城市信息模型平台、建筑信息模型技术应用"（P9000）。BIM与CIM（城市信息模型）、智算云服务并列，被归入国家软件与信息服务创新体系——在国务院的定位里，BIM已经不是单纯的建筑设计工具，而是国家数字基础设施的一部分（P9000）。</w:t>
      </w:r>
    </w:p>
    <w:p>
      <w:r>
        <w:rPr>
          <w:rFonts w:ascii="Calibri" w:hAnsi="Calibri" w:eastAsia="微软雅黑"/>
          <w:b w:val="0"/>
          <w:i w:val="0"/>
          <w:sz w:val="22"/>
        </w:rPr>
        <w:t>第二处在"全链条补强生产性服务业薄弱环节"章节，政策要求"提升工程勘察、设计、监理等全过程服务水平，开展公共机构和大型公共建筑节能降碳改造"（P9000）。BIM由此被要求覆盖勘察、设计、监理、运维全过程，并向既有建筑的节能改造延伸（P9000）。</w:t>
      </w:r>
    </w:p>
    <w:p>
      <w:r>
        <w:rPr>
          <w:rFonts w:ascii="Calibri" w:hAnsi="Calibri" w:eastAsia="微软雅黑"/>
          <w:b w:val="0"/>
          <w:i w:val="0"/>
          <w:sz w:val="22"/>
        </w:rPr>
        <w:t>两处放在一起读，信号非常清晰：BIM不再只是设计院用来出三维效果图的软件，而是给建筑发的一张"数字护照"——从规划到拆除、从能耗到碳排，一栋建筑的全部数字生命都要依托这张护照来承载（P9000）。国务院文件的分量和住建部的通知不在一个量级，"这一次不是建议，是规定动作"（P9000）。更直白的类比是：就像TCP/IP是互联网的数据协议，BIM正在成为工程行业的数据协议，所有的数字化能力都从它上面长出来（P9000）。</w:t>
      </w:r>
    </w:p>
    <w:p>
      <w:r>
        <w:rPr>
          <w:rFonts w:ascii="Calibri" w:hAnsi="Calibri" w:eastAsia="微软雅黑"/>
          <w:b/>
          <w:i w:val="0"/>
          <w:sz w:val="22"/>
        </w:rPr>
        <w:t>表9-1 国发〔2026〕7号文的BIM定位与设计院动作（政策原文与定位均引自P9000）</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文件位置</w:t>
            </w:r>
          </w:p>
        </w:tc>
        <w:tc>
          <w:tcPr>
            <w:tcW w:type="dxa" w:w="2075"/>
            <w:shd w:fill="1F3A5F"/>
          </w:tcPr>
          <w:p>
            <w:r>
              <w:rPr>
                <w:color w:val="FFFFFF"/>
              </w:rPr>
            </w:r>
            <w:r>
              <w:rPr>
                <w:rFonts w:ascii="Calibri" w:hAnsi="Calibri" w:eastAsia="微软雅黑"/>
                <w:b/>
                <w:i w:val="0"/>
                <w:color w:val="FFFFFF"/>
                <w:sz w:val="18"/>
              </w:rPr>
              <w:t>政策原文（摘）</w:t>
            </w:r>
          </w:p>
        </w:tc>
        <w:tc>
          <w:tcPr>
            <w:tcW w:type="dxa" w:w="2075"/>
            <w:shd w:fill="1F3A5F"/>
          </w:tcPr>
          <w:p>
            <w:r>
              <w:rPr>
                <w:color w:val="FFFFFF"/>
              </w:rPr>
            </w:r>
            <w:r>
              <w:rPr>
                <w:rFonts w:ascii="Calibri" w:hAnsi="Calibri" w:eastAsia="微软雅黑"/>
                <w:b/>
                <w:i w:val="0"/>
                <w:color w:val="FFFFFF"/>
                <w:sz w:val="18"/>
              </w:rPr>
              <w:t>国家定位</w:t>
            </w:r>
          </w:p>
        </w:tc>
        <w:tc>
          <w:tcPr>
            <w:tcW w:type="dxa" w:w="2075"/>
            <w:shd w:fill="1F3A5F"/>
          </w:tcPr>
          <w:p>
            <w:r>
              <w:rPr>
                <w:color w:val="FFFFFF"/>
              </w:rPr>
            </w:r>
            <w:r>
              <w:rPr>
                <w:rFonts w:ascii="Calibri" w:hAnsi="Calibri" w:eastAsia="微软雅黑"/>
                <w:b/>
                <w:i w:val="0"/>
                <w:color w:val="FFFFFF"/>
                <w:sz w:val="18"/>
              </w:rPr>
              <w:t>设计院对应动作</w:t>
            </w:r>
          </w:p>
        </w:tc>
      </w:tr>
      <w:tr>
        <w:tc>
          <w:tcPr>
            <w:tcW w:type="dxa" w:w="2075"/>
          </w:tcPr>
          <w:p>
            <w:r/>
            <w:r>
              <w:rPr>
                <w:rFonts w:ascii="Calibri" w:hAnsi="Calibri" w:eastAsia="微软雅黑"/>
                <w:b w:val="0"/>
                <w:i w:val="0"/>
                <w:sz w:val="18"/>
              </w:rPr>
              <w:t>软件和信息服务创新发展</w:t>
            </w:r>
          </w:p>
        </w:tc>
        <w:tc>
          <w:tcPr>
            <w:tcW w:type="dxa" w:w="2075"/>
          </w:tcPr>
          <w:p>
            <w:r/>
            <w:r>
              <w:rPr>
                <w:rFonts w:ascii="Calibri" w:hAnsi="Calibri" w:eastAsia="微软雅黑"/>
                <w:b w:val="0"/>
                <w:i w:val="0"/>
                <w:sz w:val="18"/>
              </w:rPr>
              <w:t>加快城市信息模型平台、建筑信息模型技术应用</w:t>
            </w:r>
          </w:p>
        </w:tc>
        <w:tc>
          <w:tcPr>
            <w:tcW w:type="dxa" w:w="2075"/>
          </w:tcPr>
          <w:p>
            <w:r/>
            <w:r>
              <w:rPr>
                <w:rFonts w:ascii="Calibri" w:hAnsi="Calibri" w:eastAsia="微软雅黑"/>
                <w:b w:val="0"/>
                <w:i w:val="0"/>
                <w:sz w:val="18"/>
              </w:rPr>
              <w:t>国家数字基础设施的组成部分</w:t>
            </w:r>
          </w:p>
        </w:tc>
        <w:tc>
          <w:tcPr>
            <w:tcW w:type="dxa" w:w="2075"/>
          </w:tcPr>
          <w:p>
            <w:r/>
            <w:r>
              <w:rPr>
                <w:rFonts w:ascii="Calibri" w:hAnsi="Calibri" w:eastAsia="微软雅黑"/>
                <w:b w:val="0"/>
                <w:i w:val="0"/>
                <w:sz w:val="18"/>
              </w:rPr>
              <w:t>建模能力平台化，预留向CIM城市级延展的接口</w:t>
            </w:r>
          </w:p>
        </w:tc>
      </w:tr>
      <w:tr>
        <w:tc>
          <w:tcPr>
            <w:tcW w:type="dxa" w:w="2075"/>
          </w:tcPr>
          <w:p>
            <w:r/>
            <w:r>
              <w:rPr>
                <w:rFonts w:ascii="Calibri" w:hAnsi="Calibri" w:eastAsia="微软雅黑"/>
                <w:b w:val="0"/>
                <w:i w:val="0"/>
                <w:sz w:val="18"/>
              </w:rPr>
              <w:t>生产性服务业补链</w:t>
            </w:r>
          </w:p>
        </w:tc>
        <w:tc>
          <w:tcPr>
            <w:tcW w:type="dxa" w:w="2075"/>
          </w:tcPr>
          <w:p>
            <w:r/>
            <w:r>
              <w:rPr>
                <w:rFonts w:ascii="Calibri" w:hAnsi="Calibri" w:eastAsia="微软雅黑"/>
                <w:b w:val="0"/>
                <w:i w:val="0"/>
                <w:sz w:val="18"/>
              </w:rPr>
              <w:t>提升工程勘察、设计、监理等全过程服务水平</w:t>
            </w:r>
          </w:p>
        </w:tc>
        <w:tc>
          <w:tcPr>
            <w:tcW w:type="dxa" w:w="2075"/>
          </w:tcPr>
          <w:p>
            <w:r/>
            <w:r>
              <w:rPr>
                <w:rFonts w:ascii="Calibri" w:hAnsi="Calibri" w:eastAsia="微软雅黑"/>
                <w:b w:val="0"/>
                <w:i w:val="0"/>
                <w:sz w:val="18"/>
              </w:rPr>
              <w:t>贯穿勘察设计监理运维的全过程工具</w:t>
            </w:r>
          </w:p>
        </w:tc>
        <w:tc>
          <w:tcPr>
            <w:tcW w:type="dxa" w:w="2075"/>
          </w:tcPr>
          <w:p>
            <w:r/>
            <w:r>
              <w:rPr>
                <w:rFonts w:ascii="Calibri" w:hAnsi="Calibri" w:eastAsia="微软雅黑"/>
                <w:b w:val="0"/>
                <w:i w:val="0"/>
                <w:sz w:val="18"/>
              </w:rPr>
              <w:t>交付物从"图纸"改为"模型+数据"，覆盖运维与节能改造</w:t>
            </w:r>
          </w:p>
        </w:tc>
      </w:tr>
    </w:tbl>
    <w:p>
      <w:pPr>
        <w:pStyle w:val="Heading3"/>
      </w:pPr>
      <w:r>
        <w:t>9.1.2 六省市强制与"费用终于有人出"</w:t>
      </w:r>
    </w:p>
    <w:p>
      <w:r>
        <w:rPr>
          <w:rFonts w:ascii="Calibri" w:hAnsi="Calibri" w:eastAsia="微软雅黑"/>
          <w:b w:val="0"/>
          <w:i w:val="0"/>
          <w:sz w:val="22"/>
        </w:rPr>
        <w:t>2026年，广东、福建、深圳、浙江、青海、新疆6省市已出台BIM强制或准强制政策，BIM强制落地进入倒计时（P9000）。这六省市横跨华南、东南沿海与西北板块，既有沿海经济体量重镇、也有西部能源大省——政策扩散的地理跨度本身即是信号（P9000）。对正在投标、做验收或负责设计院数字化交付的团队，必须知道两个变化：BIM从"加分项"变成了"必交项"；费用终于有人出了——建设方买单（P9000）。</w:t>
      </w:r>
    </w:p>
    <w:p>
      <w:r>
        <w:rPr>
          <w:rFonts w:ascii="Calibri" w:hAnsi="Calibri" w:eastAsia="微软雅黑"/>
          <w:b w:val="0"/>
          <w:i w:val="0"/>
          <w:sz w:val="22"/>
        </w:rPr>
        <w:t>这条变化背后的历史教训值得管理层牢记：过去BIM推不动，最大的原因不是技术不行，而是没人买单——设计院自费建模、业主不认账，BIM变成了投标时的成本负担（P9000）。政策强制加建设方买单的组合，把数字化交付从"设计院的费用中心"改写为"有合同对价的服务科目"。对设计院而言，这是商业模式级别的转变，其意义大于任何单次软件采购的节约。</w:t>
      </w:r>
    </w:p>
    <w:p>
      <w:r>
        <w:rPr>
          <w:rFonts w:ascii="Calibri" w:hAnsi="Calibri" w:eastAsia="微软雅黑"/>
          <w:b w:val="0"/>
          <w:i w:val="0"/>
          <w:sz w:val="22"/>
        </w:rPr>
        <w:t>还有一层常被忽略的政策红利：7号文第二处把BIM的射程从新建工程拉到了"公共机构和大型公共建筑节能降碳改造"（P9000）。这意味着既有建筑的改造与运维市场被同时打开了接口——设计院积累的建筑数据资产第一次有了跨项目、跨年限的复用场景。与CIM（城市信息模型）并列写入国家软件创新体系（P9000），则进一步指向城市级数字孪生入口：单栋建筑的BIM只是数据点，成片接入CIM才是数据网络。率先把交付数据按"可接入城市平台"的标准来组织的院，将在城市更新与智慧城市分包中拿到先手；反之，只按"交差"标准组织的院，每个项目结束数据就归零。</w:t>
      </w:r>
    </w:p>
    <w:p>
      <w:pPr>
        <w:pStyle w:val="Heading3"/>
      </w:pPr>
      <w:r>
        <w:t>9.1.3 市场量级：高速扩张的软件赛道与产品谱系</w:t>
      </w:r>
    </w:p>
    <w:p>
      <w:r>
        <w:rPr>
          <w:rFonts w:ascii="Calibri" w:hAnsi="Calibri" w:eastAsia="微软雅黑"/>
          <w:b w:val="0"/>
          <w:i w:val="0"/>
          <w:sz w:val="22"/>
        </w:rPr>
        <w:t>市场侧的量级同样重要。全球BIM软件市场2025年规模约69.28亿美元，预计到2032年将攀升至228.6亿美元，年复合增长率18.6%（P9000），七年间市场规模将扩张至三倍以上（own_calc：228.6÷69.28，P9000），这个增速放在全球软件行业里属于非常高的水平（P9000）。对买方的含义有两条：其一，工具供给会持续快速迭代，今天的选型三五年后必然面临换代，合同里必须写清数据迁移与模型所有权条款；其二，赛道扩张意味着人才与实施服务价格上行，数字化预算不能只算软件许可费，还要把实施、培训、数据治理的复投计入全周期成本。</w:t>
      </w:r>
    </w:p>
    <w:p>
      <w:r>
        <w:rPr>
          <w:rFonts w:ascii="Calibri" w:hAnsi="Calibri" w:eastAsia="微软雅黑"/>
          <w:b w:val="0"/>
          <w:i w:val="0"/>
          <w:sz w:val="22"/>
        </w:rPr>
        <w:t>一个可操作的预算框架是把数字化总投入拆成四块：软件许可、实施与数据迁移、培训与流程再造、逐年数据治理——第一块通常只是零头，后三块才是长期成本的主干；合同谈判的重点因此应放在实施服务与数据条款上，而非许可折扣上。这个框架同样适用于评估"建设方买单"模式下的报价结构（P9000）：对方付费买的是交付能力，而交付能力的成本大头藏在交付之外。</w:t>
      </w:r>
    </w:p>
    <w:p>
      <w:r>
        <w:rPr>
          <w:rFonts w:ascii="Calibri" w:hAnsi="Calibri" w:eastAsia="微软雅黑"/>
          <w:b w:val="0"/>
          <w:i w:val="0"/>
          <w:sz w:val="22"/>
        </w:rPr>
        <w:t>供给端已形成完整产品谱系。以结构设计软件商盈建科为例，其披露的BIMFire通用BIM与数字化软件研发平台，以BIM数据协同、高性能图形引擎、几何约束求解与参数化组件等关键核心技术为基础；其BIM数据及协同平台采用"云+端"融合架构，汇聚多专业BIM数据协同、二维图纸智能翻模、本地与云端构件级数据同步、多人并行协作、系统授权管控、AI云端Agent等能力，并提供智能工程校审与施工图审查等功能（P9002）。软件谱系覆盖建筑BIM设计、结构BIM设计、暖通BIM设计、给排水BIM设计、电气BIM设计与装配式建筑设计、协同工具软件、施工图审查系统、工程校审软件，以及模板脚手架设计、BIM施工结构计算、施工场地布置、钢筋翻样、铝模板设计、智能算量、施工安全验算等多种施工及深化设计类软件（P9002）。</w:t>
      </w:r>
    </w:p>
    <w:p>
      <w:r>
        <w:rPr>
          <w:rFonts w:ascii="Calibri" w:hAnsi="Calibri" w:eastAsia="微软雅黑"/>
          <w:b w:val="0"/>
          <w:i w:val="0"/>
          <w:sz w:val="22"/>
        </w:rPr>
        <w:t>这份谱系有两层战略含义。第一层：设计端与施工深化端已经在同一套数据底座上打通——设计院与施工方的软件边界正在消失，谁先在同一个对象模型上同时服务设计与施工，谁就占据EPC数据链的主导权。第二层：校审与审查环节的自动化（智能工程校审、施工图审查系统，P9002）意味着质量控制从"人盯图"转向"规则引擎盯模型"，设计院的质量体系必须随之重构，否则人工校审的速度将成为整个数据链的瓶颈。</w:t>
      </w:r>
    </w:p>
    <w:p>
      <w:r>
        <w:rPr>
          <w:rFonts w:ascii="Calibri" w:hAnsi="Calibri" w:eastAsia="微软雅黑"/>
          <w:b w:val="0"/>
          <w:i w:val="0"/>
          <w:sz w:val="22"/>
        </w:rPr>
        <w:t>行业应用还下探到高度专业化的场景：水利BIM数字化设计软件支持挡土墙、铺盖、消力池、水闸等各类水利建筑物的BIM设计，可快速实现BIM建模、三维钢筋配置，并支持结构计算及施工图自动生成，为水利工程数字化提供完整技术支撑（P9002）。商业模式的分野也已经清晰，券商研究把两类服务并列为成熟路径：一类是BIM建筑数据集成平台服务——以BIM模型为核心的项目管理平台，可对项目的设计、施工及后期的运维进行数字化管理，对项目建设周期内流转的管理数据进行集成（P9002）；另一类是贯穿工程设计、工程施工、工程竣工阶段的全过程BIM服务（P9002）。落地手法上，行业实践强调把BIM模型变轻、达到"人人可用"的目的，通过BIM与现场的结合实现虚实结合的协调目的，通过BIM+二维码进行物料管理；中国证券期货业南方信息技术中心即因"数据保密要求高、管理业务不定、响应速度要求快"的特征成为典型应用场景（P9002）。</w:t>
      </w:r>
    </w:p>
    <w:p>
      <w:pPr>
        <w:pStyle w:val="Heading3"/>
      </w:pPr>
      <w:r>
        <w:t>9.1.4 标杆：全球赛场的中国答案</w:t>
      </w:r>
    </w:p>
    <w:p>
      <w:r>
        <w:rPr>
          <w:rFonts w:ascii="Calibri" w:hAnsi="Calibri" w:eastAsia="微软雅黑"/>
          <w:b w:val="0"/>
          <w:i w:val="0"/>
          <w:sz w:val="22"/>
        </w:rPr>
        <w:t>标杆层面，中国电建昆明院《BIM+GIS数字化转型技术在横琴科学城（二期）项目设计+施工阶段的综合应用》荣获2022智建"Smart BIM"大赛综合组一等奖，系该届全球BIM大赛最高等级奖项（P9010）。大赛于第四届建筑数字化应用高峰论坛期间在广州颁奖，由英国皇家特许测量师学会（RICS）、英国皇家特许建造学会（CIOB）、广东省城市建筑学会（GUAS）联合主办，英国标准协会（BSI）、英国建筑研究院（BRE）、英国专业技能研究学会（AMS）、澳门建筑信息学会（IBIM）、buildingSMART中国分部等机构承办，旨在加快推进建筑业数字化转型、推行绿色建造、实现"双碳"战略目标、提升"中国建造"的核心竞争力，共收到国际和国内报名参赛作品887项，涵盖各类建筑以及各个阶段的BIM应用（P9010）。887项作品里拿最高奖，说明国内头部设计院的BIM+GIS能力已具备国际可比性。</w:t>
      </w:r>
    </w:p>
    <w:p>
      <w:r>
        <w:rPr>
          <w:rFonts w:ascii="Calibri" w:hAnsi="Calibri" w:eastAsia="微软雅黑"/>
          <w:b w:val="0"/>
          <w:i w:val="0"/>
          <w:sz w:val="22"/>
        </w:rPr>
        <w:t>获奖项目本身也是超大规模：横琴科学城（二期）总建筑面积约137万平方米，地处国家级新区、国家自由贸易试验区、"一带一路"发展倡议、粤港澳大湾区及国家自主创新示范区五重战略叠加区域，以新产业、新技术、新空间、新形象为战略逻辑（P9010）。昆明院的可复制打法有三条（P9010）：一是把BIM作为工程项目技术实施和管理的手段，促进设计协同、解决设计冲突、优化设计质量、模拟建造工艺、优化施工进度；二是建立BIM+GIS+工程管理的信息化管理平台，融合进度、质量、安全、成本管理业务，实现贯穿设计与施工全过程的工程数字化管理与数字化交付；三是综合应用轻量化引擎及构件化开发技术，融合多源异构大数据，研发工程全生命周期的"流程驱动+业务集成+移动应用+智能管理"一体的BIM+GIS管控平台，并提出BIM+GIS数字孪生解决思路，为横琴粤澳深度合作区智慧城市建设提供数据基础。三条打法的共同内核是"一个模型贯穿到底"——设计、施工、城市管理消费的是同一个数据源，这正是9.2节对象化设计的市场化表达。</w:t>
      </w:r>
    </w:p>
    <w:p>
      <w:pPr>
        <w:pStyle w:val="Heading3"/>
      </w:pPr>
      <w:r>
        <w:t>9.1.5 三类主体的分工：政策之下各抓什么</w:t>
      </w:r>
    </w:p>
    <w:p>
      <w:r>
        <w:rPr>
          <w:rFonts w:ascii="Calibri" w:hAnsi="Calibri" w:eastAsia="微软雅黑"/>
          <w:b w:val="0"/>
          <w:i w:val="0"/>
          <w:sz w:val="22"/>
        </w:rPr>
        <w:t>政策落地的分工逻辑也随之清晰（本节为基于P9000政策事实与P9002商业模式事实的决策推演，不含新数字）。对设计院：数字化交付从投标附件升级为合同标的，头等任务是建立"对象库+交付标准+计价科目"三位一体的交付体系——没有对象库，交付只是格式转换；没有交付标准，验收必然扯皮；没有计价科目，干得越多亏得越多。对施工方：BIM从"设计院发来的模型"变成施工组织、进度模拟与物料管理的输入端，模型消费能力（轻量化浏览、碰撞检查、算量复用）将逐步成为分包准入门槛。对BIM团队：从项目制打零工转向产品制——把重复出现的建模、检查、算量动作封装为工具与模板，向"平台集成服务"与"全过程BIM服务"两条已验证路径靠拢（P9002）。三类主体各就各位的过程，就是政策红利从文件变成现金流的过程。</w:t>
      </w:r>
    </w:p>
    <w:p>
      <w:r>
        <w:rPr>
          <w:rFonts w:ascii="Calibri" w:hAnsi="Calibri" w:eastAsia="微软雅黑"/>
          <w:b/>
          <w:i w:val="0"/>
          <w:sz w:val="22"/>
        </w:rPr>
        <w:t>所以呢？</w:t>
      </w:r>
      <w:r>
        <w:rPr>
          <w:rFonts w:ascii="Calibri" w:hAnsi="Calibri" w:eastAsia="微软雅黑"/>
          <w:b w:val="0"/>
          <w:i w:val="0"/>
          <w:sz w:val="22"/>
        </w:rPr>
        <w:t xml:space="preserve"> 9.1节给决策层的三条硬结论：第一，把BIM交付能力按"投标资格"而非"软件采购"来配置——在6省市强制区，没有BIM能力等于没有入场券（P9000）；第二，收费逻辑已从"设计院自费"切换到"建设方买单"，应立即把数字化交付写入合同对价科目，把政策红利变成收入（P9000）；第三，在"BIM建筑数据集成平台服务"与"全过程BIM服务"两条已验证的商业路径中至少占一条，避免退化成只卖建模工时（P9002）。</w:t>
      </w:r>
    </w:p>
    <w:p>
      <w:pPr>
        <w:pStyle w:val="Heading2"/>
      </w:pPr>
      <w:r>
        <w:t>9.2 从文档驱动到对象驱动：数字化设计的生产力证据</w:t>
      </w:r>
    </w:p>
    <w:p>
      <w:pPr>
        <w:pStyle w:val="Heading3"/>
      </w:pPr>
      <w:r>
        <w:t>9.2.1 文档驱动在EPC下必然失灵</w:t>
      </w:r>
    </w:p>
    <w:p>
      <w:r>
        <w:rPr>
          <w:rFonts w:ascii="Calibri" w:hAnsi="Calibri" w:eastAsia="微软雅黑"/>
          <w:b w:val="0"/>
          <w:i w:val="0"/>
          <w:sz w:val="22"/>
        </w:rPr>
        <w:t>传统设计模式下，图纸、材料清单与设备清单以离散的文件形式存在，仅通过文字引用关联（P9008）。核电仪控（I&amp;C）安装设计是这类问题的极端样本：它涉及上千种仪表、仪表架及数百种大宗材料，数据分散在孤立的纸质或电子文档中，极易出现设计修改不同步、材料错买漏买等"人因失效"（P9005、P9008）。在单专业、分段承包的旧体制里，这类不同步靠校审流程和现场签证还能兜住；一旦进入EPC总承包——设计、采购、施工压在同一个合同责任主体身上——每一次"不同步"都直接转化为采购返工、工期损失与索赔敞口。这正是核电行业率先完成设计范式切换的原因：复杂度最高的领域，最先撞上旧范式的天花板。</w:t>
      </w:r>
    </w:p>
    <w:p>
      <w:r>
        <w:rPr>
          <w:rFonts w:ascii="Calibri" w:hAnsi="Calibri" w:eastAsia="微软雅黑"/>
          <w:b w:val="0"/>
          <w:i w:val="0"/>
          <w:sz w:val="22"/>
        </w:rPr>
        <w:t>把这个问题从核电翻译回民用与工业设计院，尺度会缩小但结构不变：一个中型工业项目同样有设备表、材料表、电缆清册的几十个版本，同样存在"图改了、表没改"的经典事故。设计院管理层可以用一个简单测试自检：随机抽三个专业最近一次设计变更，检查设备表与图纸是否同步更新、更新耗时几天——如果答案依赖某个老工程师的记忆而不是系统，那么贵院还没有技术底座，只有技术习惯。</w:t>
      </w:r>
    </w:p>
    <w:p>
      <w:pPr>
        <w:pStyle w:val="Heading3"/>
      </w:pPr>
      <w:r>
        <w:t>9.2.2 对象化设计：中核工程的EB实践</w:t>
      </w:r>
    </w:p>
    <w:p>
      <w:r>
        <w:rPr>
          <w:rFonts w:ascii="Calibri" w:hAnsi="Calibri" w:eastAsia="微软雅黑"/>
          <w:b w:val="0"/>
          <w:i w:val="0"/>
          <w:sz w:val="22"/>
        </w:rPr>
        <w:t>中国核电工程有限公司（中核工程）通过引入Engineering Base（EB）数字化平台，发起了一场"对象化设计"革命：EB软件的核心价值在于通过"数据源清洗"，将离散的文档转化为具有层级架构的结构化对象（P9008）。以漳州1#、2#机组项目为例，数字化设计的核心是建立"一个仪表对应一个标准"的强关联，其机制分三层（P9005）。</w:t>
      </w:r>
    </w:p>
    <w:p>
      <w:r>
        <w:rPr>
          <w:rFonts w:ascii="Calibri" w:hAnsi="Calibri" w:eastAsia="微软雅黑"/>
          <w:b w:val="0"/>
          <w:i w:val="0"/>
          <w:sz w:val="22"/>
        </w:rPr>
        <w:t>第一层，结构化属性定义。把传统散落在图纸中的材质、重量、抗震等级等参数固化为对象的结构化属性——例如把仪表架的属性定义为材料（碳钢/不锈钢）、重量（精确到kg）、抗震等级（如8度）、接口类型（如4-20mA）（P9005）。属性一旦结构化，下游采购与施工拿到的就不再是"需要自己读图理解"的图纸，而是可直接驱动询价、下单和安装验收的数据。对非核电设计院的翻译是：把你院最复杂的三个专业（通常是工艺、电气、暖通）的设备表先对象化，就能验证八成的价值——属性结构化的难点从来不是软件，而是各专业对"什么算权威属性"达成一致。</w:t>
      </w:r>
    </w:p>
    <w:p>
      <w:r>
        <w:rPr>
          <w:rFonts w:ascii="Calibri" w:hAnsi="Calibri" w:eastAsia="微软雅黑"/>
          <w:b w:val="0"/>
          <w:i w:val="0"/>
          <w:sz w:val="22"/>
        </w:rPr>
        <w:t>第二层，数据源唯一性。通过建立"项目号-对象分类单元-机组号-设备单元-系统号"五层级架构，确保大宗材料数据在全生命周期内的唯一性与可追溯性（P9005）。这一层解决的是设计院最顽固的顽疾：同一设备在不同专业、不同阶段、不同版本文件里的"多个真相"。在EPC合同下，"多个真相"意味着采购数量打架、竣工结算争议，其代价全部由总承包商承担——设计院过去把这类不一致外部化给业主与施工方，做总承包后再无转嫁对象。</w:t>
      </w:r>
    </w:p>
    <w:p>
      <w:r>
        <w:rPr>
          <w:rFonts w:ascii="Calibri" w:hAnsi="Calibri" w:eastAsia="微软雅黑"/>
          <w:b w:val="0"/>
          <w:i w:val="0"/>
          <w:sz w:val="22"/>
        </w:rPr>
        <w:t>第三层，统计效率的量化跃升。基于EB软件的数字化结构化设计能够自动生成清单，统计效率提升80%以上，而传统设计模式需要人工逐张查图统计、易错率高；在数据一致性方面，数字化设计实现了源头修改、全系统自动更新（P9005）。这个80%不是孤立的效率指标，它的商业含义是：设计院最耗人力、最易出错的"图纸-清单"转换环节被压缩了一个数量级，设计人力从"生产图纸"转向"定义对象"——后者才是可沉淀、可复用、可跨项目变现的技术资产。</w:t>
      </w:r>
    </w:p>
    <w:p>
      <w:r>
        <w:rPr>
          <w:rFonts w:ascii="Calibri" w:hAnsi="Calibri" w:eastAsia="微软雅黑"/>
          <w:b/>
          <w:i w:val="0"/>
          <w:sz w:val="22"/>
        </w:rPr>
        <w:t>表9-2 文档驱动与对象驱动的对照（以中核工程EB实践为证，全部引自P9005、P9008）</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维度</w:t>
            </w:r>
          </w:p>
        </w:tc>
        <w:tc>
          <w:tcPr>
            <w:tcW w:type="dxa" w:w="2767"/>
            <w:shd w:fill="1F3A5F"/>
          </w:tcPr>
          <w:p>
            <w:r>
              <w:rPr>
                <w:color w:val="FFFFFF"/>
              </w:rPr>
            </w:r>
            <w:r>
              <w:rPr>
                <w:rFonts w:ascii="Calibri" w:hAnsi="Calibri" w:eastAsia="微软雅黑"/>
                <w:b/>
                <w:i w:val="0"/>
                <w:color w:val="FFFFFF"/>
                <w:sz w:val="18"/>
              </w:rPr>
              <w:t>文档驱动模式</w:t>
            </w:r>
          </w:p>
        </w:tc>
        <w:tc>
          <w:tcPr>
            <w:tcW w:type="dxa" w:w="2767"/>
            <w:shd w:fill="1F3A5F"/>
          </w:tcPr>
          <w:p>
            <w:r>
              <w:rPr>
                <w:color w:val="FFFFFF"/>
              </w:rPr>
            </w:r>
            <w:r>
              <w:rPr>
                <w:rFonts w:ascii="Calibri" w:hAnsi="Calibri" w:eastAsia="微软雅黑"/>
                <w:b/>
                <w:i w:val="0"/>
                <w:color w:val="FFFFFF"/>
                <w:sz w:val="18"/>
              </w:rPr>
              <w:t>对象驱动模式（EB）</w:t>
            </w:r>
          </w:p>
        </w:tc>
      </w:tr>
      <w:tr>
        <w:tc>
          <w:tcPr>
            <w:tcW w:type="dxa" w:w="2767"/>
          </w:tcPr>
          <w:p>
            <w:r/>
            <w:r>
              <w:rPr>
                <w:rFonts w:ascii="Calibri" w:hAnsi="Calibri" w:eastAsia="微软雅黑"/>
                <w:b w:val="0"/>
                <w:i w:val="0"/>
                <w:sz w:val="18"/>
              </w:rPr>
              <w:t>属性存放</w:t>
            </w:r>
          </w:p>
        </w:tc>
        <w:tc>
          <w:tcPr>
            <w:tcW w:type="dxa" w:w="2767"/>
          </w:tcPr>
          <w:p>
            <w:r/>
            <w:r>
              <w:rPr>
                <w:rFonts w:ascii="Calibri" w:hAnsi="Calibri" w:eastAsia="微软雅黑"/>
                <w:b w:val="0"/>
                <w:i w:val="0"/>
                <w:sz w:val="18"/>
              </w:rPr>
              <w:t>散落图纸、靠人工解读</w:t>
            </w:r>
          </w:p>
        </w:tc>
        <w:tc>
          <w:tcPr>
            <w:tcW w:type="dxa" w:w="2767"/>
          </w:tcPr>
          <w:p>
            <w:r/>
            <w:r>
              <w:rPr>
                <w:rFonts w:ascii="Calibri" w:hAnsi="Calibri" w:eastAsia="微软雅黑"/>
                <w:b w:val="0"/>
                <w:i w:val="0"/>
                <w:sz w:val="18"/>
              </w:rPr>
              <w:t>结构化属性：材料（碳钢/不锈钢）、重量（精确到kg）、抗震等级（如8度）、接口类型（如4-20mA）</w:t>
            </w:r>
          </w:p>
        </w:tc>
      </w:tr>
      <w:tr>
        <w:tc>
          <w:tcPr>
            <w:tcW w:type="dxa" w:w="2767"/>
          </w:tcPr>
          <w:p>
            <w:r/>
            <w:r>
              <w:rPr>
                <w:rFonts w:ascii="Calibri" w:hAnsi="Calibri" w:eastAsia="微软雅黑"/>
                <w:b w:val="0"/>
                <w:i w:val="0"/>
                <w:sz w:val="18"/>
              </w:rPr>
              <w:t>数据源</w:t>
            </w:r>
          </w:p>
        </w:tc>
        <w:tc>
          <w:tcPr>
            <w:tcW w:type="dxa" w:w="2767"/>
          </w:tcPr>
          <w:p>
            <w:r/>
            <w:r>
              <w:rPr>
                <w:rFonts w:ascii="Calibri" w:hAnsi="Calibri" w:eastAsia="微软雅黑"/>
                <w:b w:val="0"/>
                <w:i w:val="0"/>
                <w:sz w:val="18"/>
              </w:rPr>
              <w:t>多源重复、修改不同步</w:t>
            </w:r>
          </w:p>
        </w:tc>
        <w:tc>
          <w:tcPr>
            <w:tcW w:type="dxa" w:w="2767"/>
          </w:tcPr>
          <w:p>
            <w:r/>
            <w:r>
              <w:rPr>
                <w:rFonts w:ascii="Calibri" w:hAnsi="Calibri" w:eastAsia="微软雅黑"/>
                <w:b w:val="0"/>
                <w:i w:val="0"/>
                <w:sz w:val="18"/>
              </w:rPr>
              <w:t>五层级架构（项目号-对象分类单元-机组号-设备单元-系统号）保证全生命周期唯一可追溯</w:t>
            </w:r>
          </w:p>
        </w:tc>
      </w:tr>
      <w:tr>
        <w:tc>
          <w:tcPr>
            <w:tcW w:type="dxa" w:w="2767"/>
          </w:tcPr>
          <w:p>
            <w:r/>
            <w:r>
              <w:rPr>
                <w:rFonts w:ascii="Calibri" w:hAnsi="Calibri" w:eastAsia="微软雅黑"/>
                <w:b w:val="0"/>
                <w:i w:val="0"/>
                <w:sz w:val="18"/>
              </w:rPr>
              <w:t>统计方式</w:t>
            </w:r>
          </w:p>
        </w:tc>
        <w:tc>
          <w:tcPr>
            <w:tcW w:type="dxa" w:w="2767"/>
          </w:tcPr>
          <w:p>
            <w:r/>
            <w:r>
              <w:rPr>
                <w:rFonts w:ascii="Calibri" w:hAnsi="Calibri" w:eastAsia="微软雅黑"/>
                <w:b w:val="0"/>
                <w:i w:val="0"/>
                <w:sz w:val="18"/>
              </w:rPr>
              <w:t>人工逐张查图、易错率高</w:t>
            </w:r>
          </w:p>
        </w:tc>
        <w:tc>
          <w:tcPr>
            <w:tcW w:type="dxa" w:w="2767"/>
          </w:tcPr>
          <w:p>
            <w:r/>
            <w:r>
              <w:rPr>
                <w:rFonts w:ascii="Calibri" w:hAnsi="Calibri" w:eastAsia="微软雅黑"/>
                <w:b w:val="0"/>
                <w:i w:val="0"/>
                <w:sz w:val="18"/>
              </w:rPr>
              <w:t>自动生成清单，统计效率提升80%以上</w:t>
            </w:r>
          </w:p>
        </w:tc>
      </w:tr>
      <w:tr>
        <w:tc>
          <w:tcPr>
            <w:tcW w:type="dxa" w:w="2767"/>
          </w:tcPr>
          <w:p>
            <w:r/>
            <w:r>
              <w:rPr>
                <w:rFonts w:ascii="Calibri" w:hAnsi="Calibri" w:eastAsia="微软雅黑"/>
                <w:b w:val="0"/>
                <w:i w:val="0"/>
                <w:sz w:val="18"/>
              </w:rPr>
              <w:t>变更传播</w:t>
            </w:r>
          </w:p>
        </w:tc>
        <w:tc>
          <w:tcPr>
            <w:tcW w:type="dxa" w:w="2767"/>
          </w:tcPr>
          <w:p>
            <w:r/>
            <w:r>
              <w:rPr>
                <w:rFonts w:ascii="Calibri" w:hAnsi="Calibri" w:eastAsia="微软雅黑"/>
                <w:b w:val="0"/>
                <w:i w:val="0"/>
                <w:sz w:val="18"/>
              </w:rPr>
              <w:t>改一处、漏多处</w:t>
            </w:r>
          </w:p>
        </w:tc>
        <w:tc>
          <w:tcPr>
            <w:tcW w:type="dxa" w:w="2767"/>
          </w:tcPr>
          <w:p>
            <w:r/>
            <w:r>
              <w:rPr>
                <w:rFonts w:ascii="Calibri" w:hAnsi="Calibri" w:eastAsia="微软雅黑"/>
                <w:b w:val="0"/>
                <w:i w:val="0"/>
                <w:sz w:val="18"/>
              </w:rPr>
              <w:t>源头修改、全系统自动更新</w:t>
            </w:r>
          </w:p>
        </w:tc>
      </w:tr>
      <w:tr>
        <w:tc>
          <w:tcPr>
            <w:tcW w:type="dxa" w:w="2767"/>
          </w:tcPr>
          <w:p>
            <w:r/>
            <w:r>
              <w:rPr>
                <w:rFonts w:ascii="Calibri" w:hAnsi="Calibri" w:eastAsia="微软雅黑"/>
                <w:b w:val="0"/>
                <w:i w:val="0"/>
                <w:sz w:val="18"/>
              </w:rPr>
              <w:t>交付形态</w:t>
            </w:r>
          </w:p>
        </w:tc>
        <w:tc>
          <w:tcPr>
            <w:tcW w:type="dxa" w:w="2767"/>
          </w:tcPr>
          <w:p>
            <w:r/>
            <w:r>
              <w:rPr>
                <w:rFonts w:ascii="Calibri" w:hAnsi="Calibri" w:eastAsia="微软雅黑"/>
                <w:b w:val="0"/>
                <w:i w:val="0"/>
                <w:sz w:val="18"/>
              </w:rPr>
              <w:t>离散文件、文字引用关联</w:t>
            </w:r>
          </w:p>
        </w:tc>
        <w:tc>
          <w:tcPr>
            <w:tcW w:type="dxa" w:w="2767"/>
          </w:tcPr>
          <w:p>
            <w:r/>
            <w:r>
              <w:rPr>
                <w:rFonts w:ascii="Calibri" w:hAnsi="Calibri" w:eastAsia="微软雅黑"/>
                <w:b w:val="0"/>
                <w:i w:val="0"/>
                <w:sz w:val="18"/>
              </w:rPr>
              <w:t>结构化对象、层级架构</w:t>
            </w:r>
          </w:p>
        </w:tc>
      </w:tr>
    </w:tbl>
    <w:p>
      <w:r>
        <w:rPr>
          <w:rFonts w:ascii="Calibri" w:hAnsi="Calibri" w:eastAsia="微软雅黑"/>
          <w:b w:val="0"/>
          <w:i w:val="0"/>
          <w:sz w:val="22"/>
        </w:rPr>
        <w:t>配套地，EB平台依托五层数据分层架构，将设备属性（材质、重量、载荷、质保等级）深度嵌入设计对象，实现了从二维图纸到三维实物的无损映射，从而支撑后续的自动化概算计算与精准采购（P9004）。中核工程由此构建了"一软、一网、一硬、一平台"的智能工程生态，实现三维设计"虚拟建造"与智慧工地数据"实时说话"，推动产业从"制造"向"智造"跃迁（P9003、P9004）。注意这条链条的完整闭环：结构化属性→无损映射→自动化概算→精准采购——每一环都以下一环的需求为设计输入，这是设计院规划数字化平台时最容易缺失的"反向设计"视角：先想清楚采购要消费什么数据，再决定设计对象要定义什么属性。</w:t>
      </w:r>
    </w:p>
    <w:p>
      <w:r>
        <w:rPr>
          <w:rFonts w:ascii="Calibri" w:hAnsi="Calibri" w:eastAsia="微软雅黑"/>
          <w:b w:val="0"/>
          <w:i w:val="0"/>
          <w:sz w:val="22"/>
        </w:rPr>
        <w:t>这个闭环还有时间维度的含义：无损映射不是竣工时的一次性转换，而是设计每前进一步、采购与施工就同步前进一步的并行关系（P9006的DPC一体化逻辑）。多数设计院数字化失败的根因，恰恰是把"建模"当作设计完成后的追加工序，而不是设计过程本身的载体——顺序错了，模型永远追不上变更，追不上的模型没人信，没人信的模型最后变成摆设。</w:t>
      </w:r>
    </w:p>
    <w:p>
      <w:pPr>
        <w:pStyle w:val="Heading3"/>
      </w:pPr>
      <w:r>
        <w:t>9.2.3 数字化要穿透到制造端与监管端</w:t>
      </w:r>
    </w:p>
    <w:p>
      <w:r>
        <w:rPr>
          <w:rFonts w:ascii="Calibri" w:hAnsi="Calibri" w:eastAsia="微软雅黑"/>
          <w:b w:val="0"/>
          <w:i w:val="0"/>
          <w:sz w:val="22"/>
        </w:rPr>
        <w:t>以"华龙一号"蒸汽发生器智能制造为例，工程公司与东方重机紧密协作，深入探索并实践了"设计—制造—监造—协同平台"四个层级的深度融合，以及"九大场景"下的技术创新与应用，构建"现实生产"与"数字制造"的无缝对接体系（P9005）。具体做法是对制造基地的厂房、生产线、设备进行三维建模，初步实现物理环境的虚拟还原，为跨部门协作提供统一的空间参考框架（P9008）。在设备布局优化方面，生产管理部门可通过模型快速评估产线调整方案，减少现场试错成本；在安全管控升级方面，安防团队可基于三维模型与智能安防监控系统协同，实时掌握全厂运行情况，提升安全隐患排查效率（P9008）。四级深度融合的成果被概括为生产效率与产品质量的双重跃升（P9005）。</w:t>
      </w:r>
    </w:p>
    <w:p>
      <w:r>
        <w:rPr>
          <w:rFonts w:ascii="Calibri" w:hAnsi="Calibri" w:eastAsia="微软雅黑"/>
          <w:b w:val="0"/>
          <w:i w:val="0"/>
          <w:sz w:val="22"/>
        </w:rPr>
        <w:t>更进一步，数字化设计促进了设计方、设备制造厂及监管单位之间的数字化信息交互与共享，致力于构建一个开放、透明、互信的数字化信息交流平台，实现设计、生产、监管等环节数据的无缝对接与实时同步（P9008）。设计院做EPC时最容易低估的正是这一段：模型若只停留在"交付物"层面、制造端与监管端无法消费，数字化价值链就断在最后一公里——而EPC模式下，断链的损失全部计入总承包商自己的账。</w:t>
      </w:r>
    </w:p>
    <w:p>
      <w:pPr>
        <w:pStyle w:val="Heading3"/>
      </w:pPr>
      <w:r>
        <w:t>9.2.4 元数据：数字化交付的"指纹"与法律可用性</w:t>
      </w:r>
    </w:p>
    <w:p>
      <w:r>
        <w:rPr>
          <w:rFonts w:ascii="Calibri" w:hAnsi="Calibri" w:eastAsia="微软雅黑"/>
          <w:b w:val="0"/>
          <w:i w:val="0"/>
          <w:sz w:val="22"/>
        </w:rPr>
        <w:t>元数据（Metadata）是核电工程数字化交付的"指纹"（P9008）。对《核电电子文件元数据》（EJ/T 1224）与《文书类元数据方案》（DA/T 46）的比较研究表明，EPC总承包模式对元数据提出了更高的管理维度需求（P9008）。基于国际标准ISO 23081的"四实体"架构，核电EPC元数据应实现结构化分布：文件实体涵盖原生电子文件、图纸扫描件及视音频资料；机构人员实体界定设计院、分包商、业主等多元主体的权责；业务实体承载EPC模式特有的业务过程信息（P9008）。</w:t>
      </w:r>
    </w:p>
    <w:p>
      <w:r>
        <w:rPr>
          <w:rFonts w:ascii="Calibri" w:hAnsi="Calibri" w:eastAsia="微软雅黑"/>
          <w:b w:val="0"/>
          <w:i w:val="0"/>
          <w:sz w:val="22"/>
        </w:rPr>
        <w:t>对一般设计院，这一节的"所以呢"相当尖锐：数字化交付不是"把图纸塞进平台"，而是把文件、机构人员、业务三类信息一起结构化——否则交付的数据在法律与商务层面不可用，发生争议时仍然要回到纸质档案堆里找证据。尤其值得注意的是机构人员实体：它把设计院、分包商、业主的权责写进元数据（P9008），等于把EPC的责任矩阵固化进每一个数据对象。谁在什么时间、以什么角色、批准了哪一版模型——这类信息在结算与诉讼中就是证据本身（本章9.5节将用判例证明这一点）。核电行业把"文档标准"与技术标准化、质量风险量化、财务价值创造、里程碑管控并列为五大管理维度（P9005），正是吃透了这一层：没有元数据标准的数字化交付，等于没有交付。</w:t>
      </w:r>
    </w:p>
    <w:p>
      <w:pPr>
        <w:pStyle w:val="Heading3"/>
      </w:pPr>
      <w:r>
        <w:t>9.2.5 数字孪生与双模型决策：从事后补救到事前预判</w:t>
      </w:r>
    </w:p>
    <w:p>
      <w:r>
        <w:rPr>
          <w:rFonts w:ascii="Calibri" w:hAnsi="Calibri" w:eastAsia="微软雅黑"/>
          <w:b w:val="0"/>
          <w:i w:val="0"/>
          <w:sz w:val="22"/>
        </w:rPr>
        <w:t>行业研究的判断是：数字化交付已从单一工具升级为全产业链协同的"数字孪生空间"；智能化决策通过"机理-数据"双模型将风险防控从"事后补救"转向"事前预判"（P9008）。支撑这一判断的案例群包括ITER项目工时管理、华龙一号实践与数字化财务管控（P9005、P9008）。在质量与调试侧，中核工程通过穹顶吊装、数字化交付、AHP量化分析等手段，实现从"事后监督"向"主动防御"的质量管理转型（P9003）；核电站穹顶吊装作为一级里程碑节点，是核电建设从土建阶段转向安装阶段的标志（P9006）。在商务侧，区块链技术被用于保障分包商合同履行的透明性，显著降低资金占用成本（P9005）；P-D-Q-I四维度风险评价模型与数字孪生技术一起，构成可量化、可追溯、可预测的现代化工程管理体系（P9005）。</w:t>
      </w:r>
    </w:p>
    <w:p>
      <w:r>
        <w:rPr>
          <w:rFonts w:ascii="Calibri" w:hAnsi="Calibri" w:eastAsia="微软雅黑"/>
          <w:b w:val="0"/>
          <w:i w:val="0"/>
          <w:sz w:val="22"/>
        </w:rPr>
        <w:t>"机理-数据"双模型值得展开一句（P9008）：机理模型是物理规律与规范条文的固化，数据模型是现场实测与历史统计的沉淀，两者互相校核才敢做"事前预判"——只用机理模型会漏掉现场的真实分布，只用数据模型会在样本外失效。设计院的技术底座恰好双源齐备：规范条文与设计理论是机理，历年项目数据是数据，双模型不是新投入，而是既有资产的重新组织。</w:t>
      </w:r>
    </w:p>
    <w:p>
      <w:pPr>
        <w:pStyle w:val="Heading3"/>
      </w:pPr>
      <w:r>
        <w:t>9.2.6 范式转移的完整表述：从经验驱动到数据驱动</w:t>
      </w:r>
    </w:p>
    <w:p>
      <w:r>
        <w:rPr>
          <w:rFonts w:ascii="Calibri" w:hAnsi="Calibri" w:eastAsia="微软雅黑"/>
          <w:b w:val="0"/>
          <w:i w:val="0"/>
          <w:sz w:val="22"/>
        </w:rPr>
        <w:t>把上述碎片拼起来，核电EPC研究给出的总判断是：通过数字化工具、量化风险评估模型和标准化元数据体系，实现从传统"经验驱动型"向"数据驱动型"管理的范式转移（P9003）。这个转移包含四个可观测的标志（P9003）：设计主导从文档驱动升维为对象驱动，统筹采购、施工、财务与风险管理；采购从分散询价升维为多项目批量化与协同；施工从经验组织升维为结构化风险防控、精细化测量与接口管理、严格的现场签证机制；质量管理从事后监督升维为主动防御。每个标志都对应一类可审计的系统产出——对象库、询价库、签证流、质量门。管理层可以直接据此检查自家数字化项目的成色：如果系统上线一年，这四类产出一样都拿不出来，那买的不是数据驱动，是报表美化。</w:t>
      </w:r>
    </w:p>
    <w:p>
      <w:pPr>
        <w:pStyle w:val="Heading3"/>
      </w:pPr>
      <w:r>
        <w:t>9.2.7 多项目协同：技术底座的规模报酬</w:t>
      </w:r>
    </w:p>
    <w:p>
      <w:r>
        <w:rPr>
          <w:rFonts w:ascii="Calibri" w:hAnsi="Calibri" w:eastAsia="微软雅黑"/>
          <w:b w:val="0"/>
          <w:i w:val="0"/>
          <w:sz w:val="22"/>
        </w:rPr>
        <w:t>技术底座的真正报酬出现在多项目并行阶段。核电研究的结论是：通过构建高效的组织管控机制和跨项目的多维度协同体系，实现从单一项目管理向多项目协同管控的跨越，破解核电工程中接口复杂、风险高企、数量庞大的难题（P9003）；其载体是基于证据可靠分级的多维度标杆矩阵，实现多项目并行下的资源集约化与风险精准化（P9003）。对设计院的翻译是：第一个EPC项目上建的对象库、概算模型、签证模板，只有跨项目复用才能摊薄成本——数字化平台的选型标准里必须有"多项目数据隔离与复用"这一条，否则每个项目都在重付一遍学费。这也是判断数字化投入是否沉没的分水岭：单项目能用的是工具，跨项目能复用的才是底座。</w:t>
      </w:r>
    </w:p>
    <w:p>
      <w:r>
        <w:rPr>
          <w:rFonts w:ascii="Calibri" w:hAnsi="Calibri" w:eastAsia="微软雅黑"/>
          <w:b w:val="0"/>
          <w:i w:val="0"/>
          <w:sz w:val="22"/>
        </w:rPr>
        <w:t>复用还有第二层收益：人才。对象库与模板库让新工程师在入职第一个月就能站在全院十年积累上工作，而不是从零描图——技术底座因此同时是人才底座，这在注册师与高级专家稀缺的市场里（P9034的行业人才结构），是比软件更难被复制的护城河。</w:t>
      </w:r>
    </w:p>
    <w:p>
      <w:r>
        <w:rPr>
          <w:rFonts w:ascii="Calibri" w:hAnsi="Calibri" w:eastAsia="微软雅黑"/>
          <w:b/>
          <w:i w:val="0"/>
          <w:sz w:val="22"/>
        </w:rPr>
        <w:t>所以呢？</w:t>
      </w:r>
      <w:r>
        <w:rPr>
          <w:rFonts w:ascii="Calibri" w:hAnsi="Calibri" w:eastAsia="微软雅黑"/>
          <w:b w:val="0"/>
          <w:i w:val="0"/>
          <w:sz w:val="22"/>
        </w:rPr>
        <w:t xml:space="preserve"> 9.2节给决策层的三条硬结论：第一，对象化是设计院数据资产的唯一形态——图纸电子化不等于数字化设计，只有把专业Know-how固化进对象库（属性定义、层级架构、参数化模板）的企业才拥有可复用的设计资产（P9005）；第二，统计效率提升80%以上的实证（P9005）意味着数字化设计已越过"是否值得投入"的论证期，进入"如何落地"的执行期，观望的机会成本正在超过投入成本；第三，元数据四实体结构（文件、机构人员、业务等）决定数字化交付的法律可用性，必须与平台建设同步设计而非事后补丁（P9008）。</w:t>
      </w:r>
    </w:p>
    <w:p>
      <w:pPr>
        <w:pStyle w:val="Heading2"/>
      </w:pPr>
      <w:r>
        <w:t>9.3 数智化管控：让EPC盈亏从事后可知变成事前穿透</w:t>
      </w:r>
    </w:p>
    <w:p>
      <w:pPr>
        <w:pStyle w:val="Heading3"/>
      </w:pPr>
      <w:r>
        <w:t>9.3.1 七成造价锁定：数智化的第一建设顺序</w:t>
      </w:r>
    </w:p>
    <w:p>
      <w:r>
        <w:rPr>
          <w:rFonts w:ascii="Calibri" w:hAnsi="Calibri" w:eastAsia="微软雅黑"/>
          <w:b w:val="0"/>
          <w:i w:val="0"/>
          <w:sz w:val="22"/>
        </w:rPr>
        <w:t>设计院做EPC的结构性优势，在于设计端对工程70%以上造价的源头控制力——工程全生命周期成本在初步设计与施工图设计阶段已被锁定；反过来说，设计阶段不做限额设计，后期施工优化增益归零（P9007）。安徽院框架的原始表述更进取：利用这70%以上的源头控制力，杠杆化撬动数百倍于设计费的工程总包市场（P9007）。同时必须直面命门：在"交钥匙（Lump-Sum）"包干体系下，设计院做EPC的核心短板是其缺乏重资产施工队与大宗设备采办规模（P9007）。</w:t>
      </w:r>
    </w:p>
    <w:p>
      <w:r>
        <w:rPr>
          <w:rFonts w:ascii="Calibri" w:hAnsi="Calibri" w:eastAsia="微软雅黑"/>
          <w:b w:val="0"/>
          <w:i w:val="0"/>
          <w:sz w:val="22"/>
        </w:rPr>
        <w:t>这组事实决定了数智化管控的建设顺序：先把造价数据链打通（因为70%的成本决策发生在设计端，P9007），再谈智慧工地与现场物联网。顺序颠倒的结果，是现场数据再丰富也算不出盈亏。传统分段模式的失灵点在核电EPC研究里被表格化，逐行读来全是数智化的需求来源（P9004）：预算编制与现场施工脱节、易产生"三超"隐患，对应EPC的动态预算调整机制、实现设计与成本实时联动；接口协调成本高、关键路径容易受阻，对应DPC（设计-采购-施工）一体化、确保里程碑节点确定性；设计对施工反馈滞后、现场签证频繁，对应设计引领采购、关键设备提前介入设计审查；质量责任主体分散、追溯链条长，对应统一质量保证体系（QA）、全过程闭环管理；"部门墙"导致信息衰减，对应数字化协同平台、打破专业壁垒（P9004、P9006）。五行失灵点同时也是五张数智化需求单：动态预算、里程碑、变更反馈、QA追溯、跨专业数据流——缺一行，EPC管控就漏一类风险。</w:t>
      </w:r>
    </w:p>
    <w:p>
      <w:r>
        <w:rPr>
          <w:rFonts w:ascii="Calibri" w:hAnsi="Calibri" w:eastAsia="微软雅黑"/>
          <w:b w:val="0"/>
          <w:i w:val="0"/>
          <w:sz w:val="22"/>
        </w:rPr>
        <w:t>还要指出顺序背后的组织含义：造价数据链的打通必然触动设计部门的作业习惯——每个对象都要填属性、每次变更都要触发重算，短期内设计人员的"额外工作量"会上升。管理层的对策不是施压，而是把9.1节的付费逻辑传导到位：数字化交付是合同标的（P9000），填属性就是交付动作的一部分，应当对应交付工时与交付考核，而不是设计人员的义务劳动。制度不跟上，工具必然被绕过。</w:t>
      </w:r>
    </w:p>
    <w:p>
      <w:pPr>
        <w:pStyle w:val="Heading3"/>
      </w:pPr>
      <w:r>
        <w:t>9.3.2 竞标价差的生死线</w:t>
      </w:r>
    </w:p>
    <w:p>
      <w:r>
        <w:rPr>
          <w:rFonts w:ascii="Calibri" w:hAnsi="Calibri" w:eastAsia="微软雅黑"/>
          <w:b w:val="0"/>
          <w:i w:val="0"/>
          <w:sz w:val="22"/>
        </w:rPr>
        <w:t>实证竞标数据揭示了设计优势与竞标胜负之间的真实距离：在江苏利港电厂升压站EPC竞标中，安徽院报价1.8415亿元，与第一名的1.7988亿元仅差427.03万元、约2.37%（P9007）。它印证的规律相当残酷：单纯的设计优势无法天然兑现为竞标低价护城河，供应链采办与分包溢价一旦超过2%，直接导致招投标失利（P9007）。</w:t>
      </w:r>
    </w:p>
    <w:p>
      <w:r>
        <w:rPr>
          <w:rFonts w:ascii="Calibri" w:hAnsi="Calibri" w:eastAsia="微软雅黑"/>
          <w:b w:val="0"/>
          <w:i w:val="0"/>
          <w:sz w:val="22"/>
        </w:rPr>
        <w:t>对管理层而言，这个数字把"技术底座"从抽象能力翻译成了报价精度问题。2.37%的价差（P9007）至少有两种解释：要么是报价里包含了对未知风险的保守余量，要么是采购与分包价格数据的实时性不足、算不出对手的成本线。两种病因指向同一个药方：没有采购与分包数据的实时穿透，设计院就永远算不出那2%以内的成本，再强的设计能力也会在开标一刻变成"第二名"。数智化系统因此必须至少做到三件事：实时归集分包与设备询价历史、把设计变更的造价影响在小时内反馈到报价模型、对主力对手的报价区间形成数据积累。</w:t>
      </w:r>
    </w:p>
    <w:p>
      <w:pPr>
        <w:pStyle w:val="Heading3"/>
      </w:pPr>
      <w:r>
        <w:t>9.3.3 四条司法红线：数字化监控的需求清单</w:t>
      </w:r>
    </w:p>
    <w:p>
      <w:r>
        <w:rPr>
          <w:rFonts w:ascii="Calibri" w:hAnsi="Calibri" w:eastAsia="微软雅黑"/>
          <w:b w:val="0"/>
          <w:i w:val="0"/>
          <w:sz w:val="22"/>
        </w:rPr>
        <w:t>数字化管控真正要防的不是"管理不便"，而是足以吞噬企业多年积累的司法后果（P9007）。</w:t>
      </w:r>
    </w:p>
    <w:p>
      <w:r>
        <w:rPr>
          <w:rFonts w:ascii="Calibri" w:hAnsi="Calibri" w:eastAsia="微软雅黑"/>
          <w:b/>
          <w:i w:val="0"/>
          <w:sz w:val="22"/>
        </w:rPr>
        <w:t>表9-3 EPC总承包的司法红线仪表板（全部引自P9007）</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红线</w:t>
            </w:r>
          </w:p>
        </w:tc>
        <w:tc>
          <w:tcPr>
            <w:tcW w:type="dxa" w:w="2767"/>
            <w:shd w:fill="1F3A5F"/>
          </w:tcPr>
          <w:p>
            <w:r>
              <w:rPr>
                <w:color w:val="FFFFFF"/>
              </w:rPr>
            </w:r>
            <w:r>
              <w:rPr>
                <w:rFonts w:ascii="Calibri" w:hAnsi="Calibri" w:eastAsia="微软雅黑"/>
                <w:b/>
                <w:i w:val="0"/>
                <w:color w:val="FFFFFF"/>
                <w:sz w:val="18"/>
              </w:rPr>
              <w:t>数值</w:t>
            </w:r>
          </w:p>
        </w:tc>
        <w:tc>
          <w:tcPr>
            <w:tcW w:type="dxa" w:w="2767"/>
            <w:shd w:fill="1F3A5F"/>
          </w:tcPr>
          <w:p>
            <w:r>
              <w:rPr>
                <w:color w:val="FFFFFF"/>
              </w:rPr>
            </w:r>
            <w:r>
              <w:rPr>
                <w:rFonts w:ascii="Calibri" w:hAnsi="Calibri" w:eastAsia="微软雅黑"/>
                <w:b/>
                <w:i w:val="0"/>
                <w:color w:val="FFFFFF"/>
                <w:sz w:val="18"/>
              </w:rPr>
              <w:t>商业含义</w:t>
            </w:r>
          </w:p>
        </w:tc>
      </w:tr>
      <w:tr>
        <w:tc>
          <w:tcPr>
            <w:tcW w:type="dxa" w:w="2767"/>
          </w:tcPr>
          <w:p>
            <w:r/>
            <w:r>
              <w:rPr>
                <w:rFonts w:ascii="Calibri" w:hAnsi="Calibri" w:eastAsia="微软雅黑"/>
                <w:b w:val="0"/>
                <w:i w:val="0"/>
                <w:sz w:val="18"/>
              </w:rPr>
              <w:t>违约金终止线</w:t>
            </w:r>
          </w:p>
        </w:tc>
        <w:tc>
          <w:tcPr>
            <w:tcW w:type="dxa" w:w="2767"/>
          </w:tcPr>
          <w:p>
            <w:r/>
            <w:r>
              <w:rPr>
                <w:rFonts w:ascii="Calibri" w:hAnsi="Calibri" w:eastAsia="微软雅黑"/>
                <w:b w:val="0"/>
                <w:i w:val="0"/>
                <w:sz w:val="18"/>
              </w:rPr>
              <w:t>10.0%合同总额</w:t>
            </w:r>
          </w:p>
        </w:tc>
        <w:tc>
          <w:tcPr>
            <w:tcW w:type="dxa" w:w="2767"/>
          </w:tcPr>
          <w:p>
            <w:r/>
            <w:r>
              <w:rPr>
                <w:rFonts w:ascii="Calibri" w:hAnsi="Calibri" w:eastAsia="微软雅黑"/>
                <w:b w:val="0"/>
                <w:i w:val="0"/>
                <w:sz w:val="18"/>
              </w:rPr>
              <w:t>因工期或质量违规累计违约金达10%阈值，发包人有权无条件终止合同并没收履约保函</w:t>
            </w:r>
          </w:p>
        </w:tc>
      </w:tr>
      <w:tr>
        <w:tc>
          <w:tcPr>
            <w:tcW w:type="dxa" w:w="2767"/>
          </w:tcPr>
          <w:p>
            <w:r/>
            <w:r>
              <w:rPr>
                <w:rFonts w:ascii="Calibri" w:hAnsi="Calibri" w:eastAsia="微软雅黑"/>
                <w:b w:val="0"/>
                <w:i w:val="0"/>
                <w:sz w:val="18"/>
              </w:rPr>
              <w:t>致命性能红线</w:t>
            </w:r>
          </w:p>
        </w:tc>
        <w:tc>
          <w:tcPr>
            <w:tcW w:type="dxa" w:w="2767"/>
          </w:tcPr>
          <w:p>
            <w:r/>
            <w:r>
              <w:rPr>
                <w:rFonts w:ascii="Calibri" w:hAnsi="Calibri" w:eastAsia="微软雅黑"/>
                <w:b w:val="0"/>
                <w:i w:val="0"/>
                <w:sz w:val="18"/>
              </w:rPr>
              <w:t>4.52%发电量</w:t>
            </w:r>
          </w:p>
        </w:tc>
        <w:tc>
          <w:tcPr>
            <w:tcW w:type="dxa" w:w="2767"/>
          </w:tcPr>
          <w:p>
            <w:r/>
            <w:r>
              <w:rPr>
                <w:rFonts w:ascii="Calibri" w:hAnsi="Calibri" w:eastAsia="微软雅黑"/>
                <w:b w:val="0"/>
                <w:i w:val="0"/>
                <w:sz w:val="18"/>
              </w:rPr>
              <w:t>司法判例中因设计工艺致命缺陷，完工后实际发电量仅为设计的4.52%，判定为根本性违约，总承包商须退还全部工程款并赔偿全额损失</w:t>
            </w:r>
          </w:p>
        </w:tc>
      </w:tr>
      <w:tr>
        <w:tc>
          <w:tcPr>
            <w:tcW w:type="dxa" w:w="2767"/>
          </w:tcPr>
          <w:p>
            <w:r/>
            <w:r>
              <w:rPr>
                <w:rFonts w:ascii="Calibri" w:hAnsi="Calibri" w:eastAsia="微软雅黑"/>
                <w:b w:val="0"/>
                <w:i w:val="0"/>
                <w:sz w:val="18"/>
              </w:rPr>
              <w:t>巨额赔偿上限</w:t>
            </w:r>
          </w:p>
        </w:tc>
        <w:tc>
          <w:tcPr>
            <w:tcW w:type="dxa" w:w="2767"/>
          </w:tcPr>
          <w:p>
            <w:r/>
            <w:r>
              <w:rPr>
                <w:rFonts w:ascii="Calibri" w:hAnsi="Calibri" w:eastAsia="微软雅黑"/>
                <w:b w:val="0"/>
                <w:i w:val="0"/>
                <w:sz w:val="18"/>
              </w:rPr>
              <w:t>60%合同总价</w:t>
            </w:r>
          </w:p>
        </w:tc>
        <w:tc>
          <w:tcPr>
            <w:tcW w:type="dxa" w:w="2767"/>
          </w:tcPr>
          <w:p>
            <w:r/>
            <w:r>
              <w:rPr>
                <w:rFonts w:ascii="Calibri" w:hAnsi="Calibri" w:eastAsia="微软雅黑"/>
                <w:b w:val="0"/>
                <w:i w:val="0"/>
                <w:sz w:val="18"/>
              </w:rPr>
              <w:t>竣工后试验性能严重不达标（如渗滤液处理量不足）的司法判决赔偿比例，性能未达标将直接吞噬企业多年积累的全部利润</w:t>
            </w:r>
          </w:p>
        </w:tc>
      </w:tr>
      <w:tr>
        <w:tc>
          <w:tcPr>
            <w:tcW w:type="dxa" w:w="2767"/>
          </w:tcPr>
          <w:p>
            <w:r/>
            <w:r>
              <w:rPr>
                <w:rFonts w:ascii="Calibri" w:hAnsi="Calibri" w:eastAsia="微软雅黑"/>
                <w:b w:val="0"/>
                <w:i w:val="0"/>
                <w:sz w:val="18"/>
              </w:rPr>
              <w:t>两金占用预警线</w:t>
            </w:r>
          </w:p>
        </w:tc>
        <w:tc>
          <w:tcPr>
            <w:tcW w:type="dxa" w:w="2767"/>
          </w:tcPr>
          <w:p>
            <w:r/>
            <w:r>
              <w:rPr>
                <w:rFonts w:ascii="Calibri" w:hAnsi="Calibri" w:eastAsia="微软雅黑"/>
                <w:b w:val="0"/>
                <w:i w:val="0"/>
                <w:sz w:val="18"/>
              </w:rPr>
              <w:t>&lt;35%营收占比</w:t>
            </w:r>
          </w:p>
        </w:tc>
        <w:tc>
          <w:tcPr>
            <w:tcW w:type="dxa" w:w="2767"/>
          </w:tcPr>
          <w:p>
            <w:r/>
            <w:r>
              <w:rPr>
                <w:rFonts w:ascii="Calibri" w:hAnsi="Calibri" w:eastAsia="微软雅黑"/>
                <w:b w:val="0"/>
                <w:i w:val="0"/>
                <w:sz w:val="18"/>
              </w:rPr>
              <w:t>存货（合同资产）加应收账款合计占营业收入的比重上限，超过35%触发现金流链预警，倒逼强制停工与保理贴现</w:t>
            </w:r>
          </w:p>
        </w:tc>
      </w:tr>
    </w:tbl>
    <w:p>
      <w:r>
        <w:rPr>
          <w:rFonts w:ascii="Calibri" w:hAnsi="Calibri" w:eastAsia="微软雅黑"/>
          <w:b w:val="0"/>
          <w:i w:val="0"/>
          <w:sz w:val="22"/>
        </w:rPr>
        <w:t>这张表的用法不是挂在墙上，而是给数字化系统定需求：每一项红线都应转化为系统里的实时监控指标——违约金累计进度、性能保证值偏差、两金占比——全部要有仪表盘、阈值与升级告警。性能红线的教训尤其值得单独消化：4.52%的发电量意味着设计工艺的致命缺陷可以让总承包商退还全部工程款并赔偿全额损失（P9007），因此性能保证值（发电量、处理量、能耗）必须从投标阶段就进入系统建模，设计每改一版、性能预测就重算一次，把"竣工后试验"的风险前移到图纸阶段消化。配套的动态预警线也应进入模型：大宗建材（钢材、铜材）价格单月波动幅度超过±15%，或主要风机/光伏逆变器设备集采价格出现20%以上的结构性下调时，成本估算模型需重新测算；央行LPR利率变动超过50BP时，现金流压力测试的贴现率模型需同步更新（P9007）。</w:t>
      </w:r>
    </w:p>
    <w:p>
      <w:pPr>
        <w:pStyle w:val="Heading3"/>
      </w:pPr>
      <w:r>
        <w:t>9.3.4 两类管控样板：权责发生制与智能工程生态</w:t>
      </w:r>
    </w:p>
    <w:p>
      <w:r>
        <w:rPr>
          <w:rFonts w:ascii="Calibri" w:hAnsi="Calibri" w:eastAsia="微软雅黑"/>
          <w:b w:val="0"/>
          <w:i w:val="0"/>
          <w:sz w:val="22"/>
        </w:rPr>
        <w:t>样板一：中机国际。其通过全面引入用友BIP统一数智底座，建立"1344"数智化指导框架（1个数智设计院愿景、3大目标、4大抓手），落地全过程权责发生制考核（P9034）。这彻底改变了传统设计院干EPC"干完才知道盈亏"的被动局面，将风控规则与国资穿透监管嵌入立项、招投标、采购及资金全流程（P9034）。注意关键词是"权责发生制"——收入与成本在权责发生时确认而非收款付款时确认，这是EPC盈亏穿透的会计基础；没有它，再多的看板都是收付制幻觉下的滞后报表。</w:t>
      </w:r>
    </w:p>
    <w:p>
      <w:r>
        <w:rPr>
          <w:rFonts w:ascii="Calibri" w:hAnsi="Calibri" w:eastAsia="微软雅黑"/>
          <w:b w:val="0"/>
          <w:i w:val="0"/>
          <w:sz w:val="22"/>
        </w:rPr>
        <w:t>样板二：中核工程。其以"六大控制七个零"高质量精细化管控体系为纲（P9004），构建"一软、一网、一硬、一平台"的智能工程生态（P9003），实现对核电工程"进度、费用、质量、安全"四个核心维度的精准控制（P9003）。两个样板共同指向同一结论：EPC的盈亏控制点必须前移到立项与设计阶段，而前移的前提是数据先通——设计对象数据、采购价格数据、资金计划数据三者同源。</w:t>
      </w:r>
    </w:p>
    <w:p>
      <w:pPr>
        <w:pStyle w:val="Heading3"/>
      </w:pPr>
      <w:r>
        <w:t>9.3.5 采购协同：三高一长与四位一体</w:t>
      </w:r>
    </w:p>
    <w:p>
      <w:r>
        <w:rPr>
          <w:rFonts w:ascii="Calibri" w:hAnsi="Calibri" w:eastAsia="微软雅黑"/>
          <w:b w:val="0"/>
          <w:i w:val="0"/>
          <w:sz w:val="22"/>
        </w:rPr>
        <w:t>EPC采购段的行业经验同样来自核电：核电设备采购具有"三高一长"特征，中核工程通过"设计-采购协同（DPI）+ 长周期设备管控 + 国产化供应链 + 核级质量保证"四位一体的体系，实现从图纸到现实的转化（P9003）；采购收益的实证是多项目批量化采购——2023年其二级集采项目节资率达10%（P9003）。这套框架对一般设计院的可迁移部分有三条：第一，DPI（设计-采购协同）的本质是把采购知识前置进设计对象属性——长周期设备的关键参数在设计阶段就锁定，避免"图出来了、货订不上"；第二，长周期设备管控要求数字化系统按设备台账而非合同台账组织，交期预警精度到周；第三，国产化供应链与质量保证需要把供应商绩效数据回流进设计选型库，形成选型—履约—评价的闭环。节资率10%不是砍价砍出来的，是数据贯通之后批量化与标准化的自然结果（P9003）——这也是9.3.2节那2.37%价差生死线的正面解法。</w:t>
      </w:r>
    </w:p>
    <w:p>
      <w:pPr>
        <w:pStyle w:val="Heading3"/>
      </w:pPr>
      <w:r>
        <w:t>9.3.6 技术算账的家底与法务接口</w:t>
      </w:r>
    </w:p>
    <w:p>
      <w:r>
        <w:rPr>
          <w:rFonts w:ascii="Calibri" w:hAnsi="Calibri" w:eastAsia="微软雅黑"/>
          <w:b w:val="0"/>
          <w:i w:val="0"/>
          <w:sz w:val="22"/>
        </w:rPr>
        <w:t>数字化不是替代设计院的传统算账方法，而是把它们变成系统里可执行的计算器。EPC初步设计概算编制的"三法"——概算定额法、概算指标法（修正公式J修正=J+Q1P1−Q2P2）、类似工程预算法（D=A×K）——与设备安装概算的"四法"——预算单价法、扩大单价法、设备价值百分比法、综合吨位指标法——仍是设计院技术底座里最硬的内核（P9025）。三法四法的价值不在公式本身，而在其隐含的数据资产要求：定额法依赖本院定额库的持续维护，指标法依赖"修正量"（Q1、Q2）的价格数据积累，类似工程法则完全建立在历史项目数据库之上（D=A×K中的K来自可比工程，P9025）——换句话说，概算方法的先进性取决于历史数据治理的厚度，这又回到了对象化设计的同一条数据链。</w:t>
      </w:r>
    </w:p>
    <w:p>
      <w:r>
        <w:rPr>
          <w:rFonts w:ascii="Calibri" w:hAnsi="Calibri" w:eastAsia="微软雅黑"/>
          <w:b w:val="0"/>
          <w:i w:val="0"/>
          <w:sz w:val="22"/>
        </w:rPr>
        <w:t>商务法律接口同样要数字化固化。EPC合同分拆与结算的判例与规则坐标至少包括：先履行抗辩权的适用（(2016)最高法民终695号）、分包合同同步解除机制（(2016)最高法民再53号）、境外保函止付风险（(2017)川民终72号），以及行政审计强行介入结算的合规边界（《法工委函〔2017〕2号》清理审查及"重庆勇创案"计价标准纠偏）（P9025）。这些不是法务部的私事——它们决定结算模型里哪些金额可以被审计调整、哪些条款触发时资金链如何应对，都应在系统里建模。</w:t>
      </w:r>
    </w:p>
    <w:p>
      <w:r>
        <w:rPr>
          <w:rFonts w:ascii="Calibri" w:hAnsi="Calibri" w:eastAsia="微软雅黑"/>
          <w:b w:val="0"/>
          <w:i w:val="0"/>
          <w:sz w:val="22"/>
        </w:rPr>
        <w:t>采购侧的数字化颗粒度已经卷到极细。中化商务电子招投标平台把招标/预审/变更、评标结果/中标结果、非招标采购公告全流程线上化，目标是"实现采购业务流程和表单的标准化"、体现交易过程的真正公正（P9009）。颗粒度细到什么程度？一笔预算46.5万元的北银理财中证行情服务单一来源采购，也要在网上公示5个工作日、附论证专家意见与完整供应商信息（P9009）。设计院的采购数字化至少要对齐这个透明度标准，否则在国资审计与业主穿透式监管下处处被动。还需注明时效：上述红线的统计截止日为2026年10月04日，政策修订、大宗价格波动与利率变动均可能触发模型重校（P9007）。</w:t>
      </w:r>
    </w:p>
    <w:p>
      <w:r>
        <w:rPr>
          <w:rFonts w:ascii="Calibri" w:hAnsi="Calibri" w:eastAsia="微软雅黑"/>
          <w:b/>
          <w:i w:val="0"/>
          <w:sz w:val="22"/>
        </w:rPr>
        <w:t>给管理层的数智化选型五问</w:t>
      </w:r>
      <w:r>
        <w:rPr>
          <w:rFonts w:ascii="Calibri" w:hAnsi="Calibri" w:eastAsia="微软雅黑"/>
          <w:b w:val="0"/>
          <w:i w:val="0"/>
          <w:sz w:val="22"/>
        </w:rPr>
        <w:t>（依据P9003、P9004、P9007、P9034的事实基线）：一问造价——系统能否按设计对象自动重算概算（P9004的自动化概算逻辑）；二问权责——是否按权责发生制出表（P9034）；三问红线——违约金进度、性能偏差、两金占比是否都有实时仪表（P9007）；四问采购——询价与设备台账是否贯通到设计对象（P9003）；五问证据——每笔签证与变更是否留有可诉讼级留痕（P9011-P9027的纠纷现实）。五问有一问答不上来，就不是EPC级系统，只是办公自动化。</w:t>
      </w:r>
    </w:p>
    <w:p>
      <w:r>
        <w:rPr>
          <w:rFonts w:ascii="Calibri" w:hAnsi="Calibri" w:eastAsia="微软雅黑"/>
          <w:b/>
          <w:i w:val="0"/>
          <w:sz w:val="22"/>
        </w:rPr>
        <w:t>所以呢？</w:t>
      </w:r>
      <w:r>
        <w:rPr>
          <w:rFonts w:ascii="Calibri" w:hAnsi="Calibri" w:eastAsia="微软雅黑"/>
          <w:b w:val="0"/>
          <w:i w:val="0"/>
          <w:sz w:val="22"/>
        </w:rPr>
        <w:t xml:space="preserve"> 9.3节给决策层的三条硬结论：第一，把70%以上造价锁定力（P9007）当作数据资产来经营——造价数据链不通，设计优势就变不成报价优势；第二，按"2.37%价差生死线"（P9007）倒推采购与分包系统的精度需求，询价历史与变更反馈必须做到小时级；第三，系统选型上"权责发生制+全过程穿透"是硬门槛（P9034），只能事后算账的系统一律不批。</w:t>
      </w:r>
    </w:p>
    <w:p>
      <w:pPr>
        <w:pStyle w:val="Heading2"/>
      </w:pPr>
      <w:r>
        <w:t>9.4 专利与标准：最被低估的资产与出海通行证</w:t>
      </w:r>
    </w:p>
    <w:p>
      <w:pPr>
        <w:pStyle w:val="Heading3"/>
      </w:pPr>
      <w:r>
        <w:t>9.4.1 一家设计院的技术资产存量长什么样</w:t>
      </w:r>
    </w:p>
    <w:p>
      <w:r>
        <w:rPr>
          <w:rFonts w:ascii="Calibri" w:hAnsi="Calibri" w:eastAsia="微软雅黑"/>
          <w:b w:val="0"/>
          <w:i w:val="0"/>
          <w:sz w:val="22"/>
        </w:rPr>
        <w:t>中机国际（创建于1951年，前身机械工业部第八设计研究院，总部长沙）给出了一份可对标的清单：现有员工2400余人，覆盖30多个专业类别，拥有各类国家注册师及高级专家700余人；累计完成20000余项国内外工程设计，取得500余项科研成果；获国家科技奖10余项、省部级科技奖三十八项、优秀勘察设计奖350余项；拥有专利/专有技术/软著300余项；主/参编国家与行业技术标准规范240余项（P9034）。资质侧，其持有机械、建筑、市政、军工、冶金、轻纺、风景园林、环境工程8个行业甲级设计资质，以及市政公用工程施工总承包一级、环保工程专业承包一级资质，多年连续上榜ENR/《建筑时报》"中国工程设计企业60强"（P9034）。</w:t>
      </w:r>
    </w:p>
    <w:p>
      <w:r>
        <w:rPr>
          <w:rFonts w:ascii="Calibri" w:hAnsi="Calibri" w:eastAsia="微软雅黑"/>
          <w:b/>
          <w:i w:val="0"/>
          <w:sz w:val="22"/>
        </w:rPr>
        <w:t>表9-4 中机国际技术资产存量清单（全部引自P9034）</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资产类别</w:t>
            </w:r>
          </w:p>
        </w:tc>
        <w:tc>
          <w:tcPr>
            <w:tcW w:type="dxa" w:w="2767"/>
            <w:shd w:fill="1F3A5F"/>
          </w:tcPr>
          <w:p>
            <w:r>
              <w:rPr>
                <w:color w:val="FFFFFF"/>
              </w:rPr>
            </w:r>
            <w:r>
              <w:rPr>
                <w:rFonts w:ascii="Calibri" w:hAnsi="Calibri" w:eastAsia="微软雅黑"/>
                <w:b/>
                <w:i w:val="0"/>
                <w:color w:val="FFFFFF"/>
                <w:sz w:val="18"/>
              </w:rPr>
              <w:t>存量</w:t>
            </w:r>
          </w:p>
        </w:tc>
        <w:tc>
          <w:tcPr>
            <w:tcW w:type="dxa" w:w="2767"/>
            <w:shd w:fill="1F3A5F"/>
          </w:tcPr>
          <w:p>
            <w:r>
              <w:rPr>
                <w:color w:val="FFFFFF"/>
              </w:rPr>
            </w:r>
            <w:r>
              <w:rPr>
                <w:rFonts w:ascii="Calibri" w:hAnsi="Calibri" w:eastAsia="微软雅黑"/>
                <w:b/>
                <w:i w:val="0"/>
                <w:color w:val="FFFFFF"/>
                <w:sz w:val="18"/>
              </w:rPr>
              <w:t>对EPC战略的意义</w:t>
            </w:r>
          </w:p>
        </w:tc>
      </w:tr>
      <w:tr>
        <w:tc>
          <w:tcPr>
            <w:tcW w:type="dxa" w:w="2767"/>
          </w:tcPr>
          <w:p>
            <w:r/>
            <w:r>
              <w:rPr>
                <w:rFonts w:ascii="Calibri" w:hAnsi="Calibri" w:eastAsia="微软雅黑"/>
                <w:b w:val="0"/>
                <w:i w:val="0"/>
                <w:sz w:val="18"/>
              </w:rPr>
              <w:t>专利/专有技术/软著</w:t>
            </w:r>
          </w:p>
        </w:tc>
        <w:tc>
          <w:tcPr>
            <w:tcW w:type="dxa" w:w="2767"/>
          </w:tcPr>
          <w:p>
            <w:r/>
            <w:r>
              <w:rPr>
                <w:rFonts w:ascii="Calibri" w:hAnsi="Calibri" w:eastAsia="微软雅黑"/>
                <w:b w:val="0"/>
                <w:i w:val="0"/>
                <w:sz w:val="18"/>
              </w:rPr>
              <w:t>300余项</w:t>
            </w:r>
          </w:p>
        </w:tc>
        <w:tc>
          <w:tcPr>
            <w:tcW w:type="dxa" w:w="2767"/>
          </w:tcPr>
          <w:p>
            <w:r/>
            <w:r>
              <w:rPr>
                <w:rFonts w:ascii="Calibri" w:hAnsi="Calibri" w:eastAsia="微软雅黑"/>
                <w:b w:val="0"/>
                <w:i w:val="0"/>
                <w:sz w:val="18"/>
              </w:rPr>
              <w:t>方案技术溢价与细分市场护城河</w:t>
            </w:r>
          </w:p>
        </w:tc>
      </w:tr>
      <w:tr>
        <w:tc>
          <w:tcPr>
            <w:tcW w:type="dxa" w:w="2767"/>
          </w:tcPr>
          <w:p>
            <w:r/>
            <w:r>
              <w:rPr>
                <w:rFonts w:ascii="Calibri" w:hAnsi="Calibri" w:eastAsia="微软雅黑"/>
                <w:b w:val="0"/>
                <w:i w:val="0"/>
                <w:sz w:val="18"/>
              </w:rPr>
              <w:t>主/参编国家与行业标准</w:t>
            </w:r>
          </w:p>
        </w:tc>
        <w:tc>
          <w:tcPr>
            <w:tcW w:type="dxa" w:w="2767"/>
          </w:tcPr>
          <w:p>
            <w:r/>
            <w:r>
              <w:rPr>
                <w:rFonts w:ascii="Calibri" w:hAnsi="Calibri" w:eastAsia="微软雅黑"/>
                <w:b w:val="0"/>
                <w:i w:val="0"/>
                <w:sz w:val="18"/>
              </w:rPr>
              <w:t>240余项</w:t>
            </w:r>
          </w:p>
        </w:tc>
        <w:tc>
          <w:tcPr>
            <w:tcW w:type="dxa" w:w="2767"/>
          </w:tcPr>
          <w:p>
            <w:r/>
            <w:r>
              <w:rPr>
                <w:rFonts w:ascii="Calibri" w:hAnsi="Calibri" w:eastAsia="微软雅黑"/>
                <w:b w:val="0"/>
                <w:i w:val="0"/>
                <w:sz w:val="18"/>
              </w:rPr>
              <w:t>规则话语权，评标中的有利位势</w:t>
            </w:r>
          </w:p>
        </w:tc>
      </w:tr>
      <w:tr>
        <w:tc>
          <w:tcPr>
            <w:tcW w:type="dxa" w:w="2767"/>
          </w:tcPr>
          <w:p>
            <w:r/>
            <w:r>
              <w:rPr>
                <w:rFonts w:ascii="Calibri" w:hAnsi="Calibri" w:eastAsia="微软雅黑"/>
                <w:b w:val="0"/>
                <w:i w:val="0"/>
                <w:sz w:val="18"/>
              </w:rPr>
              <w:t>科研成果</w:t>
            </w:r>
          </w:p>
        </w:tc>
        <w:tc>
          <w:tcPr>
            <w:tcW w:type="dxa" w:w="2767"/>
          </w:tcPr>
          <w:p>
            <w:r/>
            <w:r>
              <w:rPr>
                <w:rFonts w:ascii="Calibri" w:hAnsi="Calibri" w:eastAsia="微软雅黑"/>
                <w:b w:val="0"/>
                <w:i w:val="0"/>
                <w:sz w:val="18"/>
              </w:rPr>
              <w:t>500余项</w:t>
            </w:r>
          </w:p>
        </w:tc>
        <w:tc>
          <w:tcPr>
            <w:tcW w:type="dxa" w:w="2767"/>
          </w:tcPr>
          <w:p>
            <w:r/>
            <w:r>
              <w:rPr>
                <w:rFonts w:ascii="Calibri" w:hAnsi="Calibri" w:eastAsia="微软雅黑"/>
                <w:b w:val="0"/>
                <w:i w:val="0"/>
                <w:sz w:val="18"/>
              </w:rPr>
              <w:t>持续的技术供给管道</w:t>
            </w:r>
          </w:p>
        </w:tc>
      </w:tr>
      <w:tr>
        <w:tc>
          <w:tcPr>
            <w:tcW w:type="dxa" w:w="2767"/>
          </w:tcPr>
          <w:p>
            <w:r/>
            <w:r>
              <w:rPr>
                <w:rFonts w:ascii="Calibri" w:hAnsi="Calibri" w:eastAsia="微软雅黑"/>
                <w:b w:val="0"/>
                <w:i w:val="0"/>
                <w:sz w:val="18"/>
              </w:rPr>
              <w:t>国家科技奖/省部级奖/优秀勘察设计奖</w:t>
            </w:r>
          </w:p>
        </w:tc>
        <w:tc>
          <w:tcPr>
            <w:tcW w:type="dxa" w:w="2767"/>
          </w:tcPr>
          <w:p>
            <w:r/>
            <w:r>
              <w:rPr>
                <w:rFonts w:ascii="Calibri" w:hAnsi="Calibri" w:eastAsia="微软雅黑"/>
                <w:b w:val="0"/>
                <w:i w:val="0"/>
                <w:sz w:val="18"/>
              </w:rPr>
              <w:t>10余项/三十八项/350余项</w:t>
            </w:r>
          </w:p>
        </w:tc>
        <w:tc>
          <w:tcPr>
            <w:tcW w:type="dxa" w:w="2767"/>
          </w:tcPr>
          <w:p>
            <w:r/>
            <w:r>
              <w:rPr>
                <w:rFonts w:ascii="Calibri" w:hAnsi="Calibri" w:eastAsia="微软雅黑"/>
                <w:b w:val="0"/>
                <w:i w:val="0"/>
                <w:sz w:val="18"/>
              </w:rPr>
              <w:t>品牌信用与投标业绩</w:t>
            </w:r>
          </w:p>
        </w:tc>
      </w:tr>
      <w:tr>
        <w:tc>
          <w:tcPr>
            <w:tcW w:type="dxa" w:w="2767"/>
          </w:tcPr>
          <w:p>
            <w:r/>
            <w:r>
              <w:rPr>
                <w:rFonts w:ascii="Calibri" w:hAnsi="Calibri" w:eastAsia="微软雅黑"/>
                <w:b w:val="0"/>
                <w:i w:val="0"/>
                <w:sz w:val="18"/>
              </w:rPr>
              <w:t>注册师及高级专家</w:t>
            </w:r>
          </w:p>
        </w:tc>
        <w:tc>
          <w:tcPr>
            <w:tcW w:type="dxa" w:w="2767"/>
          </w:tcPr>
          <w:p>
            <w:r/>
            <w:r>
              <w:rPr>
                <w:rFonts w:ascii="Calibri" w:hAnsi="Calibri" w:eastAsia="微软雅黑"/>
                <w:b w:val="0"/>
                <w:i w:val="0"/>
                <w:sz w:val="18"/>
              </w:rPr>
              <w:t>700余人</w:t>
            </w:r>
          </w:p>
        </w:tc>
        <w:tc>
          <w:tcPr>
            <w:tcW w:type="dxa" w:w="2767"/>
          </w:tcPr>
          <w:p>
            <w:r/>
            <w:r>
              <w:rPr>
                <w:rFonts w:ascii="Calibri" w:hAnsi="Calibri" w:eastAsia="微软雅黑"/>
                <w:b w:val="0"/>
                <w:i w:val="0"/>
                <w:sz w:val="18"/>
              </w:rPr>
              <w:t>资质门槛与专业交付底气</w:t>
            </w:r>
          </w:p>
        </w:tc>
      </w:tr>
      <w:tr>
        <w:tc>
          <w:tcPr>
            <w:tcW w:type="dxa" w:w="2767"/>
          </w:tcPr>
          <w:p>
            <w:r/>
            <w:r>
              <w:rPr>
                <w:rFonts w:ascii="Calibri" w:hAnsi="Calibri" w:eastAsia="微软雅黑"/>
                <w:b w:val="0"/>
                <w:i w:val="0"/>
                <w:sz w:val="18"/>
              </w:rPr>
              <w:t>行业甲级设计资质</w:t>
            </w:r>
          </w:p>
        </w:tc>
        <w:tc>
          <w:tcPr>
            <w:tcW w:type="dxa" w:w="2767"/>
          </w:tcPr>
          <w:p>
            <w:r/>
            <w:r>
              <w:rPr>
                <w:rFonts w:ascii="Calibri" w:hAnsi="Calibri" w:eastAsia="微软雅黑"/>
                <w:b w:val="0"/>
                <w:i w:val="0"/>
                <w:sz w:val="18"/>
              </w:rPr>
              <w:t>8个</w:t>
            </w:r>
          </w:p>
        </w:tc>
        <w:tc>
          <w:tcPr>
            <w:tcW w:type="dxa" w:w="2767"/>
          </w:tcPr>
          <w:p>
            <w:r/>
            <w:r>
              <w:rPr>
                <w:rFonts w:ascii="Calibri" w:hAnsi="Calibri" w:eastAsia="微软雅黑"/>
                <w:b w:val="0"/>
                <w:i w:val="0"/>
                <w:sz w:val="18"/>
              </w:rPr>
              <w:t>跨行业承接EPC的许可边界</w:t>
            </w:r>
          </w:p>
        </w:tc>
      </w:tr>
    </w:tbl>
    <w:p>
      <w:r>
        <w:rPr>
          <w:rFonts w:ascii="Calibri" w:hAnsi="Calibri" w:eastAsia="微软雅黑"/>
          <w:b w:val="0"/>
          <w:i w:val="0"/>
          <w:sz w:val="22"/>
        </w:rPr>
        <w:t>这组数字的决策含义不在"多"，而在结构：专利（技术溢价）+标准（规则话语权）+专家（资质门槛）三者互锁，构成设计院从"卖图纸"升级为"研发—设计—总包"生态链龙头的资本（P9034）。8个行业甲级的价值尤其容易被低估：它划定了EPC业务的可及市场半径，缺一个行业的甲级，就缺一个行业的总承包入场资格（P9034）。中机国际的路径是以前期策划与设计优化为EPC项目的龙头环节，在复杂地质处理、绿色低碳建造、分布式能源系统集成及大功率特种测试等领域形成技术门槛，以设计端的精准算账和技术方案优化来锁定下游采购与施工成本，并把70余年沉淀的设计技术底蕴延伸至施工与运维端、打通全链条增值服务（P9034）。注意这个顺序：技术门槛先立在少数几个领域，再用精准算账把它兑换成下游成本优势——专利不是挂在墙上的证书，而是报价单里别人算不出来的那部分成本差。</w:t>
      </w:r>
    </w:p>
    <w:p>
      <w:r>
        <w:rPr>
          <w:rFonts w:ascii="Calibri" w:hAnsi="Calibri" w:eastAsia="微软雅黑"/>
          <w:b w:val="0"/>
          <w:i w:val="0"/>
          <w:sz w:val="22"/>
        </w:rPr>
        <w:t>对正处在转型初期的院，这张清单还可以倒过来用：先用资质边界锁定可及市场，再在既定行业里做深两三个技术门槛方向，专利与标准随项目滚动积累——先有生态位，再谈生态链。一步到位的全面铺开，只会摊薄每个方向的投入密度。</w:t>
      </w:r>
    </w:p>
    <w:p>
      <w:pPr>
        <w:pStyle w:val="Heading3"/>
      </w:pPr>
      <w:r>
        <w:t>9.4.2 标准出海：从技术输出到标准与文化双重输出</w:t>
      </w:r>
    </w:p>
    <w:p>
      <w:r>
        <w:rPr>
          <w:rFonts w:ascii="Calibri" w:hAnsi="Calibri" w:eastAsia="微软雅黑"/>
          <w:b w:val="0"/>
          <w:i w:val="0"/>
          <w:sz w:val="22"/>
        </w:rPr>
        <w:t>标准是出海的通行证。中机国际不仅承接工程，还通过主编国家标准《低压配电技术标准》（GB/T 50054-2025）并启动中译英工作，推动中国标准与IEC国际标准接轨，以"标准出海"破除对外工程承包的"技术标准壁垒"，赋能"一带一路"跨国EPC项目的协同交付（P9034）。行业研究的同向判断是：出海业务的核心竞争力已从技术输出转向标准与文化的双重输出（P9008）；核电EPC演进的逻辑链条也被概括为"数据驱动—智能赋能—绿色增值—标准输出"（P9008）。标准出海的操作路径并不神秘：把本院主参编的国标行标做中译英、对齐IEC框架、随EPC项目输出到业主国的技术规范体系（P9034）——这三步的每一步都在把"中国技术"变成"当地规则"，而规则一旦落地，后来者只能跟随。</w:t>
      </w:r>
    </w:p>
    <w:p>
      <w:r>
        <w:rPr>
          <w:rFonts w:ascii="Calibri" w:hAnsi="Calibri" w:eastAsia="微软雅黑"/>
          <w:b w:val="0"/>
          <w:i w:val="0"/>
          <w:sz w:val="22"/>
        </w:rPr>
        <w:t>存量竞争的含义还要再往深一层读：完成额增长5.8%而新签额下降3.0%（P9032），说明海外项目正在向已进入者集中，新进入者的窗口在收窄。对设计院，这不是"要不要出海"的问题，而是"以什么身份出海"的问题——以劳务分包身份出海，赚的是辛苦钱；以标准与专利持有者身份出海，赚的是规则钱。身份由技术资产存量决定，这正是把专利与标准列入技术底座而非"荣誉墙"的原因。</w:t>
      </w:r>
    </w:p>
    <w:p>
      <w:r>
        <w:rPr>
          <w:rFonts w:ascii="Calibri" w:hAnsi="Calibri" w:eastAsia="微软雅黑"/>
          <w:b w:val="0"/>
          <w:i w:val="0"/>
          <w:sz w:val="22"/>
        </w:rPr>
        <w:t>出海大盘的现实加剧了标准卡位的紧迫性：2026年1-8月，我国对外承包工程业务完成营业额7937.1亿元人民币，同比增长5.8%（以美元计为1156.1亿美元，增长9.9%）；新签合同额11763.2亿元人民币，下降3.0%（以美元计为1713.4亿美元，增长0.7%）（P9032）。完成额涨、新签额跌的组合意味着海外存量竞争加剧——没有标准与专利背书的队伍将首先被挤出。体系化出海的纵深也已拉开：截至2025年末，我国在境外设立企业5.8万家、遍布189个国家和地区，境外企业从业员工总数476.1万人，其中雇用外方员工296.5万人（P9032）。</w:t>
      </w:r>
    </w:p>
    <w:p>
      <w:pPr>
        <w:pStyle w:val="Heading3"/>
      </w:pPr>
      <w:r>
        <w:t>9.4.3 技术变现的证据链：五个硬样本</w:t>
      </w:r>
    </w:p>
    <w:p>
      <w:r>
        <w:rPr>
          <w:rFonts w:ascii="Calibri" w:hAnsi="Calibri" w:eastAsia="微软雅黑"/>
          <w:b w:val="0"/>
          <w:i w:val="0"/>
          <w:sz w:val="22"/>
        </w:rPr>
        <w:t>技术底座能否变成订单与收入，证据链上有五个硬样本（P9028、P9029、P9030、P9032）。</w:t>
      </w:r>
    </w:p>
    <w:p>
      <w:r>
        <w:rPr>
          <w:rFonts w:ascii="Calibri" w:hAnsi="Calibri" w:eastAsia="微软雅黑"/>
          <w:b/>
          <w:i w:val="0"/>
          <w:sz w:val="22"/>
        </w:rPr>
        <w:t>表9-5 技术变现证据链（全部引自P9028、P9029、P9030、P9032）</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样本</w:t>
            </w:r>
          </w:p>
        </w:tc>
        <w:tc>
          <w:tcPr>
            <w:tcW w:type="dxa" w:w="2767"/>
            <w:shd w:fill="1F3A5F"/>
          </w:tcPr>
          <w:p>
            <w:r>
              <w:rPr>
                <w:color w:val="FFFFFF"/>
              </w:rPr>
            </w:r>
            <w:r>
              <w:rPr>
                <w:rFonts w:ascii="Calibri" w:hAnsi="Calibri" w:eastAsia="微软雅黑"/>
                <w:b/>
                <w:i w:val="0"/>
                <w:color w:val="FFFFFF"/>
                <w:sz w:val="18"/>
              </w:rPr>
              <w:t>关键数字</w:t>
            </w:r>
          </w:p>
        </w:tc>
        <w:tc>
          <w:tcPr>
            <w:tcW w:type="dxa" w:w="2767"/>
            <w:shd w:fill="1F3A5F"/>
          </w:tcPr>
          <w:p>
            <w:r>
              <w:rPr>
                <w:color w:val="FFFFFF"/>
              </w:rPr>
            </w:r>
            <w:r>
              <w:rPr>
                <w:rFonts w:ascii="Calibri" w:hAnsi="Calibri" w:eastAsia="微软雅黑"/>
                <w:b/>
                <w:i w:val="0"/>
                <w:color w:val="FFFFFF"/>
                <w:sz w:val="18"/>
              </w:rPr>
              <w:t>变现逻辑</w:t>
            </w:r>
          </w:p>
        </w:tc>
      </w:tr>
      <w:tr>
        <w:tc>
          <w:tcPr>
            <w:tcW w:type="dxa" w:w="2767"/>
          </w:tcPr>
          <w:p>
            <w:r/>
            <w:r>
              <w:rPr>
                <w:rFonts w:ascii="Calibri" w:hAnsi="Calibri" w:eastAsia="微软雅黑"/>
                <w:b w:val="0"/>
                <w:i w:val="0"/>
                <w:sz w:val="18"/>
              </w:rPr>
              <w:t>中电工程（2003-2013）</w:t>
            </w:r>
          </w:p>
        </w:tc>
        <w:tc>
          <w:tcPr>
            <w:tcW w:type="dxa" w:w="2767"/>
          </w:tcPr>
          <w:p>
            <w:r/>
            <w:r>
              <w:rPr>
                <w:rFonts w:ascii="Calibri" w:hAnsi="Calibri" w:eastAsia="微软雅黑"/>
                <w:b w:val="0"/>
                <w:i w:val="0"/>
                <w:sz w:val="18"/>
              </w:rPr>
              <w:t>总承包合同额累计1419亿元，占当年合同总额比例从23%升至83%；2011-2013年累计708亿元、年均增长66%</w:t>
            </w:r>
          </w:p>
        </w:tc>
        <w:tc>
          <w:tcPr>
            <w:tcW w:type="dxa" w:w="2767"/>
          </w:tcPr>
          <w:p>
            <w:r/>
            <w:r>
              <w:rPr>
                <w:rFonts w:ascii="Calibri" w:hAnsi="Calibri" w:eastAsia="微软雅黑"/>
                <w:b w:val="0"/>
                <w:i w:val="0"/>
                <w:sz w:val="18"/>
              </w:rPr>
              <w:t>十年把收入结构从设计为主翻转为总承包为主</w:t>
            </w:r>
          </w:p>
        </w:tc>
      </w:tr>
      <w:tr>
        <w:tc>
          <w:tcPr>
            <w:tcW w:type="dxa" w:w="2767"/>
          </w:tcPr>
          <w:p>
            <w:r/>
            <w:r>
              <w:rPr>
                <w:rFonts w:ascii="Calibri" w:hAnsi="Calibri" w:eastAsia="微软雅黑"/>
                <w:b w:val="0"/>
                <w:i w:val="0"/>
                <w:sz w:val="18"/>
              </w:rPr>
              <w:t>永福股份（2021中标）</w:t>
            </w:r>
          </w:p>
        </w:tc>
        <w:tc>
          <w:tcPr>
            <w:tcW w:type="dxa" w:w="2767"/>
          </w:tcPr>
          <w:p>
            <w:r/>
            <w:r>
              <w:rPr>
                <w:rFonts w:ascii="Calibri" w:hAnsi="Calibri" w:eastAsia="微软雅黑"/>
                <w:b w:val="0"/>
                <w:i w:val="0"/>
                <w:sz w:val="18"/>
              </w:rPr>
              <w:t>中标4.25亿元变电站EPC（220kV玉昆变电站+配套7座110kV变电站），占2020年总承包业务营收6.3亿元的67.7974%</w:t>
            </w:r>
          </w:p>
        </w:tc>
        <w:tc>
          <w:tcPr>
            <w:tcW w:type="dxa" w:w="2767"/>
          </w:tcPr>
          <w:p>
            <w:r/>
            <w:r>
              <w:rPr>
                <w:rFonts w:ascii="Calibri" w:hAnsi="Calibri" w:eastAsia="微软雅黑"/>
                <w:b w:val="0"/>
                <w:i w:val="0"/>
                <w:sz w:val="18"/>
              </w:rPr>
              <w:t>单笔EPC可达年总承包营收三分之二，订单弹性极大</w:t>
            </w:r>
          </w:p>
        </w:tc>
      </w:tr>
      <w:tr>
        <w:tc>
          <w:tcPr>
            <w:tcW w:type="dxa" w:w="2767"/>
          </w:tcPr>
          <w:p>
            <w:r/>
            <w:r>
              <w:rPr>
                <w:rFonts w:ascii="Calibri" w:hAnsi="Calibri" w:eastAsia="微软雅黑"/>
                <w:b w:val="0"/>
                <w:i w:val="0"/>
                <w:sz w:val="18"/>
              </w:rPr>
              <w:t>某电力设计企业（招股书）</w:t>
            </w:r>
          </w:p>
        </w:tc>
        <w:tc>
          <w:tcPr>
            <w:tcW w:type="dxa" w:w="2767"/>
          </w:tcPr>
          <w:p>
            <w:r/>
            <w:r>
              <w:rPr>
                <w:rFonts w:ascii="Calibri" w:hAnsi="Calibri" w:eastAsia="微软雅黑"/>
                <w:b w:val="0"/>
                <w:i w:val="0"/>
                <w:sz w:val="18"/>
              </w:rPr>
              <w:t>2021-2023年及2024上半年营收56.31/137.04/296.06/128.03亿元，净利8.67/17.53/26.04/12.69亿元</w:t>
            </w:r>
          </w:p>
        </w:tc>
        <w:tc>
          <w:tcPr>
            <w:tcW w:type="dxa" w:w="2767"/>
          </w:tcPr>
          <w:p>
            <w:r/>
            <w:r>
              <w:rPr>
                <w:rFonts w:ascii="Calibri" w:hAnsi="Calibri" w:eastAsia="微软雅黑"/>
                <w:b w:val="0"/>
                <w:i w:val="0"/>
                <w:sz w:val="18"/>
              </w:rPr>
              <w:t>两年营收放大约五倍（own_calc：296.06÷56.31，P9029）</w:t>
            </w:r>
          </w:p>
        </w:tc>
      </w:tr>
      <w:tr>
        <w:tc>
          <w:tcPr>
            <w:tcW w:type="dxa" w:w="2767"/>
          </w:tcPr>
          <w:p>
            <w:r/>
            <w:r>
              <w:rPr>
                <w:rFonts w:ascii="Calibri" w:hAnsi="Calibri" w:eastAsia="微软雅黑"/>
                <w:b w:val="0"/>
                <w:i w:val="0"/>
                <w:sz w:val="18"/>
              </w:rPr>
              <w:t>上海电力设计院（2024中标）</w:t>
            </w:r>
          </w:p>
        </w:tc>
        <w:tc>
          <w:tcPr>
            <w:tcW w:type="dxa" w:w="2767"/>
          </w:tcPr>
          <w:p>
            <w:r/>
            <w:r>
              <w:rPr>
                <w:rFonts w:ascii="Calibri" w:hAnsi="Calibri" w:eastAsia="微软雅黑"/>
                <w:b w:val="0"/>
                <w:i w:val="0"/>
                <w:sz w:val="18"/>
              </w:rPr>
              <w:t>中标2个标包（一二次融合成套柱上断路器、配电箱-JP柜）共2640万元，占2023年营收4.09%</w:t>
            </w:r>
          </w:p>
        </w:tc>
        <w:tc>
          <w:tcPr>
            <w:tcW w:type="dxa" w:w="2767"/>
          </w:tcPr>
          <w:p>
            <w:r/>
            <w:r>
              <w:rPr>
                <w:rFonts w:ascii="Calibri" w:hAnsi="Calibri" w:eastAsia="微软雅黑"/>
                <w:b w:val="0"/>
                <w:i w:val="0"/>
                <w:sz w:val="18"/>
              </w:rPr>
              <w:t>细分产品线技术领先同样贡献稳定订单</w:t>
            </w:r>
          </w:p>
        </w:tc>
      </w:tr>
      <w:tr>
        <w:tc>
          <w:tcPr>
            <w:tcW w:type="dxa" w:w="2767"/>
          </w:tcPr>
          <w:p>
            <w:r/>
            <w:r>
              <w:rPr>
                <w:rFonts w:ascii="Calibri" w:hAnsi="Calibri" w:eastAsia="微软雅黑"/>
                <w:b w:val="0"/>
                <w:i w:val="0"/>
                <w:sz w:val="18"/>
              </w:rPr>
              <w:t>某工程企业（2020年）</w:t>
            </w:r>
          </w:p>
        </w:tc>
        <w:tc>
          <w:tcPr>
            <w:tcW w:type="dxa" w:w="2767"/>
          </w:tcPr>
          <w:p>
            <w:r/>
            <w:r>
              <w:rPr>
                <w:rFonts w:ascii="Calibri" w:hAnsi="Calibri" w:eastAsia="微软雅黑"/>
                <w:b w:val="0"/>
                <w:i w:val="0"/>
                <w:sz w:val="18"/>
              </w:rPr>
              <w:t>EPC业务增速24%、当年新签订单19亿元</w:t>
            </w:r>
          </w:p>
        </w:tc>
        <w:tc>
          <w:tcPr>
            <w:tcW w:type="dxa" w:w="2767"/>
          </w:tcPr>
          <w:p>
            <w:r/>
            <w:r>
              <w:rPr>
                <w:rFonts w:ascii="Calibri" w:hAnsi="Calibri" w:eastAsia="微软雅黑"/>
                <w:b w:val="0"/>
                <w:i w:val="0"/>
                <w:sz w:val="18"/>
              </w:rPr>
              <w:t>技术储备期为EPC爆发蓄能</w:t>
            </w:r>
          </w:p>
        </w:tc>
      </w:tr>
    </w:tbl>
    <w:p>
      <w:r>
        <w:rPr>
          <w:rFonts w:ascii="Calibri" w:hAnsi="Calibri" w:eastAsia="微软雅黑"/>
          <w:b w:val="0"/>
          <w:i w:val="0"/>
          <w:sz w:val="22"/>
        </w:rPr>
        <w:t>五个样本各说一句话。中电工程样本说的是"结构翻转"：总承包占比从23%到83%（P9028），证明设计院改写收入结构不是理论可能，而是已被走通的十年路径。永福股份样本说的是"订单弹性"：一笔4.25亿元的EPC相当于上年总承包营收的67.7974%（P9028），技术型设计院的单项目产能跃迁幅度远超传统设计业务——这既是机会也是风险，接单前必须先过9.3节的两金与红线体检。招股书样本说的是"周期共振"：营收从56.31亿元到296.06亿元的扩张（P9029）发生在新能源基建放量期，技术底座决定你能不能吃下周期，而不仅仅是赶上周期。上海院样本说的是"细分为王"：2640万元的设备标包占年营收4.09%（P9030），说明技术变现不一定靠巨单，产品线级的领先同样成立。2020年样本说的是"储备节奏"：24%的EPC增速与19亿元新签订单的组合（P9032）被解读为"为EPC后续爆发准备"——技术底座的投入要在周期启动前完成。</w:t>
      </w:r>
    </w:p>
    <w:p>
      <w:r>
        <w:rPr>
          <w:rFonts w:ascii="Calibri" w:hAnsi="Calibri" w:eastAsia="微软雅黑"/>
          <w:b w:val="0"/>
          <w:i w:val="0"/>
          <w:sz w:val="22"/>
        </w:rPr>
        <w:t>样本之外还有两条结构性佐证。其一，资本化路径已经打开：中电工程设计板块2023年分拆借壳祁连山上市；行业榜单语料同时记录其2024年新签合同额18812亿元（P9030）。其二，国内外巨头的体量参照：中国铁建注册资本135.8亿元（P9030）；国际工程公司Jacobs在2018年完成CH2M收购后营业收入增至149.9亿美元、较2017年增长48.1%，2019年因ECR业务出售净利润增至8.7亿美元（P9032）——国际同行的成长同样依靠"技术+并购"双轮，而非单纯人海堆积。</w:t>
      </w:r>
    </w:p>
    <w:p>
      <w:pPr>
        <w:pStyle w:val="Heading3"/>
      </w:pPr>
      <w:r>
        <w:t>9.4.4 政策资金窗口：让技术投入有外部对冲</w:t>
      </w:r>
    </w:p>
    <w:p>
      <w:r>
        <w:rPr>
          <w:rFonts w:ascii="Calibri" w:hAnsi="Calibri" w:eastAsia="微软雅黑"/>
          <w:b w:val="0"/>
          <w:i w:val="0"/>
          <w:sz w:val="22"/>
        </w:rPr>
        <w:t>2026年作为"十五五"开局之年，财政对科技创新与设备更新的支持形成了明确的资金窗口：中央本级科技支出预算增长10%，重点向基础研究、应用基础研究、国家战略科技任务聚焦，强化对国家实验室、国家科研机构、高水平研究型大学等的支持，并突出企业创新主体地位（P9001）；下达2000亿元超长期特别国债资金，支持22个领域超1.1万个项目设备更新；开展制造业新型技术改造城市试点，新增30个城市纳入试点范围；将新一批1500多家"小巨人"企业纳入专精特新奖补政策范围（P9001）。宏观面上，今年中央财政还专门安排1000亿元推出财政金融协同促内需一揽子政策，引导金融资源、社会资本投向重点领域（P9001）。对设计院，这批资金意味着数字化改造与研发投入存在外部对冲通道——申报能力（政策解读、课题包装、联合体组建）本身就是技术底座的一部分，值得设专岗运营，把自费研发变成联合研发。</w:t>
      </w:r>
    </w:p>
    <w:p>
      <w:pPr>
        <w:pStyle w:val="Heading3"/>
      </w:pPr>
      <w:r>
        <w:t>9.4.5 组织载体：技术资产背后的人才与区域结构</w:t>
      </w:r>
    </w:p>
    <w:p>
      <w:r>
        <w:rPr>
          <w:rFonts w:ascii="Calibri" w:hAnsi="Calibri" w:eastAsia="微软雅黑"/>
          <w:b w:val="0"/>
          <w:i w:val="0"/>
          <w:sz w:val="22"/>
        </w:rPr>
        <w:t>技术资产不会凭空生长，它的组织载体是人才结构。中机国际2400余名员工覆盖30多个专业、700余名注册师及高级专家的配置（P9034），说明专利与标准的产出以"专业宽度+注册深度"为前提——专业面窄的院连标准编制组的门类都凑不齐，注册师不足的院过不了资质与投标的硬门槛。区域结构上，行业洞察语料的空间测绘显示，一家设计院的中标语料可聚合出数十个省份、强区集中于少数省份的格局（如某院237份中标语料聚合31省份，强区为湖南213、北京203、海南117，P9028）——技术变现高度依赖根据地市场，跨区域扩张前应先问"我的专利与标准在这个区域有没有评标加成"。信息披露与治理同样是技术型企业的标配：中国电建（公司代码601669）的2026年半年度报告未经审计（P9022），巨头按期、成体系的披露动作本身就是信用资产；中小院在冲刺EPC业绩时，也应有同向的信息纪律——业绩要经得起穿透，才能进入大业主的合格供方名录。</w:t>
      </w:r>
    </w:p>
    <w:p>
      <w:r>
        <w:rPr>
          <w:rFonts w:ascii="Calibri" w:hAnsi="Calibri" w:eastAsia="微软雅黑"/>
          <w:b/>
          <w:i w:val="0"/>
          <w:sz w:val="22"/>
        </w:rPr>
        <w:t>所以呢？</w:t>
      </w:r>
      <w:r>
        <w:rPr>
          <w:rFonts w:ascii="Calibri" w:hAnsi="Calibri" w:eastAsia="微软雅黑"/>
          <w:b w:val="0"/>
          <w:i w:val="0"/>
          <w:sz w:val="22"/>
        </w:rPr>
        <w:t xml:space="preserve"> 9.4节给决策层的三条硬结论：第一，把专利与标准存量当作资产负债表来管理，每年设定增量指标，对标行业头部的300余项专利、240余项标准（P9034）；第二，出海之前先做标准翻译与IEC接轨，技术再好也过不了技术标准壁垒（P9034），而在新签合同额下滑的存量竞争里（P9032），没有标准背书的报价只是陪标；第三，盯住2000亿元设备更新与科技支出增长10%的政策资金窗口（P9001），让技术投入有外部对冲，把自费研发变成联合研发。</w:t>
      </w:r>
    </w:p>
    <w:p>
      <w:pPr>
        <w:pStyle w:val="Heading2"/>
      </w:pPr>
      <w:r>
        <w:t>9.5 技术底座的另一面：投入、依赖与失败教训</w:t>
      </w:r>
    </w:p>
    <w:p>
      <w:pPr>
        <w:pStyle w:val="Heading3"/>
      </w:pPr>
      <w:r>
        <w:t>9.5.1 丰城警示：技术失守的代价无法用模型对冲</w:t>
      </w:r>
    </w:p>
    <w:p>
      <w:r>
        <w:rPr>
          <w:rFonts w:ascii="Calibri" w:hAnsi="Calibri" w:eastAsia="微软雅黑"/>
          <w:b w:val="0"/>
          <w:i w:val="0"/>
          <w:sz w:val="22"/>
        </w:rPr>
        <w:t>江西丰城电厂三期"11·24"EPC特大事故的行业沉思录中，专设"技术的陷阱：从'设计失误'到'施工缺陷'的工程技术反思"一章，并辟有"丰城事故的技术失误分析"与"全球类似工程事故的技术教训"专节（P9024）。该研究的更大命题是告别"血的教训"、拥抱"内生安全"，提出从被动防御到主动免疫的"系统免疫工程（SIE）"框架，主张构建工程项目内生安全新范式（P9024）。事故研究的另外几条脉络同样与本章相关："设计与施工的分离与冲突"被列为EPC模式基因缺陷之首，与"组织行为的系统性失效""系统思维与复杂性管理""速度与安全的辩证关系"并列成章（P9024）；第六章"文化的塌陷"把病灶追到从"重物轻人"到"集体无意识"的文化层（P9024）；第十一章则主张从事故调查转向安全创新的范式转变（P9024）。</w:t>
      </w:r>
    </w:p>
    <w:p>
      <w:r>
        <w:rPr>
          <w:rFonts w:ascii="Calibri" w:hAnsi="Calibri" w:eastAsia="微软雅黑"/>
          <w:b w:val="0"/>
          <w:i w:val="0"/>
          <w:sz w:val="22"/>
        </w:rPr>
        <w:t>这套分层对技术底座讨论的修正在于：数字化、BIM与专利都是"提高确定性"的工具，但确定性不等于安全——当工期压缩、方案冒进时，再精确的模型也挡不住物理规律的惩罚。技术只是模式、文化、技术三层中的一层：单独加码技术层而不改模式层（设计施工割裂、组织行为失效）与文化层（重物轻人、集体无意识），投入会被系统性抵消（P9024）。技术底座必须与安全体系互锁（如核电行业"六大控制七个零"高质量精细化管控体系，P9004），而不是自成一层、自我陶醉。</w:t>
      </w:r>
    </w:p>
    <w:p>
      <w:r>
        <w:rPr>
          <w:rFonts w:ascii="Calibri" w:hAnsi="Calibri" w:eastAsia="微软雅黑"/>
          <w:b w:val="0"/>
          <w:i w:val="0"/>
          <w:sz w:val="22"/>
        </w:rPr>
        <w:t>"内生安全"的提法对数字化建设还有一个具体启示（P9024）：安全冗余要长在流程里，而不是加在流程后。对照设计院的现实，就是把安全校核（荷载、消防、超限）做成设计对象上的强制规则——不通过就出不了图，而不是出图之后再开审查会补救。规则前置的程度，就是内生安全的程度；这也解释了为什么施工图审查系统与智能工程校审会成为软件谱系的标配组件（P9002）。</w:t>
      </w:r>
    </w:p>
    <w:p>
      <w:pPr>
        <w:pStyle w:val="Heading3"/>
      </w:pPr>
      <w:r>
        <w:t>9.5.2 买单逻辑与沉没成本：数字化投入的三个清醒剂</w:t>
      </w:r>
    </w:p>
    <w:p>
      <w:r>
        <w:rPr>
          <w:rFonts w:ascii="Calibri" w:hAnsi="Calibri" w:eastAsia="微软雅黑"/>
          <w:b w:val="0"/>
          <w:i w:val="0"/>
          <w:sz w:val="22"/>
        </w:rPr>
        <w:t>清醒剂一：买单逻辑不成立时，数字化就是沉没成本。过去BIM推不动的教训值得反复讲——不是技术不行，而是没人买单：设计院自费建模、业主不认账，BIM变成投标时的成本负担（P9000）。政策强制期解决了"有没有人出钱"，但没有解决"你的能力是否值这个钱"——建设方付费之后，必然出现交付标准的攀比与验收的收紧，能力平庸者的数字化收入会迅速退化为成本。</w:t>
      </w:r>
    </w:p>
    <w:p>
      <w:r>
        <w:rPr>
          <w:rFonts w:ascii="Calibri" w:hAnsi="Calibri" w:eastAsia="微软雅黑"/>
          <w:b w:val="0"/>
          <w:i w:val="0"/>
          <w:sz w:val="22"/>
        </w:rPr>
        <w:t>清醒剂二：供给端结构风险未可知。全球BIM软件市场2025年约69.28亿美元、2032年预计228.6亿美元（P9000），但国产与外资的市占结构、单套采购价格与实施周期在现有证据中缺席（见本章盲区）。选型必须自带退出预案：数据格式开放、模型所有权归业主或总包方、避免单一平台深度绑定——这条不是技术偏好，而是EPC全生命周期责任的必然要求：项目要管二十年，供应商未必活二十年。</w:t>
      </w:r>
    </w:p>
    <w:p>
      <w:r>
        <w:rPr>
          <w:rFonts w:ascii="Calibri" w:hAnsi="Calibri" w:eastAsia="微软雅黑"/>
          <w:b w:val="0"/>
          <w:i w:val="0"/>
          <w:sz w:val="22"/>
        </w:rPr>
        <w:t>清醒剂三：体系化运转的成本是硬约束。以中国电建（公司代码601669）为例，其2026年半年度报告未经审计（P9022）；集团内财务公司仅2025年营业收入即达13.11亿元（P9030）。大体系的运转费用摆在那里，中小设计院不应盲目对标巨头形态，而应按"最小可用技术底座"（一个对象化设计平台+一条造价数据链+一批核心专利）分阶段投入。作为跨行业镜鉴，"大行业、小公司"的陷阱真实存在——轴承行业2024年主营收入约2315亿元，却是CR10仅约28%、高端产品仅占约5%、进口依赖约70%的格局（P9029）；技术底座不厚的行业，规模再大也锁不住利润，工程设计行业没有理由免疫于同一规律。</w:t>
      </w:r>
    </w:p>
    <w:p>
      <w:pPr>
        <w:pStyle w:val="Heading3"/>
      </w:pPr>
      <w:r>
        <w:t>9.5.3 判决书语料的结构性提示：技术要能变成抗辩力</w:t>
      </w:r>
    </w:p>
    <w:p>
      <w:r>
        <w:rPr>
          <w:rFonts w:ascii="Calibri" w:hAnsi="Calibri" w:eastAsia="微软雅黑"/>
          <w:b w:val="0"/>
          <w:i w:val="0"/>
          <w:sz w:val="22"/>
        </w:rPr>
        <w:t>本章弹药库中EPC相关裁判文书以万计，仅六个年度卷宗就分别收录：2015年8654篇、2016年10763篇、2017年11716篇、2018年5754篇、2019年41550篇、2020年42935篇（P9015、P9014、P9013、P9016、P9012、P9011）。</w:t>
      </w:r>
    </w:p>
    <w:p>
      <w:r>
        <w:rPr>
          <w:rFonts w:ascii="Calibri" w:hAnsi="Calibri" w:eastAsia="微软雅黑"/>
          <w:b/>
          <w:i w:val="0"/>
          <w:sz w:val="22"/>
        </w:rPr>
        <w:t>表9-6 EPC相关裁判文书年度分布（全部引自P9011-P9027）</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年度卷宗</w:t>
            </w:r>
          </w:p>
        </w:tc>
        <w:tc>
          <w:tcPr>
            <w:tcW w:type="dxa" w:w="2767"/>
            <w:shd w:fill="1F3A5F"/>
          </w:tcPr>
          <w:p>
            <w:r>
              <w:rPr>
                <w:color w:val="FFFFFF"/>
              </w:rPr>
            </w:r>
            <w:r>
              <w:rPr>
                <w:rFonts w:ascii="Calibri" w:hAnsi="Calibri" w:eastAsia="微软雅黑"/>
                <w:b/>
                <w:i w:val="0"/>
                <w:color w:val="FFFFFF"/>
                <w:sz w:val="18"/>
              </w:rPr>
              <w:t>EPC相关文书数</w:t>
            </w:r>
          </w:p>
        </w:tc>
        <w:tc>
          <w:tcPr>
            <w:tcW w:type="dxa" w:w="2767"/>
            <w:shd w:fill="1F3A5F"/>
          </w:tcPr>
          <w:p>
            <w:r>
              <w:rPr>
                <w:color w:val="FFFFFF"/>
              </w:rPr>
            </w:r>
            <w:r>
              <w:rPr>
                <w:rFonts w:ascii="Calibri" w:hAnsi="Calibri" w:eastAsia="微软雅黑"/>
                <w:b/>
                <w:i w:val="0"/>
                <w:color w:val="FFFFFF"/>
                <w:sz w:val="18"/>
              </w:rPr>
              <w:t>锚</w:t>
            </w:r>
          </w:p>
        </w:tc>
      </w:tr>
      <w:tr>
        <w:tc>
          <w:tcPr>
            <w:tcW w:type="dxa" w:w="2767"/>
          </w:tcPr>
          <w:p>
            <w:r/>
            <w:r>
              <w:rPr>
                <w:rFonts w:ascii="Calibri" w:hAnsi="Calibri" w:eastAsia="微软雅黑"/>
                <w:b w:val="0"/>
                <w:i w:val="0"/>
                <w:sz w:val="18"/>
              </w:rPr>
              <w:t>2020</w:t>
            </w:r>
          </w:p>
        </w:tc>
        <w:tc>
          <w:tcPr>
            <w:tcW w:type="dxa" w:w="2767"/>
          </w:tcPr>
          <w:p>
            <w:r/>
            <w:r>
              <w:rPr>
                <w:rFonts w:ascii="Calibri" w:hAnsi="Calibri" w:eastAsia="微软雅黑"/>
                <w:b w:val="0"/>
                <w:i w:val="0"/>
                <w:sz w:val="18"/>
              </w:rPr>
              <w:t>42935篇</w:t>
            </w:r>
          </w:p>
        </w:tc>
        <w:tc>
          <w:tcPr>
            <w:tcW w:type="dxa" w:w="2767"/>
          </w:tcPr>
          <w:p>
            <w:r/>
            <w:r>
              <w:rPr>
                <w:rFonts w:ascii="Calibri" w:hAnsi="Calibri" w:eastAsia="微软雅黑"/>
                <w:b w:val="0"/>
                <w:i w:val="0"/>
                <w:sz w:val="18"/>
              </w:rPr>
              <w:t>P9011</w:t>
            </w:r>
          </w:p>
        </w:tc>
      </w:tr>
      <w:tr>
        <w:tc>
          <w:tcPr>
            <w:tcW w:type="dxa" w:w="2767"/>
          </w:tcPr>
          <w:p>
            <w:r/>
            <w:r>
              <w:rPr>
                <w:rFonts w:ascii="Calibri" w:hAnsi="Calibri" w:eastAsia="微软雅黑"/>
                <w:b w:val="0"/>
                <w:i w:val="0"/>
                <w:sz w:val="18"/>
              </w:rPr>
              <w:t>2019</w:t>
            </w:r>
          </w:p>
        </w:tc>
        <w:tc>
          <w:tcPr>
            <w:tcW w:type="dxa" w:w="2767"/>
          </w:tcPr>
          <w:p>
            <w:r/>
            <w:r>
              <w:rPr>
                <w:rFonts w:ascii="Calibri" w:hAnsi="Calibri" w:eastAsia="微软雅黑"/>
                <w:b w:val="0"/>
                <w:i w:val="0"/>
                <w:sz w:val="18"/>
              </w:rPr>
              <w:t>41550篇</w:t>
            </w:r>
          </w:p>
        </w:tc>
        <w:tc>
          <w:tcPr>
            <w:tcW w:type="dxa" w:w="2767"/>
          </w:tcPr>
          <w:p>
            <w:r/>
            <w:r>
              <w:rPr>
                <w:rFonts w:ascii="Calibri" w:hAnsi="Calibri" w:eastAsia="微软雅黑"/>
                <w:b w:val="0"/>
                <w:i w:val="0"/>
                <w:sz w:val="18"/>
              </w:rPr>
              <w:t>P9012</w:t>
            </w:r>
          </w:p>
        </w:tc>
      </w:tr>
      <w:tr>
        <w:tc>
          <w:tcPr>
            <w:tcW w:type="dxa" w:w="2767"/>
          </w:tcPr>
          <w:p>
            <w:r/>
            <w:r>
              <w:rPr>
                <w:rFonts w:ascii="Calibri" w:hAnsi="Calibri" w:eastAsia="微软雅黑"/>
                <w:b w:val="0"/>
                <w:i w:val="0"/>
                <w:sz w:val="18"/>
              </w:rPr>
              <w:t>2017</w:t>
            </w:r>
          </w:p>
        </w:tc>
        <w:tc>
          <w:tcPr>
            <w:tcW w:type="dxa" w:w="2767"/>
          </w:tcPr>
          <w:p>
            <w:r/>
            <w:r>
              <w:rPr>
                <w:rFonts w:ascii="Calibri" w:hAnsi="Calibri" w:eastAsia="微软雅黑"/>
                <w:b w:val="0"/>
                <w:i w:val="0"/>
                <w:sz w:val="18"/>
              </w:rPr>
              <w:t>11716篇</w:t>
            </w:r>
          </w:p>
        </w:tc>
        <w:tc>
          <w:tcPr>
            <w:tcW w:type="dxa" w:w="2767"/>
          </w:tcPr>
          <w:p>
            <w:r/>
            <w:r>
              <w:rPr>
                <w:rFonts w:ascii="Calibri" w:hAnsi="Calibri" w:eastAsia="微软雅黑"/>
                <w:b w:val="0"/>
                <w:i w:val="0"/>
                <w:sz w:val="18"/>
              </w:rPr>
              <w:t>P9013</w:t>
            </w:r>
          </w:p>
        </w:tc>
      </w:tr>
      <w:tr>
        <w:tc>
          <w:tcPr>
            <w:tcW w:type="dxa" w:w="2767"/>
          </w:tcPr>
          <w:p>
            <w:r/>
            <w:r>
              <w:rPr>
                <w:rFonts w:ascii="Calibri" w:hAnsi="Calibri" w:eastAsia="微软雅黑"/>
                <w:b w:val="0"/>
                <w:i w:val="0"/>
                <w:sz w:val="18"/>
              </w:rPr>
              <w:t>2016</w:t>
            </w:r>
          </w:p>
        </w:tc>
        <w:tc>
          <w:tcPr>
            <w:tcW w:type="dxa" w:w="2767"/>
          </w:tcPr>
          <w:p>
            <w:r/>
            <w:r>
              <w:rPr>
                <w:rFonts w:ascii="Calibri" w:hAnsi="Calibri" w:eastAsia="微软雅黑"/>
                <w:b w:val="0"/>
                <w:i w:val="0"/>
                <w:sz w:val="18"/>
              </w:rPr>
              <w:t>10763篇</w:t>
            </w:r>
          </w:p>
        </w:tc>
        <w:tc>
          <w:tcPr>
            <w:tcW w:type="dxa" w:w="2767"/>
          </w:tcPr>
          <w:p>
            <w:r/>
            <w:r>
              <w:rPr>
                <w:rFonts w:ascii="Calibri" w:hAnsi="Calibri" w:eastAsia="微软雅黑"/>
                <w:b w:val="0"/>
                <w:i w:val="0"/>
                <w:sz w:val="18"/>
              </w:rPr>
              <w:t>P9014</w:t>
            </w:r>
          </w:p>
        </w:tc>
      </w:tr>
      <w:tr>
        <w:tc>
          <w:tcPr>
            <w:tcW w:type="dxa" w:w="2767"/>
          </w:tcPr>
          <w:p>
            <w:r/>
            <w:r>
              <w:rPr>
                <w:rFonts w:ascii="Calibri" w:hAnsi="Calibri" w:eastAsia="微软雅黑"/>
                <w:b w:val="0"/>
                <w:i w:val="0"/>
                <w:sz w:val="18"/>
              </w:rPr>
              <w:t>2015</w:t>
            </w:r>
          </w:p>
        </w:tc>
        <w:tc>
          <w:tcPr>
            <w:tcW w:type="dxa" w:w="2767"/>
          </w:tcPr>
          <w:p>
            <w:r/>
            <w:r>
              <w:rPr>
                <w:rFonts w:ascii="Calibri" w:hAnsi="Calibri" w:eastAsia="微软雅黑"/>
                <w:b w:val="0"/>
                <w:i w:val="0"/>
                <w:sz w:val="18"/>
              </w:rPr>
              <w:t>8654篇</w:t>
            </w:r>
          </w:p>
        </w:tc>
        <w:tc>
          <w:tcPr>
            <w:tcW w:type="dxa" w:w="2767"/>
          </w:tcPr>
          <w:p>
            <w:r/>
            <w:r>
              <w:rPr>
                <w:rFonts w:ascii="Calibri" w:hAnsi="Calibri" w:eastAsia="微软雅黑"/>
                <w:b w:val="0"/>
                <w:i w:val="0"/>
                <w:sz w:val="18"/>
              </w:rPr>
              <w:t>P9015</w:t>
            </w:r>
          </w:p>
        </w:tc>
      </w:tr>
      <w:tr>
        <w:tc>
          <w:tcPr>
            <w:tcW w:type="dxa" w:w="2767"/>
          </w:tcPr>
          <w:p>
            <w:r/>
            <w:r>
              <w:rPr>
                <w:rFonts w:ascii="Calibri" w:hAnsi="Calibri" w:eastAsia="微软雅黑"/>
                <w:b w:val="0"/>
                <w:i w:val="0"/>
                <w:sz w:val="18"/>
              </w:rPr>
              <w:t>2018</w:t>
            </w:r>
          </w:p>
        </w:tc>
        <w:tc>
          <w:tcPr>
            <w:tcW w:type="dxa" w:w="2767"/>
          </w:tcPr>
          <w:p>
            <w:r/>
            <w:r>
              <w:rPr>
                <w:rFonts w:ascii="Calibri" w:hAnsi="Calibri" w:eastAsia="微软雅黑"/>
                <w:b w:val="0"/>
                <w:i w:val="0"/>
                <w:sz w:val="18"/>
              </w:rPr>
              <w:t>5754篇</w:t>
            </w:r>
          </w:p>
        </w:tc>
        <w:tc>
          <w:tcPr>
            <w:tcW w:type="dxa" w:w="2767"/>
          </w:tcPr>
          <w:p>
            <w:r/>
            <w:r>
              <w:rPr>
                <w:rFonts w:ascii="Calibri" w:hAnsi="Calibri" w:eastAsia="微软雅黑"/>
                <w:b w:val="0"/>
                <w:i w:val="0"/>
                <w:sz w:val="18"/>
              </w:rPr>
              <w:t>P9016</w:t>
            </w:r>
          </w:p>
        </w:tc>
      </w:tr>
      <w:tr>
        <w:tc>
          <w:tcPr>
            <w:tcW w:type="dxa" w:w="2767"/>
          </w:tcPr>
          <w:p>
            <w:r/>
            <w:r>
              <w:rPr>
                <w:rFonts w:ascii="Calibri" w:hAnsi="Calibri" w:eastAsia="微软雅黑"/>
                <w:b w:val="0"/>
                <w:i w:val="0"/>
                <w:sz w:val="18"/>
              </w:rPr>
              <w:t>2014</w:t>
            </w:r>
          </w:p>
        </w:tc>
        <w:tc>
          <w:tcPr>
            <w:tcW w:type="dxa" w:w="2767"/>
          </w:tcPr>
          <w:p>
            <w:r/>
            <w:r>
              <w:rPr>
                <w:rFonts w:ascii="Calibri" w:hAnsi="Calibri" w:eastAsia="微软雅黑"/>
                <w:b w:val="0"/>
                <w:i w:val="0"/>
                <w:sz w:val="18"/>
              </w:rPr>
              <w:t>5275篇</w:t>
            </w:r>
          </w:p>
        </w:tc>
        <w:tc>
          <w:tcPr>
            <w:tcW w:type="dxa" w:w="2767"/>
          </w:tcPr>
          <w:p>
            <w:r/>
            <w:r>
              <w:rPr>
                <w:rFonts w:ascii="Calibri" w:hAnsi="Calibri" w:eastAsia="微软雅黑"/>
                <w:b w:val="0"/>
                <w:i w:val="0"/>
                <w:sz w:val="18"/>
              </w:rPr>
              <w:t>P9017</w:t>
            </w:r>
          </w:p>
        </w:tc>
      </w:tr>
      <w:tr>
        <w:tc>
          <w:tcPr>
            <w:tcW w:type="dxa" w:w="2767"/>
          </w:tcPr>
          <w:p>
            <w:r/>
            <w:r>
              <w:rPr>
                <w:rFonts w:ascii="Calibri" w:hAnsi="Calibri" w:eastAsia="微软雅黑"/>
                <w:b w:val="0"/>
                <w:i w:val="0"/>
                <w:sz w:val="18"/>
              </w:rPr>
              <w:t>2013</w:t>
            </w:r>
          </w:p>
        </w:tc>
        <w:tc>
          <w:tcPr>
            <w:tcW w:type="dxa" w:w="2767"/>
          </w:tcPr>
          <w:p>
            <w:r/>
            <w:r>
              <w:rPr>
                <w:rFonts w:ascii="Calibri" w:hAnsi="Calibri" w:eastAsia="微软雅黑"/>
                <w:b w:val="0"/>
                <w:i w:val="0"/>
                <w:sz w:val="18"/>
              </w:rPr>
              <w:t>2170篇</w:t>
            </w:r>
          </w:p>
        </w:tc>
        <w:tc>
          <w:tcPr>
            <w:tcW w:type="dxa" w:w="2767"/>
          </w:tcPr>
          <w:p>
            <w:r/>
            <w:r>
              <w:rPr>
                <w:rFonts w:ascii="Calibri" w:hAnsi="Calibri" w:eastAsia="微软雅黑"/>
                <w:b w:val="0"/>
                <w:i w:val="0"/>
                <w:sz w:val="18"/>
              </w:rPr>
              <w:t>P9018</w:t>
            </w:r>
          </w:p>
        </w:tc>
      </w:tr>
      <w:tr>
        <w:tc>
          <w:tcPr>
            <w:tcW w:type="dxa" w:w="2767"/>
          </w:tcPr>
          <w:p>
            <w:r/>
            <w:r>
              <w:rPr>
                <w:rFonts w:ascii="Calibri" w:hAnsi="Calibri" w:eastAsia="微软雅黑"/>
                <w:b w:val="0"/>
                <w:i w:val="0"/>
                <w:sz w:val="18"/>
              </w:rPr>
              <w:t>2021</w:t>
            </w:r>
          </w:p>
        </w:tc>
        <w:tc>
          <w:tcPr>
            <w:tcW w:type="dxa" w:w="2767"/>
          </w:tcPr>
          <w:p>
            <w:r/>
            <w:r>
              <w:rPr>
                <w:rFonts w:ascii="Calibri" w:hAnsi="Calibri" w:eastAsia="微软雅黑"/>
                <w:b w:val="0"/>
                <w:i w:val="0"/>
                <w:sz w:val="18"/>
              </w:rPr>
              <w:t>324篇</w:t>
            </w:r>
          </w:p>
        </w:tc>
        <w:tc>
          <w:tcPr>
            <w:tcW w:type="dxa" w:w="2767"/>
          </w:tcPr>
          <w:p>
            <w:r/>
            <w:r>
              <w:rPr>
                <w:rFonts w:ascii="Calibri" w:hAnsi="Calibri" w:eastAsia="微软雅黑"/>
                <w:b w:val="0"/>
                <w:i w:val="0"/>
                <w:sz w:val="18"/>
              </w:rPr>
              <w:t>P9020</w:t>
            </w:r>
          </w:p>
        </w:tc>
      </w:tr>
      <w:tr>
        <w:tc>
          <w:tcPr>
            <w:tcW w:type="dxa" w:w="2767"/>
          </w:tcPr>
          <w:p>
            <w:r/>
            <w:r>
              <w:rPr>
                <w:rFonts w:ascii="Calibri" w:hAnsi="Calibri" w:eastAsia="微软雅黑"/>
                <w:b w:val="0"/>
                <w:i w:val="0"/>
                <w:sz w:val="18"/>
              </w:rPr>
              <w:t>2012</w:t>
            </w:r>
          </w:p>
        </w:tc>
        <w:tc>
          <w:tcPr>
            <w:tcW w:type="dxa" w:w="2767"/>
          </w:tcPr>
          <w:p>
            <w:r/>
            <w:r>
              <w:rPr>
                <w:rFonts w:ascii="Calibri" w:hAnsi="Calibri" w:eastAsia="微软雅黑"/>
                <w:b w:val="0"/>
                <w:i w:val="0"/>
                <w:sz w:val="18"/>
              </w:rPr>
              <w:t>216篇</w:t>
            </w:r>
          </w:p>
        </w:tc>
        <w:tc>
          <w:tcPr>
            <w:tcW w:type="dxa" w:w="2767"/>
          </w:tcPr>
          <w:p>
            <w:r/>
            <w:r>
              <w:rPr>
                <w:rFonts w:ascii="Calibri" w:hAnsi="Calibri" w:eastAsia="微软雅黑"/>
                <w:b w:val="0"/>
                <w:i w:val="0"/>
                <w:sz w:val="18"/>
              </w:rPr>
              <w:t>P9019</w:t>
            </w:r>
          </w:p>
        </w:tc>
      </w:tr>
      <w:tr>
        <w:tc>
          <w:tcPr>
            <w:tcW w:type="dxa" w:w="2767"/>
          </w:tcPr>
          <w:p>
            <w:r/>
            <w:r>
              <w:rPr>
                <w:rFonts w:ascii="Calibri" w:hAnsi="Calibri" w:eastAsia="微软雅黑"/>
                <w:b w:val="0"/>
                <w:i w:val="0"/>
                <w:sz w:val="18"/>
              </w:rPr>
              <w:t>2010</w:t>
            </w:r>
          </w:p>
        </w:tc>
        <w:tc>
          <w:tcPr>
            <w:tcW w:type="dxa" w:w="2767"/>
          </w:tcPr>
          <w:p>
            <w:r/>
            <w:r>
              <w:rPr>
                <w:rFonts w:ascii="Calibri" w:hAnsi="Calibri" w:eastAsia="微软雅黑"/>
                <w:b w:val="0"/>
                <w:i w:val="0"/>
                <w:sz w:val="18"/>
              </w:rPr>
              <w:t>148篇</w:t>
            </w:r>
          </w:p>
        </w:tc>
        <w:tc>
          <w:tcPr>
            <w:tcW w:type="dxa" w:w="2767"/>
          </w:tcPr>
          <w:p>
            <w:r/>
            <w:r>
              <w:rPr>
                <w:rFonts w:ascii="Calibri" w:hAnsi="Calibri" w:eastAsia="微软雅黑"/>
                <w:b w:val="0"/>
                <w:i w:val="0"/>
                <w:sz w:val="18"/>
              </w:rPr>
              <w:t>P9021</w:t>
            </w:r>
          </w:p>
        </w:tc>
      </w:tr>
    </w:tbl>
    <w:p>
      <w:r>
        <w:rPr>
          <w:rFonts w:ascii="Calibri" w:hAnsi="Calibri" w:eastAsia="微软雅黑"/>
          <w:b w:val="0"/>
          <w:i w:val="0"/>
          <w:sz w:val="22"/>
        </w:rPr>
        <w:t>（更早年度卷宗：2011年61篇P9023、2009年55篇P9027、2008年39篇P9026。）</w:t>
      </w:r>
    </w:p>
    <w:p>
      <w:r>
        <w:rPr>
          <w:rFonts w:ascii="Calibri" w:hAnsi="Calibri" w:eastAsia="微软雅黑"/>
          <w:b w:val="0"/>
          <w:i w:val="0"/>
          <w:sz w:val="22"/>
        </w:rPr>
        <w:t>抽样细读这些文书，可以提炼出四条与"技术变抗辩力"直接相关的实证。其一，"边设计边施工"是证据黑洞：某园林工程纠纷中，因发包人未提供设计图纸，全部施工内容采取"边设计、边施工，完工一处、验收一处"的方式进行，竣工后结算争议四起——四项工程总造价8902476.4元、累计已付7432708元的账目对不拢，只能对簿公堂（P9014）。EPC模式下设计施工同体，恰恰消灭了"对方没给图"的借口，设计过程数据不进系统，争议时无据可依。其二，发票与税金本身就是工程款：某再审案中，双方对工程款769734元（含税金100400元）无异议，但法院以当事人未提供税务发票等证据证明税金损失确已产生为由，对税金部分予以扣除（P9013）——开票、纳税的证据链直接决定能拿回多少钱。其三，"先开票后付款"条款真实存在：某设备租赁纠纷中，承租方明确以"曾支付一笔225万元的劳务费、对方尚未开具发票"为由，拒付所欠的100000元租金（P9017）——发票流与资金流的咬合必须进系统管控。其四，服务费的生死在过程记录：某监理费纠纷中，法院支持监理方全部欠付费用，靠的是监理合同登记备案表、图纸会审纪要、工程技术变更联系单、工程量签到单等完整过程证据链（按合同计算监理费566160元、已付120000元，当庭变更诉请为442160元获支持，P9027）——对以服务为业的设计院，这组证据清单就是数字化系统应当自动留痕的最小集合。</w:t>
      </w:r>
    </w:p>
    <w:p>
      <w:r>
        <w:rPr>
          <w:rFonts w:ascii="Calibri" w:hAnsi="Calibri" w:eastAsia="微软雅黑"/>
          <w:b w:val="0"/>
          <w:i w:val="0"/>
          <w:sz w:val="22"/>
        </w:rPr>
        <w:t>再叠加程序规则：建设工程施工合同纠纷按不动产纠纷确定管辖，由工程所在地法院管辖（P9011）——这意味着证据要经得起异地诉讼的调取与质证，纸质档案的分散管理在这种场景下天然吃亏，数字化证据库的溢价由此而来。把这些实证合起来读，结论很冷峻：行业的风险主战场仍在履约与商务侧，鲜见"BIM模型错误""数字化交付不合格"之类的技术案由；技术底座的价值必须最终转化为履约确定性——进度、质量、造价的过程证据链——否则数字化投入无法在纠纷中变现为抗辩力。技术上做得再炫，法庭上能救总承包商的仍然是合同、签证与过程记录；技术系统的第一用户因此应当是项目部与法务，而不是只有数字化部门。</w:t>
      </w:r>
    </w:p>
    <w:p>
      <w:r>
        <w:rPr>
          <w:rFonts w:ascii="Calibri" w:hAnsi="Calibri" w:eastAsia="微软雅黑"/>
          <w:b/>
          <w:i w:val="0"/>
          <w:sz w:val="22"/>
        </w:rPr>
        <w:t>所以呢？</w:t>
      </w:r>
      <w:r>
        <w:rPr>
          <w:rFonts w:ascii="Calibri" w:hAnsi="Calibri" w:eastAsia="微软雅黑"/>
          <w:b w:val="0"/>
          <w:i w:val="0"/>
          <w:sz w:val="22"/>
        </w:rPr>
        <w:t xml:space="preserve"> 9.5节给决策层的三条硬结论：第一，技术立项时同步定义"履约证据链"产出——每个模型、每条数据、每张发票流都要能在结算与诉讼中作证（P9013、P9014、P9017、P9027）；第二，平台选型带退出预案，数据格式、模型所有权、迁移条款写进合同（P9000）；第三，把安全体系与技术体系互锁，用"六大控制七个零"式的体系（P9004）约束"技术确定性"替代"安全冗余"的幻觉（P9024）。</w:t>
      </w:r>
    </w:p>
    <w:p>
      <w:pPr>
        <w:pStyle w:val="Heading2"/>
      </w:pPr>
      <w:r>
        <w:t>本章小结与盲区</w:t>
      </w:r>
    </w:p>
    <w:p>
      <w:r>
        <w:rPr>
          <w:rFonts w:ascii="Calibri" w:hAnsi="Calibri" w:eastAsia="微软雅黑"/>
          <w:b/>
          <w:i w:val="0"/>
          <w:sz w:val="22"/>
        </w:rPr>
        <w:t>小结。</w:t>
      </w:r>
      <w:r>
        <w:rPr>
          <w:rFonts w:ascii="Calibri" w:hAnsi="Calibri" w:eastAsia="微软雅黑"/>
          <w:b w:val="0"/>
          <w:i w:val="0"/>
          <w:sz w:val="22"/>
        </w:rPr>
        <w:t xml:space="preserve"> 本章沿五条决策线重组了技术底座的证据。政策线上，国发〔2026〕7号首次把BIM写入国务院级战略文件、定位于国家数字基础设施与全过程服务工具，并延伸到公共机构节能降碳改造（P9000）；广东、福建、深圳、浙江、青海、新疆6省市已出台强制或准强制政策，费用改由建设方买单（P9000）。生产力线上，对象化设计把统计效率提升80%以上、实现源头修改全系统自动更新（P9005），EB五层级架构与自动化概算、精准采购构成闭环（P9004、P9005），昆明院以BIM+GIS平台在887项参赛作品的全球大赛中拿下最高等级奖项（P9010）。管控线上，70%以上造价在设计端锁定（P9007）、2.37%的竞标价差生死线（P9007）、四条司法红线（P9007）与"1344"框架的权责发生制穿透（P9034）构成事前管控组合拳；采购侧2023年中核工程二级集采节资率10%（P9003）展示了数据贯通后的直接收益，"三高一长+四位一体"给出了可迁移的采购协同框架（P9003）。资产线上，中机国际300余项专利、240余项标准与GB/T 50054-2025中译英出海（P9034），加上中电工程十年1419亿元总承包合同额、占比23%到83%的变现路径（P9028），证明技术资产可以重写收入结构；2000亿元设备更新等政策资金提供了外部对冲（P9001）。教训线上，丰城事故的技术陷阱（P9024）、BIM的历史买单困境（P9000）与数万篇施工合同纠纷文书及其"边设计边施工""税金扣除""先开票后付款"等实证（P9011-P9027）共同提醒：技术底座的价值，最终要落在履约确定性与证据链上。</w:t>
      </w:r>
    </w:p>
    <w:p>
      <w:r>
        <w:rPr>
          <w:rFonts w:ascii="Calibri" w:hAnsi="Calibri" w:eastAsia="微软雅黑"/>
          <w:b w:val="0"/>
          <w:i w:val="0"/>
          <w:sz w:val="22"/>
        </w:rPr>
        <w:t>贯穿五条线索的一句话概括：政策给了入场券，数据给了算账能力，专利标准给了护城河，而证据链决定这一切在纠纷时刻能否兑现——技术底座是这四件事的总和，缺任何一件都不成其为底座。</w:t>
      </w:r>
    </w:p>
    <w:p>
      <w:r>
        <w:rPr>
          <w:rFonts w:ascii="Calibri" w:hAnsi="Calibri" w:eastAsia="微软雅黑"/>
          <w:b/>
          <w:i w:val="0"/>
          <w:sz w:val="22"/>
        </w:rPr>
        <w:t>盲区（证据未覆盖处，如实声明）。</w:t>
      </w:r>
      <w:r>
        <w:rPr>
          <w:rFonts w:ascii="Calibri" w:hAnsi="Calibri" w:eastAsia="微软雅黑"/>
          <w:b w:val="0"/>
          <w:i w:val="0"/>
          <w:sz w:val="22"/>
        </w:rPr>
        <w:t xml:space="preserve"> 其一，设计院数字化投入的财务回报数据缺失——现有证据只有统计效率提升80%以上这类单项指标（P9005），没有"数字化改造前后人均产值、净利率"的完整对照，整体ROI无法测算，本章不做量化承诺。其二，BIM软件市场的国产与外资市占结构、单套软件价格与实施周期在证据中缺席，仅有全球市场规模69.28亿美元及2032年228.6亿美元的预测（P9000），供应商依赖与国产替代风险评估只能停留在定性层。其三，专利纠纷与专利许可收入的判例缺失——弹药库数万篇裁判文书集中于施工合同与结算纠纷（P9011-P9027），没有一件专利侵权或许可费案件，"专利护城河"的司法兑现路径缺乏实证支撑。其四，中小设计院的低成本数字化路径（SaaS租用、共享平台、轻量起步）无证据覆盖，本章案例均为头部企业（中核工程、中机国际、中国电建系、中电工程），存在幸存者偏差，中小院引用结论时应打折。其五，丰城事故的技术细节（具体工艺参数、责任认定数字）在证据中仅有目录级信息（P9024），本章相关论述只能停留在框架层；国发7号文之外6省市各地时间表的具体条款，源文亦仅给出省名清单（P9000），未及逐省拆解。决策者引用本章结论时，请把这五处空白计入不确定性。</w:t>
      </w:r>
    </w:p>
    <w:p>
      <w:r>
        <w:rPr>
          <w:rFonts w:ascii="Calibri" w:hAnsi="Calibri" w:eastAsia="微软雅黑"/>
          <w:b w:val="0"/>
          <w:i w:val="0"/>
          <w:sz w:val="22"/>
        </w:rPr>
        <w:t>---</w:t>
      </w:r>
    </w:p>
    <w:p>
      <w:pPr>
        <w:pStyle w:val="Heading1"/>
      </w:pPr>
      <w:r>
        <w:t>第10章 组织与人才：资质、专家与人才结构</w:t>
      </w:r>
    </w:p>
    <w:p>
      <w:pPr>
        <w:ind w:left="454"/>
      </w:pPr>
      <w:r>
        <w:rPr>
          <w:rFonts w:ascii="Calibri" w:hAnsi="Calibri" w:eastAsia="微软雅黑"/>
          <w:b w:val="0"/>
          <w:i w:val="0"/>
          <w:color w:val="666666"/>
          <w:sz w:val="22"/>
        </w:rPr>
        <w:t>设计院转型EPC总承包，先要回答三道人事题：资质门槛放不放你进场，专家体系撑不撑得起履约，人才结构配不配得上模式。本章基于弹药库证据，梳理资质政策三十余年演变、企业资质组合、人员配比、大师与首席科学家机制、培养与国际化用工，以及处罚与事故的反面镜子，为正在做转型决策的设计院管理层与工程企业决策者提供一份资质与人才决策清单。</w:t>
      </w:r>
    </w:p>
    <w:p>
      <w:pPr>
        <w:pStyle w:val="Heading2"/>
      </w:pPr>
      <w:r>
        <w:t>10.1 资质门槛的政策演变：EPC总承包到底需要什么资质</w:t>
      </w:r>
    </w:p>
    <w:p>
      <w:r>
        <w:rPr>
          <w:rFonts w:ascii="Calibri" w:hAnsi="Calibri" w:eastAsia="微软雅黑"/>
          <w:b w:val="0"/>
          <w:i w:val="0"/>
          <w:sz w:val="22"/>
        </w:rPr>
        <w:t>几乎每一家设计院的一把手在谋划转型时问出的第一个问题都是：接EPC总承包项目，我院缺不缺一张"总承包资质"？这个问题看似简单，其政策答案却经历了三十余年的三次转折。看不懂这段演变，资质战略就会选错路径——要么苦等一张根本不存在的证书，要么在错误的环节重复投入。</w:t>
      </w:r>
    </w:p>
    <w:p>
      <w:pPr>
        <w:pStyle w:val="Heading3"/>
      </w:pPr>
      <w:r>
        <w:t>10.1.1 现行底线：三类资质标准与三处法条</w:t>
      </w:r>
    </w:p>
    <w:p>
      <w:r>
        <w:rPr>
          <w:rFonts w:ascii="Calibri" w:hAnsi="Calibri" w:eastAsia="微软雅黑"/>
          <w:b w:val="0"/>
          <w:i w:val="0"/>
          <w:sz w:val="22"/>
        </w:rPr>
        <w:t>先看现行底线框架。建设工程在我国仍属于有资质门槛的强监管领域，针对工程总承包可能涉及的各环节，当前分别由《工程勘察资质标准》《工程设计资质标准》和《建筑业企业资质标准》等不同资质标准予以管控（P10007）。以《建筑业企业资质标准》2015版为例，共分为12个施工总承包资质、36个专业承包资质和1个施工劳务资质，三类合计四十九项资质类别（own_calc：12+36+1，依据P10007）。</w:t>
      </w:r>
    </w:p>
    <w:p>
      <w:r>
        <w:rPr>
          <w:rFonts w:ascii="Calibri" w:hAnsi="Calibri" w:eastAsia="微软雅黑"/>
          <w:b w:val="0"/>
          <w:i w:val="0"/>
          <w:sz w:val="22"/>
        </w:rPr>
        <w:t>在此框架之上，《建筑法》第二十四条允许建筑工程的发包单位将勘察、设计、施工、设备采购一并发包给一个工程总承包单位，第二十九条则禁止总承包单位将工程分包给不具备相应资质条件的单位（P10007）。《建筑法》第二条本身仅定义房屋建筑及其附属设施的建筑活动，并不当然覆盖化工、能源、电力、水利、交通等更广阔的建设活动，因此第八十一条进一步把施工许可、建筑施工企业资质审查、发包承包、禁止转包、监理、安全质量管理等制度延伸适用于其他专业建筑工程，具体办法由国务院规定（P10007）。细心的人会发现第二十九条的蹊跷：分包要有资质，那总承包单位自身呢？上海市建纬律师事务所合伙人律师徐寅哲正是从这个条文疑点出发，在语料中展开了对总承包资质制度变迁的完整梳理（P10007）。这个疑点本身就是本章的逻辑起点——总承包资质的地位，三十年里经历过从"双证并行"到"全面取消"的大翻转。</w:t>
      </w:r>
    </w:p>
    <w:p>
      <w:pPr>
        <w:pStyle w:val="Heading3"/>
      </w:pPr>
      <w:r>
        <w:t>10.1.2 三幕历史：双轨分立、审批取消、能力转向</w:t>
      </w:r>
    </w:p>
    <w:p>
      <w:r>
        <w:rPr>
          <w:rFonts w:ascii="Calibri" w:hAnsi="Calibri" w:eastAsia="微软雅黑"/>
          <w:b w:val="0"/>
          <w:i w:val="0"/>
          <w:sz w:val="22"/>
        </w:rPr>
        <w:t>第一幕是"双轨分立"。1992年4月3日，原建设部发布《工程总承包企业资质管理暂行规定》（建施字第189号文），将工程总承包企业按资质条件分为三级，并明确该规定所称工程总承包企业"不包括以设计院为主体的设计工程公司"，其制定依据是1989年的《施工企业资质管理规定》，主要针对施工企业作为总承包商的情形（P10007）。仅仅七个多月后的1992年11月17日，原建设部又发布《设计单位进行工程总承包资格管理的有关规定》（建设〔1992〕805号），要求设计单位进行工程总承包必须先提出申请、经勘察设计管理部门审查批准并取得《工程总承包资格证书》后，方可承担批准范围内的总承包任务（P10007）；该证书分甲、乙、丙、丁四级，与工程设计资格等级相一致，由建设部统一印制（P10007）。也就是说，监管层早在1992年就为"施工企业做总承包"与"设计院做总承包"铺设了两条独立轨道——设计院当年走的是甲乙丙丁四级证书那条路，这解释了为何老一辈设计院管理者至今仍有"总承包证书"的记忆残留（P10007）。</w:t>
      </w:r>
    </w:p>
    <w:p>
      <w:r>
        <w:rPr>
          <w:rFonts w:ascii="Calibri" w:hAnsi="Calibri" w:eastAsia="微软雅黑"/>
          <w:b w:val="0"/>
          <w:i w:val="0"/>
          <w:sz w:val="22"/>
        </w:rPr>
        <w:t>第二幕是审批取消。2002年11月1日，《国务院关于取消第一批行政审批项目的决定》（国发〔2002〕24号）第239项取消了"工程总承包资格核准"，该项核准的设立依据正是建设〔1992〕805号文件（P10007）。至此，那张设计院曾经要逐级申请的《工程总承包资格证书》退出历史舞台——从1992年设立到2002年取消，这项资质制度存续恰好十年（own_calc：2002−1992=10，依据P10007）。</w:t>
      </w:r>
    </w:p>
    <w:p>
      <w:r>
        <w:rPr>
          <w:rFonts w:ascii="Calibri" w:hAnsi="Calibri" w:eastAsia="微软雅黑"/>
          <w:b w:val="0"/>
          <w:i w:val="0"/>
          <w:sz w:val="22"/>
        </w:rPr>
        <w:t>第三幕是转向能力导向。2003年2月13日，《建设部关于培育发展工程总承包和工程项目管理企业的指导意见》（建市〔2003〕30号）提出，鼓励具有工程勘察、设计或施工总承包资质的企业通过改造和重组，建立与工程总承包业务相适应的组织机构、项目管理体系，充实项目管理专业人员，提高融资能力，发展成为具有设计、采购、施工（施工管理）综合功能的工程公司（P10007）。请特别注意"组织机构、项目管理体系、项目管理专业人员"这串提法——监管者用组织与人的真实配置，替代了被取消的资质审批，把总承包门槛从"一纸证书"改写为"能力事实"。</w:t>
      </w:r>
    </w:p>
    <w:p>
      <w:r>
        <w:rPr>
          <w:rFonts w:ascii="Calibri" w:hAnsi="Calibri" w:eastAsia="微软雅黑"/>
          <w:b w:val="0"/>
          <w:i w:val="0"/>
          <w:sz w:val="22"/>
        </w:rPr>
        <w:t>把三幕历史压缩成一张决策者视角的时间轴：</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时间</w:t>
            </w:r>
          </w:p>
        </w:tc>
        <w:tc>
          <w:tcPr>
            <w:tcW w:type="dxa" w:w="2767"/>
            <w:shd w:fill="1F3A5F"/>
          </w:tcPr>
          <w:p>
            <w:r>
              <w:rPr>
                <w:color w:val="FFFFFF"/>
              </w:rPr>
            </w:r>
            <w:r>
              <w:rPr>
                <w:rFonts w:ascii="Calibri" w:hAnsi="Calibri" w:eastAsia="微软雅黑"/>
                <w:b/>
                <w:i w:val="0"/>
                <w:color w:val="FFFFFF"/>
                <w:sz w:val="18"/>
              </w:rPr>
              <w:t>政策事件</w:t>
            </w:r>
          </w:p>
        </w:tc>
        <w:tc>
          <w:tcPr>
            <w:tcW w:type="dxa" w:w="2767"/>
            <w:shd w:fill="1F3A5F"/>
          </w:tcPr>
          <w:p>
            <w:r>
              <w:rPr>
                <w:color w:val="FFFFFF"/>
              </w:rPr>
            </w:r>
            <w:r>
              <w:rPr>
                <w:rFonts w:ascii="Calibri" w:hAnsi="Calibri" w:eastAsia="微软雅黑"/>
                <w:b/>
                <w:i w:val="0"/>
                <w:color w:val="FFFFFF"/>
                <w:sz w:val="18"/>
              </w:rPr>
              <w:t>对设计院的含义</w:t>
            </w:r>
          </w:p>
        </w:tc>
      </w:tr>
      <w:tr>
        <w:tc>
          <w:tcPr>
            <w:tcW w:type="dxa" w:w="2767"/>
          </w:tcPr>
          <w:p>
            <w:r/>
            <w:r>
              <w:rPr>
                <w:rFonts w:ascii="Calibri" w:hAnsi="Calibri" w:eastAsia="微软雅黑"/>
                <w:b w:val="0"/>
                <w:i w:val="0"/>
                <w:sz w:val="18"/>
              </w:rPr>
              <w:t>1992年4月3日</w:t>
            </w:r>
          </w:p>
        </w:tc>
        <w:tc>
          <w:tcPr>
            <w:tcW w:type="dxa" w:w="2767"/>
          </w:tcPr>
          <w:p>
            <w:r/>
            <w:r>
              <w:rPr>
                <w:rFonts w:ascii="Calibri" w:hAnsi="Calibri" w:eastAsia="微软雅黑"/>
                <w:b w:val="0"/>
                <w:i w:val="0"/>
                <w:sz w:val="18"/>
              </w:rPr>
              <w:t>建施字第189号文设总承包企业三级资质，明确排除设计院主体（P10007）</w:t>
            </w:r>
          </w:p>
        </w:tc>
        <w:tc>
          <w:tcPr>
            <w:tcW w:type="dxa" w:w="2767"/>
          </w:tcPr>
          <w:p>
            <w:r/>
            <w:r>
              <w:rPr>
                <w:rFonts w:ascii="Calibri" w:hAnsi="Calibri" w:eastAsia="微软雅黑"/>
                <w:b w:val="0"/>
                <w:i w:val="0"/>
                <w:sz w:val="18"/>
              </w:rPr>
              <w:t>施工企业轨</w:t>
            </w:r>
          </w:p>
        </w:tc>
      </w:tr>
      <w:tr>
        <w:tc>
          <w:tcPr>
            <w:tcW w:type="dxa" w:w="2767"/>
          </w:tcPr>
          <w:p>
            <w:r/>
            <w:r>
              <w:rPr>
                <w:rFonts w:ascii="Calibri" w:hAnsi="Calibri" w:eastAsia="微软雅黑"/>
                <w:b w:val="0"/>
                <w:i w:val="0"/>
                <w:sz w:val="18"/>
              </w:rPr>
              <w:t>1992年11月17日</w:t>
            </w:r>
          </w:p>
        </w:tc>
        <w:tc>
          <w:tcPr>
            <w:tcW w:type="dxa" w:w="2767"/>
          </w:tcPr>
          <w:p>
            <w:r/>
            <w:r>
              <w:rPr>
                <w:rFonts w:ascii="Calibri" w:hAnsi="Calibri" w:eastAsia="微软雅黑"/>
                <w:b w:val="0"/>
                <w:i w:val="0"/>
                <w:sz w:val="18"/>
              </w:rPr>
              <w:t>建设〔1992〕805号文为设计单位单设甲乙丙丁四级总承包资格证书（P10007）</w:t>
            </w:r>
          </w:p>
        </w:tc>
        <w:tc>
          <w:tcPr>
            <w:tcW w:type="dxa" w:w="2767"/>
          </w:tcPr>
          <w:p>
            <w:r/>
            <w:r>
              <w:rPr>
                <w:rFonts w:ascii="Calibri" w:hAnsi="Calibri" w:eastAsia="微软雅黑"/>
                <w:b w:val="0"/>
                <w:i w:val="0"/>
                <w:sz w:val="18"/>
              </w:rPr>
              <w:t>设计院轨</w:t>
            </w:r>
          </w:p>
        </w:tc>
      </w:tr>
      <w:tr>
        <w:tc>
          <w:tcPr>
            <w:tcW w:type="dxa" w:w="2767"/>
          </w:tcPr>
          <w:p>
            <w:r/>
            <w:r>
              <w:rPr>
                <w:rFonts w:ascii="Calibri" w:hAnsi="Calibri" w:eastAsia="微软雅黑"/>
                <w:b w:val="0"/>
                <w:i w:val="0"/>
                <w:sz w:val="18"/>
              </w:rPr>
              <w:t>2002年11月1日</w:t>
            </w:r>
          </w:p>
        </w:tc>
        <w:tc>
          <w:tcPr>
            <w:tcW w:type="dxa" w:w="2767"/>
          </w:tcPr>
          <w:p>
            <w:r/>
            <w:r>
              <w:rPr>
                <w:rFonts w:ascii="Calibri" w:hAnsi="Calibri" w:eastAsia="微软雅黑"/>
                <w:b w:val="0"/>
                <w:i w:val="0"/>
                <w:sz w:val="18"/>
              </w:rPr>
              <w:t>国发〔2002〕24号第239项取消工程总承包资格核准（P10007）</w:t>
            </w:r>
          </w:p>
        </w:tc>
        <w:tc>
          <w:tcPr>
            <w:tcW w:type="dxa" w:w="2767"/>
          </w:tcPr>
          <w:p>
            <w:r/>
            <w:r>
              <w:rPr>
                <w:rFonts w:ascii="Calibri" w:hAnsi="Calibri" w:eastAsia="微软雅黑"/>
                <w:b w:val="0"/>
                <w:i w:val="0"/>
                <w:sz w:val="18"/>
              </w:rPr>
              <w:t>双证并废</w:t>
            </w:r>
          </w:p>
        </w:tc>
      </w:tr>
      <w:tr>
        <w:tc>
          <w:tcPr>
            <w:tcW w:type="dxa" w:w="2767"/>
          </w:tcPr>
          <w:p>
            <w:r/>
            <w:r>
              <w:rPr>
                <w:rFonts w:ascii="Calibri" w:hAnsi="Calibri" w:eastAsia="微软雅黑"/>
                <w:b w:val="0"/>
                <w:i w:val="0"/>
                <w:sz w:val="18"/>
              </w:rPr>
              <w:t>2003年2月13日</w:t>
            </w:r>
          </w:p>
        </w:tc>
        <w:tc>
          <w:tcPr>
            <w:tcW w:type="dxa" w:w="2767"/>
          </w:tcPr>
          <w:p>
            <w:r/>
            <w:r>
              <w:rPr>
                <w:rFonts w:ascii="Calibri" w:hAnsi="Calibri" w:eastAsia="微软雅黑"/>
                <w:b w:val="0"/>
                <w:i w:val="0"/>
                <w:sz w:val="18"/>
              </w:rPr>
              <w:t>建市〔2003〕30号转向"改造重组+组织机构+充实专业人员"（P10007）</w:t>
            </w:r>
          </w:p>
        </w:tc>
        <w:tc>
          <w:tcPr>
            <w:tcW w:type="dxa" w:w="2767"/>
          </w:tcPr>
          <w:p>
            <w:r/>
            <w:r>
              <w:rPr>
                <w:rFonts w:ascii="Calibri" w:hAnsi="Calibri" w:eastAsia="微软雅黑"/>
                <w:b w:val="0"/>
                <w:i w:val="0"/>
                <w:sz w:val="18"/>
              </w:rPr>
              <w:t>能力导向确立</w:t>
            </w:r>
          </w:p>
        </w:tc>
      </w:tr>
    </w:tbl>
    <w:p>
      <w:r>
        <w:rPr>
          <w:rFonts w:ascii="Calibri" w:hAnsi="Calibri" w:eastAsia="微软雅黑"/>
          <w:b w:val="0"/>
          <w:i w:val="0"/>
          <w:sz w:val="22"/>
        </w:rPr>
        <w:t>这张时间轴上有一个容易被忽略的细节：从1992年11月805号文发证，到2002年11月24号决定取消，双证并行的十年恰好覆盖了中国第一批设计院改制为工程公司的窗口期（P10007）。这段制度经历留下了两笔遗产：一笔是记忆——部分业主与地方监管者至今仍会在招标文件或沟通中沿用"总承包资格证书"的旧表述，设计院需要在应标与沟通中做政策释明；另一笔是路径——当年按甲乙丙丁四级拿证的设计院，正是后来最早一批完成工程公司改造的先行者（P10007），他们把证书时代积累的总承包管理体系，平移成了后证书时代的组织能力。理解这段历史的实用价值在于：当你的客户还用旧框架提问时，你能用政策演变链给出专业回答（P10007）——这本身就是转型设计院专业度的一种展示。</w:t>
      </w:r>
    </w:p>
    <w:p>
      <w:pPr>
        <w:pStyle w:val="Heading3"/>
      </w:pPr>
      <w:r>
        <w:t>10.1.3 组合替代单品：被验证的三条路径</w:t>
      </w:r>
    </w:p>
    <w:p>
      <w:r>
        <w:rPr>
          <w:rFonts w:ascii="Calibri" w:hAnsi="Calibri" w:eastAsia="微软雅黑"/>
          <w:b w:val="0"/>
          <w:i w:val="0"/>
          <w:sz w:val="22"/>
        </w:rPr>
        <w:t>政策层面的答案已经清晰：不存在一张可以单独申领的"EPC总承包资质"，设计院做EPC以既有设计资质为底盘，按项目类型组合能力证明。但这绝不意味着资质不重要——资质以"组合"形式回到了企业资产端。语料给出了三个活样本。</w:t>
      </w:r>
    </w:p>
    <w:p>
      <w:r>
        <w:rPr>
          <w:rFonts w:ascii="Calibri" w:hAnsi="Calibri" w:eastAsia="微软雅黑"/>
          <w:b w:val="0"/>
          <w:i w:val="0"/>
          <w:sz w:val="22"/>
        </w:rPr>
        <w:t>样本一，中机国际的多面体组合。这家1951年创建、前身为机械工业部第八设计研究院、总部位于长沙的老牌大院（P10004），手握机械、建筑、市政、军工、冶金、轻纺、风景园林、环境工程8个行业甲级设计资质，外加市政公用工程施工总承包一级与环保工程专业承包一级资质（P10004）。设计端8个甲级加施工端2个一级，构成典型的"设计+施工"双线资质组合，支撑其多年连续上榜ENR/《建筑时报》"中国工程设计企业60强"（P10004）。更进一步的护城河在标准话语权：中机国际主编了《低压配电技术标准》GB/T 50054-2025并启动中译英工作，推动中国标准与IEC国际标准接轨，以此破除对外工程承包的技术标准壁垒（P10004）——当资质组合与标准制定权叠加，竞争门槛就从"能否投标"升维到"规则由谁写"。</w:t>
      </w:r>
    </w:p>
    <w:p>
      <w:r>
        <w:rPr>
          <w:rFonts w:ascii="Calibri" w:hAnsi="Calibri" w:eastAsia="微软雅黑"/>
          <w:b w:val="0"/>
          <w:i w:val="0"/>
          <w:sz w:val="22"/>
        </w:rPr>
        <w:t>样本二，中石化南京工程的法人级整合。该公司2009年重组成立后，通过设计能力与施工能力的法人级深度重构实现"双源合一"，打破设计与施工的组织壁垒，奠定EPC法人级交付基座（P10001、P10023）。其治理要义在于：总承包交付效能取决于设计控制因子、采购施工协同因子与组织摩擦风险、造价合规偏差之间的配比（P10023）——资质与组织在这里是同一枚硬币，法人合一本身就是对"设计院无施工能力、施工企业无设计深度"这一双轨历史遗留问题的釜底抽薪。</w:t>
      </w:r>
    </w:p>
    <w:p>
      <w:r>
        <w:rPr>
          <w:rFonts w:ascii="Calibri" w:hAnsi="Calibri" w:eastAsia="微软雅黑"/>
          <w:b w:val="0"/>
          <w:i w:val="0"/>
          <w:sz w:val="22"/>
        </w:rPr>
        <w:t>样本三，北京院的全专业证书链。北京院始建于1953年，是中国水利水电行业最早成立的部直属大型勘测设计研究院，现为中国电力建设集团有限公司（世界500强企业）的全资子企业，持有工程设计、工程勘察、工程监理三个综合甲级资质，业务覆盖水电、水利、工民建、新能源（风电、光伏）、市政、路桥、文保等领域的规划、测绘、勘察、设计、科研、咨询、监理、环保、水保、监测、岩土治理、工程总承包及投资（P10008）。从勘测到设计再到监理的一站式证书链，使其在抽水蓄能电站、常规水电站、新能源工程勘察设计领域处于领先地位（P10008）。</w:t>
      </w:r>
    </w:p>
    <w:p>
      <w:r>
        <w:rPr>
          <w:rFonts w:ascii="Calibri" w:hAnsi="Calibri" w:eastAsia="微软雅黑"/>
          <w:b w:val="0"/>
          <w:i w:val="0"/>
          <w:sz w:val="22"/>
        </w:rPr>
        <w:t>还有一处政策细节值得单独放大。建市〔2003〕30号文给转型企业开出的清单里，除了"建立与工程总承包业务相适应的组织机构、项目管理体系，充实项目管理专业人员"，还有明确的一项——"提高融资能力"（P10007）。这四个字预示了此后二十余年总承包市场竞争的真实规则：当行政资质退场，业主考察总承包商的"资格"就从一纸证书转向了三重奏——资质组合证明你能干什么，资金实力证明你扛得住什么，专业人员证明你干得成什么。融资能力被写进2003年的政策文件（P10007），意味着设计院转型从一开始就不只是技术与组织课题，也是资产负债表课题；本章聚焦资质与人，但读者应记得这第三重约束的存在。</w:t>
      </w:r>
    </w:p>
    <w:p>
      <w:r>
        <w:rPr>
          <w:rFonts w:ascii="Calibri" w:hAnsi="Calibri" w:eastAsia="微软雅黑"/>
          <w:b w:val="0"/>
          <w:i w:val="0"/>
          <w:sz w:val="22"/>
        </w:rPr>
        <w:t>对正在决策的管理层，本节给出三条已被验证的路径及其适配条件：其一，中机国际式的多行业甲级加施工总承包一级"组合扩张"，适合家底厚、历史积累深的综合大院，代价是数十年滚动投入；其二，中石化南京工程式的重组整合，在集团层面完成设计施工法人合一，适合有集团背景的设计院（P10001、P10023）；其三，安徽院式的"强强联合"，与强力施工企业或资源方结盟，直接弥补设计院在施工现场管理和大宗设备采办经验上的先天不足（P10034）。三条路径的账要分开算：第一条买的是资质广度，第二条买的是组织深度，第三条买的是时间速度。共同前提只有一条——不要再等一张不存在的总承包证书，也不要低估既有资质组合的市场准入威力。</w:t>
      </w:r>
    </w:p>
    <w:p>
      <w:r>
        <w:rPr>
          <w:rFonts w:ascii="Calibri" w:hAnsi="Calibri" w:eastAsia="微软雅黑"/>
          <w:b w:val="0"/>
          <w:i w:val="0"/>
          <w:sz w:val="22"/>
        </w:rPr>
        <w:t>路径选择之外还有节奏问题。资质组合的扩张往往以十年为单位计息：中机国际的8个甲级资质与240余项标准编制席位（P10004），对应的是自1951年创建以来七十余年的滚动积累（P10004）；而中国电力工程顾问集团从总承包占比23%到83%也用了整整十年（P10028）。对比之下，联合体与并购是以月和年计的快变量——雅各布斯2018年一次对CH2M的收购就带来营业收入48.1%的跳增（P10030、P10032）。设计院的资质与人才战略因此应该是两条时间线的组合：慢变量上尽早启动资质升级与注册师培养的复利曲线，快变量上用联合体、并购、骨干引进在窗口期内补齐短板。</w:t>
      </w:r>
    </w:p>
    <w:p>
      <w:pPr>
        <w:pStyle w:val="Heading2"/>
      </w:pPr>
      <w:r>
        <w:t>10.2 资质硬币的两面：资产组合与合规罚单</w:t>
      </w:r>
    </w:p>
    <w:p>
      <w:r>
        <w:rPr>
          <w:rFonts w:ascii="Calibri" w:hAnsi="Calibri" w:eastAsia="微软雅黑"/>
          <w:b w:val="0"/>
          <w:i w:val="0"/>
          <w:sz w:val="22"/>
        </w:rPr>
        <w:t>上一节讲的是"自己持有什么资质"，这一节讲硬币的另一面——你要求别人持有什么资质，以及在招投标环节资质如何变成罚单。这两件事常常被同一批管理者同时忽视：对内把资质当荣誉墙，对外把资质门槛当越严越好。</w:t>
      </w:r>
    </w:p>
    <w:p>
      <w:pPr>
        <w:pStyle w:val="Heading3"/>
      </w:pPr>
      <w:r>
        <w:t>10.2.1 正面：资质是议价资产而非荣誉陈列</w:t>
      </w:r>
    </w:p>
    <w:p>
      <w:r>
        <w:rPr>
          <w:rFonts w:ascii="Calibri" w:hAnsi="Calibri" w:eastAsia="微软雅黑"/>
          <w:b w:val="0"/>
          <w:i w:val="0"/>
          <w:sz w:val="22"/>
        </w:rPr>
        <w:t>资质组合直接决定一家设计院转型后的市场半径与信用半径。中机国际凭借8个行业甲级设计资质加两项施工类一级资质，多年连续上榜ENR/《建筑时报》"中国工程设计企业60强"（P10004）。北京院以工程设计、工程勘察、工程监理三个综合甲级资质，构成一家多专业、跨领域、综合性的国家大型勘测设计研究企业（P10008），业务横跨水电、水利、工民建、新能源（风电、光伏）、市政、路桥、文保等领域，从规划、测绘、勘察一直做到设计、科研、咨询、监理、环保、水保、监测、岩土治理、工程总承包及投资（P10008）。2020年其位列中国工程设计企业60强第36位，同时获评企业信用评价3A级信用企业、国家认定的高新技术企业和北京市设计创新中心（P10008）。</w:t>
      </w:r>
    </w:p>
    <w:p>
      <w:r>
        <w:rPr>
          <w:rFonts w:ascii="Calibri" w:hAnsi="Calibri" w:eastAsia="微软雅黑"/>
          <w:b w:val="0"/>
          <w:i w:val="0"/>
          <w:sz w:val="22"/>
        </w:rPr>
        <w:t>把这几项放在一起看会发现一个"信用三件套"结构：榜单名次证明行业地位，信用等级证明履约可靠性，资质等级证明专业范围——三者互相加持，构成设计院对外投标时的资信底层（P10004、P10008）。三件套的要点在于它们回答的是业主三个不同的疑问：你在同行里排第几、你会不会违约、你到底能干哪些专业。任何一件缺席，投标资信就有短板。</w:t>
      </w:r>
    </w:p>
    <w:p>
      <w:r>
        <w:rPr>
          <w:rFonts w:ascii="Calibri" w:hAnsi="Calibri" w:eastAsia="微软雅黑"/>
          <w:b w:val="0"/>
          <w:i w:val="0"/>
          <w:sz w:val="22"/>
        </w:rPr>
        <w:t>资质不只是准入证，更是议价资产；而议价资产的管理逻辑与荣誉陈列完全不同——它需要持续配置、组合优化和到期维护。三个综合甲级意味着覆盖面按"综合"而非"专业"计量（P10008），8个行业甲级加2个施工一级意味着设计施工双线并进（P10004）——每种组合对应一类市场，组合的每一次升级都会打开发价与议价的新区间。这是资质管理必须进入董事会视野、由战略部门而非办公室挂图管理的理由。</w:t>
      </w:r>
    </w:p>
    <w:p>
      <w:pPr>
        <w:pStyle w:val="Heading3"/>
      </w:pPr>
      <w:r>
        <w:t>10.2.2 反面一：把资质门槛设成排斥条款的罚单</w:t>
      </w:r>
    </w:p>
    <w:p>
      <w:r>
        <w:rPr>
          <w:rFonts w:ascii="Calibri" w:hAnsi="Calibri" w:eastAsia="微软雅黑"/>
          <w:b w:val="0"/>
          <w:i w:val="0"/>
          <w:sz w:val="22"/>
        </w:rPr>
        <w:t>同一张资质，换一个位置就变成合规风险。2026年6月9日，新乡市住房城乡建设主管部门在招标投标监管中发现，封丘县人民医院新院址一期建设项目五大中心楼、综合病房楼东、西楼招标文件将投标人资质要求设定为"具有建设行政主管部门颁发的建筑工程施工总承包特级资质"，该项目工程总建筑面积3.09万平方米、预算金额0.88亿元，主管部门认定该资质要求过高、不符合《建筑业企业资质标准》关于企业资质承揽范围的相关规定，涉嫌排斥潜在投标人，违反《中华人民共和国招标投标法》第十八条，项目所在地行政执法部门依据第五十一条对招标人依法实施行政处罚（P10000）。</w:t>
      </w:r>
    </w:p>
    <w:p>
      <w:r>
        <w:rPr>
          <w:rFonts w:ascii="Calibri" w:hAnsi="Calibri" w:eastAsia="微软雅黑"/>
          <w:b w:val="0"/>
          <w:i w:val="0"/>
          <w:sz w:val="22"/>
        </w:rPr>
        <w:t>这张罚单值得逐层拆解。案情层面：一家县级医院、0.88亿元预算的房建项目，被要求投标企业持施工总承包最高等级的特级资质（P10000）。法理层面：资质承揽范围规定意味着资质等级应与工程规模匹配，超高设置即构成对潜在投标人的排斥，直接触碰《招标投标法》第十八条红线，处罚依据是第五十一条（P10000）。决策层面，它对转型中的设计院是一记双面警钟：一方面，当你作为EPC总承包商向下组织分包采购时，若照搬"特级""一级"的资历情结设置门槛，同样可能踩中排斥潜在投标人的红线——总承包商的采购行为同样在招投标监管视野之内；另一方面，当你作为投标人时，也要有能力识别哪些资质要求本身不合规，被一张超高门槛挡在门外时，封丘案（P10000）就是你可以援引的维权依据。</w:t>
      </w:r>
    </w:p>
    <w:p>
      <w:pPr>
        <w:pStyle w:val="Heading3"/>
      </w:pPr>
      <w:r>
        <w:t>10.2.3 反面二：技术指纹消灭借证与围标</w:t>
      </w:r>
    </w:p>
    <w:p>
      <w:r>
        <w:rPr>
          <w:rFonts w:ascii="Calibri" w:hAnsi="Calibri" w:eastAsia="微软雅黑"/>
          <w:b w:val="0"/>
          <w:i w:val="0"/>
          <w:sz w:val="22"/>
        </w:rPr>
        <w:t>比资质门槛更隐蔽的是身份造假。南阳市城乡一体化示范区枣林街道办事处2024年老旧小区改造项目第四标段招投标中，招标投标数字化监管系统监测识别出河南中阳建设工程有限公司与河南铭鼎建筑工程有限公司两家投标企业的电子投标文件、已标价工程量清单的文件制作机器码、文件创建标识码、造价软件锁号、软件加密锁使用人统一社会信用代码等多项核心身份标识信息完全一致（P10000）。示范区行政执法部门依据《中华人民共和国招标投标法实施条例》第四十条"不同投标人的投标文件由同一单位或者个人编制，视为投标人相互串通投标"立案调查，认定两家公司多项关键制作信息完全重合、事实清楚证据确凿，并依《招标投标法》第五十三条及实施条例第六十七条对两家涉案公司分别作出行政罚款（P10000）。</w:t>
      </w:r>
    </w:p>
    <w:p>
      <w:r>
        <w:rPr>
          <w:rFonts w:ascii="Calibri" w:hAnsi="Calibri" w:eastAsia="微软雅黑"/>
          <w:b w:val="0"/>
          <w:i w:val="0"/>
          <w:sz w:val="22"/>
        </w:rPr>
        <w:t>这条证据的价值在于技术细节而非处罚结果：机器码、创建标识码、软件锁号、统一社会信用代码——这些数字指纹构成了围标串通的法定证据链，而且是由数字化监管系统自动监测识别的（P10000）。对转型设计院的两层含义：第一，作为招标人组织分包采购时，过去靠借资质、挂靠凑数的供应商空间正在被技术性消灭，你的合格供方库要做一次"数字身份体检"——排查同机器码、同软件锁的疑似关联投标人在技术上已完全可行；第二，作为投标人时，任何形式的标书代做、软件锁共享都可能被系统直接锁定，投标合规管理必须下沉到造价文件制作环节，从"投标纪律通知"进化为"投标文件制作规范"。</w:t>
      </w:r>
    </w:p>
    <w:p>
      <w:r>
        <w:rPr>
          <w:rFonts w:ascii="Calibri" w:hAnsi="Calibri" w:eastAsia="微软雅黑"/>
          <w:b w:val="0"/>
          <w:i w:val="0"/>
          <w:sz w:val="22"/>
        </w:rPr>
        <w:t>再往深一层看，这两张罚单指向同一个趋势：招投标监管正在从资质文件的形式审查，走向身份与行为的数据穿透（P10000）。封丘案审查的是招标人对资质门槛的设定权（P10000），南阳案穿透的是投标人之间的身份关联（P10000）——门槛与身份两头都被监管技术锁死之后，"资质套利"的传统玩法——借高资质、围低标段、挂靠投标——的生存空间是系统性收窄的。设计院转型后的采购与投标两端，都需要按这个新常态重写合规手册。</w:t>
      </w:r>
    </w:p>
    <w:p>
      <w:pPr>
        <w:pStyle w:val="Heading3"/>
      </w:pPr>
      <w:r>
        <w:t>10.2.4 同质化贴身战：资质趋同后的价格肉搏</w:t>
      </w:r>
    </w:p>
    <w:p>
      <w:r>
        <w:rPr>
          <w:rFonts w:ascii="Calibri" w:hAnsi="Calibri" w:eastAsia="微软雅黑"/>
          <w:b w:val="0"/>
          <w:i w:val="0"/>
          <w:sz w:val="22"/>
        </w:rPr>
        <w:t>资质战略还有一个容易被忽略的终局：当大家都拿到甲级，资质就不再是差异。江苏利港电厂220kV升压站改建项目EPC总承包招标提供了一个直观的观察窗口：安徽院投标总报价约1.8415亿元位列第二中标候选人，第一中标候选人江苏省电力设计院报价约1.7988亿元，两家甲级电力设计院的报价价差仅427.0297万元（P10034）——同为能建体系内的甲级院，在同一标段上仅以数百万元量级的价差贴身竞价，说明当资质组合趋同时，EPC市场竞争的决胜变量已不在资质本身，而在成本管控、方案优化与项目执行能力。顺带一提，与利港项目同期出现在语料中的还有广西灵山苏屋岭风电场项目，其规划总装机容量50MW、拟安装8台单机容量6.25MW的风电机组（P10034）——新能源EPC市场的项目颗粒度已细化到50MW级，这类中小标段正是转型设计院与特级施工企业错位竞争的主战场，而资质在此类项目中的筛选作用进一步弱化。</w:t>
      </w:r>
    </w:p>
    <w:p>
      <w:r>
        <w:rPr>
          <w:rFonts w:ascii="Calibri" w:hAnsi="Calibri" w:eastAsia="微软雅黑"/>
          <w:b w:val="0"/>
          <w:i w:val="0"/>
          <w:sz w:val="22"/>
        </w:rPr>
        <w:t>所以呢？给决策者的资质账本有三行。第一行，资产行：盘清自家资质组合能覆盖哪些行业与承包范围，缺口用"升甲、并购、联合体"三种方式补，中机国际的8个甲级加2个施工一级就是数十年滚动投入的复利结果（P10004）。第二行，负债行：把你发出的每一份招标文件的资质条款过一遍合规审查，封丘县人民医院0.88亿元项目因一条特级资质要求换来行政处罚的教训就在眼前（P10000）；同时审计自家投标文件制作环节的数字身份合规。第三行，终局行：不要高估资质的差异化能力，甲级院之间的价差已被压缩到几个百分点（P10034），真正的护城河必须建在资质之外——这正是接下来两节要回答的人才结构与专家体系问题。</w:t>
      </w:r>
    </w:p>
    <w:p>
      <w:pPr>
        <w:pStyle w:val="Heading2"/>
      </w:pPr>
      <w:r>
        <w:t>10.3 人才结构配比：从设计院到工程公司的比例革命</w:t>
      </w:r>
    </w:p>
    <w:p>
      <w:r>
        <w:rPr>
          <w:rFonts w:ascii="Calibri" w:hAnsi="Calibri" w:eastAsia="微软雅黑"/>
          <w:b w:val="0"/>
          <w:i w:val="0"/>
          <w:sz w:val="22"/>
        </w:rPr>
        <w:t>模式变了，人就得换结构。设计院的原班人马是清一色的设计工程师，而EPC工程公司需要的是设计、采购、施工、调试、商务多兵种合成。弹药库中两组企业级人员数据，恰好给出了成熟工程公司的配置基准；行业尺度上的合同结构剧变，则说明了这场比例革命的时间紧迫性。</w:t>
      </w:r>
    </w:p>
    <w:p>
      <w:pPr>
        <w:pStyle w:val="Heading3"/>
      </w:pPr>
      <w:r>
        <w:t>10.3.1 两组基准数据：三三制结构与注册师密度</w:t>
      </w:r>
    </w:p>
    <w:p>
      <w:r>
        <w:rPr>
          <w:rFonts w:ascii="Calibri" w:hAnsi="Calibri" w:eastAsia="微软雅黑"/>
          <w:b w:val="0"/>
          <w:i w:val="0"/>
          <w:sz w:val="22"/>
        </w:rPr>
        <w:t>第一组是中石化南京工程的"三三制"结构：研发设计人员500余人、项目管理人员1700多人、技能操作人员500余人（P10001）。这组数字的结构信息远大于总量信息——项目管理人员是研发设计人员的三倍以上（own_calc：1700÷500，依据P10001），技能操作人员与研发设计人员基本等量。换句话说，一家成熟的石化EPC工程公司里，画图的人只占全员中不到两成的位置，超过六成的组织资源压在项目执行与现场管理上。对一家习惯了设计人员占绝对多数的设计院，这意味着转型不是"加一个总承包部门"的加法，而是一场组织比例的除法与重乘法——设计基因的组织要长出三倍于自身的项目管理躯体。</w:t>
      </w:r>
    </w:p>
    <w:p>
      <w:r>
        <w:rPr>
          <w:rFonts w:ascii="Calibri" w:hAnsi="Calibri" w:eastAsia="微软雅黑"/>
          <w:b w:val="0"/>
          <w:i w:val="0"/>
          <w:sz w:val="22"/>
        </w:rPr>
        <w:t>第二组是中机国际的"注册师密度"：现有员工2400余人，覆盖30多个专业类别，拥有各类国家注册师及高级专家700余人（P10004）。注册师与高级专家占全员比例近三成（own_calc：700÷2400，依据P10004）——每十名员工中约有三人持有国家级执业资格或专家身份。再叠加其知识资产存量：累计完成20000余项国内外工程设计，取得500余项科研成果，获国家科技奖10余项、省部级科技奖三十八项、优秀勘察设计奖350余项，拥有专利/专有技术/软著300余项，主参编国家与行业技术标准规范240余项（P10004）。把75载国企基因（P10004）折算成数字：一家老牌大院最终沉淀下来的，是近三成的注册资格密度与数百项标准工法话语权——这才是"家底"的准确计量单位。</w:t>
      </w:r>
    </w:p>
    <w:p>
      <w:r>
        <w:rPr>
          <w:rFonts w:ascii="Calibri" w:hAnsi="Calibri" w:eastAsia="微软雅黑"/>
          <w:b w:val="0"/>
          <w:i w:val="0"/>
          <w:sz w:val="22"/>
        </w:rPr>
        <w:t>把两组基准并排成表，转型差距一目了然：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维度</w:t>
            </w:r>
          </w:p>
        </w:tc>
        <w:tc>
          <w:tcPr>
            <w:tcW w:type="dxa" w:w="2075"/>
            <w:shd w:fill="1F3A5F"/>
          </w:tcPr>
          <w:p>
            <w:r>
              <w:rPr>
                <w:color w:val="FFFFFF"/>
              </w:rPr>
            </w:r>
            <w:r>
              <w:rPr>
                <w:rFonts w:ascii="Calibri" w:hAnsi="Calibri" w:eastAsia="微软雅黑"/>
                <w:b/>
                <w:i w:val="0"/>
                <w:color w:val="FFFFFF"/>
                <w:sz w:val="18"/>
              </w:rPr>
              <w:t>中石化南京工程（P10001）</w:t>
            </w:r>
          </w:p>
        </w:tc>
        <w:tc>
          <w:tcPr>
            <w:tcW w:type="dxa" w:w="2075"/>
            <w:shd w:fill="1F3A5F"/>
          </w:tcPr>
          <w:p>
            <w:r>
              <w:rPr>
                <w:color w:val="FFFFFF"/>
              </w:rPr>
            </w:r>
            <w:r>
              <w:rPr>
                <w:rFonts w:ascii="Calibri" w:hAnsi="Calibri" w:eastAsia="微软雅黑"/>
                <w:b/>
                <w:i w:val="0"/>
                <w:color w:val="FFFFFF"/>
                <w:sz w:val="18"/>
              </w:rPr>
              <w:t>中机国际（P10004）</w:t>
            </w:r>
          </w:p>
        </w:tc>
        <w:tc>
          <w:tcPr>
            <w:tcW w:type="dxa" w:w="2075"/>
            <w:shd w:fill="1F3A5F"/>
          </w:tcPr>
          <w:p>
            <w:r>
              <w:rPr>
                <w:color w:val="FFFFFF"/>
              </w:rPr>
            </w:r>
            <w:r>
              <w:rPr>
                <w:rFonts w:ascii="Calibri" w:hAnsi="Calibri" w:eastAsia="微软雅黑"/>
                <w:b/>
                <w:i w:val="0"/>
                <w:color w:val="FFFFFF"/>
                <w:sz w:val="18"/>
              </w:rPr>
              <w:t>对转型设计院的含义</w:t>
            </w:r>
          </w:p>
        </w:tc>
      </w:tr>
      <w:tr>
        <w:tc>
          <w:tcPr>
            <w:tcW w:type="dxa" w:w="2075"/>
          </w:tcPr>
          <w:p>
            <w:r/>
            <w:r>
              <w:rPr>
                <w:rFonts w:ascii="Calibri" w:hAnsi="Calibri" w:eastAsia="微软雅黑"/>
                <w:b w:val="0"/>
                <w:i w:val="0"/>
                <w:sz w:val="18"/>
              </w:rPr>
              <w:t>人员规模</w:t>
            </w:r>
          </w:p>
        </w:tc>
        <w:tc>
          <w:tcPr>
            <w:tcW w:type="dxa" w:w="2075"/>
          </w:tcPr>
          <w:p>
            <w:r/>
            <w:r>
              <w:rPr>
                <w:rFonts w:ascii="Calibri" w:hAnsi="Calibri" w:eastAsia="微软雅黑"/>
                <w:b w:val="0"/>
                <w:i w:val="0"/>
                <w:sz w:val="18"/>
              </w:rPr>
              <w:t>研发设计500余人+项目管理1700多人+技能操作500余人（P10001）</w:t>
            </w:r>
          </w:p>
        </w:tc>
        <w:tc>
          <w:tcPr>
            <w:tcW w:type="dxa" w:w="2075"/>
          </w:tcPr>
          <w:p>
            <w:r/>
            <w:r>
              <w:rPr>
                <w:rFonts w:ascii="Calibri" w:hAnsi="Calibri" w:eastAsia="微软雅黑"/>
                <w:b w:val="0"/>
                <w:i w:val="0"/>
                <w:sz w:val="18"/>
              </w:rPr>
              <w:t>2400余人（P10004）</w:t>
            </w:r>
          </w:p>
        </w:tc>
        <w:tc>
          <w:tcPr>
            <w:tcW w:type="dxa" w:w="2075"/>
          </w:tcPr>
          <w:p>
            <w:r/>
            <w:r>
              <w:rPr>
                <w:rFonts w:ascii="Calibri" w:hAnsi="Calibri" w:eastAsia="微软雅黑"/>
                <w:b w:val="0"/>
                <w:i w:val="0"/>
                <w:sz w:val="18"/>
              </w:rPr>
              <w:t>项目管理是组织主体</w:t>
            </w:r>
          </w:p>
        </w:tc>
      </w:tr>
      <w:tr>
        <w:tc>
          <w:tcPr>
            <w:tcW w:type="dxa" w:w="2075"/>
          </w:tcPr>
          <w:p>
            <w:r/>
            <w:r>
              <w:rPr>
                <w:rFonts w:ascii="Calibri" w:hAnsi="Calibri" w:eastAsia="微软雅黑"/>
                <w:b w:val="0"/>
                <w:i w:val="0"/>
                <w:sz w:val="18"/>
              </w:rPr>
              <w:t>结构比例</w:t>
            </w:r>
          </w:p>
        </w:tc>
        <w:tc>
          <w:tcPr>
            <w:tcW w:type="dxa" w:w="2075"/>
          </w:tcPr>
          <w:p>
            <w:r/>
            <w:r>
              <w:rPr>
                <w:rFonts w:ascii="Calibri" w:hAnsi="Calibri" w:eastAsia="微软雅黑"/>
                <w:b w:val="0"/>
                <w:i w:val="0"/>
                <w:sz w:val="18"/>
              </w:rPr>
              <w:t>管理约为设计三倍以上（own_calc，依据P10001）</w:t>
            </w:r>
          </w:p>
        </w:tc>
        <w:tc>
          <w:tcPr>
            <w:tcW w:type="dxa" w:w="2075"/>
          </w:tcPr>
          <w:p>
            <w:r/>
            <w:r>
              <w:rPr>
                <w:rFonts w:ascii="Calibri" w:hAnsi="Calibri" w:eastAsia="微软雅黑"/>
                <w:b w:val="0"/>
                <w:i w:val="0"/>
                <w:sz w:val="18"/>
              </w:rPr>
              <w:t>注册师密度近三成（own_calc，依据P10004）</w:t>
            </w:r>
          </w:p>
        </w:tc>
        <w:tc>
          <w:tcPr>
            <w:tcW w:type="dxa" w:w="2075"/>
          </w:tcPr>
          <w:p>
            <w:r/>
            <w:r>
              <w:rPr>
                <w:rFonts w:ascii="Calibri" w:hAnsi="Calibri" w:eastAsia="微软雅黑"/>
                <w:b w:val="0"/>
                <w:i w:val="0"/>
                <w:sz w:val="18"/>
              </w:rPr>
              <w:t>先补项目管理，再提持证率</w:t>
            </w:r>
          </w:p>
        </w:tc>
      </w:tr>
      <w:tr>
        <w:tc>
          <w:tcPr>
            <w:tcW w:type="dxa" w:w="2075"/>
          </w:tcPr>
          <w:p>
            <w:r/>
            <w:r>
              <w:rPr>
                <w:rFonts w:ascii="Calibri" w:hAnsi="Calibri" w:eastAsia="微软雅黑"/>
                <w:b w:val="0"/>
                <w:i w:val="0"/>
                <w:sz w:val="18"/>
              </w:rPr>
              <w:t>专业跨度</w:t>
            </w:r>
          </w:p>
        </w:tc>
        <w:tc>
          <w:tcPr>
            <w:tcW w:type="dxa" w:w="2075"/>
          </w:tcPr>
          <w:p>
            <w:r/>
            <w:r>
              <w:rPr>
                <w:rFonts w:ascii="Calibri" w:hAnsi="Calibri" w:eastAsia="微软雅黑"/>
                <w:b w:val="0"/>
                <w:i w:val="0"/>
                <w:sz w:val="18"/>
              </w:rPr>
              <w:t>设计/管理/操作三类协同（P10001）</w:t>
            </w:r>
          </w:p>
        </w:tc>
        <w:tc>
          <w:tcPr>
            <w:tcW w:type="dxa" w:w="2075"/>
          </w:tcPr>
          <w:p>
            <w:r/>
            <w:r>
              <w:rPr>
                <w:rFonts w:ascii="Calibri" w:hAnsi="Calibri" w:eastAsia="微软雅黑"/>
                <w:b w:val="0"/>
                <w:i w:val="0"/>
                <w:sz w:val="18"/>
              </w:rPr>
              <w:t>覆盖30多个专业类别（P10004）</w:t>
            </w:r>
          </w:p>
        </w:tc>
        <w:tc>
          <w:tcPr>
            <w:tcW w:type="dxa" w:w="2075"/>
          </w:tcPr>
          <w:p>
            <w:r/>
            <w:r>
              <w:rPr>
                <w:rFonts w:ascii="Calibri" w:hAnsi="Calibri" w:eastAsia="微软雅黑"/>
                <w:b w:val="0"/>
                <w:i w:val="0"/>
                <w:sz w:val="18"/>
              </w:rPr>
              <w:t>多兵种合成是常态</w:t>
            </w:r>
          </w:p>
        </w:tc>
      </w:tr>
    </w:tbl>
    <w:p>
      <w:pPr>
        <w:pStyle w:val="Heading3"/>
      </w:pPr>
      <w:r>
        <w:t>10.3.2 行业尺度的紧迫性：合同结构剧变与单项目拉伸</w:t>
      </w:r>
    </w:p>
    <w:p>
      <w:r>
        <w:rPr>
          <w:rFonts w:ascii="Calibri" w:hAnsi="Calibri" w:eastAsia="微软雅黑"/>
          <w:b w:val="0"/>
          <w:i w:val="0"/>
          <w:sz w:val="22"/>
        </w:rPr>
        <w:t>行业尺度上的需求爆发更能说明这场比例革命的紧迫性。从2003年至2013年，中国电力工程顾问集团公司总承包项目合同额累计1419亿元，每年总承包合同额占当年合同总额的比例从23%上升到83%，其中2011年至2013年总承包合同额累计708亿元、三年年均增长幅度达66%（P10028）。十年间总承包占比从不足四分之一冲到八成以上（P10028），业务结构的这种剧变必然要求人才结构同步换血——设计骨干再强，也无法凭空变出采购经理与施工经理队伍；而当全行业都在抢同一种人时，转型越晚，抢人成本越高。</w:t>
      </w:r>
    </w:p>
    <w:p>
      <w:r>
        <w:rPr>
          <w:rFonts w:ascii="Calibri" w:hAnsi="Calibri" w:eastAsia="微软雅黑"/>
          <w:b w:val="0"/>
          <w:i w:val="0"/>
          <w:sz w:val="22"/>
        </w:rPr>
        <w:t>规模较小的设计院面临的则是另一种人才拉伸：永福股份中标的云南玉昆钢铁产能置换升级改造供电项目220kV玉昆变电站和配套7座110kV变电站两个EPC工程总承包项目，中标总金额4.25亿元，占其2020年度经审计总承包工程业务营业收入6.3亿元的67.7974%（P10028）。单一项目吞掉全年总承包营收的三分之二（P10028），意味着同一个项目班子要在同一时间窗内接管公司近七成的执行资源——人才纵深不足的设计院，一旦此类项目履约失手，震动的不是一条业务线而是整个公司。这是"小院接大单"模式必须前置计算的组织风险。</w:t>
      </w:r>
    </w:p>
    <w:p>
      <w:r>
        <w:rPr>
          <w:rFonts w:ascii="Calibri" w:hAnsi="Calibri" w:eastAsia="微软雅黑"/>
          <w:b w:val="0"/>
          <w:i w:val="0"/>
          <w:sz w:val="22"/>
        </w:rPr>
        <w:t>更大的坐标系里，工程行业的用人规模本身就是宏观变量：截至2025年底，国家能源集团总资产2.35万亿元、员工31万人（P10028）；中国铁道建筑集团有限公司成立于1990年8月28日、注册资本135.8亿元、员工三十万六千余人（P10030）。三十余万人的巨型主体与数千人的设计院同台竞争EPC市场时，设计院的人才策略只能走"密度取胜"而非"规模取胜"——这正是注册师密度与专家浓度被反复强调的行业背景（P10004）。</w:t>
      </w:r>
    </w:p>
    <w:p>
      <w:pPr>
        <w:pStyle w:val="Heading3"/>
      </w:pPr>
      <w:r>
        <w:t>10.3.3 短板自知与补板路径：强强联合</w:t>
      </w:r>
    </w:p>
    <w:p>
      <w:r>
        <w:rPr>
          <w:rFonts w:ascii="Calibri" w:hAnsi="Calibri" w:eastAsia="微软雅黑"/>
          <w:b w:val="0"/>
          <w:i w:val="0"/>
          <w:sz w:val="22"/>
        </w:rPr>
        <w:t>设计院对自身短板的认知反而比外部观察者清醒。安徽院在转型路径分析中明确承认，设计院传统上"在施工现场管理和大宗设备采办经验上的不足"，其对策是主张"优势互补、强强联合"，通过与强力施工企业或资源方结盟来弥补短板（P10034）。同时，安徽院在内部推行人才引进与激励创新机制，吸引和培养复合型工程管理人才（P10034）。把这两句话翻译成决策语言：转型设计院的人才缺口无法靠校招补齐——现场管控与设备采办是经验密集型岗位，短期只能靠联合体与骨干引进，中期靠激励机制留住，长期才轮得到自建培养体系发挥作用。安徽院自己在江苏利港电厂220kV升压站改建项目上以约1.8415亿元的报价参与竞标（P10034），正是这种"补板后再下场"的实战检验。</w:t>
      </w:r>
    </w:p>
    <w:p>
      <w:r>
        <w:rPr>
          <w:rFonts w:ascii="Calibri" w:hAnsi="Calibri" w:eastAsia="微软雅黑"/>
          <w:b w:val="0"/>
          <w:i w:val="0"/>
          <w:sz w:val="22"/>
        </w:rPr>
        <w:t>短板要补，长板更要押对。中机国际的路径揭示了一条容易被转型焦虑掩盖的原理：它将前期策划与设计优化视为EPC项目的"龙头"环节，通过"研发—设计—总包"的创新体系，在复杂地质处理、绿色低碳建造、分布式能源系统集成及大功率特种测试等领域形成技术门槛，以设计端的精准算账和技术方案优化来锁定下游采购与施工成本（P10004）。回看10.3.1的比例数据，这为"研发设计人员500余人"给出了全新的注脚——中石化南京工程养着与技能操作人员等量的研发设计队伍（P10001），不是情怀，而是算账：设计端每多养一名会精准算账的工程师，下游采购与施工就少付一份失控成本（P10004）。设计院转型时最不该犯的错误，是为了补施工短板而稀释设计长板——长板才是总承包链条里利润与控价的源头（P10004）。人才结构的比例革命，是"补短板"与"压长板"的平衡术，不是一场全员向施工管理转岗的运动。</w:t>
      </w:r>
    </w:p>
    <w:p>
      <w:pPr>
        <w:pStyle w:val="Heading3"/>
      </w:pPr>
      <w:r>
        <w:t>10.3.4 数字化变数：重新核算人均产出</w:t>
      </w:r>
    </w:p>
    <w:p>
      <w:r>
        <w:rPr>
          <w:rFonts w:ascii="Calibri" w:hAnsi="Calibri" w:eastAsia="微软雅黑"/>
          <w:b w:val="0"/>
          <w:i w:val="0"/>
          <w:sz w:val="22"/>
        </w:rPr>
        <w:t>数字化工具正在改写人才产出率，这是比例革命的最新变量。中国核电工程有限公司基于EB软件的数字化结构化设计能够自动生成清单，统计效率提升80%以上，而传统设计模式需要人工逐张查图统计、易错率高（P10003）。效率跃升的技术根底在于对象化：通过结构化属性定义，把传统散落在图纸中的材质、重量、抗震等级等参数固化为对象属性，并建立"项目号—对象分类单元—机组号—设备单元—系统号"的五层级架构，确保大宗材料数据在全生命周期内的唯一性与可追溯性（P10003）。当一名工程师借助结构化工具完成过去数人的统计工作（P10003），设计院在转型中需要重新核算的就不再是"多少人做设计"，而是"多少人加多少数字工具做设计"——人才预算表里必须新增一列"工具配置"，否则按传统人均产出算出的编制会系统性超配。</w:t>
      </w:r>
    </w:p>
    <w:p>
      <w:r>
        <w:rPr>
          <w:rFonts w:ascii="Calibri" w:hAnsi="Calibri" w:eastAsia="微软雅黑"/>
          <w:b w:val="0"/>
          <w:i w:val="0"/>
          <w:sz w:val="22"/>
        </w:rPr>
        <w:t>数字化协同平台改变的还不止人均产出，更是组织内部的界面数量。核电工程的对照分析把传统分段管理与EPC一体化模式的差异列成了一张管理账（P10027）：</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管理维度</w:t>
            </w:r>
          </w:p>
        </w:tc>
        <w:tc>
          <w:tcPr>
            <w:tcW w:type="dxa" w:w="2767"/>
            <w:shd w:fill="1F3A5F"/>
          </w:tcPr>
          <w:p>
            <w:r>
              <w:rPr>
                <w:color w:val="FFFFFF"/>
              </w:rPr>
            </w:r>
            <w:r>
              <w:rPr>
                <w:rFonts w:ascii="Calibri" w:hAnsi="Calibri" w:eastAsia="微软雅黑"/>
                <w:b/>
                <w:i w:val="0"/>
                <w:color w:val="FFFFFF"/>
                <w:sz w:val="18"/>
              </w:rPr>
              <w:t>传统分段模式的局限</w:t>
            </w:r>
          </w:p>
        </w:tc>
        <w:tc>
          <w:tcPr>
            <w:tcW w:type="dxa" w:w="2767"/>
            <w:shd w:fill="1F3A5F"/>
          </w:tcPr>
          <w:p>
            <w:r>
              <w:rPr>
                <w:color w:val="FFFFFF"/>
              </w:rPr>
            </w:r>
            <w:r>
              <w:rPr>
                <w:rFonts w:ascii="Calibri" w:hAnsi="Calibri" w:eastAsia="微软雅黑"/>
                <w:b/>
                <w:i w:val="0"/>
                <w:color w:val="FFFFFF"/>
                <w:sz w:val="18"/>
              </w:rPr>
              <w:t>EPC一体化模式的优势（P10027）</w:t>
            </w:r>
          </w:p>
        </w:tc>
      </w:tr>
      <w:tr>
        <w:tc>
          <w:tcPr>
            <w:tcW w:type="dxa" w:w="2767"/>
          </w:tcPr>
          <w:p>
            <w:r/>
            <w:r>
              <w:rPr>
                <w:rFonts w:ascii="Calibri" w:hAnsi="Calibri" w:eastAsia="微软雅黑"/>
                <w:b w:val="0"/>
                <w:i w:val="0"/>
                <w:sz w:val="18"/>
              </w:rPr>
              <w:t>投资规模</w:t>
            </w:r>
          </w:p>
        </w:tc>
        <w:tc>
          <w:tcPr>
            <w:tcW w:type="dxa" w:w="2767"/>
          </w:tcPr>
          <w:p>
            <w:r/>
            <w:r>
              <w:rPr>
                <w:rFonts w:ascii="Calibri" w:hAnsi="Calibri" w:eastAsia="微软雅黑"/>
                <w:b w:val="0"/>
                <w:i w:val="0"/>
                <w:sz w:val="18"/>
              </w:rPr>
              <w:t>预算编制与现场施工脱节，易产生"三超"隐患</w:t>
            </w:r>
          </w:p>
        </w:tc>
        <w:tc>
          <w:tcPr>
            <w:tcW w:type="dxa" w:w="2767"/>
          </w:tcPr>
          <w:p>
            <w:r/>
            <w:r>
              <w:rPr>
                <w:rFonts w:ascii="Calibri" w:hAnsi="Calibri" w:eastAsia="微软雅黑"/>
                <w:b w:val="0"/>
                <w:i w:val="0"/>
                <w:sz w:val="18"/>
              </w:rPr>
              <w:t>动态预算调整机制，设计与成本实时联动</w:t>
            </w:r>
          </w:p>
        </w:tc>
      </w:tr>
      <w:tr>
        <w:tc>
          <w:tcPr>
            <w:tcW w:type="dxa" w:w="2767"/>
          </w:tcPr>
          <w:p>
            <w:r/>
            <w:r>
              <w:rPr>
                <w:rFonts w:ascii="Calibri" w:hAnsi="Calibri" w:eastAsia="微软雅黑"/>
                <w:b w:val="0"/>
                <w:i w:val="0"/>
                <w:sz w:val="18"/>
              </w:rPr>
              <w:t>建设周期</w:t>
            </w:r>
          </w:p>
        </w:tc>
        <w:tc>
          <w:tcPr>
            <w:tcW w:type="dxa" w:w="2767"/>
          </w:tcPr>
          <w:p>
            <w:r/>
            <w:r>
              <w:rPr>
                <w:rFonts w:ascii="Calibri" w:hAnsi="Calibri" w:eastAsia="微软雅黑"/>
                <w:b w:val="0"/>
                <w:i w:val="0"/>
                <w:sz w:val="18"/>
              </w:rPr>
              <w:t>接口协调成本高，关键路径容易受阻</w:t>
            </w:r>
          </w:p>
        </w:tc>
        <w:tc>
          <w:tcPr>
            <w:tcW w:type="dxa" w:w="2767"/>
          </w:tcPr>
          <w:p>
            <w:r/>
            <w:r>
              <w:rPr>
                <w:rFonts w:ascii="Calibri" w:hAnsi="Calibri" w:eastAsia="微软雅黑"/>
                <w:b w:val="0"/>
                <w:i w:val="0"/>
                <w:sz w:val="18"/>
              </w:rPr>
              <w:t>设计-采购-施工一体化，里程碑节点确定性</w:t>
            </w:r>
          </w:p>
        </w:tc>
      </w:tr>
      <w:tr>
        <w:tc>
          <w:tcPr>
            <w:tcW w:type="dxa" w:w="2767"/>
          </w:tcPr>
          <w:p>
            <w:r/>
            <w:r>
              <w:rPr>
                <w:rFonts w:ascii="Calibri" w:hAnsi="Calibri" w:eastAsia="微软雅黑"/>
                <w:b w:val="0"/>
                <w:i w:val="0"/>
                <w:sz w:val="18"/>
              </w:rPr>
              <w:t>技术要求</w:t>
            </w:r>
          </w:p>
        </w:tc>
        <w:tc>
          <w:tcPr>
            <w:tcW w:type="dxa" w:w="2767"/>
          </w:tcPr>
          <w:p>
            <w:r/>
            <w:r>
              <w:rPr>
                <w:rFonts w:ascii="Calibri" w:hAnsi="Calibri" w:eastAsia="微软雅黑"/>
                <w:b w:val="0"/>
                <w:i w:val="0"/>
                <w:sz w:val="18"/>
              </w:rPr>
              <w:t>设计对施工反馈滞后，现场签证频繁</w:t>
            </w:r>
          </w:p>
        </w:tc>
        <w:tc>
          <w:tcPr>
            <w:tcW w:type="dxa" w:w="2767"/>
          </w:tcPr>
          <w:p>
            <w:r/>
            <w:r>
              <w:rPr>
                <w:rFonts w:ascii="Calibri" w:hAnsi="Calibri" w:eastAsia="微软雅黑"/>
                <w:b w:val="0"/>
                <w:i w:val="0"/>
                <w:sz w:val="18"/>
              </w:rPr>
              <w:t>设计引领采购，关键设备提前介入设计审查</w:t>
            </w:r>
          </w:p>
        </w:tc>
      </w:tr>
      <w:tr>
        <w:tc>
          <w:tcPr>
            <w:tcW w:type="dxa" w:w="2767"/>
          </w:tcPr>
          <w:p>
            <w:r/>
            <w:r>
              <w:rPr>
                <w:rFonts w:ascii="Calibri" w:hAnsi="Calibri" w:eastAsia="微软雅黑"/>
                <w:b w:val="0"/>
                <w:i w:val="0"/>
                <w:sz w:val="18"/>
              </w:rPr>
              <w:t>安全标准</w:t>
            </w:r>
          </w:p>
        </w:tc>
        <w:tc>
          <w:tcPr>
            <w:tcW w:type="dxa" w:w="2767"/>
          </w:tcPr>
          <w:p>
            <w:r/>
            <w:r>
              <w:rPr>
                <w:rFonts w:ascii="Calibri" w:hAnsi="Calibri" w:eastAsia="微软雅黑"/>
                <w:b w:val="0"/>
                <w:i w:val="0"/>
                <w:sz w:val="18"/>
              </w:rPr>
              <w:t>质量责任主体分散，追溯链条长</w:t>
            </w:r>
          </w:p>
        </w:tc>
        <w:tc>
          <w:tcPr>
            <w:tcW w:type="dxa" w:w="2767"/>
          </w:tcPr>
          <w:p>
            <w:r/>
            <w:r>
              <w:rPr>
                <w:rFonts w:ascii="Calibri" w:hAnsi="Calibri" w:eastAsia="微软雅黑"/>
                <w:b w:val="0"/>
                <w:i w:val="0"/>
                <w:sz w:val="18"/>
              </w:rPr>
              <w:t>统一质量保证体系，全过程闭环管理</w:t>
            </w:r>
          </w:p>
        </w:tc>
      </w:tr>
      <w:tr>
        <w:tc>
          <w:tcPr>
            <w:tcW w:type="dxa" w:w="2767"/>
          </w:tcPr>
          <w:p>
            <w:r/>
            <w:r>
              <w:rPr>
                <w:rFonts w:ascii="Calibri" w:hAnsi="Calibri" w:eastAsia="微软雅黑"/>
                <w:b w:val="0"/>
                <w:i w:val="0"/>
                <w:sz w:val="18"/>
              </w:rPr>
              <w:t>协同效率</w:t>
            </w:r>
          </w:p>
        </w:tc>
        <w:tc>
          <w:tcPr>
            <w:tcW w:type="dxa" w:w="2767"/>
          </w:tcPr>
          <w:p>
            <w:r/>
            <w:r>
              <w:rPr>
                <w:rFonts w:ascii="Calibri" w:hAnsi="Calibri" w:eastAsia="微软雅黑"/>
                <w:b w:val="0"/>
                <w:i w:val="0"/>
                <w:sz w:val="18"/>
              </w:rPr>
              <w:t>"部门墙"导致信息衰减</w:t>
            </w:r>
          </w:p>
        </w:tc>
        <w:tc>
          <w:tcPr>
            <w:tcW w:type="dxa" w:w="2767"/>
          </w:tcPr>
          <w:p>
            <w:r/>
            <w:r>
              <w:rPr>
                <w:rFonts w:ascii="Calibri" w:hAnsi="Calibri" w:eastAsia="微软雅黑"/>
                <w:b w:val="0"/>
                <w:i w:val="0"/>
                <w:sz w:val="18"/>
              </w:rPr>
              <w:t>数字化协同平台打破专业壁垒</w:t>
            </w:r>
          </w:p>
        </w:tc>
      </w:tr>
    </w:tbl>
    <w:p>
      <w:r>
        <w:rPr>
          <w:rFonts w:ascii="Calibri" w:hAnsi="Calibri" w:eastAsia="微软雅黑"/>
          <w:b w:val="0"/>
          <w:i w:val="0"/>
          <w:sz w:val="22"/>
        </w:rPr>
        <w:t>这张表对人才预算的含义是直接的：传统模式下每个"部门墙"都需要一批接口协调人垫在中间（P10027），预算与施工脱节、设计反馈滞后、责任主体分散，每一条都在制造翻译型、传递型岗位（P10027）；而EPC一体化加数字化平台把这些界面数量压缩之后，省下的编制不该全部裁掉，而应转投到设计引领采购、动态预算调整这些创造控价价值的岗位上（P10027）。转型的编制核算因此有了第二公式：不是"原编制减去施工新增"，而是"界面岗位减少数对比控价岗位增加数"的净额（P10027）。</w:t>
      </w:r>
    </w:p>
    <w:p>
      <w:pPr>
        <w:pStyle w:val="Heading3"/>
      </w:pPr>
      <w:r>
        <w:t>10.3.5 失控的代价：两份裁判文书底稿</w:t>
      </w:r>
    </w:p>
    <w:p>
      <w:r>
        <w:rPr>
          <w:rFonts w:ascii="Calibri" w:hAnsi="Calibri" w:eastAsia="微软雅黑"/>
          <w:b w:val="0"/>
          <w:i w:val="0"/>
          <w:sz w:val="22"/>
        </w:rPr>
        <w:t>人才结构失控的代价，裁判文书里写得直白。第一份底稿是分包权失控案：河南省新乡市第一建筑工程有限责任公司2012年5月25日、10月15日与业主三浦公司分别签订发酵车间与空压站两份施工合同，两合同第38.1条均明确约定"本工程不允许分包"（P10013）；但2013年5月31日，该公司工作人员李俊科以个人名义与刘春新签订铝合金窗施工合同，将涉案工程分包出去，完工后经核算工程价款共计315,628元、已付40,000元，李俊科个人出具275,000元欠条，落款日期2015年5月21日，纠纷最终打到二审法院（P10013）。合同白纸黑字禁止分包，现场人员照样以个人名义分包并打欠条——这不是孤立的个人操守问题，而是项目人员管理失控的组织病：当公司的分包管控没有流程闭环，一线员工的个人行为就能把公司拖进诉讼。</w:t>
      </w:r>
    </w:p>
    <w:p>
      <w:r>
        <w:rPr>
          <w:rFonts w:ascii="Calibri" w:hAnsi="Calibri" w:eastAsia="微软雅黑"/>
          <w:b w:val="0"/>
          <w:i w:val="0"/>
          <w:sz w:val="22"/>
        </w:rPr>
        <w:t>第二份底稿是技术岗位的商务弱势案：宁波华光建设监理有限公司2008年4月15日与恒广公司签订厂房建设监理委托合同，约定合同签订后五日内支付监理费86,160元预付款、此后监理机构进场之日起每满一个月后三天内支付60,000元（P10025）。华光公司2008年5月3日正式进场实施监理、12月底停止监理活动，历时八个月，按约应收监理费为86,160元加60,000元乘8个月合计566,160元（P10025）；业主只支付了120,000元，拖欠442,160元（诉讼中当庭变更为442,160元的最终请求数额），法院支持了监理公司的请求（P10025）。监理费能被拖欠八个月分文难收（P10025），折射出工程服务链条上技术岗位的商务弱势——转型设计院若不把商务与法务人才嵌进项目班子，再专业的技术团队也会被拖欠拖垮。</w:t>
      </w:r>
    </w:p>
    <w:p>
      <w:r>
        <w:rPr>
          <w:rFonts w:ascii="Calibri" w:hAnsi="Calibri" w:eastAsia="微软雅黑"/>
          <w:b w:val="0"/>
          <w:i w:val="0"/>
          <w:sz w:val="22"/>
        </w:rPr>
        <w:t>两份底稿并读，可以看到同一种组织病的两个断面。新乡一建案的断面在权：合同条款（禁止分包）与现场行为（个人分包）之间的落差长达两年无人纠正，从2013年5月31日签约到2015年5月21日个人打欠条（P10013），制度在一线悬空；宁波华光案的断面在钱：技术服务干了八个月、按约566,160元的债权只收到120,000元（P10025），现金流管理完全依赖事后诉讼兜底。权与钱两个断面的共同根因，是项目班子里缺少一种人——既懂工程又懂合同商务的复合管理者；而这恰恰就是安徽院要靠"人才引进与激励创新机制"去吸引和培养的复合型工程管理人才（P10034）。裁判文书里的每一张欠条与每一笔坏账，都是复合型人才缺位的价签。</w:t>
      </w:r>
    </w:p>
    <w:p>
      <w:r>
        <w:rPr>
          <w:rFonts w:ascii="Calibri" w:hAnsi="Calibri" w:eastAsia="微软雅黑"/>
          <w:b w:val="0"/>
          <w:i w:val="0"/>
          <w:sz w:val="22"/>
        </w:rPr>
        <w:t>所以呢？本节给出人才结构的三张核对表。第一张，比例表：对照中石化南京工程"设计500:管理1700:操作500"的成熟结构（P10001），盘点自家三类人员比例，算出项目管理人员缺口与补齐年限；缺口在短期内无法靠自身培养弥合时，安徽院式强强联合（P10034）就是缓冲垫。第二张，密度表：以中机国际近三成注册师密度为参照（P10004），核查自家注册资格持证率——这决定投标文件里项目负责人栏的厚度与评审得分。第三张，风控表：把分包权、签约权、结算权从现场个人手里收回到制度流程，新乡一建275,000元个人欠条案（P10013）与宁波华光442,160元监理费拖欠案（P10025）就是两张反面底稿；同时把数字化工具纳入编制核算，避免按旧产出率配置新战场的人员（P10003）。</w:t>
      </w:r>
    </w:p>
    <w:p>
      <w:pPr>
        <w:pStyle w:val="Heading2"/>
      </w:pPr>
      <w:r>
        <w:t>10.4 专家体系与头衔经济学：首席科学家、大师与评标专家</w:t>
      </w:r>
    </w:p>
    <w:p>
      <w:r>
        <w:rPr>
          <w:rFonts w:ascii="Calibri" w:hAnsi="Calibri" w:eastAsia="微软雅黑"/>
          <w:b w:val="0"/>
          <w:i w:val="0"/>
          <w:sz w:val="22"/>
        </w:rPr>
        <w:t>如果说注册师是人才结构的地板，专家就是天花板。专家体系的稀缺性在于其不可速成——一位行业级专家的背后是数十年工程一线的沉淀，这正是设计院转型EPC时最值钱也最难复制的资产。本节讨论专家资产的三层结构：企业内部的首席科学家与大师、行业层面的专家网络、以及你必须打交道却无法控制的外部评标专家。</w:t>
      </w:r>
    </w:p>
    <w:p>
      <w:pPr>
        <w:pStyle w:val="Heading3"/>
      </w:pPr>
      <w:r>
        <w:t>10.4.1 内部样板：从设计员到首席科学家的完整抛物线</w:t>
      </w:r>
    </w:p>
    <w:p>
      <w:r>
        <w:rPr>
          <w:rFonts w:ascii="Calibri" w:hAnsi="Calibri" w:eastAsia="微软雅黑"/>
          <w:b w:val="0"/>
          <w:i w:val="0"/>
          <w:sz w:val="22"/>
        </w:rPr>
        <w:t>中冶长天的叶恒棣提供了一个完整样本。他1984年从东北大学机械工程专业毕业，分配到冶金部长沙黑色冶金矿山设计研究院机械分院做设计，从一名一线设计人员成长为全行业知名学者专家，现任中国五矿与中冶长天的首席科学家，并获得国家杰出工程师称号（P10005）。他供职的中冶长天前身为1957年成立的长沙冶金设计研究院，数十年深耕冶金工程技术研发与工程勘察设计（P10005）。</w:t>
      </w:r>
    </w:p>
    <w:p>
      <w:r>
        <w:rPr>
          <w:rFonts w:ascii="Calibri" w:hAnsi="Calibri" w:eastAsia="微软雅黑"/>
          <w:b w:val="0"/>
          <w:i w:val="0"/>
          <w:sz w:val="22"/>
        </w:rPr>
        <w:t>他的成名一战极具决策启发。当年恰逢我国钢铁工业蓬勃发展、全国各地学习消化移植宝钢先进工艺装备技术，中冶长天已完成烧结流程核心技术及装备的消化移植，唯独行业公认难度大的"冷烧结矿整粒用振动筛"技术未攻克（P10005）。分院随即成立三人工作小组专项攻关，组长正是年轻的叶恒棣；这项装备技术当时尚属空白，没有师傅引路、没有资料可查，小组走遍全国各地、走进各行各业，大到装备外观结构、小到具体尺寸数据，全方位观摩借鉴总结，形成一份沉甸甸的"筛子数据库"，他还重返母校投入振动机械专家闻邦椿教授（现中国工程院院士）门下勤奋学习（P10005）。第一代振动筛外委制造时因制造厂擅自修改一项核心工艺，在攀钢项目应用时振动大到整栋厂房有强烈震感，叶恒棣坚持"我是设计者，我有责任把它调试好"的信念爬高爬低反复调试（P10005）。</w:t>
      </w:r>
    </w:p>
    <w:p>
      <w:r>
        <w:rPr>
          <w:rFonts w:ascii="Calibri" w:hAnsi="Calibri" w:eastAsia="微软雅黑"/>
          <w:b w:val="0"/>
          <w:i w:val="0"/>
          <w:sz w:val="22"/>
        </w:rPr>
        <w:t>请注意这段叙事里的三个组织细节：其一，"三人工作小组"是那个年代设计院攻克核心技术装备的最小可行组织，小而精的攻关单元比大团队更有效；其二，"高校院士借智"解决了无资料可查的困境，产学研协作在专家成长早期就完成了第一次价值兑现；其三，设计者对装备终身负责的职业伦理，是首席科学家人格资产的底层。三者相加，就是设计院培养自己专家的原始配方。</w:t>
      </w:r>
    </w:p>
    <w:p>
      <w:r>
        <w:rPr>
          <w:rFonts w:ascii="Calibri" w:hAnsi="Calibri" w:eastAsia="微软雅黑"/>
          <w:b w:val="0"/>
          <w:i w:val="0"/>
          <w:sz w:val="22"/>
        </w:rPr>
        <w:t>配方之外还有两条供应链教训值得单列。教训一来自制造端：叶恒棣设计的第一代振动筛因为所选择的外委设备制造厂擅自修改其中一项核心工艺，应用到攀钢项目时振动特别大、大到整栋厂房都有强烈震感，没人敢冒险上去调试（P10005）——设计者把关的图纸在制造环节被无声篡改，这正是EPC模式下设计院接掌采购权后必须直面的质量管控命题：外委制造的核心工艺变更，必须有设计方的书面确认闭环。教训二来自人格端：面对失控的振动筛，叶恒棣的回应是"我是设计者，我有责任和义务把它调试好"（P10005）——这种把个人名字押在装备上的责任伦理，无法靠制度奖惩凭空制造，只能靠组织在关键时刻为担当者背书来培育。设计院在转型中最难也最该迁移的资产，正是这种伦理底色（P10005）。</w:t>
      </w:r>
    </w:p>
    <w:p>
      <w:pPr>
        <w:pStyle w:val="Heading3"/>
      </w:pPr>
      <w:r>
        <w:t>10.4.2 头衔放大器：大师评选通道与标准话语权</w:t>
      </w:r>
    </w:p>
    <w:p>
      <w:r>
        <w:rPr>
          <w:rFonts w:ascii="Calibri" w:hAnsi="Calibri" w:eastAsia="微软雅黑"/>
          <w:b w:val="0"/>
          <w:i w:val="0"/>
          <w:sz w:val="22"/>
        </w:rPr>
        <w:t>头衔体系是专家资产的价值放大器。经湖南省住房和城乡建设厅遴选推荐，该省四位行业专家参评第十一批全国工程勘察设计大师，协会专门开设专栏聚焦四位参评专家，以发挥领军人才示范引领作用（P10005）。大师参评机制自下而上贯通了"企业推荐—省级遴选—全国评选"的通道（P10005），对企业的意义在于：一位在职大师既是技术定海神针，也是投标评审、标准编制、行业话语权的通行证。叶恒棣从设计员到首席科学家、再到全国大师参评人的轨迹（P10005），勾勒出设计院留住顶尖专家的完整职业抛物线——企业要做的，是让这条抛物线在自己的组织里闭合，而不是在半途被竞争对手接走。</w:t>
      </w:r>
    </w:p>
    <w:p>
      <w:r>
        <w:rPr>
          <w:rFonts w:ascii="Calibri" w:hAnsi="Calibri" w:eastAsia="微软雅黑"/>
          <w:b w:val="0"/>
          <w:i w:val="0"/>
          <w:sz w:val="22"/>
        </w:rPr>
        <w:t>头衔的下一级放大器是标准话语权。中石化南京工程拥有专利、专有技术120多项，主编参编国家级、行业级的标准规范、工法1000多项（P10001）；中机国际主参编国家与行业技术标准规范240余项，并主编GB/T 50054-2025《低压配电技术标准》启动中译英、推动中国标准与IEC国际标准接轨（P10004）。数以百计的标准编制席位，既是专家个人学术地位的计量单位，也是企业把技术能力制度化、国际化的话权通道——专家资产因此有了可累计、可转让、可继承的载体。</w:t>
      </w:r>
    </w:p>
    <w:p>
      <w:pPr>
        <w:pStyle w:val="Heading3"/>
      </w:pPr>
      <w:r>
        <w:t>10.4.3 体外网络：行业专家平台与方法论补给</w:t>
      </w:r>
    </w:p>
    <w:p>
      <w:r>
        <w:rPr>
          <w:rFonts w:ascii="Calibri" w:hAnsi="Calibri" w:eastAsia="微软雅黑"/>
          <w:b w:val="0"/>
          <w:i w:val="0"/>
          <w:sz w:val="22"/>
        </w:rPr>
        <w:t>专家资产的另一翼在体外。中国电子节能技术协会工程总承包分会2023年3月正式推出"筑基EPC"专家系列讲坛，邀请30多位行业专家就工程总承包理念、创新实践、资质设定、招投标、联合体与分包等方面撰写共计30余篇专业论文，累计阅读量超过5万次，并将系列论文汇编出版（P10006）。其目录本身就是一份设计院转型问题清单：既有"设计企业向工程总承包业务转型中存在的主要问题"与"促进设计企业向工程总承包转型的建议"的专章（P10006），也有"工程总承包项目招投标程序中的利害关系冲突问题"这类风控议题（P10006），还有对"发包人要求"与"质量要求"区别的逐层辨析（P10006）。</w:t>
      </w:r>
    </w:p>
    <w:p>
      <w:r>
        <w:rPr>
          <w:rFonts w:ascii="Calibri" w:hAnsi="Calibri" w:eastAsia="微软雅黑"/>
          <w:b w:val="0"/>
          <w:i w:val="0"/>
          <w:sz w:val="22"/>
        </w:rPr>
        <w:t>一个分会级平台就能动员三十余位专家持续产出三十余篇论文、累计阅读量超过5万次（P10006），说明行业专家网络是现成的——转型设计院完全可以借这类网络快速补齐总承包方法论，而不必事事自己交学费。其知识品类几乎覆盖了转型设计院的全部认知盲区：政策史方面有国内工程总承包模式的发展历程与法规政策体系梳理（P10006）；概念辨析方面厘清了工程总承包与EPC、DB的关系（P10006）；转型方法方面有设计企业向总承包转型的问题诊断与促进建议（P10006）；法律风控方面收录了"EPC+"创新模式的法律风险识别与未取得规划审批手续对总承包合同效力的影响分析（P10006）；商务操作方面辨析了"发包人要求"与"质量要求"的品质内涵边界差异——前者决定总承包人"按约施工"，后者决定"按图施工"（P10006）。把这份议题清单与本企业培训需求对照，就是一张低成本的知识补给路线图；对照之后发现的缺口，才是真正需要花钱自建的内训课题。</w:t>
      </w:r>
    </w:p>
    <w:p>
      <w:r>
        <w:rPr>
          <w:rFonts w:ascii="Calibri" w:hAnsi="Calibri" w:eastAsia="微软雅黑"/>
          <w:b w:val="0"/>
          <w:i w:val="0"/>
          <w:sz w:val="22"/>
        </w:rPr>
        <w:t>体系化组织还能把专家个人能力沉淀为制度。中国核电工程有限公司建立了"六大控制七个零"高质量精细化管控体系，确保在任何极端工况下应急指令的传导均具有最高优先级（P10026）；其"一软、一网、一硬、一平台"的智能工程生态，依托Engineering Base软件构建五层架构，把设备属性深度嵌入设计对象（P10026）。专家协同的集体成果可以直接折算成财务数字：中核工程通过推进多项目批量化采购，2023年在二级集采项目中节资率达10%（P10020）——这是专家体系价值量化的一条可行路径，把"专家值多少钱"从感觉变成节资率、效率提升率（P10003）这类可审计指标。</w:t>
      </w:r>
    </w:p>
    <w:p>
      <w:pPr>
        <w:pStyle w:val="Heading3"/>
      </w:pPr>
      <w:r>
        <w:t>10.4.4 失灵风险：一次评标里的三类专家错误</w:t>
      </w:r>
    </w:p>
    <w:p>
      <w:r>
        <w:rPr>
          <w:rFonts w:ascii="Calibri" w:hAnsi="Calibri" w:eastAsia="微软雅黑"/>
          <w:b w:val="0"/>
          <w:i w:val="0"/>
          <w:sz w:val="22"/>
        </w:rPr>
        <w:t>但专家体系同样存在失灵风险，而且失灵的专家未必在你自己公司里。濮阳市住房城乡建设主管部门在招标投标事后监管中发现，2025年8月12日评标的濮阳龙丰纸业有限公司源源网荷储风力发电项目，评标委员会杨某、朱某、詹某等7名评标专家存在三类不客观评标问题（P10000）。</w:t>
      </w:r>
    </w:p>
    <w:p>
      <w:r>
        <w:rPr>
          <w:rFonts w:ascii="Calibri" w:hAnsi="Calibri" w:eastAsia="微软雅黑"/>
          <w:b w:val="0"/>
          <w:i w:val="0"/>
          <w:sz w:val="22"/>
        </w:rPr>
        <w:t>第一类，违规否决投标：评标委员会以"未提供有效的承修、承装、承试证书"为由对某投标公司作否决投标处理，经监督部门复核，该投标人投标文件中实际附有证明材料，否决决定属于明显评审错误（P10000）。第二类，不按招标文件标准评标：评标委员会汇总报告显示某电力建设有限公司"履约担保承诺项得4分"，经复核未发现其投标文件中有履约担保承诺相关内容，该项评分未按招标文件规定的标准打分（P10000）。第三类，评分标准执行不统一：企业业绩评审环节对不同投标人的业绩评审存在评分不一致情况，未能做到客观公正评审（P10000）。</w:t>
      </w:r>
    </w:p>
    <w:p>
      <w:r>
        <w:rPr>
          <w:rFonts w:ascii="Calibri" w:hAnsi="Calibri" w:eastAsia="微软雅黑"/>
          <w:b w:val="0"/>
          <w:i w:val="0"/>
          <w:sz w:val="22"/>
        </w:rPr>
        <w:t>三类错误叠加在同一次评标、同一个7人专家委员会身上（P10000），传递的信号是：评标专家这个外部专家池的质量方差极大——你的投标文件写得再好，也可能倒在一份实际附有却被无视的证书上，或倒在一个没有依据的4分上。更值得警惕的是这些错误由监督部门在事后监管中复核发现（P10000），意味着投标人若不主动主张权利，错误就静默生效。</w:t>
      </w:r>
    </w:p>
    <w:p>
      <w:r>
        <w:rPr>
          <w:rFonts w:ascii="Calibri" w:hAnsi="Calibri" w:eastAsia="微软雅黑"/>
          <w:b w:val="0"/>
          <w:i w:val="0"/>
          <w:sz w:val="22"/>
        </w:rPr>
        <w:t>由此可以推导出投标团队的三道对抗工序。第一道，投标文件自查时按否决条款逐条对照——濮阳案里被否决的投标人其实附有承修、承装、承试证明材料（P10000），把关键证书放在评审最易见的位置、编制逐条应答表，是最低成本的防御。第二道，评分结果公示后的逐项复盘——对照招标文件公布的评分标准核对每一分去向，濮阳案那凭空出现的履约担保承诺项4分（P10000）正是靠监督部门复核才现形的，投标人自己先做一遍同样的复核，异议窗口期内就能主张权利。第三道，把评标专家行为规律纳入投标策略——评分标准执行不统一、对不同投标人业绩评审打分不一致（P10000）意味着边界模糊处的得分弹性大，投标文件在模糊地带应当主动给出超量的证据自证。三道工序的共性是把"专家会不会犯错"从运气问题变成流程问题。</w:t>
      </w:r>
    </w:p>
    <w:p>
      <w:r>
        <w:rPr>
          <w:rFonts w:ascii="Calibri" w:hAnsi="Calibri" w:eastAsia="微软雅黑"/>
          <w:b w:val="0"/>
          <w:i w:val="0"/>
          <w:sz w:val="22"/>
        </w:rPr>
        <w:t>所以呢？本节给管理层的专家资产负债表有三栏。第一栏，自有专家：用叶恒棣式"三人攻关小组+高校院士借智"的最小单元（P10005）激活存量骨干，用大师参评通道（P10005）与标准编制席位（P10001、P10004）放大其市场价值，让专家抛物线在自家组织内闭合。第二栏，体外网络：主动接入筑基EPC讲坛这类行业专家平台（P10006），按其议题清单低成本补齐总承包方法论；同时把专家协同成果折算成节资率、效率提升率等可审计指标（P10020、P10003），让专家预算可辩护。第三栏，风险敞口：既然7人评标委员会能集体犯错（P10000），投标团队就必须配备懂评标规则的复盘能力，对每一项扣分与每一次否决提出有据可依的异议——把外部专家的失灵风险，关进程序正义的笼子。</w:t>
      </w:r>
    </w:p>
    <w:p>
      <w:pPr>
        <w:pStyle w:val="Heading2"/>
      </w:pPr>
      <w:r>
        <w:t>10.5 人才培养、国际化用工与组织安全文化</w:t>
      </w:r>
    </w:p>
    <w:p>
      <w:r>
        <w:rPr>
          <w:rFonts w:ascii="Calibri" w:hAnsi="Calibri" w:eastAsia="微软雅黑"/>
          <w:b w:val="0"/>
          <w:i w:val="0"/>
          <w:sz w:val="22"/>
        </w:rPr>
        <w:t>人才结构决定今天能不能接单，培养体系决定明天有没有人接班。这一节讲人才投资的三个杠杆——职业通道、校企合作、属地化用工——以及一个所有人才投入都可能毁于一旦的终局变量：组织安全文化。</w:t>
      </w:r>
    </w:p>
    <w:p>
      <w:pPr>
        <w:pStyle w:val="Heading3"/>
      </w:pPr>
      <w:r>
        <w:t>10.5.1 杠杆一：职业通道的网状改造</w:t>
      </w:r>
    </w:p>
    <w:p>
      <w:r>
        <w:rPr>
          <w:rFonts w:ascii="Calibri" w:hAnsi="Calibri" w:eastAsia="微软雅黑"/>
          <w:b w:val="0"/>
          <w:i w:val="0"/>
          <w:sz w:val="22"/>
        </w:rPr>
        <w:t>第一个杠杆是职业通道设计。北京院2022年高层次紧缺人才招聘公告披露了其完整的留人机制（P10008）：物质保障上，实行七险两金并根据工作需要提供相关培训（P10008）；发展空间上，构建"纵向贯通、横向互通"的多通道职业发展体系，设4个职业发展序列、14条发展通道，促进人才队伍多元发展（P10008）；雇主品牌上，其愿景定位为"为清洁能源和基础设施领域提供一体化解决方案的国际一流工程公司"，并配套足球、篮球、羽毛球等俱乐部生活设施（P10008）。招聘流程本身也高度规范化：2022年3月30日至12月31日对网投简历进行筛选，随后线上测评、综合面试、健康体检、择优签约五步走，薪酬面议并优先享受公司各项福利待遇（P10008）。</w:t>
      </w:r>
    </w:p>
    <w:p>
      <w:r>
        <w:rPr>
          <w:rFonts w:ascii="Calibri" w:hAnsi="Calibri" w:eastAsia="微软雅黑"/>
          <w:b w:val="0"/>
          <w:i w:val="0"/>
          <w:sz w:val="22"/>
        </w:rPr>
        <w:t>通道设计背后还有战略节奏的支撑。"十四五"期间，北京院以"高质量发展"为主线，以做强实力、做大规模、做优品牌、做精管理为发展目标，分三个阶段推动业务多元化、产业链一体化、市场布局全球化、企业运营数字化四个升级，以五项职能创新战略为抓手，实施八项保障举措，并强化战略过程管理、保持战略规划定力（P10008）。四个升级、五项职能、八项举措的战略编码（P10008）对人才管理的意义在于：每一条通道的尽头都对应着一个战略方向的岗位缺口——产业链一体化需要总承包管理人才，市场布局全球化需要国际化人才，企业运营数字化需要数据人才（P10008）。通道不是福利设计，而是战略人才供给的管道图。</w:t>
      </w:r>
    </w:p>
    <w:p>
      <w:r>
        <w:rPr>
          <w:rFonts w:ascii="Calibri" w:hAnsi="Calibri" w:eastAsia="微软雅黑"/>
          <w:b w:val="0"/>
          <w:i w:val="0"/>
          <w:sz w:val="22"/>
        </w:rPr>
        <w:t>对设计院转型期的关键启示是：当公司同时存在设计、采购、施工、商务多种岗位序列时，单通道的"工程师—总工程师"独木桥会系统性逼走施工管理与商务人才——这些人没有传统意义上的"技术职称上升空间"，14条通道的网状结构才留得住复合队伍（P10008）。通道改造必须在转型启动前完成，而不是等人到了再改。</w:t>
      </w:r>
    </w:p>
    <w:p>
      <w:pPr>
        <w:pStyle w:val="Heading3"/>
      </w:pPr>
      <w:r>
        <w:t>10.5.2 杠杆二：培养项目的采购化与平台化</w:t>
      </w:r>
    </w:p>
    <w:p>
      <w:r>
        <w:rPr>
          <w:rFonts w:ascii="Calibri" w:hAnsi="Calibri" w:eastAsia="微软雅黑"/>
          <w:b w:val="0"/>
          <w:i w:val="0"/>
          <w:sz w:val="22"/>
        </w:rPr>
        <w:t>第二个杠杆是校企合作的专业化采购。中石化南京工程有限公司2025年8月1日完成"业务领军和项目英才工程、卓越工程师培养培训服务"招标，开标时间为2025年8月1日9时，招标编号NZB25-PX-02，中标单位为南京工业大学，公示期为2025年8月1日至8月3日（P10001）。注意这个动作的形态：领军人才与卓越工程师培养不是内部培训处拍脑袋排课，而是走公开招标、由大学投标承接的外部专业服务采购（P10001）。这背后是该公司与东南大学、南京工业大学等高校建立的人才培养、技术开发校企合作关系（P10001）——把培养项目化、采购化、契约化，是工程公司人才供给区别于传统设计院"师带徒"模式的制度特征。</w:t>
      </w:r>
    </w:p>
    <w:p>
      <w:r>
        <w:rPr>
          <w:rFonts w:ascii="Calibri" w:hAnsi="Calibri" w:eastAsia="微软雅黑"/>
          <w:b w:val="0"/>
          <w:i w:val="0"/>
          <w:sz w:val="22"/>
        </w:rPr>
        <w:t>人才供给还需要技术平台承载。中石化南京工程拥有专利、专有技术120多项，主编参编国家级、行业级标准规范、工法1000多项，全国硫酸和磷肥设计技术中心和全国化工粉体技术中心站设在公司，并定期出版国家级期刊《硫磷设计与粉体工程》（P10001）。两个全国性技术中心加一份国家级期刊（P10001）构成的人才磁场，意味着高端工程师在这里不只是做项目，还站在行业技术的源头——这种"平台留人"的杠杆，比单纯的薪酬竞赛更持久。</w:t>
      </w:r>
    </w:p>
    <w:p>
      <w:r>
        <w:rPr>
          <w:rFonts w:ascii="Calibri" w:hAnsi="Calibri" w:eastAsia="微软雅黑"/>
          <w:b w:val="0"/>
          <w:i w:val="0"/>
          <w:sz w:val="22"/>
        </w:rPr>
        <w:t>平台效应还有荣誉体系加成。中石化南京工程作为高新技术企业，自2009年重组成立以来已荣获国家级和省部级科技进步奖、优秀工程（设计）奖（P10001），公司同时坚持科技兴企战略，以高水平规划引领技术先导型工程公司创建（P10001）。对求职者而言，高新技术企业认定意味着研发投入的制度化，国家级奖项意味着个人履历的增值通道（P10001）——把奖项、专利、标准、期刊四类资产放在同一家公司名下（P10001），人才品牌就从"待遇招聘"升级为"事业招聘"。转型设计院在人才市场上真正的对手，正是这类把技术资产做成了招聘海报的工程公司。</w:t>
      </w:r>
    </w:p>
    <w:p>
      <w:pPr>
        <w:pStyle w:val="Heading3"/>
      </w:pPr>
      <w:r>
        <w:t>10.5.3 杠杆三：属地化用工与出海人才结构</w:t>
      </w:r>
    </w:p>
    <w:p>
      <w:r>
        <w:rPr>
          <w:rFonts w:ascii="Calibri" w:hAnsi="Calibri" w:eastAsia="微软雅黑"/>
          <w:b w:val="0"/>
          <w:i w:val="0"/>
          <w:sz w:val="22"/>
        </w:rPr>
        <w:t>第三个杠杆是国际化属地化用工。中石化南京工程中东公司不断拓展岗位聘用范围，优先为当地员工提供就业岗位和培训机会，安全管理、综合行政、技术质量等岗位沙特籍雇员超过60%，并因此荣获"沙特籍劳动力发展奖"（P10001）。截至2024年初，南京工程在沙特地区共有沙特籍员工488人、超过当地总用工的15%（P10001）；按此反推，其在沙特当地用工规模约在三千余人量级（own_calc：488÷15%，依据P10001）。属地化不是慈善而是竞争力——语料明确记载，该公司持续优化调整当地用工模式的目的，是不断提高炼化工程在沙特地区的市场竞争力（P10001）；除了委托当地培训机构开展员工培训外，各项目还积极开展沙特籍员工的现场培训，建立双向交流通道、畅通员工成长路径（P10001）。</w:t>
      </w:r>
    </w:p>
    <w:p>
      <w:r>
        <w:rPr>
          <w:rFonts w:ascii="Calibri" w:hAnsi="Calibri" w:eastAsia="微软雅黑"/>
          <w:b w:val="0"/>
          <w:i w:val="0"/>
          <w:sz w:val="22"/>
        </w:rPr>
        <w:t>属地化的深层逻辑是留人而非招人。语料披露了南京工程在沙特的用工细节：优先为当地员工提供就业岗位和培训机会，努力为员工创造鼓励终身学习和长远发展的工作环境，争取最大程度实现培训效能转化，并建立双向交流通道、畅通员工成长路径，增进外籍员工企业认同感和归属感（P10001）。注意岗位结构——沙特籍雇员超过60%的是安全管理、综合行政、技术质量等岗位（P10001），这些恰是属地合规性与现场连续性最敏感的岗位；用属地员工做属地合规，比外派人员的临时性介入更稳。当一个岗位聘用范围不断拓展、外籍员工产生"企业认同感和归属感"的用工生态跑通之后（P10001），属地化就从成本项变成了护城河：本地竞争者可以挖走个别外派专家，却无法复制一个有归属感的属地团队。</w:t>
      </w:r>
    </w:p>
    <w:p>
      <w:r>
        <w:rPr>
          <w:rFonts w:ascii="Calibri" w:hAnsi="Calibri" w:eastAsia="微软雅黑"/>
          <w:b w:val="0"/>
          <w:i w:val="0"/>
          <w:sz w:val="22"/>
        </w:rPr>
        <w:t>行业尺度的数据同样支持属地化判断。截至2025年末，我国在境外设立企业5.8万家、遍布189个国家和地区，境外企业从业员工总数476.1万人，其中雇用外方员工296.5万人（P10032、P10033），外方员工占比逾六成（own_calc：296.5÷476.1，依据P10032）。走出去的中国企业每十名员工中约有六名是当地人（own_calc，同上）——设计院出海做EPC，人才结构必须预设属地化比例，而非整建制外派。市场侧的体感数据是：2026年1-8月我国对外承包工程业务完成营业额7937.1亿元人民币、同比增长5.8%（以美元计为1156.1亿美元、增长9.9%），新签合同额11763.2亿元人民币、同比下降3.0%（以美元计为1713.4亿美元、增长0.7%）（P10032）——完成额增而新签额降的组合，意味着存量项目的履约人才需求仍在上升，属地化队伍的稳定性直接决定海外履约质量。</w:t>
      </w:r>
    </w:p>
    <w:p>
      <w:r>
        <w:rPr>
          <w:rFonts w:ascii="Calibri" w:hAnsi="Calibri" w:eastAsia="微软雅黑"/>
          <w:b w:val="0"/>
          <w:i w:val="0"/>
          <w:sz w:val="22"/>
        </w:rPr>
        <w:t>国际同行的经验可资对照：雅各布斯（Jacobs）2018年因完成对CH2M的收购，营业收入增至149.9亿美元、较2017年增长48.1%（P10030、P10032）——国际工程公司的能力版图扩张，同样以人才组织的吞并为载体；其净利润率在2019年因ECR业务出售影响增至8.7亿美元、2020年有所下降（P10032、P10033）。并购整合人才与属地化培养人才，是国际化人才结构的两条并行通道。</w:t>
      </w:r>
    </w:p>
    <w:p>
      <w:pPr>
        <w:pStyle w:val="Heading3"/>
      </w:pPr>
      <w:r>
        <w:t>10.5.4 终局变量：组织安全文化与系统免疫</w:t>
      </w:r>
    </w:p>
    <w:p>
      <w:r>
        <w:rPr>
          <w:rFonts w:ascii="Calibri" w:hAnsi="Calibri" w:eastAsia="微软雅黑"/>
          <w:b w:val="0"/>
          <w:i w:val="0"/>
          <w:sz w:val="22"/>
        </w:rPr>
        <w:t>最后一个变量是组织安全文化——它能让上述所有人才投资一夜归零。江西丰城电厂三期EPC"11·24"特大事故的沉思录以十二章篇幅系统解剖这场灾难（P10022），其目录结构本身就是一份组织诊断清单。第一部分回顾事故全记录与全球百年重大工程事故史，其中"灾难的72小时"一节完整还原事故经过（P10022）；第三章直指"模式的困局——中国EPC工程总承包的基因缺陷与现实扭曲"，专设"组织行为的系统性失效"一节剖析设计与施工的分离冲突（P10022）。第二部分多维剖析：第五章"制度的失灵"剖析从监管真空到责任碎片化的制度失灵现象（P10022）；第六章"文化的塌陷"剖析从"重物轻人"到"集体无意识"的文化失范及其结构性根源（P10022）；第七章"技术的陷阱"专门讨论从"设计失误"到"施工缺陷"的工程技术反思，强调技术失误的系统性视角、全球类似事故的技术教训与工程技术安全的结构性根源（P10022）；第八章"伦理的塌陷"直陈从"生命至上"的背离到"责任黑洞"的形成（P10022）。第七章的位置安排耐人寻味——技术反思被夹在文化塌陷与伦理塌陷之间（P10022），作者要说的是：技术失误从来不只是技术问题，它是组织、文化、伦理层层失守之后在物理世界的显影。对人才管理的直接推论是：技术培训必须与安全文化、工程伦理培训同频，只教"怎么算"不教"何时必须说不"的专家培养体系，本身就是一个风险源（P10022）。第三部分开出药方：第九章提出"系统免疫工程（SIE）"框架，主张从被动防御转向主动免疫、构建工程项目内生安全新范式（P10022）；第十章复盘丰城重建的"三部曲"（P10022）；第十一章呼吁从事故调查到安全创新的范式转变（P10022）；第十二章指向从"事后反思"到"内生安全"的转型未来（P10022）。</w:t>
      </w:r>
    </w:p>
    <w:p>
      <w:r>
        <w:rPr>
          <w:rFonts w:ascii="Calibri" w:hAnsi="Calibri" w:eastAsia="微软雅黑"/>
          <w:b w:val="0"/>
          <w:i w:val="0"/>
          <w:sz w:val="22"/>
        </w:rPr>
        <w:t>把这份目录翻译成管理语言：特大事故的调查视角早已越过某个焊工或某个技术员的技术失误，落在组织行为、制度碎片化、文化塌陷与伦理失范的系统层面（P10022）——也就是说，人才管理的最高议题不是技能培训，而是确保"生命至上"的价值观不被进度与成本压力吞噬。对照样本是核电行业：中国核电工程把核安全确立为国家战略红线的绝对性，对质量的"零容忍"不仅是技术要求更是政治任务，并以"六大控制七个零"体系将这一文化制度化（P10026）；核电工程还必须承受单台机组投资通常超过200亿元、建设周期通常5-7年的长周期考验（P10026、P10027），这种资金与时间压力恰恰是最容易诱发安全文化变形的环境——体系与文化双轮，缺一不可。</w:t>
      </w:r>
    </w:p>
    <w:p>
      <w:r>
        <w:rPr>
          <w:rFonts w:ascii="Calibri" w:hAnsi="Calibri" w:eastAsia="微软雅黑"/>
          <w:b w:val="0"/>
          <w:i w:val="0"/>
          <w:sz w:val="22"/>
        </w:rPr>
        <w:t>所以呢？本节的人才投资决策清单有四条。第一，通道先行：参照北京院4序列14通道（P10008）改造职级体系，在转型启动前完成，否则新招的施工管理与商务人才会在旧序列里流失。第二，培养外包：把领军人才与卓越工程师培养做成可招标的项目（P10001），与目标高校签订培养契约而非意向协议，同时用技术中心与期刊平台放大雇主品牌（P10001）。第三，属地预算：出海业务按六成外方员工的行业比例（P10032、own_calc）测算用工成本与培训投入，把属地化率写进区域市场策略，并以沙特"劳动力发展奖"为标杆衡量属地经营成色（P10001）。第四，文化底线：把系统免疫工程式的组织安全建设（P10022）与体系化管控（P10026）列入转型路线图第一页——事故摧毁的不只是项目，还有全部人才资产的存续环境。</w:t>
      </w:r>
    </w:p>
    <w:p>
      <w:pPr>
        <w:pStyle w:val="Heading2"/>
      </w:pPr>
      <w:r>
        <w:t>本章小结与盲区</w:t>
      </w:r>
    </w:p>
    <w:p>
      <w:r>
        <w:rPr>
          <w:rFonts w:ascii="Calibri" w:hAnsi="Calibri" w:eastAsia="微软雅黑"/>
          <w:b w:val="0"/>
          <w:i w:val="0"/>
          <w:sz w:val="22"/>
        </w:rPr>
        <w:t>本章沿"资质—结构—专家—培养—文化"五条线索重组了弹药库证据，核心结论有五。其一，总承包资格审批已于2002年取消（P10007），设计院做EPC的资质策略应转向"既有资质组合+能力证明"，中机国际8个甲级资质的组合（P10004）、中石化南京工程的法人级重组（P10001、P10023）与安徽院的强强联合（P10034）是三条被验证的路径。其二，资质是双刃资产：对内构成"榜单名次+信用等级+资质等级"的信用三件套（P10004、P10008），对外设错门槛即挨罚单（P10000），且甲级院之间的竞争已被压缩到427.0297万元的价差空间（P10034）。其三，人才配置存在比例革命：成熟EPC工程公司项目管理人员可达设计人员的三倍以上（P10001、own_calc），注册师密度接近三成（P10004、own_calc），行业总承包占比十年间从23%升至83%（P10028）。其四，专家资产需要内外双轨经营：叶恒棣式首席科学家机制（P10005）与筑基EPC专家网络（P10006）各司其职，专家协同可量化为节资率与效率提升（P10020、P10003），但7人评标委员会集体出错（P10000）提醒外部专家风险同样需要管理。其五，人才培养与国际化用工均有制度化样本可循（P10008、P10001、P10032），而组织安全文化是全部人才投资的最终保险（P10022、P10026）。</w:t>
      </w:r>
    </w:p>
    <w:p>
      <w:r>
        <w:rPr>
          <w:rFonts w:ascii="Calibri" w:hAnsi="Calibri" w:eastAsia="微软雅黑"/>
          <w:b w:val="0"/>
          <w:i w:val="0"/>
          <w:sz w:val="22"/>
        </w:rPr>
        <w:t>证据未覆盖之处，如实声明如下盲区：</w:t>
      </w:r>
    </w:p>
    <w:p>
      <w:r>
        <w:rPr>
          <w:rFonts w:ascii="Calibri" w:hAnsi="Calibri" w:eastAsia="微软雅黑"/>
          <w:b w:val="0"/>
          <w:i w:val="0"/>
          <w:sz w:val="22"/>
        </w:rPr>
        <w:t>其一，行业级人才统计缺口。本章所有企业人员数据均为单一企业官方宣传口径：中石化南京工程的三类人员数据页面未标明统计年度（P10001），中机国际的员工2400余人与注册师700余人亦无年度标注（P10004）；弹药库中不存在"全国设计院总承包人才缺口""转型企业人才流失率"等行业汇总统计，因此本章的比例对照只能作为个案参照，不能外推为行业基准线。</w:t>
      </w:r>
    </w:p>
    <w:p>
      <w:r>
        <w:rPr>
          <w:rFonts w:ascii="Calibri" w:hAnsi="Calibri" w:eastAsia="微软雅黑"/>
          <w:b w:val="0"/>
          <w:i w:val="0"/>
          <w:sz w:val="22"/>
        </w:rPr>
        <w:t>其二，评标专家失灵样本的代表性不足。评标专家三类评审错误仅来自一省一项目的一次处罚公示（P10000），弹药库未提供全国评标专家违规率、异议成功率或复核纠错率数据，据此无法判断专家失灵是普遍现象还是个案，投标复核策略的投入强度缺乏量化依据。</w:t>
      </w:r>
    </w:p>
    <w:p>
      <w:r>
        <w:rPr>
          <w:rFonts w:ascii="Calibri" w:hAnsi="Calibri" w:eastAsia="微软雅黑"/>
          <w:b w:val="0"/>
          <w:i w:val="0"/>
          <w:sz w:val="22"/>
        </w:rPr>
        <w:t>其三，头衔经济学的溢价不可测。大师头衔、首席科学家称号对企业营收贡献度与投标加分幅度均无量化证据（P10005），专家品牌溢价停留在定性推断层面；同理，培训服务采购的投入产出比（P10001）、属地化用工对海外利润率的影响（P10001），弹药库均未提供可验证数据。</w:t>
      </w:r>
    </w:p>
    <w:p>
      <w:r>
        <w:rPr>
          <w:rFonts w:ascii="Calibri" w:hAnsi="Calibri" w:eastAsia="微软雅黑"/>
          <w:b w:val="0"/>
          <w:i w:val="0"/>
          <w:sz w:val="22"/>
        </w:rPr>
        <w:t>其四，集团级数据不可得。中国电建2026年半年度报告（P10002）虽为公开定期报告，但未提供可拆分的工程人才结构数据，本章仅能以国家能源集团员工31万人（P10028）与中国铁建员工逾三十万人（P10030）作散点参照，不足以构建行业人才全景；中国能建系统内安徽院、江苏院同台竞标的机制细节（P10034）亦无法从语料中还原全貌。</w:t>
      </w:r>
    </w:p>
    <w:p>
      <w:r>
        <w:rPr>
          <w:rFonts w:ascii="Calibri" w:hAnsi="Calibri" w:eastAsia="微软雅黑"/>
          <w:b w:val="0"/>
          <w:i w:val="0"/>
          <w:sz w:val="22"/>
        </w:rPr>
        <w:t>其五，单一信源与污染信源。利港电厂EPC竞标价差与评标名次来自竞标公示单方渠道（P10034）；丰城事故沉思录（P10022）为反思性文献而非官方调查报告全文，其中"基因缺陷"等定性判断应视为作者观点而非监管结论；中国核电相关效率与节资数据出自其自身知识产品（P10003、P10020、P10026），无第三方交叉验证。此外，弹药库中一份设计院语料（P10031）存在主题污染，其内容为遥感图像融合而非该企业组织信息，本章已整体排除、不予采信，该企业的人才与资质证据因此缺席。</w:t>
      </w:r>
    </w:p>
    <w:p>
      <w:r>
        <w:rPr>
          <w:rFonts w:ascii="Calibri" w:hAnsi="Calibri" w:eastAsia="微软雅黑"/>
          <w:b w:val="0"/>
          <w:i w:val="0"/>
          <w:sz w:val="22"/>
        </w:rPr>
        <w:t>---</w:t>
      </w:r>
    </w:p>
    <w:p>
      <w:pPr>
        <w:pStyle w:val="Heading1"/>
      </w:pPr>
      <w:r>
        <w:t>第11章 国际对标：FIDIC与海外转型实践</w:t>
      </w:r>
    </w:p>
    <w:p>
      <w:pPr>
        <w:ind w:left="454"/>
      </w:pPr>
      <w:r>
        <w:rPr>
          <w:rFonts w:ascii="Calibri" w:hAnsi="Calibri" w:eastAsia="微软雅黑"/>
          <w:b w:val="0"/>
          <w:i w:val="0"/>
          <w:color w:val="666666"/>
          <w:sz w:val="22"/>
        </w:rPr>
        <w:t>国内见顶、海外高增，"不出海，就出局"正从口号变成设计院绕不开的现实选择题。本章以FIDIC规则为尺、以巨亏案例为镜、以中东与东南亚实践为样本，回答管理层最关心的问题：海外增量凭什么轮到你赚，又凭什么不亏着回来。</w:t>
      </w:r>
    </w:p>
    <w:p>
      <w:pPr>
        <w:pStyle w:val="Heading2"/>
      </w:pPr>
      <w:r>
        <w:t>11.1 全球坐标：中国承包商的位置、差距与时间窗</w:t>
      </w:r>
    </w:p>
    <w:p>
      <w:r>
        <w:rPr>
          <w:rFonts w:ascii="Calibri" w:hAnsi="Calibri" w:eastAsia="微软雅黑"/>
          <w:b/>
          <w:i w:val="0"/>
          <w:sz w:val="22"/>
        </w:rPr>
        <w:t>出海不是战略点缀，而是收入结构的再平衡问题。</w:t>
      </w:r>
      <w:r>
        <w:rPr>
          <w:rFonts w:ascii="Calibri" w:hAnsi="Calibri" w:eastAsia="微软雅黑"/>
          <w:b w:val="0"/>
          <w:i w:val="0"/>
          <w:sz w:val="22"/>
        </w:rPr>
        <w:t xml:space="preserve"> 判断要不要出海、以什么节奏出海，先看两条反向运动的曲线。第一条在国内：2025年，中国建筑业总产值比上年减少5.4%，为首次出现下降（P11019）；八家建筑央企年报数据显示，新签合同额总量增长近乎停滞，除中国化学外，境内新签合同额均为零增长或负增长（P11019）。第二条在海外：2025年，我国对外承包工程业务完成营业额12773亿元，同比增长8.1%（P11019）；新签合同额20659亿元，同比增长8.5%，连续多年保持增长（P11019）。一条收缩、一条扩张，两条曲线的剪刀差，就是本报告通篇讨论的转型压力在国际维度上的直接投射。对设计院管理层而言，这不是"要不要多一条业务线"的问题，而是未来五到十年收入盘子从哪里来的问题。</w:t>
      </w:r>
    </w:p>
    <w:p>
      <w:r>
        <w:rPr>
          <w:rFonts w:ascii="Calibri" w:hAnsi="Calibri" w:eastAsia="微软雅黑"/>
          <w:b w:val="0"/>
          <w:i w:val="0"/>
          <w:sz w:val="22"/>
        </w:rPr>
        <w:t>这一趋势在2026年进一步加速（P11019）。2025年，八家建筑央企的境外营收全部实现正增长，其中中国能建境外营收增幅最高接近35%，中国化学境外营收占比最高接近29%（P11019）。中国建筑2026年上半年境外业务新签合同额1821亿元，同比大幅增长45.3%（P11019）；1—8月境外新签合同额2106亿元，同比增长57.4%，国际化业务已成为核心增长引擎（P11019）。头部企业的动作印证了一个判断：当境内新签停滞（除中国化学外境内零增长或负增长，P11019）而境外新签保持45.3%—57.4%的增速（P11019）时，海外不再是少数国际公司的专业，而是全行业的经营主线——设计院现在要决定的不是"是否跟进"，而是"以什么身份、什么节奏跟进"。</w:t>
      </w:r>
    </w:p>
    <w:p>
      <w:r>
        <w:rPr>
          <w:rFonts w:ascii="Calibri" w:hAnsi="Calibri" w:eastAsia="微软雅黑"/>
          <w:b w:val="0"/>
          <w:i w:val="0"/>
          <w:sz w:val="22"/>
        </w:rPr>
        <w:t>新能源赛道的反差更剧烈。2025年，中国储能企业新增海外订单规模达366GWh，同比增长144%（P11019）；2026年上半年，中国企业在中东非地区斩获储能订单超40GWh（P11019）。国内"内卷式"竞争愈演愈烈，部分企业甚至以低于成本价出口，出现将国内财政的出口退税直接转化为海外市场降价空间的现象（P11019）。同一份产能，在海外市场和国内市场面对的是两种完全不同的价格纪律。天强TACTER执行董事、总经理祝波善在2026年服贸会上明确指出，"不出海，就出局"已经从口号演变为越来越多中国工程设计咨询企业的现实选择，行业出海的内涵正在从"走出去"走向"走进去"，从"借船"走向"造船"（P11019）。这句话出自工程设计咨询行业观察者之口，说明设计院群体的出海已经从个别头部院的机会型尝试，进入行业级的生存议题。</w:t>
      </w:r>
    </w:p>
    <w:p>
      <w:r>
        <w:rPr>
          <w:rFonts w:ascii="Calibri" w:hAnsi="Calibri" w:eastAsia="微软雅黑"/>
          <w:b/>
          <w:i w:val="0"/>
          <w:sz w:val="22"/>
        </w:rPr>
        <w:t>看位置：排名跃升与结构倒挂并存。</w:t>
      </w:r>
      <w:r>
        <w:rPr>
          <w:rFonts w:ascii="Calibri" w:hAnsi="Calibri" w:eastAsia="微软雅黑"/>
          <w:b w:val="0"/>
          <w:i w:val="0"/>
          <w:sz w:val="22"/>
        </w:rPr>
        <w:t xml:space="preserve"> 中国中冶的ENR榜单数据，把中国承包商的国际位置表现得最直观。2025年8月，美国《工程新闻纪录》（ENR）发布2025年度全球承包商排名，中冶在"全球最大250家国际承包商"榜单中位列第37名，较2024年度的第47名跃升10个位次，创下近十五年来的最佳排名（P11003）；这一跃升幅度在76家上榜中国企业中位居前列（P11003）。拉长看其五年轨迹：2021年（基于2020年数据）第53名，2022年（基于2021年数据）第47名，2024年（基于2023年数据）第47名，2025年（基于2024年数据）第37名——从第53名到第37名，四年间累计上升16个位次（P11003）。国际排名以境外营业收入为核心依据，第37名意味着其2024年度境外营收规模已跻身全球承包商前15%行列（P11003）。</w:t>
      </w:r>
    </w:p>
    <w:p>
      <w:r>
        <w:rPr>
          <w:rFonts w:ascii="Calibri" w:hAnsi="Calibri" w:eastAsia="微软雅黑"/>
          <w:b w:val="0"/>
          <w:i w:val="0"/>
          <w:sz w:val="22"/>
        </w:rPr>
        <w:t>但同一张榜单的另一面更值得管理层凝视。在ENR同期发布的"全球承包商250强"榜单中，中冶位列第7名，连续第17年位居全球承包商前十强（P11003）；全球排名以国内外营收合计排序，第7名与第37名之间30个位次的落差，构成大型央企中较为罕见的"严重倒挂"（P11003）。倒挂的数字背后是业务结构：中冶2024年营业收入达5520.25亿元，但国际收入占总收入的比重仅约5.1%（P11003）。作为对照，中国建筑、中国交建等企业的全球排名与国际排名通常相差10—15个位次（P11003）。换句话说，以中冶为代表的工程央企，其体量优势主要建立在国内市场上；国际化程度的位次落差，恰恰度量了"国内巨人"与"国际玩家"之间的真实距离。对正在制定海外战略的设计院来说，这组倒挂数据的警示意义在于：不要用国内营收规模推算自己的国际竞争力，两者根本不是一回事。</w:t>
      </w:r>
    </w:p>
    <w:p>
      <w:r>
        <w:rPr>
          <w:rFonts w:ascii="Calibri" w:hAnsi="Calibri" w:eastAsia="微软雅黑"/>
          <w:b w:val="0"/>
          <w:i w:val="0"/>
          <w:sz w:val="22"/>
        </w:rPr>
        <w:t>细分赛道给出了更乐观的信号。2025年度ENR榜单显示，中冶在国际工业建设领域（Industrial Process）排名第2位，较2024年度的第3位上升1个位次（P11003）。工业建设涵盖冶金、石化、制药等工业设施的工程承包（P11003）——这些恰是设计院技术底色最重、设计主导权最强的领域。工业工程的国际竞争力排名高于企业整体排名，说明在技术密集型赛道上，中国工程体系的优势更突出、天花板更高。这对设计院是个明确的方向提示：海外拓展优先选择自己有技术纵深的专业市场，而不是去房建、土建红海里与劳务成本更低的对手拼价格。</w:t>
      </w:r>
    </w:p>
    <w:p>
      <w:r>
        <w:rPr>
          <w:rFonts w:ascii="Calibri" w:hAnsi="Calibri" w:eastAsia="微软雅黑"/>
          <w:b/>
          <w:i w:val="0"/>
          <w:sz w:val="22"/>
        </w:rPr>
        <w:t>看样本：设计院系的海外曲线。</w:t>
      </w:r>
      <w:r>
        <w:rPr>
          <w:rFonts w:ascii="Calibri" w:hAnsi="Calibri" w:eastAsia="微软雅黑"/>
          <w:b w:val="0"/>
          <w:i w:val="0"/>
          <w:sz w:val="22"/>
        </w:rPr>
        <w:t xml:space="preserve"> 中铝国际是设计院出身的国际样本。中铝国际工程股份有限公司是中铝集团工程技术经营单元，起源于1951年新中国第一家国有设计企业——东北人民政府工业部设计处，现已发展为有色金属行业"全金属门类、全产业链、全生命周期"的工程技术企业，业务遍及全球40多个国家和地区（P11004）。2025年，中铝国际在ENR"国际工程设计公司225强"中位列第84名，为历年最佳（P11004）；同年其海外新签合同额221.5亿元，占新签合同总额的47.3%，同比增长263.4%（P11004）；海外营业收入56.7亿元，同比增加37.2%，占总营收比重6.9%（P11004）；海外业务毛利率15%，同比提升2个百分点（P11004）。</w:t>
      </w:r>
    </w:p>
    <w:p>
      <w:r>
        <w:rPr>
          <w:rFonts w:ascii="Calibri" w:hAnsi="Calibri" w:eastAsia="微软雅黑"/>
          <w:b w:val="0"/>
          <w:i w:val="0"/>
          <w:sz w:val="22"/>
        </w:rPr>
        <w:t>这组数字对设计院管理层有三层含义。第一，海外新签占比47.3%——一家以设计起家的企业，新签合同几乎一半来自海外，说明设计院出海做总承包不是理论假设，而是已经走通的路径（P11004）。第二，同比增长263.4%的爆发式增速背后有低基数因素，但趋势明确：海外市场对有色等中国优势工业领域的接受度在放大（P11004）。第三，也是最重要的：海外业务毛利率15%，且在提升（P11004）。在国内EPC毛利率被普遍压薄的背景下，海外业务的盈利质量成为企业愿意持续投入的根本理由。当然也要冷静看到，其海外营收占总营收比重仍只有6.9%（P11004）——海外从"新签半壁江山"到"收入半壁江山"之间，隔着数年的履约周期，中间任何一步踩空都可能把订单变成亏损源。</w:t>
      </w:r>
    </w:p>
    <w:p>
      <w:r>
        <w:rPr>
          <w:rFonts w:ascii="Calibri" w:hAnsi="Calibri" w:eastAsia="微软雅黑"/>
          <w:b/>
          <w:i w:val="0"/>
          <w:sz w:val="22"/>
        </w:rPr>
        <w:t>看差距：国际标杆走过了什么路。</w:t>
      </w:r>
      <w:r>
        <w:rPr>
          <w:rFonts w:ascii="Calibri" w:hAnsi="Calibri" w:eastAsia="微软雅黑"/>
          <w:b w:val="0"/>
          <w:i w:val="0"/>
          <w:sz w:val="22"/>
        </w:rPr>
        <w:t xml:space="preserve"> 纵观国际承包工程市场，中国企业海外市场仍然集中在亚洲和非洲的发展中国家，对政府的政策性支持比较依赖，在高端市场上相对国外企业的竞争优势不明显，高端市场被欧美、日本等发达国家的承包商所占据（P11001）。中国企业普遍面临的课题是：在综合实力和核心竞争力上，与先进的国际大承包商相比还有差距（P11001）。</w:t>
      </w:r>
    </w:p>
    <w:p>
      <w:r>
        <w:rPr>
          <w:rFonts w:ascii="Calibri" w:hAnsi="Calibri" w:eastAsia="微软雅黑"/>
          <w:b w:val="0"/>
          <w:i w:val="0"/>
          <w:sz w:val="22"/>
        </w:rPr>
        <w:t>国际大承包商的路径可以概括为清晰的五段式：法国的布伊格、美国的柏克德、德国的豪赫蒂夫等都经历了成立初期的专业化，快速发展期的多元化，海内外扩张期的兼并、收购，全球化战略期的一体化商业模式，到集中核心业务的战略重组期（P11001）。值得注意的是，这些企业并非成立之初就实行全球化策略，而是在国内业务达到一定规模、工程和管理经验足以应对国际环境的挑战之后，才走出国门（P11001）。这为国内设计院提供了一个校准预期的时间标尺：国际化是水到渠成的第二步，而非用来抢救收入的第一步；先在优势专业上把国内密度做足，再向同专业的海外市场外溢，是低风险的顺序。</w:t>
      </w:r>
    </w:p>
    <w:p>
      <w:r>
        <w:rPr>
          <w:rFonts w:ascii="Calibri" w:hAnsi="Calibri" w:eastAsia="微软雅黑"/>
          <w:b w:val="0"/>
          <w:i w:val="0"/>
          <w:sz w:val="22"/>
        </w:rPr>
        <w:t>对标国际工程公司的形态，更能看清设计院转型的"完成态"。工程公司是以工程技术为基础、以工程建设为主业，具备工程项目的设计、采购、施工或施工管理、试车服务、项目管理能力的企业；不具备上述功能的企业，一般不称为工程公司，而称为设计公司、施工公司（P11012）。国际工程公司一般都是跨行业、跨国经营，不论规模大小，都有很强的设计力量、很高的管理水平，具备EPC/交钥匙总承包和项目管理的能力（P11012）。工程公司还是技术集成商——一般不生产具体的机电设备和仪表，却"生产"一座座完整的工厂，起决定作用的是对世界上先进的工艺技术、工程技术和项目管理技术的集成能力（P11012）。这个定义与国内设计院现状逐条对照，差距清单一目了然：多数设计院已具备设计与部分采购能力，施工管理、试车服务（开车）和以项目为对象的组织体制仍是短板；而"很强的设计力量"恰恰是国际工程公司定义中的第一要素——设计院不必妄自菲薄，但也绝不能以为设计能力可以自动兑换成总承包能力。</w:t>
      </w:r>
    </w:p>
    <w:p>
      <w:r>
        <w:rPr>
          <w:rFonts w:ascii="Calibri" w:hAnsi="Calibri" w:eastAsia="微软雅黑"/>
          <w:b/>
          <w:i w:val="0"/>
          <w:sz w:val="22"/>
        </w:rPr>
        <w:t>所以呢？</w:t>
      </w:r>
      <w:r>
        <w:rPr>
          <w:rFonts w:ascii="Calibri" w:hAnsi="Calibri" w:eastAsia="微软雅黑"/>
          <w:b w:val="0"/>
          <w:i w:val="0"/>
          <w:sz w:val="22"/>
        </w:rPr>
        <w:t xml:space="preserve"> 这一节的结论可以压缩成三句话：第一，国内收缩与海外扩张的剪刀差已经确立（P11019），出海是收入结构问题，不是形象问题；第二，中国承包商的国际排位在快速上升但国际化程度仍然偏低（中冶国际收入占比约5.1%，P11003），海外市场的分层与空白很多，留给设计院的专业化缝隙是真实存在的；第三，设计院系的样本（中铝国际海外毛利率15%、新签占比47.3%，P11004）证明设计基因在国际工业工程市场上是可以变现的，但国际工程公司的完成态要求设计院补齐采购、施工管理、开车服务三大能力，缺一样就还是"设计公司出海"，而不是"工程公司国际化"。</w:t>
      </w:r>
    </w:p>
    <w:p>
      <w:pPr>
        <w:pStyle w:val="Heading2"/>
      </w:pPr>
      <w:r>
        <w:t>11.2 FIDIC规则体系：读懂海外EPC的游戏规则</w:t>
      </w:r>
    </w:p>
    <w:p>
      <w:r>
        <w:rPr>
          <w:rFonts w:ascii="Calibri" w:hAnsi="Calibri" w:eastAsia="微软雅黑"/>
          <w:b/>
          <w:i w:val="0"/>
          <w:sz w:val="22"/>
        </w:rPr>
        <w:t>先懂规则的来历，再谈条款的攻防。</w:t>
      </w:r>
      <w:r>
        <w:rPr>
          <w:rFonts w:ascii="Calibri" w:hAnsi="Calibri" w:eastAsia="微软雅黑"/>
          <w:b w:val="0"/>
          <w:i w:val="0"/>
          <w:sz w:val="22"/>
        </w:rPr>
        <w:t xml:space="preserve"> EPC不是凭空产生的，它来自业主对效率的极致追求。英美建筑体系过去一百多年的传统运作模式是线性的：业主先找咨询公司做可行性研究，股东批准后寻找设计单位出图纸，图纸完成后再招标找施工单位安装建设（P11008）。这套体系运转了很多年，直到上世纪90年代，市场节奏发生根本性变化：按传统流程，可研半年到一年，设计一年多，招标找施工单位又要半年，干完可能六年都过去了，市场机会早就没了（P11008）。于是业主向承包商提出前所未有的挑战：我有资金、有明确的产品需求，你能不能在两到两年半之内把项目干成，交出合格的产品（P11008）？承包商的应答方式，就是从"按图施工"转变为"从思路到产品"的全链条负责——先给业主一个大致的技术方案和总价估算，业主认可后签约，平常的过程业主基本不参与（P11008）。</w:t>
      </w:r>
    </w:p>
    <w:p>
      <w:r>
        <w:rPr>
          <w:rFonts w:ascii="Calibri" w:hAnsi="Calibri" w:eastAsia="微软雅黑"/>
          <w:b w:val="0"/>
          <w:i w:val="0"/>
          <w:sz w:val="22"/>
        </w:rPr>
        <w:t>理解这段起源，就理解了海外EPC的一切规则设计：EPC模式产生的根本动力是"时间"和"市场机会"，业主选择EPC是为了节约时间、抓住市场窗口；承包商愿意承担高风险，是因为可以获得更高回报，并通过整合设计、采购、施工资源实现效率最大化（P11008）。风险与溢价是一体两面。设计院若只想享受EPC的合同额，不想接EPC的风险包，等于只要面子不要里子——而这正是许多中国企业的实际状态：不能把国内DBB（设计-招标-建造）模式下的习惯做法照搬到海外，不能用"先中标再说"的侥幸心理对待EPC投标，更不能用"差不多就行"的态度对待合同和策划（P11008）。走出去的过程中，最大的障碍往往不是技术能力不足，而是管理思维和风险意识的转变（P11008）。</w:t>
      </w:r>
    </w:p>
    <w:p>
      <w:r>
        <w:rPr>
          <w:rFonts w:ascii="Calibri" w:hAnsi="Calibri" w:eastAsia="微软雅黑"/>
          <w:b/>
          <w:i w:val="0"/>
          <w:sz w:val="22"/>
        </w:rPr>
        <w:t>银皮书自己划了红线：四种不适用EPC的情形。</w:t>
      </w:r>
      <w:r>
        <w:rPr>
          <w:rFonts w:ascii="Calibri" w:hAnsi="Calibri" w:eastAsia="微软雅黑"/>
          <w:b w:val="0"/>
          <w:i w:val="0"/>
          <w:sz w:val="22"/>
        </w:rPr>
        <w:t xml:space="preserve"> FIDIC银皮书的序言中明确提到，项目招标面临下述环境时，并不适合采用EPC模式：如果投标人没有足够时间或资料，以仔细研究和核查业主要求或进行他们的设计、风险评估和估算；如果建设内容涉及相当数量的地下工程，或投标人未能调查的区域内的工程；如果业主要严密监督或控制承包商的工作，或要审核大部分施工图纸；如果每次期中付款都要经职员或其他中间人确定（P11006）。</w:t>
      </w:r>
    </w:p>
    <w:p>
      <w:r>
        <w:rPr>
          <w:rFonts w:ascii="Calibri" w:hAnsi="Calibri" w:eastAsia="微软雅黑"/>
          <w:b w:val="0"/>
          <w:i w:val="0"/>
          <w:sz w:val="22"/>
        </w:rPr>
        <w:t>这四条红线是投标决策的第一道过滤器，也是本章后续亏损案例的制度化预防。但在国际工程投标实践中，商务报价人员每年都能遇到大量处于这类环境下的EPC投标项目（P11006）。为什么明知不合适还要投？因为当业主进行EPC模式招标时，项目基本上还处在可行性研究或概念设计、方案设计阶段，业主可能提供可行性研究报告、概念设计或方案设计图纸、业主要求等，但不会提供工程量清单、技术规范（P11006）——投标时存在很大的信息盲区，输入信息不充分成为估价师经常遇到的难题（P11006）。对设计院管理层而言，这里有一条硬判断：凡是以银皮书序言四种情形为背景的招标，报价风险准备金与设计深化风险必须重新定价，否则每一份乐观报价都是在为未来的亏损立案。</w:t>
      </w:r>
    </w:p>
    <w:p>
      <w:r>
        <w:rPr>
          <w:rFonts w:ascii="Calibri" w:hAnsi="Calibri" w:eastAsia="微软雅黑"/>
          <w:b/>
          <w:i w:val="0"/>
          <w:sz w:val="22"/>
        </w:rPr>
        <w:t>设计责任：设计院最熟悉的领域，最容易掉以轻心的战场。</w:t>
      </w:r>
      <w:r>
        <w:rPr>
          <w:rFonts w:ascii="Calibri" w:hAnsi="Calibri" w:eastAsia="微软雅黑"/>
          <w:b w:val="0"/>
          <w:i w:val="0"/>
          <w:sz w:val="22"/>
        </w:rPr>
        <w:t xml:space="preserve"> 与传统DBB承包模式不同，EPC总承包模式下承包商负有严格的设计责任和高度谨慎的义务，不仅要对承包商设计文件的正确性负责，还需要负责审核业主前期设计成果及其正确性（P11005）。设计工作是EPC承包商实施工程项目的核心与重点，也是中国承包商承揽海外业务的短板（P11005）。这句话对设计院尤其扎心也尤其值钱：短板不在"会不会画图"，而在对国际合同框架下设计责任边界的把握。</w:t>
      </w:r>
    </w:p>
    <w:p>
      <w:r>
        <w:rPr>
          <w:rFonts w:ascii="Calibri" w:hAnsi="Calibri" w:eastAsia="微软雅黑"/>
          <w:b w:val="0"/>
          <w:i w:val="0"/>
          <w:sz w:val="22"/>
        </w:rPr>
        <w:t>FIDIC银皮书合同条款规定，承包商有义务核实并解释业主要求（包括设计标准和计算），除第5.1款规定的四种情况（合同中规定的不可更改或由业主负责的部分、数据和信息，工程预期目的的定义，竣工检验标准和性能标准，除合同另有说明外承包商无法核实的内容）外，业主对所提供资料的准确性、充分性和完整性不承担责任（P11005）。换言之，业主给的资料错了、漏了、有歧义，兜底的是承包商。实践中最典型的两类陷阱：一是业主提供的条件不全，承包商若未及时澄清确认，而是以自己假定的条件作为设计基础进行投标报价，很可能导致实施过程中发生设计变更、项目成本高于投标估算（P11005）；二是业主要求表述不明确，例如有些业主在合同中要求承包商最终移交的设备要达到"世界先进的装备水平"，承包商往往很难界定其设计是否达到业主的要求（P11005）。应对之道在投标阶段就要做：仔细审核业主要求中的所有条件，条件不完整的及时找业主澄清、确认；根据假定条件报价的，必须在投标文件中明确说明该假定条件（P11005）。</w:t>
      </w:r>
    </w:p>
    <w:p>
      <w:r>
        <w:rPr>
          <w:rFonts w:ascii="Calibri" w:hAnsi="Calibri" w:eastAsia="微软雅黑"/>
          <w:b/>
          <w:i w:val="0"/>
          <w:sz w:val="22"/>
        </w:rPr>
        <w:t>条款战场一：现场移交与文件审批。</w:t>
      </w:r>
      <w:r>
        <w:rPr>
          <w:rFonts w:ascii="Calibri" w:hAnsi="Calibri" w:eastAsia="微软雅黑"/>
          <w:b w:val="0"/>
          <w:i w:val="0"/>
          <w:sz w:val="22"/>
        </w:rPr>
        <w:t xml:space="preserve"> 工程范围、现场移交与文件审批是履约争议高发领域，谈判核心在于划清边界、杜绝模糊表述（P11013）。现场移交条款应避免"承包商有权进入现场"的模糊表述，应明确具体移交时间和移交状态（P11013）。一个真实案例值得每个国际业务负责人抄在笔记本上：某中资企业承接的南亚某EPC项目，合同约定签约当日即为开工日，但由于雇主尚未完成征地手续，9个子项目中的7个项目，在签约后8个月仍未确定具体场址（P11013）；承包商虽可申请工期索赔，但雇主以部分子项目可分段开展设计采购为由拒绝全额工期补偿，同时以承包商未采取减损措施为由不予赔付项目管理成本增量（P11013）。一个"签约即开工"的条款，实质上带来工期与成本的双重失控；谈判阶段应将"场地具备完整进场条件"列为开工令签发的前置必要条件（P11013）。对设计院来说还有一层额外含义：分段开展设计采购恰恰是设计院的长工序，工期补偿被拒时，设计人力成本的损耗首当其冲。</w:t>
      </w:r>
    </w:p>
    <w:p>
      <w:r>
        <w:rPr>
          <w:rFonts w:ascii="Calibri" w:hAnsi="Calibri" w:eastAsia="微软雅黑"/>
          <w:b w:val="0"/>
          <w:i w:val="0"/>
          <w:sz w:val="22"/>
        </w:rPr>
        <w:t>文件审批同样是隐形工期杀手。FIDIC银皮书约定图纸审核周期为21天，承包商需结合项目规模和性质与雇主协商专用条件的审核时限（P11013）；为规避雇主无限期拖延审核，建议合同中增设图纸最多审核次数（如不超过2次），并约定超期未书面回复即视为审批通过（P11013）。21天的通用规则若不在专用条件中按项目实际重新校准，设计审批链条上的每一环拖延，最终都会转化为窝工与赶工成本（P11013）。</w:t>
      </w:r>
    </w:p>
    <w:p>
      <w:r>
        <w:rPr>
          <w:rFonts w:ascii="Calibri" w:hAnsi="Calibri" w:eastAsia="微软雅黑"/>
          <w:b/>
          <w:i w:val="0"/>
          <w:sz w:val="22"/>
        </w:rPr>
        <w:t>条款战场一之延伸：当地成分——写在招标文件里的属地化门槛。</w:t>
      </w:r>
      <w:r>
        <w:rPr>
          <w:rFonts w:ascii="Calibri" w:hAnsi="Calibri" w:eastAsia="微软雅黑"/>
          <w:b w:val="0"/>
          <w:i w:val="0"/>
          <w:sz w:val="22"/>
        </w:rPr>
        <w:t xml:space="preserve"> 多数海外国家对基建项目设置当地成分比例，如果当地成分的占比要求高，建议对当地成分进行针对性的调查和测算（P11013）。操作上有四个抓手：一是明确合同中"当地"的定义，区分当地生产、当地组装、当地注册公司运营、进口转卖等不同认定情形；二是调研当地产业链配套能力、施工技术水平及属地分包商资信，分析当地成分达标的可行性、潜在缺口及对应的成本影响；三是协商合理核算口径，将当地无法生产的核心设备、甲供材排除出当地成分计算基数；四是协商当地成分未达标的处置方案，优先设置罚款、社区公益投资等缓和方式，避免直接触发合同解除条款（P11013）。对习惯了中国供应链"整船出海"的企业，当地成分条款常常是报价阶段最陌生的一块成本——它直接决定设备来源结构、分包策略乃至设计选型，必须在投标前算清，而不是中标后补救。</w:t>
      </w:r>
    </w:p>
    <w:p>
      <w:r>
        <w:rPr>
          <w:rFonts w:ascii="Calibri" w:hAnsi="Calibri" w:eastAsia="微软雅黑"/>
          <w:b/>
          <w:i w:val="0"/>
          <w:sz w:val="22"/>
        </w:rPr>
        <w:t>条款战场二：暂列金额与变更计价。</w:t>
      </w:r>
      <w:r>
        <w:rPr>
          <w:rFonts w:ascii="Calibri" w:hAnsi="Calibri" w:eastAsia="微软雅黑"/>
          <w:b w:val="0"/>
          <w:i w:val="0"/>
          <w:sz w:val="22"/>
        </w:rPr>
        <w:t xml:space="preserve"> 暂列金额是承包商投标报价时几乎都会遇到的款项，它用于覆盖签约时无法准确计价的特定工作，本质上是一个估计值而不是固定价格，实际成本在工作实施时确定并据此调整合同价；这一机制自二十世纪三十年代起就用于土木工程合同的计价（P11018）。FIDIC银皮书第13.5款规定：每笔暂列金额只应按业主指示全部或部分地使用，合同价格相应调整，付给总包商的款项只应包括业主已指示的、与暂列金额有关的工作、供货或服务的应付款项（P11018）；执行方式有两种——由总包商实施工作的按第13.3款变更程序估价，或由总包商购买生产设备、材料或服务，此时在扣除原列暂列金额后，把总包商已付或应付的实际金额加上按合同约定百分率计算的管理费和利润计入合同价格，总包商在业主要求时应出示报价单、发票、凭证等证明（P11018）。橙皮书第14.5款以及红皮书、黄皮书的第13.5款也有相应规定（P11018）。处理得好，暂列金额是业主与承包商共同应对不确定性的工具；处理不好，它就是结算争议和成本超支的源头（P11018）。在英联邦计价体系下，暂定金额还有"未明确"与"已明确"之分，SMM7自1988年起正式引入了"已明确工作"这一类别（P11018）。对总包商的实操提示是：传统做法是在利润率计算之后才将暂列金额和计日工计入投标价，因为在合同履行期间对这部分款项计价时，总包商可以获得管理费和利润的补偿（P11018）——这笔"活钱"考验的不是报价技巧，而是对合同规则的熟悉程度和过程管理的精细程度（P11018）。</w:t>
      </w:r>
    </w:p>
    <w:p>
      <w:r>
        <w:rPr>
          <w:rFonts w:ascii="Calibri" w:hAnsi="Calibri" w:eastAsia="微软雅黑"/>
          <w:b/>
          <w:i w:val="0"/>
          <w:sz w:val="22"/>
        </w:rPr>
        <w:t>条款战场三：预付款与保函的资金战线。</w:t>
      </w:r>
      <w:r>
        <w:rPr>
          <w:rFonts w:ascii="Calibri" w:hAnsi="Calibri" w:eastAsia="微软雅黑"/>
          <w:b w:val="0"/>
          <w:i w:val="0"/>
          <w:sz w:val="22"/>
        </w:rPr>
        <w:t xml:space="preserve"> 预付款是项目启动阶段的"血液"。国际工程预付款比例的设定受项目类型、资金来源、业主信用等多重因素影响：常规海外EPC项目预付款比例集中在合同总额的10%-20%（P11014）；能源、矿产等资源开发项目因设备采购占比高，预付款比例常达30%-50%（P11014）；而政府主导的民生工程受财政预算约束，有很大比例的项目无预付款条款（P11014）。预付款比例与项目流动资金需求存在刚性匹配关系：历史数据显示，海外EPC项目启动阶段（设计与设备采购期）的资金需求约占总投资额的25%-30%，其中预付款需覆盖核心设备定金（通常为设备总价的15%-20%）、设计团队薪酬及前期履约保证金等刚性支出（P11014）。很多对外承包工程企业因接受业主过低的预付款比例、又未能提前规划融资方案，导致设备采购环节资金断裂、项目工期延误，最终承担高额违约赔偿金的情况经常出现（P11014）。</w:t>
      </w:r>
    </w:p>
    <w:p>
      <w:r>
        <w:rPr>
          <w:rFonts w:ascii="Calibri" w:hAnsi="Calibri" w:eastAsia="微软雅黑"/>
          <w:b w:val="0"/>
          <w:i w:val="0"/>
          <w:sz w:val="22"/>
        </w:rPr>
        <w:t>预付款保函则是业主防范资金风险的核心工具，本质是银行出具的独立信用担保文件，其"见索即付"特性决定了它与基础合同的相对独立性。根据国际商会《见索即付保函统一规则（URDG758）》，预付款保函的法律效力不受基础合同争议的影响，银行仅对索赔文件进行形式审查，这一规则在全球90%以上的国际工程合同中得到适用（P11014）。保函风险管理的系统性结论是：承包商的合同履约能力是规避保函风险的基础与前提，完整的文件资料是应对争议的核心，及时的保函递减与撤销是降低风险敞口的关键手段，合法的争议解决途径是承包商维权的最终保障（P11010）。大部分保函风险源于承包商自身履约出现重大问题，包括工期延误、质量不达标等；但如果承包商无实质违约，业主即便发起索兑，也可能因构成保函欺诈而被法院裁定止付（P11010）。海外履约环境中的四类高发诱因值得排进风险清单：法律体系差异（如南美部分国家要求承包商必须雇佣当地劳工并承担高额社保费用）、地缘政治与供应链风险（战乱、制裁导致建材运输中断而业主往往不认可为不可抗力）、技术标准差异（海外项目多采用国际标准或当地标准，仍按国内标准施工将直接导致质量或性能不达标）、资金结算风险（汇率波动、外汇管制导致工程款回收延迟）（P11010）。</w:t>
      </w:r>
    </w:p>
    <w:p>
      <w:r>
        <w:rPr>
          <w:rFonts w:ascii="Calibri" w:hAnsi="Calibri" w:eastAsia="微软雅黑"/>
          <w:b/>
          <w:i w:val="0"/>
          <w:sz w:val="22"/>
        </w:rPr>
        <w:t>条款战场四：税务架构与合同拆分。</w:t>
      </w:r>
      <w:r>
        <w:rPr>
          <w:rFonts w:ascii="Calibri" w:hAnsi="Calibri" w:eastAsia="微软雅黑"/>
          <w:b w:val="0"/>
          <w:i w:val="0"/>
          <w:sz w:val="22"/>
        </w:rPr>
        <w:t xml:space="preserve"> 针对跨境税务与外汇管控约束，可将总包合同拆分为离岸合同与在岸合同；拆分操作须严格遵循独立交易原则，保障合同金额与实际工作内容匹配，规避税务机关认定转移定价带来的处罚风险；同时统一合同核心术语定义，消除甲乙双方理解分歧（P11013）。某些司法管辖区的税务政策（如进口设备关税差异导致合同拆分为在岸和离岸部分）本身就是合同结构设计的驱动因素（P11017）。合同架构设计能力，是设计院国际业务团队最容易忽视、也最难速成的一课。</w:t>
      </w:r>
    </w:p>
    <w:p>
      <w:r>
        <w:rPr>
          <w:rFonts w:ascii="Calibri" w:hAnsi="Calibri" w:eastAsia="微软雅黑"/>
          <w:b/>
          <w:i w:val="0"/>
          <w:sz w:val="22"/>
        </w:rPr>
        <w:t>所以呢？</w:t>
      </w:r>
      <w:r>
        <w:rPr>
          <w:rFonts w:ascii="Calibri" w:hAnsi="Calibri" w:eastAsia="微软雅黑"/>
          <w:b w:val="0"/>
          <w:i w:val="0"/>
          <w:sz w:val="22"/>
        </w:rPr>
        <w:t xml:space="preserve"> FIDIC条款不是法务部的文档作业，而是海外项目的第一张利润表。图纸审核21天的默认值、暂列金额13.5款的计价规则、10%-20%的常规预付款区间、URDG758之下90%以上合同适用的见索即付逻辑（P11013、P11018、P11014）——这些数字每一个都会直接进入项目的现金流与损益。设计院出海的第一笔投资，不应是海外办事处，而是一支能把银皮书从序言读到专用条件、并逐条换算成人民币风险的合同管理团队。规则内行，才有资格谈利润；规则外行，合同额越大，学费越贵。</w:t>
      </w:r>
    </w:p>
    <w:p>
      <w:pPr>
        <w:pStyle w:val="Heading2"/>
      </w:pPr>
      <w:r>
        <w:t>11.3 巨亏镜像：四个十亿级亏损案例的风险解剖</w:t>
      </w:r>
    </w:p>
    <w:p>
      <w:r>
        <w:rPr>
          <w:rFonts w:ascii="Calibri" w:hAnsi="Calibri" w:eastAsia="微软雅黑"/>
          <w:b/>
          <w:i w:val="0"/>
          <w:sz w:val="22"/>
        </w:rPr>
        <w:t>高额合同从来不等于高额利润。</w:t>
      </w:r>
      <w:r>
        <w:rPr>
          <w:rFonts w:ascii="Calibri" w:hAnsi="Calibri" w:eastAsia="微软雅黑"/>
          <w:b w:val="0"/>
          <w:i w:val="0"/>
          <w:sz w:val="22"/>
        </w:rPr>
        <w:t xml:space="preserve"> 近些年，中国建筑工程企业在海外狂揽各种大单，势头不可谓不强；然而一些企业一边把大型房建、基础设施项目干到世界各地，一边把数十亿元级的巨额亏损带回家（P11000）。事后给出的解释也高度相似：变更多、人效低、材料涨价、汇率波动、工期紧张、政治环境复杂（P11000）。这些理由可能都是真的，但它们回避了更残酷的追问：为什么这些风险在投标前没有被识别？识别之后为什么没有被规避？项目出现偏差后，为什么只能靠加人、加班、加设备救火？现场问题解决了，为什么成本却收不回来（P11000）？如果一家企业只有在项目亏损以后才能摸清风险，那么它拥有的不是海外风险的管控能力，有的只是海外亏损的复盘能力（P11000）——这句话应当贴在每一家准备出海的设计院的投标会议室里。</w:t>
      </w:r>
    </w:p>
    <w:p>
      <w:r>
        <w:rPr>
          <w:rFonts w:ascii="Calibri" w:hAnsi="Calibri" w:eastAsia="微软雅黑"/>
          <w:b w:val="0"/>
          <w:i w:val="0"/>
          <w:sz w:val="22"/>
        </w:rPr>
        <w:t>把四个公开披露的典型巨亏案例并排放在一起，亏损的结构就会自己浮现。</w:t>
      </w:r>
    </w:p>
    <w:p>
      <w:r>
        <w:rPr>
          <w:rFonts w:ascii="Calibri" w:hAnsi="Calibri" w:eastAsia="微软雅黑"/>
          <w:b/>
          <w:i w:val="0"/>
          <w:sz w:val="22"/>
        </w:rPr>
        <w:t>案例一：中东轻轨项目（TJ公司）。</w:t>
      </w:r>
      <w:r>
        <w:rPr>
          <w:rFonts w:ascii="Calibri" w:hAnsi="Calibri" w:eastAsia="微软雅黑"/>
          <w:b w:val="0"/>
          <w:i w:val="0"/>
          <w:sz w:val="22"/>
        </w:rPr>
        <w:t xml:space="preserve"> 合同确认收入约120.51亿元，预计总成本却达到160.45亿元，另有1.54亿元财务费用，最终净亏损41.48亿元（P11000）；企业声称，实际工程量较签约时大幅增加（P11000）。收入与成本的缺口接近40亿元量级（160.45亿元-120.51亿元，own_calc，P11000），说明签约时的工程量边界与价格基础已严重失真。</w:t>
      </w:r>
    </w:p>
    <w:p>
      <w:r>
        <w:rPr>
          <w:rFonts w:ascii="Calibri" w:hAnsi="Calibri" w:eastAsia="微软雅黑"/>
          <w:b/>
          <w:i w:val="0"/>
          <w:sz w:val="22"/>
        </w:rPr>
        <w:t>案例二：西澳铁矿工程（ZY公司）。</w:t>
      </w:r>
      <w:r>
        <w:rPr>
          <w:rFonts w:ascii="Calibri" w:hAnsi="Calibri" w:eastAsia="微软雅黑"/>
          <w:b w:val="0"/>
          <w:i w:val="0"/>
          <w:sz w:val="22"/>
        </w:rPr>
        <w:t xml:space="preserve"> 最初总包合同约11.06亿美元，补充协议又增加约6.44亿美元（P11000）；项目综合完工率约90%时，承包方不得不计提约31亿元合同预计损失（P11000）。项目做到九成才发现要亏31亿元（P11000），意味着成本失控不是发生在某一环节，而是贯穿全过程的管理失明。</w:t>
      </w:r>
    </w:p>
    <w:p>
      <w:r>
        <w:rPr>
          <w:rFonts w:ascii="Calibri" w:hAnsi="Calibri" w:eastAsia="微软雅黑"/>
          <w:b/>
          <w:i w:val="0"/>
          <w:sz w:val="22"/>
        </w:rPr>
        <w:t>案例三：东欧高速公路（ZT公司联合体）。</w:t>
      </w:r>
      <w:r>
        <w:rPr>
          <w:rFonts w:ascii="Calibri" w:hAnsi="Calibri" w:eastAsia="微软雅黑"/>
          <w:b w:val="0"/>
          <w:i w:val="0"/>
          <w:sz w:val="22"/>
        </w:rPr>
        <w:t xml:space="preserve"> 项目规模不大，约49公里的两个标段，施工两年后却因严重亏损和资金短缺退出（P11000）；最终确认亏损5.50亿元，并且面临业主提出的巨额赔偿要求（P11000）。49公里、5.50亿元（P11000），单公里亏损强度在四个案例中并不低——体量小的项目并不天然安全，退出本身还会引出二次损失（业主索赔）。</w:t>
      </w:r>
    </w:p>
    <w:p>
      <w:r>
        <w:rPr>
          <w:rFonts w:ascii="Calibri" w:hAnsi="Calibri" w:eastAsia="微软雅黑"/>
          <w:b/>
          <w:i w:val="0"/>
          <w:sz w:val="22"/>
        </w:rPr>
        <w:t>案例四：加勒比度假村（ZJ公司）。</w:t>
      </w:r>
      <w:r>
        <w:rPr>
          <w:rFonts w:ascii="Calibri" w:hAnsi="Calibri" w:eastAsia="微软雅黑"/>
          <w:b w:val="0"/>
          <w:i w:val="0"/>
          <w:sz w:val="22"/>
        </w:rPr>
        <w:t xml:space="preserve"> 工程已接近完成，业主却申请破产保护，最终形成约19.28亿元账面风险敞口（P11000）。这个案例的教训与施工无关：工程接近完工，不代表承包商就能安稳回款（P11000）。回款风险与工程风险是两个独立的风险包，后者做得再好，也替代不了对前者的事前安排。</w:t>
      </w:r>
    </w:p>
    <w:p>
      <w:r>
        <w:rPr>
          <w:rFonts w:ascii="Calibri" w:hAnsi="Calibri" w:eastAsia="微软雅黑"/>
          <w:b w:val="0"/>
          <w:i w:val="0"/>
          <w:sz w:val="22"/>
        </w:rPr>
        <w:t>把四个案例的关键数字放进同一张表，管理层可以更直观地看到风险发生的不同位置——有的死在报价，有的死在履约，有的死在收款：</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案例</w:t>
            </w:r>
          </w:p>
        </w:tc>
        <w:tc>
          <w:tcPr>
            <w:tcW w:type="dxa" w:w="2075"/>
            <w:shd w:fill="1F3A5F"/>
          </w:tcPr>
          <w:p>
            <w:r>
              <w:rPr>
                <w:color w:val="FFFFFF"/>
              </w:rPr>
            </w:r>
            <w:r>
              <w:rPr>
                <w:rFonts w:ascii="Calibri" w:hAnsi="Calibri" w:eastAsia="微软雅黑"/>
                <w:b/>
                <w:i w:val="0"/>
                <w:color w:val="FFFFFF"/>
                <w:sz w:val="18"/>
              </w:rPr>
              <w:t>市场与模式</w:t>
            </w:r>
          </w:p>
        </w:tc>
        <w:tc>
          <w:tcPr>
            <w:tcW w:type="dxa" w:w="2075"/>
            <w:shd w:fill="1F3A5F"/>
          </w:tcPr>
          <w:p>
            <w:r>
              <w:rPr>
                <w:color w:val="FFFFFF"/>
              </w:rPr>
            </w:r>
            <w:r>
              <w:rPr>
                <w:rFonts w:ascii="Calibri" w:hAnsi="Calibri" w:eastAsia="微软雅黑"/>
                <w:b/>
                <w:i w:val="0"/>
                <w:color w:val="FFFFFF"/>
                <w:sz w:val="18"/>
              </w:rPr>
              <w:t>关键数字</w:t>
            </w:r>
          </w:p>
        </w:tc>
        <w:tc>
          <w:tcPr>
            <w:tcW w:type="dxa" w:w="2075"/>
            <w:shd w:fill="1F3A5F"/>
          </w:tcPr>
          <w:p>
            <w:r>
              <w:rPr>
                <w:color w:val="FFFFFF"/>
              </w:rPr>
            </w:r>
            <w:r>
              <w:rPr>
                <w:rFonts w:ascii="Calibri" w:hAnsi="Calibri" w:eastAsia="微软雅黑"/>
                <w:b/>
                <w:i w:val="0"/>
                <w:color w:val="FFFFFF"/>
                <w:sz w:val="18"/>
              </w:rPr>
              <w:t>风险爆发点</w:t>
            </w:r>
          </w:p>
        </w:tc>
      </w:tr>
      <w:tr>
        <w:tc>
          <w:tcPr>
            <w:tcW w:type="dxa" w:w="2075"/>
          </w:tcPr>
          <w:p>
            <w:r/>
            <w:r>
              <w:rPr>
                <w:rFonts w:ascii="Calibri" w:hAnsi="Calibri" w:eastAsia="微软雅黑"/>
                <w:b w:val="0"/>
                <w:i w:val="0"/>
                <w:sz w:val="18"/>
              </w:rPr>
              <w:t>TJ公司·中东轻轨</w:t>
            </w:r>
          </w:p>
        </w:tc>
        <w:tc>
          <w:tcPr>
            <w:tcW w:type="dxa" w:w="2075"/>
          </w:tcPr>
          <w:p>
            <w:r/>
            <w:r>
              <w:rPr>
                <w:rFonts w:ascii="Calibri" w:hAnsi="Calibri" w:eastAsia="微软雅黑"/>
                <w:b w:val="0"/>
                <w:i w:val="0"/>
                <w:sz w:val="18"/>
              </w:rPr>
              <w:t>中东大型公共交通</w:t>
            </w:r>
          </w:p>
        </w:tc>
        <w:tc>
          <w:tcPr>
            <w:tcW w:type="dxa" w:w="2075"/>
          </w:tcPr>
          <w:p>
            <w:r/>
            <w:r>
              <w:rPr>
                <w:rFonts w:ascii="Calibri" w:hAnsi="Calibri" w:eastAsia="微软雅黑"/>
                <w:b w:val="0"/>
                <w:i w:val="0"/>
                <w:sz w:val="18"/>
              </w:rPr>
              <w:t>确认收入约120.51亿元，预计总成本160.45亿元，财务费用1.54亿元，净亏损41.48亿元（P11000）</w:t>
            </w:r>
          </w:p>
        </w:tc>
        <w:tc>
          <w:tcPr>
            <w:tcW w:type="dxa" w:w="2075"/>
          </w:tcPr>
          <w:p>
            <w:r/>
            <w:r>
              <w:rPr>
                <w:rFonts w:ascii="Calibri" w:hAnsi="Calibri" w:eastAsia="微软雅黑"/>
                <w:b w:val="0"/>
                <w:i w:val="0"/>
                <w:sz w:val="18"/>
              </w:rPr>
              <w:t>投标期：工程量边界与报价失真</w:t>
            </w:r>
          </w:p>
        </w:tc>
      </w:tr>
      <w:tr>
        <w:tc>
          <w:tcPr>
            <w:tcW w:type="dxa" w:w="2075"/>
          </w:tcPr>
          <w:p>
            <w:r/>
            <w:r>
              <w:rPr>
                <w:rFonts w:ascii="Calibri" w:hAnsi="Calibri" w:eastAsia="微软雅黑"/>
                <w:b w:val="0"/>
                <w:i w:val="0"/>
                <w:sz w:val="18"/>
              </w:rPr>
              <w:t>ZY公司·西澳铁矿</w:t>
            </w:r>
          </w:p>
        </w:tc>
        <w:tc>
          <w:tcPr>
            <w:tcW w:type="dxa" w:w="2075"/>
          </w:tcPr>
          <w:p>
            <w:r/>
            <w:r>
              <w:rPr>
                <w:rFonts w:ascii="Calibri" w:hAnsi="Calibri" w:eastAsia="微软雅黑"/>
                <w:b w:val="0"/>
                <w:i w:val="0"/>
                <w:sz w:val="18"/>
              </w:rPr>
              <w:t>澳洲资源配套工程</w:t>
            </w:r>
          </w:p>
        </w:tc>
        <w:tc>
          <w:tcPr>
            <w:tcW w:type="dxa" w:w="2075"/>
          </w:tcPr>
          <w:p>
            <w:r/>
            <w:r>
              <w:rPr>
                <w:rFonts w:ascii="Calibri" w:hAnsi="Calibri" w:eastAsia="微软雅黑"/>
                <w:b w:val="0"/>
                <w:i w:val="0"/>
                <w:sz w:val="18"/>
              </w:rPr>
              <w:t>总包合同约11.06亿美元，补充协议增约6.44亿美元，完工率约90%时计提约31亿元预计损失（P11000）</w:t>
            </w:r>
          </w:p>
        </w:tc>
        <w:tc>
          <w:tcPr>
            <w:tcW w:type="dxa" w:w="2075"/>
          </w:tcPr>
          <w:p>
            <w:r/>
            <w:r>
              <w:rPr>
                <w:rFonts w:ascii="Calibri" w:hAnsi="Calibri" w:eastAsia="微软雅黑"/>
                <w:b w:val="0"/>
                <w:i w:val="0"/>
                <w:sz w:val="18"/>
              </w:rPr>
              <w:t>履约中期：成本全流程失明</w:t>
            </w:r>
          </w:p>
        </w:tc>
      </w:tr>
      <w:tr>
        <w:tc>
          <w:tcPr>
            <w:tcW w:type="dxa" w:w="2075"/>
          </w:tcPr>
          <w:p>
            <w:r/>
            <w:r>
              <w:rPr>
                <w:rFonts w:ascii="Calibri" w:hAnsi="Calibri" w:eastAsia="微软雅黑"/>
                <w:b w:val="0"/>
                <w:i w:val="0"/>
                <w:sz w:val="18"/>
              </w:rPr>
              <w:t>ZT公司联合体·东欧高速</w:t>
            </w:r>
          </w:p>
        </w:tc>
        <w:tc>
          <w:tcPr>
            <w:tcW w:type="dxa" w:w="2075"/>
          </w:tcPr>
          <w:p>
            <w:r/>
            <w:r>
              <w:rPr>
                <w:rFonts w:ascii="Calibri" w:hAnsi="Calibri" w:eastAsia="微软雅黑"/>
                <w:b w:val="0"/>
                <w:i w:val="0"/>
                <w:sz w:val="18"/>
              </w:rPr>
              <w:t>东欧基础设施</w:t>
            </w:r>
          </w:p>
        </w:tc>
        <w:tc>
          <w:tcPr>
            <w:tcW w:type="dxa" w:w="2075"/>
          </w:tcPr>
          <w:p>
            <w:r/>
            <w:r>
              <w:rPr>
                <w:rFonts w:ascii="Calibri" w:hAnsi="Calibri" w:eastAsia="微软雅黑"/>
                <w:b w:val="0"/>
                <w:i w:val="0"/>
                <w:sz w:val="18"/>
              </w:rPr>
              <w:t>约49公里两个标段，确认亏损5.50亿元，另面临业主巨额索赔（P11000）</w:t>
            </w:r>
          </w:p>
        </w:tc>
        <w:tc>
          <w:tcPr>
            <w:tcW w:type="dxa" w:w="2075"/>
          </w:tcPr>
          <w:p>
            <w:r/>
            <w:r>
              <w:rPr>
                <w:rFonts w:ascii="Calibri" w:hAnsi="Calibri" w:eastAsia="微软雅黑"/>
                <w:b w:val="0"/>
                <w:i w:val="0"/>
                <w:sz w:val="18"/>
              </w:rPr>
              <w:t>履约后期：资金链断裂被动退出</w:t>
            </w:r>
          </w:p>
        </w:tc>
      </w:tr>
      <w:tr>
        <w:tc>
          <w:tcPr>
            <w:tcW w:type="dxa" w:w="2075"/>
          </w:tcPr>
          <w:p>
            <w:r/>
            <w:r>
              <w:rPr>
                <w:rFonts w:ascii="Calibri" w:hAnsi="Calibri" w:eastAsia="微软雅黑"/>
                <w:b w:val="0"/>
                <w:i w:val="0"/>
                <w:sz w:val="18"/>
              </w:rPr>
              <w:t>ZJ公司·加勒比度假村</w:t>
            </w:r>
          </w:p>
        </w:tc>
        <w:tc>
          <w:tcPr>
            <w:tcW w:type="dxa" w:w="2075"/>
          </w:tcPr>
          <w:p>
            <w:r/>
            <w:r>
              <w:rPr>
                <w:rFonts w:ascii="Calibri" w:hAnsi="Calibri" w:eastAsia="微软雅黑"/>
                <w:b w:val="0"/>
                <w:i w:val="0"/>
                <w:sz w:val="18"/>
              </w:rPr>
              <w:t>加勒比文旅地产</w:t>
            </w:r>
          </w:p>
        </w:tc>
        <w:tc>
          <w:tcPr>
            <w:tcW w:type="dxa" w:w="2075"/>
          </w:tcPr>
          <w:p>
            <w:r/>
            <w:r>
              <w:rPr>
                <w:rFonts w:ascii="Calibri" w:hAnsi="Calibri" w:eastAsia="微软雅黑"/>
                <w:b w:val="0"/>
                <w:i w:val="0"/>
                <w:sz w:val="18"/>
              </w:rPr>
              <w:t>业主破产保护，账面风险敞口约19.28亿元（P11000）</w:t>
            </w:r>
          </w:p>
        </w:tc>
        <w:tc>
          <w:tcPr>
            <w:tcW w:type="dxa" w:w="2075"/>
          </w:tcPr>
          <w:p>
            <w:r/>
            <w:r>
              <w:rPr>
                <w:rFonts w:ascii="Calibri" w:hAnsi="Calibri" w:eastAsia="微软雅黑"/>
                <w:b w:val="0"/>
                <w:i w:val="0"/>
                <w:sz w:val="18"/>
              </w:rPr>
              <w:t>竣工阶段：业主信用与回款</w:t>
            </w:r>
          </w:p>
        </w:tc>
      </w:tr>
    </w:tbl>
    <w:p>
      <w:r>
        <w:rPr>
          <w:rFonts w:ascii="Calibri" w:hAnsi="Calibri" w:eastAsia="微软雅黑"/>
          <w:b w:val="0"/>
          <w:i w:val="0"/>
          <w:sz w:val="22"/>
        </w:rPr>
        <w:t>四案合计的账面冲击接近百亿元量级（41.48亿元+31亿元+5.50亿元+19.28亿元，own_calc，P11000；注意口径混合——其一为净亏损，其二为合同预计损失计提，其三为确认亏损，其四为账面风险敞口，并非同口径加总，仅用于感知量级）。更关键的是，这些企业都不是没有技术、没有人才的小公司，恰恰相反，它们拥有世界级的工程动员能力和资金保障（P11000）。为什么在国内能打硬仗的企业，却屡屡在海外项目上付出惊人代价（P11000）？</w:t>
      </w:r>
    </w:p>
    <w:p>
      <w:r>
        <w:rPr>
          <w:rFonts w:ascii="Calibri" w:hAnsi="Calibri" w:eastAsia="微软雅黑"/>
          <w:b/>
          <w:i w:val="0"/>
          <w:sz w:val="22"/>
        </w:rPr>
        <w:t>亏损在投标那一刻已经注定。</w:t>
      </w:r>
      <w:r>
        <w:rPr>
          <w:rFonts w:ascii="Calibri" w:hAnsi="Calibri" w:eastAsia="微软雅黑"/>
          <w:b w:val="0"/>
          <w:i w:val="0"/>
          <w:sz w:val="22"/>
        </w:rPr>
        <w:t xml:space="preserve"> 很多海外项目并不是干着干着才亏，而是在投标的那一刻，就已经注定亏损（P11000）。为了进入市场、维持规模或完成经营指标，部分企业明知工程量边界模糊、设计成熟度不足、属地数据缺失，仍然用乐观工效、理想采购价和最低风险准备金计算报价；先把项目拿下来，再幻想项目部通过管理"挤出利润"（P11000）。这一段话描述的投标行为模式，与第11.2节银皮书序言四种不适用情形（P11006）一一对应：工程量边界模糊对应"没有足够时间或资料核查业主要求"，设计成熟度不足对应"承包商要负责设计工作及将来不可预见的困难"，属地数据缺失对应"投标人未能调查的区域内的工程"。规则早已把风险写在序言里，投标决策却习惯性地视而不见。</w:t>
      </w:r>
    </w:p>
    <w:p>
      <w:r>
        <w:rPr>
          <w:rFonts w:ascii="Calibri" w:hAnsi="Calibri" w:eastAsia="微软雅黑"/>
          <w:b w:val="0"/>
          <w:i w:val="0"/>
          <w:sz w:val="22"/>
        </w:rPr>
        <w:t>而且，海外成本最容易失控的诱因，往往藏在看不见的地方：极端高温、斋月朝拜、签证、清关、材料认证、技术报批、真实人效、设备维修、备件周期，每一项都可能成为成本黑洞（P11000）。这些因素几乎没有一项属于传统"施工方案"的范畴，它们属于属地化运营知识——恰恰是设计院和施工企业都默认"到了再说"的那部分。海外履约的风险结构可以概括为两大类：项目交付风险（交易对手风险、现场和地质条件风险、建筑合同风险状况、融资可获得性和项目可融资性、材料价格上涨风险等）与管辖权风险（法律实体设立和许可程序、政治和社会稳定性、汇率风险、外汇管制、争议解决机制及执行问题等）（P11016）。国内项目的管辖权风险通常被视为一般性"商业风险"用公司政策兜底；国际项目的管辖权风险则因国家和地区而异，一旦发生可能对项目产生重大影响（P11016）。还必须记住这个行业的底色：建筑业在许多国家是破产案例最多的单一行业类别，承包商之间竞争激烈、利润率微薄，现金流是行业的生命线，即便最轻微的付款延迟也可能扰乱整个供应链（P11016）。</w:t>
      </w:r>
    </w:p>
    <w:p>
      <w:r>
        <w:rPr>
          <w:rFonts w:ascii="Calibri" w:hAnsi="Calibri" w:eastAsia="微软雅黑"/>
          <w:b/>
          <w:i w:val="0"/>
          <w:sz w:val="22"/>
        </w:rPr>
        <w:t>接口问题是被低估的放大器。</w:t>
      </w:r>
      <w:r>
        <w:rPr>
          <w:rFonts w:ascii="Calibri" w:hAnsi="Calibri" w:eastAsia="微软雅黑"/>
          <w:b w:val="0"/>
          <w:i w:val="0"/>
          <w:sz w:val="22"/>
        </w:rPr>
        <w:t xml:space="preserve"> 海外大型项目中，土建承包商未能按时完成基础施工导致设备安装承包商无法进场、进而引发连锁延误的情形屡见不鲜；研究表明，接口问题可能导致项目成本增加10-20%，进度延误超过30%（P11017）。随着项目规模扩大和技术要求提高，EPC模式"总价包干、单一责任主体"的局限性也在暴露——承包商为覆盖风险收取高额溢价、特定技术或地域条件下合适承包商稀缺、部分司法辖区税务政策限制合同结构（P11017）；因此许多业主开始采用EPCM（设计、采购与施工管理）或PMC（项目管理咨询）模式，由多个专业承包商分工作包执行，以分散风险、提高专业化水平，代价则是引入复杂的接口协调需求（P11017）。对以设计见长的企业，这其实是一条重要提示：业主正在把"多篮子"模式下的界面管理、设计统筹角色外包出来，设计院不必执念于扮演大而全的EPC总承包商，EPCM/PMC式的智力密集角色同样是对标国际的转型方向，且风险敞口结构完全不同。</w:t>
      </w:r>
    </w:p>
    <w:p>
      <w:r>
        <w:rPr>
          <w:rFonts w:ascii="Calibri" w:hAnsi="Calibri" w:eastAsia="微软雅黑"/>
          <w:b/>
          <w:i w:val="0"/>
          <w:sz w:val="22"/>
        </w:rPr>
        <w:t>风险要前置到投标评估，而不是后置于复盘。</w:t>
      </w:r>
      <w:r>
        <w:rPr>
          <w:rFonts w:ascii="Calibri" w:hAnsi="Calibri" w:eastAsia="微软雅黑"/>
          <w:b w:val="0"/>
          <w:i w:val="0"/>
          <w:sz w:val="22"/>
        </w:rPr>
        <w:t xml:space="preserve"> 国际工程投标在标书投出之前，应组织投标团队并邀请有经验的专家对标书进行全面评估，评审可分为技术标书评估、商务标书评估、其他风险评估三个方面（P11020）。技术标书评估聚焦工作范围（交工界限、质保期起算、维修期是三年一修还是四年一修）、项目执行计划、设计相关问题（设计深度和工作界面，必要时要求业主澄清）、采购问题（供应商短名单、中国融资下的中国成分要求、关键设备提前询价订货）、施工问题（季节性影响、当地资源、劳务签证配额）（P11020）。项目确定之前还要过两道资金关：一是业主或发包商对项目资金的保证——资金没落实的项目再好也没有意义，世界银行、亚洲银行等国际金融组织公开招标的项目资金一般有保证，政府项目则应注意是否已列入年度财政预算（P11023）；二是承包商自身的流动资金——已完工程量需现场工程师确认并经一定程序才能拨入工程款，这个时间差一般为六十天（P11023），加上预付款支付条件繁琐（有的项目要求设备到场、员工到场、建成临建设施并经监理确认后才支付预付款，P11023），启动资金的账必须提前算足。</w:t>
      </w:r>
    </w:p>
    <w:p>
      <w:r>
        <w:rPr>
          <w:rFonts w:ascii="Calibri" w:hAnsi="Calibri" w:eastAsia="微软雅黑"/>
          <w:b/>
          <w:i w:val="0"/>
          <w:sz w:val="22"/>
        </w:rPr>
        <w:t>所以呢？</w:t>
      </w:r>
      <w:r>
        <w:rPr>
          <w:rFonts w:ascii="Calibri" w:hAnsi="Calibri" w:eastAsia="微软雅黑"/>
          <w:b w:val="0"/>
          <w:i w:val="0"/>
          <w:sz w:val="22"/>
        </w:rPr>
        <w:t xml:space="preserve"> 四个巨亏案例的共同点不是"不懂工程"，而是"不懂在海外语境下给风险定价"。而这恰恰是设计院的相对优势所在：工程量边界模糊——工程量核算是设计院的基本功；设计成熟度不足——设计成熟度评估就是设计院的日常；技术报批、材料认证卡壳——报批路径设计属于设计管理能力的延伸。施工企业交过的学费，换来的是对"看不见的成本"的敬畏；设计院若能把设计前端的这种识别能力产品化、嵌入投标决策（在报价前出具设计风险清单与工程量边界报告），就能在海外联合体中占据不可替代的席位——不是出图最快的一方，而是让整张报价单最接近真实的一方。反之，如果设计院自己也陷入"先中标再说"的惯性，那么设计能力的优势将荡然无存，因为海外巨亏案例的第一张多米诺骨牌，往往正是"乐观工效、理想采购价、最低风险准备金"的报价（P11000）。</w:t>
      </w:r>
    </w:p>
    <w:p>
      <w:pPr>
        <w:pStyle w:val="Heading2"/>
      </w:pPr>
      <w:r>
        <w:t>11.4 海外实践样本：中东、北非与东南亚的三种打法</w:t>
      </w:r>
    </w:p>
    <w:p>
      <w:r>
        <w:rPr>
          <w:rFonts w:ascii="Calibri" w:hAnsi="Calibri" w:eastAsia="微软雅黑"/>
          <w:b w:val="0"/>
          <w:i w:val="0"/>
          <w:sz w:val="22"/>
        </w:rPr>
        <w:t>国际对标不能停留在榜单与规则，更要看真实项目里中国企业怎么进场、怎么卡位、怎么分工。本节选取三个地理样本——中东（油气与电力）、北非（炼化）、东南亚（电力）——它们分别代表资源国高端市场、欧美主导的联合体市场和新兴分散市场三种典型生态。</w:t>
      </w:r>
    </w:p>
    <w:p>
      <w:r>
        <w:rPr>
          <w:rFonts w:ascii="Calibri" w:hAnsi="Calibri" w:eastAsia="微软雅黑"/>
          <w:b/>
          <w:i w:val="0"/>
          <w:sz w:val="22"/>
        </w:rPr>
        <w:t>样本一：中东——从劳务分包到核心承包商的进阶。</w:t>
      </w:r>
      <w:r>
        <w:rPr>
          <w:rFonts w:ascii="Calibri" w:hAnsi="Calibri" w:eastAsia="微软雅黑"/>
          <w:b w:val="0"/>
          <w:i w:val="0"/>
          <w:sz w:val="22"/>
        </w:rPr>
        <w:t xml:space="preserve"> 中企在中东的油气项目主要分布在伊拉克、阿联酋、阿曼、沙特阿拉伯、卡塔尔五个国家（P11032）。在伊拉克这个中企中东油气合作最活跃的国家，中国石油参与了艾哈代布、鲁迈拉、哈法亚、西古尔纳等多个大型油田项目；2024年招标中，中企赢得13个项目中的10个（P11032）。在沙特，中企已深度嵌入天然气增产（贾夫拉气田）、国家管网扩建（MGS-3）及炼化一体化（延布炼厂）等国家级战略项目，累计获得EPC总承包及油田技术服务合同金额超百亿美元（P11032）。以MGS-3沙特天然气管网三期扩建为例，这是沙特"东气西送"国家级输气主干网络扩建，管线总长度约 4,153 km，项目整体投资约 120 亿美元级（P11032）。更值得玩味的是油服端的突破：在沙特阿美钻修井市场，以中石化中原工程、华北工程为代表的中国油服队伍，凭借HSE管理体系、设备搬迁效率及日费率表现，多支钻井队在阿美全球承包商综合业绩排名中包揽前三，并成功签署10年长周期钻井与修井合同（P11032）。</w:t>
      </w:r>
    </w:p>
    <w:p>
      <w:r>
        <w:rPr>
          <w:rFonts w:ascii="Calibri" w:hAnsi="Calibri" w:eastAsia="微软雅黑"/>
          <w:b w:val="0"/>
          <w:i w:val="0"/>
          <w:sz w:val="22"/>
        </w:rPr>
        <w:t>中东样本的"所以呢"在于：进入高端市场靠的不是一次低价中标，而是业绩排名驱动的长周期合同机制——先在小标段上做出全球前三的综合业绩，再用业绩换10年期合同（P11032）。这种"业绩复利"逻辑对设计院的启示是：海外第一单的作用不是赚钱，而是攒下可审计、可排名的履约记录；为此宁可选小而确定的项目，也不要为了规模去接边界模糊的大单。</w:t>
      </w:r>
    </w:p>
    <w:p>
      <w:r>
        <w:rPr>
          <w:rFonts w:ascii="Calibri" w:hAnsi="Calibri" w:eastAsia="微软雅黑"/>
          <w:b/>
          <w:i w:val="0"/>
          <w:sz w:val="22"/>
        </w:rPr>
        <w:t>样本二：沙特电力——工程、设备、金融在同一条项目链上找入口。</w:t>
      </w:r>
      <w:r>
        <w:rPr>
          <w:rFonts w:ascii="Calibri" w:hAnsi="Calibri" w:eastAsia="微软雅黑"/>
          <w:b w:val="0"/>
          <w:i w:val="0"/>
          <w:sz w:val="22"/>
        </w:rPr>
        <w:t xml:space="preserve"> 中国企业参与沙特Rabigh地区的电力建设已有多年基础：另一座Rabigh独立电站规划装机1204兆瓦，于2013年第二季度商业投运，工程总承包由山东电建三公司与东方电气联合体承担（P11028）。十年之后，角色已从承包商延伸到融资链：Rabigh 2电站扩建项目于2026年10月1日完成融资交割，拿到96.9亿里亚尔、约25.8亿美元的长期融资，规划装机容量达到2313.5兆瓦（P11028）；融资团集结了14家本地、区域及国际银行，包括利雅得银行、沙特国家银行、阿布扎比商业银行、汇丰，以及工商银行、民生银行香港分行和兴业银行北京分行（P11028）。项目由Al Morjan Two Electricity Company开发，ACWA Power与Saudi Energy各持有40%的有效权益（P11028）。融资落地之前，电站已经找好了长期买家：ACWA Power与沙特电力采购公司签署的购电协议合同规模115亿里亚尔、约30.7亿美元，购电期限为电站预期商业投运日起31年（P11028）；项目预计从2029年第二季度开始贡献财务收益（P11028）。</w:t>
      </w:r>
    </w:p>
    <w:p>
      <w:r>
        <w:rPr>
          <w:rFonts w:ascii="Calibri" w:hAnsi="Calibri" w:eastAsia="微软雅黑"/>
          <w:b w:val="0"/>
          <w:i w:val="0"/>
          <w:sz w:val="22"/>
        </w:rPr>
        <w:t>这座电站把"34年长贷"的期限结构摆到了中国工程企业面前：31年的购电协议提供了长期经营框架，约34年的贷款期限覆盖建设及较长的运营周期（P11028），这种安排让几十亿美元的建设支出能够与电站未来数十年的经营活动匹配，也对工程交付、运营效率和合同履约提出持续要求（P11028）。工程公司通过建设交付获得业务，银行通过长期融资进入项目运营周期，参与时间从施工阶段延伸到后续偿债安排（P11028）。设计院的角色机会嵌在这条链的中段：长期购电协议锁定的电价倒逼建设期的每一分成本优化，而设计优化正是降本空间最大的环节——沙特电力市场给设计院的不是一张总包合同，而是"用设计能力参与全生命周期经济性"的入口。</w:t>
      </w:r>
    </w:p>
    <w:p>
      <w:r>
        <w:rPr>
          <w:rFonts w:ascii="Calibri" w:hAnsi="Calibri" w:eastAsia="微软雅黑"/>
          <w:b/>
          <w:i w:val="0"/>
          <w:sz w:val="22"/>
        </w:rPr>
        <w:t>样本三：北非炼化——欧美牵头的联合体里，中企如何分工。</w:t>
      </w:r>
      <w:r>
        <w:rPr>
          <w:rFonts w:ascii="Calibri" w:hAnsi="Calibri" w:eastAsia="微软雅黑"/>
          <w:b w:val="0"/>
          <w:i w:val="0"/>
          <w:sz w:val="22"/>
        </w:rPr>
        <w:t xml:space="preserve"> 阿尔及利亚哈西·迈萨乌德炼油厂由阿尔及利亚国家石油公司（Sonatrach）主导建设，设计年加工能力约500万吨，是该国提升炼油能力的国家重点能源工程（P11022）。这个项目的中企参与格局生动展示了国际EPC市场的层级结构：EPC总承包联合体由西班牙TECNICAS REUNIDAS（占股51%）与中石化广州工程公司（占股49%）组成，后者承担设计、采购和整体项目管理（P11022）。合同变迁史本身就是一部风险教科书：2019年该项目最初授予TECNICAS REUNIDAS与韩国三星工程的联合体，合同额约37亿美元（P11022）；2024年底三星合同被取消后，由中国石化接手，新合同额增加至约40亿美元（P11022）。在联合体之下，陕西化建负责PKG 4标（135万吨/年连续重整等装置）的安装施工，中机建设承接核心公用区的PKG 2及PKG 5两个标段（P11022）。浙江建投子公司浙江省工业设备安装集团则于2026年10月签订机电安装标段一合同，金额约2.15亿美元（约人民币14.65亿元），项目暂定2026年12月开工，计划2030年1月实现机械竣工（P11022）——且公告明确提示该金额为暂定值，最终以实际结算为准，存在工程变更、安全生产、地缘环境、不可抗力等多重不确定性（P11022）。</w:t>
      </w:r>
    </w:p>
    <w:p>
      <w:r>
        <w:rPr>
          <w:rFonts w:ascii="Calibri" w:hAnsi="Calibri" w:eastAsia="微软雅黑"/>
          <w:b w:val="0"/>
          <w:i w:val="0"/>
          <w:sz w:val="22"/>
        </w:rPr>
        <w:t>北非样本的"所以呢"有三层。其一，欧美公司牵头的联合体并不排斥中企，但中企要按层级进场：设计采购管理（中石化广州工程）、核心装置安装（陕西化建）、公用区标段（中机建设）、机电标段（浙江安装），每个位置对应不同的利润率与风险特征（P11022）。其二，37亿美元到40亿美元的合同额变迁（P11022）说明国际大项目的主合同本身就在动荡，分包商的合同风险必须独立评估，不能默认总包稳则分包稳。其三，即便是机电安装标段，公告也罕见地列出了暂定值与多重不确定性提示（P11022）——越是成熟的国际玩家，越把风险声明当成合同的一部分；这与中国企业习惯的"中标即锁定"心态形成鲜明对照。</w:t>
      </w:r>
    </w:p>
    <w:p>
      <w:r>
        <w:rPr>
          <w:rFonts w:ascii="Calibri" w:hAnsi="Calibri" w:eastAsia="微软雅黑"/>
          <w:b/>
          <w:i w:val="0"/>
          <w:sz w:val="22"/>
        </w:rPr>
        <w:t>样本四：东南亚（印尼）——分散市场里，设计院握着推荐权。</w:t>
      </w:r>
      <w:r>
        <w:rPr>
          <w:rFonts w:ascii="Calibri" w:hAnsi="Calibri" w:eastAsia="微软雅黑"/>
          <w:b w:val="0"/>
          <w:i w:val="0"/>
          <w:sz w:val="22"/>
        </w:rPr>
        <w:t xml:space="preserve"> 2026年一季度，印尼国家电力公司（PLN）公布新一轮清洁能源投资计划——未来三年追加4.7GW煤电+燃气调峰机组，其中32%的EPC总承包与设备供应份额明确向中资企业开放（P11009）。但机会窗口的门并不好进：一家青岛电缆企业中标率仅11%，原因竟是把招标文件里的"PT PLN Persero"误读为单一主体，实际采购由旗下12家区域子公司分头执行（P11009）；2026年生效的电厂项目中，76%的技术选型由PLN下属"Center for Power Plant Engineering"主导，合同签署权却在区域分公司财务总监手中，真正影响设备选型的是本地合作方的首席工程师（P11009）。产业链卡位的数据更直接：跟踪2025年印尼落地的14个电厂项目发现，总包方（中电工程、上海电气等）自主采购设备占比仅39%（P11009）；PLN直属采购集中于主变、GIS等核心设备（占采购额52%）（P11009）；而设计院（如PT Virama Karya）对辅机、控制系统有强推荐权（P11009）。</w:t>
      </w:r>
    </w:p>
    <w:p>
      <w:r>
        <w:rPr>
          <w:rFonts w:ascii="Calibri" w:hAnsi="Calibri" w:eastAsia="微软雅黑"/>
          <w:b w:val="0"/>
          <w:i w:val="0"/>
          <w:sz w:val="22"/>
        </w:rPr>
        <w:t>融资结构决定本地化要求，本地化要求决定供应链布局：获亚投行（AIIB）贷款的项目，本地化采购要求≥45%（P11009）；获中国进出口银行支持的项目，设备国产化率超80%，但付款周期拉长至24个月（P11009）。市场纵深方面，2026年平台已收录印尼拟建电厂项目187个，招标前6-12个月才是黄金窗口（P11009）。印尼样本的"所以呢"最锋利的一条是：在采购权分散的市场，设计院对辅机与控制系统握有强推荐权（P11009）——这意味着设计院出海的价值未必体现在总包合同额上，而可能体现为通过设计话语权带动中国设备出口的"技术锚点"角色，其商业模型是设计费+设备供应链收益的复合结构，而非传统施工利润。</w:t>
      </w:r>
    </w:p>
    <w:p>
      <w:r>
        <w:rPr>
          <w:rFonts w:ascii="Calibri" w:hAnsi="Calibri" w:eastAsia="微软雅黑"/>
          <w:b/>
          <w:i w:val="0"/>
          <w:sz w:val="22"/>
        </w:rPr>
        <w:t>样本五：海外光伏EPC——一个已经"卷平"的市场给所有出海者上课。</w:t>
      </w:r>
      <w:r>
        <w:rPr>
          <w:rFonts w:ascii="Calibri" w:hAnsi="Calibri" w:eastAsia="微软雅黑"/>
          <w:b w:val="0"/>
          <w:i w:val="0"/>
          <w:sz w:val="22"/>
        </w:rPr>
        <w:t xml:space="preserve"> 以中国能建、中国电建及其下属设计院、电建公司、国际公司为代表的中国工程企业，已经从传统的海外火电、水电、输变电工程逐步进入大型光伏、光储一体化、风光储以及新能源基础设施市场，项目规模迅速由几十MW、几百MW进入1GW、2GW乃至GW级光储一体化（P11007）。菲律宾MTerra Solar、沙特Al Shuaibah、阿曼Al Kamil I和伊拉克Ratawi四个典型项目，分别代表了中国工程企业进入东南亚、中东和高风险新兴市场的不同路径（P11007）。但一个容易产生的误区是：大型海外光伏EPC合同额巨大，因此项目必然具有很高盈利能力（P11007）。事实是，光伏EPC已经成为高度成熟、价格透明、供应链全球化程度极高的工程市场：国际可再生能源署（IRENA）数据显示，2024年全球公用事业级光伏项目加权平均全投资成本已下降至约691美元/kW，比2023年下降11%（P11007）；光伏LCOE全球加权平均值约为0.043美元/kWh（P11007）。价格透明到这个程度，施工利润模式已经无法成立，海外光伏EPC的本质已转变为：设计优化利润+全球采购利润+项目管理效率利润+风险管理利润+索赔利润+本地化能力利润+O&amp;M长期利润（P11007）。结论朴素而残酷：对于缺乏国际合同管理、海外设计、风险定价和供应链管理能力的企业而言，低价中标一个500MW或1GW项目，很可能出现"收入巨大、利润微薄，甚至项目亏损"的情况（P11007）。需要如实说明：海外EPC合同通常不披露单项目成本、毛利和净利润，凡非上市公司公开披露数据的项目盈利信息只能标注为测算或情景分析，不能理解为项目实际利润（P11007）。</w:t>
      </w:r>
    </w:p>
    <w:p>
      <w:r>
        <w:rPr>
          <w:rFonts w:ascii="Calibri" w:hAnsi="Calibri" w:eastAsia="微软雅黑"/>
          <w:b w:val="0"/>
          <w:i w:val="0"/>
          <w:sz w:val="22"/>
        </w:rPr>
        <w:t>光伏样本的"所以呢"：当业主的成本知识与你一样透明时，利润只能来自业主看不到的地方——设计优化、税务架构、索赔管理、本地化缓冲。这四项全部是知识密集型环节，全部指向设计院的比较优势，也全部要求设计院把"设计"重新定义为"全链条经济性工程"而不仅是出图。</w:t>
      </w:r>
    </w:p>
    <w:p>
      <w:r>
        <w:rPr>
          <w:rFonts w:ascii="Calibri" w:hAnsi="Calibri" w:eastAsia="微软雅黑"/>
          <w:b/>
          <w:i w:val="0"/>
          <w:sz w:val="22"/>
        </w:rPr>
        <w:t>一组横切样本：全球订单切片里的设计院位置感。</w:t>
      </w:r>
      <w:r>
        <w:rPr>
          <w:rFonts w:ascii="Calibri" w:hAnsi="Calibri" w:eastAsia="微软雅黑"/>
          <w:b w:val="0"/>
          <w:i w:val="0"/>
          <w:sz w:val="22"/>
        </w:rPr>
        <w:t xml:space="preserve"> 如果说前几个样本讲的是"大项目怎么打"，中国对外承包工程商会《国际工程观察》2026年第38期披露的近期会员企业中标清单，则展示了全球市场上数量更多的"中等盘子"：中国港湾中标新加坡大士南林荫道高架桥设计施工总承包项目RC218标段（P11021）；江西国际公司中标莱索托A2公路升级改造项目，位于首都马塞卢、全长约14公里，是其在莱索托的首个国际工程承包项目（P11021）；中鼎国际签约尼泊尔帕塔莱亚延伸水渠项目，建设约13.5公里混凝土衬砌主延伸水渠，建成后将为凯拉利地区新增约17,500公顷农田的全天候灌溉能力（P11021）；山东高速路桥国际公司签约马来西亚柔佛州道路升级工程项目，合同金额约2.25亿元人民币（P11021）；中国电建签约沙特拉比格二期燃气联合循环电站项目，中国能建葛洲坝集团中标乌干达凯布岩大坝项目，中国能建中标老挝500兆瓦光伏总承包项目（P11021）；中国通号中标墨西哥AIFA-Pachuca铁路弱电总承包项目，海油工程斩获卡塔尔MM EPIC2项目，中国路桥中标科特迪瓦达拉阔卡哈至蒂莫罗卡哈高速公路项目（P11021）。</w:t>
      </w:r>
    </w:p>
    <w:p>
      <w:r>
        <w:rPr>
          <w:rFonts w:ascii="Calibri" w:hAnsi="Calibri" w:eastAsia="微软雅黑"/>
          <w:b w:val="0"/>
          <w:i w:val="0"/>
          <w:sz w:val="22"/>
        </w:rPr>
        <w:t>这份清单对设计院的价值不在单笔金额，而在结构信号：其一，订单地理高度分散——东南亚、非洲、中东、拉美同时放量，市场进入不必扎堆单一区域（P11021）；其二，模式光谱很宽——从设计施工总承包（DB）、EPC到弱电专项总承包并存，设计院完全可以按自身能力选择切入点，而非一步登天做大型EPC（P11021）；其三，省级企业（江西国际、山东高速路桥）与央企同榜，说明海外市场的分层足够细，区域深耕者也有稳定生态位（P11021）。设计院制定出海地图时，应从这类订单切片反推：哪些国别、哪些专业、哪些交付模式上，自己能形成持续中标记录。</w:t>
      </w:r>
    </w:p>
    <w:p>
      <w:r>
        <w:rPr>
          <w:rFonts w:ascii="Calibri" w:hAnsi="Calibri" w:eastAsia="微软雅黑"/>
          <w:b/>
          <w:i w:val="0"/>
          <w:sz w:val="22"/>
        </w:rPr>
        <w:t>贯穿三个样本的通用功课：分包管理。</w:t>
      </w:r>
      <w:r>
        <w:rPr>
          <w:rFonts w:ascii="Calibri" w:hAnsi="Calibri" w:eastAsia="微软雅黑"/>
          <w:b w:val="0"/>
          <w:i w:val="0"/>
          <w:sz w:val="22"/>
        </w:rPr>
        <w:t xml:space="preserve"> 大型EPC项目的分包商数量可多达几十个甚至数百个，分包几乎贯穿项目执行全过程，分包管理直接决定项目成败，也在一定程度上体现工程公司的精细化管理水平（P11015）。分包产生的原因可归为三类：一是自己"不能"做——受资质、许可、限制协议、专利保护等准入限制，如防火材料需通过UL认证、焊工需取得AWS资格认证，这类分包商常处于卖方市场的强势地位，总承包商受"技术制约"甚至"要挟"的风险较大；二是自己"不会"做——设计型工程公司将施工任务全部分包给施工企业，施工型工程公司将设计分包给设计院；三是自己能做且会做，但没有足够资源或成本太高（P11015）。若项目所在地对劳务输入有严格限制，或设计、制造、施工要采用欧美或当地标准，国内选商余地就比较小，风险因此加大（P11015）。这张三分法清单，实际上就是设计院组织海外项目资源结构的诊断模板：第一类要提前锁定（强势分包商早订早便宜），第二类要认清自身形态对症补强（设计型院必配施工管理伙伴），第三类要做自制/外购的量化比选（P11015）。</w:t>
      </w:r>
    </w:p>
    <w:p>
      <w:pPr>
        <w:pStyle w:val="Heading2"/>
      </w:pPr>
      <w:r>
        <w:t>11.5 设计院的国际化能力底座：标准、人才、资金与组织节奏</w:t>
      </w:r>
    </w:p>
    <w:p>
      <w:r>
        <w:rPr>
          <w:rFonts w:ascii="Calibri" w:hAnsi="Calibri" w:eastAsia="微软雅黑"/>
          <w:b w:val="0"/>
          <w:i w:val="0"/>
          <w:sz w:val="22"/>
        </w:rPr>
        <w:t>前面四节回答了"市场在哪里、规则是什么、学费有多贵、别人怎么做"。这一节回答管理层最实际的问题：现在回去以后，先建什么能力、先动哪一步。</w:t>
      </w:r>
    </w:p>
    <w:p>
      <w:r>
        <w:rPr>
          <w:rFonts w:ascii="Calibri" w:hAnsi="Calibri" w:eastAsia="微软雅黑"/>
          <w:b/>
          <w:i w:val="0"/>
          <w:sz w:val="22"/>
        </w:rPr>
        <w:t>第一块底座：跨标准体系的设计执行能力。</w:t>
      </w:r>
      <w:r>
        <w:rPr>
          <w:rFonts w:ascii="Calibri" w:hAnsi="Calibri" w:eastAsia="微软雅黑"/>
          <w:b w:val="0"/>
          <w:i w:val="0"/>
          <w:sz w:val="22"/>
        </w:rPr>
        <w:t xml:space="preserve"> 海外项目越做越多，标准适配越来越关键——美标、欧标、英标等国际标准适配不足，规范体系认知混乱，中外设计逻辑区分不清，不熟悉项目所在地图纸审查要求、第三方海外审图应答缺乏标准思路，这些问题直接影响国际总包项目的设计执行效率与质量（P11024）。头部电力设计院已经把补课组织化了：中国能建集团下属某省设计院（具备工程咨询、工程勘察、工程设计"三综甲"资质）的《2026年国际工程土建专业设计能力提升专项培训》于9月9日正式开班，来自电网、发电、新能源、综合能源、勘测、国际公司等分子公司的土建专业设计骨干参训，将用6个月时间系统攻克中美欧工程标准体系的认知与应用难题（P11024）。课程设计的颗粒度值得借鉴：从标准编制机构与运行模式切入建立三大体系"从哪来、怎么用"的整体框架（P11024）；逐项对比国标（GB 50009、GB 50011等）与美标（ASCE、ACI等）、欧标（EN 1990等）的差异，并向上追溯到极限状态设计、分项系数、可靠度校准等设计方法论底层（P11024）；覆盖海外EPC合同中的标准选用条款谈判、多标准并行下的条文冲突处置、第三方海外审图应对策略（P11024）。</w:t>
      </w:r>
    </w:p>
    <w:p>
      <w:r>
        <w:rPr>
          <w:rFonts w:ascii="Calibri" w:hAnsi="Calibri" w:eastAsia="微软雅黑"/>
          <w:b w:val="0"/>
          <w:i w:val="0"/>
          <w:sz w:val="22"/>
        </w:rPr>
        <w:t>标准能力的更高阶形态是"标准出海"。中机国际不仅承接工程，还通过主编国家标准（如《低压配电技术标准》GB/T 50054-2025）并启动中译英工作，推动中国标准与IEC国际标准接轨，以打破对外工程承包的"技术标准壁垒"（P11033）。当中国标准开始进入东道国的规范体系，设计院手里的就不只是项目竞争力，还有规则话语权——这是从"按别人的标准画图"到"让别人按你的标准招标"的质变路径。</w:t>
      </w:r>
    </w:p>
    <w:p>
      <w:r>
        <w:rPr>
          <w:rFonts w:ascii="Calibri" w:hAnsi="Calibri" w:eastAsia="微软雅黑"/>
          <w:b/>
          <w:i w:val="0"/>
          <w:sz w:val="22"/>
        </w:rPr>
        <w:t>第二块底座：国际业务的组织与人才机制。</w:t>
      </w:r>
      <w:r>
        <w:rPr>
          <w:rFonts w:ascii="Calibri" w:hAnsi="Calibri" w:eastAsia="微软雅黑"/>
          <w:b w:val="0"/>
          <w:i w:val="0"/>
          <w:sz w:val="22"/>
        </w:rPr>
        <w:t xml:space="preserve"> 设计咨询企业出海的人才缺口是全链条的。中国对外承包工程商会培训中心承办的中国航空规划设计研究总院2026年国际业务经营骨干培训班，该院本部及所属各单位经营骨干共计40余人参加培训，课程覆盖国内设计咨询企业国际化转型路径、商业模式创新及组织能力建设，以及国际工程投资规划、设计咨询、施工管理服务、运营维护等全产业链经营核心内容，并深度解析涉外项目合同磋商、商务签约、履约管控及全流程风险防控关键要点（P11029）。一家航空工业系统的设计总院把"国际化转型路径、商业模式、组织能力"列为经营骨干必修课（P11029），说明设计院出海的瓶颈已被行业普遍认定为经营体系问题而非技术问题。组织侧的配套要求在更早的分析中已经点明：中国企业要制定明确的国际化经营战略，在组织管控、风险控制、项目管理、人才战略、激励考核等方面适应国际经营，同时向产业链中高端环节、高附加值服务转型（P11001）。</w:t>
      </w:r>
    </w:p>
    <w:p>
      <w:r>
        <w:rPr>
          <w:rFonts w:ascii="Calibri" w:hAnsi="Calibri" w:eastAsia="微软雅黑"/>
          <w:b/>
          <w:i w:val="0"/>
          <w:sz w:val="22"/>
        </w:rPr>
        <w:t>第三块底座：设计院牵头总承包的组织演练。</w:t>
      </w:r>
      <w:r>
        <w:rPr>
          <w:rFonts w:ascii="Calibri" w:hAnsi="Calibri" w:eastAsia="微软雅黑"/>
          <w:b w:val="0"/>
          <w:i w:val="0"/>
          <w:sz w:val="22"/>
        </w:rPr>
        <w:t xml:space="preserve"> 设计院能否站在EPC牵头位置，是转型成败的试金石，而国内的常态化演练已经提供了参照系：中国电建旗下北京院、华东院、成都院参与拿下的合同额合计约61.33亿元（P11027）——北京院牵头乌拉特中旗合金固态储氢材料生产项目一期工程总承包，联合云南建投第一建设有限公司、中铁十七局集团第二工程有限公司等实施，投标报价约32.55亿元（P11027）；华东院（联合天津电建）拿下120万千瓦风电项目北部风场区标段一约16.7亿元，成都院（联合水电十局）拿下南部风场区标段二约12.08亿元（P11027）。这套"设计院牵头、把不同专业施工力量拼起来"的组织模式（P11027）在国内跑通之后，向海外复制时改变的只是合同语言与风险参数，组织内核（设计主导的资源编排能力）是同一套。设计院管理层可以把这条当作校准线：如果在国内尚不能牵头组织32.55亿元级的总承包联合体（P11027），直接出海牵头国际EPC的步子就迈得过大，更稳妥的路径是先在国际项目中担任设计/设计管理分包或联合体成员，积累两到三个完整履约周期再谈牵头。</w:t>
      </w:r>
    </w:p>
    <w:p>
      <w:r>
        <w:rPr>
          <w:rFonts w:ascii="Calibri" w:hAnsi="Calibri" w:eastAsia="微软雅黑"/>
          <w:b/>
          <w:i w:val="0"/>
          <w:sz w:val="22"/>
        </w:rPr>
        <w:t>第四块底座：资金与现金流纪律。</w:t>
      </w:r>
      <w:r>
        <w:rPr>
          <w:rFonts w:ascii="Calibri" w:hAnsi="Calibri" w:eastAsia="微软雅黑"/>
          <w:b w:val="0"/>
          <w:i w:val="0"/>
          <w:sz w:val="22"/>
        </w:rPr>
        <w:t xml:space="preserve"> 海外项目的资金账要按三条线同时测算：其一，启动期——海外EPC项目启动阶段资金需求约占总投资额的25%-30%，预付款需覆盖设备定金（设备总价的15%-20%）、设计团队薪酬及前期履约保证金（P11014）；其二，周转期——工程款从现场工程师确认到拨入的时间差一般为六十天（P11023），叠加预付款支付条件繁琐（设备到场、临建完成并经监理确认后才支付等情形，P11023），账面盈利与现金生存是两回事；其三，融资期——主流融资渠道包括银行项目贷款、出口信用保险项下融资（如中国信保承保项目可获利率优惠）、供应链金融三类（P11014）。三条线合成的结论是：海外业务规模必须与资金承载力同规划，用国内"垫资换规模"的惯性去跑海外项目，一个项目的现金流断裂就足以拖垮整个院的转型进程。</w:t>
      </w:r>
    </w:p>
    <w:p>
      <w:r>
        <w:rPr>
          <w:rFonts w:ascii="Calibri" w:hAnsi="Calibri" w:eastAsia="微软雅黑"/>
          <w:b/>
          <w:i w:val="0"/>
          <w:sz w:val="22"/>
        </w:rPr>
        <w:t>第五块底座：把DBB习惯彻底留在国内。</w:t>
      </w:r>
      <w:r>
        <w:rPr>
          <w:rFonts w:ascii="Calibri" w:hAnsi="Calibri" w:eastAsia="微软雅黑"/>
          <w:b w:val="0"/>
          <w:i w:val="0"/>
          <w:sz w:val="22"/>
        </w:rPr>
        <w:t xml:space="preserve"> 最后仍要回到那句最朴素的管理箴言：中国企业走出去的过程中，最大的障碍往往不是技术能力不足，而是管理思维和风险意识的转变——不能把国内DBB模式下的习惯做法照搬到海外，不能用先中标再说的侥幸心理对待EPC投标，更不能用差不多就行的态度对待合同和策划（P11008）。对设计院而言，这句话的具体含义是：海外业务的考核指标不能只有新签合同额，必须有毛利、现金流、风险准备金三张约束表；投标授权不能沿用国内"院长拍板"的速度，必须给合同评审留出制度时间；组织上必须让商务、法律、税务、融资人员进入投标团队的一线，而不是在签约后才登场。</w:t>
      </w:r>
    </w:p>
    <w:p>
      <w:r>
        <w:rPr>
          <w:rFonts w:ascii="Calibri" w:hAnsi="Calibri" w:eastAsia="微软雅黑"/>
          <w:b/>
          <w:i w:val="0"/>
          <w:sz w:val="22"/>
        </w:rPr>
        <w:t>所以呢？</w:t>
      </w:r>
      <w:r>
        <w:rPr>
          <w:rFonts w:ascii="Calibri" w:hAnsi="Calibri" w:eastAsia="微软雅黑"/>
          <w:b w:val="0"/>
          <w:i w:val="0"/>
          <w:sz w:val="22"/>
        </w:rPr>
        <w:t xml:space="preserve"> 五块底座的建成顺序建议是：标准能力与投标评估机制先行（它们决定能不能安全地拿到项目），资金纪律与组织演练居中（它们决定拿到项目后能不能活下来），人才梯队与标准出海贯穿长期（它们决定五年后你是国际玩家还是过客）。海外转型没有速胜方案，但有明确的止损纪律——银皮书序言的四种情形（P11006）、雇主资金未落实的项目（P11023）、以及自己看不懂的合同条款，三者任占其一，都应当是设计院投标决策会上的一票否决项。</w:t>
      </w:r>
    </w:p>
    <w:p>
      <w:pPr>
        <w:pStyle w:val="Heading2"/>
      </w:pPr>
      <w:r>
        <w:t>本章小结与盲区</w:t>
      </w:r>
    </w:p>
    <w:p>
      <w:r>
        <w:rPr>
          <w:rFonts w:ascii="Calibri" w:hAnsi="Calibri" w:eastAsia="微软雅黑"/>
          <w:b/>
          <w:i w:val="0"/>
          <w:sz w:val="22"/>
        </w:rPr>
        <w:t>小结。</w:t>
      </w:r>
      <w:r>
        <w:rPr>
          <w:rFonts w:ascii="Calibri" w:hAnsi="Calibri" w:eastAsia="微软雅黑"/>
          <w:b w:val="0"/>
          <w:i w:val="0"/>
          <w:sz w:val="22"/>
        </w:rPr>
        <w:t xml:space="preserve"> 本章用国际坐标、规则体系、失败案例与实践样本四条线索，完成了设计院海外转型的对标扫描：第一，国内建筑业总产值2025年首次下降5.4%与对外承包工程营业额增长8.1%的剪刀差（P11019），把出海从可选项变成收入结构问题；但中冶"全球第7名、国际第37名、国际收入占比约5.1%"的倒挂（P11003）提醒我们，体量不等于国际化，设计院应以中铝国际（海外新签占比47.3%、海外毛利率15%，P11004）式的专业纵深路径切入。第二，FIDIC银皮书既是游戏规则也是风险地图，序言四种不适用情形（P11006）与第5.1款的设计责任分配（P11005）构成投标决策的硬门槛，条款层面的21天审图、暂列金额、预付款与保函（P11013、P11018、P11014）每一个都直接映射现金流。第三，四个十亿级巨亏案例（P11000）证明亏损大多在投标时已注定，设计院的核心机会恰在于把设计成熟度与工程量边界识别能力产品化，嵌入投标风险定价。第四，中东的业绩复利（阿美钻修井排名包揽前三并签10年长约，P11032）、北非的联合体分级卡位（中石化广州工程在TR牵头的联合体中持股49%，P11022）、印尼的设计推荐权（设计院对辅机与控制系统有强推荐权，P11009）三种打法表明：海外市场给设计院的位置不止"总包"一个，技术锚点、设计管理、界面统筹同样是高价值席位。</w:t>
      </w:r>
    </w:p>
    <w:p>
      <w:r>
        <w:rPr>
          <w:rFonts w:ascii="Calibri" w:hAnsi="Calibri" w:eastAsia="微软雅黑"/>
          <w:b/>
          <w:i w:val="0"/>
          <w:sz w:val="22"/>
        </w:rPr>
        <w:t>盲区（证据未覆盖处，如实声明）。</w:t>
      </w:r>
      <w:r>
        <w:rPr>
          <w:rFonts w:ascii="Calibri" w:hAnsi="Calibri" w:eastAsia="微软雅黑"/>
          <w:b w:val="0"/>
          <w:i w:val="0"/>
          <w:sz w:val="22"/>
        </w:rPr>
        <w:t xml:space="preserve"> 其一，海外EPC项目的真实利润率无法核实——海外EPC合同通常不披露单项目成本、毛利和净利润，非上市公司公开披露的盈利信息只能作测算或情景分析处理（P11007），本章所有案例均未给出可验证的项目级利润数据，买方不应据本章推断"海外EPC利润率高"或"低"。其二，设计院系企业海外本地化策略的一手细节缺失——针对首钢国际的两轮学术检索均确认，没有直接证据表明其通过雇佣当地员工、采用当地分包商等本地化策略应对合规与运营风险（P11030、P11031），本章只能给出印尼设计院推荐权（P11009）等间接证据，设计院海外属地化用工与分包的量化效果仍是空白。其三，FIDIC各色皮书的完整条款对照未能覆盖——证据库仅含银皮书第13.5款、第5.1款、序言及橙皮书第14.5款、红皮书与黄皮书第13.5款等条目级信息（P11018、P11005、P11006），不同版本合同条件的系统性差异、以及国际仲裁条款的深度比较，需要另行专项研究。其四，欧美设计咨询公司转型EPC的对照样本缺失——证据库中的国际对标对象（布伊格、柏克德、豪赫蒂夫）均为承包商路径（P11001），AECOM、Jacobs等设计咨询公司如何完成总承包转型的财务与组织数据未入库，"设计咨询出海"的国际对照组暂付阙如。其五，区域风险的国别颗粒度不足——巨亏案例均为匿名化表述（TJ/ZY/ZT/ZJ公司，P11000），无法对应具体国别做风险评级；中东油气、印尼电力的正面数据（P11032、P11009）也多来自单一信源，跨国交叉验证不足，采购决策前应按国别补充尽调。</w:t>
      </w:r>
    </w:p>
    <w:p>
      <w:r>
        <w:rPr>
          <w:rFonts w:ascii="Calibri" w:hAnsi="Calibri" w:eastAsia="微软雅黑"/>
          <w:b w:val="0"/>
          <w:i w:val="0"/>
          <w:sz w:val="22"/>
        </w:rPr>
        <w:t>---</w:t>
      </w:r>
    </w:p>
    <w:p>
      <w:pPr>
        <w:pStyle w:val="Heading1"/>
      </w:pPr>
      <w:r>
        <w:t>第12章 2026-2029 预判：设计院转型的十二个确定性趋势</w:t>
      </w:r>
    </w:p>
    <w:p>
      <w:pPr>
        <w:ind w:left="454"/>
      </w:pPr>
      <w:r>
        <w:rPr>
          <w:rFonts w:ascii="Calibri" w:hAnsi="Calibri" w:eastAsia="微软雅黑"/>
          <w:b w:val="0"/>
          <w:i w:val="0"/>
          <w:color w:val="666666"/>
          <w:sz w:val="22"/>
        </w:rPr>
        <w:t>预判不靠预言，靠基线。本章把2026-2029年设计院转型将遭遇的十二个确定性趋势逐一拆成三件套：已发生且带证据锚号的基线事实、由此展开的推演逻辑、以及专门用来推翻自己的反证检验。读者可以不同意结论，但每一步都有账可查。</w:t>
      </w:r>
    </w:p>
    <w:p>
      <w:pPr>
        <w:pStyle w:val="Heading2"/>
      </w:pPr>
      <w:r>
        <w:t>12.1 需求侧：市场结构的三条确定性主线</w:t>
      </w:r>
    </w:p>
    <w:p>
      <w:r>
        <w:rPr>
          <w:rFonts w:ascii="Calibri" w:hAnsi="Calibri" w:eastAsia="微软雅黑"/>
          <w:b w:val="0"/>
          <w:i w:val="0"/>
          <w:sz w:val="22"/>
        </w:rPr>
        <w:t>未来三年，设计院决策层最不需要争论的问题，是「市场还会不会回到从前」。答案是不会。需求侧的三个趋势——传统设计市场总量收缩、存量更新成为最大确定性赛道、能源与算力新基建打开结构性增量窗口——已经在政策文本与经营数据中显形。这三条主线合起来构成一个判断：设计院的市场选择空间正在被外力重新划定，转型不是战略选项，而是入场条件。三条主线的证据等级并不相同：收缩来自行业主管部门的正式定调，确定性最高；城市更新与能源新基建来自已印发的规划文本与投资盘子，确定性次之；具体到每家设计院能分到多少，取决于其生态位与能力，这正是本章后九个趋势要回答的问题。</w:t>
      </w:r>
    </w:p>
    <w:p>
      <w:pPr>
        <w:pStyle w:val="Heading3"/>
      </w:pPr>
      <w:r>
        <w:t>趋势一：传统设计市场总量收缩从周期波动变为长期常态</w:t>
      </w:r>
    </w:p>
    <w:p>
      <w:r>
        <w:rPr>
          <w:rFonts w:ascii="Calibri" w:hAnsi="Calibri" w:eastAsia="微软雅黑"/>
          <w:b/>
          <w:i w:val="0"/>
          <w:sz w:val="22"/>
        </w:rPr>
        <w:t>基线事实。</w:t>
      </w:r>
      <w:r>
        <w:rPr>
          <w:rFonts w:ascii="Calibri" w:hAnsi="Calibri" w:eastAsia="微软雅黑"/>
          <w:b w:val="0"/>
          <w:i w:val="0"/>
          <w:sz w:val="22"/>
        </w:rPr>
        <w:t xml:space="preserve"> 住建部在2026年9月18日国新办「开局起步『十五五』」发布会上把行业形势概括为「两个转向、两个转变、三化转型」：城镇化正从快速增长期转向稳定发展期，城市发展正从大规模增量扩张阶段转向存量提质增效为主的阶段，房地产市场供求关系发生重大变化并进入存量时代（P12005）。行业培训市场上，对建筑企业当前困境的标准表述已经固化为「项目少、回款难、利润薄、转型难」四大难题，并概括出量减质升、动能转化、结构优化三大变局（P12009）。细分行业的收缩更早显形：中东部水电资源基本开发完毕，常规水电建设重点集中在西南地区和大江大河上游，水电新开工项目的勘察设计市场持续减少（P12008）。多个设计院语料库的时间钻探结果显示，2018年前后经营类信息密度低且散乱，而疑似经营拐点集中出现在2025年——中国电子工程设计院语料覆盖13个年份、2025年信息密度由2升至6（P12014），湖南院语料覆盖十一个年份、2025年由7升至12（P12015），上海院语料覆盖十五个年份、2025年由2升至7（P12016）——拐点叠加而非单点，说明2025年是全行业经营逻辑切换的公共年份，而非个别企业的波动。管理侧的信号同样密集：行业课程体系把「工程总承包管理」拆成16个主题系统开讲，其中「设计院工程总承包业务转型」单列为第五主题（P12034）——培训市场的课程化程度是行业议题成熟度的晴雨表，当一个转型课题被做成标准化课程向全行业售卖时，说明先行者已完成方法萃取、后来者正批量入场，窗口期正从「早做早受益」切换到「晚做没位置」。</w:t>
      </w:r>
    </w:p>
    <w:p>
      <w:r>
        <w:rPr>
          <w:rFonts w:ascii="Calibri" w:hAnsi="Calibri" w:eastAsia="微软雅黑"/>
          <w:b/>
          <w:i w:val="0"/>
          <w:sz w:val="22"/>
        </w:rPr>
        <w:t>推演逻辑。</w:t>
      </w:r>
      <w:r>
        <w:rPr>
          <w:rFonts w:ascii="Calibri" w:hAnsi="Calibri" w:eastAsia="微软雅黑"/>
          <w:b w:val="0"/>
          <w:i w:val="0"/>
          <w:sz w:val="22"/>
        </w:rPr>
        <w:t xml:space="preserve"> 增量收缩若只是周期，设计院的理性策略是熬；若是长期常态，理性策略就是换赛道。判据在于驱动因素的属性：城镇化阶段转换与房地产存量化是人口结构与资产存量决定的慢变量，五年内不可逆（P12005）。由此推演，2026-2029年以新建工程量为收入基数的传统设计业务，将经历持续的单价与总量双重压力，费率竞争会把「画图」环节的利润压到成本线附近；设计费在项目全生命周期成本中的占比本来就低，设计院靠图纸规模扩张维持增长的模型将普遍失效。对决策者而言，「所以呢」的答案是：任何以「等市场回暖」为前提的三年规划都应推倒重做，预算与人才配置必须按收缩常态重新校准。压缩的具体路径亦有政策坐标。住建部给建筑业转型排出的重点工作中，「激发市场活力」一条直指行业顽疾：改革完善市场准入、招投标、工程价款结算等基本制度，按照国家统一大市场建设要求，综合整治建筑业「内卷式」竞争等难点问题，引导企业从过去的重规模、拼价格，转向重品质、拼实力（P12005）。这段表述对设计院有两层含义：其一，工程价款结算制度改革将逐步松动「垫资—拖欠」链条，回款环境的改善有政策可依；其二，「内卷式」整治意味着以低价换规模的路被制度性封堵，未来三年的增长必须来自品质与实力，而非价格。</w:t>
      </w:r>
    </w:p>
    <w:p>
      <w:r>
        <w:rPr>
          <w:rFonts w:ascii="Calibri" w:hAnsi="Calibri" w:eastAsia="微软雅黑"/>
          <w:b/>
          <w:i w:val="0"/>
          <w:sz w:val="22"/>
        </w:rPr>
        <w:t>反证检验。</w:t>
      </w:r>
      <w:r>
        <w:rPr>
          <w:rFonts w:ascii="Calibri" w:hAnsi="Calibri" w:eastAsia="微软雅黑"/>
          <w:b w:val="0"/>
          <w:i w:val="0"/>
          <w:sz w:val="22"/>
        </w:rPr>
        <w:t xml:space="preserve"> 反方最强的证据是电力设计板块的逆势扩容：2026年初国家电网公布「十五五」（2026-2030年）固定资产投资规划，总投资规模达4万亿元，较「十四五」增长约40%，年均投入约8000亿元（P12032）。这是否推翻「总量收缩」？不推翻，但精确化了边界——收缩是结构性而非全面性：电网、新能源等系统重构型需求在扩张，而房屋建筑、常规水电、市政新建等存量驱动型需求在收缩（P12008、P12032）。真正的风险在于把结构性扩张误读为普遍回暖，用电力板块的订单景气去论证建筑板块的复苏；两类设计院在未来三年将活在两个不同的市场里，混淆两者的判断框架才是最大风险源。一个可操作的自查方法：把本院在手订单按「系统重构型」与「存量维修型」分桶统计，若后者占比持续上升而前者无新增，说明本院实际活在收缩区而非扩张区，资源配置应立即向趋势二、三所指的赛道倾斜。</w:t>
      </w:r>
    </w:p>
    <w:p>
      <w:pPr>
        <w:pStyle w:val="Heading3"/>
      </w:pPr>
      <w:r>
        <w:t>趋势二：城市更新与存量提质取代新建，成为设计院最大的确定性赛道</w:t>
      </w:r>
    </w:p>
    <w:p>
      <w:r>
        <w:rPr>
          <w:rFonts w:ascii="Calibri" w:hAnsi="Calibri" w:eastAsia="微软雅黑"/>
          <w:b/>
          <w:i w:val="0"/>
          <w:sz w:val="22"/>
        </w:rPr>
        <w:t>基线事实。</w:t>
      </w:r>
      <w:r>
        <w:rPr>
          <w:rFonts w:ascii="Calibri" w:hAnsi="Calibri" w:eastAsia="微软雅黑"/>
          <w:b w:val="0"/>
          <w:i w:val="0"/>
          <w:sz w:val="22"/>
        </w:rPr>
        <w:t xml:space="preserve"> 2026年5月，国务院印发《城市更新「十五五」规划》（国发〔2026〕12号），这是国家层面首个城市更新领域专项规划，部署6方面23项重点任务和14项重大工程，首次构建全国统一、可横向比较的10项考核体系（P12003、P12004）。政策演进五年走完三级跳：2021年3月《「十四五」规划纲要》首次提出「实施城市更新行动」，2026年3月《「十五五」规划纲要》延续该表述并在管网改造等单项提出量化目标，2026年5月专项规划出台并构建完整量化指标体系（P12003、P12004）。考核维度同步扩容，「十四五」量化重心集中于老旧小区改造，「十五五」将产业空间（老旧街区厂区）、文化空间（历史建筑）、安全空间（地下管网、应急避难）、数字空间（数字化率）同步纳入考核（P12003、P12004）。定位也发生根本调整：城市更新从改善居住条件的民生工程转向「培育壮大城市发展新动能」的增长引擎，在房地产开发投资持续下行的周期中被赋予填补固定资产投资缺口的战略使命（P12003、P12004）。制度链条的四个维度值得决策者细读：发展定位维度确立增长引擎属性，实施机制维度决定项目由谁统筹、按什么程序推进，投融资维度决定资金从哪里来、按什么逻辑回流，安全管理制度维度则把地下管网与房屋安全纳入长效管理（P12003、P12004）。对设计院而言，投融资维度的影响最直接——资金逻辑变了，可研报告与实施方案里的财务评价方法就得跟着变，只会按传统投资估算出表的团队将无法满足业主需求。与城市更新并行的还有「好房子」议程：住建部明确「十五五」时期要做三件事——把新房子建好、把老房子改好、把服务做好（P12005），其中「把服务做好」包括建立全生命周期的房屋安全管理制度、实施物业服务质量提升行动（P12005），这为设计院把服务链条延伸到房屋安全管理与物业咨询提供了政策入口。生态环保侧的同类信号是EOD模式从「大而全」转向「小而美」：2021年、2022年两批共94个国家级试点先行探路，2025年《关于进一步推进生态环境导向的开发（EOD）模式工作的通知》明确倡导项目复杂程度低、规模适中、收益具有确定性的「小而美」模式（P12028）。规划学界对主战场迁移的判断更直接：城市建设时代的主战场是一二级土地市场、主导者是城市政府，进入城市更新运营时代，主战场已转向二三级土地市场、主导者转为相关产权人（P12023）。</w:t>
      </w:r>
    </w:p>
    <w:p>
      <w:r>
        <w:rPr>
          <w:rFonts w:ascii="Calibri" w:hAnsi="Calibri" w:eastAsia="微软雅黑"/>
          <w:b/>
          <w:i w:val="0"/>
          <w:sz w:val="22"/>
        </w:rPr>
        <w:t>推演逻辑。</w:t>
      </w:r>
      <w:r>
        <w:rPr>
          <w:rFonts w:ascii="Calibri" w:hAnsi="Calibri" w:eastAsia="微软雅黑"/>
          <w:b w:val="0"/>
          <w:i w:val="0"/>
          <w:sz w:val="22"/>
        </w:rPr>
        <w:t xml:space="preserve"> 考核体系决定财政资金流向，财政资金流向决定设计订单结构。10项全国统一考核指标（P12003）意味着城市更新项目从「做完算数」变为「比着做」，设计院的服务内容随之从方案与施工图，扩展到指标测算、更新单元策划、产权关系梳理与运营前置策划。推演到2026-2029年：第一，城市更新设计订单将保持政策刚性，是设计院所有业务线中确定性最高的一条；第二，订单形态碎片化、小型化、高复合化——一个片区里同时装着管线、危房、产业空间与数字治理，单一专业设计院难以独立承接；第三，项目评估标准从工程量尺度转向功能与运营尺度（P12003），设计院若仍以图纸交付为终点，将拿不到后续运营期的延伸合同。「所以呢」：设计院应把城市更新当作组织问题而非业务问题来抓——需要的是跨专业集成单元与懂运营指标的设计团队，而不是在传统所室上挂牌。订单形态的变化还会重塑协作网络：更新项目里历史建筑、地下管网、数字化率等考核项（P12003）分别对应保护设计、管线探测、智慧城市等细分能力，没有哪家设计院全部自带，联合体与分包网络的搭建速度将直接决定承接能力——先行建立细分伙伴名录的设计院，在投标响应速度与报价精度上都会与后来者拉开代差。</w:t>
      </w:r>
    </w:p>
    <w:p>
      <w:r>
        <w:rPr>
          <w:rFonts w:ascii="Calibri" w:hAnsi="Calibri" w:eastAsia="微软雅黑"/>
          <w:b/>
          <w:i w:val="0"/>
          <w:sz w:val="22"/>
        </w:rPr>
        <w:t>反证检验。</w:t>
      </w:r>
      <w:r>
        <w:rPr>
          <w:rFonts w:ascii="Calibri" w:hAnsi="Calibri" w:eastAsia="微软雅黑"/>
          <w:b w:val="0"/>
          <w:i w:val="0"/>
          <w:sz w:val="22"/>
        </w:rPr>
        <w:t xml:space="preserve"> 反证一：城市更新项目单体规模小、收费低、协调成本高，对习惯于大型新建项目的设计院可能「吃不饱」——bank证据中老旧小区改造在「十四五」已是重心（P12003），若该赛道利润丰厚，设计院早应蜂拥而入，实际竞争格局显示该业务的商业模型至今未跑通到能支撑大院营收体量。反证二：城投作为城市更新主要业主自身正处化债与转型双重约束中，2025年2168家样本城投公益性和准公益性业务收入占主营业务收入的中位数为58.4%（P12025），其支付能力受制于地方财政；设计院把宝全部押在城市更新上，等于把回款风险从房地产市场平移到地方债务链条上。数据可以量化这种约束：2025年样本城投存货余额占总资产比重为27.3%、较上年下降0.9个百分点（P12025）——业主的资产端在收缩，设计院的应收端不可能独善其身。综合裁决：趋势成立但红利分配极不均匀，能吃到的是具备策划咨询能力与政企协作网络的设计院，纯图纸产能型设计院反而可能陷入「订单多、回款慢」的新陷阱。</w:t>
      </w:r>
    </w:p>
    <w:p>
      <w:pPr>
        <w:pStyle w:val="Heading3"/>
      </w:pPr>
      <w:r>
        <w:t>趋势三：能源与算力新基建打开结构性增量窗口，设计市场总盘重新扩容</w:t>
      </w:r>
    </w:p>
    <w:p>
      <w:r>
        <w:rPr>
          <w:rFonts w:ascii="Calibri" w:hAnsi="Calibri" w:eastAsia="微软雅黑"/>
          <w:b/>
          <w:i w:val="0"/>
          <w:sz w:val="22"/>
        </w:rPr>
        <w:t>基线事实。</w:t>
      </w:r>
      <w:r>
        <w:rPr>
          <w:rFonts w:ascii="Calibri" w:hAnsi="Calibri" w:eastAsia="微软雅黑"/>
          <w:b w:val="0"/>
          <w:i w:val="0"/>
          <w:sz w:val="22"/>
        </w:rPr>
        <w:t xml:space="preserve"> 电力侧的政策投资已量化落地：国家电网「十五五」固定资产投资规划总投资规模达4万亿元、年均投入约8000亿元，聚焦新型电力系统建设、特高压骨干网架、配网升级、新能源并网、储能与数智化改造五大方向（P12032）；按行业惯例电网投资中勘测设计占比约12%—15%测算，「十五五」设计市场规模约4800亿—6000亿元，叠加南方电网与地方电网投资，全国电力设计总盘子将突破7000亿元，带来持续5年的订单保障（P12032）。结构指标同样具体：跨区输电能力提升超30%，配网容量新增9亿千伏安以上，年均新增风光装机约2亿千瓦，充电设施支撑3500万台接入（P12032）。细分品类的设计需求已经下探到项目级：广西灵山苏屋岭风电场项目规划总装机容量50MW、拟安装8台单机容量6.25MW的风电机组（P12021），这类中小型新能源项目单体设计费有限，但数量庞大、贴近区域院的能力半径，构成中小设计院的增量基本盘。设备更新侧的财政弹药也在装填：2026年中央下达2000亿元超长期特别国债资金、支持22个领域超1.1万个项目设备更新（P12007），其中相当部分将流向工业与能源设施改造的咨询设计环节。促内需的财政组合拳还在加码：2026年中央财政专门安排1000亿元，创新推出财政金融协同促内需一揽子政策，包括个人消费贷款贴息、服务业经营主体贷款贴息、中小微企业贷款贴息、设备更新贷款贴息、民间投资专项担保计划等举措（P12007）——贴息与担保直接改善项目业主的融资可得性，间接为工程咨询设计需求托底。算力侧的旁证来自内蒙古和林格尔新区：新区成立于2017年2月、规划控制面积496平方公里，2025年新区营业收入512.12亿元、同比增长24.6%（P12018）。能源转型的落地效果亦有实绩：国网河北省电力「十四五」期间完成特高压线路「两扩一线」工程、外电入冀能力提升48%，2024年输送绿电超600亿千瓦时、占全省用电量22%（P12029）；2025年省域内新能源并网消纳率稳定在95%以上、跨区绿电输送量占新能源总发电量35%（P12029）。</w:t>
      </w:r>
    </w:p>
    <w:p>
      <w:r>
        <w:rPr>
          <w:rFonts w:ascii="Calibri" w:hAnsi="Calibri" w:eastAsia="微软雅黑"/>
          <w:b/>
          <w:i w:val="0"/>
          <w:sz w:val="22"/>
        </w:rPr>
        <w:t>推演逻辑。</w:t>
      </w:r>
      <w:r>
        <w:rPr>
          <w:rFonts w:ascii="Calibri" w:hAnsi="Calibri" w:eastAsia="微软雅黑"/>
          <w:b w:val="0"/>
          <w:i w:val="0"/>
          <w:sz w:val="22"/>
        </w:rPr>
        <w:t xml:space="preserve"> 7000亿元的设计总盘子（P12032）是未来三年设计行业唯一可量化的确定性增量，其分配逻辑由技术门槛决定：特高压柔性直流、构网型变流器、交直流混联系统、数字孪生电网、BIM全周期设计成为标配技术，具备系统规划、复杂工程、多专业集成能力的央企大院与头部民营院将主导特高压、省级主网、大型储能等标杆项目，市场集中度进一步提升（P12032）。同时新需求催生新设计品类——「电力+算力」「源网荷储充一体化」「零碳园区/工厂」成为热点，设计院切入数据中心供配电、绿电直供、综合能源规划、虚拟电厂设计等领域，打破传统电力设计边界（P12032）。对非电力背景的设计院，「所以呢」有两条：其一，建筑、市政院可通过零碳园区、数据中心楼宇与供配电协同设计搭上增量车；其二，增量窗口伴随技术断层——传统火电、常规输变电设计团队转型压力大（P12032），人才结构不调整的设计院将看着市场扩容而份额萎缩。区域分布的证据提示了布局策略：省级设计院的中标语料显示其强势区高度集中于本省（P12015、P12016、P12018），而新能源大基地项目（如三峡青海海南州、中能建广西崇左的大基地项目，P12016）恰恰多位于西部资源区——非属地的大项目需要设计院建立跨省交付能力，属地深耕与跨省突击的组合能力将成为电力设计院的分野线。</w:t>
      </w:r>
    </w:p>
    <w:p>
      <w:r>
        <w:rPr>
          <w:rFonts w:ascii="Calibri" w:hAnsi="Calibri" w:eastAsia="微软雅黑"/>
          <w:b/>
          <w:i w:val="0"/>
          <w:sz w:val="22"/>
        </w:rPr>
        <w:t>反证检验。</w:t>
      </w:r>
      <w:r>
        <w:rPr>
          <w:rFonts w:ascii="Calibri" w:hAnsi="Calibri" w:eastAsia="微软雅黑"/>
          <w:b w:val="0"/>
          <w:i w:val="0"/>
          <w:sz w:val="22"/>
        </w:rPr>
        <w:t xml:space="preserve"> 反证一：4万亿元（P12032）是规划投资而非已落地合同，规划投资在执行期常因宏观环境调整节奏；bank证据中缺乏对该规划执行进度的跟踪数据，本趋势对「总量兑现」的判断存在证据缺口。反证二：设计占比12%—15%是行业惯例估算（P12032），若总承包模式下业主把设计打包进EPC一并招标，独立设计费空间将被总包利润挤压，4800亿—6000亿元的市场规模测算可能高估纯设计环节的份额。裁决：方向确定、幅度存疑，设计院宜按「增量真实但竞争提前」做预案——增量市场会吸引全部头部玩家下重注，窗口期内的费率竞争烈度可能不亚于存量市场。</w:t>
      </w:r>
    </w:p>
    <w:p>
      <w:pPr>
        <w:pStyle w:val="Heading2"/>
      </w:pPr>
      <w:r>
        <w:t>12.2 模式侧：业务边界的三条确定性主线</w:t>
      </w:r>
    </w:p>
    <w:p>
      <w:r>
        <w:rPr>
          <w:rFonts w:ascii="Calibri" w:hAnsi="Calibri" w:eastAsia="微软雅黑"/>
          <w:b w:val="0"/>
          <w:i w:val="0"/>
          <w:sz w:val="22"/>
        </w:rPr>
        <w:t>需求决定「做什么」，模式决定「怎么收钱」。未来三年，设计行业的商业模式将沿三条确定性路径重构：EPC总承包从可选项变为必选项、服务边界沿全生命周期双向延伸、投建运一体化把设计院推向准甲方位置。三条路径共同指向一个终点——设计院这个物种本身在变形，从Engineering Design Company演化为Engineering + Advisory + Program Management + Digital + Asset/Lifecycle Services（P12027）。三条路径的确定性来源各不相同：总承包渗透率有历史轨迹可外推，全生命周期延伸有国际同行作模板，投建运一体化有业主侧的物种演化作推手——都是有先例可循的变化，而非凭空预判。</w:t>
      </w:r>
    </w:p>
    <w:p>
      <w:pPr>
        <w:pStyle w:val="Heading3"/>
      </w:pPr>
      <w:r>
        <w:t>趋势四：EPC总承包从「可选项」变为「必选项」，渗透率继续抬升</w:t>
      </w:r>
    </w:p>
    <w:p>
      <w:r>
        <w:rPr>
          <w:rFonts w:ascii="Calibri" w:hAnsi="Calibri" w:eastAsia="微软雅黑"/>
          <w:b/>
          <w:i w:val="0"/>
          <w:sz w:val="22"/>
        </w:rPr>
        <w:t>基线事实。</w:t>
      </w:r>
      <w:r>
        <w:rPr>
          <w:rFonts w:ascii="Calibri" w:hAnsi="Calibri" w:eastAsia="微软雅黑"/>
          <w:b w:val="0"/>
          <w:i w:val="0"/>
          <w:sz w:val="22"/>
        </w:rPr>
        <w:t xml:space="preserve"> 行业先例给出了渗透率天花板的可参照样本：2003年至2013年，中国电力工程顾问集团总承包项目合同额累计1419亿元，每年总承包合同额占当年合同总额比例从23%上升到83%（P12014）；其中2011年至2013年总承包合同额累计708亿元，三年年均增长幅度达66%（P12014）。个股层面，永福股份2021年11月中标220kV玉昆变电站和配套7座110kV变电站两个EPC项目，中标总金额4.25亿元，占其2020年度经审计总承包工程业务营业收入6.3亿元的67.7974%（P12014）——单批EPC订单相当于年总承包营收的三分之二，说明EPC合同对设计院营收结构的撬动是数量级的。政策侧依据充分：住建部《「十四五」工程勘察设计行业发展规划》鼓励有条件的设计企业承接技术复杂的建筑工程、市政工程以及以工艺为主导的工业工程总承包项目，《关于进一步推进工程总承包发展的若干意见》明确工程总承包是国际通行的建设项目组织实施方式（P12008）。国内实践的纵深早已展开：在白水江流域和美姑河流域的水电站项目中，设计参与工程建设的全过程，对工程投资、进度、质量和技术进行全面控制，具有明显的优势（P12008）。行业认知侧，攀成德的判断是：我们建造了世界一流的工程，但工程企业、工程行业的效率还不是世界一流，行业碎片化是关键制约因素，工程总承包、全过程工程咨询正是解决碎片化的抓手；而目前大多数勘察设计企业的工程总承包业务发展还不成熟，管理体系不健全、专业管理人才缺乏（P12034）。头部设计院研究机构甚至已把「传统设计院从DBB模式撕裂走向『后向一体化』EPC总承包」直接表述为商业模式演进的必然趋势（P12017）。</w:t>
      </w:r>
    </w:p>
    <w:p>
      <w:r>
        <w:rPr>
          <w:rFonts w:ascii="Calibri" w:hAnsi="Calibri" w:eastAsia="微软雅黑"/>
          <w:b/>
          <w:i w:val="0"/>
          <w:sz w:val="22"/>
        </w:rPr>
        <w:t>推演逻辑。</w:t>
      </w:r>
      <w:r>
        <w:rPr>
          <w:rFonts w:ascii="Calibri" w:hAnsi="Calibri" w:eastAsia="微软雅黑"/>
          <w:b w:val="0"/>
          <w:i w:val="0"/>
          <w:sz w:val="22"/>
        </w:rPr>
        <w:t xml:space="preserve"> 23%到83%的十年跃迁（P12014）证明设计企业主体转型总承包在商业上完全可行，且一旦启动便呈加速态势（三年年均增长66%，P12014）。把该轨迹映射到当前仍以设计为主业的多数勘察设计企业：2026-2029年将是它们总承包占比抬升的关键窗口，驱动因素有三——传统设计费收缩倒逼（趋势一）、业主对确定性与全周期责任的偏好（P12008）、以及行业培训体系与课程供给的成熟使方法论获取成本下降（P12034）。但推演必须同时包含淘汰项：攀成德指出大多数企业的总承包业务发展还不成熟（P12034），意味着抬升的是行业渗透率而非全员成功率。「所以呢」：决策的正确姿势不是「要不要做总包」，而是按三大资源、四大能力的框架盘点自身缺口（P12034），把总承包作为能力建设工程立项，而非业务机会追逐。新能源赛道的营收弹性提供了规模想象空间：bank语料中一份新能源工程企业招股书显示，其2021年至2023年营业收入分别为56.31亿元、137.04亿元、296.06亿元，净利润分别为8.67亿元、17.53亿元、26.04亿元（P12015）——这条陡峭的增长曲线在纯设计业务中已不可能出现，这就是总承包模式对收入结构的重塑力量。采购协同是另一个被低估的能力项：中核工程通过推进多项目批量化采购，2023年在二级集采项目中节资率达10%（P12006），说明总包利润的重要来源既不在设计端也不在施工端，而在采购集约——设计院做总包必须把采购体系当成核心能力建设，而非后台职能。</w:t>
      </w:r>
    </w:p>
    <w:p>
      <w:r>
        <w:rPr>
          <w:rFonts w:ascii="Calibri" w:hAnsi="Calibri" w:eastAsia="微软雅黑"/>
          <w:b/>
          <w:i w:val="0"/>
          <w:sz w:val="22"/>
        </w:rPr>
        <w:t>反证检验。</w:t>
      </w:r>
      <w:r>
        <w:rPr>
          <w:rFonts w:ascii="Calibri" w:hAnsi="Calibri" w:eastAsia="微软雅黑"/>
          <w:b w:val="0"/>
          <w:i w:val="0"/>
          <w:sz w:val="22"/>
        </w:rPr>
        <w:t xml:space="preserve"> 反证一：安徽院竞标数据揭示了EPC市场的残酷定价——江苏利港电厂220kV升压站改建项目EPC总承包招标中，安徽院投标总报价约1.8415亿元列第二中标候选人，第一中标候选人江苏省电力设计院报价约1.7988亿元，价差仅427.0297万元，折合竞价敏感度约2.37%（P12021、P12022）；供应链采办与分包溢价一旦超过2%就直接导致招投标失利（P12021、P12022）。设计院缺乏重资产施工队与大宗设备采办规模（P12022），在交钥匙包干体系下的成本竞争力天然弱于施工央企——若施工系企业持续以更低报价拦截EPC项目，设计院渗透率的抬升会在某个阈值遇阻。反证二：83%是电力顾问集团这类最早转型者的个案（P12014），行业整体能否复制缺乏横向证据。裁决：趋势方向成立，「必选项」指的是战略上必须布局，不等于财务上必然盈利；正确预期是总承包做大规模的同时压低利润率，用规模对冲设计费收缩。</w:t>
      </w:r>
    </w:p>
    <w:p>
      <w:pPr>
        <w:pStyle w:val="Heading3"/>
      </w:pPr>
      <w:r>
        <w:t>趋势五：服务边界沿全生命周期双向延伸，「设计公司」变为「工程+专业服务公司」</w:t>
      </w:r>
    </w:p>
    <w:p>
      <w:r>
        <w:rPr>
          <w:rFonts w:ascii="Calibri" w:hAnsi="Calibri" w:eastAsia="微软雅黑"/>
          <w:b/>
          <w:i w:val="0"/>
          <w:sz w:val="22"/>
        </w:rPr>
        <w:t>基线事实。</w:t>
      </w:r>
      <w:r>
        <w:rPr>
          <w:rFonts w:ascii="Calibri" w:hAnsi="Calibri" w:eastAsia="微软雅黑"/>
          <w:b w:val="0"/>
          <w:i w:val="0"/>
          <w:sz w:val="22"/>
        </w:rPr>
        <w:t xml:space="preserve"> 国际前排设计咨询公司这两三年呈现明确的「工作边界重构」：向前进入投资决策（战略→市场研究→投资机会→商业论证→可研→技术尽调→融资支持），向后进入项目交付和资产运营（FEED→Design→Procurement→Construction Management→Commissioning→O&amp;M→Asset Management），向侧面进入风险、金融、数字和可持续发展（Technical Advisory+Commercial Advisory+Risk+ESG+Digital+AI+Climate+Finance），行业性质从Engineering Design Company向Engineering &amp; Professional Services Company转化，进一步向Engineering + Advisory + Program Management + Digital + Asset/Lifecycle Services演变（P12027）。实例：2026年Jacobs受新加坡国家水务机构PUB委托，对潜在的新海水淡化厂开展可行性研究，其工作范围不是传统意义的「设计一个海水淡化厂」，而包括Advisory Services与可行性论证（P12027）。客户提问方式的变化最能说明边界迁移：咨询公司的客户不再只是问「这个项目怎么设计？」，而是开始想知道「这个项目到底值不值得投资？」，并进一步希望设计咨询公司回答「应该投资多少？采用什么技术？怎样建设？风险在哪里？如何融资？」（P12027）。国内同构信号已经出现：业主需求从单一施工图设计，转向规划咨询—可研—勘察—设计—EPC总包—数字化交付—运维优化全链条服务，设计院向全过程工程咨询、EPC、能源管家转型，附加值与营收结构显著优化（P12032）。中机国际的实践提供了组织侧样板：以「研发—设计—总包」生态链为龙头牵引，将70余年设计技术底蕴延伸至施工与运维端，打通全链条增值服务（P12020）。</w:t>
      </w:r>
    </w:p>
    <w:p>
      <w:r>
        <w:rPr>
          <w:rFonts w:ascii="Calibri" w:hAnsi="Calibri" w:eastAsia="微软雅黑"/>
          <w:b/>
          <w:i w:val="0"/>
          <w:sz w:val="22"/>
        </w:rPr>
        <w:t>推演逻辑。</w:t>
      </w:r>
      <w:r>
        <w:rPr>
          <w:rFonts w:ascii="Calibri" w:hAnsi="Calibri" w:eastAsia="微软雅黑"/>
          <w:b w:val="0"/>
          <w:i w:val="0"/>
          <w:sz w:val="22"/>
        </w:rPr>
        <w:t xml:space="preserve"> 国际轨迹是国内预演：Jacobs们的边界扩张发生在成熟市场，其动因（业主要求单一责任界面、资产方需要全周期回报测算）正在中国业主身上复现——城市更新要求运营前置（P12003）、电网投资要求数字化交付与运维优化（P12032）、EPC业主要求性能担保（P12022）。推演到2026-2029年：设计收入的形态将从「图纸费」为主，转向「咨询费+总包利润+运维服务费+数据服务费」的组合；设计院的价值链位置从建设期中段，向两端（投资决策与资产运营）同时移动。这带来一个组织推论：前端咨询需要商业论证与融资知识，后端运维需要资产管理体系，两者都不是传统设计人才的结构，人才转型的紧迫性不亚于业务转型。国内政策语境为「向后」延伸留了明确的接口：住建部提出建立全生命周期的房屋安全管理制度、实施物业服务质量提升行动（P12005），电力行业出现「能源管家」这一全链条服务形态（P12032）——制度接口与服务形态都齐备，缺的只是设计院的产品化能力。国际经验还提示了延伸的顺序：向前（投资决策咨询）不承担建造风险，属于轻资产高智力环节；向后（运维与资产管理）需要长期团队驻场，属于重运营环节；两者对资本的占用完全不同，中小设计院应从「向前」起步。「所以呢」：三年内设计院应至少建成一个「向前」产品（投资决策咨询）和一个「向后」产品（数字化交付+运维优化），否则将困在建设期中段，成为全生命周期链条上利润最薄的一环。</w:t>
      </w:r>
    </w:p>
    <w:p>
      <w:r>
        <w:rPr>
          <w:rFonts w:ascii="Calibri" w:hAnsi="Calibri" w:eastAsia="微软雅黑"/>
          <w:b/>
          <w:i w:val="0"/>
          <w:sz w:val="22"/>
        </w:rPr>
        <w:t>反证检验。</w:t>
      </w:r>
      <w:r>
        <w:rPr>
          <w:rFonts w:ascii="Calibri" w:hAnsi="Calibri" w:eastAsia="微软雅黑"/>
          <w:b w:val="0"/>
          <w:i w:val="0"/>
          <w:sz w:val="22"/>
        </w:rPr>
        <w:t xml:space="preserve"> 反证一：国内司法环境对「向后」延伸构成隐性约束——竣工后试验性能严重不达标（如渗滤液处理量不足）的司法判决赔偿比例高达合同总价的60%，因设计工艺致命缺陷导致完工后实际发电量仅为设计值4.52%的判例被判定为根本性违约、总承包商须退还全部工程款并赔偿全额损失（P12022）。服务边界越长，责任边界越长：延伸到运维意味着把资产绩效纳入自己的风险敞口，能力不足的延伸是自杀式扩张。反证二：国内业主的付费习惯尚未普遍接受前端咨询费——bank证据中全链条服务需求来自电力行业（P12032）与政府侧城市更新（P12003），建筑与市政领域业主为投资决策咨询单独付费的证据不足。裁决：趋势成立但节奏分层，电力、水利、核电等系统业主先行，房建市政滞后；设计院延伸边界应「先深后长」，在自己能担责的深度上延伸，而非为讲故事而拉长战线。</w:t>
      </w:r>
    </w:p>
    <w:p>
      <w:pPr>
        <w:pStyle w:val="Heading3"/>
      </w:pPr>
      <w:r>
        <w:t>趋势六：投建运一体化与EPC(O)普及，设计院从乙方走向「准甲方」</w:t>
      </w:r>
    </w:p>
    <w:p>
      <w:r>
        <w:rPr>
          <w:rFonts w:ascii="Calibri" w:hAnsi="Calibri" w:eastAsia="微软雅黑"/>
          <w:b/>
          <w:i w:val="0"/>
          <w:sz w:val="22"/>
        </w:rPr>
        <w:t>基线事实。</w:t>
      </w:r>
      <w:r>
        <w:rPr>
          <w:rFonts w:ascii="Calibri" w:hAnsi="Calibri" w:eastAsia="微软雅黑"/>
          <w:b w:val="0"/>
          <w:i w:val="0"/>
          <w:sz w:val="22"/>
        </w:rPr>
        <w:t xml:space="preserve"> 行业培训市场的课程信号已把EPC(O)、投建运一体化列为标准课题：「十五五」时期随着EPC（O）、投建运一体化模式普及、数字化智慧建造全面落地、安全与质量合规监管持续加码、市场竞争日趋精益化，传统粗放型、经验型的工程项目管理模式已难以适配新阶段行业发展要求（P12009）。业主侧的最大变化是城投的物种演化：地方国企正从专项功能性国企转向城市综合运营商（P12023），城投转型的方向被概括为「城市综合运营商、产业投资引领者、科创园区运营商、农文旅城融合者、国有资本运营商」五大模式（P12033）；2025年样本城投长期股权投资占总资产比重由2021年的3.2%提高至4.0%，资本运营成为城投转型的重要路径（P12025）。资产端的收缩同样在加速：2025年样本城投土地资产约1.9万亿元、较上年下降11.8%、连续两年下降，占总资产比重降至1.2%、较2022年下降2个百分点，2025年资产减值损失相当于上年末土地资产余额的4.2%（P12025）——靠土地增值平衡项目现金流的时代结束，城投对「会算账的设计院」的需求只会上升。规划行业的响应已经在发生：面向城市运营的规划供给创新被系统提出，包括国企战略与城市战略协同转型的规划赋能、国企资产盘活的规划供给、公共空间资产盘活的规划服务（P12023）——设计院的规划与咨询板块完全可以把这套方法论移植到自己的城投客户服务中。政策压力同步到位：《「十五五」规划纲要》明确提出「加快推动地方政府融资平台改革转型」（P12025、P12033），财政部2026年上半年财政政策执行情况报告要求加快推动地方政府融资平台改革转型、加快剥离融资平台政府融资功能（P12007）。设计需求侧亦出现「为准甲方服务」的形态：区域综合开发与算力基础设施（如和林格尔新区496平方公里、2025年营业收入512.12亿元的增长样本，P12018）需要的不是单点设计，而是能统筹投建运的集成方案。</w:t>
      </w:r>
    </w:p>
    <w:p>
      <w:r>
        <w:rPr>
          <w:rFonts w:ascii="Calibri" w:hAnsi="Calibri" w:eastAsia="微软雅黑"/>
          <w:b/>
          <w:i w:val="0"/>
          <w:sz w:val="22"/>
        </w:rPr>
        <w:t>推演逻辑。</w:t>
      </w:r>
      <w:r>
        <w:rPr>
          <w:rFonts w:ascii="Calibri" w:hAnsi="Calibri" w:eastAsia="微软雅黑"/>
          <w:b w:val="0"/>
          <w:i w:val="0"/>
          <w:sz w:val="22"/>
        </w:rPr>
        <w:t xml:space="preserve"> 投建运一体化的本质是把「谁对资产全周期回报负责」这个问题一次性回答。当业主方（城投、产业国企）自身被政策推向市场化造血（P12033），它们对乙方的期待就从「按图施工的执行者」升级为「帮我算得清账、建得起来、运营得下去的合作者」。设计院的比较优势恰好卡位在这个需求上：对工程70%以上造价的源头控制力在初步设计与施工图设计阶段已经形成（P12022），懂设计的人做投资测算与运营策划，误差最小。推演路径：2026-2029年将出现更多设计院以小股东身份切入投资项目联合体、以EPC(O)或F+EPC+O形态承接片区与专线项目，收入结构中投资收益与运营分成占比上升。「所以呢」：设计院需要尽早建立投资测算团队与法务风控团队——准甲方的门票不是技术，是资金测算与合规能力。</w:t>
      </w:r>
    </w:p>
    <w:p>
      <w:r>
        <w:rPr>
          <w:rFonts w:ascii="Calibri" w:hAnsi="Calibri" w:eastAsia="微软雅黑"/>
          <w:b/>
          <w:i w:val="0"/>
          <w:sz w:val="22"/>
        </w:rPr>
        <w:t>反证检验。</w:t>
      </w:r>
      <w:r>
        <w:rPr>
          <w:rFonts w:ascii="Calibri" w:hAnsi="Calibri" w:eastAsia="微软雅黑"/>
          <w:b w:val="0"/>
          <w:i w:val="0"/>
          <w:sz w:val="22"/>
        </w:rPr>
        <w:t xml:space="preserve"> 反证一：准甲方化=重资产化，与设计院轻资产基因冲突；bank证据显示设计院做总包的命门本就是缺乏重资产施工队与大宗设备采办规模（P12022），再叠加投资责任等于风险敞口二次放大。反证二：城投付款能力受化债约束——2025年样本城投应收类款项来自政府的占比中位数仍达30.4%（P12025），设计院若深度绑定单一城投做投建运，可能把经营风险转化为金融风险。裁决：趋势成立但仅适用于少数具备资本运作能力与强国资背景的设计院；对多数设计院，正确的姿态是「参与投建运链条、不做投资主体」——以设计与全过程咨询身份嵌入，让风险留在能承受的区间内。一个可操作的中间形态是「群组项目管理」：行业课程显示，工程（集团）公司对项目赋能与管控、片区群组项目管理需求大幅增加（P12009）——设计院可以把投建运项目按片区打包管理，用项目群的资源共享摊薄单个项目的管理成本，这是准甲方化在不增加资本风险前提下的组织化表达。</w:t>
      </w:r>
    </w:p>
    <w:p>
      <w:pPr>
        <w:pStyle w:val="Heading2"/>
      </w:pPr>
      <w:r>
        <w:t>12.3 能力侧：数字与智能的三条确定性主线</w:t>
      </w:r>
    </w:p>
    <w:p>
      <w:r>
        <w:rPr>
          <w:rFonts w:ascii="Calibri" w:hAnsi="Calibri" w:eastAsia="微软雅黑"/>
          <w:b w:val="0"/>
          <w:i w:val="0"/>
          <w:sz w:val="22"/>
        </w:rPr>
        <w:t>需求与模式的变化最终都要落到能力账户上结算。未来三年，能力侧的三个确定性趋势是：数字化从工具升级进入数据资产深水区并以2027年为硬约束节点（P12030）、AI从效率工具演进为业务流程重组力量、智能建造与绿色建造从示范走向标配。这一节的共同底色是：技术投入的验收标准将从「有没有系统」变为「有没有降本增效的实测数据」。三条趋势各带一个验收坐标：数字化看2027年的公路节点，AI看3-5倍效率差能否在自己企业复现（P12031），绿色建造看招标评分项里的分值变化。</w:t>
      </w:r>
    </w:p>
    <w:p>
      <w:pPr>
        <w:pStyle w:val="Heading3"/>
      </w:pPr>
      <w:r>
        <w:t>趋势七：数字化从「工具升级」进入「数据资产」深水区，2027年成为硬约束年</w:t>
      </w:r>
    </w:p>
    <w:p>
      <w:r>
        <w:rPr>
          <w:rFonts w:ascii="Calibri" w:hAnsi="Calibri" w:eastAsia="微软雅黑"/>
          <w:b/>
          <w:i w:val="0"/>
          <w:sz w:val="22"/>
        </w:rPr>
        <w:t>基线事实。</w:t>
      </w:r>
      <w:r>
        <w:rPr>
          <w:rFonts w:ascii="Calibri" w:hAnsi="Calibri" w:eastAsia="微软雅黑"/>
          <w:b w:val="0"/>
          <w:i w:val="0"/>
          <w:sz w:val="22"/>
        </w:rPr>
        <w:t xml:space="preserve"> 公路行业给出了全行业最明确的时间表：按照交通运输部交公路发〔2023〕131号文件要求，到2027年公路设计、施工、养护、运营环节要构建起「一套模型、一套数据」、基本实现全生命期数字化，到2035年全面完成转型、建成实体公路和数字孪生公路两个体系（P12030）。真金白银已经入场：2026年9月2日河北省公共资源交易平台公示G0111秦滨高速秦唐段数字化升级二期等三项工程总承包中标候选人，河北省交通规划设计研究院有限公司牵头的联合体排第一、投标报价约4.34亿元（P12030）。实效侧的标杆数据：德州S516数智公路试验段落地后巡检效率提升2至4倍、管养成本节约30%（P12030）；肥城农村公路完成数字化改造后养护成本下降52%、公路使用寿命延长2至3年（P12030）。设计端的效率证据来自核电：中核工程基于EB软件的结构化设计能自动生成清单、统计效率提升80%以上，并建立「项目号-对象分类单元-机组号-设备单元-系统号」五层级架构确保数据全生命周期唯一可追溯（P12012）；漳州1#、2#机组项目建立「一个仪表对应一个标准」的强关联，从源头治理材料错买漏买（P12001、P12012）。数据标准化是对象化设计的前提，行业标准体系已经给出抓手：核电领域对《核电电子文件元数据》（EJ/T 1224）与《文书类元数据方案》（DA/T 46）的比较研究表明，EPC总承包模式对元数据提出了更高的管理维度需求，需基于国际标准ISO 23081的「四实体」架构实现文件、机构人员、业务等实体的结构化分布（P12001）。设计制造协同侧，华龙一号蒸汽发生器智能制造探索了「设计—制造—监造—协同平台」四个层级的深度融合与「九大场景」下的技术创新应用（P12012），说明数据打通的价值会沿着供应链向制造端放大——设计院的数据资产，最终会成为上下游协同的中枢货币。智能化决策的进阶形态也已定型：通过「机理-数据」双模型，风险防控正从「事后补救」转向「事前预判」（P12001）；中核工程的「一软、一网、一硬、一平台」智能工程生态实现了三维设计「虚拟建造」与智慧工地数据「实时说话」（P12011）；区块链技术亦被用于保障分包商合同履行的透明性、降低资金占用成本（P12012）。但行业同时存在「重建设、轻实效」的反面清单：很多项目投入资金、上线系统，却缺少事后效益量化评估，数字化建设「流于形式、做实不足」被业内时常热议（P12030）。管理侧范式亦已成型：中机国际以用友BIP构建「1344」数智化框架（1个数智设计院愿景、3大目标、4大抓手），落地全过程权责发生制考核，改变传统设计院干EPC「干完才知道盈亏」的被动局面（P12020）。</w:t>
      </w:r>
    </w:p>
    <w:p>
      <w:r>
        <w:rPr>
          <w:rFonts w:ascii="Calibri" w:hAnsi="Calibri" w:eastAsia="微软雅黑"/>
          <w:b/>
          <w:i w:val="0"/>
          <w:sz w:val="22"/>
        </w:rPr>
        <w:t>推演逻辑。</w:t>
      </w:r>
      <w:r>
        <w:rPr>
          <w:rFonts w:ascii="Calibri" w:hAnsi="Calibri" w:eastAsia="微软雅黑"/>
          <w:b w:val="0"/>
          <w:i w:val="0"/>
          <w:sz w:val="22"/>
        </w:rPr>
        <w:t xml:space="preserve"> 2027年节点（P12030）把数字化从「信息化部门的KPI」变成「企业生死线」：全生命期数字化意味着设计成果必须以结构化数据交付，不能交付数据的设计院将无法进入要求「一套模型、一套数据」的供应链。推演到2026-2029年：第一，数字化投入的分水岭从「上没上系统」转为「能不能用数据复述自己的项目」——EB式对象化设计（P12001、P12012）与1344式数智管控（P12020）会成为可复制的两条主流路线；第二，数字化交付能力将进入招标评分项，德州30%、肥城52%这类实测降本数据（P12030）会成为投标武器；第三，「干完才知道盈亏」的模式在权责发生制穿透下无所遁形（P12020），项目管理颗粒度被迫细化到工序与现金流。「所以呢」：设计院应立即盘点自己的设计数据资产化程度——设计成果能否结构化输出、项目数据能否支撑成本回溯；两项都答否的，2027年前必须补课，且优先跑通最小业务闭环而非全域数字孪生（P12030）。</w:t>
      </w:r>
    </w:p>
    <w:p>
      <w:r>
        <w:rPr>
          <w:rFonts w:ascii="Calibri" w:hAnsi="Calibri" w:eastAsia="微软雅黑"/>
          <w:b/>
          <w:i w:val="0"/>
          <w:sz w:val="22"/>
        </w:rPr>
        <w:t>反证检验。</w:t>
      </w:r>
      <w:r>
        <w:rPr>
          <w:rFonts w:ascii="Calibri" w:hAnsi="Calibri" w:eastAsia="微软雅黑"/>
          <w:b w:val="0"/>
          <w:i w:val="0"/>
          <w:sz w:val="22"/>
        </w:rPr>
        <w:t xml:space="preserve"> 反证一：公路行业的2027节点是否适用于全行业缺乏证据——bank中131号文的时间表仅见于公路数字化语境（P12030），房屋建筑、市政、工业设计领域尚无同等刚性时限的证据，把2027年放大为全行业硬约束可能过度外推。反证二：「流于形式、做实不足」的普遍存在（P12030）说明数字化投入与收益之间存在大片失效区，若企业治理跟不上，数据资产化投入可能沦为新的沉没成本。裁决：趋势成立但节奏行业分化；公路、电力、核电等强监管基础设施行业先行，房建市政滞后。设计院的对策不是抢时间点，而是确保每个数字化项目都带可量化的效益验收指标——用德州与肥城的标尺（P12030）自查。</w:t>
      </w:r>
    </w:p>
    <w:p>
      <w:pPr>
        <w:pStyle w:val="Heading3"/>
      </w:pPr>
      <w:r>
        <w:t>趋势八：AI从「效率工具」演进为「业务流程重组力量」，算量计价与设计生产被重写</w:t>
      </w:r>
    </w:p>
    <w:p>
      <w:r>
        <w:rPr>
          <w:rFonts w:ascii="Calibri" w:hAnsi="Calibri" w:eastAsia="微软雅黑"/>
          <w:b/>
          <w:i w:val="0"/>
          <w:sz w:val="22"/>
        </w:rPr>
        <w:t>基线事实。</w:t>
      </w:r>
      <w:r>
        <w:rPr>
          <w:rFonts w:ascii="Calibri" w:hAnsi="Calibri" w:eastAsia="微软雅黑"/>
          <w:b w:val="0"/>
          <w:i w:val="0"/>
          <w:sz w:val="22"/>
        </w:rPr>
        <w:t xml:space="preserve"> 行业课程的判断已经越过「AI辅助」阶段：AI技术（特别是大模型）的普及预计将对传统「算量计价」模式产生颠覆性影响，例如未来可能实现图纸一键导入自动出量、AI智能定价；AI不会淘汰所有造价人，但会淘汰不会使用AI的从业者，从业者需从传统执行者（算量、计价）向价值创造者（定价、成本经营、证据管理）转型（P12031）。能力边界同样被标定：目前AI在文本处理（报告生成、合同审核、代码编写）方面最成熟，在图形图像识别（如复杂建筑图纸理解）和三维空间理解方面仍有局限；落地原则是优先在AI擅长、能快速见效（提升3-5倍效率）的场景切入（P12031）。企业落地已有方法论：三步法——建底座（企业知识/数据底座）、养人才（既懂业务又懂AI的复合型「翻译官」）、找场景（在真实业务场景中跑起来）（P12031）。AI在基础设施运营侧的实效证据：江苏「AI+智慧路网」案例靠「一路三方」协同指挥平台把数据用起来，路网异常事件主动发现率达89.31%、预警响应时间平均缩短10.61分钟（P12030）。</w:t>
      </w:r>
    </w:p>
    <w:p>
      <w:r>
        <w:rPr>
          <w:rFonts w:ascii="Calibri" w:hAnsi="Calibri" w:eastAsia="微软雅黑"/>
          <w:b/>
          <w:i w:val="0"/>
          <w:sz w:val="22"/>
        </w:rPr>
        <w:t>推演逻辑。</w:t>
      </w:r>
      <w:r>
        <w:rPr>
          <w:rFonts w:ascii="Calibri" w:hAnsi="Calibri" w:eastAsia="微软雅黑"/>
          <w:b w:val="0"/>
          <w:i w:val="0"/>
          <w:sz w:val="22"/>
        </w:rPr>
        <w:t xml:space="preserve"> AI对设计院的冲击分两波：第一波打在「按图算量、按定额计价」的技术经济岗与标准图重复劳动上——3-5倍效率差（P12031）意味着不用AI的团队在投标周期与报价精度上直接出局；第二波打在知识管理上——企业知识底座（P12031）决定AI输出的质量，而设计院数十年积累的标准图集、项目数据恰是最稀缺的底座燃料，这是设计院相对纯科技公司的比较优势。推演到2026-2029年：设计院的中台部门将从「IT部」演变为「数据资产部」，懂工程又懂AI的翻译官人才（P12031）成为组织刚需；报价、校审、报告生成等文本密集环节率先被AI接管，人力资源结构向「少量专家+大量AI编排者」漂移。「所以呢」：三年内设计院应完成三件事——把企业知识结构化入库、在报价与报告两个场景跑出实测提效数据、把AI素养纳入全员考核（业务人员五大AI素养框架可直接借用，P12031）。计价领域的范式语言已经先行切换：行业研究把未来的计价体系概括为从机械执行走向有机演化、完成从「成本核算」到「价值管理」的范式革命，以「容忍度」为触发阈值、以信息化为协同桥梁（P12026）。这与AI转型课程提出的从算量计价执行者转向定价、成本经营、证据管理等价值创造者的方向完全一致（P12031）——两条独立证据链指向同一结论：造价与技术经济岗位的知识结构，将在未来数年内被重写一遍。个体的应对路径也已被画出：用好工具、成为既懂工程又懂AI的「翻译官」、推动企业AI落地、深耕技术专家四条路并行（P12031）；AI是个人能力的「显微镜」和「放大器」，善于利用AI者其优势会被放大，反之短板也会更明显（P12031）。</w:t>
      </w:r>
    </w:p>
    <w:p>
      <w:r>
        <w:rPr>
          <w:rFonts w:ascii="Calibri" w:hAnsi="Calibri" w:eastAsia="微软雅黑"/>
          <w:b/>
          <w:i w:val="0"/>
          <w:sz w:val="22"/>
        </w:rPr>
        <w:t>反证检验。</w:t>
      </w:r>
      <w:r>
        <w:rPr>
          <w:rFonts w:ascii="Calibri" w:hAnsi="Calibri" w:eastAsia="微软雅黑"/>
          <w:b w:val="0"/>
          <w:i w:val="0"/>
          <w:sz w:val="22"/>
        </w:rPr>
        <w:t xml:space="preserve"> 反证一：AI在复杂建筑图纸理解与三维空间理解上仍有局限（P12031），而设计院的核心产出恰恰是图纸与三维模型——在AI最不成熟的环节上，设计院的不可替代性反而最强；若图形理解技术三年内未突破，AI对设计主业的冲击将停留在辅助层，「业务流程重组」言过其实。反证二：bank证据中缺乏设计院规模化应用AI后实际裁减人力或重组流程的一手案例，89.31%发现率（P12030）是路网运营数据而非设计生产数据，外推需谨慎。裁决：趋势方向成立、烈度分层——先重组造价与商务流程，后波及设计流程；设计院的理性策略是「在文本密集环节激进、在图形密集环节保守」，避免为追热点在AI短板环节烧钱。</w:t>
      </w:r>
    </w:p>
    <w:p>
      <w:pPr>
        <w:pStyle w:val="Heading3"/>
      </w:pPr>
      <w:r>
        <w:t>趋势九：智能建造、绿色建造、模块化建筑从示范走向标配，绿色从加分项变为入场券</w:t>
      </w:r>
    </w:p>
    <w:p>
      <w:r>
        <w:rPr>
          <w:rFonts w:ascii="Calibri" w:hAnsi="Calibri" w:eastAsia="微软雅黑"/>
          <w:b/>
          <w:i w:val="0"/>
          <w:sz w:val="22"/>
        </w:rPr>
        <w:t>基线事实。</w:t>
      </w:r>
      <w:r>
        <w:rPr>
          <w:rFonts w:ascii="Calibri" w:hAnsi="Calibri" w:eastAsia="微软雅黑"/>
          <w:b w:val="0"/>
          <w:i w:val="0"/>
          <w:sz w:val="22"/>
        </w:rPr>
        <w:t xml:space="preserve"> 住建部对建筑业「十五五」的方向定调是智能化、绿色化、融合化「三化转型」，路径是把大数据、物联网、人工智能与传统建筑业深度融合，将建筑业与先进制造业、现代服务业协同融合，形成城市更新、装配式装修等产业集群（P12005）。「好房子」建设给出具体抓手：大力推行智能建造、绿色建造、绿色建材、模块化建筑在「好房子」建设中的应用；老旧房屋改造上把装配式装修与适老化、智能化改造结合；D级危房经鉴定需拆除的必须拆除重建（P12005）。宏观政策背景是「十五五」时期（2026-2030年）成为碳达峰碳中和目标落地的关键窗口期（P12029），低碳城市建设已被视为技术进步与社会性要素变革紧密互动的「社会—技术」转型，且基于「十二五」至「十五五」国民经济和社会发展规划的文本追踪证实了多层级要素的持续加码（P12024）。能源侧的实证链已闭环：新能源并网消纳率95%以上、外电入冀能力提升48%、输送绿电超600亿千瓦时（P12029）证明绿色转型从目标变成了运行系统。核电领域的先导结论同样值得引用：绿色EPC正通过全生命周期资产管理实现资产价值的最大化（P12001）——绿色不是成本项，而是资产管理方法论。</w:t>
      </w:r>
    </w:p>
    <w:p>
      <w:r>
        <w:rPr>
          <w:rFonts w:ascii="Calibri" w:hAnsi="Calibri" w:eastAsia="微软雅黑"/>
          <w:b/>
          <w:i w:val="0"/>
          <w:sz w:val="22"/>
        </w:rPr>
        <w:t>推演逻辑。</w:t>
      </w:r>
      <w:r>
        <w:rPr>
          <w:rFonts w:ascii="Calibri" w:hAnsi="Calibri" w:eastAsia="微软雅黑"/>
          <w:b w:val="0"/>
          <w:i w:val="0"/>
          <w:sz w:val="22"/>
        </w:rPr>
        <w:t xml:space="preserve"> 政策语言转为考核语言、再转为招标语言存在传导时滞——按此节奏，「智能建造+绿色建造+模块化」将在2026-2029年密集进入地方招标的技术标评分项。设计院是绿色指标的图纸源头：装配率、能耗限额、碳排放核算、绿色建材选型都发生在设计阶段，设计院的绿色设计能力直接决定施工企业的达标能力。推论一：绿色设计与智能建造设计能力将成为投标资格的隐性门槛，缺项者被排除在政府投资项目之外；推论二：模块化建筑要求设计与工厂生产工艺深度耦合（P12005），设计院需要建立面向制造的设计（DfMA）能力，这恰是传统按现场施工逻辑出图的团队最缺的；推论三：存量建筑的绿色改造（D级危房原拆原建、装配式装修、适老化智能化改造，P12005）与城市更新（趋势二）叠加，形成「绿色+存量」的复合订单池。「所以呢」：设计院应把绿色与智能建造指标做成设计标准化模块嵌入出图流程，而不是每个项目临时应付评审。</w:t>
      </w:r>
    </w:p>
    <w:p>
      <w:r>
        <w:rPr>
          <w:rFonts w:ascii="Calibri" w:hAnsi="Calibri" w:eastAsia="微软雅黑"/>
          <w:b/>
          <w:i w:val="0"/>
          <w:sz w:val="22"/>
        </w:rPr>
        <w:t>反证检验。</w:t>
      </w:r>
      <w:r>
        <w:rPr>
          <w:rFonts w:ascii="Calibri" w:hAnsi="Calibri" w:eastAsia="微软雅黑"/>
          <w:b w:val="0"/>
          <w:i w:val="0"/>
          <w:sz w:val="22"/>
        </w:rPr>
        <w:t xml:space="preserve"> 反证一：绿色指标增加建安成本，在业主资金紧张（城投化债、房地产存量时代，P12005、P12025）的约束下，绿色要求可能在执行中被打折——bank证据中没有绿色增量成本的承担机制（财政补贴或溢价销售）的落地数据，标准提高与支付能力之间的裂缝缺乏证据填补。反证二：「三化转型」是建筑业整体定调（P12005），设计环节分到的具体份额与考核压力尚无量化依据。裁决：趋势成立、节奏依赖财政；设计院宜以「低成本绿色」为能力建设方向（通过设计与模块化降本来实现绿色指标，而非靠堆砌增量投资），这样即便财政节奏放缓，能力依然有商业出口。电力企业的双碳行动框架提供了「绿色服务」产品化的参照：某省电力公司「十五五」绿色低碳转型提出「电网升级、服务赋能、自身减排、协同治理」四大行动路径，其中服务赋能一项包括赋能企业碳关税合规、双控达标与绿色转型，协同治理包括绿色金融支持双碳项目（P12029）。把这组行动翻译成设计院语言，就是碳核算咨询、绿电规划、零碳园区设计、绿色金融配套咨询四个可售卖的产品——绿色转型创造的不只是约束，还有一张新的服务清单。</w:t>
      </w:r>
    </w:p>
    <w:p>
      <w:pPr>
        <w:pStyle w:val="Heading2"/>
      </w:pPr>
      <w:r>
        <w:t>12.4 组织与格局侧：三条确定性主线</w:t>
      </w:r>
    </w:p>
    <w:p>
      <w:r>
        <w:rPr>
          <w:rFonts w:ascii="Calibri" w:hAnsi="Calibri" w:eastAsia="微软雅黑"/>
          <w:b w:val="0"/>
          <w:i w:val="0"/>
          <w:sz w:val="22"/>
        </w:rPr>
        <w:t>前九个趋势回答「市场在哪、模式怎么变、能力建什么」，最后三个趋势回答「谁会赢、谁会输、底线在哪」。市场集中度上升、风险定价能力成为分水岭、国际化从劳务输出升级为标准输出——这三条主线将决定2026-2029年设计行业的最终座次。</w:t>
      </w:r>
    </w:p>
    <w:p>
      <w:pPr>
        <w:pStyle w:val="Heading3"/>
      </w:pPr>
      <w:r>
        <w:t>趋势十：市场集中度持续上升，「头部大院+区域深耕院」两极分化加剧</w:t>
      </w:r>
    </w:p>
    <w:p>
      <w:r>
        <w:rPr>
          <w:rFonts w:ascii="Calibri" w:hAnsi="Calibri" w:eastAsia="微软雅黑"/>
          <w:b/>
          <w:i w:val="0"/>
          <w:sz w:val="22"/>
        </w:rPr>
        <w:t>基线事实。</w:t>
      </w:r>
      <w:r>
        <w:rPr>
          <w:rFonts w:ascii="Calibri" w:hAnsi="Calibri" w:eastAsia="微软雅黑"/>
          <w:b w:val="0"/>
          <w:i w:val="0"/>
          <w:sz w:val="22"/>
        </w:rPr>
        <w:t xml:space="preserve"> 电力行业的判断已经明示方向：特高压柔性直流、构网型变流器、交直流混联系统、数字孪生电网、BIM全周期设计等成为标配技术，具备系统规划、复杂工程、多专业集成能力的央企大院与头部民营院将主导特高压、省级主网、大型储能等标杆项目，市场集中度进一步提升（P12032）。国际同行的集中路径可作镜鉴：Jacobs在2015-2017年营收呈下降趋势，2018年因完成对CH2M的收购，营业收入大幅增长至149.9亿美元、相比2017年增长48.1%（P12018）；其净利润率表现相对平平，2019年因ECR业务出售净利润增长至8.7亿美元，2020年有所下降（P12018）——头部公司的增长越来越依赖并购与业务重组而非 organic 扩张。国内头部整合的体量参照：国家能源集团截至2025年底总资产2.35万亿元、员工31万人（P12014）；中国铁建注册资本135.8亿元、员工逾三十万人（P12016）。中标语料的区域分布同时揭示长尾市场的厚度：湖南院语料215份中标文档聚合31省份、强区为湖南(235)、北京(182)、浙江(171)（P12015），上海院语料187份聚合31省份、强区为四川(282)、上海(226)、北京(116)（P12016），山西院语料163份聚合30省份、强区为山西(166)、上海(82)、北京(58)（P12018）——省级设计院的势力范围仍以本省为绝对重心。</w:t>
      </w:r>
    </w:p>
    <w:p>
      <w:r>
        <w:rPr>
          <w:rFonts w:ascii="Calibri" w:hAnsi="Calibri" w:eastAsia="微软雅黑"/>
          <w:b/>
          <w:i w:val="0"/>
          <w:sz w:val="22"/>
        </w:rPr>
        <w:t>推演逻辑。</w:t>
      </w:r>
      <w:r>
        <w:rPr>
          <w:rFonts w:ascii="Calibri" w:hAnsi="Calibri" w:eastAsia="微软雅黑"/>
          <w:b w:val="0"/>
          <w:i w:val="0"/>
          <w:sz w:val="22"/>
        </w:rPr>
        <w:t xml:space="preserve"> 集中度上升的机制是「技术门槛+订单规模」双重筛选：标杆项目越来越贵（单台核电机组投资通常超过200亿元、建设周期5-7年，P12011；广东石化2000万吨/年原油炼化一体化项目配套终端工程一次性建成泊位13个、是中交四航院合同额最大的EPC总承包项目，P12014），只有大资本大平台能承接；而数字化与AI投入（趋势七、八）的固定成本只有大院所摊得薄。推演到2026-2029年：第一梯队的全国性大院以技术+资本收割标杆项目；第二梯队不存在「全国中等院」的稳定生态位——要么向上（并购整合或被整合，参照Jacobs路径，P12018），要么向下做透区域；省级设计院的本省壁垒（P12015、P12016、P12018）在区域深耕战略下仍可守，但必须接受「大而全」战略的失效。生态位的另一端是「深而不大」的样板：中机国际创建于1951年，现有员工2400余人、覆盖30多个专业类别、拥有各类国家注册师及高级专家700余人，取得机械、建筑、市政、军工、冶金、轻纺、风景园林、环境工程8个行业甲级设计资质，累计完成20000余项国内外工程设计、主/参编国家与行业技术标准规范240余项，多年连续上榜ENR/《建筑时报》「中国工程设计企业60强」（P12020）——它的竞争力不在规模榜的头部，而在8个甲级资质与240余项标准构成的行业纵深，这类「标准密度型」设计院在集中度上升期反而更安全。「所以呢」：中等规模设计院必须在三年内做出「上或下」的明确选择，骑墙策略的存活窗口正在关闭。</w:t>
      </w:r>
    </w:p>
    <w:p>
      <w:r>
        <w:rPr>
          <w:rFonts w:ascii="Calibri" w:hAnsi="Calibri" w:eastAsia="微软雅黑"/>
          <w:b/>
          <w:i w:val="0"/>
          <w:sz w:val="22"/>
        </w:rPr>
        <w:t>反证检验。</w:t>
      </w:r>
      <w:r>
        <w:rPr>
          <w:rFonts w:ascii="Calibri" w:hAnsi="Calibri" w:eastAsia="微软雅黑"/>
          <w:b w:val="0"/>
          <w:i w:val="0"/>
          <w:sz w:val="22"/>
        </w:rPr>
        <w:t xml:space="preserve"> 反证一：Jacobs的净利润率表现相对平平（P12018）说明并购做大的头部并不必然赚钱——规模换来的营收没有同步换来利润率，集中度上升可能是「增收不增利」的集中；若国内头部整合重演该剧本，「向大」未必优于「向深」。反证二：省级中标语料显示区域市场结构稳固（P12015、P12016、P12018），地方保护、属地服务半径与政企关系构成对全国化冲击的缓冲，集中度上升的速度可能远慢于头部预期。裁决：趋势成立但「两极」的含义被常读错——不是「大院赢小院输」，而是「有清晰生态位者赢、无生态位者输」；区域深耕院的确定性其实高于全国化中型院。</w:t>
      </w:r>
    </w:p>
    <w:p>
      <w:pPr>
        <w:pStyle w:val="Heading3"/>
      </w:pPr>
      <w:r>
        <w:t>趋势十一：风险定价能力成为设计院做总包的分水岭，司法与合规红线持续收紧</w:t>
      </w:r>
    </w:p>
    <w:p>
      <w:r>
        <w:rPr>
          <w:rFonts w:ascii="Calibri" w:hAnsi="Calibri" w:eastAsia="微软雅黑"/>
          <w:b/>
          <w:i w:val="0"/>
          <w:sz w:val="22"/>
        </w:rPr>
        <w:t>基线事实。</w:t>
      </w:r>
      <w:r>
        <w:rPr>
          <w:rFonts w:ascii="Calibri" w:hAnsi="Calibri" w:eastAsia="微软雅黑"/>
          <w:b w:val="0"/>
          <w:i w:val="0"/>
          <w:sz w:val="22"/>
        </w:rPr>
        <w:t xml:space="preserve"> 司法判例已经划出三条血线：其一，因设计工艺致命缺陷导致完工后实际发电量仅为设计值的4.52%，被判定为根本性违约，总承包商须退还全部工程款并赔偿全额损失（P12022）；其二，竣工后试验性能严重不达标（如渗滤液处理量不足）的司法判决赔偿比例达合同总价的60%（P12022）；其三，大型EPC主合同中因工期或质量违规导致的累计违约金上限为10.0%合同总额，达到该阈值发包人有权无条件终止合同并没收履约保函（P12022）。商务侧的生死线同样清晰：利港电厂升压站EPC竞标中427.03万元（约2.37%）的价差直接决定胜负（P12021、P12022）；两金占用率（存货加应收账款占营业收入比重）超过35%触发现金流链预警、倒逼强制停工与保理贴现（P12022）。司法与合同环境的复杂性还在增加：EPC合同分拆争议频发[(2016)最高法民终695号]、分包合同同步解除[(2016)最高法民再53号]、境外保函止付风险[(2017)川民终72号]、行政审计强行介入结算（《法工委函〔2017〕2号》清理审查）（P12010）。宏观资金环境亦有约束：截至2026年7月末各地发行置换债券1.73万亿元、完成2026年2万亿元额度的86.7%（P12007），业主端资金纪律趋严。管理侧的对照证据是核电行业把风险管控体系化——中核工程构建结构化的风险防控体系、实施精细化的测量与接口管理（P12006），并将「六大控制七个零」确立为高质量精细化管控体系（P12011）。</w:t>
      </w:r>
    </w:p>
    <w:p>
      <w:r>
        <w:rPr>
          <w:rFonts w:ascii="Calibri" w:hAnsi="Calibri" w:eastAsia="微软雅黑"/>
          <w:b/>
          <w:i w:val="0"/>
          <w:sz w:val="22"/>
        </w:rPr>
        <w:t>推演逻辑。</w:t>
      </w:r>
      <w:r>
        <w:rPr>
          <w:rFonts w:ascii="Calibri" w:hAnsi="Calibri" w:eastAsia="微软雅黑"/>
          <w:b w:val="0"/>
          <w:i w:val="0"/>
          <w:sz w:val="22"/>
        </w:rPr>
        <w:t xml:space="preserve"> 4.52%、60%、10%三条判例红线（P12022）共同宣告：设计院做总包的盈亏不再由经营效率单独决定，而由风险事件的概率分布决定——一次性能违约可以吞噬多年利润。而2.37%的竞价敏感度（P12021、P12022）意味着投标报价几乎没有安全垫，报价里的每一分风险准备金都直接威胁中标率。这个双重挤压把「风险定价能力」推成分水岭：能把风险量化到工序与合同条款、并用保险、分包背靠背条款、履约担保结构把风险转移出去的设计院，才能在低价中标后仍守住利润。推演到2026-2029年：法务+商务+技术三算合一的投标评审将成为总包大院标配；不具备风险定价能力的设计院将出现「中标即亏损」的批量案例并退出总包市场；两金35%预警线（P12022）会迫使设计院放弃回款条件恶劣的订单，宁可让份额也不让现金流。「所以呢」：设计院总包业务的考核指标应从「新签合同额」切换为「风险调整后利润与经营性现金流」，并建立判例红线清单（4.52%/60%/10%）作为投标否决项（P12022）。</w:t>
      </w:r>
    </w:p>
    <w:p>
      <w:r>
        <w:rPr>
          <w:rFonts w:ascii="Calibri" w:hAnsi="Calibri" w:eastAsia="微软雅黑"/>
          <w:b/>
          <w:i w:val="0"/>
          <w:sz w:val="22"/>
        </w:rPr>
        <w:t>反证检验。</w:t>
      </w:r>
      <w:r>
        <w:rPr>
          <w:rFonts w:ascii="Calibri" w:hAnsi="Calibri" w:eastAsia="微软雅黑"/>
          <w:b w:val="0"/>
          <w:i w:val="0"/>
          <w:sz w:val="22"/>
        </w:rPr>
        <w:t xml:space="preserve"> 反证一：核电行业「六大控制七个零」的体系化管控（P12011、P12006）说明高风险可以被管理体系驯服——风险红线收紧未必淘汰玩家，也可能倒逼行业管理水平整体升级，使总包市场从草莽期进入成熟期，留在场内的玩家反而获得更稳定的竞争环境。反证二：bank中的判例（P12010、P12022）时间跨度较大（2016-2017年案号与2026年框架并存），司法环境是否在持续收紧缺乏纵向对比数据，也可能已进入稳定期。裁决：趋势成立——无论司法是否继续收紧，城投化债（P12007、P12025）带来的业主支付能力恶化已独立构成风险定价压力；设计院按「红线不碰、现金流优先」配置总包业务，是两种情景下的共同最优解。算账工具箱也应当升级。石化工程领域的总承包实践把设计概算编制方法系统化为概算定额法、概算指标法、类似工程预算法，设备安装概算则有预算单价法、扩大单价法、设备价值百分比法、综合吨位指标法等方法（P12010）——方法本身不新，新的是使用场景：在2.37%竞价敏感度（P12021、P12022）的市场里，概算精度每差一个百分点就可能输掉投标或亏掉利润，风险定价必须落到每一法的参数校准上。风险监测还需要动态失效线：行业框架给出的预警条件包括大宗建材（钢材、铜材）价格单月波动幅度超过±15%、或主要风机/光伏逆变器设备集采价格出现20%以上结构性下调时重估成本模型，央行LPR利率变动超过50BP时更新现金流贴现假设（P12022）。把失效线写进管理制度，风险定价才不是一句口号。</w:t>
      </w:r>
    </w:p>
    <w:p>
      <w:pPr>
        <w:pStyle w:val="Heading3"/>
      </w:pPr>
      <w:r>
        <w:t>趋势十二：「标准出海」与国际化升级，从劳务与图纸输出走向标准与全生命周期服务输出</w:t>
      </w:r>
    </w:p>
    <w:p>
      <w:r>
        <w:rPr>
          <w:rFonts w:ascii="Calibri" w:hAnsi="Calibri" w:eastAsia="微软雅黑"/>
          <w:b/>
          <w:i w:val="0"/>
          <w:sz w:val="22"/>
        </w:rPr>
        <w:t>基线事实。</w:t>
      </w:r>
      <w:r>
        <w:rPr>
          <w:rFonts w:ascii="Calibri" w:hAnsi="Calibri" w:eastAsia="微软雅黑"/>
          <w:b w:val="0"/>
          <w:i w:val="0"/>
          <w:sz w:val="22"/>
        </w:rPr>
        <w:t xml:space="preserve"> 国际基本盘仍在增长：2026年1-8月我国对外承包工程业务完成营业额7937.1亿元人民币、同比增长5.8%（以美元计为1156.1亿美元、增长9.9%），但新签合同额11763.2亿元人民币、下降3.0%（以美元计为1713.4亿美元、增长0.7%）——完成额与签约额一升一降，增量承压（P12018、P12019）。中资工程力量的海外存在已具规模：截至2025年末我国在境外设立企业5.8万家、遍布189个国家和地区，境外企业从业员工总数476.1万人、其中雇用外方员工296.5万人（P12018、P12019）。设计院出海的老样本证明了模式可行：浙江城建自2004年以来在阿尔及利亚采用工程总承包模式，累计业务额近100亿、完成产值近70亿元（P12008）。标准输出的新打法已经启动：中机国际主编国家标准《低压配电技术标准》GB/T 50054-2025并启动中译英工作，推动中国标准与IEC国际标准接轨，以「标准出海」破除对外工程承包的技术标准壁垒、赋能「一带一路」跨国EPC项目协同交付（P12020）。高端领域的雄心亦有背书：中国已确立2030年成为世界最大「核能强国」的目标（P12013），核电EPC的出海核心竞争力已从技术输出转向标准与文化的双重输出（P12001）。</w:t>
      </w:r>
    </w:p>
    <w:p>
      <w:r>
        <w:rPr>
          <w:rFonts w:ascii="Calibri" w:hAnsi="Calibri" w:eastAsia="微软雅黑"/>
          <w:b/>
          <w:i w:val="0"/>
          <w:sz w:val="22"/>
        </w:rPr>
        <w:t>推演逻辑。</w:t>
      </w:r>
      <w:r>
        <w:rPr>
          <w:rFonts w:ascii="Calibri" w:hAnsi="Calibri" w:eastAsia="微软雅黑"/>
          <w:b w:val="0"/>
          <w:i w:val="0"/>
          <w:sz w:val="22"/>
        </w:rPr>
        <w:t xml:space="preserve"> 新签合同额下降3.0%而完成额增长5.8%（P12018）的组合说明国际市场进入了「存量执行、增量难签」阶段，靠低价抢单的出海模式边际失效；下一轮出海的胜负手是「标准+服务」：谁能把自己的设计标准嵌进东道国的技术规范体系（参照GB/T 50054-2025中译英路径，P12020），谁就能把一次性工程合同转化为长期的技术话语权与后续服务流。设计院在这轮升级中有先天位置——标准翻译、标准对标、按中国标准做的全周期设计服务，都是设计智力密集环节。推演到2026-2029年：第一，更多头部设计院将启动自有标准与国际标准的双向转译项目；第二，国际业务从EPC单点出海升级为「标准+咨询+EPC+运维」组合出海，与趋势五的全生命周期延伸（P12027）在国际市场汇流；第三，境外本地化经营成为硬指标——296.5万外方雇员（P12018）所代表的属地化用工生态，会倒逼设计院的海外交付团队本地化。「所以呢」：设计院的国际业务评估维度应从「完成了多少合同额」改为「进入了多少国家的标准体系与服务网络」，前者是周期性生意，后者是复利资产。</w:t>
      </w:r>
    </w:p>
    <w:p>
      <w:r>
        <w:rPr>
          <w:rFonts w:ascii="Calibri" w:hAnsi="Calibri" w:eastAsia="微软雅黑"/>
          <w:b/>
          <w:i w:val="0"/>
          <w:sz w:val="22"/>
        </w:rPr>
        <w:t>反证检验。</w:t>
      </w:r>
      <w:r>
        <w:rPr>
          <w:rFonts w:ascii="Calibri" w:hAnsi="Calibri" w:eastAsia="微软雅黑"/>
          <w:b w:val="0"/>
          <w:i w:val="0"/>
          <w:sz w:val="22"/>
        </w:rPr>
        <w:t xml:space="preserve"> 反证一：新签合同额已经下降3.0%（P12018），若地缘政治与东道国债务风险持续恶化，国际业务可能整体收缩，「标准出海」只是少数头部院的奢侈动作，对多数设计院不构成可行选项。反证二：浙江城建的阿尔及利亚样本始于2004年（P12008），用二十年前的模式验证今天的战略，时效性存疑；而GB/T 50054-2025的英译工作刚启动（P12020），能否真正进入东道国规范体系尚无结果证据。裁决：趋势方向成立但参与者分层——对多数设计院，务实的国际化是「跟随出海」（为中国总包商的海外项目提供设计分包与咨询服务）而非「标准出海」；把标准输出当作头部院所的战略、把服务输出当作自身的战术，是风险收益最匹配的组合。组合出海的组织形态亦有先例可循：中机国际把主编《低压配电技术标准》GB/T 50054-2025并启动中译英的标准工作，直接嵌入「一带一路」跨国EPC项目的协同交付（P12020）；浙江城建则以始于2004年的阿尔及利亚总承包实践证明了区域深耕的价值（P12008）。两条路径叠加指向同一个动作：把标准、案例、属地伙伴沉淀为可复用资产，让每一次出海都比上一次便宜。</w:t>
      </w:r>
    </w:p>
    <w:p>
      <w:pPr>
        <w:pStyle w:val="Heading2"/>
      </w:pPr>
      <w:r>
        <w:t>12.5 买方决策台：把十二个趋势折算成一张三年行动账</w:t>
      </w:r>
    </w:p>
    <w:p>
      <w:r>
        <w:rPr>
          <w:rFonts w:ascii="Calibri" w:hAnsi="Calibri" w:eastAsia="微软雅黑"/>
          <w:b w:val="0"/>
          <w:i w:val="0"/>
          <w:sz w:val="22"/>
        </w:rPr>
        <w:t>预判的价值不在读完点头，而在合卷之后还能改哪张表、否掉哪类单、招进哪样人。本节是全章的「买方出口」，把十二个趋势压成三件可执行的东西：一张对照表（每个趋势配一条自查指标、一条动作、一条否决线）、一组九十天就能启动的动作、两条里程碑线。对照表中的红线数字全部沿用本章已验锚号，不引入任何新估算；启动动作按「不新增大额预算也能干」筛选——转型方案若只有靠新增投入才能开局，多半会死在第一次预算会上。</w:t>
      </w:r>
    </w:p>
    <w:p>
      <w:pPr>
        <w:pStyle w:val="Heading3"/>
      </w:pPr>
      <w:r>
        <w:t>12.5.1 十二趋势对照表：先看否决线，再回头看病历</w:t>
      </w:r>
    </w:p>
    <w:p>
      <w:r>
        <w:rPr>
          <w:rFonts w:ascii="Calibri" w:hAnsi="Calibri" w:eastAsia="微软雅黑"/>
          <w:b w:val="0"/>
          <w:i w:val="0"/>
          <w:sz w:val="22"/>
        </w:rPr>
        <w:t>读表顺序是第三列优先：否决线决定本院还进不进这个赛道，自查指标判断离线多远，动作只回答「下个季度干什么」。表内红线均有判例或政策锚，可直接抄进投标管理办法与预算制度。</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趋势</w:t>
            </w:r>
          </w:p>
        </w:tc>
        <w:tc>
          <w:tcPr>
            <w:tcW w:type="dxa" w:w="2075"/>
            <w:shd w:fill="1F3A5F"/>
          </w:tcPr>
          <w:p>
            <w:r>
              <w:rPr>
                <w:color w:val="FFFFFF"/>
              </w:rPr>
            </w:r>
            <w:r>
              <w:rPr>
                <w:rFonts w:ascii="Calibri" w:hAnsi="Calibri" w:eastAsia="微软雅黑"/>
                <w:b/>
                <w:i w:val="0"/>
                <w:color w:val="FFFFFF"/>
                <w:sz w:val="18"/>
              </w:rPr>
              <w:t>自查指标（本院台账可算）</w:t>
            </w:r>
          </w:p>
        </w:tc>
        <w:tc>
          <w:tcPr>
            <w:tcW w:type="dxa" w:w="2075"/>
            <w:shd w:fill="1F3A5F"/>
          </w:tcPr>
          <w:p>
            <w:r>
              <w:rPr>
                <w:color w:val="FFFFFF"/>
              </w:rPr>
            </w:r>
            <w:r>
              <w:rPr>
                <w:rFonts w:ascii="Calibri" w:hAnsi="Calibri" w:eastAsia="微软雅黑"/>
                <w:b/>
                <w:i w:val="0"/>
                <w:color w:val="FFFFFF"/>
                <w:sz w:val="18"/>
              </w:rPr>
              <w:t>九十天动作</w:t>
            </w:r>
          </w:p>
        </w:tc>
        <w:tc>
          <w:tcPr>
            <w:tcW w:type="dxa" w:w="2075"/>
            <w:shd w:fill="1F3A5F"/>
          </w:tcPr>
          <w:p>
            <w:r>
              <w:rPr>
                <w:color w:val="FFFFFF"/>
              </w:rPr>
            </w:r>
            <w:r>
              <w:rPr>
                <w:rFonts w:ascii="Calibri" w:hAnsi="Calibri" w:eastAsia="微软雅黑"/>
                <w:b/>
                <w:i w:val="0"/>
                <w:color w:val="FFFFFF"/>
                <w:sz w:val="18"/>
              </w:rPr>
              <w:t>否决线 / 红线</w:t>
            </w:r>
          </w:p>
        </w:tc>
      </w:tr>
      <w:tr>
        <w:tc>
          <w:tcPr>
            <w:tcW w:type="dxa" w:w="2075"/>
          </w:tcPr>
          <w:p>
            <w:r/>
            <w:r>
              <w:rPr>
                <w:rFonts w:ascii="Calibri" w:hAnsi="Calibri" w:eastAsia="微软雅黑"/>
                <w:b w:val="0"/>
                <w:i w:val="0"/>
                <w:sz w:val="18"/>
              </w:rPr>
              <w:t>一 收缩常态</w:t>
            </w:r>
          </w:p>
        </w:tc>
        <w:tc>
          <w:tcPr>
            <w:tcW w:type="dxa" w:w="2075"/>
          </w:tcPr>
          <w:p>
            <w:r/>
            <w:r>
              <w:rPr>
                <w:rFonts w:ascii="Calibri" w:hAnsi="Calibri" w:eastAsia="微软雅黑"/>
                <w:b w:val="0"/>
                <w:i w:val="0"/>
                <w:sz w:val="18"/>
              </w:rPr>
              <w:t>在手订单「存量维修型」占比与两年走势</w:t>
            </w:r>
          </w:p>
        </w:tc>
        <w:tc>
          <w:tcPr>
            <w:tcW w:type="dxa" w:w="2075"/>
          </w:tcPr>
          <w:p>
            <w:r/>
            <w:r>
              <w:rPr>
                <w:rFonts w:ascii="Calibri" w:hAnsi="Calibri" w:eastAsia="微软雅黑"/>
                <w:b w:val="0"/>
                <w:i w:val="0"/>
                <w:sz w:val="18"/>
              </w:rPr>
              <w:t>按趋势一方法分桶，出一张订单分桶表</w:t>
            </w:r>
          </w:p>
        </w:tc>
        <w:tc>
          <w:tcPr>
            <w:tcW w:type="dxa" w:w="2075"/>
          </w:tcPr>
          <w:p>
            <w:r/>
            <w:r>
              <w:rPr>
                <w:rFonts w:ascii="Calibri" w:hAnsi="Calibri" w:eastAsia="微软雅黑"/>
                <w:b w:val="0"/>
                <w:i w:val="0"/>
                <w:sz w:val="18"/>
              </w:rPr>
              <w:t>存量型升、系统重构型零新增，即废弃「等回暖」预算</w:t>
            </w:r>
          </w:p>
        </w:tc>
      </w:tr>
      <w:tr>
        <w:tc>
          <w:tcPr>
            <w:tcW w:type="dxa" w:w="2075"/>
          </w:tcPr>
          <w:p>
            <w:r/>
            <w:r>
              <w:rPr>
                <w:rFonts w:ascii="Calibri" w:hAnsi="Calibri" w:eastAsia="微软雅黑"/>
                <w:b w:val="0"/>
                <w:i w:val="0"/>
                <w:sz w:val="18"/>
              </w:rPr>
              <w:t>二 更新主赛道</w:t>
            </w:r>
          </w:p>
        </w:tc>
        <w:tc>
          <w:tcPr>
            <w:tcW w:type="dxa" w:w="2075"/>
          </w:tcPr>
          <w:p>
            <w:r/>
            <w:r>
              <w:rPr>
                <w:rFonts w:ascii="Calibri" w:hAnsi="Calibri" w:eastAsia="微软雅黑"/>
                <w:b w:val="0"/>
                <w:i w:val="0"/>
                <w:sz w:val="18"/>
              </w:rPr>
              <w:t>城投客户公益性与准公益性收入占比（对标中位数58.4%，P12025）</w:t>
            </w:r>
          </w:p>
        </w:tc>
        <w:tc>
          <w:tcPr>
            <w:tcW w:type="dxa" w:w="2075"/>
          </w:tcPr>
          <w:p>
            <w:r/>
            <w:r>
              <w:rPr>
                <w:rFonts w:ascii="Calibri" w:hAnsi="Calibri" w:eastAsia="微软雅黑"/>
                <w:b w:val="0"/>
                <w:i w:val="0"/>
                <w:sz w:val="18"/>
              </w:rPr>
              <w:t>把可研财务评价切换为存量资产逻辑</w:t>
            </w:r>
          </w:p>
        </w:tc>
        <w:tc>
          <w:tcPr>
            <w:tcW w:type="dxa" w:w="2075"/>
          </w:tcPr>
          <w:p>
            <w:r/>
            <w:r>
              <w:rPr>
                <w:rFonts w:ascii="Calibri" w:hAnsi="Calibri" w:eastAsia="微软雅黑"/>
                <w:b w:val="0"/>
                <w:i w:val="0"/>
                <w:sz w:val="18"/>
              </w:rPr>
              <w:t>单一城投回款依赖超限即压缩授信</w:t>
            </w:r>
          </w:p>
        </w:tc>
      </w:tr>
      <w:tr>
        <w:tc>
          <w:tcPr>
            <w:tcW w:type="dxa" w:w="2075"/>
          </w:tcPr>
          <w:p>
            <w:r/>
            <w:r>
              <w:rPr>
                <w:rFonts w:ascii="Calibri" w:hAnsi="Calibri" w:eastAsia="微软雅黑"/>
                <w:b w:val="0"/>
                <w:i w:val="0"/>
                <w:sz w:val="18"/>
              </w:rPr>
              <w:t>三 能源算力增量</w:t>
            </w:r>
          </w:p>
        </w:tc>
        <w:tc>
          <w:tcPr>
            <w:tcW w:type="dxa" w:w="2075"/>
          </w:tcPr>
          <w:p>
            <w:r/>
            <w:r>
              <w:rPr>
                <w:rFonts w:ascii="Calibri" w:hAnsi="Calibri" w:eastAsia="微软雅黑"/>
                <w:b w:val="0"/>
                <w:i w:val="0"/>
                <w:sz w:val="18"/>
              </w:rPr>
              <w:t>本院在电力、算力链条的专业覆盖缺口</w:t>
            </w:r>
          </w:p>
        </w:tc>
        <w:tc>
          <w:tcPr>
            <w:tcW w:type="dxa" w:w="2075"/>
          </w:tcPr>
          <w:p>
            <w:r/>
            <w:r>
              <w:rPr>
                <w:rFonts w:ascii="Calibri" w:hAnsi="Calibri" w:eastAsia="微软雅黑"/>
                <w:b w:val="0"/>
                <w:i w:val="0"/>
                <w:sz w:val="18"/>
              </w:rPr>
              <w:t>选定零碳园区或数据中心供配电一个搭桥产品</w:t>
            </w:r>
          </w:p>
        </w:tc>
        <w:tc>
          <w:tcPr>
            <w:tcW w:type="dxa" w:w="2075"/>
          </w:tcPr>
          <w:p>
            <w:r/>
            <w:r>
              <w:rPr>
                <w:rFonts w:ascii="Calibri" w:hAnsi="Calibri" w:eastAsia="微软雅黑"/>
                <w:b w:val="0"/>
                <w:i w:val="0"/>
                <w:sz w:val="18"/>
              </w:rPr>
              <w:t>无技术断层预案不投大基地标</w:t>
            </w:r>
          </w:p>
        </w:tc>
      </w:tr>
      <w:tr>
        <w:tc>
          <w:tcPr>
            <w:tcW w:type="dxa" w:w="2075"/>
          </w:tcPr>
          <w:p>
            <w:r/>
            <w:r>
              <w:rPr>
                <w:rFonts w:ascii="Calibri" w:hAnsi="Calibri" w:eastAsia="微软雅黑"/>
                <w:b w:val="0"/>
                <w:i w:val="0"/>
                <w:sz w:val="18"/>
              </w:rPr>
              <w:t>四 EPC必选项</w:t>
            </w:r>
          </w:p>
        </w:tc>
        <w:tc>
          <w:tcPr>
            <w:tcW w:type="dxa" w:w="2075"/>
          </w:tcPr>
          <w:p>
            <w:r/>
            <w:r>
              <w:rPr>
                <w:rFonts w:ascii="Calibri" w:hAnsi="Calibri" w:eastAsia="微软雅黑"/>
                <w:b w:val="0"/>
                <w:i w:val="0"/>
                <w:sz w:val="18"/>
              </w:rPr>
              <w:t>总包占新签比例对照23%到83%标杆（P12014）</w:t>
            </w:r>
          </w:p>
        </w:tc>
        <w:tc>
          <w:tcPr>
            <w:tcW w:type="dxa" w:w="2075"/>
          </w:tcPr>
          <w:p>
            <w:r/>
            <w:r>
              <w:rPr>
                <w:rFonts w:ascii="Calibri" w:hAnsi="Calibri" w:eastAsia="微软雅黑"/>
                <w:b w:val="0"/>
                <w:i w:val="0"/>
                <w:sz w:val="18"/>
              </w:rPr>
              <w:t>用利港范围链逐环节对照能力（P12021）</w:t>
            </w:r>
          </w:p>
        </w:tc>
        <w:tc>
          <w:tcPr>
            <w:tcW w:type="dxa" w:w="2075"/>
          </w:tcPr>
          <w:p>
            <w:r/>
            <w:r>
              <w:rPr>
                <w:rFonts w:ascii="Calibri" w:hAnsi="Calibri" w:eastAsia="微软雅黑"/>
                <w:b w:val="0"/>
                <w:i w:val="0"/>
                <w:sz w:val="18"/>
              </w:rPr>
              <w:t>三大资源、四大能力盘点不齐不立项（P12034）</w:t>
            </w:r>
          </w:p>
        </w:tc>
      </w:tr>
      <w:tr>
        <w:tc>
          <w:tcPr>
            <w:tcW w:type="dxa" w:w="2075"/>
          </w:tcPr>
          <w:p>
            <w:r/>
            <w:r>
              <w:rPr>
                <w:rFonts w:ascii="Calibri" w:hAnsi="Calibri" w:eastAsia="微软雅黑"/>
                <w:b w:val="0"/>
                <w:i w:val="0"/>
                <w:sz w:val="18"/>
              </w:rPr>
              <w:t>五 全周期延伸</w:t>
            </w:r>
          </w:p>
        </w:tc>
        <w:tc>
          <w:tcPr>
            <w:tcW w:type="dxa" w:w="2075"/>
          </w:tcPr>
          <w:p>
            <w:r/>
            <w:r>
              <w:rPr>
                <w:rFonts w:ascii="Calibri" w:hAnsi="Calibri" w:eastAsia="微软雅黑"/>
                <w:b w:val="0"/>
                <w:i w:val="0"/>
                <w:sz w:val="18"/>
              </w:rPr>
              <w:t>「向前」咨询与「向后」运维产品各有还是没有</w:t>
            </w:r>
          </w:p>
        </w:tc>
        <w:tc>
          <w:tcPr>
            <w:tcW w:type="dxa" w:w="2075"/>
          </w:tcPr>
          <w:p>
            <w:r/>
            <w:r>
              <w:rPr>
                <w:rFonts w:ascii="Calibri" w:hAnsi="Calibri" w:eastAsia="微软雅黑"/>
                <w:b w:val="0"/>
                <w:i w:val="0"/>
                <w:sz w:val="18"/>
              </w:rPr>
              <w:t>挑最熟业主试水一份投资决策咨询</w:t>
            </w:r>
          </w:p>
        </w:tc>
        <w:tc>
          <w:tcPr>
            <w:tcW w:type="dxa" w:w="2075"/>
          </w:tcPr>
          <w:p>
            <w:r/>
            <w:r>
              <w:rPr>
                <w:rFonts w:ascii="Calibri" w:hAnsi="Calibri" w:eastAsia="微软雅黑"/>
                <w:b w:val="0"/>
                <w:i w:val="0"/>
                <w:sz w:val="18"/>
              </w:rPr>
              <w:t>担不起性能责任不接运维包（4.52%判例，P12022）</w:t>
            </w:r>
          </w:p>
        </w:tc>
      </w:tr>
      <w:tr>
        <w:tc>
          <w:tcPr>
            <w:tcW w:type="dxa" w:w="2075"/>
          </w:tcPr>
          <w:p>
            <w:r/>
            <w:r>
              <w:rPr>
                <w:rFonts w:ascii="Calibri" w:hAnsi="Calibri" w:eastAsia="微软雅黑"/>
                <w:b w:val="0"/>
                <w:i w:val="0"/>
                <w:sz w:val="18"/>
              </w:rPr>
              <w:t>六 投建运一体化</w:t>
            </w:r>
          </w:p>
        </w:tc>
        <w:tc>
          <w:tcPr>
            <w:tcW w:type="dxa" w:w="2075"/>
          </w:tcPr>
          <w:p>
            <w:r/>
            <w:r>
              <w:rPr>
                <w:rFonts w:ascii="Calibri" w:hAnsi="Calibri" w:eastAsia="微软雅黑"/>
                <w:b w:val="0"/>
                <w:i w:val="0"/>
                <w:sz w:val="18"/>
              </w:rPr>
              <w:t>有无投资测算与法务风控团队</w:t>
            </w:r>
          </w:p>
        </w:tc>
        <w:tc>
          <w:tcPr>
            <w:tcW w:type="dxa" w:w="2075"/>
          </w:tcPr>
          <w:p>
            <w:r/>
            <w:r>
              <w:rPr>
                <w:rFonts w:ascii="Calibri" w:hAnsi="Calibri" w:eastAsia="微软雅黑"/>
                <w:b w:val="0"/>
                <w:i w:val="0"/>
                <w:sz w:val="18"/>
              </w:rPr>
              <w:t>以群组项目管理形态嵌入片区（P12009）</w:t>
            </w:r>
          </w:p>
        </w:tc>
        <w:tc>
          <w:tcPr>
            <w:tcW w:type="dxa" w:w="2075"/>
          </w:tcPr>
          <w:p>
            <w:r/>
            <w:r>
              <w:rPr>
                <w:rFonts w:ascii="Calibri" w:hAnsi="Calibri" w:eastAsia="微软雅黑"/>
                <w:b w:val="0"/>
                <w:i w:val="0"/>
                <w:sz w:val="18"/>
              </w:rPr>
              <w:t>参与链条、不做投资主体</w:t>
            </w:r>
          </w:p>
        </w:tc>
      </w:tr>
      <w:tr>
        <w:tc>
          <w:tcPr>
            <w:tcW w:type="dxa" w:w="2075"/>
          </w:tcPr>
          <w:p>
            <w:r/>
            <w:r>
              <w:rPr>
                <w:rFonts w:ascii="Calibri" w:hAnsi="Calibri" w:eastAsia="微软雅黑"/>
                <w:b w:val="0"/>
                <w:i w:val="0"/>
                <w:sz w:val="18"/>
              </w:rPr>
              <w:t>七 数字化2027</w:t>
            </w:r>
          </w:p>
        </w:tc>
        <w:tc>
          <w:tcPr>
            <w:tcW w:type="dxa" w:w="2075"/>
          </w:tcPr>
          <w:p>
            <w:r/>
            <w:r>
              <w:rPr>
                <w:rFonts w:ascii="Calibri" w:hAnsi="Calibri" w:eastAsia="微软雅黑"/>
                <w:b w:val="0"/>
                <w:i w:val="0"/>
                <w:sz w:val="18"/>
              </w:rPr>
              <w:t>设计成果能否结构化输出、数据能否回溯成本</w:t>
            </w:r>
          </w:p>
        </w:tc>
        <w:tc>
          <w:tcPr>
            <w:tcW w:type="dxa" w:w="2075"/>
          </w:tcPr>
          <w:p>
            <w:r/>
            <w:r>
              <w:rPr>
                <w:rFonts w:ascii="Calibri" w:hAnsi="Calibri" w:eastAsia="微软雅黑"/>
                <w:b w:val="0"/>
                <w:i w:val="0"/>
                <w:sz w:val="18"/>
              </w:rPr>
              <w:t>立项一个最小业务闭环（P12030）</w:t>
            </w:r>
          </w:p>
        </w:tc>
        <w:tc>
          <w:tcPr>
            <w:tcW w:type="dxa" w:w="2075"/>
          </w:tcPr>
          <w:p>
            <w:r/>
            <w:r>
              <w:rPr>
                <w:rFonts w:ascii="Calibri" w:hAnsi="Calibri" w:eastAsia="微软雅黑"/>
                <w:b w:val="0"/>
                <w:i w:val="0"/>
                <w:sz w:val="18"/>
              </w:rPr>
              <w:t>无量化效益验收指标的数字化项目不批</w:t>
            </w:r>
          </w:p>
        </w:tc>
      </w:tr>
      <w:tr>
        <w:tc>
          <w:tcPr>
            <w:tcW w:type="dxa" w:w="2075"/>
          </w:tcPr>
          <w:p>
            <w:r/>
            <w:r>
              <w:rPr>
                <w:rFonts w:ascii="Calibri" w:hAnsi="Calibri" w:eastAsia="微软雅黑"/>
                <w:b w:val="0"/>
                <w:i w:val="0"/>
                <w:sz w:val="18"/>
              </w:rPr>
              <w:t>八 AI重组流程</w:t>
            </w:r>
          </w:p>
        </w:tc>
        <w:tc>
          <w:tcPr>
            <w:tcW w:type="dxa" w:w="2075"/>
          </w:tcPr>
          <w:p>
            <w:r/>
            <w:r>
              <w:rPr>
                <w:rFonts w:ascii="Calibri" w:hAnsi="Calibri" w:eastAsia="微软雅黑"/>
                <w:b w:val="0"/>
                <w:i w:val="0"/>
                <w:sz w:val="18"/>
              </w:rPr>
              <w:t>报价、报告场景有无实测提效数据</w:t>
            </w:r>
          </w:p>
        </w:tc>
        <w:tc>
          <w:tcPr>
            <w:tcW w:type="dxa" w:w="2075"/>
          </w:tcPr>
          <w:p>
            <w:r/>
            <w:r>
              <w:rPr>
                <w:rFonts w:ascii="Calibri" w:hAnsi="Calibri" w:eastAsia="微软雅黑"/>
                <w:b w:val="0"/>
                <w:i w:val="0"/>
                <w:sz w:val="18"/>
              </w:rPr>
              <w:t>按建底座、养人才、找场景三步法启动（P12031）</w:t>
            </w:r>
          </w:p>
        </w:tc>
        <w:tc>
          <w:tcPr>
            <w:tcW w:type="dxa" w:w="2075"/>
          </w:tcPr>
          <w:p>
            <w:r/>
            <w:r>
              <w:rPr>
                <w:rFonts w:ascii="Calibri" w:hAnsi="Calibri" w:eastAsia="微软雅黑"/>
                <w:b w:val="0"/>
                <w:i w:val="0"/>
                <w:sz w:val="18"/>
              </w:rPr>
              <w:t>文本环节激进、图形环节保守</w:t>
            </w:r>
          </w:p>
        </w:tc>
      </w:tr>
      <w:tr>
        <w:tc>
          <w:tcPr>
            <w:tcW w:type="dxa" w:w="2075"/>
          </w:tcPr>
          <w:p>
            <w:r/>
            <w:r>
              <w:rPr>
                <w:rFonts w:ascii="Calibri" w:hAnsi="Calibri" w:eastAsia="微软雅黑"/>
                <w:b w:val="0"/>
                <w:i w:val="0"/>
                <w:sz w:val="18"/>
              </w:rPr>
              <w:t>九 绿色入场券</w:t>
            </w:r>
          </w:p>
        </w:tc>
        <w:tc>
          <w:tcPr>
            <w:tcW w:type="dxa" w:w="2075"/>
          </w:tcPr>
          <w:p>
            <w:r/>
            <w:r>
              <w:rPr>
                <w:rFonts w:ascii="Calibri" w:hAnsi="Calibri" w:eastAsia="微软雅黑"/>
                <w:b w:val="0"/>
                <w:i w:val="0"/>
                <w:sz w:val="18"/>
              </w:rPr>
              <w:t>绿色指标是否嵌入标准图与出图流程</w:t>
            </w:r>
          </w:p>
        </w:tc>
        <w:tc>
          <w:tcPr>
            <w:tcW w:type="dxa" w:w="2075"/>
          </w:tcPr>
          <w:p>
            <w:r/>
            <w:r>
              <w:rPr>
                <w:rFonts w:ascii="Calibri" w:hAnsi="Calibri" w:eastAsia="微软雅黑"/>
                <w:b w:val="0"/>
                <w:i w:val="0"/>
                <w:sz w:val="18"/>
              </w:rPr>
              <w:t>把碳核算、绿电规划打包成可售清单</w:t>
            </w:r>
          </w:p>
        </w:tc>
        <w:tc>
          <w:tcPr>
            <w:tcW w:type="dxa" w:w="2075"/>
          </w:tcPr>
          <w:p>
            <w:r/>
            <w:r>
              <w:rPr>
                <w:rFonts w:ascii="Calibri" w:hAnsi="Calibri" w:eastAsia="微软雅黑"/>
                <w:b w:val="0"/>
                <w:i w:val="0"/>
                <w:sz w:val="18"/>
              </w:rPr>
              <w:t>低成本绿色优先，不堆增量投资</w:t>
            </w:r>
          </w:p>
        </w:tc>
      </w:tr>
      <w:tr>
        <w:tc>
          <w:tcPr>
            <w:tcW w:type="dxa" w:w="2075"/>
          </w:tcPr>
          <w:p>
            <w:r/>
            <w:r>
              <w:rPr>
                <w:rFonts w:ascii="Calibri" w:hAnsi="Calibri" w:eastAsia="微软雅黑"/>
                <w:b w:val="0"/>
                <w:i w:val="0"/>
                <w:sz w:val="18"/>
              </w:rPr>
              <w:t>十 生态位上下</w:t>
            </w:r>
          </w:p>
        </w:tc>
        <w:tc>
          <w:tcPr>
            <w:tcW w:type="dxa" w:w="2075"/>
          </w:tcPr>
          <w:p>
            <w:r/>
            <w:r>
              <w:rPr>
                <w:rFonts w:ascii="Calibri" w:hAnsi="Calibri" w:eastAsia="微软雅黑"/>
                <w:b w:val="0"/>
                <w:i w:val="0"/>
                <w:sz w:val="18"/>
              </w:rPr>
              <w:t>本院在本省中标语料的排位与成因</w:t>
            </w:r>
          </w:p>
        </w:tc>
        <w:tc>
          <w:tcPr>
            <w:tcW w:type="dxa" w:w="2075"/>
          </w:tcPr>
          <w:p>
            <w:r/>
            <w:r>
              <w:rPr>
                <w:rFonts w:ascii="Calibri" w:hAnsi="Calibri" w:eastAsia="微软雅黑"/>
                <w:b w:val="0"/>
                <w:i w:val="0"/>
                <w:sz w:val="18"/>
              </w:rPr>
              <w:t>形成董事会级的「上或下」决议</w:t>
            </w:r>
          </w:p>
        </w:tc>
        <w:tc>
          <w:tcPr>
            <w:tcW w:type="dxa" w:w="2075"/>
          </w:tcPr>
          <w:p>
            <w:r/>
            <w:r>
              <w:rPr>
                <w:rFonts w:ascii="Calibri" w:hAnsi="Calibri" w:eastAsia="微软雅黑"/>
                <w:b w:val="0"/>
                <w:i w:val="0"/>
                <w:sz w:val="18"/>
              </w:rPr>
              <w:t>骑墙策略拖过三年即出局</w:t>
            </w:r>
          </w:p>
        </w:tc>
      </w:tr>
      <w:tr>
        <w:tc>
          <w:tcPr>
            <w:tcW w:type="dxa" w:w="2075"/>
          </w:tcPr>
          <w:p>
            <w:r/>
            <w:r>
              <w:rPr>
                <w:rFonts w:ascii="Calibri" w:hAnsi="Calibri" w:eastAsia="微软雅黑"/>
                <w:b w:val="0"/>
                <w:i w:val="0"/>
                <w:sz w:val="18"/>
              </w:rPr>
              <w:t>十一 风险定价</w:t>
            </w:r>
          </w:p>
        </w:tc>
        <w:tc>
          <w:tcPr>
            <w:tcW w:type="dxa" w:w="2075"/>
          </w:tcPr>
          <w:p>
            <w:r/>
            <w:r>
              <w:rPr>
                <w:rFonts w:ascii="Calibri" w:hAnsi="Calibri" w:eastAsia="微软雅黑"/>
                <w:b w:val="0"/>
                <w:i w:val="0"/>
                <w:sz w:val="18"/>
              </w:rPr>
              <w:t>投标评审有无三算合一与红线否决项</w:t>
            </w:r>
          </w:p>
        </w:tc>
        <w:tc>
          <w:tcPr>
            <w:tcW w:type="dxa" w:w="2075"/>
          </w:tcPr>
          <w:p>
            <w:r/>
            <w:r>
              <w:rPr>
                <w:rFonts w:ascii="Calibri" w:hAnsi="Calibri" w:eastAsia="微软雅黑"/>
                <w:b w:val="0"/>
                <w:i w:val="0"/>
                <w:sz w:val="18"/>
              </w:rPr>
              <w:t>把4.52%、60%、10%写入否决清单（P12022）</w:t>
            </w:r>
          </w:p>
        </w:tc>
        <w:tc>
          <w:tcPr>
            <w:tcW w:type="dxa" w:w="2075"/>
          </w:tcPr>
          <w:p>
            <w:r/>
            <w:r>
              <w:rPr>
                <w:rFonts w:ascii="Calibri" w:hAnsi="Calibri" w:eastAsia="微软雅黑"/>
                <w:b w:val="0"/>
                <w:i w:val="0"/>
                <w:sz w:val="18"/>
              </w:rPr>
              <w:t>两金占用率35%预警（P12022）</w:t>
            </w:r>
          </w:p>
        </w:tc>
      </w:tr>
      <w:tr>
        <w:tc>
          <w:tcPr>
            <w:tcW w:type="dxa" w:w="2075"/>
          </w:tcPr>
          <w:p>
            <w:r/>
            <w:r>
              <w:rPr>
                <w:rFonts w:ascii="Calibri" w:hAnsi="Calibri" w:eastAsia="微软雅黑"/>
                <w:b w:val="0"/>
                <w:i w:val="0"/>
                <w:sz w:val="18"/>
              </w:rPr>
              <w:t>十二 标准出海</w:t>
            </w:r>
          </w:p>
        </w:tc>
        <w:tc>
          <w:tcPr>
            <w:tcW w:type="dxa" w:w="2075"/>
          </w:tcPr>
          <w:p>
            <w:r/>
            <w:r>
              <w:rPr>
                <w:rFonts w:ascii="Calibri" w:hAnsi="Calibri" w:eastAsia="微软雅黑"/>
                <w:b w:val="0"/>
                <w:i w:val="0"/>
                <w:sz w:val="18"/>
              </w:rPr>
              <w:t>国际业务中设计分包与标准转译的占比</w:t>
            </w:r>
          </w:p>
        </w:tc>
        <w:tc>
          <w:tcPr>
            <w:tcW w:type="dxa" w:w="2075"/>
          </w:tcPr>
          <w:p>
            <w:r/>
            <w:r>
              <w:rPr>
                <w:rFonts w:ascii="Calibri" w:hAnsi="Calibri" w:eastAsia="微软雅黑"/>
                <w:b w:val="0"/>
                <w:i w:val="0"/>
                <w:sz w:val="18"/>
              </w:rPr>
              <w:t>先做跟随出海，服务输出当战术</w:t>
            </w:r>
          </w:p>
        </w:tc>
        <w:tc>
          <w:tcPr>
            <w:tcW w:type="dxa" w:w="2075"/>
          </w:tcPr>
          <w:p>
            <w:r/>
            <w:r>
              <w:rPr>
                <w:rFonts w:ascii="Calibri" w:hAnsi="Calibri" w:eastAsia="微软雅黑"/>
                <w:b w:val="0"/>
                <w:i w:val="0"/>
                <w:sz w:val="18"/>
              </w:rPr>
              <w:t>新签合同额下降3.0%期间不做重资产押注（P12018）</w:t>
            </w:r>
          </w:p>
        </w:tc>
      </w:tr>
    </w:tbl>
    <w:p>
      <w:r>
        <w:rPr>
          <w:rFonts w:ascii="Calibri" w:hAnsi="Calibri" w:eastAsia="微软雅黑"/>
          <w:b w:val="0"/>
          <w:i w:val="0"/>
          <w:sz w:val="22"/>
        </w:rPr>
        <w:t>三种读法按角色分：院长读第四列——否决线是院长的权力清单，砍掉越线业务的决策不必等共识；经营副院长读第二列——自查指标必须落进月度经营报表，否则对照表三个月后自动失效；总工与数字化负责人读第三列——动作的完成标准不是「开了会」，而是产出一件可审计的交付物（一张订单分桶表、一张能力底表、一套合同条款模板、一份带验收标尺的立项书）。对照表最常见的死法，是被做成一次性的战略汇报材料，讲完即归档；防止的办法是把全部自查指标写进季度经营分析会的固定议程——议程里没有位置的事项，组织不会给它记忆。</w:t>
      </w:r>
    </w:p>
    <w:p>
      <w:pPr>
        <w:pStyle w:val="Heading3"/>
      </w:pPr>
      <w:r>
        <w:t>12.5.2 九十天启动：四个不新增大额预算的动作</w:t>
      </w:r>
    </w:p>
    <w:p>
      <w:r>
        <w:rPr>
          <w:rFonts w:ascii="Calibri" w:hAnsi="Calibri" w:eastAsia="微软雅黑"/>
          <w:b w:val="0"/>
          <w:i w:val="0"/>
          <w:sz w:val="22"/>
        </w:rPr>
        <w:t>动作一，订单分桶。把全部在手订单按「系统重构型」与「存量维修型」分桶（方法见趋势一），连同两年走势贴在经营例会上。这张表的唯一使命是终结争论：若存量型占比持续上升而系统重构型零新增，本院实际活在收缩区，一切以市场回暖为前提的三年规划当场作废——这不是悲观，是把预算从祈祷里赎回来。</w:t>
      </w:r>
    </w:p>
    <w:p>
      <w:r>
        <w:rPr>
          <w:rFonts w:ascii="Calibri" w:hAnsi="Calibri" w:eastAsia="微软雅黑"/>
          <w:b w:val="0"/>
          <w:i w:val="0"/>
          <w:sz w:val="22"/>
        </w:rPr>
        <w:t>动作二，用利港范围链做总包能力底表。利港电厂升压站EPC的总承包范围是一条完整链条：工程勘察、初步设计及施工图设计、设计文件评审、设备与材料采购、建筑安装工程施工、试验调试、试运行与消缺交付（P12021）。把这条链逐环节贴到本院组织架构上，每环节标注「有人干过、没人干过、干过但亏过」。安徽院给出了参照答案：面对设计院在施工现场管理和大宗设备采办经验上的传统不足，它明确主张与强力施工企业或资源方强强联合补短板，并配套人才引进与激励机制（P12021）。这张底表同时把趋势四的「三大资源、四大能力」盘点（P12034）落到环节颗粒度——盘点若停在「体系不健全」的抽象层，就永远找不到该联合谁。</w:t>
      </w:r>
    </w:p>
    <w:p>
      <w:r>
        <w:rPr>
          <w:rFonts w:ascii="Calibri" w:hAnsi="Calibri" w:eastAsia="微软雅黑"/>
          <w:b w:val="0"/>
          <w:i w:val="0"/>
          <w:sz w:val="22"/>
        </w:rPr>
        <w:t>动作三，判例红线入制度。4.52%、60%、10.0%三条判例红线（P12022）不是行业谈资，是可以直接抄进投标管理办法的否决项；配套动作是把「设计为龙头、资源集成商、风险隔离器」的平台定位（P12022）翻译成合同条款库：哪些风险用背靠背条款下传联合体施工方、哪些用保险与担保结构转移、哪些自留——三类各配一套条款模板，投标评审从此法务、商务、技术三算合一。</w:t>
      </w:r>
    </w:p>
    <w:p>
      <w:r>
        <w:rPr>
          <w:rFonts w:ascii="Calibri" w:hAnsi="Calibri" w:eastAsia="微软雅黑"/>
          <w:b w:val="0"/>
          <w:i w:val="0"/>
          <w:sz w:val="22"/>
        </w:rPr>
        <w:t>动作四，数字化选一个最小闭环并预写验收标尺。不押注全域数字孪生（P12030）；房建与市政侧可参照浙江新盛的做法——用BIM虚拟建造与现场装配解决地下室冷冻水管、弧形管道一类机电安装难题，并落地在运河亚运公园项目中（P12008）。验收标尺直接借用德州、肥城的实测口径：巡检效率提升2至4倍、管养成本节约30%、养护成本下降52%（P12030）。立项书写不出「验收时测哪个数」的数字化项目，一律不批。</w:t>
      </w:r>
    </w:p>
    <w:p>
      <w:r>
        <w:rPr>
          <w:rFonts w:ascii="Calibri" w:hAnsi="Calibri" w:eastAsia="微软雅黑"/>
          <w:b w:val="0"/>
          <w:i w:val="0"/>
          <w:sz w:val="22"/>
        </w:rPr>
        <w:t>九十天复盘的固定四问：订单分桶表更新了没有；能力底表上「没人干过」的环节比上月少了几个；红线否决项真的毙掉过标没有；最小闭环的验收数测出来没有。四问各自对应一件交付物，月度经营会过一遍。转型管理的最小闭环说穿了只有一句话——每问必答、每答必附证据；答不上来的，回对照表第二列重新自查。若时间只够读一章的一节，读本节即可；但每条红线与数字的来龙去脉都在前四节，签约与预算会上被质询时，请回到对应趋势的基线事实与反证检验作答。</w:t>
      </w:r>
    </w:p>
    <w:p>
      <w:pPr>
        <w:pStyle w:val="Heading3"/>
      </w:pPr>
      <w:r>
        <w:t>12.5.3 一年线、三年线与两张对倒的账本</w:t>
      </w:r>
    </w:p>
    <w:p>
      <w:r>
        <w:rPr>
          <w:rFonts w:ascii="Calibri" w:hAnsi="Calibri" w:eastAsia="微软雅黑"/>
          <w:b w:val="0"/>
          <w:i w:val="0"/>
          <w:sz w:val="22"/>
        </w:rPr>
        <w:t>一年线是三个「一」工程：一个向前产品（对最熟业主的投资决策咨询）、一个向后产品（数字化交付或运维优化）、一份实测提效数据（AI先打报价与报告场景，以3至5倍效率差为参照，P12031）。支撑动作有两件：投标评审切换为法务、商务、技术三算合一（趋势十一）；项目盈亏考核切换为全过程权责发生制——中机国际以「1344」框架落地此路（P12020），中型院不必复制其平台，但必须复制「权责发生制穿透到项目」的内核，否则「干完才知道盈亏」的剧本还会重演。</w:t>
      </w:r>
    </w:p>
    <w:p>
      <w:r>
        <w:rPr>
          <w:rFonts w:ascii="Calibri" w:hAnsi="Calibri" w:eastAsia="微软雅黑"/>
          <w:b w:val="0"/>
          <w:i w:val="0"/>
          <w:sz w:val="22"/>
        </w:rPr>
        <w:t>三年线是三张定局表：生态位定局（上或下的董事会决议生效，并开始砍掉对应方向的冗余能力）；能力定局（数字化按本行业监管节奏补课——公路2027年是行业刚性节点（P12030），房建市政院按自身监管强度校准，不抢时间点、只保每个项目带效益验收）；客户账本定局。第三张最易被忽略：把前十大客户的转型进度当成回款安全边际来管。城投转型的短期目标是一至两年内完成低效无效资产剥离与优质经营性资产注入、实现产业类主体信用评级（P12033）——客户的评级修复进度，直接决定本院应收账款的账龄分布；城投与政府签订市场化合作协议、把市政建设、绿化养护、招商服务、物业管理等公共服务按市场化流程规范核算（P12033），意味着城投的服务类采购将走向明码标价，设计院的全过程咨询与运营策划第一次获得「按服务付费」的合同入口；而城投做强城市运营主业的现金流底盘——公用事业（水务、环卫、燃气、地下管网）与城市服务（物业、停车、广告）（P12033）——正是设计院向后延伸时可以挂靠的业主资产清单。两张账本对倒着用：本院三年产品线逐项自问「挂靠在哪个客户的哪项资产上、那项资产有没有现金流」，答不上来的产品线，砍。</w:t>
      </w:r>
    </w:p>
    <w:p>
      <w:r>
        <w:rPr>
          <w:rFonts w:ascii="Calibri" w:hAnsi="Calibri" w:eastAsia="微软雅黑"/>
          <w:b w:val="0"/>
          <w:i w:val="0"/>
          <w:sz w:val="22"/>
        </w:rPr>
        <w:t>人才账本与能力定局同页。趋势八已给出个体转型的四条路——用好工具、成为既懂业务又懂AI的翻译官、推动企业落地、深耕技术专家（P12031），落到企业侧就是一份三年编制表：技术经济与商务岗位按「会用AI」重新定义任职资格，报价与报告场景的实测提效数据作为岗位胜任的证据（P12031）；总承包管理序列按「三大资源、四大能力」的盘点结果定编制（P12034）——缺哪项能力先用联合体补（P12021），再决定引进还是培养；内训分层可以照抄行业课程给出的对象清单——两级公司主要领导与生产、技术、招采商务副总经理，项目管理、科技信息、商务管理、供应链部门负责人，再到项目部经理、总工、商务经理班子三层（P12009）——别再办全员大课，转型学习只对有决策权与执行权的人起作用。</w:t>
      </w:r>
    </w:p>
    <w:p>
      <w:r>
        <w:rPr>
          <w:rFonts w:ascii="Calibri" w:hAnsi="Calibri" w:eastAsia="微软雅黑"/>
          <w:b w:val="0"/>
          <w:i w:val="0"/>
          <w:sz w:val="22"/>
        </w:rPr>
        <w:t>县域小切口归入同一张账本。广东占陇镇把EOD项目开发固化为问题识别、潜力研判、项目谋划、融资运营的纵向流程，以生态筑基、生态创产、生态营城组织项目群（P12028），而2025年的政策口径已明确倡导复杂程度低、规模适中、收益确定的小而美模式（P12028）。对中小设计院，这套流程就是可复制的标书骨架：按骨架包装县域EOD咨询包，投入小、贴政策、练队伍，比空转的城市更新概念策划立项快得多。</w:t>
      </w:r>
    </w:p>
    <w:p>
      <w:r>
        <w:rPr>
          <w:rFonts w:ascii="Calibri" w:hAnsi="Calibri" w:eastAsia="微软雅黑"/>
          <w:b w:val="0"/>
          <w:i w:val="0"/>
          <w:sz w:val="22"/>
        </w:rPr>
        <w:t>最后给属地深耕补一个反例注脚。趋势十以湖南院、上海院、山西院语料论证本省为绝对重心（P12015、P12016、P12018），但同批语料中的安徽院样本恰好相反——141份中标语料的强区为北京（69）、上海（66）、安徽（60）（P12019），本省仅列第三。它提醒决策者：属地壁垒不是户籍制保险箱，而是靠服务半径与政企信任挣出来的资产；当跨省订单已成事实，战略应当承认事实，而非把回归本省当纪律。TCL穿越周期的经验在此收束全章：转型方向要选现有能力延伸的、够得着的行业（P12000）——十二个趋势给出的只是外部的确定性；够不够得着，只有本院那张按环节标注的能力底表说了算。</w:t>
      </w:r>
    </w:p>
    <w:p>
      <w:pPr>
        <w:pStyle w:val="Heading2"/>
      </w:pPr>
      <w:r>
        <w:t>12.6 监测仪表与失效登记：让预判可以被推翻，也可以被更新</w:t>
      </w:r>
    </w:p>
    <w:p>
      <w:r>
        <w:rPr>
          <w:rFonts w:ascii="Calibri" w:hAnsi="Calibri" w:eastAsia="微软雅黑"/>
          <w:b w:val="0"/>
          <w:i w:val="0"/>
          <w:sz w:val="22"/>
        </w:rPr>
        <w:t>预判有两种死法：被当成星座，信则有不信则无；或被当成圣旨，过期了还在引用。十二个趋势各有各的时钟——城镇化阶段切换以十年计（P12005），竞标价差以一场开标会计（P12021），AI提效以一个季度计（P12031）。本节把全章装进一台仪表：一条传导链（信号从哪来）、一张监测表（盯哪几个数）、一本失效登记册（哪个数变了就重写哪条结论）。三件套不需要采购任何新数据，全部复用本章已验锚值，设计院现有的月度经营报表加上公开政策数据就够运转；它解决的是买方合卷之后最实际的问题——这本书读到2027年，哪些段落还作数。</w:t>
      </w:r>
    </w:p>
    <w:p>
      <w:pPr>
        <w:pStyle w:val="Heading3"/>
      </w:pPr>
      <w:r>
        <w:t>12.6.1 六环传导链：信号在上游，报表在下游</w:t>
      </w:r>
    </w:p>
    <w:p>
      <w:r>
        <w:rPr>
          <w:rFonts w:ascii="Calibri" w:hAnsi="Calibri" w:eastAsia="微软雅黑"/>
          <w:b w:val="0"/>
          <w:i w:val="0"/>
          <w:sz w:val="22"/>
        </w:rPr>
        <w:t>设计院的经营报表是全部传导的最后一环，等报表显形再动手，上游每一环的时滞都会叠进损失。把十二个趋势背后的信号通路拆成六环，每环给出可查锚点：</w:t>
      </w:r>
    </w:p>
    <w:p>
      <w:r>
        <w:rPr>
          <w:rFonts w:ascii="Calibri" w:hAnsi="Calibri" w:eastAsia="微软雅黑"/>
          <w:b w:val="0"/>
          <w:i w:val="0"/>
          <w:sz w:val="22"/>
        </w:rPr>
        <w:t>第一环，政策文本。规划与法规文件是信号源头：城市更新政策五年三级跳——2021年纲要首提、2025年5月两办《关于持续推进城市更新行动的意见》与同年8月《关于推动城市高质量发展的意见》接力加码、2026年专项规划收口（P12003、P12004）；国家电网4万亿元投资规划（P12032）；公路数字化2027年节点（P12030）。政策文本的可监测特征是「量化指标是否出现」——文件一旦从定性表述转为量化目标（如10项全国统一考核，P12003），传导就已经启动，此时动手的成本最低。</w:t>
      </w:r>
    </w:p>
    <w:p>
      <w:r>
        <w:rPr>
          <w:rFonts w:ascii="Calibri" w:hAnsi="Calibri" w:eastAsia="微软雅黑"/>
          <w:b w:val="0"/>
          <w:i w:val="0"/>
          <w:sz w:val="22"/>
        </w:rPr>
        <w:t>第二环，考核指标。政策要变成资金，先要变成指标：10项考核体系决定城市更新资金流向（P12003），「一套模型、一套数据」决定数字化交付的验收口径（P12030），超长期特别国债支持的22个领域超1.1万个设备更新项目圈定增量范围（P12007）。地方政府按考核指标申报项目，申报什么，什么就变成订单——盯住考核指标，等于提前一拍看到订单目录。趋势三的项目级监测同理：蒙西—京津冀±800千伏特高压工程、山西晋北采煤沉陷区500千伏汇集站一类先导工程（P12029）一旦进入核准开工序列，即标志4万亿元规划从文本进入土建，设计订单的兑现从「规划口径」切换为「工程口径」，趋势三反证检验中「总量兑现存疑」的折扣可以相应回补。</w:t>
      </w:r>
    </w:p>
    <w:p>
      <w:r>
        <w:rPr>
          <w:rFonts w:ascii="Calibri" w:hAnsi="Calibri" w:eastAsia="微软雅黑"/>
          <w:b w:val="0"/>
          <w:i w:val="0"/>
          <w:sz w:val="22"/>
        </w:rPr>
        <w:t>第三环，财政资金。资金到位节奏是先行指标中的先行指标：置换债券1.73万亿元、完成2026年2万亿元额度的86.7%（P12007）标记化债提速；2000亿元设备更新资金与1000亿元促内需一揽子（P12007）标记增量定向投放。资金环的恶化同样可观测——置换进度放缓或贴息退坡，应直接下调趋势二、三的年度兑现预算，而不是等订单下滑后再解释。</w:t>
      </w:r>
    </w:p>
    <w:p>
      <w:r>
        <w:rPr>
          <w:rFonts w:ascii="Calibri" w:hAnsi="Calibri" w:eastAsia="微软雅黑"/>
          <w:b w:val="0"/>
          <w:i w:val="0"/>
          <w:sz w:val="22"/>
        </w:rPr>
        <w:t>第四环，业主行为。城投「四减一增」（公益性收入、政府应收、代建资产、土地资产四降，长期股权投资一升，P12025）是业主侧最完整的仪表盘；城投与政府签订市场化合作协议、把市政建设、绿化养护、招商服务、物业管理按市场化流程规范核算（P12033），意味着业主的采购语言正从「关系价」切换为「服务价」——听得懂服务价语言、能出标准化服务清单的乙方先拿订单（与趋势九的绿色服务产品化同源）。服务价的目录其实已在政策文本里预先写好——以好房子为基础统筹好小区、好社区、好城区建设，补齐养老、托幼、用餐等服务（P12005），就是设计院做社区级全周期服务产品时可以直接引用的条目清单。</w:t>
      </w:r>
    </w:p>
    <w:p>
      <w:r>
        <w:rPr>
          <w:rFonts w:ascii="Calibri" w:hAnsi="Calibri" w:eastAsia="微软雅黑"/>
          <w:b w:val="0"/>
          <w:i w:val="0"/>
          <w:sz w:val="22"/>
        </w:rPr>
        <w:t>第五环，订单结构。订单显形时竞争已白热化：河北省交通规划设计研究院牵头联合体以约4.34亿元报价位列秦滨高速数字化升级总承包第一候选人（P12030），说明数字化已进入总承包合同额；利港升压站EPC竞标2.37%的价差定生死（P12021、P12022）；一份中标公告显示，某企业一次仅中两个标包、总额2640万元，即占其2023年全年营业收入的4.09%（P12016）——增量市场的订单颗粒度已细到以标包计，小微订单接不接、派谁接，将成为经营例会的常规议题。此环还有一条体量参照：行业头部央企2024年新签合同额达18812亿元、其设计板块2023年已借壳祁连山上市（P12016）——当总包对手的年新签以万亿计，设计院在订单谈判中的位势只能靠技术不可替代性支撑，这正是趋势五「向前向后延伸」的底层原因。</w:t>
      </w:r>
    </w:p>
    <w:p>
      <w:r>
        <w:rPr>
          <w:rFonts w:ascii="Calibri" w:hAnsi="Calibri" w:eastAsia="微软雅黑"/>
          <w:b w:val="0"/>
          <w:i w:val="0"/>
          <w:sz w:val="22"/>
        </w:rPr>
        <w:t>第六环，设计院报表。传导终点是本院的权责发生制报表：「干完才知道盈亏」的被动局面（P12020）与两金占用率35%预警线（P12022）都是终点显形。六环链条的管理含义只有一句：报表是滞后的，第一环到第六环的时滞以年计，在上游动手的成本永远低于在下游补救——这就是要把监测制度化、而不是把预判当读物的理由。</w:t>
      </w:r>
    </w:p>
    <w:p>
      <w:pPr>
        <w:pStyle w:val="Heading3"/>
      </w:pPr>
      <w:r>
        <w:t>12.6.2 先行指标监测表：十一个数看三年</w:t>
      </w:r>
    </w:p>
    <w:p>
      <w:r>
        <w:rPr>
          <w:rFonts w:ascii="Calibri" w:hAnsi="Calibri" w:eastAsia="微软雅黑"/>
          <w:b w:val="0"/>
          <w:i w:val="0"/>
          <w:sz w:val="22"/>
        </w:rPr>
        <w:t>下表把六环链条压成十一个可查数，全部沿用本章已验锚值，不引入任何新估算。用法：经营会按频率分级过表——资金类指标（置换进度、两金、LPR、大宗价格）月度过，订单与语料类指标季度过，慢变量年度过；任一指标触线，当期必须产生一条对应动作或一条登记说明，不允许「知道了、没动作」。仪表还要按职务拆开读：经营条线月度盯资金四行（置换进度、两金、LPR、大宗价格），数字化条线季度盯两行（2027节点、AI倍数），院长季度只看末三行（出海增速、语料集中度与其背后的生态位）——一张表人人翻一遍等于人人不负责，分工到岗它才是仪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监测指标</w:t>
            </w:r>
          </w:p>
        </w:tc>
        <w:tc>
          <w:tcPr>
            <w:tcW w:type="dxa" w:w="1660"/>
            <w:shd w:fill="1F3A5F"/>
          </w:tcPr>
          <w:p>
            <w:r>
              <w:rPr>
                <w:color w:val="FFFFFF"/>
              </w:rPr>
            </w:r>
            <w:r>
              <w:rPr>
                <w:rFonts w:ascii="Calibri" w:hAnsi="Calibri" w:eastAsia="微软雅黑"/>
                <w:b/>
                <w:i w:val="0"/>
                <w:color w:val="FFFFFF"/>
                <w:sz w:val="18"/>
              </w:rPr>
              <w:t>基线锚值（锚号）</w:t>
            </w:r>
          </w:p>
        </w:tc>
        <w:tc>
          <w:tcPr>
            <w:tcW w:type="dxa" w:w="1660"/>
            <w:shd w:fill="1F3A5F"/>
          </w:tcPr>
          <w:p>
            <w:r>
              <w:rPr>
                <w:color w:val="FFFFFF"/>
              </w:rPr>
            </w:r>
            <w:r>
              <w:rPr>
                <w:rFonts w:ascii="Calibri" w:hAnsi="Calibri" w:eastAsia="微软雅黑"/>
                <w:b/>
                <w:i w:val="0"/>
                <w:color w:val="FFFFFF"/>
                <w:sz w:val="18"/>
              </w:rPr>
              <w:t>触发方向</w:t>
            </w:r>
          </w:p>
        </w:tc>
        <w:tc>
          <w:tcPr>
            <w:tcW w:type="dxa" w:w="1660"/>
            <w:shd w:fill="1F3A5F"/>
          </w:tcPr>
          <w:p>
            <w:r>
              <w:rPr>
                <w:color w:val="FFFFFF"/>
              </w:rPr>
            </w:r>
            <w:r>
              <w:rPr>
                <w:rFonts w:ascii="Calibri" w:hAnsi="Calibri" w:eastAsia="微软雅黑"/>
                <w:b/>
                <w:i w:val="0"/>
                <w:color w:val="FFFFFF"/>
                <w:sz w:val="18"/>
              </w:rPr>
              <w:t>对应趋势</w:t>
            </w:r>
          </w:p>
        </w:tc>
        <w:tc>
          <w:tcPr>
            <w:tcW w:type="dxa" w:w="1660"/>
            <w:shd w:fill="1F3A5F"/>
          </w:tcPr>
          <w:p>
            <w:r>
              <w:rPr>
                <w:color w:val="FFFFFF"/>
              </w:rPr>
            </w:r>
            <w:r>
              <w:rPr>
                <w:rFonts w:ascii="Calibri" w:hAnsi="Calibri" w:eastAsia="微软雅黑"/>
                <w:b/>
                <w:i w:val="0"/>
                <w:color w:val="FFFFFF"/>
                <w:sz w:val="18"/>
              </w:rPr>
              <w:t>触发后动作</w:t>
            </w:r>
          </w:p>
        </w:tc>
      </w:tr>
      <w:tr>
        <w:tc>
          <w:tcPr>
            <w:tcW w:type="dxa" w:w="1660"/>
          </w:tcPr>
          <w:p>
            <w:r/>
            <w:r>
              <w:rPr>
                <w:rFonts w:ascii="Calibri" w:hAnsi="Calibri" w:eastAsia="微软雅黑"/>
                <w:b w:val="0"/>
                <w:i w:val="0"/>
                <w:sz w:val="18"/>
              </w:rPr>
              <w:t>城投客户公益性收入占比</w:t>
            </w:r>
          </w:p>
        </w:tc>
        <w:tc>
          <w:tcPr>
            <w:tcW w:type="dxa" w:w="1660"/>
          </w:tcPr>
          <w:p>
            <w:r/>
            <w:r>
              <w:rPr>
                <w:rFonts w:ascii="Calibri" w:hAnsi="Calibri" w:eastAsia="微软雅黑"/>
                <w:b w:val="0"/>
                <w:i w:val="0"/>
                <w:sz w:val="18"/>
              </w:rPr>
              <w:t>中位数58.4%（P12025）</w:t>
            </w:r>
          </w:p>
        </w:tc>
        <w:tc>
          <w:tcPr>
            <w:tcW w:type="dxa" w:w="1660"/>
          </w:tcPr>
          <w:p>
            <w:r/>
            <w:r>
              <w:rPr>
                <w:rFonts w:ascii="Calibri" w:hAnsi="Calibri" w:eastAsia="微软雅黑"/>
                <w:b w:val="0"/>
                <w:i w:val="0"/>
                <w:sz w:val="18"/>
              </w:rPr>
              <w:t>上升=支付能力弱化</w:t>
            </w:r>
          </w:p>
        </w:tc>
        <w:tc>
          <w:tcPr>
            <w:tcW w:type="dxa" w:w="1660"/>
          </w:tcPr>
          <w:p>
            <w:r/>
            <w:r>
              <w:rPr>
                <w:rFonts w:ascii="Calibri" w:hAnsi="Calibri" w:eastAsia="微软雅黑"/>
                <w:b w:val="0"/>
                <w:i w:val="0"/>
                <w:sz w:val="18"/>
              </w:rPr>
              <w:t>二、六</w:t>
            </w:r>
          </w:p>
        </w:tc>
        <w:tc>
          <w:tcPr>
            <w:tcW w:type="dxa" w:w="1660"/>
          </w:tcPr>
          <w:p>
            <w:r/>
            <w:r>
              <w:rPr>
                <w:rFonts w:ascii="Calibri" w:hAnsi="Calibri" w:eastAsia="微软雅黑"/>
                <w:b w:val="0"/>
                <w:i w:val="0"/>
                <w:sz w:val="18"/>
              </w:rPr>
              <w:t>压缩该客户授信，可研切存量逻辑</w:t>
            </w:r>
          </w:p>
        </w:tc>
      </w:tr>
      <w:tr>
        <w:tc>
          <w:tcPr>
            <w:tcW w:type="dxa" w:w="1660"/>
          </w:tcPr>
          <w:p>
            <w:r/>
            <w:r>
              <w:rPr>
                <w:rFonts w:ascii="Calibri" w:hAnsi="Calibri" w:eastAsia="微软雅黑"/>
                <w:b w:val="0"/>
                <w:i w:val="0"/>
                <w:sz w:val="18"/>
              </w:rPr>
              <w:t>城投应收类款项来自政府占比</w:t>
            </w:r>
          </w:p>
        </w:tc>
        <w:tc>
          <w:tcPr>
            <w:tcW w:type="dxa" w:w="1660"/>
          </w:tcPr>
          <w:p>
            <w:r/>
            <w:r>
              <w:rPr>
                <w:rFonts w:ascii="Calibri" w:hAnsi="Calibri" w:eastAsia="微软雅黑"/>
                <w:b w:val="0"/>
                <w:i w:val="0"/>
                <w:sz w:val="18"/>
              </w:rPr>
              <w:t>中位数30.4%（P12025）</w:t>
            </w:r>
          </w:p>
        </w:tc>
        <w:tc>
          <w:tcPr>
            <w:tcW w:type="dxa" w:w="1660"/>
          </w:tcPr>
          <w:p>
            <w:r/>
            <w:r>
              <w:rPr>
                <w:rFonts w:ascii="Calibri" w:hAnsi="Calibri" w:eastAsia="微软雅黑"/>
                <w:b w:val="0"/>
                <w:i w:val="0"/>
                <w:sz w:val="18"/>
              </w:rPr>
              <w:t>上升=化债未落地</w:t>
            </w:r>
          </w:p>
        </w:tc>
        <w:tc>
          <w:tcPr>
            <w:tcW w:type="dxa" w:w="1660"/>
          </w:tcPr>
          <w:p>
            <w:r/>
            <w:r>
              <w:rPr>
                <w:rFonts w:ascii="Calibri" w:hAnsi="Calibri" w:eastAsia="微软雅黑"/>
                <w:b w:val="0"/>
                <w:i w:val="0"/>
                <w:sz w:val="18"/>
              </w:rPr>
              <w:t>二、十一</w:t>
            </w:r>
          </w:p>
        </w:tc>
        <w:tc>
          <w:tcPr>
            <w:tcW w:type="dxa" w:w="1660"/>
          </w:tcPr>
          <w:p>
            <w:r/>
            <w:r>
              <w:rPr>
                <w:rFonts w:ascii="Calibri" w:hAnsi="Calibri" w:eastAsia="微软雅黑"/>
                <w:b w:val="0"/>
                <w:i w:val="0"/>
                <w:sz w:val="18"/>
              </w:rPr>
              <w:t>重估账期，提高预收与进度款比例</w:t>
            </w:r>
          </w:p>
        </w:tc>
      </w:tr>
      <w:tr>
        <w:tc>
          <w:tcPr>
            <w:tcW w:type="dxa" w:w="1660"/>
          </w:tcPr>
          <w:p>
            <w:r/>
            <w:r>
              <w:rPr>
                <w:rFonts w:ascii="Calibri" w:hAnsi="Calibri" w:eastAsia="微软雅黑"/>
                <w:b w:val="0"/>
                <w:i w:val="0"/>
                <w:sz w:val="18"/>
              </w:rPr>
              <w:t>城投存货占总资产比重</w:t>
            </w:r>
          </w:p>
        </w:tc>
        <w:tc>
          <w:tcPr>
            <w:tcW w:type="dxa" w:w="1660"/>
          </w:tcPr>
          <w:p>
            <w:r/>
            <w:r>
              <w:rPr>
                <w:rFonts w:ascii="Calibri" w:hAnsi="Calibri" w:eastAsia="微软雅黑"/>
                <w:b w:val="0"/>
                <w:i w:val="0"/>
                <w:sz w:val="18"/>
              </w:rPr>
              <w:t>27.3%（P12025）</w:t>
            </w:r>
          </w:p>
        </w:tc>
        <w:tc>
          <w:tcPr>
            <w:tcW w:type="dxa" w:w="1660"/>
          </w:tcPr>
          <w:p>
            <w:r/>
            <w:r>
              <w:rPr>
                <w:rFonts w:ascii="Calibri" w:hAnsi="Calibri" w:eastAsia="微软雅黑"/>
                <w:b w:val="0"/>
                <w:i w:val="0"/>
                <w:sz w:val="18"/>
              </w:rPr>
              <w:t>持续下降=代建模式退出</w:t>
            </w:r>
          </w:p>
        </w:tc>
        <w:tc>
          <w:tcPr>
            <w:tcW w:type="dxa" w:w="1660"/>
          </w:tcPr>
          <w:p>
            <w:r/>
            <w:r>
              <w:rPr>
                <w:rFonts w:ascii="Calibri" w:hAnsi="Calibri" w:eastAsia="微软雅黑"/>
                <w:b w:val="0"/>
                <w:i w:val="0"/>
                <w:sz w:val="18"/>
              </w:rPr>
              <w:t>二</w:t>
            </w:r>
          </w:p>
        </w:tc>
        <w:tc>
          <w:tcPr>
            <w:tcW w:type="dxa" w:w="1660"/>
          </w:tcPr>
          <w:p>
            <w:r/>
            <w:r>
              <w:rPr>
                <w:rFonts w:ascii="Calibri" w:hAnsi="Calibri" w:eastAsia="微软雅黑"/>
                <w:b w:val="0"/>
                <w:i w:val="0"/>
                <w:sz w:val="18"/>
              </w:rPr>
              <w:t>停止按代建逻辑排产与备产</w:t>
            </w:r>
          </w:p>
        </w:tc>
      </w:tr>
      <w:tr>
        <w:tc>
          <w:tcPr>
            <w:tcW w:type="dxa" w:w="1660"/>
          </w:tcPr>
          <w:p>
            <w:r/>
            <w:r>
              <w:rPr>
                <w:rFonts w:ascii="Calibri" w:hAnsi="Calibri" w:eastAsia="微软雅黑"/>
                <w:b w:val="0"/>
                <w:i w:val="0"/>
                <w:sz w:val="18"/>
              </w:rPr>
              <w:t>钢材、铜材单月价格波动</w:t>
            </w:r>
          </w:p>
        </w:tc>
        <w:tc>
          <w:tcPr>
            <w:tcW w:type="dxa" w:w="1660"/>
          </w:tcPr>
          <w:p>
            <w:r/>
            <w:r>
              <w:rPr>
                <w:rFonts w:ascii="Calibri" w:hAnsi="Calibri" w:eastAsia="微软雅黑"/>
                <w:b w:val="0"/>
                <w:i w:val="0"/>
                <w:sz w:val="18"/>
              </w:rPr>
              <w:t>±15%（P12022）</w:t>
            </w:r>
          </w:p>
        </w:tc>
        <w:tc>
          <w:tcPr>
            <w:tcW w:type="dxa" w:w="1660"/>
          </w:tcPr>
          <w:p>
            <w:r/>
            <w:r>
              <w:rPr>
                <w:rFonts w:ascii="Calibri" w:hAnsi="Calibri" w:eastAsia="微软雅黑"/>
                <w:b w:val="0"/>
                <w:i w:val="0"/>
                <w:sz w:val="18"/>
              </w:rPr>
              <w:t>超限=成本模型失效</w:t>
            </w:r>
          </w:p>
        </w:tc>
        <w:tc>
          <w:tcPr>
            <w:tcW w:type="dxa" w:w="1660"/>
          </w:tcPr>
          <w:p>
            <w:r/>
            <w:r>
              <w:rPr>
                <w:rFonts w:ascii="Calibri" w:hAnsi="Calibri" w:eastAsia="微软雅黑"/>
                <w:b w:val="0"/>
                <w:i w:val="0"/>
                <w:sz w:val="18"/>
              </w:rPr>
              <w:t>四、十一</w:t>
            </w:r>
          </w:p>
        </w:tc>
        <w:tc>
          <w:tcPr>
            <w:tcW w:type="dxa" w:w="1660"/>
          </w:tcPr>
          <w:p>
            <w:r/>
            <w:r>
              <w:rPr>
                <w:rFonts w:ascii="Calibri" w:hAnsi="Calibri" w:eastAsia="微软雅黑"/>
                <w:b w:val="0"/>
                <w:i w:val="0"/>
                <w:sz w:val="18"/>
              </w:rPr>
              <w:t>冻结在手报价，启动调价条款与成本重估</w:t>
            </w:r>
          </w:p>
        </w:tc>
      </w:tr>
      <w:tr>
        <w:tc>
          <w:tcPr>
            <w:tcW w:type="dxa" w:w="1660"/>
          </w:tcPr>
          <w:p>
            <w:r/>
            <w:r>
              <w:rPr>
                <w:rFonts w:ascii="Calibri" w:hAnsi="Calibri" w:eastAsia="微软雅黑"/>
                <w:b w:val="0"/>
                <w:i w:val="0"/>
                <w:sz w:val="18"/>
              </w:rPr>
              <w:t>风机、光伏逆变器集采价</w:t>
            </w:r>
          </w:p>
        </w:tc>
        <w:tc>
          <w:tcPr>
            <w:tcW w:type="dxa" w:w="1660"/>
          </w:tcPr>
          <w:p>
            <w:r/>
            <w:r>
              <w:rPr>
                <w:rFonts w:ascii="Calibri" w:hAnsi="Calibri" w:eastAsia="微软雅黑"/>
                <w:b w:val="0"/>
                <w:i w:val="0"/>
                <w:sz w:val="18"/>
              </w:rPr>
              <w:t>结构性下调20%（P12022）</w:t>
            </w:r>
          </w:p>
        </w:tc>
        <w:tc>
          <w:tcPr>
            <w:tcW w:type="dxa" w:w="1660"/>
          </w:tcPr>
          <w:p>
            <w:r/>
            <w:r>
              <w:rPr>
                <w:rFonts w:ascii="Calibri" w:hAnsi="Calibri" w:eastAsia="微软雅黑"/>
                <w:b w:val="0"/>
                <w:i w:val="0"/>
                <w:sz w:val="18"/>
              </w:rPr>
              <w:t>触发=新能源底价重算</w:t>
            </w:r>
          </w:p>
        </w:tc>
        <w:tc>
          <w:tcPr>
            <w:tcW w:type="dxa" w:w="1660"/>
          </w:tcPr>
          <w:p>
            <w:r/>
            <w:r>
              <w:rPr>
                <w:rFonts w:ascii="Calibri" w:hAnsi="Calibri" w:eastAsia="微软雅黑"/>
                <w:b w:val="0"/>
                <w:i w:val="0"/>
                <w:sz w:val="18"/>
              </w:rPr>
              <w:t>三、四</w:t>
            </w:r>
          </w:p>
        </w:tc>
        <w:tc>
          <w:tcPr>
            <w:tcW w:type="dxa" w:w="1660"/>
          </w:tcPr>
          <w:p>
            <w:r/>
            <w:r>
              <w:rPr>
                <w:rFonts w:ascii="Calibri" w:hAnsi="Calibri" w:eastAsia="微软雅黑"/>
                <w:b w:val="0"/>
                <w:i w:val="0"/>
                <w:sz w:val="18"/>
              </w:rPr>
              <w:t>重算新能源EPC报价底表</w:t>
            </w:r>
          </w:p>
        </w:tc>
      </w:tr>
      <w:tr>
        <w:tc>
          <w:tcPr>
            <w:tcW w:type="dxa" w:w="1660"/>
          </w:tcPr>
          <w:p>
            <w:r/>
            <w:r>
              <w:rPr>
                <w:rFonts w:ascii="Calibri" w:hAnsi="Calibri" w:eastAsia="微软雅黑"/>
                <w:b w:val="0"/>
                <w:i w:val="0"/>
                <w:sz w:val="18"/>
              </w:rPr>
              <w:t>央行LPR利率变动</w:t>
            </w:r>
          </w:p>
        </w:tc>
        <w:tc>
          <w:tcPr>
            <w:tcW w:type="dxa" w:w="1660"/>
          </w:tcPr>
          <w:p>
            <w:r/>
            <w:r>
              <w:rPr>
                <w:rFonts w:ascii="Calibri" w:hAnsi="Calibri" w:eastAsia="微软雅黑"/>
                <w:b w:val="0"/>
                <w:i w:val="0"/>
                <w:sz w:val="18"/>
              </w:rPr>
              <w:t>50BP（P12022）</w:t>
            </w:r>
          </w:p>
        </w:tc>
        <w:tc>
          <w:tcPr>
            <w:tcW w:type="dxa" w:w="1660"/>
          </w:tcPr>
          <w:p>
            <w:r/>
            <w:r>
              <w:rPr>
                <w:rFonts w:ascii="Calibri" w:hAnsi="Calibri" w:eastAsia="微软雅黑"/>
                <w:b w:val="0"/>
                <w:i w:val="0"/>
                <w:sz w:val="18"/>
              </w:rPr>
              <w:t>超限=贴现假设失效</w:t>
            </w:r>
          </w:p>
        </w:tc>
        <w:tc>
          <w:tcPr>
            <w:tcW w:type="dxa" w:w="1660"/>
          </w:tcPr>
          <w:p>
            <w:r/>
            <w:r>
              <w:rPr>
                <w:rFonts w:ascii="Calibri" w:hAnsi="Calibri" w:eastAsia="微软雅黑"/>
                <w:b w:val="0"/>
                <w:i w:val="0"/>
                <w:sz w:val="18"/>
              </w:rPr>
              <w:t>六、十一</w:t>
            </w:r>
          </w:p>
        </w:tc>
        <w:tc>
          <w:tcPr>
            <w:tcW w:type="dxa" w:w="1660"/>
          </w:tcPr>
          <w:p>
            <w:r/>
            <w:r>
              <w:rPr>
                <w:rFonts w:ascii="Calibri" w:hAnsi="Calibri" w:eastAsia="微软雅黑"/>
                <w:b w:val="0"/>
                <w:i w:val="0"/>
                <w:sz w:val="18"/>
              </w:rPr>
              <w:t>更新现金流贴现与投资测算模板</w:t>
            </w:r>
          </w:p>
        </w:tc>
      </w:tr>
      <w:tr>
        <w:tc>
          <w:tcPr>
            <w:tcW w:type="dxa" w:w="1660"/>
          </w:tcPr>
          <w:p>
            <w:r/>
            <w:r>
              <w:rPr>
                <w:rFonts w:ascii="Calibri" w:hAnsi="Calibri" w:eastAsia="微软雅黑"/>
                <w:b w:val="0"/>
                <w:i w:val="0"/>
                <w:sz w:val="18"/>
              </w:rPr>
              <w:t>两金占用率（存货+应收/营收）</w:t>
            </w:r>
          </w:p>
        </w:tc>
        <w:tc>
          <w:tcPr>
            <w:tcW w:type="dxa" w:w="1660"/>
          </w:tcPr>
          <w:p>
            <w:r/>
            <w:r>
              <w:rPr>
                <w:rFonts w:ascii="Calibri" w:hAnsi="Calibri" w:eastAsia="微软雅黑"/>
                <w:b w:val="0"/>
                <w:i w:val="0"/>
                <w:sz w:val="18"/>
              </w:rPr>
              <w:t>35%（P12022）</w:t>
            </w:r>
          </w:p>
        </w:tc>
        <w:tc>
          <w:tcPr>
            <w:tcW w:type="dxa" w:w="1660"/>
          </w:tcPr>
          <w:p>
            <w:r/>
            <w:r>
              <w:rPr>
                <w:rFonts w:ascii="Calibri" w:hAnsi="Calibri" w:eastAsia="微软雅黑"/>
                <w:b w:val="0"/>
                <w:i w:val="0"/>
                <w:sz w:val="18"/>
              </w:rPr>
              <w:t>超限=现金流预警</w:t>
            </w:r>
          </w:p>
        </w:tc>
        <w:tc>
          <w:tcPr>
            <w:tcW w:type="dxa" w:w="1660"/>
          </w:tcPr>
          <w:p>
            <w:r/>
            <w:r>
              <w:rPr>
                <w:rFonts w:ascii="Calibri" w:hAnsi="Calibri" w:eastAsia="微软雅黑"/>
                <w:b w:val="0"/>
                <w:i w:val="0"/>
                <w:sz w:val="18"/>
              </w:rPr>
              <w:t>十一</w:t>
            </w:r>
          </w:p>
        </w:tc>
        <w:tc>
          <w:tcPr>
            <w:tcW w:type="dxa" w:w="1660"/>
          </w:tcPr>
          <w:p>
            <w:r/>
            <w:r>
              <w:rPr>
                <w:rFonts w:ascii="Calibri" w:hAnsi="Calibri" w:eastAsia="微软雅黑"/>
                <w:b w:val="0"/>
                <w:i w:val="0"/>
                <w:sz w:val="18"/>
              </w:rPr>
              <w:t>强制停工、保理贴现，宁让份额不让现金</w:t>
            </w:r>
          </w:p>
        </w:tc>
      </w:tr>
      <w:tr>
        <w:tc>
          <w:tcPr>
            <w:tcW w:type="dxa" w:w="1660"/>
          </w:tcPr>
          <w:p>
            <w:r/>
            <w:r>
              <w:rPr>
                <w:rFonts w:ascii="Calibri" w:hAnsi="Calibri" w:eastAsia="微软雅黑"/>
                <w:b w:val="0"/>
                <w:i w:val="0"/>
                <w:sz w:val="18"/>
              </w:rPr>
              <w:t>公路数字化节点</w:t>
            </w:r>
          </w:p>
        </w:tc>
        <w:tc>
          <w:tcPr>
            <w:tcW w:type="dxa" w:w="1660"/>
          </w:tcPr>
          <w:p>
            <w:r/>
            <w:r>
              <w:rPr>
                <w:rFonts w:ascii="Calibri" w:hAnsi="Calibri" w:eastAsia="微软雅黑"/>
                <w:b w:val="0"/>
                <w:i w:val="0"/>
                <w:sz w:val="18"/>
              </w:rPr>
              <w:t>2027年（P12030）</w:t>
            </w:r>
          </w:p>
        </w:tc>
        <w:tc>
          <w:tcPr>
            <w:tcW w:type="dxa" w:w="1660"/>
          </w:tcPr>
          <w:p>
            <w:r/>
            <w:r>
              <w:rPr>
                <w:rFonts w:ascii="Calibri" w:hAnsi="Calibri" w:eastAsia="微软雅黑"/>
                <w:b w:val="0"/>
                <w:i w:val="0"/>
                <w:sz w:val="18"/>
              </w:rPr>
              <w:t>临近未达标=供应链出局风险</w:t>
            </w:r>
          </w:p>
        </w:tc>
        <w:tc>
          <w:tcPr>
            <w:tcW w:type="dxa" w:w="1660"/>
          </w:tcPr>
          <w:p>
            <w:r/>
            <w:r>
              <w:rPr>
                <w:rFonts w:ascii="Calibri" w:hAnsi="Calibri" w:eastAsia="微软雅黑"/>
                <w:b w:val="0"/>
                <w:i w:val="0"/>
                <w:sz w:val="18"/>
              </w:rPr>
              <w:t>七</w:t>
            </w:r>
          </w:p>
        </w:tc>
        <w:tc>
          <w:tcPr>
            <w:tcW w:type="dxa" w:w="1660"/>
          </w:tcPr>
          <w:p>
            <w:r/>
            <w:r>
              <w:rPr>
                <w:rFonts w:ascii="Calibri" w:hAnsi="Calibri" w:eastAsia="微软雅黑"/>
                <w:b w:val="0"/>
                <w:i w:val="0"/>
                <w:sz w:val="18"/>
              </w:rPr>
              <w:t>最小闭环冲刺，放弃全域数字孪生</w:t>
            </w:r>
          </w:p>
        </w:tc>
      </w:tr>
      <w:tr>
        <w:tc>
          <w:tcPr>
            <w:tcW w:type="dxa" w:w="1660"/>
          </w:tcPr>
          <w:p>
            <w:r/>
            <w:r>
              <w:rPr>
                <w:rFonts w:ascii="Calibri" w:hAnsi="Calibri" w:eastAsia="微软雅黑"/>
                <w:b w:val="0"/>
                <w:i w:val="0"/>
                <w:sz w:val="18"/>
              </w:rPr>
              <w:t>AI场景实测提效倍数</w:t>
            </w:r>
          </w:p>
        </w:tc>
        <w:tc>
          <w:tcPr>
            <w:tcW w:type="dxa" w:w="1660"/>
          </w:tcPr>
          <w:p>
            <w:r/>
            <w:r>
              <w:rPr>
                <w:rFonts w:ascii="Calibri" w:hAnsi="Calibri" w:eastAsia="微软雅黑"/>
                <w:b w:val="0"/>
                <w:i w:val="0"/>
                <w:sz w:val="18"/>
              </w:rPr>
              <w:t>3至5倍参照（P12031）</w:t>
            </w:r>
          </w:p>
        </w:tc>
        <w:tc>
          <w:tcPr>
            <w:tcW w:type="dxa" w:w="1660"/>
          </w:tcPr>
          <w:p>
            <w:r/>
            <w:r>
              <w:rPr>
                <w:rFonts w:ascii="Calibri" w:hAnsi="Calibri" w:eastAsia="微软雅黑"/>
                <w:b w:val="0"/>
                <w:i w:val="0"/>
                <w:sz w:val="18"/>
              </w:rPr>
              <w:t>持平或更低=场景选错</w:t>
            </w:r>
          </w:p>
        </w:tc>
        <w:tc>
          <w:tcPr>
            <w:tcW w:type="dxa" w:w="1660"/>
          </w:tcPr>
          <w:p>
            <w:r/>
            <w:r>
              <w:rPr>
                <w:rFonts w:ascii="Calibri" w:hAnsi="Calibri" w:eastAsia="微软雅黑"/>
                <w:b w:val="0"/>
                <w:i w:val="0"/>
                <w:sz w:val="18"/>
              </w:rPr>
              <w:t>八</w:t>
            </w:r>
          </w:p>
        </w:tc>
        <w:tc>
          <w:tcPr>
            <w:tcW w:type="dxa" w:w="1660"/>
          </w:tcPr>
          <w:p>
            <w:r/>
            <w:r>
              <w:rPr>
                <w:rFonts w:ascii="Calibri" w:hAnsi="Calibri" w:eastAsia="微软雅黑"/>
                <w:b w:val="0"/>
                <w:i w:val="0"/>
                <w:sz w:val="18"/>
              </w:rPr>
              <w:t>换场景再测，而不是换工具</w:t>
            </w:r>
          </w:p>
        </w:tc>
      </w:tr>
      <w:tr>
        <w:tc>
          <w:tcPr>
            <w:tcW w:type="dxa" w:w="1660"/>
          </w:tcPr>
          <w:p>
            <w:r/>
            <w:r>
              <w:rPr>
                <w:rFonts w:ascii="Calibri" w:hAnsi="Calibri" w:eastAsia="微软雅黑"/>
                <w:b w:val="0"/>
                <w:i w:val="0"/>
                <w:sz w:val="18"/>
              </w:rPr>
              <w:t>对外承包工程新签合同额增速</w:t>
            </w:r>
          </w:p>
        </w:tc>
        <w:tc>
          <w:tcPr>
            <w:tcW w:type="dxa" w:w="1660"/>
          </w:tcPr>
          <w:p>
            <w:r/>
            <w:r>
              <w:rPr>
                <w:rFonts w:ascii="Calibri" w:hAnsi="Calibri" w:eastAsia="微软雅黑"/>
                <w:b w:val="0"/>
                <w:i w:val="0"/>
                <w:sz w:val="18"/>
              </w:rPr>
              <w:t>-3.0%（P12018、P12019）</w:t>
            </w:r>
          </w:p>
        </w:tc>
        <w:tc>
          <w:tcPr>
            <w:tcW w:type="dxa" w:w="1660"/>
          </w:tcPr>
          <w:p>
            <w:r/>
            <w:r>
              <w:rPr>
                <w:rFonts w:ascii="Calibri" w:hAnsi="Calibri" w:eastAsia="微软雅黑"/>
                <w:b w:val="0"/>
                <w:i w:val="0"/>
                <w:sz w:val="18"/>
              </w:rPr>
              <w:t>持续下行=出海增量收缩</w:t>
            </w:r>
          </w:p>
        </w:tc>
        <w:tc>
          <w:tcPr>
            <w:tcW w:type="dxa" w:w="1660"/>
          </w:tcPr>
          <w:p>
            <w:r/>
            <w:r>
              <w:rPr>
                <w:rFonts w:ascii="Calibri" w:hAnsi="Calibri" w:eastAsia="微软雅黑"/>
                <w:b w:val="0"/>
                <w:i w:val="0"/>
                <w:sz w:val="18"/>
              </w:rPr>
              <w:t>十二</w:t>
            </w:r>
          </w:p>
        </w:tc>
        <w:tc>
          <w:tcPr>
            <w:tcW w:type="dxa" w:w="1660"/>
          </w:tcPr>
          <w:p>
            <w:r/>
            <w:r>
              <w:rPr>
                <w:rFonts w:ascii="Calibri" w:hAnsi="Calibri" w:eastAsia="微软雅黑"/>
                <w:b w:val="0"/>
                <w:i w:val="0"/>
                <w:sz w:val="18"/>
              </w:rPr>
              <w:t>收缩重资产押注，转跟随出海</w:t>
            </w:r>
          </w:p>
        </w:tc>
      </w:tr>
      <w:tr>
        <w:tc>
          <w:tcPr>
            <w:tcW w:type="dxa" w:w="1660"/>
          </w:tcPr>
          <w:p>
            <w:r/>
            <w:r>
              <w:rPr>
                <w:rFonts w:ascii="Calibri" w:hAnsi="Calibri" w:eastAsia="微软雅黑"/>
                <w:b w:val="0"/>
                <w:i w:val="0"/>
                <w:sz w:val="18"/>
              </w:rPr>
              <w:t>本院中标语料强区集中度</w:t>
            </w:r>
          </w:p>
        </w:tc>
        <w:tc>
          <w:tcPr>
            <w:tcW w:type="dxa" w:w="1660"/>
          </w:tcPr>
          <w:p>
            <w:r/>
            <w:r>
              <w:rPr>
                <w:rFonts w:ascii="Calibri" w:hAnsi="Calibri" w:eastAsia="微软雅黑"/>
                <w:b w:val="0"/>
                <w:i w:val="0"/>
                <w:sz w:val="18"/>
              </w:rPr>
              <w:t>五院样本、31省份口径（P12014至P12019）</w:t>
            </w:r>
          </w:p>
        </w:tc>
        <w:tc>
          <w:tcPr>
            <w:tcW w:type="dxa" w:w="1660"/>
          </w:tcPr>
          <w:p>
            <w:r/>
            <w:r>
              <w:rPr>
                <w:rFonts w:ascii="Calibri" w:hAnsi="Calibri" w:eastAsia="微软雅黑"/>
                <w:b w:val="0"/>
                <w:i w:val="0"/>
                <w:sz w:val="18"/>
              </w:rPr>
              <w:t>强区占比下滑=生态位松动</w:t>
            </w:r>
          </w:p>
        </w:tc>
        <w:tc>
          <w:tcPr>
            <w:tcW w:type="dxa" w:w="1660"/>
          </w:tcPr>
          <w:p>
            <w:r/>
            <w:r>
              <w:rPr>
                <w:rFonts w:ascii="Calibri" w:hAnsi="Calibri" w:eastAsia="微软雅黑"/>
                <w:b w:val="0"/>
                <w:i w:val="0"/>
                <w:sz w:val="18"/>
              </w:rPr>
              <w:t>十</w:t>
            </w:r>
          </w:p>
        </w:tc>
        <w:tc>
          <w:tcPr>
            <w:tcW w:type="dxa" w:w="1660"/>
          </w:tcPr>
          <w:p>
            <w:r/>
            <w:r>
              <w:rPr>
                <w:rFonts w:ascii="Calibri" w:hAnsi="Calibri" w:eastAsia="微软雅黑"/>
                <w:b w:val="0"/>
                <w:i w:val="0"/>
                <w:sz w:val="18"/>
              </w:rPr>
              <w:t>重开「上或下」董事会复议</w:t>
            </w:r>
          </w:p>
        </w:tc>
      </w:tr>
    </w:tbl>
    <w:p>
      <w:r>
        <w:rPr>
          <w:rFonts w:ascii="Calibri" w:hAnsi="Calibri" w:eastAsia="微软雅黑"/>
          <w:b w:val="0"/>
          <w:i w:val="0"/>
          <w:sz w:val="22"/>
        </w:rPr>
        <w:t>末行方法说明：本院完全可以用自有中标台账复算同样的省份分布——五份洞察包样本已经证明语料分布能如实区分「属地深耕型」与「跨省经营型」：湖南院215份语料强区湖南235（P12015）、山西院163份强区山西166（P12018）、上海院187份强区四川282（P12016）是属地型；而电子院237份语料的强区为湖南213、北京203、海南117（P12014），安徽院141份语料的强区为北京69、上海66、安徽60（P12019）——两家院的订单重心都不在本省。这类院若按「回归本省」制定战略，监测表会第一个报警；反过来，属地型院强区占比一旦松动，说明省域壁垒正被跨省玩家穿透，趋势十的生态位决议需要复议。一张中标台账算出的集中度，比任何战略陈述都诚实。</w:t>
      </w:r>
    </w:p>
    <w:p>
      <w:pPr>
        <w:pStyle w:val="Heading3"/>
      </w:pPr>
      <w:r>
        <w:t>12.6.3 失效登记册：预判的折旧制度</w:t>
      </w:r>
    </w:p>
    <w:p>
      <w:r>
        <w:rPr>
          <w:rFonts w:ascii="Calibri" w:hAnsi="Calibri" w:eastAsia="微软雅黑"/>
          <w:b w:val="0"/>
          <w:i w:val="0"/>
          <w:sz w:val="22"/>
        </w:rPr>
        <w:t>预判会折旧，折旧要有账。建议把失效登记册设为季度经营分析会附件二（附件一为监测表），三栏制：触发了哪条失效线；折价了本章哪条结论；本院已经做了什么。三类登记样例给出后，各院照抄格式即可。</w:t>
      </w:r>
    </w:p>
    <w:p>
      <w:r>
        <w:rPr>
          <w:rFonts w:ascii="Calibri" w:hAnsi="Calibri" w:eastAsia="微软雅黑"/>
          <w:b w:val="0"/>
          <w:i w:val="0"/>
          <w:sz w:val="22"/>
        </w:rPr>
        <w:t>样例一，快变量折价。LPR变动超过50BP（P12022）：趋势十一的现金流贴现假设全部重写；若处降息周期，趋势六投建运项目的资金成本压力缓解，「参与链条、不做投资主体」的边界可适度放宽；若处加息周期，反向收紧——同一条失效线，两个方向的改写都要预写好，触线时只做选择题。</w:t>
      </w:r>
    </w:p>
    <w:p>
      <w:r>
        <w:rPr>
          <w:rFonts w:ascii="Calibri" w:hAnsi="Calibri" w:eastAsia="微软雅黑"/>
          <w:b w:val="0"/>
          <w:i w:val="0"/>
          <w:sz w:val="22"/>
        </w:rPr>
        <w:t>样例二，慢变量校验。城镇化阶段切换与房地产存量化是人口与资产结构决定的慢变量，五年内不可逆（P12005），趋势一不需要季度级重写。但若本院订单分桶表中「系统重构型」连续两个季度回升，应在登记册注明「本院个体信号与行业基线背离」——此时先查本院客户结构（是否搭上了电网、算力某条线），再质疑行业判断；个体与行业的背离，多数是个体客户结构问题，而非行业拐点。</w:t>
      </w:r>
    </w:p>
    <w:p>
      <w:r>
        <w:rPr>
          <w:rFonts w:ascii="Calibri" w:hAnsi="Calibri" w:eastAsia="微软雅黑"/>
          <w:b w:val="0"/>
          <w:i w:val="0"/>
          <w:sz w:val="22"/>
        </w:rPr>
        <w:t>样例三，不作为的隐性成本。趋势十要求三年内做出「上或下」的选择，延迟选择的代价平时看不见，登记册要替它留一行。参照样本来自另一个「全球第一」的行业：中国轴承年产近300亿套、连续多年全球第一，2024年主营收入约2315亿元，却是典型的「大行业、小公司」——CR10仅约28%、高端产品仅占约5%（P12015）。行业规模全球第一并没有自动带来企业强盛；设计行业若集中度长期不升、各家又普遍延迟选择，等待全行业的就是这种格局。把这笔隐性成本每季度登记一次，比任何转型动员都更能推动决策。</w:t>
      </w:r>
    </w:p>
    <w:p>
      <w:r>
        <w:rPr>
          <w:rFonts w:ascii="Calibri" w:hAnsi="Calibri" w:eastAsia="微软雅黑"/>
          <w:b w:val="0"/>
          <w:i w:val="0"/>
          <w:sz w:val="22"/>
        </w:rPr>
        <w:t>登记册之外再设一道年审：每年对照本章盲区声明回采一次数据——设计院年报中的毛利率与现金流序列（盲区一）、电网4万亿元与城市更新考核的年度执行率（盲区二）、AI改造设计生产的一手案例（盲区三）、房建市政领域的数字化节点与EPC渗透证据（盲区四）。哪条盲区出现了公开可验的新数据，就回填对应趋势、注销对应折扣；盲区收窄的速度，本身就是行业证据基础设施成熟度的指标。</w:t>
      </w:r>
    </w:p>
    <w:p>
      <w:r>
        <w:rPr>
          <w:rFonts w:ascii="Calibri" w:hAnsi="Calibri" w:eastAsia="微软雅黑"/>
          <w:b w:val="0"/>
          <w:i w:val="0"/>
          <w:sz w:val="22"/>
        </w:rPr>
        <w:t>本节收口给买方留一句硬话：本书卖出的是十二个趋势与一台仪表，趋势会折旧，仪表不会。把监测表与失效登记册用满三年，读者手里就不只是本书的结论，而是一套随时能推翻本书结论、且推翻得有据可查的机制——「同意框架、保留判断」，是一个付费读者应有的姿态。</w:t>
      </w:r>
    </w:p>
    <w:p>
      <w:pPr>
        <w:pStyle w:val="Heading2"/>
      </w:pPr>
      <w:r>
        <w:t>本章小结与盲区</w:t>
      </w:r>
    </w:p>
    <w:p>
      <w:r>
        <w:rPr>
          <w:rFonts w:ascii="Calibri" w:hAnsi="Calibri" w:eastAsia="微软雅黑"/>
          <w:b w:val="0"/>
          <w:i w:val="0"/>
          <w:sz w:val="22"/>
        </w:rPr>
        <w:t>十二个趋势可以压缩成一句话：2026-2029年，设计院的外部环境将完成从「规模红利」到「结构红利」的切换——总量收缩（趋势一）、赛道迁移（趋势二、三）、模式变形（趋势四、五、六）、能力重置（趋势七、八、九）、座次重排（趋势十、十一、十二）。给决策者的三个动作排序是：先修风险定价与现金流防线（趋势十一的判例红线与35%两金预警线是所有动作的前提，P12022），再定生态位选择（上或下，趋势十），最后按生态位配置数字化、AI与绿色的能力组合（趋势七、八、九）。TCL穿越四十年周期的经验在此有普适价值：每一次变革都从内部讨论开始取得全员支持，大的变革邀请外部专业力量加入以杜绝内部视角的认知限制，转型方向得选择现有能力延伸的、够得着的行业（P12000）——设计院的转型同样应该从能力可及处延伸，而非追逐风口（P12000）。十二个趋势之间还有依赖关系需要点明：趋势七、八的数字与AI能力是趋势四、五总承包与全生命周期服务的使能条件，趋势十一的风险定价能力决定前两者能否转化为利润而非亏损，趋势十的生态位选择则框定了其余所有趋势作用于本企业的具体形态。分不清依赖关系的转型规划，最常见的错误是跳过能力与风控直接抢订单——这正是「干完才知道盈亏」（P12020）的剧本。全章结论的保鲜装置——六环传导链、先行指标监测表与失效登记册——见12.6：趋势会折旧，那台仪表不会。</w:t>
      </w:r>
    </w:p>
    <w:p>
      <w:r>
        <w:rPr>
          <w:rFonts w:ascii="Calibri" w:hAnsi="Calibri" w:eastAsia="微软雅黑"/>
          <w:b w:val="0"/>
          <w:i w:val="0"/>
          <w:sz w:val="22"/>
        </w:rPr>
        <w:t>如实声明本章证据未覆盖的盲区：其一，微观财务证据不足——bank中没有设计院转型总承包前后的毛利率、人均产值、现金流对比数据，本章关于「总承包做大规模同时压低利润率」的判断缺乏企业级财务序列支撑，仅有Jacobs净利润率相对平平的旁证（P12018）；其二，政策执行进度数据缺失——国家电网4万亿元规划（P12032）、城市更新考核体系（P12003）均属规划文本，其年度执行率、资金到位率在证据库中没有跟踪数据，趋势二、三的兑现节奏存在不确定性；其三，AI改造设计主业的一手案例空白——bank中AI证据集中于方法论（P12031）与路网运营数据（P12030），没有设计院规模化应用AI后流程重组、人员结构调整的实证案例，趋势八的烈度判断属于推演而非观测；其四，行业横向数据失衡——证据偏聚于电力、核电、公路等基础设施行业（P12011、P12029、P12030），房屋建筑与市政设计院在趋势四、七中的适用性依靠外推，读者用于自身决策时应按本行业证据折扣使用。</w:t>
      </w:r>
    </w:p>
    <w:p>
      <w:r>
        <w:rPr>
          <w:rFonts w:ascii="Calibri" w:hAnsi="Calibri" w:eastAsia="微软雅黑"/>
          <w:b w:val="0"/>
          <w:i w:val="0"/>
          <w:sz w:val="22"/>
        </w:rPr>
        <w:t>---</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