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8E4653">
      <w:pPr>
        <w:pStyle w:val="21"/>
        <w:bidi w:val="0"/>
        <w:rPr>
          <w:rFonts w:hint="eastAsia"/>
          <w:lang w:val="en-US" w:eastAsia="zh-CN"/>
        </w:rPr>
      </w:pPr>
    </w:p>
    <w:p w14:paraId="6A4D3860">
      <w:pPr>
        <w:pStyle w:val="21"/>
        <w:bidi w:val="0"/>
        <w:rPr>
          <w:rFonts w:hint="eastAsia"/>
        </w:rPr>
      </w:pPr>
      <w:r>
        <w:rPr>
          <w:rFonts w:hint="eastAsia"/>
        </w:rPr>
        <w:t>嘉里南昌酒店</w:t>
      </w:r>
    </w:p>
    <w:p w14:paraId="48425B52">
      <w:pPr>
        <w:pStyle w:val="17"/>
        <w:bidi w:val="0"/>
        <w:rPr>
          <w:rFonts w:hint="eastAsia"/>
          <w:lang w:val="en-US" w:eastAsia="zh-CN"/>
        </w:rPr>
      </w:pPr>
      <w:r>
        <w:rPr>
          <w:rFonts w:hint="eastAsia"/>
        </w:rPr>
        <w:t>供电工程</w:t>
      </w:r>
      <w:r>
        <w:rPr>
          <w:rFonts w:hint="eastAsia"/>
          <w:lang w:val="en-US" w:eastAsia="zh-CN"/>
        </w:rPr>
        <w:t>合同</w:t>
      </w:r>
      <w:bookmarkStart w:id="1" w:name="_GoBack"/>
      <w:bookmarkEnd w:id="1"/>
    </w:p>
    <w:p w14:paraId="1F256E1C">
      <w:pPr>
        <w:pStyle w:val="15"/>
        <w:bidi w:val="0"/>
        <w:rPr>
          <w:rFonts w:hint="eastAsia"/>
          <w:lang w:eastAsia="zh-CN"/>
        </w:rPr>
      </w:pPr>
      <w:r>
        <w:rPr>
          <w:rFonts w:hint="eastAsia"/>
          <w:lang w:eastAsia="zh-CN"/>
        </w:rPr>
        <w:t>（</w:t>
      </w:r>
      <w:r>
        <w:rPr>
          <w:rFonts w:hint="eastAsia"/>
        </w:rPr>
        <w:t>协议条款</w:t>
      </w:r>
      <w:r>
        <w:rPr>
          <w:rFonts w:hint="eastAsia"/>
          <w:lang w:eastAsia="zh-CN"/>
        </w:rPr>
        <w:t>）</w:t>
      </w:r>
    </w:p>
    <w:p w14:paraId="2FD45390">
      <w:pPr>
        <w:pStyle w:val="12"/>
        <w:bidi w:val="0"/>
        <w:rPr>
          <w:rFonts w:hint="eastAsia"/>
        </w:rPr>
      </w:pPr>
      <w:r>
        <w:rPr>
          <w:rFonts w:hint="eastAsia"/>
        </w:rPr>
        <w:t>本合同于</w:t>
      </w:r>
      <w:r>
        <w:t xml:space="preserve"> </w:t>
      </w:r>
      <w:r>
        <w:rPr>
          <w:rFonts w:hint="eastAsia"/>
        </w:rPr>
        <w:t>2014 年</w:t>
      </w:r>
      <w:r>
        <w:t xml:space="preserve"> </w:t>
      </w:r>
      <w:r>
        <w:rPr>
          <w:rFonts w:hint="eastAsia"/>
        </w:rPr>
        <w:t xml:space="preserve">  </w:t>
      </w:r>
      <w:r>
        <w:t xml:space="preserve"> </w:t>
      </w:r>
      <w:r>
        <w:rPr>
          <w:rFonts w:hint="eastAsia"/>
        </w:rPr>
        <w:t>月</w:t>
      </w:r>
      <w:r>
        <w:t xml:space="preserve">      </w:t>
      </w:r>
      <w:r>
        <w:rPr>
          <w:rFonts w:hint="eastAsia"/>
        </w:rPr>
        <w:t>日由注册地点位于江西省南昌市红谷滩新区</w:t>
      </w:r>
      <w:r>
        <w:rPr>
          <w:rFonts w:hint="eastAsia"/>
          <w:lang w:eastAsia="zh-CN"/>
        </w:rPr>
        <w:t>翠林路</w:t>
      </w:r>
      <w:r>
        <w:rPr>
          <w:rFonts w:hint="eastAsia"/>
          <w:lang w:val="en-US" w:eastAsia="zh-CN"/>
        </w:rPr>
        <w:t>669号</w:t>
      </w:r>
      <w:r>
        <w:rPr>
          <w:rFonts w:hint="eastAsia"/>
        </w:rPr>
        <w:t>的嘉里置业（南昌）有限公司（在下文简称“业主”）为一方与注册地点位于</w:t>
      </w:r>
      <w:r>
        <w:t xml:space="preserve"> </w:t>
      </w:r>
      <w:r>
        <w:rPr>
          <w:rFonts w:hint="eastAsia"/>
        </w:rPr>
        <w:t>南昌市东湖区胜利路162号</w:t>
      </w:r>
      <w:r>
        <w:t xml:space="preserve"> </w:t>
      </w:r>
      <w:r>
        <w:rPr>
          <w:rFonts w:hint="eastAsia"/>
        </w:rPr>
        <w:t>的江西省博豪电力工程建设有限责任公司</w:t>
      </w:r>
      <w:r>
        <w:t xml:space="preserve">  </w:t>
      </w:r>
      <w:r>
        <w:rPr>
          <w:rFonts w:hint="eastAsia"/>
        </w:rPr>
        <w:t>（下文简称“承包单位”）为另一方签订。</w:t>
      </w:r>
    </w:p>
    <w:p w14:paraId="61075271">
      <w:pPr>
        <w:pStyle w:val="12"/>
        <w:bidi w:val="0"/>
        <w:rPr>
          <w:rFonts w:hint="eastAsia"/>
        </w:rPr>
      </w:pPr>
      <w:r>
        <w:rPr>
          <w:rFonts w:hint="eastAsia"/>
        </w:rPr>
        <w:t>本合同于</w:t>
      </w:r>
      <w:r>
        <w:t xml:space="preserve"> </w:t>
      </w:r>
      <w:r>
        <w:rPr>
          <w:rFonts w:hint="eastAsia"/>
        </w:rPr>
        <w:t>2014 年</w:t>
      </w:r>
      <w:r>
        <w:t xml:space="preserve"> </w:t>
      </w:r>
      <w:r>
        <w:rPr>
          <w:rFonts w:hint="eastAsia"/>
        </w:rPr>
        <w:t xml:space="preserve">  </w:t>
      </w:r>
      <w:r>
        <w:t xml:space="preserve"> </w:t>
      </w:r>
      <w:r>
        <w:rPr>
          <w:rFonts w:hint="eastAsia"/>
        </w:rPr>
        <w:t>月</w:t>
      </w:r>
      <w:r>
        <w:t xml:space="preserve">      </w:t>
      </w:r>
      <w:r>
        <w:rPr>
          <w:rFonts w:hint="eastAsia"/>
        </w:rPr>
        <w:t>日由注册地点位于江西省南昌市红谷滩新区</w:t>
      </w:r>
      <w:r>
        <w:rPr>
          <w:rFonts w:hint="eastAsia"/>
          <w:lang w:eastAsia="zh-CN"/>
        </w:rPr>
        <w:t>翠林路</w:t>
      </w:r>
      <w:r>
        <w:rPr>
          <w:rFonts w:hint="eastAsia"/>
          <w:lang w:val="en-US" w:eastAsia="zh-CN"/>
        </w:rPr>
        <w:t>669号</w:t>
      </w:r>
      <w:r>
        <w:rPr>
          <w:rFonts w:hint="eastAsia"/>
        </w:rPr>
        <w:t>的嘉里置业（南昌）有限公司（在下文简称“业主”）为一方与注册地点位于</w:t>
      </w:r>
      <w:r>
        <w:t xml:space="preserve"> </w:t>
      </w:r>
      <w:r>
        <w:rPr>
          <w:rFonts w:hint="eastAsia"/>
        </w:rPr>
        <w:t>南昌市东湖区胜利路162号</w:t>
      </w:r>
      <w:r>
        <w:t xml:space="preserve"> </w:t>
      </w:r>
      <w:r>
        <w:rPr>
          <w:rFonts w:hint="eastAsia"/>
        </w:rPr>
        <w:t>的江西省博豪电力工程建设有限责任公司</w:t>
      </w:r>
      <w:r>
        <w:t xml:space="preserve">  </w:t>
      </w:r>
      <w:r>
        <w:rPr>
          <w:rFonts w:hint="eastAsia"/>
        </w:rPr>
        <w:t>（下文简称“承包单位”）为另一方签订。</w:t>
      </w:r>
    </w:p>
    <w:p w14:paraId="2F3BDE75">
      <w:pPr>
        <w:pStyle w:val="12"/>
        <w:bidi w:val="0"/>
        <w:rPr>
          <w:rFonts w:hint="eastAsia"/>
        </w:rPr>
      </w:pPr>
      <w:r>
        <w:rPr>
          <w:rFonts w:hint="eastAsia"/>
        </w:rPr>
        <w:t>本合同于</w:t>
      </w:r>
      <w:r>
        <w:t xml:space="preserve"> </w:t>
      </w:r>
      <w:r>
        <w:rPr>
          <w:rFonts w:hint="eastAsia"/>
        </w:rPr>
        <w:t>2014 年</w:t>
      </w:r>
      <w:r>
        <w:t xml:space="preserve"> </w:t>
      </w:r>
      <w:r>
        <w:rPr>
          <w:rFonts w:hint="eastAsia"/>
        </w:rPr>
        <w:t xml:space="preserve">  </w:t>
      </w:r>
      <w:r>
        <w:t xml:space="preserve"> </w:t>
      </w:r>
      <w:r>
        <w:rPr>
          <w:rFonts w:hint="eastAsia"/>
        </w:rPr>
        <w:t>月</w:t>
      </w:r>
      <w:r>
        <w:t xml:space="preserve">      </w:t>
      </w:r>
      <w:r>
        <w:rPr>
          <w:rFonts w:hint="eastAsia"/>
        </w:rPr>
        <w:t>日由注册地点位于江西省南昌市红谷滩新区</w:t>
      </w:r>
      <w:r>
        <w:rPr>
          <w:rFonts w:hint="eastAsia"/>
          <w:lang w:eastAsia="zh-CN"/>
        </w:rPr>
        <w:t>翠林路</w:t>
      </w:r>
      <w:r>
        <w:rPr>
          <w:rFonts w:hint="eastAsia"/>
          <w:lang w:val="en-US" w:eastAsia="zh-CN"/>
        </w:rPr>
        <w:t>669号</w:t>
      </w:r>
      <w:r>
        <w:rPr>
          <w:rFonts w:hint="eastAsia"/>
        </w:rPr>
        <w:t>的嘉里置业（南昌）有限公司（在下文简称“业主”）为一方与注册地点位于</w:t>
      </w:r>
      <w:r>
        <w:t xml:space="preserve"> </w:t>
      </w:r>
      <w:r>
        <w:rPr>
          <w:rFonts w:hint="eastAsia"/>
        </w:rPr>
        <w:t>南昌市东湖区胜利路162号</w:t>
      </w:r>
      <w:r>
        <w:t xml:space="preserve"> </w:t>
      </w:r>
      <w:r>
        <w:rPr>
          <w:rFonts w:hint="eastAsia"/>
        </w:rPr>
        <w:t>的江西省博豪电力工程建设有限责任公司</w:t>
      </w:r>
      <w:r>
        <w:t xml:space="preserve">  </w:t>
      </w:r>
      <w:r>
        <w:rPr>
          <w:rFonts w:hint="eastAsia"/>
        </w:rPr>
        <w:t>（下文简称“承包单位”）为另一方签订。</w:t>
      </w:r>
    </w:p>
    <w:p w14:paraId="545BE34B">
      <w:pPr>
        <w:pStyle w:val="12"/>
        <w:bidi w:val="0"/>
        <w:rPr>
          <w:rFonts w:hint="eastAsia"/>
        </w:rPr>
      </w:pPr>
      <w:r>
        <w:rPr>
          <w:rFonts w:hint="eastAsia"/>
        </w:rPr>
        <w:t>本合同于</w:t>
      </w:r>
      <w:r>
        <w:t xml:space="preserve"> </w:t>
      </w:r>
      <w:r>
        <w:rPr>
          <w:rFonts w:hint="eastAsia"/>
        </w:rPr>
        <w:t>2014 年</w:t>
      </w:r>
      <w:r>
        <w:t xml:space="preserve"> </w:t>
      </w:r>
      <w:r>
        <w:rPr>
          <w:rFonts w:hint="eastAsia"/>
        </w:rPr>
        <w:t xml:space="preserve">  </w:t>
      </w:r>
      <w:r>
        <w:t xml:space="preserve"> </w:t>
      </w:r>
      <w:r>
        <w:rPr>
          <w:rFonts w:hint="eastAsia"/>
        </w:rPr>
        <w:t>月</w:t>
      </w:r>
      <w:r>
        <w:t xml:space="preserve">      </w:t>
      </w:r>
      <w:r>
        <w:rPr>
          <w:rFonts w:hint="eastAsia"/>
        </w:rPr>
        <w:t>日由注册地点位于江西省南昌市红谷滩新区</w:t>
      </w:r>
      <w:r>
        <w:rPr>
          <w:rFonts w:hint="eastAsia"/>
          <w:lang w:eastAsia="zh-CN"/>
        </w:rPr>
        <w:t>翠林路</w:t>
      </w:r>
      <w:r>
        <w:rPr>
          <w:rFonts w:hint="eastAsia"/>
          <w:lang w:val="en-US" w:eastAsia="zh-CN"/>
        </w:rPr>
        <w:t>669号</w:t>
      </w:r>
      <w:r>
        <w:rPr>
          <w:rFonts w:hint="eastAsia"/>
        </w:rPr>
        <w:t>的嘉里置业（南昌）有限公司（在下文简称“业主”）为一方与注册地点位于</w:t>
      </w:r>
      <w:r>
        <w:t xml:space="preserve"> </w:t>
      </w:r>
      <w:r>
        <w:rPr>
          <w:rFonts w:hint="eastAsia"/>
        </w:rPr>
        <w:t>南昌市东湖区胜利路162号</w:t>
      </w:r>
      <w:r>
        <w:t xml:space="preserve"> </w:t>
      </w:r>
      <w:r>
        <w:rPr>
          <w:rFonts w:hint="eastAsia"/>
        </w:rPr>
        <w:t>的江西省博豪电力工程建设有限责任公司</w:t>
      </w:r>
      <w:r>
        <w:t xml:space="preserve">  </w:t>
      </w:r>
      <w:r>
        <w:rPr>
          <w:rFonts w:hint="eastAsia"/>
        </w:rPr>
        <w:t>（下文简称“承包单位”）为另一方签订。</w:t>
      </w:r>
    </w:p>
    <w:p w14:paraId="5D7D8203">
      <w:pPr>
        <w:pStyle w:val="12"/>
        <w:bidi w:val="0"/>
        <w:rPr>
          <w:rFonts w:hint="eastAsia"/>
        </w:rPr>
      </w:pPr>
      <w:r>
        <w:rPr>
          <w:rFonts w:hint="eastAsia"/>
        </w:rPr>
        <w:t>本合同于</w:t>
      </w:r>
      <w:r>
        <w:t xml:space="preserve"> </w:t>
      </w:r>
      <w:r>
        <w:rPr>
          <w:rFonts w:hint="eastAsia"/>
        </w:rPr>
        <w:t>2014 年</w:t>
      </w:r>
      <w:r>
        <w:t xml:space="preserve"> </w:t>
      </w:r>
      <w:r>
        <w:rPr>
          <w:rFonts w:hint="eastAsia"/>
        </w:rPr>
        <w:t xml:space="preserve">  </w:t>
      </w:r>
      <w:r>
        <w:t xml:space="preserve"> </w:t>
      </w:r>
      <w:r>
        <w:rPr>
          <w:rFonts w:hint="eastAsia"/>
        </w:rPr>
        <w:t>月</w:t>
      </w:r>
      <w:r>
        <w:t xml:space="preserve">      </w:t>
      </w:r>
      <w:r>
        <w:rPr>
          <w:rFonts w:hint="eastAsia"/>
        </w:rPr>
        <w:t>日由注册地点位于江西省南昌市红谷滩新区</w:t>
      </w:r>
      <w:r>
        <w:rPr>
          <w:rFonts w:hint="eastAsia"/>
          <w:lang w:eastAsia="zh-CN"/>
        </w:rPr>
        <w:t>翠林路</w:t>
      </w:r>
      <w:r>
        <w:rPr>
          <w:rFonts w:hint="eastAsia"/>
          <w:lang w:val="en-US" w:eastAsia="zh-CN"/>
        </w:rPr>
        <w:t>669号</w:t>
      </w:r>
      <w:r>
        <w:rPr>
          <w:rFonts w:hint="eastAsia"/>
        </w:rPr>
        <w:t>的嘉里置业（南昌）有限公司（在下文简称“业主”）为一方与注册地点位于</w:t>
      </w:r>
      <w:r>
        <w:t xml:space="preserve"> </w:t>
      </w:r>
      <w:r>
        <w:rPr>
          <w:rFonts w:hint="eastAsia"/>
        </w:rPr>
        <w:t>南昌市东湖区胜利路162号</w:t>
      </w:r>
      <w:r>
        <w:t xml:space="preserve"> </w:t>
      </w:r>
      <w:r>
        <w:rPr>
          <w:rFonts w:hint="eastAsia"/>
        </w:rPr>
        <w:t>的江西省博豪电力工程建设有限责任公司</w:t>
      </w:r>
      <w:r>
        <w:t xml:space="preserve">  </w:t>
      </w:r>
      <w:r>
        <w:rPr>
          <w:rFonts w:hint="eastAsia"/>
        </w:rPr>
        <w:t>（下文简称“承包单位”）为另一方签订。</w:t>
      </w:r>
    </w:p>
    <w:p w14:paraId="2029A455">
      <w:pPr>
        <w:rPr>
          <w:rFonts w:hint="eastAsia"/>
          <w:lang w:val="en-US" w:eastAsia="zh-CN"/>
        </w:rPr>
      </w:pPr>
      <w:r>
        <w:rPr>
          <w:rFonts w:hint="eastAsia"/>
          <w:lang w:val="en-US" w:eastAsia="zh-CN"/>
        </w:rPr>
        <w:br w:type="page"/>
      </w:r>
    </w:p>
    <w:p w14:paraId="5B95A768">
      <w:pPr>
        <w:pStyle w:val="26"/>
        <w:bidi w:val="0"/>
        <w:rPr>
          <w:rFonts w:hint="eastAsia"/>
          <w:lang w:val="en-US" w:eastAsia="zh-CN"/>
        </w:rPr>
      </w:pPr>
      <w:r>
        <w:rPr>
          <w:rFonts w:hint="eastAsia"/>
          <w:lang w:val="en-US" w:eastAsia="zh-CN"/>
        </w:rPr>
        <w:t>章前标题（目录标题）</w:t>
      </w:r>
    </w:p>
    <w:p w14:paraId="7377101B">
      <w:pPr>
        <w:pStyle w:val="12"/>
        <w:bidi w:val="0"/>
      </w:pPr>
      <w:r>
        <w:rPr>
          <w:rFonts w:ascii="宋体" w:hAnsi="宋体"/>
          <w:color w:val="000000"/>
        </w:rPr>
        <w:t xml:space="preserve">  </w:t>
      </w:r>
      <w:r>
        <w:t xml:space="preserve">  本人</w:t>
      </w:r>
      <w:r>
        <w:rPr>
          <w:rFonts w:hint="eastAsia"/>
          <w:u w:val="single"/>
        </w:rPr>
        <w:t xml:space="preserve">       </w:t>
      </w:r>
      <w:r>
        <w:rPr>
          <w:u w:val="single"/>
        </w:rPr>
        <w:t xml:space="preserve"> </w:t>
      </w:r>
      <w:r>
        <w:t>(姓名)系</w:t>
      </w:r>
      <w:r>
        <w:rPr>
          <w:rFonts w:hint="eastAsia"/>
          <w:u w:val="single"/>
        </w:rPr>
        <w:t xml:space="preserve">       </w:t>
      </w:r>
      <w:r>
        <w:rPr>
          <w:rFonts w:hint="eastAsia"/>
        </w:rPr>
        <w:t>（</w:t>
      </w:r>
      <w:r>
        <w:t>投标人名称)的法定代表人，现委托</w:t>
      </w:r>
      <w:r>
        <w:rPr>
          <w:rFonts w:hint="eastAsia"/>
        </w:rPr>
        <w:t xml:space="preserve">    </w:t>
      </w:r>
      <w:r>
        <w:t xml:space="preserve"> (姓名)为我方代理人。代理人根据授权，以我方名义签署、澄清、说明、补正、递交、撤回、</w:t>
      </w:r>
      <w:r>
        <w:rPr>
          <w:rFonts w:hint="eastAsia"/>
        </w:rPr>
        <w:t>修改</w:t>
      </w:r>
      <w:r>
        <w:rPr>
          <w:rFonts w:hint="eastAsia"/>
          <w:u w:val="single"/>
        </w:rPr>
        <w:t xml:space="preserve">                  </w:t>
      </w:r>
      <w:r>
        <w:t>(</w:t>
      </w:r>
      <w:r>
        <w:rPr>
          <w:rFonts w:hint="eastAsia"/>
        </w:rPr>
        <w:t>工程</w:t>
      </w:r>
      <w:r>
        <w:t>名称)</w:t>
      </w:r>
      <w:r>
        <w:rPr>
          <w:rFonts w:hint="eastAsia"/>
        </w:rPr>
        <w:t>投标文件、签订合同和处理有关事宜，其法律后果由我方承担。</w:t>
      </w:r>
    </w:p>
    <w:p w14:paraId="3D63FA45">
      <w:pPr>
        <w:pStyle w:val="12"/>
        <w:bidi w:val="0"/>
      </w:pPr>
      <w:r>
        <w:rPr>
          <w:rFonts w:hint="eastAsia"/>
        </w:rPr>
        <w:t xml:space="preserve">委托期限：       </w:t>
      </w:r>
    </w:p>
    <w:p w14:paraId="7A6AA3ED">
      <w:pPr>
        <w:pStyle w:val="12"/>
        <w:bidi w:val="0"/>
        <w:rPr>
          <w:rFonts w:hint="eastAsia"/>
        </w:rPr>
      </w:pPr>
      <w:r>
        <w:rPr>
          <w:rFonts w:hint="eastAsia"/>
        </w:rPr>
        <w:t>代理人无转委托权。</w:t>
      </w:r>
    </w:p>
    <w:p w14:paraId="33F097BA">
      <w:pPr>
        <w:pStyle w:val="22"/>
        <w:bidi w:val="0"/>
      </w:pPr>
      <w:r>
        <w:t>第一章</w:t>
      </w:r>
      <w:r>
        <w:rPr>
          <w:rFonts w:hint="eastAsia"/>
          <w:lang w:val="en-US" w:eastAsia="zh-CN"/>
        </w:rPr>
        <w:t xml:space="preserve"> </w:t>
      </w:r>
      <w:r>
        <w:t>使用场地</w:t>
      </w:r>
    </w:p>
    <w:p w14:paraId="4C0A77ED">
      <w:pPr>
        <w:pStyle w:val="12"/>
        <w:rPr>
          <w:color w:val="000000"/>
          <w:u w:val="single"/>
        </w:rPr>
      </w:pPr>
      <w:r>
        <w:rPr>
          <w:color w:val="000000"/>
        </w:rPr>
        <w:t>1.1乙方使用甲方场地：</w:t>
      </w:r>
      <w:r>
        <w:rPr>
          <w:color w:val="000000"/>
          <w:u w:val="single"/>
        </w:rPr>
        <w:t>华熙LIVE hi-up中央广场</w:t>
      </w:r>
      <w:r>
        <w:rPr>
          <w:color w:val="000000"/>
        </w:rPr>
        <w:t>，面积</w:t>
      </w:r>
      <w:r>
        <w:rPr>
          <w:color w:val="000000"/>
          <w:u w:val="single"/>
        </w:rPr>
        <w:t>540</w:t>
      </w:r>
      <w:r>
        <w:rPr>
          <w:color w:val="000000"/>
        </w:rPr>
        <w:t>平方米，用于乙方展示活动，活动主题为：</w:t>
      </w:r>
      <w:r>
        <w:rPr>
          <w:color w:val="000000"/>
          <w:u w:val="single"/>
        </w:rPr>
        <w:t xml:space="preserve">新能源车展示 底价购车季            </w:t>
      </w:r>
    </w:p>
    <w:p w14:paraId="775C687A">
      <w:pPr>
        <w:pStyle w:val="12"/>
        <w:rPr>
          <w:rFonts w:hint="eastAsia" w:eastAsia="宋体"/>
          <w:color w:val="000000"/>
          <w:lang w:val="en-US" w:eastAsia="zh-CN"/>
        </w:rPr>
      </w:pPr>
      <w:r>
        <w:rPr>
          <w:color w:val="000000"/>
        </w:rPr>
        <w:t xml:space="preserve">1.2乙方现场摆放10台车辆，品牌活动背景板每品牌一个，尺寸为：高3m*宽6m     </w:t>
      </w:r>
      <w:r>
        <w:rPr>
          <w:rFonts w:hint="eastAsia"/>
          <w:color w:val="000000"/>
          <w:lang w:val="en-US" w:eastAsia="zh-CN"/>
        </w:rPr>
        <w:t>需重新注册V型出V型在v许闲杂v下错v闲杂v出</w:t>
      </w:r>
    </w:p>
    <w:p w14:paraId="75C1B52B">
      <w:pPr>
        <w:pStyle w:val="22"/>
        <w:bidi w:val="0"/>
      </w:pPr>
      <w:r>
        <w:t>第二章</w:t>
      </w:r>
      <w:r>
        <w:rPr>
          <w:rFonts w:hint="eastAsia"/>
          <w:lang w:val="en-US" w:eastAsia="zh-CN"/>
        </w:rPr>
        <w:t xml:space="preserve"> </w:t>
      </w:r>
      <w:r>
        <w:t>使用期限</w:t>
      </w:r>
    </w:p>
    <w:p w14:paraId="51C0016F">
      <w:pPr>
        <w:pStyle w:val="12"/>
        <w:rPr>
          <w:color w:val="000000"/>
          <w:u w:val="single"/>
        </w:rPr>
      </w:pPr>
      <w:r>
        <w:rPr>
          <w:color w:val="000000"/>
        </w:rPr>
        <w:t>2</w:t>
      </w:r>
      <w:r>
        <w:t>.场地使用自</w:t>
      </w:r>
      <w:r>
        <w:rPr>
          <w:u w:val="single"/>
        </w:rPr>
        <w:t>2017</w:t>
      </w:r>
      <w:r>
        <w:t>年</w:t>
      </w:r>
      <w:r>
        <w:rPr>
          <w:u w:val="single"/>
        </w:rPr>
        <w:t>4</w:t>
      </w:r>
      <w:r>
        <w:t>月</w:t>
      </w:r>
      <w:r>
        <w:rPr>
          <w:u w:val="single"/>
        </w:rPr>
        <w:t>29</w:t>
      </w:r>
      <w:r>
        <w:t>日起至</w:t>
      </w:r>
      <w:r>
        <w:rPr>
          <w:u w:val="single"/>
        </w:rPr>
        <w:t>2017</w:t>
      </w:r>
      <w:r>
        <w:t>年</w:t>
      </w:r>
      <w:r>
        <w:rPr>
          <w:u w:val="single"/>
        </w:rPr>
        <w:t>5</w:t>
      </w:r>
      <w:r>
        <w:t>月</w:t>
      </w:r>
      <w:r>
        <w:rPr>
          <w:u w:val="single"/>
        </w:rPr>
        <w:t>1</w:t>
      </w:r>
      <w:r>
        <w:t xml:space="preserve">日止（ 或  </w:t>
      </w:r>
      <w:r>
        <w:fldChar w:fldCharType="begin">
          <w:ffData>
            <w:name w:val="Check6"/>
            <w:enabled/>
            <w:calcOnExit w:val="0"/>
            <w:checkBox>
              <w:sizeAuto/>
              <w:default w:val="0"/>
              <w:checked w:val="0"/>
            </w:checkBox>
          </w:ffData>
        </w:fldChar>
      </w:r>
      <w:r>
        <w:instrText xml:space="preserve">FORMCHECKBOX</w:instrText>
      </w:r>
      <w:r>
        <w:fldChar w:fldCharType="separate"/>
      </w:r>
      <w:r>
        <w:fldChar w:fldCharType="end"/>
      </w:r>
      <w:r>
        <w:t xml:space="preserve"> 仅限此期间的周）共计</w:t>
      </w:r>
      <w:r>
        <w:rPr>
          <w:u w:val="single"/>
        </w:rPr>
        <w:t>3日</w:t>
      </w:r>
      <w:r>
        <w:t>。经双方协商，乙方可于</w:t>
      </w:r>
      <w:r>
        <w:rPr>
          <w:u w:val="single"/>
        </w:rPr>
        <w:t>2017</w:t>
      </w:r>
      <w:r>
        <w:t>年</w:t>
      </w:r>
      <w:r>
        <w:rPr>
          <w:u w:val="single"/>
        </w:rPr>
        <w:t xml:space="preserve"> 4月 28</w:t>
      </w:r>
      <w:r>
        <w:t>日晚开始进场搭建，第二天早9：00施工完毕，</w:t>
      </w:r>
      <w:r>
        <w:rPr>
          <w:u w:val="single"/>
        </w:rPr>
        <w:t xml:space="preserve"> 2017  </w:t>
      </w:r>
      <w:r>
        <w:t>年</w:t>
      </w:r>
      <w:r>
        <w:rPr>
          <w:u w:val="single"/>
        </w:rPr>
        <w:t>5</w:t>
      </w:r>
      <w:r>
        <w:t>月</w:t>
      </w:r>
      <w:r>
        <w:rPr>
          <w:u w:val="single"/>
        </w:rPr>
        <w:t>1</w:t>
      </w:r>
      <w:r>
        <w:t>日晚，撤场。</w:t>
      </w:r>
    </w:p>
    <w:p w14:paraId="668B6C72">
      <w:pPr>
        <w:pStyle w:val="22"/>
        <w:bidi w:val="0"/>
      </w:pPr>
      <w:r>
        <w:t>第三章</w:t>
      </w:r>
      <w:r>
        <w:rPr>
          <w:rFonts w:hint="eastAsia"/>
          <w:lang w:val="en-US" w:eastAsia="zh-CN"/>
        </w:rPr>
        <w:t xml:space="preserve"> </w:t>
      </w:r>
      <w:r>
        <w:t>费用及付款方式</w:t>
      </w:r>
    </w:p>
    <w:p w14:paraId="22E236F1">
      <w:pPr>
        <w:pStyle w:val="12"/>
        <w:bidi w:val="0"/>
      </w:pPr>
      <w:r>
        <w:t>3.1乙方同意就其使用该活动场地向甲方缴付场地使用管理费为人民币12000.00元整（大写：壹万贰仟元 ），并于签订合同之日缴纳12000元（大写：壹万贰仟元）全部场地租赁费，甲方在收到乙方所支付的场地管理费后，向乙方开具同等金额的增值税专用发票，发票内容：（租赁费）。如因第八条（不可抗力）不能履行合同，甲方将场地租赁费扣除实际消耗的部分后将剩余款项退还乙方，如因乙方原因不能履行合同，已经支付的租赁费甲方将不予退还乙方。</w:t>
      </w:r>
    </w:p>
    <w:p w14:paraId="12A2454A">
      <w:pPr>
        <w:pStyle w:val="12"/>
        <w:bidi w:val="0"/>
      </w:pPr>
      <w:r>
        <w:t>3.2 乙方于活动开始前3日一次性将12000.00元（大写：壹万贰仟元）缴齐。</w:t>
      </w:r>
    </w:p>
    <w:p w14:paraId="5ABBB3F5">
      <w:pPr>
        <w:pStyle w:val="12"/>
        <w:bidi w:val="0"/>
      </w:pPr>
      <w:r>
        <w:t>3.3乙方在本合同签订时向甲方支付施工押金30000元（大写：  叁万   元），甲方在乙方收到所支付的施工押金后向乙方开具合法有效的收据。本合同终止10日后，乙方未出现违约行为且未给甲方造成任何名誉或财产损失的，甲方一次性无息退还乙方。</w:t>
      </w:r>
    </w:p>
    <w:p w14:paraId="40AAB6C5">
      <w:pPr>
        <w:pStyle w:val="12"/>
        <w:bidi w:val="0"/>
      </w:pPr>
      <w:r>
        <w:rPr>
          <w:rFonts w:hint="eastAsia"/>
        </w:rPr>
        <w:t>3.4乙方在活动过程中所产生的电费需于活动结束后三个工作日内自行缴纳到甲方，乙方逾期未交电费将视作违约，除应及时如数补交外，还应支付滞纳金。每逾期一日，支付本次电费的3%作为滞纳金。</w:t>
      </w:r>
    </w:p>
    <w:p w14:paraId="6554753C">
      <w:pPr>
        <w:pStyle w:val="22"/>
        <w:bidi w:val="0"/>
        <w:rPr>
          <w:rFonts w:hint="default"/>
          <w:lang w:val="en-US" w:eastAsia="zh-CN"/>
        </w:rPr>
      </w:pPr>
      <w:r>
        <w:t>第四章</w:t>
      </w:r>
      <w:r>
        <w:rPr>
          <w:rFonts w:hint="eastAsia"/>
          <w:lang w:val="en-US" w:eastAsia="zh-CN"/>
        </w:rPr>
        <w:t xml:space="preserve"> </w:t>
      </w:r>
      <w:r>
        <w:t>权利义务</w:t>
      </w:r>
    </w:p>
    <w:p w14:paraId="04A07B2F">
      <w:pPr>
        <w:pStyle w:val="2"/>
        <w:bidi w:val="0"/>
      </w:pPr>
      <w:bookmarkStart w:id="0" w:name="_Toc28663"/>
      <w:r>
        <w:t>第一条、废物处理处置内容和标准：</w:t>
      </w:r>
    </w:p>
    <w:p w14:paraId="5679C2E9">
      <w:pPr>
        <w:pStyle w:val="23"/>
        <w:bidi w:val="0"/>
        <w:rPr>
          <w:rFonts w:hint="eastAsia"/>
          <w:lang w:val="en-US" w:eastAsia="zh-CN"/>
        </w:rPr>
      </w:pPr>
      <w:r>
        <w:rPr>
          <w:rFonts w:hint="eastAsia"/>
          <w:lang w:val="en-US" w:eastAsia="zh-CN"/>
        </w:rPr>
        <w:t>表2-1 水电费水电费是的是的</w:t>
      </w:r>
    </w:p>
    <w:tbl>
      <w:tblPr>
        <w:tblStyle w:val="18"/>
        <w:tblW w:w="4998" w:type="pct"/>
        <w:jc w:val="center"/>
        <w:tblLayout w:type="autofit"/>
        <w:tblCellMar>
          <w:top w:w="0" w:type="dxa"/>
          <w:left w:w="108" w:type="dxa"/>
          <w:bottom w:w="0" w:type="dxa"/>
          <w:right w:w="108" w:type="dxa"/>
        </w:tblCellMar>
      </w:tblPr>
      <w:tblGrid>
        <w:gridCol w:w="626"/>
        <w:gridCol w:w="2182"/>
        <w:gridCol w:w="1227"/>
        <w:gridCol w:w="1396"/>
        <w:gridCol w:w="1396"/>
        <w:gridCol w:w="1692"/>
      </w:tblGrid>
      <w:tr w14:paraId="4F8FB4CD">
        <w:trPr>
          <w:trHeight w:val="573" w:hRule="atLeast"/>
          <w:jc w:val="center"/>
        </w:trPr>
        <w:tc>
          <w:tcPr>
            <w:tcW w:w="367" w:type="pct"/>
            <w:tcBorders>
              <w:top w:val="single" w:color="auto" w:sz="4" w:space="0"/>
              <w:left w:val="single" w:color="auto" w:sz="4" w:space="0"/>
              <w:bottom w:val="single" w:color="auto" w:sz="4" w:space="0"/>
              <w:right w:val="single" w:color="auto" w:sz="4" w:space="0"/>
            </w:tcBorders>
            <w:noWrap w:val="0"/>
            <w:vAlign w:val="center"/>
          </w:tcPr>
          <w:p w14:paraId="47EA26F8">
            <w:pPr>
              <w:spacing w:line="440" w:lineRule="exact"/>
              <w:jc w:val="center"/>
              <w:rPr>
                <w:rFonts w:eastAsia="宋体"/>
                <w:b/>
                <w:sz w:val="21"/>
              </w:rPr>
            </w:pPr>
            <w:r>
              <w:rPr>
                <w:rFonts w:eastAsia="宋体"/>
                <w:b/>
                <w:sz w:val="21"/>
              </w:rPr>
              <w:t xml:space="preserve"> 序号</w:t>
            </w:r>
          </w:p>
        </w:tc>
        <w:tc>
          <w:tcPr>
            <w:tcW w:w="1280" w:type="pct"/>
            <w:tcBorders>
              <w:top w:val="single" w:color="auto" w:sz="4" w:space="0"/>
              <w:left w:val="nil"/>
              <w:bottom w:val="single" w:color="auto" w:sz="4" w:space="0"/>
              <w:right w:val="single" w:color="auto" w:sz="4" w:space="0"/>
            </w:tcBorders>
            <w:noWrap w:val="0"/>
            <w:vAlign w:val="center"/>
          </w:tcPr>
          <w:p w14:paraId="10B91E63">
            <w:pPr>
              <w:spacing w:line="440" w:lineRule="exact"/>
              <w:jc w:val="center"/>
              <w:rPr>
                <w:rFonts w:eastAsia="宋体"/>
                <w:b/>
                <w:sz w:val="21"/>
              </w:rPr>
            </w:pPr>
            <w:r>
              <w:rPr>
                <w:rFonts w:eastAsia="宋体"/>
                <w:b/>
                <w:sz w:val="21"/>
              </w:rPr>
              <w:t>废物名称</w:t>
            </w:r>
          </w:p>
        </w:tc>
        <w:tc>
          <w:tcPr>
            <w:tcW w:w="719" w:type="pct"/>
            <w:tcBorders>
              <w:top w:val="single" w:color="auto" w:sz="4" w:space="0"/>
              <w:left w:val="nil"/>
              <w:bottom w:val="single" w:color="auto" w:sz="4" w:space="0"/>
              <w:right w:val="single" w:color="auto" w:sz="4" w:space="0"/>
            </w:tcBorders>
            <w:noWrap w:val="0"/>
            <w:vAlign w:val="center"/>
          </w:tcPr>
          <w:p w14:paraId="3C29EFD6">
            <w:pPr>
              <w:spacing w:line="440" w:lineRule="exact"/>
              <w:jc w:val="center"/>
              <w:rPr>
                <w:rFonts w:eastAsia="宋体"/>
                <w:b/>
                <w:sz w:val="21"/>
              </w:rPr>
            </w:pPr>
            <w:r>
              <w:rPr>
                <w:rFonts w:eastAsia="宋体"/>
                <w:b/>
                <w:sz w:val="21"/>
              </w:rPr>
              <w:t>废物编号</w:t>
            </w:r>
          </w:p>
        </w:tc>
        <w:tc>
          <w:tcPr>
            <w:tcW w:w="819" w:type="pct"/>
            <w:tcBorders>
              <w:top w:val="single" w:color="auto" w:sz="4" w:space="0"/>
              <w:left w:val="nil"/>
              <w:bottom w:val="single" w:color="auto" w:sz="4" w:space="0"/>
              <w:right w:val="single" w:color="auto" w:sz="4" w:space="0"/>
            </w:tcBorders>
            <w:noWrap w:val="0"/>
            <w:vAlign w:val="center"/>
          </w:tcPr>
          <w:p w14:paraId="701DFEBE">
            <w:pPr>
              <w:spacing w:line="440" w:lineRule="exact"/>
              <w:jc w:val="center"/>
              <w:rPr>
                <w:rFonts w:eastAsia="宋体"/>
                <w:b/>
                <w:sz w:val="21"/>
              </w:rPr>
            </w:pPr>
            <w:r>
              <w:rPr>
                <w:rFonts w:eastAsia="宋体"/>
                <w:b/>
                <w:sz w:val="21"/>
              </w:rPr>
              <w:t>年预计量</w:t>
            </w:r>
            <w:r>
              <w:rPr>
                <w:rFonts w:eastAsia="宋体"/>
                <w:b/>
                <w:sz w:val="21"/>
              </w:rPr>
              <w:br w:type="textWrapping"/>
            </w:r>
            <w:r>
              <w:rPr>
                <w:rFonts w:eastAsia="宋体"/>
                <w:b/>
                <w:sz w:val="21"/>
              </w:rPr>
              <w:t>（吨）</w:t>
            </w:r>
          </w:p>
        </w:tc>
        <w:tc>
          <w:tcPr>
            <w:tcW w:w="819" w:type="pct"/>
            <w:tcBorders>
              <w:top w:val="single" w:color="auto" w:sz="4" w:space="0"/>
              <w:left w:val="nil"/>
              <w:bottom w:val="single" w:color="auto" w:sz="4" w:space="0"/>
              <w:right w:val="single" w:color="auto" w:sz="4" w:space="0"/>
            </w:tcBorders>
            <w:noWrap w:val="0"/>
            <w:vAlign w:val="center"/>
          </w:tcPr>
          <w:p w14:paraId="5AE65DCA">
            <w:pPr>
              <w:spacing w:line="440" w:lineRule="exact"/>
              <w:jc w:val="center"/>
              <w:rPr>
                <w:rFonts w:eastAsia="宋体"/>
                <w:b/>
                <w:sz w:val="21"/>
              </w:rPr>
            </w:pPr>
            <w:r>
              <w:rPr>
                <w:rFonts w:eastAsia="宋体"/>
                <w:b/>
                <w:sz w:val="21"/>
              </w:rPr>
              <w:t>处理/处置方式</w:t>
            </w:r>
          </w:p>
        </w:tc>
        <w:tc>
          <w:tcPr>
            <w:tcW w:w="993" w:type="pct"/>
            <w:tcBorders>
              <w:top w:val="single" w:color="auto" w:sz="4" w:space="0"/>
              <w:left w:val="nil"/>
              <w:bottom w:val="single" w:color="auto" w:sz="4" w:space="0"/>
              <w:right w:val="single" w:color="auto" w:sz="4" w:space="0"/>
            </w:tcBorders>
            <w:noWrap w:val="0"/>
            <w:vAlign w:val="center"/>
          </w:tcPr>
          <w:p w14:paraId="30F9AAFC">
            <w:pPr>
              <w:spacing w:line="440" w:lineRule="exact"/>
              <w:jc w:val="center"/>
              <w:rPr>
                <w:rFonts w:eastAsia="宋体"/>
                <w:b/>
                <w:sz w:val="21"/>
              </w:rPr>
            </w:pPr>
            <w:r>
              <w:rPr>
                <w:rFonts w:eastAsia="宋体"/>
                <w:b/>
                <w:sz w:val="21"/>
              </w:rPr>
              <w:t>现场包装</w:t>
            </w:r>
            <w:r>
              <w:rPr>
                <w:rFonts w:eastAsia="宋体"/>
                <w:b/>
                <w:sz w:val="21"/>
              </w:rPr>
              <w:br w:type="textWrapping"/>
            </w:r>
            <w:r>
              <w:rPr>
                <w:rFonts w:eastAsia="宋体"/>
                <w:b/>
                <w:sz w:val="21"/>
              </w:rPr>
              <w:t>技术要求</w:t>
            </w:r>
          </w:p>
        </w:tc>
      </w:tr>
      <w:tr w14:paraId="6536FFC7">
        <w:trPr>
          <w:trHeight w:val="601" w:hRule="atLeast"/>
          <w:jc w:val="center"/>
        </w:trPr>
        <w:tc>
          <w:tcPr>
            <w:tcW w:w="367" w:type="pct"/>
            <w:tcBorders>
              <w:top w:val="nil"/>
              <w:left w:val="single" w:color="auto" w:sz="4" w:space="0"/>
              <w:bottom w:val="single" w:color="auto" w:sz="4" w:space="0"/>
              <w:right w:val="single" w:color="auto" w:sz="4" w:space="0"/>
            </w:tcBorders>
            <w:noWrap w:val="0"/>
            <w:vAlign w:val="center"/>
          </w:tcPr>
          <w:p w14:paraId="339C0685">
            <w:pPr>
              <w:spacing w:line="440" w:lineRule="exact"/>
              <w:jc w:val="center"/>
              <w:rPr>
                <w:rFonts w:hint="eastAsia" w:eastAsia="宋体"/>
                <w:color w:val="auto"/>
                <w:sz w:val="21"/>
              </w:rPr>
            </w:pPr>
            <w:r>
              <w:rPr>
                <w:rFonts w:hint="eastAsia" w:eastAsia="宋体"/>
                <w:color w:val="auto"/>
                <w:sz w:val="21"/>
              </w:rPr>
              <w:t>1</w:t>
            </w:r>
          </w:p>
        </w:tc>
        <w:tc>
          <w:tcPr>
            <w:tcW w:w="1280" w:type="pct"/>
            <w:tcBorders>
              <w:top w:val="nil"/>
              <w:left w:val="nil"/>
              <w:bottom w:val="single" w:color="auto" w:sz="4" w:space="0"/>
              <w:right w:val="single" w:color="auto" w:sz="4" w:space="0"/>
            </w:tcBorders>
            <w:noWrap w:val="0"/>
            <w:vAlign w:val="center"/>
          </w:tcPr>
          <w:p w14:paraId="26E0DA17">
            <w:pPr>
              <w:spacing w:line="440" w:lineRule="exact"/>
              <w:ind w:left="-55" w:leftChars="-26"/>
              <w:rPr>
                <w:rFonts w:hint="eastAsia" w:eastAsia="宋体"/>
                <w:color w:val="auto"/>
                <w:sz w:val="21"/>
              </w:rPr>
            </w:pPr>
            <w:r>
              <w:rPr>
                <w:rFonts w:hint="eastAsia" w:eastAsia="宋体"/>
                <w:color w:val="auto"/>
                <w:sz w:val="21"/>
              </w:rPr>
              <w:t>废药物药品</w:t>
            </w:r>
          </w:p>
        </w:tc>
        <w:tc>
          <w:tcPr>
            <w:tcW w:w="719" w:type="pct"/>
            <w:tcBorders>
              <w:top w:val="nil"/>
              <w:left w:val="nil"/>
              <w:bottom w:val="single" w:color="auto" w:sz="4" w:space="0"/>
              <w:right w:val="single" w:color="auto" w:sz="4" w:space="0"/>
            </w:tcBorders>
            <w:noWrap w:val="0"/>
            <w:vAlign w:val="center"/>
          </w:tcPr>
          <w:p w14:paraId="7628831C">
            <w:pPr>
              <w:spacing w:line="440" w:lineRule="exact"/>
              <w:jc w:val="center"/>
              <w:rPr>
                <w:rFonts w:hint="eastAsia" w:eastAsia="宋体"/>
                <w:color w:val="auto"/>
                <w:sz w:val="21"/>
              </w:rPr>
            </w:pPr>
            <w:r>
              <w:rPr>
                <w:rFonts w:hint="eastAsia" w:eastAsia="宋体"/>
                <w:color w:val="auto"/>
                <w:sz w:val="21"/>
              </w:rPr>
              <w:t>HW03</w:t>
            </w:r>
          </w:p>
        </w:tc>
        <w:tc>
          <w:tcPr>
            <w:tcW w:w="819" w:type="pct"/>
            <w:tcBorders>
              <w:top w:val="nil"/>
              <w:left w:val="nil"/>
              <w:bottom w:val="single" w:color="auto" w:sz="4" w:space="0"/>
              <w:right w:val="single" w:color="auto" w:sz="4" w:space="0"/>
            </w:tcBorders>
            <w:noWrap w:val="0"/>
            <w:vAlign w:val="center"/>
          </w:tcPr>
          <w:p w14:paraId="6DC1B38C">
            <w:pPr>
              <w:spacing w:line="440" w:lineRule="exact"/>
              <w:jc w:val="center"/>
              <w:rPr>
                <w:rFonts w:hint="eastAsia" w:eastAsia="宋体"/>
                <w:color w:val="auto"/>
                <w:sz w:val="21"/>
              </w:rPr>
            </w:pPr>
            <w:r>
              <w:rPr>
                <w:rFonts w:hint="eastAsia" w:eastAsia="宋体"/>
                <w:color w:val="auto"/>
                <w:sz w:val="21"/>
              </w:rPr>
              <w:t>2</w:t>
            </w:r>
          </w:p>
        </w:tc>
        <w:tc>
          <w:tcPr>
            <w:tcW w:w="819" w:type="pct"/>
            <w:tcBorders>
              <w:top w:val="nil"/>
              <w:left w:val="nil"/>
              <w:bottom w:val="single" w:color="auto" w:sz="4" w:space="0"/>
              <w:right w:val="single" w:color="auto" w:sz="4" w:space="0"/>
            </w:tcBorders>
            <w:noWrap w:val="0"/>
            <w:vAlign w:val="center"/>
          </w:tcPr>
          <w:p w14:paraId="618FB756">
            <w:pPr>
              <w:spacing w:line="440" w:lineRule="exact"/>
              <w:jc w:val="center"/>
              <w:rPr>
                <w:rFonts w:hint="eastAsia" w:eastAsia="宋体"/>
                <w:color w:val="auto"/>
                <w:sz w:val="21"/>
              </w:rPr>
            </w:pPr>
            <w:r>
              <w:rPr>
                <w:rFonts w:hint="eastAsia" w:eastAsia="宋体"/>
                <w:color w:val="auto"/>
                <w:sz w:val="21"/>
              </w:rPr>
              <w:t>焚烧</w:t>
            </w:r>
          </w:p>
        </w:tc>
        <w:tc>
          <w:tcPr>
            <w:tcW w:w="993" w:type="pct"/>
            <w:tcBorders>
              <w:top w:val="nil"/>
              <w:left w:val="nil"/>
              <w:bottom w:val="single" w:color="auto" w:sz="4" w:space="0"/>
              <w:right w:val="single" w:color="auto" w:sz="4" w:space="0"/>
            </w:tcBorders>
            <w:noWrap w:val="0"/>
            <w:vAlign w:val="center"/>
          </w:tcPr>
          <w:p w14:paraId="365B12DF">
            <w:pPr>
              <w:spacing w:line="440" w:lineRule="exact"/>
              <w:jc w:val="center"/>
              <w:rPr>
                <w:rFonts w:hint="eastAsia" w:eastAsia="宋体"/>
                <w:color w:val="auto"/>
                <w:sz w:val="21"/>
              </w:rPr>
            </w:pPr>
            <w:r>
              <w:rPr>
                <w:rFonts w:hint="eastAsia" w:eastAsia="宋体"/>
                <w:color w:val="auto"/>
                <w:sz w:val="21"/>
              </w:rPr>
              <w:t>袋装</w:t>
            </w:r>
          </w:p>
        </w:tc>
      </w:tr>
      <w:tr w14:paraId="3D17E39C">
        <w:trPr>
          <w:trHeight w:val="459" w:hRule="atLeast"/>
          <w:jc w:val="center"/>
        </w:trPr>
        <w:tc>
          <w:tcPr>
            <w:tcW w:w="367" w:type="pct"/>
            <w:tcBorders>
              <w:top w:val="nil"/>
              <w:left w:val="single" w:color="auto" w:sz="4" w:space="0"/>
              <w:bottom w:val="single" w:color="auto" w:sz="4" w:space="0"/>
              <w:right w:val="single" w:color="auto" w:sz="4" w:space="0"/>
            </w:tcBorders>
            <w:noWrap w:val="0"/>
            <w:vAlign w:val="center"/>
          </w:tcPr>
          <w:p w14:paraId="28214E93">
            <w:pPr>
              <w:spacing w:line="440" w:lineRule="exact"/>
              <w:jc w:val="center"/>
              <w:rPr>
                <w:rFonts w:hint="eastAsia" w:eastAsia="宋体"/>
                <w:color w:val="auto"/>
                <w:sz w:val="21"/>
              </w:rPr>
            </w:pPr>
            <w:r>
              <w:rPr>
                <w:rFonts w:hint="eastAsia" w:eastAsia="宋体"/>
                <w:color w:val="auto"/>
                <w:sz w:val="21"/>
              </w:rPr>
              <w:t>2</w:t>
            </w:r>
          </w:p>
        </w:tc>
        <w:tc>
          <w:tcPr>
            <w:tcW w:w="1280" w:type="pct"/>
            <w:tcBorders>
              <w:top w:val="nil"/>
              <w:left w:val="nil"/>
              <w:bottom w:val="single" w:color="auto" w:sz="4" w:space="0"/>
              <w:right w:val="single" w:color="auto" w:sz="4" w:space="0"/>
            </w:tcBorders>
            <w:noWrap w:val="0"/>
            <w:vAlign w:val="center"/>
          </w:tcPr>
          <w:p w14:paraId="60EA8296">
            <w:pPr>
              <w:spacing w:line="440" w:lineRule="exact"/>
              <w:ind w:left="-55" w:leftChars="-26"/>
              <w:rPr>
                <w:rFonts w:hint="eastAsia" w:eastAsia="宋体"/>
                <w:color w:val="auto"/>
                <w:sz w:val="21"/>
              </w:rPr>
            </w:pPr>
            <w:r>
              <w:rPr>
                <w:rFonts w:hint="eastAsia" w:eastAsia="宋体"/>
                <w:color w:val="auto"/>
                <w:sz w:val="21"/>
              </w:rPr>
              <w:t>实验室废物（详见清单）</w:t>
            </w:r>
          </w:p>
        </w:tc>
        <w:tc>
          <w:tcPr>
            <w:tcW w:w="719" w:type="pct"/>
            <w:tcBorders>
              <w:top w:val="nil"/>
              <w:left w:val="nil"/>
              <w:bottom w:val="single" w:color="auto" w:sz="4" w:space="0"/>
              <w:right w:val="single" w:color="auto" w:sz="4" w:space="0"/>
            </w:tcBorders>
            <w:noWrap w:val="0"/>
            <w:vAlign w:val="center"/>
          </w:tcPr>
          <w:p w14:paraId="78A80D84">
            <w:pPr>
              <w:spacing w:line="440" w:lineRule="exact"/>
              <w:jc w:val="center"/>
              <w:rPr>
                <w:rFonts w:hint="eastAsia" w:eastAsia="宋体"/>
                <w:color w:val="auto"/>
                <w:sz w:val="21"/>
              </w:rPr>
            </w:pPr>
            <w:r>
              <w:rPr>
                <w:rFonts w:hint="eastAsia" w:eastAsia="宋体"/>
                <w:color w:val="auto"/>
                <w:sz w:val="21"/>
              </w:rPr>
              <w:t>HW49</w:t>
            </w:r>
          </w:p>
        </w:tc>
        <w:tc>
          <w:tcPr>
            <w:tcW w:w="819" w:type="pct"/>
            <w:tcBorders>
              <w:top w:val="nil"/>
              <w:left w:val="nil"/>
              <w:bottom w:val="single" w:color="auto" w:sz="4" w:space="0"/>
              <w:right w:val="single" w:color="auto" w:sz="4" w:space="0"/>
            </w:tcBorders>
            <w:noWrap w:val="0"/>
            <w:vAlign w:val="center"/>
          </w:tcPr>
          <w:p w14:paraId="316AC353">
            <w:pPr>
              <w:spacing w:line="440" w:lineRule="exact"/>
              <w:jc w:val="center"/>
              <w:rPr>
                <w:rFonts w:hint="eastAsia" w:eastAsia="宋体"/>
                <w:color w:val="auto"/>
                <w:sz w:val="21"/>
              </w:rPr>
            </w:pPr>
            <w:r>
              <w:rPr>
                <w:rFonts w:hint="eastAsia" w:eastAsia="宋体"/>
                <w:color w:val="auto"/>
                <w:sz w:val="21"/>
              </w:rPr>
              <w:t>0.005</w:t>
            </w:r>
          </w:p>
        </w:tc>
        <w:tc>
          <w:tcPr>
            <w:tcW w:w="819" w:type="pct"/>
            <w:tcBorders>
              <w:top w:val="nil"/>
              <w:left w:val="nil"/>
              <w:bottom w:val="single" w:color="auto" w:sz="4" w:space="0"/>
              <w:right w:val="single" w:color="auto" w:sz="4" w:space="0"/>
            </w:tcBorders>
            <w:noWrap w:val="0"/>
            <w:vAlign w:val="center"/>
          </w:tcPr>
          <w:p w14:paraId="4F390615">
            <w:pPr>
              <w:spacing w:line="440" w:lineRule="exact"/>
              <w:jc w:val="center"/>
              <w:rPr>
                <w:rFonts w:hint="eastAsia" w:eastAsia="宋体"/>
                <w:color w:val="auto"/>
                <w:sz w:val="21"/>
              </w:rPr>
            </w:pPr>
            <w:r>
              <w:rPr>
                <w:rFonts w:hint="eastAsia" w:eastAsia="宋体"/>
                <w:color w:val="auto"/>
                <w:sz w:val="21"/>
              </w:rPr>
              <w:t>焚烧</w:t>
            </w:r>
          </w:p>
        </w:tc>
        <w:tc>
          <w:tcPr>
            <w:tcW w:w="993" w:type="pct"/>
            <w:tcBorders>
              <w:top w:val="nil"/>
              <w:left w:val="nil"/>
              <w:bottom w:val="single" w:color="auto" w:sz="4" w:space="0"/>
              <w:right w:val="single" w:color="auto" w:sz="4" w:space="0"/>
            </w:tcBorders>
            <w:noWrap w:val="0"/>
            <w:vAlign w:val="center"/>
          </w:tcPr>
          <w:p w14:paraId="63F73E9E">
            <w:pPr>
              <w:spacing w:line="440" w:lineRule="exact"/>
              <w:jc w:val="center"/>
              <w:rPr>
                <w:rFonts w:hint="eastAsia" w:eastAsia="宋体"/>
                <w:color w:val="auto"/>
                <w:sz w:val="21"/>
              </w:rPr>
            </w:pPr>
            <w:r>
              <w:rPr>
                <w:rFonts w:hint="eastAsia" w:eastAsia="宋体"/>
                <w:color w:val="auto"/>
                <w:sz w:val="21"/>
              </w:rPr>
              <w:t>瓶装</w:t>
            </w:r>
          </w:p>
        </w:tc>
      </w:tr>
      <w:tr w14:paraId="400CD4A7">
        <w:trPr>
          <w:trHeight w:val="573" w:hRule="atLeast"/>
          <w:jc w:val="center"/>
        </w:trPr>
        <w:tc>
          <w:tcPr>
            <w:tcW w:w="2367" w:type="pct"/>
            <w:gridSpan w:val="3"/>
            <w:tcBorders>
              <w:top w:val="nil"/>
              <w:left w:val="single" w:color="auto" w:sz="4" w:space="0"/>
              <w:bottom w:val="nil"/>
              <w:right w:val="single" w:color="auto" w:sz="4" w:space="0"/>
            </w:tcBorders>
            <w:noWrap w:val="0"/>
            <w:vAlign w:val="center"/>
          </w:tcPr>
          <w:p w14:paraId="1A5AD9A1">
            <w:pPr>
              <w:spacing w:line="440" w:lineRule="exact"/>
              <w:jc w:val="center"/>
              <w:rPr>
                <w:rFonts w:eastAsia="宋体"/>
                <w:b/>
                <w:color w:val="auto"/>
                <w:sz w:val="21"/>
              </w:rPr>
            </w:pPr>
            <w:r>
              <w:rPr>
                <w:rFonts w:eastAsia="宋体"/>
                <w:b/>
                <w:color w:val="auto"/>
                <w:sz w:val="21"/>
              </w:rPr>
              <w:t>合计</w:t>
            </w:r>
          </w:p>
        </w:tc>
        <w:tc>
          <w:tcPr>
            <w:tcW w:w="819" w:type="pct"/>
            <w:tcBorders>
              <w:top w:val="nil"/>
              <w:left w:val="nil"/>
              <w:bottom w:val="nil"/>
              <w:right w:val="single" w:color="auto" w:sz="4" w:space="0"/>
            </w:tcBorders>
            <w:noWrap w:val="0"/>
            <w:vAlign w:val="center"/>
          </w:tcPr>
          <w:p w14:paraId="28B77470">
            <w:pPr>
              <w:spacing w:line="440" w:lineRule="exact"/>
              <w:jc w:val="center"/>
              <w:rPr>
                <w:rFonts w:hint="eastAsia" w:eastAsia="宋体"/>
                <w:b/>
                <w:color w:val="auto"/>
                <w:sz w:val="21"/>
              </w:rPr>
            </w:pPr>
            <w:r>
              <w:rPr>
                <w:rFonts w:hint="eastAsia" w:eastAsia="宋体"/>
                <w:b/>
                <w:color w:val="auto"/>
                <w:sz w:val="21"/>
              </w:rPr>
              <w:t>2.005</w:t>
            </w:r>
          </w:p>
        </w:tc>
        <w:tc>
          <w:tcPr>
            <w:tcW w:w="819" w:type="pct"/>
            <w:tcBorders>
              <w:top w:val="nil"/>
              <w:left w:val="nil"/>
              <w:bottom w:val="nil"/>
              <w:right w:val="single" w:color="auto" w:sz="4" w:space="0"/>
            </w:tcBorders>
            <w:noWrap w:val="0"/>
            <w:vAlign w:val="center"/>
          </w:tcPr>
          <w:p w14:paraId="72A69457">
            <w:pPr>
              <w:spacing w:line="440" w:lineRule="exact"/>
              <w:jc w:val="center"/>
              <w:rPr>
                <w:rFonts w:hint="eastAsia" w:eastAsia="宋体"/>
                <w:b/>
                <w:color w:val="auto"/>
                <w:sz w:val="21"/>
              </w:rPr>
            </w:pPr>
            <w:r>
              <w:rPr>
                <w:rFonts w:hint="eastAsia" w:eastAsia="宋体"/>
                <w:b/>
                <w:color w:val="auto"/>
                <w:sz w:val="21"/>
              </w:rPr>
              <w:t>焚烧</w:t>
            </w:r>
          </w:p>
        </w:tc>
        <w:tc>
          <w:tcPr>
            <w:tcW w:w="993" w:type="pct"/>
            <w:tcBorders>
              <w:top w:val="nil"/>
              <w:left w:val="nil"/>
              <w:bottom w:val="nil"/>
              <w:right w:val="single" w:color="auto" w:sz="4" w:space="0"/>
            </w:tcBorders>
            <w:noWrap w:val="0"/>
            <w:vAlign w:val="center"/>
          </w:tcPr>
          <w:p w14:paraId="72951A49">
            <w:pPr>
              <w:spacing w:line="440" w:lineRule="exact"/>
              <w:jc w:val="center"/>
              <w:rPr>
                <w:rFonts w:hint="eastAsia" w:eastAsia="宋体"/>
                <w:b/>
                <w:color w:val="auto"/>
                <w:sz w:val="21"/>
              </w:rPr>
            </w:pPr>
          </w:p>
        </w:tc>
      </w:tr>
      <w:tr w14:paraId="0291E402">
        <w:trPr>
          <w:trHeight w:val="573" w:hRule="atLeast"/>
          <w:jc w:val="center"/>
        </w:trPr>
        <w:tc>
          <w:tcPr>
            <w:tcW w:w="2367" w:type="pct"/>
            <w:gridSpan w:val="3"/>
            <w:tcBorders>
              <w:top w:val="nil"/>
              <w:left w:val="single" w:color="auto" w:sz="4" w:space="0"/>
              <w:bottom w:val="single" w:color="auto" w:sz="4" w:space="0"/>
              <w:right w:val="single" w:color="auto" w:sz="4" w:space="0"/>
            </w:tcBorders>
            <w:noWrap w:val="0"/>
            <w:vAlign w:val="center"/>
          </w:tcPr>
          <w:p w14:paraId="06497185">
            <w:pPr>
              <w:spacing w:line="440" w:lineRule="exact"/>
              <w:jc w:val="center"/>
              <w:rPr>
                <w:rFonts w:eastAsia="宋体"/>
                <w:b/>
                <w:color w:val="auto"/>
                <w:sz w:val="21"/>
              </w:rPr>
            </w:pPr>
          </w:p>
        </w:tc>
        <w:tc>
          <w:tcPr>
            <w:tcW w:w="819" w:type="pct"/>
            <w:tcBorders>
              <w:top w:val="nil"/>
              <w:left w:val="nil"/>
              <w:bottom w:val="single" w:color="auto" w:sz="4" w:space="0"/>
              <w:right w:val="single" w:color="auto" w:sz="4" w:space="0"/>
            </w:tcBorders>
            <w:noWrap w:val="0"/>
            <w:vAlign w:val="center"/>
          </w:tcPr>
          <w:p w14:paraId="4E459BF8">
            <w:pPr>
              <w:spacing w:line="440" w:lineRule="exact"/>
              <w:jc w:val="center"/>
              <w:rPr>
                <w:rFonts w:hint="eastAsia" w:eastAsia="宋体"/>
                <w:b/>
                <w:color w:val="auto"/>
                <w:sz w:val="21"/>
              </w:rPr>
            </w:pPr>
          </w:p>
        </w:tc>
        <w:tc>
          <w:tcPr>
            <w:tcW w:w="819" w:type="pct"/>
            <w:tcBorders>
              <w:top w:val="nil"/>
              <w:left w:val="nil"/>
              <w:bottom w:val="single" w:color="auto" w:sz="4" w:space="0"/>
              <w:right w:val="single" w:color="auto" w:sz="4" w:space="0"/>
            </w:tcBorders>
            <w:noWrap w:val="0"/>
            <w:vAlign w:val="center"/>
          </w:tcPr>
          <w:p w14:paraId="639BA5D3">
            <w:pPr>
              <w:spacing w:line="440" w:lineRule="exact"/>
              <w:jc w:val="center"/>
              <w:rPr>
                <w:rFonts w:hint="eastAsia" w:eastAsia="宋体"/>
                <w:b/>
                <w:color w:val="auto"/>
                <w:sz w:val="21"/>
              </w:rPr>
            </w:pPr>
          </w:p>
        </w:tc>
        <w:tc>
          <w:tcPr>
            <w:tcW w:w="993" w:type="pct"/>
            <w:tcBorders>
              <w:top w:val="nil"/>
              <w:left w:val="nil"/>
              <w:bottom w:val="single" w:color="auto" w:sz="4" w:space="0"/>
              <w:right w:val="single" w:color="auto" w:sz="4" w:space="0"/>
            </w:tcBorders>
            <w:noWrap w:val="0"/>
            <w:vAlign w:val="center"/>
          </w:tcPr>
          <w:p w14:paraId="19489CA3">
            <w:pPr>
              <w:spacing w:line="440" w:lineRule="exact"/>
              <w:jc w:val="center"/>
              <w:rPr>
                <w:rFonts w:hint="eastAsia" w:eastAsia="宋体"/>
                <w:b/>
                <w:color w:val="auto"/>
                <w:sz w:val="21"/>
              </w:rPr>
            </w:pPr>
          </w:p>
        </w:tc>
      </w:tr>
    </w:tbl>
    <w:p w14:paraId="65BA5CC2">
      <w:pPr>
        <w:pStyle w:val="2"/>
        <w:widowControl/>
      </w:pPr>
      <w:r>
        <w:t>第二条、甲乙双方合同义务：</w:t>
      </w:r>
    </w:p>
    <w:p w14:paraId="1A663B69">
      <w:pPr>
        <w:pStyle w:val="3"/>
        <w:bidi w:val="0"/>
      </w:pPr>
      <w:r>
        <w:t>甲方合同义务：</w:t>
      </w:r>
    </w:p>
    <w:p w14:paraId="76164820">
      <w:pPr>
        <w:pStyle w:val="12"/>
        <w:widowControl/>
        <w:numPr>
          <w:ilvl w:val="0"/>
          <w:numId w:val="1"/>
        </w:numPr>
        <w:topLinePunct w:val="0"/>
        <w:ind w:left="0" w:leftChars="0" w:firstLine="480" w:firstLineChars="0"/>
        <w:rPr>
          <w:b w:val="0"/>
        </w:rPr>
      </w:pPr>
      <w:r>
        <w:t>合同中列出的废物连同包装物全部交予乙方处理，合同期内不得自行处理或者交由第三方进行处理。</w:t>
      </w:r>
    </w:p>
    <w:p w14:paraId="2446BABC">
      <w:pPr>
        <w:pStyle w:val="12"/>
        <w:widowControl/>
        <w:numPr>
          <w:ilvl w:val="0"/>
          <w:numId w:val="1"/>
        </w:numPr>
        <w:topLinePunct w:val="0"/>
        <w:ind w:left="0" w:leftChars="0" w:firstLine="480" w:firstLineChars="0"/>
        <w:rPr>
          <w:b w:val="0"/>
        </w:rPr>
      </w:pPr>
      <w:r>
        <w:t>应将各类废物分开存放、做好标记标识，不可混入其他杂物，以保障运输和处理的操作规范及安全。危险废物的包装、标识及贮存需按照国家和地方相关技术规范执行并满足乙方提出的相关技术要求。</w:t>
      </w:r>
    </w:p>
    <w:p w14:paraId="30DF1692">
      <w:pPr>
        <w:pStyle w:val="12"/>
        <w:widowControl/>
        <w:numPr>
          <w:ilvl w:val="0"/>
          <w:numId w:val="1"/>
        </w:numPr>
        <w:topLinePunct w:val="0"/>
        <w:ind w:left="0" w:leftChars="0" w:firstLine="480" w:firstLineChars="0"/>
        <w:rPr>
          <w:b w:val="0"/>
        </w:rPr>
      </w:pPr>
      <w:r>
        <w:t>应将待处理的废物集中摆放，并负责协助乙方装车，包括提供叉车、卡板。</w:t>
      </w:r>
    </w:p>
    <w:p w14:paraId="7131FBB8">
      <w:pPr>
        <w:pStyle w:val="12"/>
        <w:widowControl/>
        <w:numPr>
          <w:ilvl w:val="0"/>
          <w:numId w:val="0"/>
        </w:numPr>
        <w:topLinePunct w:val="0"/>
        <w:ind w:left="480" w:leftChars="0"/>
      </w:pPr>
      <w:r>
        <w:drawing>
          <wp:inline distT="0" distB="0" distL="114300" distR="114300">
            <wp:extent cx="4453255" cy="1905000"/>
            <wp:effectExtent l="12700" t="12700" r="29845" b="2540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4453255" cy="1905000"/>
                    </a:xfrm>
                    <a:prstGeom prst="rect">
                      <a:avLst/>
                    </a:prstGeom>
                    <a:solidFill>
                      <a:schemeClr val="tx1"/>
                    </a:solidFill>
                    <a:ln w="12700" cmpd="sng">
                      <a:solidFill>
                        <a:schemeClr val="tx1"/>
                      </a:solidFill>
                      <a:prstDash val="solid"/>
                    </a:ln>
                  </pic:spPr>
                </pic:pic>
              </a:graphicData>
            </a:graphic>
          </wp:inline>
        </w:drawing>
      </w:r>
    </w:p>
    <w:p w14:paraId="0338AA43">
      <w:pPr>
        <w:pStyle w:val="24"/>
        <w:bidi w:val="0"/>
        <w:rPr>
          <w:rFonts w:hint="default"/>
          <w:lang w:val="en-US" w:eastAsia="zh-CN"/>
        </w:rPr>
      </w:pPr>
      <w:r>
        <w:rPr>
          <w:rFonts w:hint="eastAsia"/>
          <w:lang w:val="en-US" w:eastAsia="zh-CN"/>
        </w:rPr>
        <w:t>图片1</w:t>
      </w:r>
    </w:p>
    <w:p w14:paraId="3AE0CCC9">
      <w:pPr>
        <w:pStyle w:val="12"/>
        <w:widowControl/>
        <w:numPr>
          <w:ilvl w:val="0"/>
          <w:numId w:val="1"/>
        </w:numPr>
        <w:topLinePunct w:val="0"/>
        <w:ind w:left="0" w:leftChars="0" w:firstLine="480" w:firstLineChars="0"/>
        <w:rPr>
          <w:b w:val="0"/>
        </w:rPr>
      </w:pPr>
      <w:r>
        <w:t>保证提供给乙方的废物不出现下列异常情况：</w:t>
      </w:r>
    </w:p>
    <w:p w14:paraId="3609B06A">
      <w:pPr>
        <w:pStyle w:val="12"/>
        <w:widowControl/>
        <w:numPr>
          <w:ilvl w:val="0"/>
          <w:numId w:val="2"/>
        </w:numPr>
        <w:topLinePunct w:val="0"/>
        <w:ind w:left="0" w:leftChars="0" w:firstLine="480" w:firstLineChars="0"/>
        <w:rPr>
          <w:b w:val="0"/>
        </w:rPr>
      </w:pPr>
      <w:r>
        <w:t>品种未列入本合同（尤其不得含有易爆物质、放射性物质、多氯联苯以及氰化物等剧毒物质）；    2、标识不规范或者错误、包装破损或者密封不严、污泥含水率&gt;85%（或游离水滴出）；</w:t>
      </w:r>
    </w:p>
    <w:p w14:paraId="091BB120">
      <w:pPr>
        <w:pStyle w:val="12"/>
        <w:widowControl/>
        <w:numPr>
          <w:ilvl w:val="0"/>
          <w:numId w:val="2"/>
        </w:numPr>
        <w:topLinePunct w:val="0"/>
        <w:ind w:left="0" w:leftChars="0" w:firstLine="480" w:firstLineChars="0"/>
        <w:rPr>
          <w:b w:val="0"/>
        </w:rPr>
      </w:pPr>
      <w:r>
        <w:t>两类及以上危险废物混合装入同一容器内，或者将危险废物与非危险废物混装；</w:t>
      </w:r>
    </w:p>
    <w:p w14:paraId="24F80841">
      <w:pPr>
        <w:pStyle w:val="12"/>
        <w:widowControl/>
        <w:numPr>
          <w:ilvl w:val="0"/>
          <w:numId w:val="2"/>
        </w:numPr>
        <w:topLinePunct w:val="0"/>
        <w:ind w:left="0" w:leftChars="0" w:firstLine="480" w:firstLineChars="0"/>
      </w:pPr>
      <w:r>
        <w:t>其他违反危险废物包装、运输的国家标准、行业标准及通用技术标准的异常情况。</w:t>
      </w:r>
    </w:p>
    <w:p w14:paraId="4328605F">
      <w:pPr>
        <w:pStyle w:val="22"/>
        <w:bidi w:val="0"/>
        <w:rPr>
          <w:rFonts w:hint="eastAsia"/>
          <w:lang w:val="en-US" w:eastAsia="zh-CN"/>
        </w:rPr>
      </w:pPr>
      <w:r>
        <w:rPr>
          <w:rFonts w:hint="eastAsia"/>
          <w:lang w:val="en-US" w:eastAsia="zh-CN"/>
        </w:rPr>
        <w:t>第五章 细则</w:t>
      </w:r>
    </w:p>
    <w:p w14:paraId="35F89B8F">
      <w:pPr>
        <w:pStyle w:val="28"/>
        <w:bidi w:val="0"/>
        <w:rPr>
          <w:rStyle w:val="36"/>
          <w:rFonts w:hint="eastAsia"/>
          <w:b/>
          <w:bCs/>
        </w:rPr>
      </w:pPr>
      <w:r>
        <w:rPr>
          <w:rStyle w:val="36"/>
          <w:rFonts w:hint="eastAsia"/>
          <w:b/>
          <w:bCs/>
        </w:rPr>
        <w:t>面向汽车产业的大数据分析处理技术</w:t>
      </w:r>
    </w:p>
    <w:p w14:paraId="480AF294">
      <w:pPr>
        <w:pStyle w:val="28"/>
        <w:bidi w:val="0"/>
      </w:pPr>
      <w:r>
        <w:rPr>
          <w:rStyle w:val="33"/>
          <w:rFonts w:hint="eastAsia"/>
          <w:b/>
        </w:rPr>
        <w:t>北京工程实验室开放共享实施细则</w:t>
      </w:r>
    </w:p>
    <w:p w14:paraId="09CF036B">
      <w:pPr>
        <w:pStyle w:val="2"/>
        <w:bidi w:val="0"/>
        <w:rPr>
          <w:rFonts w:hint="eastAsia"/>
        </w:rPr>
      </w:pPr>
      <w:r>
        <w:rPr>
          <w:rFonts w:hint="default"/>
          <w:lang w:val="en-US" w:eastAsia="zh-CN"/>
        </w:rPr>
        <w:t>第</w:t>
      </w:r>
      <w:r>
        <w:rPr>
          <w:rFonts w:hint="eastAsia"/>
          <w:lang w:val="en-US" w:eastAsia="zh-CN"/>
        </w:rPr>
        <w:t>一</w:t>
      </w:r>
      <w:r>
        <w:rPr>
          <w:rFonts w:hint="default"/>
          <w:lang w:val="en-US" w:eastAsia="zh-CN"/>
        </w:rPr>
        <w:t>条</w:t>
      </w:r>
      <w:r>
        <w:rPr>
          <w:rFonts w:hint="eastAsia"/>
        </w:rPr>
        <w:t xml:space="preserve"> 信托目的</w:t>
      </w:r>
    </w:p>
    <w:p w14:paraId="3D11348A">
      <w:pPr>
        <w:pStyle w:val="12"/>
        <w:bidi w:val="0"/>
        <w:rPr>
          <w:rFonts w:hint="default"/>
          <w:lang w:val="en-US" w:eastAsia="zh-CN"/>
        </w:rPr>
      </w:pPr>
      <w:r>
        <w:rPr>
          <w:rFonts w:hint="eastAsia"/>
        </w:rPr>
        <w:t>委托人基于对受托人的信任，以本合同约定的信托资金设定单一资金信托，由受托人以自己的名义，将信托资金用于【】，在严格控制风险的前提下，通过受托人专业化的管理运作，实现信托财产的稳定增值，并以此作为信托利益的来源，按信托文件的约定向受益人分配信托利益。</w:t>
      </w:r>
    </w:p>
    <w:p w14:paraId="422E445C">
      <w:pPr>
        <w:pStyle w:val="2"/>
        <w:bidi w:val="0"/>
        <w:rPr>
          <w:rFonts w:hint="eastAsia"/>
        </w:rPr>
      </w:pPr>
      <w:r>
        <w:rPr>
          <w:rFonts w:hint="default"/>
          <w:lang w:val="en-US" w:eastAsia="zh-CN"/>
        </w:rPr>
        <w:t>第</w:t>
      </w:r>
      <w:r>
        <w:rPr>
          <w:rFonts w:hint="eastAsia"/>
          <w:lang w:val="en-US" w:eastAsia="zh-CN"/>
        </w:rPr>
        <w:t>二</w:t>
      </w:r>
      <w:r>
        <w:rPr>
          <w:rFonts w:hint="default"/>
          <w:lang w:val="en-US" w:eastAsia="zh-CN"/>
        </w:rPr>
        <w:t>条</w:t>
      </w:r>
      <w:r>
        <w:rPr>
          <w:rFonts w:hint="eastAsia"/>
        </w:rPr>
        <w:t xml:space="preserve"> 信托资金金额、交付方式</w:t>
      </w:r>
    </w:p>
    <w:p w14:paraId="0C98BDDE">
      <w:pPr>
        <w:pStyle w:val="3"/>
        <w:bidi w:val="0"/>
        <w:rPr>
          <w:rFonts w:hint="eastAsia"/>
        </w:rPr>
      </w:pPr>
      <w:r>
        <w:rPr>
          <w:rFonts w:hint="default"/>
          <w:lang w:val="en-US" w:eastAsia="zh-CN"/>
        </w:rPr>
        <w:t>1、</w:t>
      </w:r>
      <w:r>
        <w:rPr>
          <w:rFonts w:hint="eastAsia"/>
        </w:rPr>
        <w:t>信托资金的金额</w:t>
      </w:r>
    </w:p>
    <w:p w14:paraId="4F64DC5C">
      <w:pPr>
        <w:pStyle w:val="4"/>
        <w:bidi w:val="0"/>
        <w:rPr>
          <w:rFonts w:hint="eastAsia"/>
        </w:rPr>
      </w:pPr>
      <w:r>
        <w:rPr>
          <w:rFonts w:hint="eastAsia"/>
          <w:lang w:val="en-US" w:eastAsia="zh-CN"/>
        </w:rPr>
        <w:t xml:space="preserve">1.1 </w:t>
      </w:r>
      <w:r>
        <w:rPr>
          <w:rFonts w:hint="eastAsia"/>
        </w:rPr>
        <w:t>本信托</w:t>
      </w:r>
    </w:p>
    <w:p w14:paraId="3A021361">
      <w:pPr>
        <w:pStyle w:val="12"/>
        <w:bidi w:val="0"/>
        <w:rPr>
          <w:rFonts w:hint="eastAsia" w:eastAsia="宋体"/>
          <w:lang w:eastAsia="zh-CN"/>
        </w:rPr>
      </w:pPr>
      <w:r>
        <w:rPr>
          <w:rFonts w:hint="eastAsia"/>
        </w:rPr>
        <w:t>委托人基于对受托人的信任，以本合同约定的信托资金设定单一资金信托，由受托人以自己的名义</w:t>
      </w:r>
      <w:r>
        <w:rPr>
          <w:rFonts w:hint="eastAsia"/>
          <w:lang w:eastAsia="zh-CN"/>
        </w:rPr>
        <w:t>。</w:t>
      </w:r>
    </w:p>
    <w:p w14:paraId="4D121AB4">
      <w:pPr>
        <w:pStyle w:val="4"/>
        <w:bidi w:val="0"/>
        <w:rPr>
          <w:rFonts w:hint="default"/>
          <w:lang w:val="en-US" w:eastAsia="zh-CN"/>
        </w:rPr>
      </w:pPr>
      <w:r>
        <w:rPr>
          <w:rFonts w:hint="eastAsia"/>
          <w:lang w:val="en-US" w:eastAsia="zh-CN"/>
        </w:rPr>
        <w:t>1.2 其他</w:t>
      </w:r>
    </w:p>
    <w:p w14:paraId="2D049DCD">
      <w:pPr>
        <w:pStyle w:val="12"/>
        <w:bidi w:val="0"/>
        <w:rPr>
          <w:rFonts w:hint="eastAsia"/>
        </w:rPr>
      </w:pPr>
      <w:r>
        <w:rPr>
          <w:rFonts w:hint="eastAsia"/>
        </w:rPr>
        <w:t>项下的信托资金总额为人民币【】。实现信托财产的稳定增值，并以此作为信托利益的来源，按信托文件的约定向受益人分配信托利益。</w:t>
      </w:r>
    </w:p>
    <w:p w14:paraId="6206B549">
      <w:pPr>
        <w:pStyle w:val="3"/>
        <w:bidi w:val="0"/>
        <w:rPr>
          <w:rFonts w:hint="eastAsia"/>
        </w:rPr>
      </w:pPr>
      <w:r>
        <w:rPr>
          <w:rFonts w:hint="default"/>
          <w:lang w:val="en-US" w:eastAsia="zh-CN"/>
        </w:rPr>
        <w:t>2、</w:t>
      </w:r>
      <w:r>
        <w:rPr>
          <w:rFonts w:hint="eastAsia"/>
        </w:rPr>
        <w:t>信托资金的交付</w:t>
      </w:r>
    </w:p>
    <w:p w14:paraId="53F8DCF3">
      <w:pPr>
        <w:pStyle w:val="12"/>
        <w:bidi w:val="0"/>
        <w:rPr>
          <w:rFonts w:hint="eastAsia"/>
        </w:rPr>
      </w:pPr>
      <w:r>
        <w:rPr>
          <w:rFonts w:hint="eastAsia"/>
        </w:rPr>
        <w:t>信托资金由委托人按照下列方式直接汇入信托财产专户：自本合同签署之日起【】个工作日内交付全部信托资金。</w:t>
      </w:r>
    </w:p>
    <w:p w14:paraId="3F5E96DA">
      <w:pPr>
        <w:pStyle w:val="3"/>
        <w:bidi w:val="0"/>
        <w:rPr>
          <w:rFonts w:hint="eastAsia"/>
        </w:rPr>
      </w:pPr>
      <w:r>
        <w:rPr>
          <w:rFonts w:hint="default"/>
          <w:lang w:val="en-US" w:eastAsia="zh-CN"/>
        </w:rPr>
        <w:t>3、</w:t>
      </w:r>
      <w:r>
        <w:rPr>
          <w:rFonts w:hint="eastAsia"/>
        </w:rPr>
        <w:t>信托财产专户</w:t>
      </w:r>
    </w:p>
    <w:p w14:paraId="7687F2A8">
      <w:pPr>
        <w:pStyle w:val="12"/>
        <w:bidi w:val="0"/>
        <w:rPr>
          <w:rFonts w:hint="eastAsia"/>
        </w:rPr>
      </w:pPr>
      <w:r>
        <w:rPr>
          <w:rFonts w:hint="eastAsia"/>
        </w:rPr>
        <w:t>账户名称：中建投信托有限责任公司</w:t>
      </w:r>
    </w:p>
    <w:p w14:paraId="461ECC9C">
      <w:pPr>
        <w:pStyle w:val="12"/>
        <w:bidi w:val="0"/>
        <w:rPr>
          <w:rFonts w:hint="eastAsia"/>
        </w:rPr>
      </w:pPr>
      <w:r>
        <w:rPr>
          <w:rFonts w:hint="eastAsia"/>
        </w:rPr>
        <w:t xml:space="preserve">开户银行： </w:t>
      </w:r>
    </w:p>
    <w:p w14:paraId="1AAE567B">
      <w:pPr>
        <w:pStyle w:val="12"/>
        <w:bidi w:val="0"/>
        <w:rPr>
          <w:rFonts w:hint="eastAsia" w:ascii="彩虹粗仿宋" w:hAnsi="宋体" w:eastAsia="彩虹粗仿宋"/>
          <w:color w:val="auto"/>
        </w:rPr>
      </w:pPr>
      <w:r>
        <w:rPr>
          <w:rFonts w:hint="eastAsia"/>
        </w:rPr>
        <w:t xml:space="preserve">银行账号： </w:t>
      </w:r>
    </w:p>
    <w:p w14:paraId="50C108B1">
      <w:pPr>
        <w:pStyle w:val="2"/>
        <w:bidi w:val="0"/>
        <w:rPr>
          <w:rFonts w:hint="eastAsia"/>
        </w:rPr>
      </w:pPr>
      <w:r>
        <w:rPr>
          <w:rFonts w:hint="eastAsia"/>
          <w:lang w:val="en-US" w:eastAsia="zh-CN"/>
        </w:rPr>
        <w:t>第三</w:t>
      </w:r>
      <w:r>
        <w:rPr>
          <w:rFonts w:hint="default"/>
          <w:lang w:val="en-US" w:eastAsia="zh-CN"/>
        </w:rPr>
        <w:t>条</w:t>
      </w:r>
      <w:r>
        <w:rPr>
          <w:rFonts w:hint="eastAsia"/>
        </w:rPr>
        <w:t xml:space="preserve"> 信托的设立与存续期限</w:t>
      </w:r>
    </w:p>
    <w:p w14:paraId="12E11256">
      <w:pPr>
        <w:pStyle w:val="3"/>
        <w:numPr>
          <w:ilvl w:val="0"/>
          <w:numId w:val="0"/>
        </w:numPr>
        <w:topLinePunct w:val="0"/>
        <w:ind w:left="0" w:leftChars="0" w:firstLine="0" w:firstLineChars="0"/>
        <w:rPr>
          <w:b/>
        </w:rPr>
      </w:pPr>
      <w:r>
        <w:rPr>
          <w:rFonts w:hint="default" w:ascii="Times New Roman" w:hAnsi="Times New Roman" w:eastAsia="宋体" w:cs="Times New Roman"/>
          <w:b/>
          <w:kern w:val="2"/>
          <w:sz w:val="24"/>
          <w:szCs w:val="24"/>
          <w:lang w:bidi="ar-SA"/>
        </w:rPr>
        <w:t>1、</w:t>
      </w:r>
      <w:r>
        <w:t>风险揭示</w:t>
      </w:r>
    </w:p>
    <w:p w14:paraId="5EF3CD05">
      <w:pPr>
        <w:pStyle w:val="4"/>
        <w:bidi w:val="0"/>
      </w:pPr>
      <w:r>
        <w:rPr>
          <w:rFonts w:hint="default"/>
        </w:rPr>
        <w:t>（1）</w:t>
      </w:r>
      <w:r>
        <w:t>政策风险与市场风险</w:t>
      </w:r>
    </w:p>
    <w:p w14:paraId="63E2EA21">
      <w:pPr>
        <w:pStyle w:val="12"/>
        <w:rPr>
          <w:b w:val="0"/>
          <w:bCs/>
          <w:color w:val="auto"/>
        </w:rPr>
      </w:pPr>
      <w:r>
        <w:rPr>
          <w:b w:val="0"/>
          <w:bCs/>
          <w:color w:val="auto"/>
        </w:rPr>
        <w:t>国家货币政策、财政税收政策、产业政策、相关法律法规的调整以及经济周期的变化等因素，可能将对投资项目、交易对手的经营及其付款能力产生一定影响，从而对信托财产的安全及收益产生影响。</w:t>
      </w:r>
    </w:p>
    <w:p w14:paraId="2E8D1866">
      <w:pPr>
        <w:pStyle w:val="12"/>
        <w:rPr>
          <w:b w:val="0"/>
          <w:bCs/>
          <w:color w:val="auto"/>
        </w:rPr>
      </w:pPr>
      <w:r>
        <w:rPr>
          <w:b w:val="0"/>
          <w:bCs/>
          <w:color w:val="auto"/>
        </w:rPr>
        <w:t>如果发生通货膨胀，则本信托投资所获得的收益可能会被通货膨胀全部或部分抵消，从而影响到信托利益和信托财产。</w:t>
      </w:r>
    </w:p>
    <w:p w14:paraId="44C4006F">
      <w:pPr>
        <w:pStyle w:val="4"/>
        <w:bidi w:val="0"/>
      </w:pPr>
      <w:r>
        <w:rPr>
          <w:rFonts w:hint="default"/>
        </w:rPr>
        <w:t>（2）</w:t>
      </w:r>
      <w:r>
        <w:t>管理风险</w:t>
      </w:r>
    </w:p>
    <w:p w14:paraId="013F0E99">
      <w:pPr>
        <w:pStyle w:val="12"/>
        <w:rPr>
          <w:b w:val="0"/>
          <w:bCs/>
          <w:color w:val="auto"/>
        </w:rPr>
      </w:pPr>
      <w:r>
        <w:rPr>
          <w:b w:val="0"/>
          <w:bCs/>
          <w:color w:val="auto"/>
        </w:rPr>
        <w:t>在本信托的管理运作过程中，受托人的信托管理团队的知识、经验、决策、判断、技能等会影响其对信息的占有以及对投资的判断，由此可能导致信托财产损失和信托利益变化。</w:t>
      </w:r>
    </w:p>
    <w:p w14:paraId="65225C99">
      <w:pPr>
        <w:pStyle w:val="4"/>
        <w:bidi w:val="0"/>
      </w:pPr>
      <w:r>
        <w:rPr>
          <w:rFonts w:hint="default"/>
        </w:rPr>
        <w:t>（3）</w:t>
      </w:r>
      <w:r>
        <w:t>信用风险</w:t>
      </w:r>
    </w:p>
    <w:p w14:paraId="453547FD">
      <w:pPr>
        <w:pStyle w:val="12"/>
        <w:rPr>
          <w:b w:val="0"/>
          <w:bCs/>
          <w:color w:val="auto"/>
        </w:rPr>
      </w:pPr>
      <w:r>
        <w:rPr>
          <w:b w:val="0"/>
          <w:bCs/>
          <w:color w:val="auto"/>
        </w:rPr>
        <w:t>因交易对手或者担保人未按约定履行其义务，或者担保物价值降低，将对基金信托财产收益及兑付时间产生较大影响。</w:t>
      </w:r>
    </w:p>
    <w:p w14:paraId="22EFA6CB">
      <w:pPr>
        <w:pStyle w:val="4"/>
        <w:bidi w:val="0"/>
      </w:pPr>
      <w:r>
        <w:rPr>
          <w:rFonts w:hint="default"/>
        </w:rPr>
        <w:t>（4）</w:t>
      </w:r>
      <w:r>
        <w:t>投资本项目的风险</w:t>
      </w:r>
    </w:p>
    <w:p w14:paraId="0AB1F28C">
      <w:pPr>
        <w:pStyle w:val="12"/>
        <w:rPr>
          <w:color w:val="auto"/>
        </w:rPr>
      </w:pPr>
      <w:r>
        <w:rPr>
          <w:color w:val="auto"/>
        </w:rPr>
        <w:t>【】</w:t>
      </w:r>
    </w:p>
    <w:p w14:paraId="1ADC02B1">
      <w:pPr>
        <w:pStyle w:val="3"/>
        <w:numPr>
          <w:ilvl w:val="0"/>
          <w:numId w:val="0"/>
        </w:numPr>
        <w:topLinePunct w:val="0"/>
        <w:ind w:left="0" w:leftChars="0" w:firstLine="0" w:firstLineChars="0"/>
        <w:rPr>
          <w:b/>
        </w:rPr>
      </w:pPr>
      <w:r>
        <w:rPr>
          <w:rFonts w:hint="default" w:ascii="Times New Roman" w:hAnsi="Times New Roman" w:eastAsia="宋体" w:cs="Times New Roman"/>
          <w:b/>
          <w:kern w:val="2"/>
          <w:sz w:val="24"/>
          <w:szCs w:val="24"/>
          <w:lang w:bidi="ar-SA"/>
        </w:rPr>
        <w:t>2、</w:t>
      </w:r>
      <w:r>
        <w:t>风险防范措施</w:t>
      </w:r>
    </w:p>
    <w:p w14:paraId="0C45B45C">
      <w:pPr>
        <w:pStyle w:val="4"/>
        <w:numPr>
          <w:ilvl w:val="0"/>
          <w:numId w:val="3"/>
        </w:numPr>
        <w:topLinePunct w:val="0"/>
        <w:ind w:left="0" w:leftChars="0" w:firstLine="0" w:firstLineChars="0"/>
        <w:rPr>
          <w:b/>
        </w:rPr>
      </w:pPr>
      <w:r>
        <w:t>保管制度</w:t>
      </w:r>
    </w:p>
    <w:p w14:paraId="039815AC">
      <w:pPr>
        <w:pStyle w:val="12"/>
        <w:rPr>
          <w:color w:val="auto"/>
        </w:rPr>
      </w:pPr>
      <w:r>
        <w:rPr>
          <w:color w:val="auto"/>
        </w:rPr>
        <w:t>受托人聘请【】银行担任资金保管人，对信托财产提供规范的保管服务，保障信托财产的安全；对受托人的投资运作进行监督。</w:t>
      </w:r>
    </w:p>
    <w:p w14:paraId="30D25C98">
      <w:pPr>
        <w:pStyle w:val="4"/>
        <w:numPr>
          <w:ilvl w:val="0"/>
          <w:numId w:val="3"/>
        </w:numPr>
        <w:topLinePunct w:val="0"/>
        <w:ind w:left="0" w:leftChars="0" w:firstLine="0" w:firstLineChars="0"/>
        <w:rPr>
          <w:b/>
        </w:rPr>
      </w:pPr>
      <w:r>
        <w:t>投资限制</w:t>
      </w:r>
    </w:p>
    <w:p w14:paraId="1E7724C3">
      <w:pPr>
        <w:pStyle w:val="12"/>
        <w:rPr>
          <w:color w:val="auto"/>
        </w:rPr>
      </w:pPr>
      <w:r>
        <w:rPr>
          <w:color w:val="auto"/>
        </w:rPr>
        <w:t>本信托严格执行约定的投资范围限制。</w:t>
      </w:r>
    </w:p>
    <w:p w14:paraId="1F6BF434">
      <w:pPr>
        <w:pStyle w:val="4"/>
        <w:numPr>
          <w:ilvl w:val="0"/>
          <w:numId w:val="3"/>
        </w:numPr>
        <w:topLinePunct w:val="0"/>
        <w:ind w:left="0" w:leftChars="0" w:firstLine="0" w:firstLineChars="0"/>
        <w:rPr>
          <w:b/>
        </w:rPr>
      </w:pPr>
      <w:r>
        <w:t>受托人内部有效的风险控制体系</w:t>
      </w:r>
    </w:p>
    <w:p w14:paraId="3AEE35BA">
      <w:pPr>
        <w:pStyle w:val="12"/>
        <w:rPr>
          <w:color w:val="auto"/>
        </w:rPr>
      </w:pPr>
      <w:r>
        <w:rPr>
          <w:color w:val="auto"/>
        </w:rPr>
        <w:t>受托人的稽核审计人员对本信托的投资运作进行不定期的检查和审计，并将相关情况及时报告高级管理层。</w:t>
      </w:r>
    </w:p>
    <w:p w14:paraId="7AD3F4BE">
      <w:pPr>
        <w:pStyle w:val="22"/>
        <w:bidi w:val="0"/>
        <w:rPr>
          <w:rFonts w:hint="eastAsia"/>
        </w:rPr>
      </w:pPr>
      <w:r>
        <w:rPr>
          <w:rFonts w:hint="eastAsia"/>
          <w:lang w:val="en-US" w:eastAsia="zh-CN"/>
        </w:rPr>
        <w:t>第六章 其他细则</w:t>
      </w:r>
    </w:p>
    <w:p w14:paraId="507842D9">
      <w:pPr>
        <w:pStyle w:val="2"/>
        <w:bidi w:val="0"/>
        <w:rPr>
          <w:rFonts w:hint="eastAsia"/>
        </w:rPr>
      </w:pPr>
      <w:r>
        <w:rPr>
          <w:rFonts w:hint="eastAsia"/>
        </w:rPr>
        <w:t>一、技术投标文件</w:t>
      </w:r>
    </w:p>
    <w:p w14:paraId="252154C3">
      <w:pPr>
        <w:pStyle w:val="3"/>
        <w:bidi w:val="0"/>
        <w:rPr>
          <w:rFonts w:hint="eastAsia"/>
        </w:rPr>
      </w:pPr>
      <w:r>
        <w:rPr>
          <w:rFonts w:hint="eastAsia"/>
        </w:rPr>
        <w:t>（一）投标资质</w:t>
      </w:r>
    </w:p>
    <w:p w14:paraId="3C9325AE">
      <w:pPr>
        <w:pStyle w:val="25"/>
        <w:bidi w:val="0"/>
      </w:pPr>
      <w:commentRangeStart w:id="0"/>
      <w:r>
        <w:rPr>
          <w:rFonts w:hint="eastAsia"/>
        </w:rPr>
        <w:t>法定代表人授权书</w:t>
      </w:r>
      <w:commentRangeEnd w:id="0"/>
      <w:r>
        <w:commentReference w:id="0"/>
      </w:r>
    </w:p>
    <w:p w14:paraId="20694B22">
      <w:pPr>
        <w:pStyle w:val="12"/>
        <w:bidi w:val="0"/>
      </w:pPr>
      <w:r>
        <w:rPr>
          <w:rFonts w:hint="eastAsia"/>
        </w:rPr>
        <w:t>伊金霍洛旗政府采购中心受伊金霍洛旗残疾人联合会的委托，根据公开、公平、公正、诚信的原则，拟采用国内公开招标的方式为伊金霍洛旗残疾人联合会采购训练用扶梯、OT组合训练车、生物刺激反馈仪等康复医疗器材，具体事项如下：</w:t>
      </w:r>
    </w:p>
    <w:p w14:paraId="7EDC73C3">
      <w:pPr>
        <w:pStyle w:val="12"/>
        <w:bidi w:val="0"/>
        <w:rPr>
          <w:rFonts w:hint="eastAsia"/>
        </w:rPr>
      </w:pPr>
      <w:commentRangeStart w:id="1"/>
      <w:r>
        <w:rPr>
          <w:rStyle w:val="32"/>
          <w:rFonts w:hint="eastAsia"/>
          <w:b/>
          <w:bCs/>
        </w:rPr>
        <w:t>1.1项目名称：</w:t>
      </w:r>
      <w:commentRangeEnd w:id="1"/>
      <w:r>
        <w:commentReference w:id="1"/>
      </w:r>
      <w:r>
        <w:rPr>
          <w:rFonts w:hint="eastAsia"/>
        </w:rPr>
        <w:t>伊金霍洛旗残疾人联合会采购训练用扶梯、OT组合训练车、生物刺激反馈仪等康复医疗器材</w:t>
      </w:r>
    </w:p>
    <w:p w14:paraId="46911DF6">
      <w:pPr>
        <w:pStyle w:val="12"/>
        <w:bidi w:val="0"/>
        <w:rPr>
          <w:rFonts w:hint="eastAsia"/>
        </w:rPr>
      </w:pPr>
      <w:r>
        <w:rPr>
          <w:rStyle w:val="32"/>
          <w:rFonts w:hint="eastAsia"/>
          <w:b/>
          <w:bCs/>
        </w:rPr>
        <w:t>1.2项目编号：</w:t>
      </w:r>
      <w:r>
        <w:rPr>
          <w:rFonts w:hint="eastAsia"/>
        </w:rPr>
        <w:t>YJHLQCG-H2012027</w:t>
      </w:r>
    </w:p>
    <w:p w14:paraId="5E023896">
      <w:pPr>
        <w:pStyle w:val="12"/>
        <w:bidi w:val="0"/>
        <w:rPr>
          <w:rFonts w:hint="eastAsia"/>
        </w:rPr>
      </w:pPr>
      <w:r>
        <w:rPr>
          <w:rStyle w:val="32"/>
          <w:rFonts w:hint="eastAsia"/>
          <w:b/>
          <w:bCs/>
        </w:rPr>
        <w:t>1.3采购人：</w:t>
      </w:r>
      <w:r>
        <w:rPr>
          <w:rFonts w:hint="eastAsia"/>
        </w:rPr>
        <w:t>伊金霍洛旗残疾人联合会</w:t>
      </w:r>
    </w:p>
    <w:p w14:paraId="70DE97A0">
      <w:pPr>
        <w:pStyle w:val="12"/>
        <w:bidi w:val="0"/>
        <w:rPr>
          <w:rFonts w:hint="eastAsia"/>
        </w:rPr>
      </w:pPr>
      <w:r>
        <w:rPr>
          <w:rStyle w:val="32"/>
          <w:rFonts w:hint="eastAsia"/>
          <w:b/>
          <w:bCs/>
        </w:rPr>
        <w:t>1.4采购代理机构：</w:t>
      </w:r>
      <w:r>
        <w:rPr>
          <w:rFonts w:hint="eastAsia"/>
        </w:rPr>
        <w:t>伊金霍洛旗政府采购中心</w:t>
      </w:r>
    </w:p>
    <w:p w14:paraId="3C9C08B8">
      <w:pPr>
        <w:pStyle w:val="12"/>
        <w:bidi w:val="0"/>
        <w:rPr>
          <w:rFonts w:hint="eastAsia"/>
        </w:rPr>
      </w:pPr>
      <w:r>
        <w:rPr>
          <w:rStyle w:val="32"/>
          <w:rFonts w:hint="eastAsia"/>
          <w:b/>
          <w:bCs/>
        </w:rPr>
        <w:t>1.5采购内容：</w:t>
      </w:r>
      <w:r>
        <w:rPr>
          <w:rFonts w:hint="eastAsia"/>
        </w:rPr>
        <w:t>训练用扶梯、OT组合训练车、生物刺激反馈仪等康复医疗器材</w:t>
      </w:r>
    </w:p>
    <w:p w14:paraId="39D17619">
      <w:pPr>
        <w:pStyle w:val="12"/>
        <w:bidi w:val="0"/>
        <w:rPr>
          <w:rFonts w:hint="eastAsia"/>
        </w:rPr>
      </w:pPr>
      <w:r>
        <w:rPr>
          <w:rFonts w:hint="eastAsia"/>
        </w:rPr>
        <w:t>共分为一包，具体技术规格等内容详见招标文件，拟参加投标供应商必须以整包进行投标。</w:t>
      </w:r>
    </w:p>
    <w:p w14:paraId="77EC8E36">
      <w:pPr>
        <w:pStyle w:val="12"/>
        <w:bidi w:val="0"/>
        <w:rPr>
          <w:rFonts w:hint="eastAsia"/>
          <w:b/>
          <w:bCs/>
        </w:rPr>
      </w:pPr>
      <w:r>
        <w:rPr>
          <w:rFonts w:hint="eastAsia"/>
          <w:b/>
          <w:bCs/>
        </w:rPr>
        <w:t>1.6供应商资质要求：</w:t>
      </w:r>
    </w:p>
    <w:p w14:paraId="5F6A2ED7">
      <w:pPr>
        <w:pStyle w:val="12"/>
        <w:bidi w:val="0"/>
        <w:rPr>
          <w:rFonts w:hint="eastAsia"/>
        </w:rPr>
      </w:pPr>
      <w:r>
        <w:rPr>
          <w:rFonts w:hint="eastAsia"/>
        </w:rPr>
        <w:t>1.6.1供应商必须符合《中华人民共和国政府采购法》第二十二条之规定。</w:t>
      </w:r>
    </w:p>
    <w:p w14:paraId="5B3FB23F">
      <w:pPr>
        <w:pStyle w:val="12"/>
        <w:bidi w:val="0"/>
        <w:rPr>
          <w:rFonts w:hint="eastAsia" w:hAnsi="宋体" w:eastAsia="宋体"/>
          <w:b/>
          <w:sz w:val="21"/>
        </w:rPr>
      </w:pPr>
      <w:r>
        <w:rPr>
          <w:rFonts w:hint="eastAsia"/>
        </w:rPr>
        <w:t>1.6.2供</w:t>
      </w:r>
      <w:r>
        <w:t>应</w:t>
      </w:r>
      <w:r>
        <w:rPr>
          <w:rFonts w:hint="eastAsia"/>
        </w:rPr>
        <w:t>商</w:t>
      </w:r>
      <w:r>
        <w:t>为具有独立法人资格的生产厂家或其直接委托的代理商，</w:t>
      </w:r>
      <w:r>
        <w:rPr>
          <w:rFonts w:hint="eastAsia"/>
        </w:rPr>
        <w:t>注册资金不低于人民币300万元。</w:t>
      </w:r>
    </w:p>
    <w:bookmarkEnd w:id="0"/>
    <w:p w14:paraId="3EA617F4">
      <w:pPr>
        <w:pStyle w:val="22"/>
        <w:bidi w:val="0"/>
        <w:rPr>
          <w:rFonts w:hint="default"/>
          <w:lang w:val="en-US"/>
        </w:rPr>
      </w:pPr>
      <w:r>
        <w:rPr>
          <w:rFonts w:hint="eastAsia"/>
          <w:lang w:val="en-US" w:eastAsia="zh-CN"/>
        </w:rPr>
        <w:t>第七章 附件</w:t>
      </w:r>
    </w:p>
    <w:p w14:paraId="67C09B59">
      <w:pPr>
        <w:pStyle w:val="20"/>
        <w:keepNext w:val="0"/>
        <w:keepLines w:val="0"/>
        <w:pageBreakBefore/>
        <w:widowControl w:val="0"/>
        <w:kinsoku/>
        <w:wordWrap/>
        <w:overflowPunct/>
        <w:topLinePunct w:val="0"/>
        <w:autoSpaceDE/>
        <w:autoSpaceDN/>
        <w:bidi w:val="0"/>
        <w:adjustRightInd/>
        <w:snapToGrid/>
        <w:textAlignment w:val="auto"/>
        <w:rPr>
          <w:rFonts w:hint="eastAsia"/>
        </w:rPr>
      </w:pPr>
      <w:r>
        <w:rPr>
          <w:rFonts w:hint="eastAsia"/>
        </w:rPr>
        <w:t>附件</w:t>
      </w:r>
      <w:r>
        <w:rPr>
          <w:rFonts w:hint="eastAsia"/>
          <w:lang w:val="en-US" w:eastAsia="zh-CN"/>
        </w:rPr>
        <w:t>一</w:t>
      </w:r>
      <w:r>
        <w:rPr>
          <w:rFonts w:hint="eastAsia"/>
        </w:rPr>
        <w:t>：</w:t>
      </w:r>
    </w:p>
    <w:p w14:paraId="35615A3B">
      <w:pPr>
        <w:pStyle w:val="28"/>
        <w:bidi w:val="0"/>
        <w:rPr>
          <w:rFonts w:hint="eastAsia"/>
        </w:rPr>
      </w:pPr>
      <w:commentRangeStart w:id="2"/>
      <w:r>
        <w:rPr>
          <w:rFonts w:hint="eastAsia"/>
        </w:rPr>
        <w:t>投标文件密封格式</w:t>
      </w:r>
      <w:commentRangeEnd w:id="2"/>
      <w:r>
        <w:commentReference w:id="2"/>
      </w:r>
    </w:p>
    <w:p w14:paraId="69D220F1">
      <w:pPr>
        <w:pStyle w:val="2"/>
        <w:numPr>
          <w:ilvl w:val="0"/>
          <w:numId w:val="4"/>
        </w:numPr>
        <w:bidi w:val="0"/>
        <w:rPr>
          <w:rFonts w:hint="eastAsia"/>
          <w:b/>
          <w:sz w:val="28"/>
        </w:rPr>
      </w:pPr>
      <w:r>
        <w:rPr>
          <w:rFonts w:hint="eastAsia"/>
        </w:rPr>
        <w:t>密封信封正面格式</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7C21AB">
        <w:trPr>
          <w:trHeight w:val="3540" w:hRule="atLeast"/>
          <w:jc w:val="center"/>
        </w:trPr>
        <w:tc>
          <w:tcPr>
            <w:tcW w:w="5000" w:type="pct"/>
            <w:noWrap w:val="0"/>
            <w:vAlign w:val="top"/>
          </w:tcPr>
          <w:p w14:paraId="5F874BDD">
            <w:pPr>
              <w:spacing w:line="520" w:lineRule="exact"/>
              <w:jc w:val="center"/>
              <w:rPr>
                <w:rFonts w:hint="eastAsia" w:eastAsia="隶书"/>
                <w:sz w:val="48"/>
                <w:szCs w:val="48"/>
              </w:rPr>
            </w:pPr>
            <w:r>
              <w:rPr>
                <w:rFonts w:hint="eastAsia" w:eastAsia="隶书"/>
                <w:sz w:val="48"/>
                <w:szCs w:val="48"/>
              </w:rPr>
              <w:t>投标文件</w:t>
            </w:r>
          </w:p>
          <w:p w14:paraId="48284F15">
            <w:pPr>
              <w:tabs>
                <w:tab w:val="left" w:pos="1578"/>
                <w:tab w:val="left" w:pos="10083"/>
              </w:tabs>
              <w:spacing w:line="720" w:lineRule="auto"/>
              <w:rPr>
                <w:rFonts w:hint="eastAsia" w:eastAsia="楷体_GB2312"/>
                <w:sz w:val="28"/>
                <w:szCs w:val="28"/>
                <w:u w:val="single"/>
              </w:rPr>
            </w:pPr>
            <w:r>
              <w:rPr>
                <w:rFonts w:hint="eastAsia" w:eastAsia="楷体_GB2312"/>
                <w:sz w:val="28"/>
                <w:szCs w:val="28"/>
              </w:rPr>
              <w:t>招标项目名称：</w:t>
            </w:r>
            <w:r>
              <w:rPr>
                <w:rFonts w:hint="eastAsia" w:eastAsia="楷体_GB2312"/>
                <w:sz w:val="28"/>
                <w:szCs w:val="28"/>
                <w:u w:val="single"/>
              </w:rPr>
              <w:t xml:space="preserve">                                 </w:t>
            </w:r>
          </w:p>
          <w:p w14:paraId="7EB0FB0D">
            <w:pPr>
              <w:tabs>
                <w:tab w:val="left" w:pos="1578"/>
                <w:tab w:val="left" w:pos="10083"/>
              </w:tabs>
              <w:spacing w:line="720" w:lineRule="auto"/>
              <w:rPr>
                <w:rFonts w:hint="eastAsia" w:eastAsia="楷体_GB2312"/>
                <w:sz w:val="28"/>
                <w:szCs w:val="28"/>
              </w:rPr>
            </w:pPr>
            <w:r>
              <w:rPr>
                <w:rFonts w:hint="eastAsia" w:eastAsia="楷体_GB2312"/>
                <w:sz w:val="28"/>
                <w:szCs w:val="28"/>
              </w:rPr>
              <w:t>投标分包编号：</w:t>
            </w:r>
            <w:r>
              <w:rPr>
                <w:rFonts w:hint="eastAsia" w:eastAsia="楷体_GB2312"/>
                <w:sz w:val="28"/>
                <w:szCs w:val="28"/>
                <w:u w:val="single"/>
              </w:rPr>
              <w:t xml:space="preserve">                                 </w:t>
            </w:r>
            <w:r>
              <w:rPr>
                <w:rFonts w:hint="eastAsia" w:eastAsia="楷体_GB2312"/>
                <w:sz w:val="28"/>
                <w:szCs w:val="28"/>
              </w:rPr>
              <w:t xml:space="preserve">                  </w:t>
            </w:r>
          </w:p>
          <w:p w14:paraId="51A6FD15">
            <w:pPr>
              <w:tabs>
                <w:tab w:val="left" w:pos="1578"/>
                <w:tab w:val="left" w:pos="10083"/>
              </w:tabs>
              <w:spacing w:line="720" w:lineRule="auto"/>
              <w:rPr>
                <w:rFonts w:hint="eastAsia" w:eastAsia="楷体_GB2312"/>
                <w:sz w:val="28"/>
                <w:szCs w:val="28"/>
                <w:u w:val="single"/>
              </w:rPr>
            </w:pPr>
            <w:r>
              <w:rPr>
                <w:rFonts w:hint="eastAsia" w:eastAsia="楷体_GB2312"/>
                <w:sz w:val="28"/>
                <w:szCs w:val="28"/>
              </w:rPr>
              <w:t>投标单位全称：（盖章）</w:t>
            </w:r>
            <w:r>
              <w:rPr>
                <w:rFonts w:hint="eastAsia" w:eastAsia="楷体_GB2312"/>
                <w:sz w:val="28"/>
                <w:szCs w:val="28"/>
                <w:u w:val="single"/>
              </w:rPr>
              <w:t xml:space="preserve">                          </w:t>
            </w:r>
            <w:r>
              <w:rPr>
                <w:rFonts w:hint="eastAsia" w:eastAsia="楷体_GB2312"/>
                <w:sz w:val="28"/>
                <w:szCs w:val="28"/>
              </w:rPr>
              <w:t xml:space="preserve">    </w:t>
            </w:r>
          </w:p>
          <w:p w14:paraId="68C04810">
            <w:pPr>
              <w:spacing w:line="720" w:lineRule="auto"/>
              <w:rPr>
                <w:rFonts w:hint="eastAsia" w:eastAsia="楷体_GB2312"/>
                <w:sz w:val="28"/>
                <w:szCs w:val="28"/>
                <w:u w:val="single"/>
              </w:rPr>
            </w:pPr>
            <w:r>
              <w:rPr>
                <w:rFonts w:hint="eastAsia" w:eastAsia="楷体_GB2312"/>
                <w:sz w:val="28"/>
                <w:szCs w:val="28"/>
              </w:rPr>
              <w:t>投标单位地址：</w:t>
            </w:r>
            <w:r>
              <w:rPr>
                <w:rFonts w:hint="eastAsia" w:eastAsia="楷体_GB2312"/>
                <w:sz w:val="28"/>
                <w:szCs w:val="28"/>
                <w:u w:val="single"/>
              </w:rPr>
              <w:t xml:space="preserve">                                 </w:t>
            </w:r>
          </w:p>
          <w:p w14:paraId="5CCECC7E">
            <w:pPr>
              <w:spacing w:line="520" w:lineRule="exact"/>
              <w:rPr>
                <w:rFonts w:hint="eastAsia" w:eastAsia="楷体_GB2312"/>
                <w:sz w:val="28"/>
                <w:szCs w:val="28"/>
                <w:u w:val="single"/>
              </w:rPr>
            </w:pPr>
            <w:r>
              <w:rPr>
                <w:rFonts w:hint="eastAsia" w:eastAsia="楷体_GB2312"/>
                <w:sz w:val="28"/>
                <w:szCs w:val="28"/>
              </w:rPr>
              <w:t>投标单位联系电话：</w:t>
            </w:r>
            <w:r>
              <w:rPr>
                <w:rFonts w:hint="eastAsia" w:eastAsia="楷体_GB2312"/>
                <w:sz w:val="28"/>
                <w:szCs w:val="28"/>
                <w:u w:val="single"/>
              </w:rPr>
              <w:t xml:space="preserve">        </w:t>
            </w:r>
            <w:r>
              <w:rPr>
                <w:rFonts w:hint="eastAsia" w:eastAsia="楷体_GB2312"/>
                <w:sz w:val="28"/>
                <w:szCs w:val="28"/>
              </w:rPr>
              <w:t xml:space="preserve"> 手机：</w:t>
            </w:r>
            <w:r>
              <w:rPr>
                <w:rFonts w:hint="eastAsia" w:eastAsia="楷体_GB2312"/>
                <w:sz w:val="28"/>
                <w:szCs w:val="28"/>
                <w:u w:val="single"/>
              </w:rPr>
              <w:t xml:space="preserve">              </w:t>
            </w:r>
          </w:p>
          <w:p w14:paraId="1877EC83">
            <w:pPr>
              <w:spacing w:line="520" w:lineRule="exact"/>
              <w:rPr>
                <w:rFonts w:hint="eastAsia"/>
                <w:sz w:val="24"/>
                <w:u w:val="single"/>
              </w:rPr>
            </w:pPr>
          </w:p>
        </w:tc>
      </w:tr>
    </w:tbl>
    <w:p w14:paraId="6B6927FD">
      <w:pPr>
        <w:spacing w:line="520" w:lineRule="exact"/>
        <w:rPr>
          <w:rFonts w:hint="eastAsia"/>
        </w:rPr>
      </w:pPr>
    </w:p>
    <w:p w14:paraId="6F41EC11">
      <w:pPr>
        <w:pStyle w:val="2"/>
        <w:bidi w:val="0"/>
        <w:rPr>
          <w:rFonts w:hint="eastAsia"/>
          <w:b/>
          <w:sz w:val="28"/>
        </w:rPr>
      </w:pPr>
      <w:r>
        <w:rPr>
          <w:rFonts w:hint="eastAsia"/>
        </w:rPr>
        <w:t>(二）密封信封封口格式</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364A81C">
        <w:trPr>
          <w:trHeight w:val="1851" w:hRule="atLeast"/>
        </w:trPr>
        <w:tc>
          <w:tcPr>
            <w:tcW w:w="5000" w:type="pct"/>
            <w:noWrap w:val="0"/>
            <w:vAlign w:val="top"/>
          </w:tcPr>
          <w:p w14:paraId="0A402E8F">
            <w:pPr>
              <w:spacing w:line="520" w:lineRule="exact"/>
              <w:rPr>
                <w:rFonts w:hint="eastAsia"/>
                <w:sz w:val="24"/>
              </w:rPr>
            </w:pPr>
          </w:p>
          <w:p w14:paraId="02A9B1FE">
            <w:pPr>
              <w:spacing w:line="520" w:lineRule="exact"/>
              <w:ind w:firstLine="210" w:firstLineChars="100"/>
              <w:rPr>
                <w:sz w:val="32"/>
              </w:rPr>
            </w:pPr>
            <w:r>
              <w:rPr>
                <w:rFonts w:hint="eastAsia"/>
              </w:rPr>
              <w:t>……………………………… 开标前不得启封（加盖印章）……………………………………</w:t>
            </w:r>
          </w:p>
          <w:p w14:paraId="710A5356">
            <w:pPr>
              <w:tabs>
                <w:tab w:val="left" w:pos="9088"/>
              </w:tabs>
              <w:spacing w:line="520" w:lineRule="exact"/>
              <w:rPr>
                <w:rFonts w:hint="eastAsia"/>
                <w:sz w:val="32"/>
              </w:rPr>
            </w:pPr>
            <w:r>
              <w:rPr>
                <w:rFonts w:hint="eastAsia"/>
                <w:sz w:val="32"/>
              </w:rPr>
              <w:t>　　　　　　　　　　</w:t>
            </w:r>
            <w:r>
              <w:rPr>
                <w:sz w:val="32"/>
              </w:rPr>
              <w:t xml:space="preserve"> </w:t>
            </w:r>
            <w:r>
              <w:rPr>
                <w:rFonts w:hint="eastAsia"/>
                <w:sz w:val="32"/>
              </w:rPr>
              <w:t xml:space="preserve">     </w:t>
            </w:r>
          </w:p>
        </w:tc>
      </w:tr>
    </w:tbl>
    <w:p w14:paraId="09127042">
      <w:pPr>
        <w:pStyle w:val="12"/>
        <w:rPr>
          <w:rFonts w:hint="default"/>
          <w:lang w:val="en-US" w:eastAsia="zh-CN"/>
        </w:rPr>
      </w:pPr>
    </w:p>
    <w:p w14:paraId="77502B83">
      <w:pPr>
        <w:pStyle w:val="12"/>
        <w:rPr>
          <w:rFonts w:hint="default"/>
          <w:lang w:val="en-US" w:eastAsia="zh-CN"/>
        </w:rPr>
      </w:pPr>
    </w:p>
    <w:p w14:paraId="18F8D758">
      <w:pPr>
        <w:pStyle w:val="20"/>
        <w:keepNext w:val="0"/>
        <w:keepLines w:val="0"/>
        <w:pageBreakBefore/>
        <w:widowControl w:val="0"/>
        <w:kinsoku/>
        <w:wordWrap/>
        <w:overflowPunct/>
        <w:topLinePunct w:val="0"/>
        <w:autoSpaceDE/>
        <w:autoSpaceDN/>
        <w:bidi w:val="0"/>
        <w:adjustRightInd/>
        <w:snapToGrid/>
        <w:textAlignment w:val="auto"/>
        <w:rPr>
          <w:rFonts w:hint="eastAsia"/>
          <w:b/>
          <w:sz w:val="24"/>
        </w:rPr>
      </w:pPr>
      <w:r>
        <w:t>附件</w:t>
      </w:r>
      <w:r>
        <w:rPr>
          <w:rFonts w:hint="eastAsia"/>
          <w:lang w:val="en-US" w:eastAsia="zh-CN"/>
        </w:rPr>
        <w:t>二</w:t>
      </w:r>
      <w:r>
        <w:t>：</w:t>
      </w:r>
    </w:p>
    <w:p w14:paraId="0C5CAA84">
      <w:pPr>
        <w:pStyle w:val="28"/>
        <w:bidi w:val="0"/>
      </w:pPr>
      <w:commentRangeStart w:id="3"/>
      <w:r>
        <w:rPr>
          <w:rFonts w:hint="eastAsia"/>
        </w:rPr>
        <w:t>中小微企业声明函（供应商）</w:t>
      </w:r>
      <w:commentRangeEnd w:id="3"/>
      <w:r>
        <w:commentReference w:id="3"/>
      </w:r>
    </w:p>
    <w:p w14:paraId="3CEBF585">
      <w:pPr>
        <w:pStyle w:val="12"/>
        <w:bidi w:val="0"/>
      </w:pPr>
      <w:r>
        <w:rPr>
          <w:rFonts w:hint="eastAsia"/>
        </w:rPr>
        <w:t>本公司郑重声明，根据《政府采购促进中小企业发展暂行办法》（财库[2011]181号）的规定，本公司为______（请填写：中型、小型、微型）企业。即，本公司同时满足以下条件：</w:t>
      </w:r>
    </w:p>
    <w:p w14:paraId="05D7E9A4">
      <w:pPr>
        <w:pStyle w:val="12"/>
        <w:bidi w:val="0"/>
      </w:pPr>
      <w:r>
        <w:rPr>
          <w:rFonts w:hint="eastAsia"/>
        </w:rPr>
        <w:t>1.根据《工业和信息化部、国家统计局、国家发展和改革委员会、财政部关于印发中小企业划型标准规定的通知》（工信部联企业[2011]300号）规定的划分标准：本公司属于第四条第______项______行业，为______（请填写：中型、小型、微型）企业。</w:t>
      </w:r>
    </w:p>
    <w:p w14:paraId="6E11B671">
      <w:pPr>
        <w:pStyle w:val="12"/>
        <w:bidi w:val="0"/>
      </w:pPr>
      <w:r>
        <w:rPr>
          <w:rFonts w:hint="eastAsia"/>
        </w:rPr>
        <w:t>2. 本公司参加本项目采购活动提供本企业制造的货物，由本企业承担工程、提供服务或者提供其他______（请填写：中型、小型、微型）企业制造的货物。本条所称货物不包括使用大型企业注册商标的货物。</w:t>
      </w:r>
    </w:p>
    <w:p w14:paraId="36310A09">
      <w:pPr>
        <w:pStyle w:val="12"/>
        <w:bidi w:val="0"/>
      </w:pPr>
      <w:r>
        <w:rPr>
          <w:rFonts w:hint="eastAsia"/>
        </w:rPr>
        <w:t>本公司对上述声明的真实性负责。如有虚假，将依法承担相应责任。</w:t>
      </w:r>
    </w:p>
    <w:p w14:paraId="1A7F8323">
      <w:pPr>
        <w:snapToGrid w:val="0"/>
        <w:spacing w:line="360" w:lineRule="auto"/>
        <w:ind w:firstLine="5040" w:firstLineChars="2100"/>
        <w:rPr>
          <w:sz w:val="24"/>
          <w:szCs w:val="21"/>
        </w:rPr>
      </w:pPr>
    </w:p>
    <w:p w14:paraId="09232C94">
      <w:pPr>
        <w:snapToGrid w:val="0"/>
        <w:spacing w:line="360" w:lineRule="auto"/>
        <w:ind w:firstLine="5040" w:firstLineChars="2100"/>
        <w:rPr>
          <w:sz w:val="24"/>
          <w:szCs w:val="21"/>
        </w:rPr>
      </w:pPr>
      <w:r>
        <w:rPr>
          <w:rFonts w:hint="eastAsia"/>
          <w:sz w:val="24"/>
          <w:szCs w:val="21"/>
        </w:rPr>
        <w:t>供应商名称（公章）：</w:t>
      </w:r>
    </w:p>
    <w:p w14:paraId="089686C1">
      <w:pPr>
        <w:snapToGrid w:val="0"/>
        <w:spacing w:line="360" w:lineRule="auto"/>
        <w:ind w:firstLine="5040" w:firstLineChars="2100"/>
        <w:rPr>
          <w:sz w:val="24"/>
          <w:szCs w:val="21"/>
        </w:rPr>
      </w:pPr>
    </w:p>
    <w:p w14:paraId="7A4EEE3E">
      <w:pPr>
        <w:snapToGrid w:val="0"/>
        <w:spacing w:line="360" w:lineRule="auto"/>
        <w:ind w:firstLine="5040" w:firstLineChars="2100"/>
        <w:rPr>
          <w:sz w:val="24"/>
          <w:szCs w:val="21"/>
        </w:rPr>
      </w:pPr>
      <w:r>
        <w:rPr>
          <w:rFonts w:hint="eastAsia"/>
          <w:sz w:val="24"/>
          <w:szCs w:val="21"/>
        </w:rPr>
        <w:t>日期：20  年   月   日</w:t>
      </w:r>
    </w:p>
    <w:p w14:paraId="6ADAB573">
      <w:pPr>
        <w:snapToGrid w:val="0"/>
        <w:spacing w:line="360" w:lineRule="auto"/>
        <w:ind w:firstLine="5040" w:firstLineChars="2100"/>
        <w:rPr>
          <w:sz w:val="24"/>
          <w:szCs w:val="21"/>
        </w:rPr>
      </w:pPr>
    </w:p>
    <w:p w14:paraId="58CF7DDA">
      <w:pPr>
        <w:pStyle w:val="12"/>
        <w:bidi w:val="0"/>
        <w:rPr>
          <w:rFonts w:hint="eastAsia"/>
        </w:rPr>
      </w:pPr>
      <w:r>
        <w:rPr>
          <w:rFonts w:hint="eastAsia"/>
        </w:rPr>
        <w:t>注：提供其他中小微企业制造的货物，必须同时提供该中小微企业的声明函，并提供相关证明文件如国家企业信用信息公示系统网站截图。</w:t>
      </w:r>
    </w:p>
    <w:p w14:paraId="16229DCB">
      <w:pPr>
        <w:snapToGrid w:val="0"/>
        <w:spacing w:line="360" w:lineRule="auto"/>
        <w:ind w:firstLine="480" w:firstLineChars="200"/>
        <w:rPr>
          <w:sz w:val="24"/>
          <w:szCs w:val="21"/>
        </w:rPr>
      </w:pPr>
    </w:p>
    <w:p w14:paraId="762E4B22">
      <w:pPr>
        <w:widowControl/>
        <w:jc w:val="left"/>
        <w:rPr>
          <w:rFonts w:hint="eastAsia"/>
          <w:b/>
          <w:bCs/>
          <w:sz w:val="24"/>
        </w:rPr>
      </w:pPr>
      <w:r>
        <w:rPr>
          <w:b/>
          <w:bCs/>
          <w:sz w:val="24"/>
        </w:rPr>
        <w:br w:type="page"/>
      </w:r>
    </w:p>
    <w:p w14:paraId="04136BCB">
      <w:pPr>
        <w:pStyle w:val="28"/>
        <w:bidi w:val="0"/>
        <w:rPr>
          <w:b/>
          <w:bCs/>
        </w:rPr>
      </w:pPr>
      <w:commentRangeStart w:id="4"/>
      <w:r>
        <w:rPr>
          <w:rFonts w:hint="eastAsia"/>
        </w:rPr>
        <w:t>中小微企业声明函（制造商）</w:t>
      </w:r>
      <w:commentRangeEnd w:id="4"/>
      <w:r>
        <w:commentReference w:id="4"/>
      </w:r>
    </w:p>
    <w:p w14:paraId="2458256A">
      <w:pPr>
        <w:pStyle w:val="12"/>
        <w:bidi w:val="0"/>
      </w:pPr>
      <w:r>
        <w:rPr>
          <w:rFonts w:hint="eastAsia"/>
        </w:rPr>
        <w:t>本公司郑重声明，根据《政府采购促进中小企业发展暂行办法》（财库[2011]181号）的规定和《工业和信息化部、国家统计局、国家发展和改革委员会、财政部关于印发中小企业划型标准规定的通知》（工信部联企业[2011]300号）规定的划分标准：本公司属于第四条第______项______行业，为______（请填写：中型、小型、微型）企业。</w:t>
      </w:r>
    </w:p>
    <w:p w14:paraId="24887D41">
      <w:pPr>
        <w:pStyle w:val="12"/>
        <w:bidi w:val="0"/>
      </w:pPr>
      <w:r>
        <w:rPr>
          <w:rFonts w:hint="eastAsia"/>
        </w:rPr>
        <w:t>本公司对上述声明的真实性负责。如有虚假，将依法承担相应责任。</w:t>
      </w:r>
    </w:p>
    <w:p w14:paraId="283B2440">
      <w:pPr>
        <w:snapToGrid w:val="0"/>
        <w:spacing w:line="360" w:lineRule="auto"/>
        <w:ind w:firstLine="5040" w:firstLineChars="2100"/>
        <w:rPr>
          <w:sz w:val="24"/>
          <w:szCs w:val="21"/>
        </w:rPr>
      </w:pPr>
    </w:p>
    <w:p w14:paraId="03164431">
      <w:pPr>
        <w:snapToGrid w:val="0"/>
        <w:spacing w:line="360" w:lineRule="auto"/>
        <w:ind w:firstLine="5040" w:firstLineChars="2100"/>
        <w:rPr>
          <w:sz w:val="24"/>
          <w:szCs w:val="21"/>
        </w:rPr>
      </w:pPr>
      <w:r>
        <w:rPr>
          <w:rFonts w:hint="eastAsia"/>
          <w:sz w:val="24"/>
          <w:szCs w:val="21"/>
        </w:rPr>
        <w:t>制造商（单位公章）：</w:t>
      </w:r>
    </w:p>
    <w:p w14:paraId="78072D64">
      <w:pPr>
        <w:snapToGrid w:val="0"/>
        <w:spacing w:line="360" w:lineRule="auto"/>
        <w:ind w:firstLine="5040" w:firstLineChars="2100"/>
        <w:rPr>
          <w:sz w:val="24"/>
          <w:szCs w:val="21"/>
        </w:rPr>
      </w:pPr>
    </w:p>
    <w:p w14:paraId="4F6A2A92">
      <w:pPr>
        <w:snapToGrid w:val="0"/>
        <w:spacing w:line="360" w:lineRule="auto"/>
        <w:ind w:firstLine="5040" w:firstLineChars="2100"/>
        <w:rPr>
          <w:rFonts w:hint="eastAsia"/>
          <w:sz w:val="24"/>
          <w:szCs w:val="21"/>
        </w:rPr>
      </w:pPr>
      <w:r>
        <w:rPr>
          <w:rFonts w:hint="eastAsia"/>
          <w:sz w:val="24"/>
          <w:szCs w:val="21"/>
        </w:rPr>
        <w:t>日期：20   年   月   日</w:t>
      </w:r>
    </w:p>
    <w:p w14:paraId="29CF4153">
      <w:pPr>
        <w:snapToGrid w:val="0"/>
        <w:spacing w:line="360" w:lineRule="auto"/>
        <w:ind w:firstLine="5040" w:firstLineChars="2100"/>
        <w:rPr>
          <w:rFonts w:hint="eastAsia"/>
          <w:sz w:val="24"/>
          <w:szCs w:val="21"/>
        </w:rPr>
      </w:pPr>
    </w:p>
    <w:p w14:paraId="5C12821A">
      <w:pPr>
        <w:snapToGrid w:val="0"/>
        <w:spacing w:line="360" w:lineRule="auto"/>
        <w:ind w:firstLine="5040" w:firstLineChars="2100"/>
        <w:rPr>
          <w:rFonts w:hint="eastAsia"/>
          <w:sz w:val="24"/>
          <w:szCs w:val="21"/>
        </w:rPr>
      </w:pPr>
    </w:p>
    <w:p w14:paraId="2C4A9109">
      <w:pPr>
        <w:snapToGrid w:val="0"/>
        <w:spacing w:line="360" w:lineRule="auto"/>
        <w:ind w:firstLine="5040" w:firstLineChars="2100"/>
        <w:rPr>
          <w:rFonts w:hint="eastAsia"/>
          <w:sz w:val="24"/>
          <w:szCs w:val="21"/>
        </w:rPr>
      </w:pPr>
    </w:p>
    <w:p w14:paraId="6FB4733E">
      <w:pPr>
        <w:pStyle w:val="12"/>
        <w:bidi w:val="0"/>
        <w:rPr>
          <w:rFonts w:hint="default"/>
          <w:lang w:val="en-US" w:eastAsia="zh-CN"/>
        </w:rPr>
      </w:pPr>
      <w:r>
        <w:rPr>
          <w:rFonts w:hint="eastAsia"/>
        </w:rPr>
        <w:t>注：中小型企业应加附相关证明材料，比如国家企业信用信息公示系统网站截图。</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PS_1688365597" w:date="2024-09-04T17:57:08Z" w:initials="">
    <w:p w14:paraId="527F9A35">
      <w:pPr>
        <w:pStyle w:val="11"/>
        <w:rPr>
          <w:rFonts w:hint="eastAsia"/>
          <w:lang w:val="en-US" w:eastAsia="zh-CN"/>
        </w:rPr>
      </w:pPr>
      <w:r>
        <w:rPr>
          <w:rFonts w:hint="eastAsia"/>
          <w:lang w:val="en-US" w:eastAsia="zh-CN"/>
        </w:rPr>
        <w:t>内嵌标题样式1</w:t>
      </w:r>
    </w:p>
    <w:p w14:paraId="6E642138">
      <w:pPr>
        <w:pStyle w:val="11"/>
      </w:pPr>
      <w:r>
        <w:rPr>
          <w:rFonts w:hint="eastAsia"/>
          <w:lang w:val="en-US" w:eastAsia="zh-CN"/>
        </w:rPr>
        <w:t>·无目录，连续&amp;非连续</w:t>
      </w:r>
    </w:p>
  </w:comment>
  <w:comment w:id="1" w:author="WPS_1688365597" w:date="2024-09-09T09:52:05Z" w:initials="">
    <w:p w14:paraId="1530E8BB">
      <w:pPr>
        <w:pStyle w:val="11"/>
        <w:rPr>
          <w:rFonts w:hint="default" w:eastAsia="宋体"/>
          <w:lang w:val="en-US" w:eastAsia="zh-CN"/>
        </w:rPr>
      </w:pPr>
      <w:r>
        <w:rPr>
          <w:rFonts w:hint="eastAsia"/>
          <w:lang w:val="en-US" w:eastAsia="zh-CN"/>
        </w:rPr>
        <w:t>着重（不返回目录级别的，正文文本样式后加粗）</w:t>
      </w:r>
    </w:p>
  </w:comment>
  <w:comment w:id="2" w:author="WPS_1688365597" w:date="2024-09-09T11:33:52Z" w:initials="">
    <w:p w14:paraId="43F3891A">
      <w:pPr>
        <w:pStyle w:val="11"/>
        <w:rPr>
          <w:rFonts w:hint="eastAsia"/>
          <w:lang w:val="en-US" w:eastAsia="zh-CN"/>
        </w:rPr>
      </w:pPr>
      <w:r>
        <w:rPr>
          <w:rFonts w:hint="eastAsia"/>
          <w:lang w:val="en-US" w:eastAsia="zh-CN"/>
        </w:rPr>
        <w:t>内嵌标题样式2（样式为居中版h1）</w:t>
      </w:r>
    </w:p>
    <w:p w14:paraId="5ADF253B">
      <w:pPr>
        <w:pStyle w:val="11"/>
        <w:rPr>
          <w:rFonts w:hint="default"/>
          <w:lang w:val="en-US"/>
        </w:rPr>
      </w:pPr>
      <w:r>
        <w:rPr>
          <w:rFonts w:hint="eastAsia"/>
          <w:lang w:val="en-US" w:eastAsia="zh-CN"/>
        </w:rPr>
        <w:t>·附录区域内的内嵌文档标题</w:t>
      </w:r>
    </w:p>
  </w:comment>
  <w:comment w:id="3" w:author="WPS_1688365597" w:date="2024-09-09T11:34:45Z" w:initials="">
    <w:p w14:paraId="57EE6D23">
      <w:pPr>
        <w:pStyle w:val="11"/>
        <w:rPr>
          <w:rFonts w:hint="eastAsia"/>
          <w:lang w:val="en-US" w:eastAsia="zh-CN"/>
        </w:rPr>
      </w:pPr>
      <w:r>
        <w:rPr>
          <w:rFonts w:hint="eastAsia"/>
          <w:lang w:val="en-US" w:eastAsia="zh-CN"/>
        </w:rPr>
        <w:t>内嵌标题样式2（样式为居中版h1）</w:t>
      </w:r>
    </w:p>
    <w:p w14:paraId="0DC1C8FB">
      <w:pPr>
        <w:pStyle w:val="11"/>
      </w:pPr>
      <w:r>
        <w:rPr>
          <w:rFonts w:hint="eastAsia"/>
          <w:lang w:val="en-US" w:eastAsia="zh-CN"/>
        </w:rPr>
        <w:t>·附录区域内的内嵌文档标题</w:t>
      </w:r>
    </w:p>
  </w:comment>
  <w:comment w:id="4" w:author="WPS_1688365597" w:date="2024-09-09T11:34:50Z" w:initials="">
    <w:p w14:paraId="18DF5787">
      <w:pPr>
        <w:pStyle w:val="11"/>
        <w:rPr>
          <w:rFonts w:hint="eastAsia"/>
          <w:lang w:val="en-US" w:eastAsia="zh-CN"/>
        </w:rPr>
      </w:pPr>
      <w:r>
        <w:rPr>
          <w:rFonts w:hint="eastAsia"/>
          <w:lang w:val="en-US" w:eastAsia="zh-CN"/>
        </w:rPr>
        <w:t>内嵌标题样式2（样式为居中版h1）</w:t>
      </w:r>
    </w:p>
    <w:p w14:paraId="0BFC8333">
      <w:pPr>
        <w:pStyle w:val="11"/>
      </w:pPr>
      <w:r>
        <w:rPr>
          <w:rFonts w:hint="eastAsia"/>
          <w:lang w:val="en-US" w:eastAsia="zh-CN"/>
        </w:rPr>
        <w:t>·附录区域内的内嵌文档标题</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642138" w15:done="0"/>
  <w15:commentEx w15:paraId="1530E8BB" w15:done="0"/>
  <w15:commentEx w15:paraId="5ADF253B" w15:done="0"/>
  <w15:commentEx w15:paraId="0DC1C8FB" w15:done="0"/>
  <w15:commentEx w15:paraId="0BFC833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彩虹粗仿宋">
    <w:altName w:val="宋体"/>
    <w:panose1 w:val="02010609000101010101"/>
    <w:charset w:val="86"/>
    <w:family w:val="modern"/>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A62BC"/>
    <w:multiLevelType w:val="singleLevel"/>
    <w:tmpl w:val="888A62BC"/>
    <w:lvl w:ilvl="0" w:tentative="0">
      <w:start w:val="1"/>
      <w:numFmt w:val="decimal"/>
      <w:suff w:val="nothing"/>
      <w:lvlText w:val="（%1）"/>
      <w:lvlJc w:val="left"/>
      <w:pPr>
        <w:ind w:left="0" w:firstLine="0"/>
      </w:pPr>
      <w:rPr>
        <w:rFonts w:hint="default"/>
      </w:rPr>
    </w:lvl>
  </w:abstractNum>
  <w:abstractNum w:abstractNumId="1">
    <w:nsid w:val="3A6BC5F5"/>
    <w:multiLevelType w:val="singleLevel"/>
    <w:tmpl w:val="3A6BC5F5"/>
    <w:lvl w:ilvl="0" w:tentative="0">
      <w:start w:val="1"/>
      <w:numFmt w:val="decimal"/>
      <w:suff w:val="nothing"/>
      <w:lvlText w:val="%1、"/>
      <w:lvlJc w:val="left"/>
      <w:pPr>
        <w:ind w:left="0" w:firstLine="480"/>
      </w:pPr>
      <w:rPr>
        <w:rFonts w:hint="default"/>
      </w:rPr>
    </w:lvl>
  </w:abstractNum>
  <w:abstractNum w:abstractNumId="2">
    <w:nsid w:val="3B6B5A99"/>
    <w:multiLevelType w:val="singleLevel"/>
    <w:tmpl w:val="3B6B5A99"/>
    <w:lvl w:ilvl="0" w:tentative="0">
      <w:start w:val="1"/>
      <w:numFmt w:val="chineseCounting"/>
      <w:suff w:val="nothing"/>
      <w:lvlText w:val="（%1）"/>
      <w:lvlJc w:val="left"/>
      <w:pPr>
        <w:ind w:left="0" w:firstLine="480"/>
      </w:pPr>
      <w:rPr>
        <w:rFonts w:hint="eastAsia"/>
      </w:rPr>
    </w:lvl>
  </w:abstractNum>
  <w:abstractNum w:abstractNumId="3">
    <w:nsid w:val="5BC447A8"/>
    <w:multiLevelType w:val="multilevel"/>
    <w:tmpl w:val="5BC447A8"/>
    <w:lvl w:ilvl="0" w:tentative="0">
      <w:start w:val="1"/>
      <w:numFmt w:val="japaneseCounting"/>
      <w:lvlText w:val="（%1）"/>
      <w:lvlJc w:val="left"/>
      <w:pPr>
        <w:tabs>
          <w:tab w:val="left" w:pos="855"/>
        </w:tabs>
        <w:ind w:left="855" w:hanging="855"/>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688365597">
    <w15:presenceInfo w15:providerId="WPS Office" w15:userId="28902843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EyNWQ5MGM5MTY1MjZkYzJlZTlmOWU2OTNkODVjNTQifQ=="/>
  </w:docVars>
  <w:rsids>
    <w:rsidRoot w:val="3E9B6C20"/>
    <w:rsid w:val="0325785B"/>
    <w:rsid w:val="06646A51"/>
    <w:rsid w:val="07B85D8E"/>
    <w:rsid w:val="082F7DB4"/>
    <w:rsid w:val="09CB4CD3"/>
    <w:rsid w:val="0BC301D9"/>
    <w:rsid w:val="0D576071"/>
    <w:rsid w:val="120F3A60"/>
    <w:rsid w:val="12324FEA"/>
    <w:rsid w:val="140603E8"/>
    <w:rsid w:val="143A4305"/>
    <w:rsid w:val="149F78E4"/>
    <w:rsid w:val="15127621"/>
    <w:rsid w:val="15376293"/>
    <w:rsid w:val="18471A55"/>
    <w:rsid w:val="1BFE0F9C"/>
    <w:rsid w:val="213E1AE0"/>
    <w:rsid w:val="21873196"/>
    <w:rsid w:val="220E3A4C"/>
    <w:rsid w:val="25D27EE1"/>
    <w:rsid w:val="27B77F24"/>
    <w:rsid w:val="29177DF5"/>
    <w:rsid w:val="29EE1BD8"/>
    <w:rsid w:val="307E2FCD"/>
    <w:rsid w:val="30B21342"/>
    <w:rsid w:val="33CB216E"/>
    <w:rsid w:val="36DA3A70"/>
    <w:rsid w:val="3A7A067E"/>
    <w:rsid w:val="3DC54FBA"/>
    <w:rsid w:val="3E9B6C20"/>
    <w:rsid w:val="3F1361DA"/>
    <w:rsid w:val="42505834"/>
    <w:rsid w:val="43AD2714"/>
    <w:rsid w:val="44563187"/>
    <w:rsid w:val="46DD753D"/>
    <w:rsid w:val="50C079D1"/>
    <w:rsid w:val="51B03582"/>
    <w:rsid w:val="536F2BC2"/>
    <w:rsid w:val="53740270"/>
    <w:rsid w:val="53E21FCA"/>
    <w:rsid w:val="58813143"/>
    <w:rsid w:val="611C3532"/>
    <w:rsid w:val="61293B5C"/>
    <w:rsid w:val="63E97877"/>
    <w:rsid w:val="668E77E1"/>
    <w:rsid w:val="66EE06FD"/>
    <w:rsid w:val="66F36075"/>
    <w:rsid w:val="68D12409"/>
    <w:rsid w:val="6CF300D8"/>
    <w:rsid w:val="6F286893"/>
    <w:rsid w:val="6FB75AA5"/>
    <w:rsid w:val="702D67CC"/>
    <w:rsid w:val="749B298F"/>
    <w:rsid w:val="7A2058EE"/>
    <w:rsid w:val="7D0564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4"/>
      <w:lang w:bidi="ar-SA"/>
    </w:rPr>
  </w:style>
  <w:style w:type="paragraph" w:styleId="2">
    <w:name w:val="heading 1"/>
    <w:next w:val="1"/>
    <w:autoRedefine/>
    <w:qFormat/>
    <w:uiPriority w:val="0"/>
    <w:pPr>
      <w:keepNext w:val="0"/>
      <w:keepLines w:val="0"/>
      <w:widowControl w:val="0"/>
      <w:numPr>
        <w:ilvl w:val="0"/>
        <w:numId w:val="0"/>
      </w:numPr>
      <w:spacing w:before="240" w:beforeLines="0" w:after="120" w:afterLines="0" w:line="360" w:lineRule="auto"/>
      <w:jc w:val="left"/>
      <w:outlineLvl w:val="0"/>
    </w:pPr>
    <w:rPr>
      <w:rFonts w:ascii="宋体" w:hAnsi="宋体" w:eastAsia="宋体" w:cs="宋体"/>
      <w:b/>
      <w:bCs/>
      <w:kern w:val="44"/>
      <w:sz w:val="24"/>
      <w:szCs w:val="30"/>
      <w:lang w:val="en-US" w:eastAsia="zh-CN"/>
    </w:rPr>
  </w:style>
  <w:style w:type="paragraph" w:styleId="3">
    <w:name w:val="heading 2"/>
    <w:next w:val="1"/>
    <w:link w:val="35"/>
    <w:autoRedefine/>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heme="minorBidi"/>
      <w:b/>
      <w:sz w:val="24"/>
    </w:rPr>
  </w:style>
  <w:style w:type="paragraph" w:styleId="4">
    <w:name w:val="heading 3"/>
    <w:next w:val="1"/>
    <w:autoRedefine/>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heme="minorBidi"/>
      <w:sz w:val="24"/>
    </w:rPr>
  </w:style>
  <w:style w:type="paragraph" w:styleId="5">
    <w:name w:val="heading 4"/>
    <w:next w:val="1"/>
    <w:autoRedefine/>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heme="minorBidi"/>
      <w:sz w:val="24"/>
    </w:rPr>
  </w:style>
  <w:style w:type="paragraph" w:styleId="6">
    <w:name w:val="heading 5"/>
    <w:next w:val="1"/>
    <w:autoRedefine/>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heme="minorBidi"/>
      <w:sz w:val="24"/>
    </w:rPr>
  </w:style>
  <w:style w:type="paragraph" w:styleId="7">
    <w:name w:val="heading 6"/>
    <w:next w:val="1"/>
    <w:autoRedefine/>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heme="minorBidi"/>
      <w:sz w:val="24"/>
    </w:rPr>
  </w:style>
  <w:style w:type="paragraph" w:styleId="8">
    <w:name w:val="heading 7"/>
    <w:next w:val="1"/>
    <w:autoRedefine/>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heme="minorBidi"/>
      <w:sz w:val="24"/>
    </w:rPr>
  </w:style>
  <w:style w:type="paragraph" w:styleId="9">
    <w:name w:val="heading 8"/>
    <w:next w:val="1"/>
    <w:autoRedefine/>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heme="minorBidi"/>
      <w:sz w:val="24"/>
    </w:rPr>
  </w:style>
  <w:style w:type="paragraph" w:styleId="10">
    <w:name w:val="heading 9"/>
    <w:next w:val="1"/>
    <w:autoRedefine/>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heme="minorBidi"/>
      <w:sz w:val="24"/>
    </w:rPr>
  </w:style>
  <w:style w:type="character" w:default="1" w:styleId="19">
    <w:name w:val="Default Paragraph Font"/>
    <w:autoRedefine/>
    <w:semiHidden/>
    <w:qFormat/>
    <w:uiPriority w:val="0"/>
  </w:style>
  <w:style w:type="table" w:default="1" w:styleId="18">
    <w:name w:val="Normal Table"/>
    <w:autoRedefine/>
    <w:semiHidden/>
    <w:qFormat/>
    <w:uiPriority w:val="0"/>
    <w:tblPr>
      <w:tblCellMar>
        <w:top w:w="0" w:type="dxa"/>
        <w:left w:w="108" w:type="dxa"/>
        <w:bottom w:w="0" w:type="dxa"/>
        <w:right w:w="108" w:type="dxa"/>
      </w:tblCellMar>
    </w:tblPr>
  </w:style>
  <w:style w:type="paragraph" w:styleId="11">
    <w:name w:val="annotation text"/>
    <w:basedOn w:val="1"/>
    <w:semiHidden/>
    <w:qFormat/>
    <w:uiPriority w:val="0"/>
    <w:pPr>
      <w:jc w:val="left"/>
    </w:pPr>
  </w:style>
  <w:style w:type="paragraph" w:styleId="12">
    <w:name w:val="Body Text"/>
    <w:link w:val="32"/>
    <w:autoRedefine/>
    <w:qFormat/>
    <w:uiPriority w:val="0"/>
    <w:pPr>
      <w:spacing w:after="120" w:afterAutospacing="0" w:line="300" w:lineRule="auto"/>
      <w:ind w:firstLine="420" w:firstLineChars="200"/>
    </w:pPr>
    <w:rPr>
      <w:rFonts w:ascii="Times New Roman" w:hAnsi="Times New Roman" w:eastAsia="宋体" w:cstheme="minorBidi"/>
      <w:sz w:val="24"/>
    </w:rPr>
  </w:style>
  <w:style w:type="paragraph" w:styleId="13">
    <w:name w:val="footer"/>
    <w:basedOn w:val="1"/>
    <w:autoRedefine/>
    <w:qFormat/>
    <w:uiPriority w:val="99"/>
    <w:pPr>
      <w:tabs>
        <w:tab w:val="center" w:pos="4153"/>
        <w:tab w:val="right" w:pos="8306"/>
      </w:tabs>
      <w:jc w:val="left"/>
    </w:pPr>
    <w:rPr>
      <w:sz w:val="18"/>
      <w:szCs w:val="18"/>
    </w:rPr>
  </w:style>
  <w:style w:type="paragraph" w:styleId="14">
    <w:name w:val="header"/>
    <w:basedOn w:val="1"/>
    <w:qFormat/>
    <w:uiPriority w:val="99"/>
    <w:pPr>
      <w:pBdr>
        <w:bottom w:val="single" w:color="auto" w:sz="6" w:space="1"/>
      </w:pBdr>
      <w:tabs>
        <w:tab w:val="center" w:pos="4153"/>
        <w:tab w:val="right" w:pos="8306"/>
      </w:tabs>
      <w:snapToGrid w:val="0"/>
      <w:jc w:val="center"/>
    </w:pPr>
    <w:rPr>
      <w:kern w:val="0"/>
      <w:sz w:val="18"/>
      <w:szCs w:val="18"/>
    </w:rPr>
  </w:style>
  <w:style w:type="paragraph" w:styleId="15">
    <w:name w:val="Subtitle"/>
    <w:next w:val="1"/>
    <w:link w:val="33"/>
    <w:autoRedefine/>
    <w:qFormat/>
    <w:uiPriority w:val="0"/>
    <w:pPr>
      <w:widowControl w:val="0"/>
      <w:spacing w:before="120" w:beforeLines="0" w:beforeAutospacing="0" w:after="240" w:afterAutospacing="0" w:line="360" w:lineRule="auto"/>
      <w:jc w:val="center"/>
      <w:outlineLvl w:val="9"/>
    </w:pPr>
    <w:rPr>
      <w:rFonts w:ascii="Calibri" w:hAnsi="Calibri" w:eastAsia="宋体" w:cstheme="minorBidi"/>
      <w:b/>
      <w:kern w:val="28"/>
      <w:sz w:val="24"/>
    </w:rPr>
  </w:style>
  <w:style w:type="paragraph" w:styleId="16">
    <w:name w:val="Normal (Web)"/>
    <w:basedOn w:val="1"/>
    <w:unhideWhenUsed/>
    <w:qFormat/>
    <w:uiPriority w:val="0"/>
    <w:pPr>
      <w:widowControl/>
      <w:spacing w:beforeAutospacing="1" w:afterAutospacing="1"/>
      <w:jc w:val="left"/>
    </w:pPr>
    <w:rPr>
      <w:rFonts w:ascii="宋体" w:hAnsi="宋体" w:cs="宋体"/>
      <w:kern w:val="0"/>
      <w:sz w:val="24"/>
    </w:rPr>
  </w:style>
  <w:style w:type="paragraph" w:styleId="17">
    <w:name w:val="Title"/>
    <w:link w:val="34"/>
    <w:autoRedefine/>
    <w:qFormat/>
    <w:uiPriority w:val="0"/>
    <w:pPr>
      <w:widowControl w:val="0"/>
      <w:spacing w:beforeAutospacing="0" w:afterAutospacing="0" w:line="360" w:lineRule="auto"/>
      <w:jc w:val="center"/>
      <w:outlineLvl w:val="9"/>
    </w:pPr>
    <w:rPr>
      <w:rFonts w:ascii="Times New Roman" w:hAnsi="Times New Roman" w:eastAsia="黑体" w:cstheme="minorBidi"/>
      <w:sz w:val="44"/>
    </w:rPr>
  </w:style>
  <w:style w:type="paragraph" w:customStyle="1" w:styleId="20">
    <w:name w:val="附录标题"/>
    <w:next w:val="12"/>
    <w:autoRedefine/>
    <w:semiHidden/>
    <w:qFormat/>
    <w:uiPriority w:val="0"/>
    <w:pPr>
      <w:keepNext w:val="0"/>
      <w:keepLines w:val="0"/>
      <w:widowControl w:val="0"/>
      <w:spacing w:before="240" w:after="120" w:line="360" w:lineRule="auto"/>
      <w:jc w:val="left"/>
      <w:outlineLvl w:val="0"/>
    </w:pPr>
    <w:rPr>
      <w:rFonts w:ascii="Times New Roman" w:hAnsi="Times New Roman" w:eastAsia="宋体" w:cstheme="minorBidi"/>
      <w:b/>
      <w:sz w:val="24"/>
    </w:rPr>
  </w:style>
  <w:style w:type="paragraph" w:customStyle="1" w:styleId="21">
    <w:name w:val="文档说明标题"/>
    <w:next w:val="1"/>
    <w:autoRedefine/>
    <w:semiHidden/>
    <w:qFormat/>
    <w:uiPriority w:val="0"/>
    <w:pPr>
      <w:keepNext w:val="0"/>
      <w:keepLines w:val="0"/>
      <w:widowControl w:val="0"/>
      <w:spacing w:line="360" w:lineRule="auto"/>
      <w:jc w:val="center"/>
      <w:outlineLvl w:val="9"/>
    </w:pPr>
    <w:rPr>
      <w:rFonts w:ascii="Times New Roman" w:hAnsi="Times New Roman" w:eastAsia="黑体" w:cstheme="minorBidi"/>
      <w:sz w:val="30"/>
    </w:rPr>
  </w:style>
  <w:style w:type="paragraph" w:customStyle="1" w:styleId="22">
    <w:name w:val="章节标题"/>
    <w:next w:val="12"/>
    <w:autoRedefine/>
    <w:semiHidden/>
    <w:qFormat/>
    <w:uiPriority w:val="0"/>
    <w:pPr>
      <w:pageBreakBefore w:val="0"/>
      <w:widowControl w:val="0"/>
      <w:numPr>
        <w:ilvl w:val="0"/>
        <w:numId w:val="0"/>
      </w:numPr>
      <w:spacing w:before="240" w:after="240" w:line="360" w:lineRule="auto"/>
      <w:jc w:val="center"/>
      <w:outlineLvl w:val="0"/>
    </w:pPr>
    <w:rPr>
      <w:rFonts w:ascii="Times New Roman" w:hAnsi="Times New Roman" w:eastAsia="黑体" w:cstheme="minorBidi"/>
      <w:kern w:val="44"/>
      <w:sz w:val="30"/>
      <w:szCs w:val="36"/>
      <w:lang w:val="en-US" w:eastAsia="zh-CN"/>
    </w:rPr>
  </w:style>
  <w:style w:type="paragraph" w:customStyle="1" w:styleId="23">
    <w:name w:val="表格标题"/>
    <w:next w:val="1"/>
    <w:autoRedefine/>
    <w:semiHidden/>
    <w:qFormat/>
    <w:uiPriority w:val="0"/>
    <w:pPr>
      <w:widowControl w:val="0"/>
      <w:spacing w:after="120" w:line="300" w:lineRule="auto"/>
      <w:jc w:val="center"/>
    </w:pPr>
    <w:rPr>
      <w:rFonts w:ascii="宋体" w:hAnsi="宋体" w:eastAsia="宋体" w:cs="宋体"/>
      <w:b/>
      <w:sz w:val="24"/>
      <w:szCs w:val="22"/>
    </w:rPr>
  </w:style>
  <w:style w:type="paragraph" w:customStyle="1" w:styleId="24">
    <w:name w:val="图片标题"/>
    <w:next w:val="1"/>
    <w:autoRedefine/>
    <w:semiHidden/>
    <w:qFormat/>
    <w:uiPriority w:val="0"/>
    <w:pPr>
      <w:widowControl w:val="0"/>
      <w:spacing w:after="120" w:line="300" w:lineRule="auto"/>
      <w:jc w:val="center"/>
    </w:pPr>
    <w:rPr>
      <w:rFonts w:ascii="宋体" w:hAnsi="宋体" w:eastAsia="宋体" w:cs="宋体"/>
      <w:sz w:val="24"/>
      <w:szCs w:val="22"/>
    </w:rPr>
  </w:style>
  <w:style w:type="paragraph" w:customStyle="1" w:styleId="25">
    <w:name w:val="内嵌文档标题1"/>
    <w:next w:val="12"/>
    <w:link w:val="27"/>
    <w:qFormat/>
    <w:uiPriority w:val="0"/>
    <w:pPr>
      <w:widowControl w:val="0"/>
      <w:spacing w:after="120" w:line="300" w:lineRule="auto"/>
      <w:jc w:val="center"/>
      <w:outlineLvl w:val="0"/>
    </w:pPr>
    <w:rPr>
      <w:rFonts w:hint="eastAsia" w:ascii="Times New Roman" w:hAnsi="Times New Roman" w:eastAsia="宋体" w:cstheme="minorBidi"/>
      <w:b/>
      <w:kern w:val="2"/>
      <w:sz w:val="24"/>
      <w:lang w:val="en-US" w:eastAsia="zh-CN"/>
    </w:rPr>
  </w:style>
  <w:style w:type="paragraph" w:customStyle="1" w:styleId="26">
    <w:name w:val="章前标题"/>
    <w:next w:val="12"/>
    <w:autoRedefine/>
    <w:qFormat/>
    <w:uiPriority w:val="0"/>
    <w:pPr>
      <w:keepNext w:val="0"/>
      <w:keepLines w:val="0"/>
      <w:pageBreakBefore w:val="0"/>
      <w:widowControl w:val="0"/>
      <w:kinsoku/>
      <w:wordWrap/>
      <w:overflowPunct/>
      <w:topLinePunct w:val="0"/>
      <w:autoSpaceDE/>
      <w:autoSpaceDN/>
      <w:bidi w:val="0"/>
      <w:adjustRightInd/>
      <w:snapToGrid/>
      <w:spacing w:before="240" w:after="240" w:line="360" w:lineRule="auto"/>
      <w:jc w:val="center"/>
      <w:textAlignment w:val="auto"/>
      <w:outlineLvl w:val="9"/>
    </w:pPr>
    <w:rPr>
      <w:rFonts w:ascii="黑体" w:hAnsi="黑体" w:eastAsia="黑体" w:cs="黑体"/>
      <w:kern w:val="44"/>
      <w:sz w:val="30"/>
      <w:szCs w:val="36"/>
      <w:lang w:val="en-US" w:eastAsia="zh-CN"/>
    </w:rPr>
  </w:style>
  <w:style w:type="character" w:customStyle="1" w:styleId="27">
    <w:name w:val="内嵌文档标题1 Char"/>
    <w:link w:val="25"/>
    <w:qFormat/>
    <w:uiPriority w:val="0"/>
    <w:rPr>
      <w:rFonts w:hint="eastAsia" w:ascii="Times New Roman" w:hAnsi="Times New Roman" w:eastAsia="宋体" w:cstheme="minorBidi"/>
      <w:b/>
      <w:kern w:val="2"/>
      <w:sz w:val="24"/>
      <w:lang w:val="en-US" w:eastAsia="zh-CN"/>
    </w:rPr>
  </w:style>
  <w:style w:type="paragraph" w:customStyle="1" w:styleId="28">
    <w:name w:val="内嵌文档标题2"/>
    <w:link w:val="36"/>
    <w:qFormat/>
    <w:uiPriority w:val="0"/>
    <w:pPr>
      <w:widowControl w:val="0"/>
      <w:shd w:val="clear" w:color="auto" w:fill="FFFFFF"/>
      <w:spacing w:after="120" w:line="300" w:lineRule="auto"/>
      <w:jc w:val="center"/>
      <w:outlineLvl w:val="0"/>
    </w:pPr>
    <w:rPr>
      <w:rFonts w:ascii="宋体" w:hAnsi="宋体" w:eastAsia="宋体" w:cs="宋体"/>
      <w:b/>
      <w:bCs/>
      <w:kern w:val="0"/>
      <w:sz w:val="24"/>
      <w:szCs w:val="30"/>
    </w:rPr>
  </w:style>
  <w:style w:type="paragraph" w:customStyle="1" w:styleId="29">
    <w:name w:val="目录页标题"/>
    <w:qFormat/>
    <w:uiPriority w:val="0"/>
    <w:pPr>
      <w:widowControl w:val="0"/>
      <w:spacing w:before="240" w:beforeLines="0" w:after="240" w:line="360" w:lineRule="auto"/>
      <w:jc w:val="center"/>
      <w:outlineLvl w:val="9"/>
    </w:pPr>
    <w:rPr>
      <w:rFonts w:hint="eastAsia" w:ascii="黑体" w:hAnsi="黑体" w:eastAsia="黑体" w:cs="黑体"/>
      <w:kern w:val="44"/>
      <w:sz w:val="30"/>
      <w:szCs w:val="36"/>
      <w:lang w:val="en-US" w:eastAsia="zh-CN"/>
    </w:rPr>
  </w:style>
  <w:style w:type="paragraph" w:customStyle="1" w:styleId="30">
    <w:name w:val="章标题"/>
    <w:next w:val="1"/>
    <w:qFormat/>
    <w:uiPriority w:val="0"/>
    <w:pPr>
      <w:pageBreakBefore w:val="0"/>
      <w:spacing w:before="240" w:beforeLines="0" w:after="240" w:line="360" w:lineRule="auto"/>
      <w:jc w:val="center"/>
      <w:outlineLvl w:val="0"/>
    </w:pPr>
    <w:rPr>
      <w:rFonts w:hint="eastAsia" w:ascii="黑体" w:hAnsi="黑体" w:eastAsia="黑体" w:cs="黑体"/>
      <w:kern w:val="44"/>
      <w:sz w:val="30"/>
      <w:szCs w:val="36"/>
      <w:lang w:val="en-US" w:eastAsia="zh-CN"/>
    </w:rPr>
  </w:style>
  <w:style w:type="paragraph" w:customStyle="1" w:styleId="31">
    <w:name w:val="节标题"/>
    <w:qFormat/>
    <w:uiPriority w:val="0"/>
    <w:pPr>
      <w:pageBreakBefore w:val="0"/>
      <w:widowControl w:val="0"/>
      <w:spacing w:before="240" w:after="240" w:line="360" w:lineRule="auto"/>
      <w:jc w:val="center"/>
      <w:outlineLvl w:val="0"/>
    </w:pPr>
    <w:rPr>
      <w:rFonts w:hint="eastAsia" w:ascii="黑体" w:hAnsi="黑体" w:eastAsia="黑体" w:cs="黑体"/>
      <w:kern w:val="44"/>
      <w:sz w:val="30"/>
      <w:szCs w:val="36"/>
      <w:lang w:val="en-US" w:eastAsia="zh-CN"/>
    </w:rPr>
  </w:style>
  <w:style w:type="character" w:customStyle="1" w:styleId="32">
    <w:name w:val="正文文本 Char"/>
    <w:link w:val="12"/>
    <w:qFormat/>
    <w:uiPriority w:val="0"/>
    <w:rPr>
      <w:rFonts w:ascii="Times New Roman" w:hAnsi="Times New Roman" w:eastAsia="宋体"/>
      <w:sz w:val="24"/>
    </w:rPr>
  </w:style>
  <w:style w:type="character" w:customStyle="1" w:styleId="33">
    <w:name w:val="副标题 Char"/>
    <w:link w:val="15"/>
    <w:qFormat/>
    <w:uiPriority w:val="0"/>
    <w:rPr>
      <w:rFonts w:ascii="Calibri" w:hAnsi="Calibri" w:eastAsia="宋体"/>
      <w:b/>
      <w:kern w:val="28"/>
      <w:sz w:val="24"/>
    </w:rPr>
  </w:style>
  <w:style w:type="character" w:customStyle="1" w:styleId="34">
    <w:name w:val="标题 Char"/>
    <w:link w:val="17"/>
    <w:qFormat/>
    <w:uiPriority w:val="0"/>
    <w:rPr>
      <w:rFonts w:ascii="Times New Roman" w:hAnsi="Times New Roman" w:eastAsia="黑体" w:cstheme="minorBidi"/>
      <w:sz w:val="44"/>
    </w:rPr>
  </w:style>
  <w:style w:type="character" w:customStyle="1" w:styleId="35">
    <w:name w:val="标题 2 Char"/>
    <w:link w:val="3"/>
    <w:qFormat/>
    <w:uiPriority w:val="0"/>
    <w:rPr>
      <w:rFonts w:ascii="Times New Roman" w:hAnsi="Times New Roman" w:eastAsia="宋体" w:cstheme="minorBidi"/>
      <w:b/>
      <w:sz w:val="24"/>
    </w:rPr>
  </w:style>
  <w:style w:type="character" w:customStyle="1" w:styleId="36">
    <w:name w:val="内嵌文档标题2 Char"/>
    <w:link w:val="28"/>
    <w:qFormat/>
    <w:uiPriority w:val="0"/>
    <w:rPr>
      <w:rFonts w:ascii="宋体" w:hAnsi="宋体" w:eastAsia="宋体" w:cs="宋体"/>
      <w:b/>
      <w:bCs/>
      <w:kern w:val="0"/>
      <w:sz w:val="24"/>
      <w:szCs w:val="30"/>
    </w:rPr>
  </w:style>
  <w:style w:type="character" w:customStyle="1" w:styleId="37">
    <w:name w:val="强调说明"/>
    <w:basedOn w:val="19"/>
    <w:qFormat/>
    <w:uiPriority w:val="0"/>
    <w:rPr>
      <w:rFonts w:hint="eastAsia" w:ascii="Calibri" w:hAnsi="Calibri" w:eastAsia="宋体"/>
      <w:b/>
      <w:sz w:val="24"/>
    </w:rPr>
  </w:style>
  <w:style w:type="paragraph" w:customStyle="1" w:styleId="38">
    <w:name w:val="强调标题"/>
    <w:next w:val="1"/>
    <w:qFormat/>
    <w:uiPriority w:val="0"/>
    <w:pPr>
      <w:spacing w:before="240" w:after="120" w:line="360" w:lineRule="auto"/>
      <w:ind w:firstLine="600" w:firstLineChars="200"/>
      <w:jc w:val="left"/>
      <w:outlineLvl w:val="0"/>
    </w:pPr>
    <w:rPr>
      <w:rFonts w:hint="eastAsia" w:ascii="Times New Roman" w:hAnsi="Times New Roman" w:eastAsia="宋体" w:cstheme="minorBidi"/>
      <w:b/>
      <w:sz w:val="24"/>
      <w:lang w:val="en-US" w:eastAsia="zh-CN"/>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opi\Desktop\bid.dotx"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bid.dotx</Template>
  <Pages>10</Pages>
  <Words>3805</Words>
  <Characters>4044</Characters>
  <Lines>0</Lines>
  <Paragraphs>0</Paragraphs>
  <TotalTime>186</TotalTime>
  <ScaleCrop>false</ScaleCrop>
  <LinksUpToDate>false</LinksUpToDate>
  <CharactersWithSpaces>4433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2024-08-28T01:37:00Z</dcterms:created>
  <dc:creator>WPS_1688365597</dc:creator>
  <cp:lastModifiedBy>WPS_1697425014</cp:lastModifiedBy>
  <dcterms:modified xsi:type="dcterms:W3CDTF">2024-12-26T07:06:14Z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41736C0084AA410EA4AE79A745BF30E4_13</vt:lpwstr>
  </property>
</Properties>
</file>