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EPC设计施工一体化与变更管理——破局「两张皮」的利润保卫战</w:t>
      </w:r>
    </w:p>
    <w:p>
      <w:pPr>
        <w:jc w:val="center"/>
      </w:pPr>
      <w:r>
        <w:rPr>
          <w:rFonts w:ascii="Calibri" w:hAnsi="Calibri" w:eastAsia="微软雅黑"/>
          <w:b w:val="0"/>
          <w:i w:val="0"/>
          <w:color w:val="666666"/>
          <w:sz w:val="22"/>
        </w:rPr>
        <w:t>专题研报 · 总包智库 | 数字可溯 · 每个数字标注出处（P锚=弹药库源，own_calc=跨源算式）</w:t>
      </w:r>
    </w:p>
    <w:p>
      <w:r>
        <w:br w:type="page"/>
      </w:r>
    </w:p>
    <w:p>
      <w:pPr>
        <w:pStyle w:val="Heading1"/>
      </w:pPr>
      <w:r>
        <w:t>目 录</w:t>
      </w:r>
    </w:p>
    <w:p>
      <w:pPr>
        <w:tabs>
          <w:tab w:pos="8504" w:val="right" w:leader="dot"/>
        </w:tabs>
        <w:ind w:left="0"/>
      </w:pPr>
      <w:r>
        <w:rPr>
          <w:rFonts w:ascii="Calibri" w:hAnsi="Calibri" w:eastAsia="微软雅黑"/>
          <w:b/>
          <w:i w:val="0"/>
          <w:sz w:val="22"/>
        </w:rPr>
        <w:t>第1章 一体化全景：为什么「两张皮」在吃掉你的利润</w:t>
      </w:r>
    </w:p>
    <w:p>
      <w:pPr>
        <w:tabs>
          <w:tab w:pos="8504" w:val="right" w:leader="dot"/>
        </w:tabs>
        <w:ind w:left="340"/>
      </w:pPr>
      <w:r>
        <w:rPr>
          <w:rFonts w:ascii="Calibri" w:hAnsi="Calibri" w:eastAsia="微软雅黑"/>
          <w:b w:val="0"/>
          <w:i w:val="0"/>
          <w:sz w:val="20"/>
        </w:rPr>
        <w:t>1.1 诊断「两张皮」：三堵墙怎样把一条价值链切成两半</w:t>
      </w:r>
    </w:p>
    <w:p>
      <w:pPr>
        <w:tabs>
          <w:tab w:pos="8504" w:val="right" w:leader="dot"/>
        </w:tabs>
        <w:ind w:left="340"/>
      </w:pPr>
      <w:r>
        <w:rPr>
          <w:rFonts w:ascii="Calibri" w:hAnsi="Calibri" w:eastAsia="微软雅黑"/>
          <w:b w:val="0"/>
          <w:i w:val="0"/>
          <w:sz w:val="20"/>
        </w:rPr>
        <w:t>1.2 利润漏点全景：六环损失链与三大隐形漏洞</w:t>
      </w:r>
    </w:p>
    <w:p>
      <w:pPr>
        <w:tabs>
          <w:tab w:pos="8504" w:val="right" w:leader="dot"/>
        </w:tabs>
        <w:ind w:left="340"/>
      </w:pPr>
      <w:r>
        <w:rPr>
          <w:rFonts w:ascii="Calibri" w:hAnsi="Calibri" w:eastAsia="微软雅黑"/>
          <w:b w:val="0"/>
          <w:i w:val="0"/>
          <w:sz w:val="20"/>
        </w:rPr>
        <w:t>1.3 司法证据切片：判例里的「两张皮」价目表</w:t>
      </w:r>
    </w:p>
    <w:p>
      <w:pPr>
        <w:tabs>
          <w:tab w:pos="8504" w:val="right" w:leader="dot"/>
        </w:tabs>
        <w:ind w:left="340"/>
      </w:pPr>
      <w:r>
        <w:rPr>
          <w:rFonts w:ascii="Calibri" w:hAnsi="Calibri" w:eastAsia="微软雅黑"/>
          <w:b w:val="0"/>
          <w:i w:val="0"/>
          <w:sz w:val="20"/>
        </w:rPr>
        <w:t>1.4 修复路径预告：一体化是一组可落地的机制，不是口号</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第2章 政策坐标系：从93号文到总承包管理办法的一体化要求</w:t>
      </w:r>
    </w:p>
    <w:p>
      <w:pPr>
        <w:tabs>
          <w:tab w:pos="8504" w:val="right" w:leader="dot"/>
        </w:tabs>
        <w:ind w:left="340"/>
      </w:pPr>
      <w:r>
        <w:rPr>
          <w:rFonts w:ascii="Calibri" w:hAnsi="Calibri" w:eastAsia="微软雅黑"/>
          <w:b w:val="0"/>
          <w:i w:val="0"/>
          <w:sz w:val="20"/>
        </w:rPr>
        <w:t>2.1 「两张皮」进入政策文本：一体化要求的原始出处</w:t>
      </w:r>
    </w:p>
    <w:p>
      <w:pPr>
        <w:tabs>
          <w:tab w:pos="8504" w:val="right" w:leader="dot"/>
        </w:tabs>
        <w:ind w:left="340"/>
      </w:pPr>
      <w:r>
        <w:rPr>
          <w:rFonts w:ascii="Calibri" w:hAnsi="Calibri" w:eastAsia="微软雅黑"/>
          <w:b w:val="0"/>
          <w:i w:val="0"/>
          <w:sz w:val="20"/>
        </w:rPr>
        <w:t>2.2 规则接力：三个行业、两级政府的立规时间线（2011—2019）</w:t>
      </w:r>
    </w:p>
    <w:p>
      <w:pPr>
        <w:tabs>
          <w:tab w:pos="8504" w:val="right" w:leader="dot"/>
        </w:tabs>
        <w:ind w:left="340"/>
      </w:pPr>
      <w:r>
        <w:rPr>
          <w:rFonts w:ascii="Calibri" w:hAnsi="Calibri" w:eastAsia="微软雅黑"/>
          <w:b w:val="0"/>
          <w:i w:val="0"/>
          <w:sz w:val="20"/>
        </w:rPr>
        <w:t>2.3 硬门槛：谁有资格一体化、什么时候招、谁必须回避</w:t>
      </w:r>
    </w:p>
    <w:p>
      <w:pPr>
        <w:tabs>
          <w:tab w:pos="8504" w:val="right" w:leader="dot"/>
        </w:tabs>
        <w:ind w:left="340"/>
      </w:pPr>
      <w:r>
        <w:rPr>
          <w:rFonts w:ascii="Calibri" w:hAnsi="Calibri" w:eastAsia="微软雅黑"/>
          <w:b w:val="0"/>
          <w:i w:val="0"/>
          <w:sz w:val="20"/>
        </w:rPr>
        <w:t>2.4 规则反转：设计变更、基础资料与价格清单</w:t>
      </w:r>
    </w:p>
    <w:p>
      <w:pPr>
        <w:tabs>
          <w:tab w:pos="8504" w:val="right" w:leader="dot"/>
        </w:tabs>
        <w:ind w:left="340"/>
      </w:pPr>
      <w:r>
        <w:rPr>
          <w:rFonts w:ascii="Calibri" w:hAnsi="Calibri" w:eastAsia="微软雅黑"/>
          <w:b w:val="0"/>
          <w:i w:val="0"/>
          <w:sz w:val="20"/>
        </w:rPr>
        <w:t>2.5 从纸面到工地：判例账本、数字化配套与企业动作</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第3章 利润流失底账：设计施工脱节的成本量化</w:t>
      </w:r>
    </w:p>
    <w:p>
      <w:pPr>
        <w:tabs>
          <w:tab w:pos="8504" w:val="right" w:leader="dot"/>
        </w:tabs>
        <w:ind w:left="340"/>
      </w:pPr>
      <w:r>
        <w:rPr>
          <w:rFonts w:ascii="Calibri" w:hAnsi="Calibri" w:eastAsia="微软雅黑"/>
          <w:b w:val="0"/>
          <w:i w:val="0"/>
          <w:sz w:val="20"/>
        </w:rPr>
        <w:t>3.1 先立坐标：四个参照数框住损失量级</w:t>
      </w:r>
    </w:p>
    <w:p>
      <w:pPr>
        <w:tabs>
          <w:tab w:pos="8504" w:val="right" w:leader="dot"/>
        </w:tabs>
        <w:ind w:left="340"/>
      </w:pPr>
      <w:r>
        <w:rPr>
          <w:rFonts w:ascii="Calibri" w:hAnsi="Calibri" w:eastAsia="微软雅黑"/>
          <w:b w:val="0"/>
          <w:i w:val="0"/>
          <w:sz w:val="20"/>
        </w:rPr>
        <w:t>3.2 六个流失通道的逐笔底账</w:t>
      </w:r>
    </w:p>
    <w:p>
      <w:pPr>
        <w:tabs>
          <w:tab w:pos="8504" w:val="right" w:leader="dot"/>
        </w:tabs>
        <w:ind w:left="340"/>
      </w:pPr>
      <w:r>
        <w:rPr>
          <w:rFonts w:ascii="Calibri" w:hAnsi="Calibri" w:eastAsia="微软雅黑"/>
          <w:b w:val="0"/>
          <w:i w:val="0"/>
          <w:sz w:val="20"/>
        </w:rPr>
        <w:t>3.3 跨案例对照表：同一流失点的不同价格标签</w:t>
      </w:r>
    </w:p>
    <w:p>
      <w:pPr>
        <w:tabs>
          <w:tab w:pos="8504" w:val="right" w:leader="dot"/>
        </w:tabs>
        <w:ind w:left="340"/>
      </w:pPr>
      <w:r>
        <w:rPr>
          <w:rFonts w:ascii="Calibri" w:hAnsi="Calibri" w:eastAsia="微软雅黑"/>
          <w:b w:val="0"/>
          <w:i w:val="0"/>
          <w:sz w:val="20"/>
        </w:rPr>
        <w:t>3.4 三把换算尺：把底账搬到自己项目上</w:t>
      </w:r>
    </w:p>
    <w:p>
      <w:pPr>
        <w:tabs>
          <w:tab w:pos="8504" w:val="right" w:leader="dot"/>
        </w:tabs>
        <w:ind w:left="340"/>
      </w:pPr>
      <w:r>
        <w:rPr>
          <w:rFonts w:ascii="Calibri" w:hAnsi="Calibri" w:eastAsia="微软雅黑"/>
          <w:b w:val="0"/>
          <w:i w:val="0"/>
          <w:sz w:val="20"/>
        </w:rPr>
        <w:t>3.5 本章小结与盲区</w:t>
      </w:r>
    </w:p>
    <w:p>
      <w:pPr>
        <w:tabs>
          <w:tab w:pos="8504" w:val="right" w:leader="dot"/>
        </w:tabs>
        <w:ind w:left="0"/>
      </w:pPr>
      <w:r>
        <w:rPr>
          <w:rFonts w:ascii="Calibri" w:hAnsi="Calibri" w:eastAsia="微软雅黑"/>
          <w:b/>
          <w:i w:val="0"/>
          <w:sz w:val="22"/>
        </w:rPr>
        <w:t>第4章 变更管理全流程：从申请到签证的闭环</w:t>
      </w:r>
    </w:p>
    <w:p>
      <w:pPr>
        <w:tabs>
          <w:tab w:pos="8504" w:val="right" w:leader="dot"/>
        </w:tabs>
        <w:ind w:left="340"/>
      </w:pPr>
      <w:r>
        <w:rPr>
          <w:rFonts w:ascii="Calibri" w:hAnsi="Calibri" w:eastAsia="微软雅黑"/>
          <w:b w:val="0"/>
          <w:i w:val="0"/>
          <w:sz w:val="20"/>
        </w:rPr>
        <w:t>4.1 申请环节：变更的识别、分类与发起纪律</w:t>
      </w:r>
    </w:p>
    <w:p>
      <w:pPr>
        <w:tabs>
          <w:tab w:pos="8504" w:val="right" w:leader="dot"/>
        </w:tabs>
        <w:ind w:left="340"/>
      </w:pPr>
      <w:r>
        <w:rPr>
          <w:rFonts w:ascii="Calibri" w:hAnsi="Calibri" w:eastAsia="微软雅黑"/>
          <w:b w:val="0"/>
          <w:i w:val="0"/>
          <w:sz w:val="20"/>
        </w:rPr>
        <w:t>4.2 审批与估价：把变更关进合同与预算的笼子</w:t>
      </w:r>
    </w:p>
    <w:p>
      <w:pPr>
        <w:tabs>
          <w:tab w:pos="8504" w:val="right" w:leader="dot"/>
        </w:tabs>
        <w:ind w:left="340"/>
      </w:pPr>
      <w:r>
        <w:rPr>
          <w:rFonts w:ascii="Calibri" w:hAnsi="Calibri" w:eastAsia="微软雅黑"/>
          <w:b w:val="0"/>
          <w:i w:val="0"/>
          <w:sz w:val="20"/>
        </w:rPr>
        <w:t>4.3 签证环节：证据链上的每一张纸都是钱</w:t>
      </w:r>
    </w:p>
    <w:p>
      <w:pPr>
        <w:tabs>
          <w:tab w:pos="8504" w:val="right" w:leader="dot"/>
        </w:tabs>
        <w:ind w:left="340"/>
      </w:pPr>
      <w:r>
        <w:rPr>
          <w:rFonts w:ascii="Calibri" w:hAnsi="Calibri" w:eastAsia="微软雅黑"/>
          <w:b w:val="0"/>
          <w:i w:val="0"/>
          <w:sz w:val="20"/>
        </w:rPr>
        <w:t>4.4 结算与争议：变更权益的最后一公里</w:t>
      </w:r>
    </w:p>
    <w:p>
      <w:pPr>
        <w:tabs>
          <w:tab w:pos="8504" w:val="right" w:leader="dot"/>
        </w:tabs>
        <w:ind w:left="340"/>
      </w:pPr>
      <w:r>
        <w:rPr>
          <w:rFonts w:ascii="Calibri" w:hAnsi="Calibri" w:eastAsia="微软雅黑"/>
          <w:b w:val="0"/>
          <w:i w:val="0"/>
          <w:sz w:val="20"/>
        </w:rPr>
        <w:t>4.5 闭环：从单点防守到流程治理</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第5章 限额设计：设计端的成本控制武器</w:t>
      </w:r>
    </w:p>
    <w:p>
      <w:pPr>
        <w:tabs>
          <w:tab w:pos="8504" w:val="right" w:leader="dot"/>
        </w:tabs>
        <w:ind w:left="340"/>
      </w:pPr>
      <w:r>
        <w:rPr>
          <w:rFonts w:ascii="Calibri" w:hAnsi="Calibri" w:eastAsia="微软雅黑"/>
          <w:b w:val="0"/>
          <w:i w:val="0"/>
          <w:sz w:val="20"/>
        </w:rPr>
        <w:t>5.1 成本锁定的时点：超概的根由在出图之前</w:t>
      </w:r>
    </w:p>
    <w:p>
      <w:pPr>
        <w:tabs>
          <w:tab w:pos="8504" w:val="right" w:leader="dot"/>
        </w:tabs>
        <w:ind w:left="340"/>
      </w:pPr>
      <w:r>
        <w:rPr>
          <w:rFonts w:ascii="Calibri" w:hAnsi="Calibri" w:eastAsia="微软雅黑"/>
          <w:b w:val="0"/>
          <w:i w:val="0"/>
          <w:sz w:val="20"/>
        </w:rPr>
        <w:t>5.2 概念的法律化缺口：五个词、两套规则、一条分水岭</w:t>
      </w:r>
    </w:p>
    <w:p>
      <w:pPr>
        <w:tabs>
          <w:tab w:pos="8504" w:val="right" w:leader="dot"/>
        </w:tabs>
        <w:ind w:left="340"/>
      </w:pPr>
      <w:r>
        <w:rPr>
          <w:rFonts w:ascii="Calibri" w:hAnsi="Calibri" w:eastAsia="微软雅黑"/>
          <w:b w:val="0"/>
          <w:i w:val="0"/>
          <w:sz w:val="20"/>
        </w:rPr>
        <w:t>5.3 限额设计的骨架：两大阶段与两类指标</w:t>
      </w:r>
    </w:p>
    <w:p>
      <w:pPr>
        <w:tabs>
          <w:tab w:pos="8504" w:val="right" w:leader="dot"/>
        </w:tabs>
        <w:ind w:left="340"/>
      </w:pPr>
      <w:r>
        <w:rPr>
          <w:rFonts w:ascii="Calibri" w:hAnsi="Calibri" w:eastAsia="微软雅黑"/>
          <w:b w:val="0"/>
          <w:i w:val="0"/>
          <w:sz w:val="20"/>
        </w:rPr>
        <w:t>5.4 从纸面到地面：四步落地与组织保障</w:t>
      </w:r>
    </w:p>
    <w:p>
      <w:pPr>
        <w:tabs>
          <w:tab w:pos="8504" w:val="right" w:leader="dot"/>
        </w:tabs>
        <w:ind w:left="340"/>
      </w:pPr>
      <w:r>
        <w:rPr>
          <w:rFonts w:ascii="Calibri" w:hAnsi="Calibri" w:eastAsia="微软雅黑"/>
          <w:b w:val="0"/>
          <w:i w:val="0"/>
          <w:sz w:val="20"/>
        </w:rPr>
        <w:t>5.5 收益归属与变异：优化分红、图纸陷阱与结算核减</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第6章 设计牵头EPC：设计院做总包的优势与陷阱</w:t>
      </w:r>
    </w:p>
    <w:p>
      <w:pPr>
        <w:tabs>
          <w:tab w:pos="8504" w:val="right" w:leader="dot"/>
        </w:tabs>
        <w:ind w:left="340"/>
      </w:pPr>
      <w:r>
        <w:rPr>
          <w:rFonts w:ascii="Calibri" w:hAnsi="Calibri" w:eastAsia="微软雅黑"/>
          <w:b w:val="0"/>
          <w:i w:val="0"/>
          <w:sz w:val="20"/>
        </w:rPr>
        <w:t>6.1 优势的底座：设计主导权与成本锁定证据链</w:t>
      </w:r>
    </w:p>
    <w:p>
      <w:pPr>
        <w:tabs>
          <w:tab w:pos="8504" w:val="right" w:leader="dot"/>
        </w:tabs>
        <w:ind w:left="340"/>
      </w:pPr>
      <w:r>
        <w:rPr>
          <w:rFonts w:ascii="Calibri" w:hAnsi="Calibri" w:eastAsia="微软雅黑"/>
          <w:b w:val="0"/>
          <w:i w:val="0"/>
          <w:sz w:val="20"/>
        </w:rPr>
        <w:t>6.2 陷阱一：现场管理缺位与分包失控的司法账单</w:t>
      </w:r>
    </w:p>
    <w:p>
      <w:pPr>
        <w:tabs>
          <w:tab w:pos="8504" w:val="right" w:leader="dot"/>
        </w:tabs>
        <w:ind w:left="340"/>
      </w:pPr>
      <w:r>
        <w:rPr>
          <w:rFonts w:ascii="Calibri" w:hAnsi="Calibri" w:eastAsia="微软雅黑"/>
          <w:b w:val="0"/>
          <w:i w:val="0"/>
          <w:sz w:val="20"/>
        </w:rPr>
        <w:t>6.3 陷阱二：设计变更与深化设计的「认真亏损」</w:t>
      </w:r>
    </w:p>
    <w:p>
      <w:pPr>
        <w:tabs>
          <w:tab w:pos="8504" w:val="right" w:leader="dot"/>
        </w:tabs>
        <w:ind w:left="340"/>
      </w:pPr>
      <w:r>
        <w:rPr>
          <w:rFonts w:ascii="Calibri" w:hAnsi="Calibri" w:eastAsia="微软雅黑"/>
          <w:b w:val="0"/>
          <w:i w:val="0"/>
          <w:sz w:val="20"/>
        </w:rPr>
        <w:t>6.4 陷阱三：计价条款与合同链条——签约那一刻写下的结算结局</w:t>
      </w:r>
    </w:p>
    <w:p>
      <w:pPr>
        <w:tabs>
          <w:tab w:pos="8504" w:val="right" w:leader="dot"/>
        </w:tabs>
        <w:ind w:left="340"/>
      </w:pPr>
      <w:r>
        <w:rPr>
          <w:rFonts w:ascii="Calibri" w:hAnsi="Calibri" w:eastAsia="微软雅黑"/>
          <w:b w:val="0"/>
          <w:i w:val="0"/>
          <w:sz w:val="20"/>
        </w:rPr>
        <w:t>6.5 行动清单：八个止损点与验证条件</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第7章 判例图谱：变更纠纷的败诉原因与高频风险</w:t>
      </w:r>
    </w:p>
    <w:p>
      <w:pPr>
        <w:tabs>
          <w:tab w:pos="8504" w:val="right" w:leader="dot"/>
        </w:tabs>
        <w:ind w:left="340"/>
      </w:pPr>
      <w:r>
        <w:rPr>
          <w:rFonts w:ascii="Calibri" w:hAnsi="Calibri" w:eastAsia="微软雅黑"/>
          <w:b w:val="0"/>
          <w:i w:val="0"/>
          <w:sz w:val="20"/>
        </w:rPr>
        <w:t>7.1 判例全景：三十余案收敛出的五类败诉原因</w:t>
      </w:r>
    </w:p>
    <w:p>
      <w:pPr>
        <w:tabs>
          <w:tab w:pos="8504" w:val="right" w:leader="dot"/>
        </w:tabs>
        <w:ind w:left="340"/>
      </w:pPr>
      <w:r>
        <w:rPr>
          <w:rFonts w:ascii="Calibri" w:hAnsi="Calibri" w:eastAsia="微软雅黑"/>
          <w:b w:val="0"/>
          <w:i w:val="0"/>
          <w:sz w:val="20"/>
        </w:rPr>
        <w:t>7.2 程序失权：函件与台账缺位时，事实也会输给程序</w:t>
      </w:r>
    </w:p>
    <w:p>
      <w:pPr>
        <w:tabs>
          <w:tab w:pos="8504" w:val="right" w:leader="dot"/>
        </w:tabs>
        <w:ind w:left="340"/>
      </w:pPr>
      <w:r>
        <w:rPr>
          <w:rFonts w:ascii="Calibri" w:hAnsi="Calibri" w:eastAsia="微软雅黑"/>
          <w:b w:val="0"/>
          <w:i w:val="0"/>
          <w:sz w:val="20"/>
        </w:rPr>
        <w:t>7.3 计价依据之争：固定总价、以审计为准与超限超概的三重夹击</w:t>
      </w:r>
    </w:p>
    <w:p>
      <w:pPr>
        <w:tabs>
          <w:tab w:pos="8504" w:val="right" w:leader="dot"/>
        </w:tabs>
        <w:ind w:left="340"/>
      </w:pPr>
      <w:r>
        <w:rPr>
          <w:rFonts w:ascii="Calibri" w:hAnsi="Calibri" w:eastAsia="微软雅黑"/>
          <w:b w:val="0"/>
          <w:i w:val="0"/>
          <w:sz w:val="20"/>
        </w:rPr>
        <w:t>7.4 源头瑕疵：招投标阶段的每一次让步都在结算阶段收账</w:t>
      </w:r>
    </w:p>
    <w:p>
      <w:pPr>
        <w:tabs>
          <w:tab w:pos="8504" w:val="right" w:leader="dot"/>
        </w:tabs>
        <w:ind w:left="340"/>
      </w:pPr>
      <w:r>
        <w:rPr>
          <w:rFonts w:ascii="Calibri" w:hAnsi="Calibri" w:eastAsia="微软雅黑"/>
          <w:b w:val="0"/>
          <w:i w:val="0"/>
          <w:sz w:val="20"/>
        </w:rPr>
        <w:t>7.5 高频风险图谱与防败诉清单：把判例教训编译成管理动作</w:t>
      </w:r>
    </w:p>
    <w:p>
      <w:pPr>
        <w:tabs>
          <w:tab w:pos="8504" w:val="right" w:leader="dot"/>
        </w:tabs>
        <w:ind w:left="340"/>
      </w:pPr>
      <w:r>
        <w:rPr>
          <w:rFonts w:ascii="Calibri" w:hAnsi="Calibri" w:eastAsia="微软雅黑"/>
          <w:b w:val="0"/>
          <w:i w:val="0"/>
          <w:sz w:val="20"/>
        </w:rPr>
        <w:t>7.6 本章小结与盲区</w:t>
      </w:r>
    </w:p>
    <w:p>
      <w:pPr>
        <w:tabs>
          <w:tab w:pos="8504" w:val="right" w:leader="dot"/>
        </w:tabs>
        <w:ind w:left="0"/>
      </w:pPr>
      <w:r>
        <w:rPr>
          <w:rFonts w:ascii="Calibri" w:hAnsi="Calibri" w:eastAsia="微软雅黑"/>
          <w:b/>
          <w:i w:val="0"/>
          <w:sz w:val="22"/>
        </w:rPr>
        <w:t>第8章 联合体场景：设计施工协同的责任边界</w:t>
      </w:r>
    </w:p>
    <w:p>
      <w:pPr>
        <w:tabs>
          <w:tab w:pos="8504" w:val="right" w:leader="dot"/>
        </w:tabs>
        <w:ind w:left="340"/>
      </w:pPr>
      <w:r>
        <w:rPr>
          <w:rFonts w:ascii="Calibri" w:hAnsi="Calibri" w:eastAsia="微软雅黑"/>
          <w:b w:val="0"/>
          <w:i w:val="0"/>
          <w:sz w:val="20"/>
        </w:rPr>
        <w:t>8.1 形态识别：站上总包位置的四型样本与三张责任网</w:t>
      </w:r>
    </w:p>
    <w:p>
      <w:pPr>
        <w:tabs>
          <w:tab w:pos="8504" w:val="right" w:leader="dot"/>
        </w:tabs>
        <w:ind w:left="340"/>
      </w:pPr>
      <w:r>
        <w:rPr>
          <w:rFonts w:ascii="Calibri" w:hAnsi="Calibri" w:eastAsia="微软雅黑"/>
          <w:b w:val="0"/>
          <w:i w:val="0"/>
          <w:sz w:val="20"/>
        </w:rPr>
        <w:t>8.2 设计牵头的责任放大效应：从图签者到兜底者</w:t>
      </w:r>
    </w:p>
    <w:p>
      <w:pPr>
        <w:tabs>
          <w:tab w:pos="8504" w:val="right" w:leader="dot"/>
        </w:tabs>
        <w:ind w:left="340"/>
      </w:pPr>
      <w:r>
        <w:rPr>
          <w:rFonts w:ascii="Calibri" w:hAnsi="Calibri" w:eastAsia="微软雅黑"/>
          <w:b w:val="0"/>
          <w:i w:val="0"/>
          <w:sz w:val="20"/>
        </w:rPr>
        <w:t>8.3 图纸供给节奏与变更签证：协同断裂的三道高危接缝</w:t>
      </w:r>
    </w:p>
    <w:p>
      <w:pPr>
        <w:tabs>
          <w:tab w:pos="8504" w:val="right" w:leader="dot"/>
        </w:tabs>
        <w:ind w:left="340"/>
      </w:pPr>
      <w:r>
        <w:rPr>
          <w:rFonts w:ascii="Calibri" w:hAnsi="Calibri" w:eastAsia="微软雅黑"/>
          <w:b w:val="0"/>
          <w:i w:val="0"/>
          <w:sz w:val="20"/>
        </w:rPr>
        <w:t>8.4 链条式追责：穿透、反穿透与合同定性之争</w:t>
      </w:r>
    </w:p>
    <w:p>
      <w:pPr>
        <w:tabs>
          <w:tab w:pos="8504" w:val="right" w:leader="dot"/>
        </w:tabs>
        <w:ind w:left="340"/>
      </w:pPr>
      <w:r>
        <w:rPr>
          <w:rFonts w:ascii="Calibri" w:hAnsi="Calibri" w:eastAsia="微软雅黑"/>
          <w:b w:val="0"/>
          <w:i w:val="0"/>
          <w:sz w:val="20"/>
        </w:rPr>
        <w:t>8.5 把边界写进合同：界面管理的六件可迁移工具</w:t>
      </w:r>
    </w:p>
    <w:p>
      <w:pPr>
        <w:tabs>
          <w:tab w:pos="8504" w:val="right" w:leader="dot"/>
        </w:tabs>
        <w:ind w:left="340"/>
      </w:pPr>
      <w:r>
        <w:rPr>
          <w:rFonts w:ascii="Calibri" w:hAnsi="Calibri" w:eastAsia="微软雅黑"/>
          <w:b w:val="0"/>
          <w:i w:val="0"/>
          <w:sz w:val="20"/>
        </w:rPr>
        <w:t>8.6 本章小结与盲区</w:t>
      </w:r>
    </w:p>
    <w:p>
      <w:pPr>
        <w:tabs>
          <w:tab w:pos="8504" w:val="right" w:leader="dot"/>
        </w:tabs>
        <w:ind w:left="0"/>
      </w:pPr>
      <w:r>
        <w:rPr>
          <w:rFonts w:ascii="Calibri" w:hAnsi="Calibri" w:eastAsia="微软雅黑"/>
          <w:b/>
          <w:i w:val="0"/>
          <w:sz w:val="22"/>
        </w:rPr>
        <w:t>第9章 数字化赋能：BIM与协同平台的一体化实践</w:t>
      </w:r>
    </w:p>
    <w:p>
      <w:pPr>
        <w:tabs>
          <w:tab w:pos="8504" w:val="right" w:leader="dot"/>
        </w:tabs>
        <w:ind w:left="340"/>
      </w:pPr>
      <w:r>
        <w:rPr>
          <w:rFonts w:ascii="Calibri" w:hAnsi="Calibri" w:eastAsia="微软雅黑"/>
          <w:b w:val="0"/>
          <w:i w:val="0"/>
          <w:sz w:val="20"/>
        </w:rPr>
        <w:t>9.1 政策拐点：BIM从投标加分项变成合同必交项</w:t>
      </w:r>
    </w:p>
    <w:p>
      <w:pPr>
        <w:tabs>
          <w:tab w:pos="8504" w:val="right" w:leader="dot"/>
        </w:tabs>
        <w:ind w:left="340"/>
      </w:pPr>
      <w:r>
        <w:rPr>
          <w:rFonts w:ascii="Calibri" w:hAnsi="Calibri" w:eastAsia="微软雅黑"/>
          <w:b w:val="0"/>
          <w:i w:val="0"/>
          <w:sz w:val="20"/>
        </w:rPr>
        <w:t>9.2 收益账本：四个标杆把一体化折算成钱</w:t>
      </w:r>
    </w:p>
    <w:p>
      <w:pPr>
        <w:tabs>
          <w:tab w:pos="8504" w:val="right" w:leader="dot"/>
        </w:tabs>
        <w:ind w:left="340"/>
      </w:pPr>
      <w:r>
        <w:rPr>
          <w:rFonts w:ascii="Calibri" w:hAnsi="Calibri" w:eastAsia="微软雅黑"/>
          <w:b w:val="0"/>
          <w:i w:val="0"/>
          <w:sz w:val="20"/>
        </w:rPr>
        <w:t>9.3 判据升级：从"有没有模型"到"单一数据源"</w:t>
      </w:r>
    </w:p>
    <w:p>
      <w:pPr>
        <w:tabs>
          <w:tab w:pos="8504" w:val="right" w:leader="dot"/>
        </w:tabs>
        <w:ind w:left="340"/>
      </w:pPr>
      <w:r>
        <w:rPr>
          <w:rFonts w:ascii="Calibri" w:hAnsi="Calibri" w:eastAsia="微软雅黑"/>
          <w:b w:val="0"/>
          <w:i w:val="0"/>
          <w:sz w:val="20"/>
        </w:rPr>
        <w:t>9.4 变更数字化陷阱：模型同步了，钱未必同步</w:t>
      </w:r>
    </w:p>
    <w:p>
      <w:pPr>
        <w:tabs>
          <w:tab w:pos="8504" w:val="right" w:leader="dot"/>
        </w:tabs>
        <w:ind w:left="340"/>
      </w:pPr>
      <w:r>
        <w:rPr>
          <w:rFonts w:ascii="Calibri" w:hAnsi="Calibri" w:eastAsia="微软雅黑"/>
          <w:b w:val="0"/>
          <w:i w:val="0"/>
          <w:sz w:val="20"/>
        </w:rPr>
        <w:t>9.5 落地路线图：把"买软件"换成"改流程"</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第10章 组织与人才：一体化所需的复合型团队</w:t>
      </w:r>
    </w:p>
    <w:p>
      <w:pPr>
        <w:tabs>
          <w:tab w:pos="8504" w:val="right" w:leader="dot"/>
        </w:tabs>
        <w:ind w:left="340"/>
      </w:pPr>
      <w:r>
        <w:rPr>
          <w:rFonts w:ascii="Calibri" w:hAnsi="Calibri" w:eastAsia="微软雅黑"/>
          <w:b w:val="0"/>
          <w:i w:val="0"/>
          <w:sz w:val="20"/>
        </w:rPr>
        <w:t>10.1 病灶诊断：判决书里的五种组织断裂形态</w:t>
      </w:r>
    </w:p>
    <w:p>
      <w:pPr>
        <w:tabs>
          <w:tab w:pos="8504" w:val="right" w:leader="dot"/>
        </w:tabs>
        <w:ind w:left="340"/>
      </w:pPr>
      <w:r>
        <w:rPr>
          <w:rFonts w:ascii="Calibri" w:hAnsi="Calibri" w:eastAsia="微软雅黑"/>
          <w:b w:val="0"/>
          <w:i w:val="0"/>
          <w:sz w:val="20"/>
        </w:rPr>
        <w:t>10.2 能力画像：一体化交付的六类复合角色</w:t>
      </w:r>
    </w:p>
    <w:p>
      <w:pPr>
        <w:tabs>
          <w:tab w:pos="8504" w:val="right" w:leader="dot"/>
        </w:tabs>
        <w:ind w:left="340"/>
      </w:pPr>
      <w:r>
        <w:rPr>
          <w:rFonts w:ascii="Calibri" w:hAnsi="Calibri" w:eastAsia="微软雅黑"/>
          <w:b w:val="0"/>
          <w:i w:val="0"/>
          <w:sz w:val="20"/>
        </w:rPr>
        <w:t>10.3 组织形态选型：联合体、法人一体化与内部赋能机制</w:t>
      </w:r>
    </w:p>
    <w:p>
      <w:pPr>
        <w:tabs>
          <w:tab w:pos="8504" w:val="right" w:leader="dot"/>
        </w:tabs>
        <w:ind w:left="340"/>
      </w:pPr>
      <w:r>
        <w:rPr>
          <w:rFonts w:ascii="Calibri" w:hAnsi="Calibri" w:eastAsia="微软雅黑"/>
          <w:b w:val="0"/>
          <w:i w:val="0"/>
          <w:sz w:val="20"/>
        </w:rPr>
        <w:t>10.4 日常纪律：到岗、签证、结算、反索赔的四道闸门</w:t>
      </w:r>
    </w:p>
    <w:p>
      <w:pPr>
        <w:tabs>
          <w:tab w:pos="8504" w:val="right" w:leader="dot"/>
        </w:tabs>
        <w:ind w:left="340"/>
      </w:pPr>
      <w:r>
        <w:rPr>
          <w:rFonts w:ascii="Calibri" w:hAnsi="Calibri" w:eastAsia="微软雅黑"/>
          <w:b w:val="0"/>
          <w:i w:val="0"/>
          <w:sz w:val="20"/>
        </w:rPr>
        <w:t>10.5 梯队与考核：把一体化能力长在组织里</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第11章 国际对标：FIDIC下的设计施工一体化</w:t>
      </w:r>
    </w:p>
    <w:p>
      <w:pPr>
        <w:tabs>
          <w:tab w:pos="8504" w:val="right" w:leader="dot"/>
        </w:tabs>
        <w:ind w:left="340"/>
      </w:pPr>
      <w:r>
        <w:rPr>
          <w:rFonts w:ascii="Calibri" w:hAnsi="Calibri" w:eastAsia="微软雅黑"/>
          <w:b w:val="0"/>
          <w:i w:val="0"/>
          <w:sz w:val="20"/>
        </w:rPr>
        <w:t>11.1 同名不同种：示范文本与银皮书的风险分配分野</w:t>
      </w:r>
    </w:p>
    <w:p>
      <w:pPr>
        <w:tabs>
          <w:tab w:pos="8504" w:val="right" w:leader="dot"/>
        </w:tabs>
        <w:ind w:left="340"/>
      </w:pPr>
      <w:r>
        <w:rPr>
          <w:rFonts w:ascii="Calibri" w:hAnsi="Calibri" w:eastAsia="微软雅黑"/>
          <w:b w:val="0"/>
          <w:i w:val="0"/>
          <w:sz w:val="20"/>
        </w:rPr>
        <w:t>11.2 银皮书的设计责任兜底：业主要求核实义务与四种例外</w:t>
      </w:r>
    </w:p>
    <w:p>
      <w:pPr>
        <w:tabs>
          <w:tab w:pos="8504" w:val="right" w:leader="dot"/>
        </w:tabs>
        <w:ind w:left="340"/>
      </w:pPr>
      <w:r>
        <w:rPr>
          <w:rFonts w:ascii="Calibri" w:hAnsi="Calibri" w:eastAsia="微软雅黑"/>
          <w:b w:val="0"/>
          <w:i w:val="0"/>
          <w:sz w:val="20"/>
        </w:rPr>
        <w:t>11.3 变更与界面的合同纪律：No VO No Work、28天/84天与接口证书</w:t>
      </w:r>
    </w:p>
    <w:p>
      <w:pPr>
        <w:tabs>
          <w:tab w:pos="8504" w:val="right" w:leader="dot"/>
        </w:tabs>
        <w:ind w:left="340"/>
      </w:pPr>
      <w:r>
        <w:rPr>
          <w:rFonts w:ascii="Calibri" w:hAnsi="Calibri" w:eastAsia="微软雅黑"/>
          <w:b w:val="0"/>
          <w:i w:val="0"/>
          <w:sz w:val="20"/>
        </w:rPr>
        <w:t>11.4 对标案例库：三笔公开账本里的利润教训</w:t>
      </w:r>
    </w:p>
    <w:p>
      <w:pPr>
        <w:tabs>
          <w:tab w:pos="8504" w:val="right" w:leader="dot"/>
        </w:tabs>
        <w:ind w:left="340"/>
      </w:pPr>
      <w:r>
        <w:rPr>
          <w:rFonts w:ascii="Calibri" w:hAnsi="Calibri" w:eastAsia="微软雅黑"/>
          <w:b w:val="0"/>
          <w:i w:val="0"/>
          <w:sz w:val="20"/>
        </w:rPr>
        <w:t>11.5 移植路径：从对标到落地的管理基建</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第12章 2026-2029 预判：一体化的十二个确定性趋势</w:t>
      </w:r>
    </w:p>
    <w:p>
      <w:pPr>
        <w:tabs>
          <w:tab w:pos="8504" w:val="right" w:leader="dot"/>
        </w:tabs>
        <w:ind w:left="340"/>
      </w:pPr>
      <w:r>
        <w:rPr>
          <w:rFonts w:ascii="Calibri" w:hAnsi="Calibri" w:eastAsia="微软雅黑"/>
          <w:b w:val="0"/>
          <w:i w:val="0"/>
          <w:sz w:val="20"/>
        </w:rPr>
        <w:t>12.1 政策与市场结构：一体化从工程层上升为制度层（趋势一至趋势三）</w:t>
      </w:r>
    </w:p>
    <w:p>
      <w:pPr>
        <w:tabs>
          <w:tab w:pos="8504" w:val="right" w:leader="dot"/>
        </w:tabs>
        <w:ind w:left="340"/>
      </w:pPr>
      <w:r>
        <w:rPr>
          <w:rFonts w:ascii="Calibri" w:hAnsi="Calibri" w:eastAsia="微软雅黑"/>
          <w:b w:val="0"/>
          <w:i w:val="0"/>
          <w:sz w:val="20"/>
        </w:rPr>
        <w:t>12.2 数字底座：从翻模困境到一模到底（趋势四至趋势六）</w:t>
      </w:r>
    </w:p>
    <w:p>
      <w:pPr>
        <w:tabs>
          <w:tab w:pos="8504" w:val="right" w:leader="dot"/>
        </w:tabs>
        <w:ind w:left="340"/>
      </w:pPr>
      <w:r>
        <w:rPr>
          <w:rFonts w:ascii="Calibri" w:hAnsi="Calibri" w:eastAsia="微软雅黑"/>
          <w:b w:val="0"/>
          <w:i w:val="0"/>
          <w:sz w:val="20"/>
        </w:rPr>
        <w:t>12.3 组织与治理：一体化能力的企业内化（趋势七至趋势九）</w:t>
      </w:r>
    </w:p>
    <w:p>
      <w:pPr>
        <w:tabs>
          <w:tab w:pos="8504" w:val="right" w:leader="dot"/>
        </w:tabs>
        <w:ind w:left="340"/>
      </w:pPr>
      <w:r>
        <w:rPr>
          <w:rFonts w:ascii="Calibri" w:hAnsi="Calibri" w:eastAsia="微软雅黑"/>
          <w:b w:val="0"/>
          <w:i w:val="0"/>
          <w:sz w:val="20"/>
        </w:rPr>
        <w:t>12.4 司法与风控：一体化的责任重排（趋势十至趋势十二）</w:t>
      </w:r>
    </w:p>
    <w:p>
      <w:pPr>
        <w:tabs>
          <w:tab w:pos="8504" w:val="right" w:leader="dot"/>
        </w:tabs>
        <w:ind w:left="340"/>
      </w:pPr>
      <w:r>
        <w:rPr>
          <w:rFonts w:ascii="Calibri" w:hAnsi="Calibri" w:eastAsia="微软雅黑"/>
          <w:b w:val="0"/>
          <w:i w:val="0"/>
          <w:sz w:val="20"/>
        </w:rPr>
        <w:t>12.5 本章小结与盲区</w:t>
      </w:r>
    </w:p>
    <w:p>
      <w:r>
        <w:br w:type="page"/>
      </w:r>
    </w:p>
    <w:p>
      <w:pPr>
        <w:pStyle w:val="Heading1"/>
      </w:pPr>
      <w:r>
        <w:t>第1章 一体化全景：为什么「两张皮」在吃掉你的利润</w:t>
      </w:r>
    </w:p>
    <w:p>
      <w:pPr>
        <w:ind w:left="454"/>
      </w:pPr>
      <w:r>
        <w:rPr>
          <w:rFonts w:ascii="Calibri" w:hAnsi="Calibri" w:eastAsia="微软雅黑"/>
          <w:b w:val="0"/>
          <w:i w:val="0"/>
          <w:color w:val="666666"/>
          <w:sz w:val="22"/>
        </w:rPr>
        <w:t>设计与施工本是一条价值链上的两只手，在中国工程行业却被组织墙、信息墙、合同墙切成「两张皮」：图纸不认识工地，概算不认识采购，签证不认识结算。本章用行业机理与裁判文书双源证据交叉，把「两张皮」吃掉利润的路径摊开，为全书立起问题定义与修复路线。</w:t>
      </w:r>
    </w:p>
    <w:p>
      <w:r>
        <w:rPr>
          <w:rFonts w:ascii="Calibri" w:hAnsi="Calibri" w:eastAsia="微软雅黑"/>
          <w:b w:val="0"/>
          <w:i w:val="0"/>
          <w:sz w:val="22"/>
        </w:rPr>
        <w:t>adds: 读者读完本章多知道什么——一张「两张皮」利润损失的全景地图：三堵墙的病理解剖、六环损失链的传导机理、每条通道在真实判例里留下的金额证据，以及为什么一体化交付是一组可落地的机制而不是管理口号。</w:t>
      </w:r>
    </w:p>
    <w:p>
      <w:pPr>
        <w:pStyle w:val="Heading2"/>
      </w:pPr>
      <w:r>
        <w:t>1.1 诊断「两张皮」：三堵墙怎样把一条价值链切成两半</w:t>
      </w:r>
    </w:p>
    <w:p>
      <w:pPr>
        <w:pStyle w:val="Heading3"/>
      </w:pPr>
      <w:r>
        <w:t>1.1.1 病根不是态度，是结构</w:t>
      </w:r>
    </w:p>
    <w:p>
      <w:r>
        <w:rPr>
          <w:rFonts w:ascii="Calibri" w:hAnsi="Calibri" w:eastAsia="微软雅黑"/>
          <w:b w:val="0"/>
          <w:i w:val="0"/>
          <w:sz w:val="22"/>
        </w:rPr>
        <w:t>工程企业管理层谈到设计施工脱节，最常见的归因是「沟通不畅」「责任心不足」「配合意识差」。把行业复盘与裁判文书放在一起交叉阅读，结论会让人坐不住：[事实] 两张皮首先是结构产物，其次才是管理产物。结构不改，开会开不出一体化。</w:t>
      </w:r>
    </w:p>
    <w:p>
      <w:r>
        <w:rPr>
          <w:rFonts w:ascii="Calibri" w:hAnsi="Calibri" w:eastAsia="微软雅黑"/>
          <w:b w:val="0"/>
          <w:i w:val="0"/>
          <w:sz w:val="22"/>
        </w:rPr>
        <w:t>先听一句来自企业内部的自我诊断。某大型能源央企下属储气库公司负责人回顾：「以前我们的合规体系，就像挂在墙上的画，好看是好看，但跟业务跑的是两张皮。」（P1011）这句话说的是合规，病根却与设计施工两张皮完全同源——体系挂在墙上，业务跑在地上，两者互不嵌套。该企业当时的运行症状被概括为三条：风险识别难，海量法规与具体业务对不上号，员工不知道哪里有风险；责任落实难，合规是法务部的事，业务部门觉得是额外负担；审核流于形式，外部机构来审核往往只看文件齐不齐，看不出业务里的真问题（P1011）。把「合规」二字替换成「设计」「概算」「签证」，这份清单在大多数工程企业里几乎可以原样张贴。这就是两张皮的第一重含义：不是没有制度，而是制度与业务不在同一条轨道上运行。</w:t>
      </w:r>
    </w:p>
    <w:p>
      <w:r>
        <w:rPr>
          <w:rFonts w:ascii="Calibri" w:hAnsi="Calibri" w:eastAsia="微软雅黑"/>
          <w:b w:val="0"/>
          <w:i w:val="0"/>
          <w:sz w:val="22"/>
        </w:rPr>
        <w:t>把视线移到设计与施工的交界处，三堵墙依次立在那里。</w:t>
      </w:r>
    </w:p>
    <w:p>
      <w:r>
        <w:rPr>
          <w:rFonts w:ascii="Calibri" w:hAnsi="Calibri" w:eastAsia="微软雅黑"/>
          <w:b/>
          <w:i w:val="0"/>
          <w:sz w:val="22"/>
        </w:rPr>
        <w:t>第一堵是组织墙。</w:t>
      </w:r>
      <w:r>
        <w:rPr>
          <w:rFonts w:ascii="Calibri" w:hAnsi="Calibri" w:eastAsia="微软雅黑"/>
          <w:b w:val="0"/>
          <w:i w:val="0"/>
          <w:sz w:val="22"/>
        </w:rPr>
        <w:t>[事实] 在传统设计与施工割裂体制下，设计与施工主体物理分离，企业在早期转型中既缺乏统一的法人级交付能力，也缺乏一体化设计概算管控体系（P1001）。设计院对图纸负责，施工企业对工期负责，采购夹在中间对合同清单负责——三方各有各的考核表，唯独没有人对「从图纸到回款的整条链」负责。组织墙的直接后果是责任真空地带：图纸的可施工性没人审，设备的货期没人锁，变更的造价没人核，等到问题在工地现形，三方都拿得出「我按我的流程办了」的证据。[事实] 石化工程企业正是在这种体制下，长期面临设计与施工主体物理分离、一体化设计概算管控体系缺失的核心痛点（P1001）；这种割裂若不打通，企业在大型石油化工与工业 EPC 项目履约中将面临合同分拆争议频发、里程碑节点支付阻滞、履约解除及造价失控的商业与法律代价（P1001）。第 1.3 节的判例会逐条兑现这份预告。</w:t>
      </w:r>
    </w:p>
    <w:p>
      <w:r>
        <w:rPr>
          <w:rFonts w:ascii="Calibri" w:hAnsi="Calibri" w:eastAsia="微软雅黑"/>
          <w:b/>
          <w:i w:val="0"/>
          <w:sz w:val="22"/>
        </w:rPr>
        <w:t>第二堵是信息墙。</w:t>
      </w:r>
      <w:r>
        <w:rPr>
          <w:rFonts w:ascii="Calibri" w:hAnsi="Calibri" w:eastAsia="微软雅黑"/>
          <w:b w:val="0"/>
          <w:i w:val="0"/>
          <w:sz w:val="22"/>
        </w:rPr>
        <w:t>[事实] 2D 图纸天然看不到空间关系——图纸之间没有逻辑关联，跨专业的信息断层只能靠人肉记忆和交叉审图来弥补（P1009）。这不是哪个设计师不负责，是工具本身不支持信息同步：一个专业改了，其他专业只能靠「通知到位」和「自己检查」来跟上（P1009）。信息墙在复杂项目里塌方的规模可以量化：云南大学呈贡校区科研平台项目，69000㎡，三个国家级重点实验室，六七十个专业功能房间，工艺管线种类是普通建筑的三倍以上；这种复杂度的项目放在传统 2D 模式下，到施工阶段碰撞少说几十处，任何一处返工都是时间和成本的双重代价（P1009）。建筑调了天窗之后结构梁没跟着动、封边梁还按老尺寸画、洞口直接作废；暖通加了风管没人检查净高、验收时才发现走廊只有2.1米高（P1009）——每一个场景背后都是一次图纸变更没有传导到相邻专业。八九个专业，每张图单独看都挑不出毛病，合在一起问题就来了（P1009）。</w:t>
      </w:r>
    </w:p>
    <w:p>
      <w:r>
        <w:rPr>
          <w:rFonts w:ascii="Calibri" w:hAnsi="Calibri" w:eastAsia="微软雅黑"/>
          <w:b/>
          <w:i w:val="0"/>
          <w:sz w:val="22"/>
        </w:rPr>
        <w:t>第三堵是流程墙。</w:t>
      </w:r>
      <w:r>
        <w:rPr>
          <w:rFonts w:ascii="Calibri" w:hAnsi="Calibri" w:eastAsia="微软雅黑"/>
          <w:b w:val="0"/>
          <w:i w:val="0"/>
          <w:sz w:val="22"/>
        </w:rPr>
        <w:t>[事实] GB/T 50326-2017《建设工程项目管理规范》把设计管理明确划分为六个阶段：方案设计—初步设计—施工图设计—施工阶段—竣工验收与竣工图—后评价；而绝大多数总包方的问题，出在没把这条链当成一个闭环系统，而是切成六个互不说话的独立环节（P1008）。六个阶段各有交付物、各有责任人、各有时间表，唯独缺少一样东西：贯穿六段的同一条数据线与同一本账。初步设计不背施工约束，施工图不背概算约束，竣工结算不背过程数据——流程被切开后，每个环节都在自扫门前雪，整条链却在系统放血。</w:t>
      </w:r>
    </w:p>
    <w:p>
      <w:r>
        <w:rPr>
          <w:rFonts w:ascii="Calibri" w:hAnsi="Calibri" w:eastAsia="微软雅黑"/>
          <w:b w:val="0"/>
          <w:i w:val="0"/>
          <w:sz w:val="22"/>
        </w:rPr>
        <w:t>三堵墙不是并列关系，而是相互加固的结构。组织墙把责任切成两段，信息墙让两段之间只能靠文件往来传递失真的信号，流程墙再给失真的信号盖上「按程序办」的合法外衣。管理层如果只在其中一堵墙上开洞——比如只上协同软件、不动组织考核——另外两堵墙会迅速把洞补上：协同平台里的模型没人维护，因为考核表里没有模型质量这一项；图纸会审走过场，因为会审纪要不进结算卷宗。1.3 节的判例会反复出现这个模式：单一环节的努力被其余环节的惯性抵消，最终在结算桌上以金额形式清算。</w:t>
      </w:r>
    </w:p>
    <w:p>
      <w:r>
        <w:rPr>
          <w:rFonts w:ascii="Calibri" w:hAnsi="Calibri" w:eastAsia="微软雅黑"/>
          <w:b w:val="0"/>
          <w:i w:val="0"/>
          <w:sz w:val="22"/>
        </w:rPr>
        <w:t>给管理层一张三分钟自查表，检验本企业的两张皮到了哪一级：第一问，初步设计批复前，采购部门是否已拿到长周期设备清单并给出书面货期承诺——若答否，组织墙已拦住设计采购界面（对照 P1008 第一坑）。第二问，最近一个项目的变更签证，能否在一周内调齐「损失金额、停工时长、停工原因」三要素文件——若答否，流程墙已拦住履约结算界面（对照 P1003 败因）。第三问，设计院（或设计部门）的绩效考核里，有没有一项指标与项目结算净利率挂钩——若答无，信息墙与组织墙同时成立（对照 P1001 的法人级交付能力缺口）。三问皆为「否」的企业，本章后续的每一个金额都与您有关。</w:t>
      </w:r>
    </w:p>
    <w:p>
      <w:pPr>
        <w:pStyle w:val="Heading3"/>
      </w:pPr>
      <w:r>
        <w:t>1.1.2 成本格局的不对称：85%与15%</w:t>
      </w:r>
    </w:p>
    <w:p>
      <w:r>
        <w:rPr>
          <w:rFonts w:ascii="Calibri" w:hAnsi="Calibri" w:eastAsia="微软雅黑"/>
          <w:b w:val="0"/>
          <w:i w:val="0"/>
          <w:sz w:val="22"/>
        </w:rPr>
        <w:t>三堵墙为什么值得管理层彻夜难眠？因为成本结构上存在一个残酷的不对称。[事实] 设计阶段决定了约85%的项目全生命周期成本，而施工阶段能影响的不到15%（P1008）。</w:t>
      </w:r>
    </w:p>
    <w:p>
      <w:r>
        <w:rPr>
          <w:rFonts w:ascii="Calibri" w:hAnsi="Calibri" w:eastAsia="微软雅黑"/>
          <w:b w:val="0"/>
          <w:i w:val="0"/>
          <w:sz w:val="22"/>
        </w:rPr>
        <w:t>这句话的管理学含义值得逐层展开。第一层：等项目经理拿到图纸进场，项目是赚是亏的大框架已经写定了大半，后面所有现场努力，多数是在15%的空间里腾挪。第二层：两张皮的杀伤力因此高度前置——设计院在信息墙与流程墙内画下的每一笔，都是施工阶段无法撤销的成本指令；图纸上的一个含糊标注，到了采购桌上就是一个无法回头的货期决策，到了工地上就是一次无法撤销的拆改。第三层：反过来说，利润保卫战的主战场不在工地，在图纸与货架的间隙里——谁控制了设计阶段的输入质量，谁就拿到了那85%的成本决定权（P1008）；谁只会在工地抢工期，谁就永远在15%的余量里给前端的设计失误买单。这也是本书把「设计施工一体化」而不是「施工精细化」作为主题的原因：后者的天花板已被成本结构封死。[事实] 天府永兴实验室园区建设项目，总投资10亿元，若决策失误，项目可能亏掉2000万（P1008）。一个典型的科技基础设施 EPC 总承包工程，涉及大量精密实验设备、特殊环境控制与多专业交叉作业，这类项目有个反常识的特点：施工难度未必是最大风险，设计施工脱节与供应链断层才是真正烧钱的黑洞（P1008）。</w:t>
      </w:r>
    </w:p>
    <w:p>
      <w:r>
        <w:rPr>
          <w:rFonts w:ascii="Calibri" w:hAnsi="Calibri" w:eastAsia="微软雅黑"/>
          <w:b w:val="0"/>
          <w:i w:val="0"/>
          <w:sz w:val="22"/>
        </w:rPr>
        <w:t>[假设] 如果把「设计锁定成本格局」这个判断（P1008）推到管理层决策层面，可以提出一个待检验的命题：企业预算的分配应当与成本决定权对齐——在决定约85%成本的阶段（P1008）只投入不足一成管理资源的企业，其利润波动大概率来自设计前端而非施工现场。此命题在本书后续章节的企业案例复盘中接受检验；若复盘显示高绩效 EPC 企业的前端投入占比与一般企业无差异，则该命题应予放弃。</w:t>
      </w:r>
    </w:p>
    <w:p>
      <w:pPr>
        <w:pStyle w:val="Heading3"/>
      </w:pPr>
      <w:r>
        <w:t>1.1.3 两张皮与一体化：一张对照表</w:t>
      </w:r>
    </w:p>
    <w:p>
      <w:r>
        <w:rPr>
          <w:rFonts w:ascii="Calibri" w:hAnsi="Calibri" w:eastAsia="微软雅黑"/>
          <w:b w:val="0"/>
          <w:i w:val="0"/>
          <w:sz w:val="22"/>
        </w:rPr>
        <w:t>把上述机理压缩成一张对照表，作为全书的基准坐标。左列不是稻草人，而是当下仍占相当比重的交付现实；右列也不是理想国，而是判例与工程实录中已经出现过的机制样本。</w:t>
      </w:r>
    </w:p>
    <w:p>
      <w:r>
        <w:rPr>
          <w:rFonts w:ascii="Calibri" w:hAnsi="Calibri" w:eastAsia="微软雅黑"/>
          <w:b/>
          <w:i w:val="0"/>
          <w:sz w:val="22"/>
        </w:rPr>
        <w:t>表 1-1 「两张皮」模式与一体化交付的机制对照</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「两张皮」模式</w:t>
            </w:r>
          </w:p>
        </w:tc>
        <w:tc>
          <w:tcPr>
            <w:tcW w:type="dxa" w:w="2075"/>
            <w:shd w:fill="1F3A5F"/>
          </w:tcPr>
          <w:p>
            <w:r>
              <w:rPr>
                <w:color w:val="FFFFFF"/>
              </w:rPr>
            </w:r>
            <w:r>
              <w:rPr>
                <w:rFonts w:ascii="Calibri" w:hAnsi="Calibri" w:eastAsia="微软雅黑"/>
                <w:b/>
                <w:i w:val="0"/>
                <w:color w:val="FFFFFF"/>
                <w:sz w:val="18"/>
              </w:rPr>
              <w:t>一体化交付</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组织形态</w:t>
            </w:r>
          </w:p>
        </w:tc>
        <w:tc>
          <w:tcPr>
            <w:tcW w:type="dxa" w:w="2075"/>
          </w:tcPr>
          <w:p>
            <w:r/>
            <w:r>
              <w:rPr>
                <w:rFonts w:ascii="Calibri" w:hAnsi="Calibri" w:eastAsia="微软雅黑"/>
                <w:b w:val="0"/>
                <w:i w:val="0"/>
                <w:sz w:val="18"/>
              </w:rPr>
              <w:t>设计与施工主体物理分离，缺乏统一法人级交付能力</w:t>
            </w:r>
          </w:p>
        </w:tc>
        <w:tc>
          <w:tcPr>
            <w:tcW w:type="dxa" w:w="2075"/>
          </w:tcPr>
          <w:p>
            <w:r/>
            <w:r>
              <w:rPr>
                <w:rFonts w:ascii="Calibri" w:hAnsi="Calibri" w:eastAsia="微软雅黑"/>
                <w:b w:val="0"/>
                <w:i w:val="0"/>
                <w:sz w:val="18"/>
              </w:rPr>
              <w:t>设计能力与施工能力的法人级深度重构，打破组织壁垒</w:t>
            </w:r>
          </w:p>
        </w:tc>
        <w:tc>
          <w:tcPr>
            <w:tcW w:type="dxa" w:w="2075"/>
          </w:tcPr>
          <w:p>
            <w:r/>
            <w:r>
              <w:rPr>
                <w:rFonts w:ascii="Calibri" w:hAnsi="Calibri" w:eastAsia="微软雅黑"/>
                <w:b w:val="0"/>
                <w:i w:val="0"/>
                <w:sz w:val="18"/>
              </w:rPr>
              <w:t>P1001</w:t>
            </w:r>
          </w:p>
        </w:tc>
      </w:tr>
      <w:tr>
        <w:tc>
          <w:tcPr>
            <w:tcW w:type="dxa" w:w="2075"/>
          </w:tcPr>
          <w:p>
            <w:r/>
            <w:r>
              <w:rPr>
                <w:rFonts w:ascii="Calibri" w:hAnsi="Calibri" w:eastAsia="微软雅黑"/>
                <w:b w:val="0"/>
                <w:i w:val="0"/>
                <w:sz w:val="18"/>
              </w:rPr>
              <w:t>信息载体</w:t>
            </w:r>
          </w:p>
        </w:tc>
        <w:tc>
          <w:tcPr>
            <w:tcW w:type="dxa" w:w="2075"/>
          </w:tcPr>
          <w:p>
            <w:r/>
            <w:r>
              <w:rPr>
                <w:rFonts w:ascii="Calibri" w:hAnsi="Calibri" w:eastAsia="微软雅黑"/>
                <w:b w:val="0"/>
                <w:i w:val="0"/>
                <w:sz w:val="18"/>
              </w:rPr>
              <w:t>图纸之间没有逻辑关联，靠人肉记忆和交叉审图</w:t>
            </w:r>
          </w:p>
        </w:tc>
        <w:tc>
          <w:tcPr>
            <w:tcW w:type="dxa" w:w="2075"/>
          </w:tcPr>
          <w:p>
            <w:r/>
            <w:r>
              <w:rPr>
                <w:rFonts w:ascii="Calibri" w:hAnsi="Calibri" w:eastAsia="微软雅黑"/>
                <w:b w:val="0"/>
                <w:i w:val="0"/>
                <w:sz w:val="18"/>
              </w:rPr>
              <w:t>协同平台链接参照，碰撞在模型里直观暴露、及时解决</w:t>
            </w:r>
          </w:p>
        </w:tc>
        <w:tc>
          <w:tcPr>
            <w:tcW w:type="dxa" w:w="2075"/>
          </w:tcPr>
          <w:p>
            <w:r/>
            <w:r>
              <w:rPr>
                <w:rFonts w:ascii="Calibri" w:hAnsi="Calibri" w:eastAsia="微软雅黑"/>
                <w:b w:val="0"/>
                <w:i w:val="0"/>
                <w:sz w:val="18"/>
              </w:rPr>
              <w:t>P1009</w:t>
            </w:r>
          </w:p>
        </w:tc>
      </w:tr>
      <w:tr>
        <w:tc>
          <w:tcPr>
            <w:tcW w:type="dxa" w:w="2075"/>
          </w:tcPr>
          <w:p>
            <w:r/>
            <w:r>
              <w:rPr>
                <w:rFonts w:ascii="Calibri" w:hAnsi="Calibri" w:eastAsia="微软雅黑"/>
                <w:b w:val="0"/>
                <w:i w:val="0"/>
                <w:sz w:val="18"/>
              </w:rPr>
              <w:t>流程观</w:t>
            </w:r>
          </w:p>
        </w:tc>
        <w:tc>
          <w:tcPr>
            <w:tcW w:type="dxa" w:w="2075"/>
          </w:tcPr>
          <w:p>
            <w:r/>
            <w:r>
              <w:rPr>
                <w:rFonts w:ascii="Calibri" w:hAnsi="Calibri" w:eastAsia="微软雅黑"/>
                <w:b w:val="0"/>
                <w:i w:val="0"/>
                <w:sz w:val="18"/>
              </w:rPr>
              <w:t>设计管理六阶段被切成互不说话的独立环节</w:t>
            </w:r>
          </w:p>
        </w:tc>
        <w:tc>
          <w:tcPr>
            <w:tcW w:type="dxa" w:w="2075"/>
          </w:tcPr>
          <w:p>
            <w:r/>
            <w:r>
              <w:rPr>
                <w:rFonts w:ascii="Calibri" w:hAnsi="Calibri" w:eastAsia="微软雅黑"/>
                <w:b w:val="0"/>
                <w:i w:val="0"/>
                <w:sz w:val="18"/>
              </w:rPr>
              <w:t>六阶段作为一个闭环系统运转</w:t>
            </w:r>
          </w:p>
        </w:tc>
        <w:tc>
          <w:tcPr>
            <w:tcW w:type="dxa" w:w="2075"/>
          </w:tcPr>
          <w:p>
            <w:r/>
            <w:r>
              <w:rPr>
                <w:rFonts w:ascii="Calibri" w:hAnsi="Calibri" w:eastAsia="微软雅黑"/>
                <w:b w:val="0"/>
                <w:i w:val="0"/>
                <w:sz w:val="18"/>
              </w:rPr>
              <w:t>P1008</w:t>
            </w:r>
          </w:p>
        </w:tc>
      </w:tr>
      <w:tr>
        <w:tc>
          <w:tcPr>
            <w:tcW w:type="dxa" w:w="2075"/>
          </w:tcPr>
          <w:p>
            <w:r/>
            <w:r>
              <w:rPr>
                <w:rFonts w:ascii="Calibri" w:hAnsi="Calibri" w:eastAsia="微软雅黑"/>
                <w:b w:val="0"/>
                <w:i w:val="0"/>
                <w:sz w:val="18"/>
              </w:rPr>
              <w:t>造价控制</w:t>
            </w:r>
          </w:p>
        </w:tc>
        <w:tc>
          <w:tcPr>
            <w:tcW w:type="dxa" w:w="2075"/>
          </w:tcPr>
          <w:p>
            <w:r/>
            <w:r>
              <w:rPr>
                <w:rFonts w:ascii="Calibri" w:hAnsi="Calibri" w:eastAsia="微软雅黑"/>
                <w:b w:val="0"/>
                <w:i w:val="0"/>
                <w:sz w:val="18"/>
              </w:rPr>
              <w:t>一体化设计概算管控体系缺失</w:t>
            </w:r>
          </w:p>
        </w:tc>
        <w:tc>
          <w:tcPr>
            <w:tcW w:type="dxa" w:w="2075"/>
          </w:tcPr>
          <w:p>
            <w:r/>
            <w:r>
              <w:rPr>
                <w:rFonts w:ascii="Calibri" w:hAnsi="Calibri" w:eastAsia="微软雅黑"/>
                <w:b w:val="0"/>
                <w:i w:val="0"/>
                <w:sz w:val="18"/>
              </w:rPr>
              <w:t>概算编制三法加设备安装四法的全过程控制</w:t>
            </w:r>
          </w:p>
        </w:tc>
        <w:tc>
          <w:tcPr>
            <w:tcW w:type="dxa" w:w="2075"/>
          </w:tcPr>
          <w:p>
            <w:r/>
            <w:r>
              <w:rPr>
                <w:rFonts w:ascii="Calibri" w:hAnsi="Calibri" w:eastAsia="微软雅黑"/>
                <w:b w:val="0"/>
                <w:i w:val="0"/>
                <w:sz w:val="18"/>
              </w:rPr>
              <w:t>P1000/P1001</w:t>
            </w:r>
          </w:p>
        </w:tc>
      </w:tr>
      <w:tr>
        <w:tc>
          <w:tcPr>
            <w:tcW w:type="dxa" w:w="2075"/>
          </w:tcPr>
          <w:p>
            <w:r/>
            <w:r>
              <w:rPr>
                <w:rFonts w:ascii="Calibri" w:hAnsi="Calibri" w:eastAsia="微软雅黑"/>
                <w:b w:val="0"/>
                <w:i w:val="0"/>
                <w:sz w:val="18"/>
              </w:rPr>
              <w:t>设计约束逻辑</w:t>
            </w:r>
          </w:p>
        </w:tc>
        <w:tc>
          <w:tcPr>
            <w:tcW w:type="dxa" w:w="2075"/>
          </w:tcPr>
          <w:p>
            <w:r/>
            <w:r>
              <w:rPr>
                <w:rFonts w:ascii="Calibri" w:hAnsi="Calibri" w:eastAsia="微软雅黑"/>
                <w:b w:val="0"/>
                <w:i w:val="0"/>
                <w:sz w:val="18"/>
              </w:rPr>
              <w:t>先出图、后考虑施工可行性与造价后果</w:t>
            </w:r>
          </w:p>
        </w:tc>
        <w:tc>
          <w:tcPr>
            <w:tcW w:type="dxa" w:w="2075"/>
          </w:tcPr>
          <w:p>
            <w:r/>
            <w:r>
              <w:rPr>
                <w:rFonts w:ascii="Calibri" w:hAnsi="Calibri" w:eastAsia="微软雅黑"/>
                <w:b w:val="0"/>
                <w:i w:val="0"/>
                <w:sz w:val="18"/>
              </w:rPr>
              <w:t>以施工安装条件、造价指标及法务节点要求反向约束设计与设备选型</w:t>
            </w:r>
          </w:p>
        </w:tc>
        <w:tc>
          <w:tcPr>
            <w:tcW w:type="dxa" w:w="2075"/>
          </w:tcPr>
          <w:p>
            <w:r/>
            <w:r>
              <w:rPr>
                <w:rFonts w:ascii="Calibri" w:hAnsi="Calibri" w:eastAsia="微软雅黑"/>
                <w:b w:val="0"/>
                <w:i w:val="0"/>
                <w:sz w:val="18"/>
              </w:rPr>
              <w:t>P1000</w:t>
            </w:r>
          </w:p>
        </w:tc>
      </w:tr>
      <w:tr>
        <w:tc>
          <w:tcPr>
            <w:tcW w:type="dxa" w:w="2075"/>
          </w:tcPr>
          <w:p>
            <w:r/>
            <w:r>
              <w:rPr>
                <w:rFonts w:ascii="Calibri" w:hAnsi="Calibri" w:eastAsia="微软雅黑"/>
                <w:b w:val="0"/>
                <w:i w:val="0"/>
                <w:sz w:val="18"/>
              </w:rPr>
              <w:t>责任落点</w:t>
            </w:r>
          </w:p>
        </w:tc>
        <w:tc>
          <w:tcPr>
            <w:tcW w:type="dxa" w:w="2075"/>
          </w:tcPr>
          <w:p>
            <w:r/>
            <w:r>
              <w:rPr>
                <w:rFonts w:ascii="Calibri" w:hAnsi="Calibri" w:eastAsia="微软雅黑"/>
                <w:b w:val="0"/>
                <w:i w:val="0"/>
                <w:sz w:val="18"/>
              </w:rPr>
              <w:t>各环节局部负责，无人对图纸到回款全链负责</w:t>
            </w:r>
          </w:p>
        </w:tc>
        <w:tc>
          <w:tcPr>
            <w:tcW w:type="dxa" w:w="2075"/>
          </w:tcPr>
          <w:p>
            <w:r/>
            <w:r>
              <w:rPr>
                <w:rFonts w:ascii="Calibri" w:hAnsi="Calibri" w:eastAsia="微软雅黑"/>
                <w:b w:val="0"/>
                <w:i w:val="0"/>
                <w:sz w:val="18"/>
              </w:rPr>
              <w:t>交付效能以设计控制与采购施工协同的乘积计，组织摩擦与造价合规偏差作分母</w:t>
            </w:r>
          </w:p>
        </w:tc>
        <w:tc>
          <w:tcPr>
            <w:tcW w:type="dxa" w:w="2075"/>
          </w:tcPr>
          <w:p>
            <w:r/>
            <w:r>
              <w:rPr>
                <w:rFonts w:ascii="Calibri" w:hAnsi="Calibri" w:eastAsia="微软雅黑"/>
                <w:b w:val="0"/>
                <w:i w:val="0"/>
                <w:sz w:val="18"/>
              </w:rPr>
              <w:t>P1001</w:t>
            </w:r>
          </w:p>
        </w:tc>
      </w:tr>
    </w:tbl>
    <w:p>
      <w:r>
        <w:rPr>
          <w:rFonts w:ascii="Calibri" w:hAnsi="Calibri" w:eastAsia="微软雅黑"/>
          <w:b w:val="0"/>
          <w:i w:val="0"/>
          <w:sz w:val="22"/>
        </w:rPr>
        <w:t>表 1-1 最后一行预告了 1.4 节的治理公式。这里先立一个方向性事实：[事实] 行业自身已经给出方向判断——传统设计院正从 DBB 模式撕裂走向「后向一体化」EPC 总承包（P1002）。[事实] 与此同时，施工系企业在设计施工割裂体制下面临的痛点表述，恰是这张表左列的镜像——缺乏统一法人级交付能力与一体化设计概算管控体系（P1001）。两条路径殊途同归：设计院向后整合施工，施工企业向前整合设计，终点都是那张法人级交付的牌桌。分歧从来不在要不要一体化，而在怎么走、走多快、先补哪块短板。本章接下来的两节，先把「不走」的账单算清楚。</w:t>
      </w:r>
    </w:p>
    <w:p>
      <w:r>
        <w:rPr>
          <w:rFonts w:ascii="Calibri" w:hAnsi="Calibri" w:eastAsia="微软雅黑"/>
          <w:b w:val="0"/>
          <w:i w:val="0"/>
          <w:sz w:val="22"/>
        </w:rPr>
        <w:t>对照表还有第二读法：把五行机制倒过来读，就是「两张皮」企业的不动产清单——每一行左列状态都是一项沉淀多年的组织资产：分离的组织（各自成熟的风险控制体系）、割裂的信息（各自熟练的图纸管理习惯）、断裂的流程（各自优化的部门考核指标）。一体化的真实成本因此不是新增投入，而是拆除这些既有资产的沉没成本与转换成本；一体化的真实收益也不是省下的返工费，而是把三堵墙的收费站逐一拆除后，整条价值链重新连成一笔账。收益的量级，下一节开始计价。</w:t>
      </w:r>
    </w:p>
    <w:p>
      <w:pPr>
        <w:pStyle w:val="Heading2"/>
      </w:pPr>
      <w:r>
        <w:t>1.2 利润漏点全景：六环损失链与三大隐形漏洞</w:t>
      </w:r>
    </w:p>
    <w:p>
      <w:pPr>
        <w:pStyle w:val="Heading3"/>
      </w:pPr>
      <w:r>
        <w:t>1.2.1 一条锁链：从初设深度到结算扯皮</w:t>
      </w:r>
    </w:p>
    <w:p>
      <w:r>
        <w:rPr>
          <w:rFonts w:ascii="Calibri" w:hAnsi="Calibri" w:eastAsia="微软雅黑"/>
          <w:b w:val="0"/>
          <w:i w:val="0"/>
          <w:sz w:val="22"/>
        </w:rPr>
        <w:t>两张皮吃掉利润不是一次性的失血，而是一条环环相扣的传导链。[事实] 风险不是并行出现的，它是一条锁链（P1008）：</w:t>
      </w:r>
    </w:p>
    <w:p>
      <w:pPr>
        <w:pStyle w:val="ListBullet"/>
      </w:pPr>
      <w:r>
        <w:rPr>
          <w:rFonts w:ascii="Calibri" w:hAnsi="Calibri" w:eastAsia="微软雅黑"/>
          <w:b w:val="0"/>
          <w:i w:val="0"/>
          <w:sz w:val="22"/>
        </w:rPr>
        <w:t>第一环：设计院初设深度不够，拿到设备参数的时间滞后；</w:t>
      </w:r>
    </w:p>
    <w:p>
      <w:pPr>
        <w:pStyle w:val="ListBullet"/>
      </w:pPr>
      <w:r>
        <w:rPr>
          <w:rFonts w:ascii="Calibri" w:hAnsi="Calibri" w:eastAsia="微软雅黑"/>
          <w:b w:val="0"/>
          <w:i w:val="0"/>
          <w:sz w:val="22"/>
        </w:rPr>
        <w:t>第二环：招标时设备技术规格书不完整，投标人钻空子；</w:t>
      </w:r>
    </w:p>
    <w:p>
      <w:pPr>
        <w:pStyle w:val="ListBullet"/>
      </w:pPr>
      <w:r>
        <w:rPr>
          <w:rFonts w:ascii="Calibri" w:hAnsi="Calibri" w:eastAsia="微软雅黑"/>
          <w:b w:val="0"/>
          <w:i w:val="0"/>
          <w:sz w:val="22"/>
        </w:rPr>
        <w:t>第三环：中标设备与设计参数不匹配，施工图被迫修改；</w:t>
      </w:r>
    </w:p>
    <w:p>
      <w:pPr>
        <w:pStyle w:val="ListBullet"/>
      </w:pPr>
      <w:r>
        <w:rPr>
          <w:rFonts w:ascii="Calibri" w:hAnsi="Calibri" w:eastAsia="微软雅黑"/>
          <w:b w:val="0"/>
          <w:i w:val="0"/>
          <w:sz w:val="22"/>
        </w:rPr>
        <w:t>第四环：修改施工图挤压采购周期，设备到场跟不上安装节点；</w:t>
      </w:r>
    </w:p>
    <w:p>
      <w:pPr>
        <w:pStyle w:val="ListBullet"/>
      </w:pPr>
      <w:r>
        <w:rPr>
          <w:rFonts w:ascii="Calibri" w:hAnsi="Calibri" w:eastAsia="微软雅黑"/>
          <w:b w:val="0"/>
          <w:i w:val="0"/>
          <w:sz w:val="22"/>
        </w:rPr>
        <w:t>第五环：赶工埋下质量隐患，实验室验收不过；</w:t>
      </w:r>
    </w:p>
    <w:p>
      <w:pPr>
        <w:pStyle w:val="ListBullet"/>
      </w:pPr>
      <w:r>
        <w:rPr>
          <w:rFonts w:ascii="Calibri" w:hAnsi="Calibri" w:eastAsia="微软雅黑"/>
          <w:b w:val="0"/>
          <w:i w:val="0"/>
          <w:sz w:val="22"/>
        </w:rPr>
        <w:t>第六环：变更签证资料不全，结算时扯皮。（P1008）</w:t>
      </w:r>
    </w:p>
    <w:p>
      <w:r>
        <w:rPr>
          <w:rFonts w:ascii="Calibri" w:hAnsi="Calibri" w:eastAsia="微软雅黑"/>
          <w:b w:val="0"/>
          <w:i w:val="0"/>
          <w:sz w:val="22"/>
        </w:rPr>
        <w:t>这条链的每一环断裂，代价都是真金白银（P1008）。注意它的传导方向：起点在设计院的书桌上，终点在结算谈判桌上，中间穿越招标、采购、施工三个部门——没有任何一个单独的部门能看见全链，这正是组织墙的代价在流程上的投影。</w:t>
      </w:r>
    </w:p>
    <w:p>
      <w:r>
        <w:rPr>
          <w:rFonts w:ascii="Calibri" w:hAnsi="Calibri" w:eastAsia="微软雅黑"/>
          <w:b w:val="0"/>
          <w:i w:val="0"/>
          <w:sz w:val="22"/>
        </w:rPr>
        <w:t>逐环拆开看，每一环都有清晰的过错方与更清晰的买单方。第一环的过错在设计前端，买单的却是整条链：初设深度不够，后面五环全部为此补课。第二环把风险推给了招标界面：技术规格书不完整，投标人低价钻空、高价索赔两头占理，评标委员会却看不出缺口在哪里。第三环最隐蔽——中标设备与设计参数不匹配，责任在设计与采购的交接面，图纸被迫修改时，设计院说是采购选错设备，采购说是设计参数过时，施工方拿到新版图纸时工期已经烧掉一段。第四环是第三环的账单：图纸修改挤压采购周期，设备到场跟不上安装节点，流水线上的工人等着吊装，损失以台班计。第五环把技术债转成质量债：赶工的隐患在验收环节现形。第六环是总清算：前五环的每一次应急、每一次返工、每一次口头指令，到这里都要拿出书面证据，拿不出，就以无效投入核销。六环之中，前四环发生在组织墙与信息墙的交界，后两环发生在流程墙的末端——三堵墙在这条链上各有自己的收费站。</w:t>
      </w:r>
    </w:p>
    <w:p>
      <w:r>
        <w:rPr>
          <w:rFonts w:ascii="Calibri" w:hAnsi="Calibri" w:eastAsia="微软雅黑"/>
          <w:b w:val="0"/>
          <w:i w:val="0"/>
          <w:sz w:val="22"/>
        </w:rPr>
        <w:t>逐环看天府永兴实验室项目留下的三个坑。[事实] 第一坑，设计进度与采购计划脱节：实验室的特殊性在于工艺设计必须前置，而设备参数是设计的基础输入——电气设计需要先知道大型实验设备的功率需求，但这个数据在初步设计阶段往往根本拿不到，因为设备选型还没定（P1008）。第二坑，限额设计执行滞后：很多项目把限额设计当成投资超标之后的补救手段，实际上它是设计阶段的投资控制的风险定价机制；等图纸出来再核算，这时候改一版图纸的成本比当初多花一周做价值工程分析贵得多（P1008）。第三坑，施工图与设备技术规格书之间的缝隙：实验室项目的 BIM 管线综合复杂，层高限制、机电管线排布问题在施工图阶段如果不能提前解决，到了现场再改，费的不是图纸钱，是工期和拆改费（P1008）。</w:t>
      </w:r>
    </w:p>
    <w:p>
      <w:r>
        <w:rPr>
          <w:rFonts w:ascii="Calibri" w:hAnsi="Calibri" w:eastAsia="微软雅黑"/>
          <w:b w:val="0"/>
          <w:i w:val="0"/>
          <w:sz w:val="22"/>
        </w:rPr>
        <w:t>三个坑里最值得展开的是第一坑与第四环的合流。[事实] 恒温恒湿系统，设计院画图时只标了「±2℃」，到了采购阶段才发现设备供应商的交货周期是14个月，而总工期只剩下18个月，这种冲突掐着项目班的喉咙（P1008）。[估计] 一件设备的货期就能吃掉剩余工期的近八成，约77.8%（own_calc：14÷18）。这意味着从图纸定稿那一刻起，工期违约已经进入倒计时：设计输入的不完整，被采购周期放大成不可逆的工期债务，最后由施工队伍用赶工偿还，赶工的质量代价再由验收环节清算。这不是施工组织能挽回的局面，是设计阶段留给施工阶段的死局。</w:t>
      </w:r>
    </w:p>
    <w:p>
      <w:r>
        <w:rPr>
          <w:rFonts w:ascii="Calibri" w:hAnsi="Calibri" w:eastAsia="微软雅黑"/>
          <w:b w:val="0"/>
          <w:i w:val="0"/>
          <w:sz w:val="22"/>
        </w:rPr>
        <w:t>第五环与第六环的衔接同样致命。[事实] 一个实验室园区的初设批复前，甲方要办的手续超过20项，少一项就批不了——施工许可证、消防设计审查、人防、环评、能评、水保、规划许可，每一项都有法定时限（P1008）。「先施工后补手续」是审计红线，省下的时间是借来的高利贷（P1008）。手续缺口在开工阶段表现为进度压力，到结算阶段则与第六环会师：审计红线一旦踩中，前面所有赶工抢回来的时间，都会以无效投入的形式从利润里扣回去。一张签证漏签的代价不是返工，是整笔工程款的可回收性（P1008）。</w:t>
      </w:r>
    </w:p>
    <w:p>
      <w:pPr>
        <w:pStyle w:val="Heading3"/>
      </w:pPr>
      <w:r>
        <w:t>1.2.2 采购断层：40%～60%的合同额悬在图纸之外</w:t>
      </w:r>
    </w:p>
    <w:p>
      <w:r>
        <w:rPr>
          <w:rFonts w:ascii="Calibri" w:hAnsi="Calibri" w:eastAsia="微软雅黑"/>
          <w:b w:val="0"/>
          <w:i w:val="0"/>
          <w:sz w:val="22"/>
        </w:rPr>
        <w:t>六环链条的中段是采购——两张皮在这里最容易被低估。[事实] 采购是 EPC 总承包项目承上启下的关键环节，是实现工程设计意图、保障后续施工顺利开展的基础；工业类 EPC 总承包项目，采购额占合同额的比例高达40%～60%，且待购设备和材料的种类极多、涉及面广、工作量大，采购执行的好坏对整个工程项目的进度、质量和费用都产生直接影响（P1029）。</w:t>
      </w:r>
    </w:p>
    <w:p>
      <w:r>
        <w:rPr>
          <w:rFonts w:ascii="Calibri" w:hAnsi="Calibri" w:eastAsia="微软雅黑"/>
          <w:b w:val="0"/>
          <w:i w:val="0"/>
          <w:sz w:val="22"/>
        </w:rPr>
        <w:t>把两个数字并排放：设计锁定约85%的全生命周期成本格局（P1008），采购占据40%～60%的合同额（P1029）——两张皮的杀伤区恰好覆盖这两段。[估计] 一个总价92000万元的 EPC 合同（参考金桂浆纸案合同总价，P1018），按行业区间中值估算的设备采购规模约46000万元（own_calc：92000×50%，50%取40%～60%区间中值）；而该案实际设备采购合同价格为60500万元（P1018），真实占比65.8%（own_calc：60500÷92000），高于行业区间上限——重资产工业项目里，图纸与货架之间的断层比一般估计更宽。</w:t>
      </w:r>
    </w:p>
    <w:p>
      <w:r>
        <w:rPr>
          <w:rFonts w:ascii="Calibri" w:hAnsi="Calibri" w:eastAsia="微软雅黑"/>
          <w:b w:val="0"/>
          <w:i w:val="0"/>
          <w:sz w:val="22"/>
        </w:rPr>
        <w:t>断层在投标阶段就已张开。[事实] 在项目投标报价阶段，由于受时间和经验的限制，容易对项目潜在风险预估不足；在招标文件的解读、概算询价或估价，以及最终的价格汇总过程中不能面面俱到，存在一定的遗漏或理解上的偏差，采购成本未能完整反映实际的工作范围和潜在的风险（P1029）。到了执行阶段，风险清单更长：计划编制不当风险、选商风险、催交风险、检验风险、物流运输风险、现场材料管理风险（P1029）；项目所在地的政治、经济和自然环境等都会对设备和材料价格造成重要影响，甚至阻碍采购工作的推进（P1029）。对国际工程而言，投标准备还包括调研项目所在国环境、吃透当地标准规范、熟悉当地与采购相关的法律法规特别是进出口许可、税费、物流运输的特殊规定（P1029）。这些条目在本书第 6 章采购一体化中逐一展开，此处只需要记住一点：[事实] 采购风险的管理应贯穿项目整个生命周期，涵盖前期投标报价阶段和后期的执行阶段（P1029）——而两张皮企业的采购部门，往往只在执行阶段才被通知入场。</w:t>
      </w:r>
    </w:p>
    <w:p>
      <w:r>
        <w:rPr>
          <w:rFonts w:ascii="Calibri" w:hAnsi="Calibri" w:eastAsia="微软雅黑"/>
          <w:b w:val="0"/>
          <w:i w:val="0"/>
          <w:sz w:val="22"/>
        </w:rPr>
        <w:t>采购断层的跨国版本还叠加了制度摩擦。[事实] 国际工程 EPC 的投标准备包括：调研项目所在国的政治、经济、自然环境并制定风险防范措施；了解所在国的各项标准规范要求并吃透标准；熟悉所在国与采购相关的法律法规，尤其是当地法律对进出口许可（包括贸易壁垒）、税费、物流运输等方面的特殊规定（P1029）。[事实] 政治风险的处置逻辑同样前置到投标桌：投标人应通过实地调研、专家咨询等方法评估所在国政治风险，结合自身风险阈值决定是否参与投标；评估超出阈值则选择规避，未超出则通过购买保险、引入当地合作伙伴等方式将风险部分转移（P1029）。把这套逻辑翻译到国内工业项目：供应商所在产业的政策波动、进口部件的许可与税费、跨省物流的时限，同样应当在概算询价阶段（而非开工之后）进入采购风险清单——道理同源，只是国界换成供应链边界（P1029）。</w:t>
      </w:r>
    </w:p>
    <w:p>
      <w:pPr>
        <w:pStyle w:val="Heading3"/>
      </w:pPr>
      <w:r>
        <w:t>1.2.3 变更、签证、结算：最后的利润关口上的三个漏洞</w:t>
      </w:r>
    </w:p>
    <w:p>
      <w:r>
        <w:rPr>
          <w:rFonts w:ascii="Calibri" w:hAnsi="Calibri" w:eastAsia="微软雅黑"/>
          <w:b w:val="0"/>
          <w:i w:val="0"/>
          <w:sz w:val="22"/>
        </w:rPr>
        <w:t>六环链条的末端是结算桌。[事实] 工程行业有一句大实话：项目干得好，不一定赚得多；结算做得好，才能真正落利润（P1010）。很多工程项目看似施工顺利、产值饱满，最终结算却出现审减严重、签证无效、变更不认、回款滞后等问题——辛苦干完全程，利润一点点被漏洞吞噬，甚至出现「干得多、赚得少、白忙活」的局面（P1010）。深究根源，大多不是施工质量问题，而是变更无序、签证不规范、资料不完善、结算无风控（P1010）。</w:t>
      </w:r>
    </w:p>
    <w:p>
      <w:r>
        <w:rPr>
          <w:rFonts w:ascii="Calibri" w:hAnsi="Calibri" w:eastAsia="微软雅黑"/>
          <w:b w:val="0"/>
          <w:i w:val="0"/>
          <w:sz w:val="22"/>
        </w:rPr>
        <w:t>[事实] 多数企业的利润流失集中在三大隐形漏洞（P1010）。漏洞一，变更随意，成本失控：现场口头变更、先施工后补手续、变更依据不足、审批流程缺失，增量成本无法核销，出现大量无效投入。漏洞二，签证不规范，产值无法落地：签证滞后、内容模糊、证据不全、签字不全、格式不规范，最终被甲方驳回、审计审减，干了活却拿不到钱。漏洞三，结算无风控，争议扯皮不断：资料零散、链条断裂、结算依据不足，面对甲方审核、第三方审计无据可依，结算周期拉长、回款受阻，企业资金压力剧增。（P1010）三个漏洞指向同一条证据链的三个断点：变更的审批断点、签证的取证断点、结算的归档断点。施工创造产值，风控守住利润——变更、签证、结算是工程项目最后的「利润关口」，直接决定项目最终盈亏，是工程企业成本管控、风险防控的核心命脉（P1010）。</w:t>
      </w:r>
    </w:p>
    <w:p>
      <w:r>
        <w:rPr>
          <w:rFonts w:ascii="Calibri" w:hAnsi="Calibri" w:eastAsia="微软雅黑"/>
          <w:b w:val="0"/>
          <w:i w:val="0"/>
          <w:sz w:val="22"/>
        </w:rPr>
        <w:t>把三大漏洞与 1.3 节的判例回指对齐，漏洞就不再是抽象警示。变更随意的司法镜像，是海原配送中心案里变更增加的工程款7205791元需要靠诉讼追讨、再加2678392.52元利息（P1027）——[估计] 变更增量超过中标价一半，约55.7%（own_calc：7205791÷12933521.89），说明图纸深度不足在开工前就已注定增量，只是账单延后到结算才送达。签证不规范的司法镜像，是赤天化案里「有窝工事实、无三要素报告」的索赔折戟（P1003）。结算无风控的司法镜像，是苏南特装案里送审30636998.18元、初审即核减3591240.95元（P1007）——[估计] 一成以上的产值在第一道审核就被削掉，约11.7%（own_calc：3591240.95÷30636998.18），而核减的每一元背后都站着一份不完整的送审资料。三个漏洞，三份判例，同一个病根：证据链没有跟着产值同步生长。</w:t>
      </w:r>
    </w:p>
    <w:p>
      <w:r>
        <w:rPr>
          <w:rFonts w:ascii="Calibri" w:hAnsi="Calibri" w:eastAsia="微软雅黑"/>
          <w:b w:val="0"/>
          <w:i w:val="0"/>
          <w:sz w:val="22"/>
        </w:rPr>
        <w:t>合同层面还埋着更深的雷。[事实] EPC 项目亏钱，往往不是施工不行，而是合同埋了雷；业内六七成的亏损，都跟合同无效、挂靠转包有关（P1013）——注意这是行业观察口径而非统计年鉴数据，采信时须保留其证据等级。三条红线逐条看。招标红线：别以为民企投资就不用招标，只要设计、设备或施工任一部分达标，整个项目就得走招标；搞「明招暗定」，合同直接作废，几千万利润说没就没（P1013）。内部管控红线：设计优化省下的钱，得提前约定好归谁；主材价格波动，得写死调价公式；千万别违法分包，不然下游的钱你得自己扛，找业主追钱却可能要不到（P1013）。结算红线：签证漏签一个，等于白干几百万产值；审计拖着不给结论，逾期一年就能直接申请造价鉴定（P1013）。</w:t>
      </w:r>
    </w:p>
    <w:p>
      <w:r>
        <w:rPr>
          <w:rFonts w:ascii="Calibri" w:hAnsi="Calibri" w:eastAsia="微软雅黑"/>
          <w:b w:val="0"/>
          <w:i w:val="0"/>
          <w:sz w:val="22"/>
        </w:rPr>
        <w:t>三条红线里，「设计优化省下的钱归谁」这条恰恰是设计施工一体化企业最容易踩空的——设计院与施工方组成联合体后，设计优化收益的分配若未在合同中预先写死，优化越成功，内讧越剧烈。此点将在第 9 章联合体治理中展开。</w:t>
      </w:r>
    </w:p>
    <w:p>
      <w:pPr>
        <w:pStyle w:val="Heading3"/>
      </w:pPr>
      <w:r>
        <w:t>1.2.4 损失通道价目表：机理与判例的交叉验证</w:t>
      </w:r>
    </w:p>
    <w:p>
      <w:r>
        <w:rPr>
          <w:rFonts w:ascii="Calibri" w:hAnsi="Calibri" w:eastAsia="微软雅黑"/>
          <w:b w:val="0"/>
          <w:i w:val="0"/>
          <w:sz w:val="22"/>
        </w:rPr>
        <w:t>机理需要金额来称重。把前文六环链条、三大漏洞与裁判文书交叉，得到八条可验证的损失通道。</w:t>
      </w:r>
    </w:p>
    <w:p>
      <w:r>
        <w:rPr>
          <w:rFonts w:ascii="Calibri" w:hAnsi="Calibri" w:eastAsia="微软雅黑"/>
          <w:b/>
          <w:i w:val="0"/>
          <w:sz w:val="22"/>
        </w:rPr>
        <w:t>表 1-2 「两张皮」损失通道与判例实据对照</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损失通道</w:t>
            </w:r>
          </w:p>
        </w:tc>
        <w:tc>
          <w:tcPr>
            <w:tcW w:type="dxa" w:w="2075"/>
            <w:shd w:fill="1F3A5F"/>
          </w:tcPr>
          <w:p>
            <w:r>
              <w:rPr>
                <w:color w:val="FFFFFF"/>
              </w:rPr>
            </w:r>
            <w:r>
              <w:rPr>
                <w:rFonts w:ascii="Calibri" w:hAnsi="Calibri" w:eastAsia="微软雅黑"/>
                <w:b/>
                <w:i w:val="0"/>
                <w:color w:val="FFFFFF"/>
                <w:sz w:val="18"/>
              </w:rPr>
              <w:t>机理</w:t>
            </w:r>
          </w:p>
        </w:tc>
        <w:tc>
          <w:tcPr>
            <w:tcW w:type="dxa" w:w="2075"/>
            <w:shd w:fill="1F3A5F"/>
          </w:tcPr>
          <w:p>
            <w:r>
              <w:rPr>
                <w:color w:val="FFFFFF"/>
              </w:rPr>
            </w:r>
            <w:r>
              <w:rPr>
                <w:rFonts w:ascii="Calibri" w:hAnsi="Calibri" w:eastAsia="微软雅黑"/>
                <w:b/>
                <w:i w:val="0"/>
                <w:color w:val="FFFFFF"/>
                <w:sz w:val="18"/>
              </w:rPr>
              <w:t>判例/案例实据</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规划与设计输入变更</w:t>
            </w:r>
          </w:p>
        </w:tc>
        <w:tc>
          <w:tcPr>
            <w:tcW w:type="dxa" w:w="2075"/>
          </w:tcPr>
          <w:p>
            <w:r/>
            <w:r>
              <w:rPr>
                <w:rFonts w:ascii="Calibri" w:hAnsi="Calibri" w:eastAsia="微软雅黑"/>
                <w:b w:val="0"/>
                <w:i w:val="0"/>
                <w:sz w:val="18"/>
              </w:rPr>
              <w:t>设计前提变动，计价契约前提随之瓦解</w:t>
            </w:r>
          </w:p>
        </w:tc>
        <w:tc>
          <w:tcPr>
            <w:tcW w:type="dxa" w:w="2075"/>
          </w:tcPr>
          <w:p>
            <w:r/>
            <w:r>
              <w:rPr>
                <w:rFonts w:ascii="Calibri" w:hAnsi="Calibri" w:eastAsia="微软雅黑"/>
                <w:b w:val="0"/>
                <w:i w:val="0"/>
                <w:sz w:val="18"/>
              </w:rPr>
              <w:t>3#楼由地下2层地上1层（25米高）调整为地下2层地上5层，需重新设计并重新申报规划许可；结算从固定总价走向按定额据实结算</w:t>
            </w:r>
          </w:p>
        </w:tc>
        <w:tc>
          <w:tcPr>
            <w:tcW w:type="dxa" w:w="2075"/>
          </w:tcPr>
          <w:p>
            <w:r/>
            <w:r>
              <w:rPr>
                <w:rFonts w:ascii="Calibri" w:hAnsi="Calibri" w:eastAsia="微软雅黑"/>
                <w:b w:val="0"/>
                <w:i w:val="0"/>
                <w:sz w:val="18"/>
              </w:rPr>
              <w:t>P1028</w:t>
            </w:r>
          </w:p>
        </w:tc>
      </w:tr>
      <w:tr>
        <w:tc>
          <w:tcPr>
            <w:tcW w:type="dxa" w:w="2075"/>
          </w:tcPr>
          <w:p>
            <w:r/>
            <w:r>
              <w:rPr>
                <w:rFonts w:ascii="Calibri" w:hAnsi="Calibri" w:eastAsia="微软雅黑"/>
                <w:b w:val="0"/>
                <w:i w:val="0"/>
                <w:sz w:val="18"/>
              </w:rPr>
              <w:t>停窝工</w:t>
            </w:r>
          </w:p>
        </w:tc>
        <w:tc>
          <w:tcPr>
            <w:tcW w:type="dxa" w:w="2075"/>
          </w:tcPr>
          <w:p>
            <w:r/>
            <w:r>
              <w:rPr>
                <w:rFonts w:ascii="Calibri" w:hAnsi="Calibri" w:eastAsia="微软雅黑"/>
                <w:b w:val="0"/>
                <w:i w:val="0"/>
                <w:sz w:val="18"/>
              </w:rPr>
              <w:t>业主原因或界面悬空造成停工，损失确认依赖同步证据</w:t>
            </w:r>
          </w:p>
        </w:tc>
        <w:tc>
          <w:tcPr>
            <w:tcW w:type="dxa" w:w="2075"/>
          </w:tcPr>
          <w:p>
            <w:r/>
            <w:r>
              <w:rPr>
                <w:rFonts w:ascii="Calibri" w:hAnsi="Calibri" w:eastAsia="微软雅黑"/>
                <w:b w:val="0"/>
                <w:i w:val="0"/>
                <w:sz w:val="18"/>
              </w:rPr>
              <w:t>2号机组停窝工18个月，损失2090.072万元</w:t>
            </w:r>
          </w:p>
        </w:tc>
        <w:tc>
          <w:tcPr>
            <w:tcW w:type="dxa" w:w="2075"/>
          </w:tcPr>
          <w:p>
            <w:r/>
            <w:r>
              <w:rPr>
                <w:rFonts w:ascii="Calibri" w:hAnsi="Calibri" w:eastAsia="微软雅黑"/>
                <w:b w:val="0"/>
                <w:i w:val="0"/>
                <w:sz w:val="18"/>
              </w:rPr>
              <w:t>P1018</w:t>
            </w:r>
          </w:p>
        </w:tc>
      </w:tr>
      <w:tr>
        <w:tc>
          <w:tcPr>
            <w:tcW w:type="dxa" w:w="2075"/>
          </w:tcPr>
          <w:p>
            <w:r/>
            <w:r>
              <w:rPr>
                <w:rFonts w:ascii="Calibri" w:hAnsi="Calibri" w:eastAsia="微软雅黑"/>
                <w:b w:val="0"/>
                <w:i w:val="0"/>
                <w:sz w:val="18"/>
              </w:rPr>
              <w:t>工期延误</w:t>
            </w:r>
          </w:p>
        </w:tc>
        <w:tc>
          <w:tcPr>
            <w:tcW w:type="dxa" w:w="2075"/>
          </w:tcPr>
          <w:p>
            <w:r/>
            <w:r>
              <w:rPr>
                <w:rFonts w:ascii="Calibri" w:hAnsi="Calibri" w:eastAsia="微软雅黑"/>
                <w:b w:val="0"/>
                <w:i w:val="0"/>
                <w:sz w:val="18"/>
              </w:rPr>
              <w:t>设计图提交延误、设计变更带来返工停工</w:t>
            </w:r>
          </w:p>
        </w:tc>
        <w:tc>
          <w:tcPr>
            <w:tcW w:type="dxa" w:w="2075"/>
          </w:tcPr>
          <w:p>
            <w:r/>
            <w:r>
              <w:rPr>
                <w:rFonts w:ascii="Calibri" w:hAnsi="Calibri" w:eastAsia="微软雅黑"/>
                <w:b w:val="0"/>
                <w:i w:val="0"/>
                <w:sz w:val="18"/>
              </w:rPr>
              <w:t>工期延误463天，实际工期为合同约定工期的3倍</w:t>
            </w:r>
          </w:p>
        </w:tc>
        <w:tc>
          <w:tcPr>
            <w:tcW w:type="dxa" w:w="2075"/>
          </w:tcPr>
          <w:p>
            <w:r/>
            <w:r>
              <w:rPr>
                <w:rFonts w:ascii="Calibri" w:hAnsi="Calibri" w:eastAsia="微软雅黑"/>
                <w:b w:val="0"/>
                <w:i w:val="0"/>
                <w:sz w:val="18"/>
              </w:rPr>
              <w:t>P1021</w:t>
            </w:r>
          </w:p>
        </w:tc>
      </w:tr>
      <w:tr>
        <w:tc>
          <w:tcPr>
            <w:tcW w:type="dxa" w:w="2075"/>
          </w:tcPr>
          <w:p>
            <w:r/>
            <w:r>
              <w:rPr>
                <w:rFonts w:ascii="Calibri" w:hAnsi="Calibri" w:eastAsia="微软雅黑"/>
                <w:b w:val="0"/>
                <w:i w:val="0"/>
                <w:sz w:val="18"/>
              </w:rPr>
              <w:t>材料价差</w:t>
            </w:r>
          </w:p>
        </w:tc>
        <w:tc>
          <w:tcPr>
            <w:tcW w:type="dxa" w:w="2075"/>
          </w:tcPr>
          <w:p>
            <w:r/>
            <w:r>
              <w:rPr>
                <w:rFonts w:ascii="Calibri" w:hAnsi="Calibri" w:eastAsia="微软雅黑"/>
                <w:b w:val="0"/>
                <w:i w:val="0"/>
                <w:sz w:val="18"/>
              </w:rPr>
              <w:t>履约周期拉长，价差无人兜底</w:t>
            </w:r>
          </w:p>
        </w:tc>
        <w:tc>
          <w:tcPr>
            <w:tcW w:type="dxa" w:w="2075"/>
          </w:tcPr>
          <w:p>
            <w:r/>
            <w:r>
              <w:rPr>
                <w:rFonts w:ascii="Calibri" w:hAnsi="Calibri" w:eastAsia="微软雅黑"/>
                <w:b w:val="0"/>
                <w:i w:val="0"/>
                <w:sz w:val="18"/>
              </w:rPr>
              <w:t>钢筋材料费价差补贴471274元、基础损失索赔费1565809.08元，共2037083.08元</w:t>
            </w:r>
          </w:p>
        </w:tc>
        <w:tc>
          <w:tcPr>
            <w:tcW w:type="dxa" w:w="2075"/>
          </w:tcPr>
          <w:p>
            <w:r/>
            <w:r>
              <w:rPr>
                <w:rFonts w:ascii="Calibri" w:hAnsi="Calibri" w:eastAsia="微软雅黑"/>
                <w:b w:val="0"/>
                <w:i w:val="0"/>
                <w:sz w:val="18"/>
              </w:rPr>
              <w:t>P1004</w:t>
            </w:r>
          </w:p>
        </w:tc>
      </w:tr>
      <w:tr>
        <w:tc>
          <w:tcPr>
            <w:tcW w:type="dxa" w:w="2075"/>
          </w:tcPr>
          <w:p>
            <w:r/>
            <w:r>
              <w:rPr>
                <w:rFonts w:ascii="Calibri" w:hAnsi="Calibri" w:eastAsia="微软雅黑"/>
                <w:b w:val="0"/>
                <w:i w:val="0"/>
                <w:sz w:val="18"/>
              </w:rPr>
              <w:t>结算核减</w:t>
            </w:r>
          </w:p>
        </w:tc>
        <w:tc>
          <w:tcPr>
            <w:tcW w:type="dxa" w:w="2075"/>
          </w:tcPr>
          <w:p>
            <w:r/>
            <w:r>
              <w:rPr>
                <w:rFonts w:ascii="Calibri" w:hAnsi="Calibri" w:eastAsia="微软雅黑"/>
                <w:b w:val="0"/>
                <w:i w:val="0"/>
                <w:sz w:val="18"/>
              </w:rPr>
              <w:t>送审资料证据不全，审核方握刀</w:t>
            </w:r>
          </w:p>
        </w:tc>
        <w:tc>
          <w:tcPr>
            <w:tcW w:type="dxa" w:w="2075"/>
          </w:tcPr>
          <w:p>
            <w:r/>
            <w:r>
              <w:rPr>
                <w:rFonts w:ascii="Calibri" w:hAnsi="Calibri" w:eastAsia="微软雅黑"/>
                <w:b w:val="0"/>
                <w:i w:val="0"/>
                <w:sz w:val="18"/>
              </w:rPr>
              <w:t>送审造价共计30636998.18元，初审核减3591240.95元</w:t>
            </w:r>
          </w:p>
        </w:tc>
        <w:tc>
          <w:tcPr>
            <w:tcW w:type="dxa" w:w="2075"/>
          </w:tcPr>
          <w:p>
            <w:r/>
            <w:r>
              <w:rPr>
                <w:rFonts w:ascii="Calibri" w:hAnsi="Calibri" w:eastAsia="微软雅黑"/>
                <w:b w:val="0"/>
                <w:i w:val="0"/>
                <w:sz w:val="18"/>
              </w:rPr>
              <w:t>P1007</w:t>
            </w:r>
          </w:p>
        </w:tc>
      </w:tr>
      <w:tr>
        <w:tc>
          <w:tcPr>
            <w:tcW w:type="dxa" w:w="2075"/>
          </w:tcPr>
          <w:p>
            <w:r/>
            <w:r>
              <w:rPr>
                <w:rFonts w:ascii="Calibri" w:hAnsi="Calibri" w:eastAsia="微软雅黑"/>
                <w:b w:val="0"/>
                <w:i w:val="0"/>
                <w:sz w:val="18"/>
              </w:rPr>
              <w:t>变更增量</w:t>
            </w:r>
          </w:p>
        </w:tc>
        <w:tc>
          <w:tcPr>
            <w:tcW w:type="dxa" w:w="2075"/>
          </w:tcPr>
          <w:p>
            <w:r/>
            <w:r>
              <w:rPr>
                <w:rFonts w:ascii="Calibri" w:hAnsi="Calibri" w:eastAsia="微软雅黑"/>
                <w:b w:val="0"/>
                <w:i w:val="0"/>
                <w:sz w:val="18"/>
              </w:rPr>
              <w:t>图纸深度不足，变更款追讨成诉</w:t>
            </w:r>
          </w:p>
        </w:tc>
        <w:tc>
          <w:tcPr>
            <w:tcW w:type="dxa" w:w="2075"/>
          </w:tcPr>
          <w:p>
            <w:r/>
            <w:r>
              <w:rPr>
                <w:rFonts w:ascii="Calibri" w:hAnsi="Calibri" w:eastAsia="微软雅黑"/>
                <w:b w:val="0"/>
                <w:i w:val="0"/>
                <w:sz w:val="18"/>
              </w:rPr>
              <w:t>变更增加的工程款7205791元及延期付款利息2678392.52元</w:t>
            </w:r>
          </w:p>
        </w:tc>
        <w:tc>
          <w:tcPr>
            <w:tcW w:type="dxa" w:w="2075"/>
          </w:tcPr>
          <w:p>
            <w:r/>
            <w:r>
              <w:rPr>
                <w:rFonts w:ascii="Calibri" w:hAnsi="Calibri" w:eastAsia="微软雅黑"/>
                <w:b w:val="0"/>
                <w:i w:val="0"/>
                <w:sz w:val="18"/>
              </w:rPr>
              <w:t>P1027</w:t>
            </w:r>
          </w:p>
        </w:tc>
      </w:tr>
      <w:tr>
        <w:tc>
          <w:tcPr>
            <w:tcW w:type="dxa" w:w="2075"/>
          </w:tcPr>
          <w:p>
            <w:r/>
            <w:r>
              <w:rPr>
                <w:rFonts w:ascii="Calibri" w:hAnsi="Calibri" w:eastAsia="微软雅黑"/>
                <w:b w:val="0"/>
                <w:i w:val="0"/>
                <w:sz w:val="18"/>
              </w:rPr>
              <w:t>违约金对攻</w:t>
            </w:r>
          </w:p>
        </w:tc>
        <w:tc>
          <w:tcPr>
            <w:tcW w:type="dxa" w:w="2075"/>
          </w:tcPr>
          <w:p>
            <w:r/>
            <w:r>
              <w:rPr>
                <w:rFonts w:ascii="Calibri" w:hAnsi="Calibri" w:eastAsia="微软雅黑"/>
                <w:b w:val="0"/>
                <w:i w:val="0"/>
                <w:sz w:val="18"/>
              </w:rPr>
              <w:t>工期与资料违约条款被业主武器化</w:t>
            </w:r>
          </w:p>
        </w:tc>
        <w:tc>
          <w:tcPr>
            <w:tcW w:type="dxa" w:w="2075"/>
          </w:tcPr>
          <w:p>
            <w:r/>
            <w:r>
              <w:rPr>
                <w:rFonts w:ascii="Calibri" w:hAnsi="Calibri" w:eastAsia="微软雅黑"/>
                <w:b w:val="0"/>
                <w:i w:val="0"/>
                <w:sz w:val="18"/>
              </w:rPr>
              <w:t>逾期竣工违约金5101490.1元；未按时提交竣工验收备案资料按每天1000元计违约金主张1984万元</w:t>
            </w:r>
          </w:p>
        </w:tc>
        <w:tc>
          <w:tcPr>
            <w:tcW w:type="dxa" w:w="2075"/>
          </w:tcPr>
          <w:p>
            <w:r/>
            <w:r>
              <w:rPr>
                <w:rFonts w:ascii="Calibri" w:hAnsi="Calibri" w:eastAsia="微软雅黑"/>
                <w:b w:val="0"/>
                <w:i w:val="0"/>
                <w:sz w:val="18"/>
              </w:rPr>
              <w:t>P1031</w:t>
            </w:r>
          </w:p>
        </w:tc>
      </w:tr>
      <w:tr>
        <w:tc>
          <w:tcPr>
            <w:tcW w:type="dxa" w:w="2075"/>
          </w:tcPr>
          <w:p>
            <w:r/>
            <w:r>
              <w:rPr>
                <w:rFonts w:ascii="Calibri" w:hAnsi="Calibri" w:eastAsia="微软雅黑"/>
                <w:b w:val="0"/>
                <w:i w:val="0"/>
                <w:sz w:val="18"/>
              </w:rPr>
              <w:t>冒名分包诈骗</w:t>
            </w:r>
          </w:p>
        </w:tc>
        <w:tc>
          <w:tcPr>
            <w:tcW w:type="dxa" w:w="2075"/>
          </w:tcPr>
          <w:p>
            <w:r/>
            <w:r>
              <w:rPr>
                <w:rFonts w:ascii="Calibri" w:hAnsi="Calibri" w:eastAsia="微软雅黑"/>
                <w:b w:val="0"/>
                <w:i w:val="0"/>
                <w:sz w:val="18"/>
              </w:rPr>
              <w:t>分包市场信息不透明留下监管真空</w:t>
            </w:r>
          </w:p>
        </w:tc>
        <w:tc>
          <w:tcPr>
            <w:tcW w:type="dxa" w:w="2075"/>
          </w:tcPr>
          <w:p>
            <w:r/>
            <w:r>
              <w:rPr>
                <w:rFonts w:ascii="Calibri" w:hAnsi="Calibri" w:eastAsia="微软雅黑"/>
                <w:b w:val="0"/>
                <w:i w:val="0"/>
                <w:sz w:val="18"/>
              </w:rPr>
              <w:t>伪造总包名义与公章收取保证金等，骗取860万元（其中200万元未遂）</w:t>
            </w:r>
          </w:p>
        </w:tc>
        <w:tc>
          <w:tcPr>
            <w:tcW w:type="dxa" w:w="2075"/>
          </w:tcPr>
          <w:p>
            <w:r/>
            <w:r>
              <w:rPr>
                <w:rFonts w:ascii="Calibri" w:hAnsi="Calibri" w:eastAsia="微软雅黑"/>
                <w:b w:val="0"/>
                <w:i w:val="0"/>
                <w:sz w:val="18"/>
              </w:rPr>
              <w:t>P1014</w:t>
            </w:r>
          </w:p>
        </w:tc>
      </w:tr>
    </w:tbl>
    <w:p>
      <w:r>
        <w:rPr>
          <w:rFonts w:ascii="Calibri" w:hAnsi="Calibri" w:eastAsia="微软雅黑"/>
          <w:b w:val="0"/>
          <w:i w:val="0"/>
          <w:sz w:val="22"/>
        </w:rPr>
        <w:t>八条通道之外，再补三组跨源聚合，把「两张皮」的账单加总到管理者一眼可见的量级。以下所有算式均以 bank 原数为输入，逐条标注 own_calc。</w:t>
      </w:r>
    </w:p>
    <w:p>
      <w:r>
        <w:rPr>
          <w:rFonts w:ascii="Calibri" w:hAnsi="Calibri" w:eastAsia="微软雅黑"/>
          <w:b/>
          <w:i w:val="0"/>
          <w:sz w:val="22"/>
        </w:rPr>
        <w:t>面板一：EPC 欠付规模。</w:t>
      </w:r>
      <w:r>
        <w:rPr>
          <w:rFonts w:ascii="Calibri" w:hAnsi="Calibri" w:eastAsia="微软雅黑"/>
          <w:b w:val="0"/>
          <w:i w:val="0"/>
          <w:sz w:val="22"/>
        </w:rPr>
        <w:t>金桂浆纸案欠付工程款7679.0761万元（P1018），赤天化案主张拖欠工程款131845782元（P1003），新疆电力设计院案欠付51,487,623.82元（P1030）。[估计] 三案欠付合计260124166.82元（own_calc：76790761＋131845782＋51487623.82，首项系金桂案7679.0761万元的元单位换算）——这还只是判决书末尾「欠付」一栏的合计，尚未计入停窝工损失、违约金与利息。[假设] 若按此量级外推，设计施工界面失控在总承包合同两端（承包商对业主、分包对总包）造成的资金占用，可能是工程企业现金流压力中未被单独列账的最大隐形科目；此假设有待行业财务数据检验。</w:t>
      </w:r>
    </w:p>
    <w:p>
      <w:r>
        <w:rPr>
          <w:rFonts w:ascii="Calibri" w:hAnsi="Calibri" w:eastAsia="微软雅黑"/>
          <w:b/>
          <w:i w:val="0"/>
          <w:sz w:val="22"/>
        </w:rPr>
        <w:t>面板二：投标压价。</w:t>
      </w:r>
      <w:r>
        <w:rPr>
          <w:rFonts w:ascii="Calibri" w:hAnsi="Calibri" w:eastAsia="微软雅黑"/>
          <w:b w:val="0"/>
          <w:i w:val="0"/>
          <w:sz w:val="22"/>
        </w:rPr>
        <w:t>五郎河水电 EPC 开标后、定标前，业主先后三次要求联营体降低报价：第一次从194351955元降至179173980元，第二次降至175318593元，第三次降至174318000元后才中标（P1017）。[估计] 定标前累计压价20033955元（own_calc：194351955−174318000），降幅约10.3%（own_calc：20033955÷194351955）。中标前被压掉约一成报价，承包商从进场第一天起就背着利润缺口施工，用后期变更与索赔回补成为不公开的生存策略——六环链条的第一环松动，早在开标桌前已经埋下。</w:t>
      </w:r>
    </w:p>
    <w:p>
      <w:r>
        <w:rPr>
          <w:rFonts w:ascii="Calibri" w:hAnsi="Calibri" w:eastAsia="微软雅黑"/>
          <w:b/>
          <w:i w:val="0"/>
          <w:sz w:val="22"/>
        </w:rPr>
        <w:t>面板三：预算与合同价的落差。</w:t>
      </w:r>
      <w:r>
        <w:rPr>
          <w:rFonts w:ascii="Calibri" w:hAnsi="Calibri" w:eastAsia="微软雅黑"/>
          <w:b w:val="0"/>
          <w:i w:val="0"/>
          <w:sz w:val="22"/>
        </w:rPr>
        <w:t>潘广松工厂项目三栋建筑：车间1建筑面积11280㎡、预算单价364.53元／㎡、预算造价4111945.39元、最终合同价3800000元；车间2建筑面积3350㎡、预算单价1192.09元／㎡、预算造价3993494.48元、最终合同价3685000元；宿舍建筑面积8578㎡、预算单价788.88元／㎡、预算造价6767053.59元、最终合同价6500000元（P1006）。[估计] 三栋预算造价合计14872493.46元（own_calc：4111945.39＋3993494.48＋6767053.59），三栋最终合同价合计13985000元（P1006），议价差额887493.46元（own_calc：14872493.46−13985000），占比约6.0%（own_calc：887493.46÷14872493.46）。这样的让价空间若无后期签证与变更回补机制，就是开工前预支的亏损——预算与合同价之间那道缝，正是结算桌上所有争吵的起点。顺带留意该案的工期颗粒度：车间1与宿舍按桩基础验收合格之日后200天（日历天）、车间2按140天（日历天）承诺（P1006）——在预算单价相差逾三倍、约3.27倍（own_calc：1192.09÷364.53）的两栋建筑之间，用同一张日历表管理工期，本身就是概算与工期两张皮的缩影。</w:t>
      </w:r>
    </w:p>
    <w:p>
      <w:r>
        <w:rPr>
          <w:rFonts w:ascii="Calibri" w:hAnsi="Calibri" w:eastAsia="微软雅黑"/>
          <w:b w:val="0"/>
          <w:i w:val="0"/>
          <w:sz w:val="22"/>
        </w:rPr>
        <w:t>三块面板合起来读：面板二显示利润在投标桌前已被削掉一成（P1017），面板三显示预算与合同价之间天然存在约6%的缝隙（own_calc：887493.46÷14872493.46，P1006），面板一显示履约过程再积累数千万量级的欠付与损失（P1018/P1003/P1030）。[预测] 若不设置对冲机制，三块面板的缺口会在项目终结时叠加为利润表上的负数——这正是下一小节要算的「时间账」：损失不仅在金额上累积，还在时间上滞留。</w:t>
      </w:r>
    </w:p>
    <w:p>
      <w:pPr>
        <w:pStyle w:val="Heading3"/>
      </w:pPr>
      <w:r>
        <w:t>1.2.5 损失外溢：从项目利润表涌向下游业主</w:t>
      </w:r>
    </w:p>
    <w:p>
      <w:r>
        <w:rPr>
          <w:rFonts w:ascii="Calibri" w:hAnsi="Calibri" w:eastAsia="微软雅黑"/>
          <w:b w:val="0"/>
          <w:i w:val="0"/>
          <w:sz w:val="22"/>
        </w:rPr>
        <w:t>两张皮的账单不只记在承包商名下，它沿着供应链向下游滚动。[事实] 荣耀公司与华荣公司案中，业主除主张逾期竣工违约金5101490.1元外，还主张因迟延交房已赔偿业主的损失578376元、正在诉讼的404022.86元损失，以及实际发生的维修费530377元、外墙面砖与房屋渗漏等整改费用7603638.7元（P1031）。[事实] 在商品房销售端，逾期交房按已付款的每日万分之三计违约金（P1033）；实测面积与预测面积的偏差把一套房的总价款从3820800元推到3893598元（P1032）。[事实] 济宁某项目里，五份施工合同执行下来，业主主张72万元经济损失之外追加维修费用117800元（P1022）。设计施工脱节的成本，最终被转嫁到每一个购房人与使用单位头上——这也是为什么监管与司法对两张皮持续收紧：损失从来不会停在项目围墙内。</w:t>
      </w:r>
    </w:p>
    <w:p>
      <w:pPr>
        <w:pStyle w:val="Heading3"/>
      </w:pPr>
      <w:r>
        <w:t>1.2.6 损失确认的时滞：从完工到落袋有多远</w:t>
      </w:r>
    </w:p>
    <w:p>
      <w:r>
        <w:rPr>
          <w:rFonts w:ascii="Calibri" w:hAnsi="Calibri" w:eastAsia="微软雅黑"/>
          <w:b w:val="0"/>
          <w:i w:val="0"/>
          <w:sz w:val="22"/>
        </w:rPr>
        <w:t>金额之外，两张皮还有第二个杀伤维度：时间。损失不是在发生时被确认，而是在结算时被「发现」，中间隔着以年计的时滞——这段时间里，承包商的资产负债表上挂着一笔既不能核销、也不能融资的应收。[事实] 新疆电力设计院案的结算轨迹：2014年1月15日出具《竣工结算书》，金额278,204,693元；2017年8月17日才出具终局审定意见，金额282,962,209元（P1030）。[估计] 一纸终局结算走了三年半以上，约43个月（own_calc：2017年8月17日−2014年1月15日），而工程本身2015年已通过竣工验收（P1030）。[事实] 皇家丽景案更典型：一期工程2011年12月22日竣工，二、三期工程2012年5月30日竣工验收合格并交付（P1015）；承包商随后按中标备案合同提交结算资料，业主拖延结算、未出具结算（P1015）；至2014年12月23日法院立案受理时（P1015），[估计] 竣工到立案已约31个月（own_calc：2014年12月23日−2012年5月30日）——两倍于妊娠期的时间耗在等待结算。</w:t>
      </w:r>
    </w:p>
    <w:p>
      <w:r>
        <w:rPr>
          <w:rFonts w:ascii="Calibri" w:hAnsi="Calibri" w:eastAsia="微软雅黑"/>
          <w:b w:val="0"/>
          <w:i w:val="0"/>
          <w:sz w:val="22"/>
        </w:rPr>
        <w:t>时滞的财务成本可以按判例利率折算。[事实] 新疆电力设计院案中，51,487,623.82元欠款按银行同期存款利率年2.75%计算54个月，利息即为6,569,761.96元（P1030）——即便按最温和的存款利率，四年半的资金占用也烧掉六百多万元。[事实] 皇家丽景案合同约定按每日万分之三支付逾期违约金（P1015）。[估计] 每日万分之三折合年化约10.95%（own_calc：日万分之三×365），是前述存款利率的四倍——利率差本身说明：资金占用的成本取决于合同怎么写，而不是取决于占用了多久。[事实] 重庆一品案中，进度款违约金以8576021.90元为基数按年利率24%计（P1004）——在没有约定上限的争议里，时间成本还能涨得更高。</w:t>
      </w:r>
    </w:p>
    <w:p>
      <w:r>
        <w:rPr>
          <w:rFonts w:ascii="Calibri" w:hAnsi="Calibri" w:eastAsia="微软雅黑"/>
          <w:b w:val="0"/>
          <w:i w:val="0"/>
          <w:sz w:val="22"/>
        </w:rPr>
        <w:t>对付时滞，判例里同样留了工具。[事实] 苏南特装案的钥匙是一纸审核期限条款：协议约定自2010年1月27日起70天内负责审核完成，如未能在此时间内审核完成，双方同意执行财政部财建（2004）369号《建设工程价款结算暂行办法》（P1007）；该办法的相关规定是——发包人收到竣工结算报告及完整的结算资料后，在办法规定或合同约定期限内对结算报告及资料没有提出意见，则视为认可（P1007）。[事实] 这一条款的现实威力在另一段事实里显形：涉案送审造价共计30636998.18元，初审即核减3591240.95元（P1007）——若无期限条款兜底，核减战还能再打数年。[建议] 把「70天审核期+逾期视为认可」（P1007）与「咨询审定终局」（P1030）两类条款按项目结算复杂度择一写入合同，验证条件是结算资料移交单上有各方签收日期，停止条件是业主拒签期限条款时按无条款情形预留争议成本与融资成本两笔预算。</w:t>
      </w:r>
    </w:p>
    <w:p>
      <w:pPr>
        <w:pStyle w:val="Heading2"/>
      </w:pPr>
      <w:r>
        <w:t>1.3 司法证据切片：判例里的「两张皮」价目表</w:t>
      </w:r>
    </w:p>
    <w:p>
      <w:r>
        <w:rPr>
          <w:rFonts w:ascii="Calibri" w:hAnsi="Calibri" w:eastAsia="微软雅黑"/>
          <w:b w:val="0"/>
          <w:i w:val="0"/>
          <w:sz w:val="22"/>
        </w:rPr>
        <w:t>机理讲完，让判例说话。以下六个案例来自本章证据库的裁判文书切片（P1003-P1034），覆盖 EPC 主合同结算、合同效力、设计滞后解约、结算审定机制、规划调整、劳务分包六种形态。它们不是极端个案的展览，而是每一类断点的标准像。</w:t>
      </w:r>
    </w:p>
    <w:p>
      <w:pPr>
        <w:pStyle w:val="Heading3"/>
      </w:pPr>
      <w:r>
        <w:t>1.3.1 金桂浆纸案：一份 EPC 合同的结算解剖书</w:t>
      </w:r>
    </w:p>
    <w:p>
      <w:r>
        <w:rPr>
          <w:rFonts w:ascii="Calibri" w:hAnsi="Calibri" w:eastAsia="微软雅黑"/>
          <w:b w:val="0"/>
          <w:i w:val="0"/>
          <w:sz w:val="22"/>
        </w:rPr>
        <w:t>[事实] 2006年11月28日，中国电力工程顾问集团中南电力设计院与广西金桂浆纸业签订《工程总承包采购合同》，中南院以 EPC 方式承建金光工业园动力电厂 1、2 号机组，合同总价92000万元，其中设备采购合同价格60500万元、服务合同价格4665万元、土建安装合同价格26835万元（P1018）。own_calc: 60500+4665+26835=92000，三大块口径吻合。</w:t>
      </w:r>
    </w:p>
    <w:p>
      <w:r>
        <w:rPr>
          <w:rFonts w:ascii="Calibri" w:hAnsi="Calibri" w:eastAsia="微软雅黑"/>
          <w:b w:val="0"/>
          <w:i w:val="0"/>
          <w:sz w:val="22"/>
        </w:rPr>
        <w:t>履约中承包范围以补充协议及会议纪要方式多次调整：服务费用调整为5374.498万元（其中含增加的 1 号机组延期补偿款709.498万元）、设备采购费用调整为64343万元、土建费用调整为7770.502万元、安装费用调整为13135.4046万元，调整后合同总价90623.4046万元（P1018）。own_calc: 5374.498+64343+7770.502+13135.4046=90623.4046，吻合。再加因业主原因的工程范围与内容变更应增费用1288.8979万元，应付款合计91912.3025万元（P1018）。own_calc: 90623.4046+1288.8979=91912.3025。业主已付84233.2264万元，尚欠7679.0761万元（P1018）。own_calc: 91912.3025−84233.2264=7679.0761。此外中南院诉请 2 号机组工期延误停窝工18个月的损失2090.072万元，以及逾期付款利息533.16万元（P1018）。</w:t>
      </w:r>
    </w:p>
    <w:p>
      <w:r>
        <w:rPr>
          <w:rFonts w:ascii="Calibri" w:hAnsi="Calibri" w:eastAsia="微软雅黑"/>
          <w:b w:val="0"/>
          <w:i w:val="0"/>
          <w:sz w:val="22"/>
        </w:rPr>
        <w:t>这份判决书值得管理者逐字读的，是三个细节。其一，界面调整全部通过补充协议与会议纪要落纸（P1018）——本案承包商能把二十亿元量级的账算到分毫不差，前提是每一次范围调整都有书面痕迹。其二，同为停窝工，1 号机组的延期有709.498万元补偿款并已计入价款（P1018），2 号机组停窝工18个月的2090.072万元却被业主拒付（P1018）——一份有协议背书，一份只有损失事实，命运的分野不在事实而在证据形态。其三，纠纷根因之一被指为业主资金不足（P1018）——一体化模式并不自动筛选业主信用，EPC 的「包干」外衣掩盖的是业主支付能力这道更原始的风险。[建议] 从本案可提炼的机制是：停窝工损失确认必须与停窝工事件同步落纸（补充协议或会议纪要），事后单独追认的胜率远低于同步确认；验证条件是项目月报里能否逐月找到与停工事件对得上号的书面文件，停止条件是若连续两个停工事件无同步书面记录，应立即升级至公司层面法务介入。</w:t>
      </w:r>
    </w:p>
    <w:p>
      <w:pPr>
        <w:pStyle w:val="Heading3"/>
      </w:pPr>
      <w:r>
        <w:t>1.3.2 赤天化案：合同效力与窝工证据的双重断裂</w:t>
      </w:r>
    </w:p>
    <w:p>
      <w:r>
        <w:rPr>
          <w:rFonts w:ascii="Calibri" w:hAnsi="Calibri" w:eastAsia="微软雅黑"/>
          <w:b w:val="0"/>
          <w:i w:val="0"/>
          <w:sz w:val="22"/>
        </w:rPr>
        <w:t>[事实] 桐梓煤化工一期工程热电及公用工程 EPC 总承包合同签订于2008年5月29日；电建公司的投标总价为521965260元，而合同约定的工程价款为460436515元，承包商据此主张合同违反招标投标法第四十六条及实施条例第五十七条、应属无效，并诉请支付拖欠的工程款项131845782元（P1003）。[估计] 中标价与合同价相差61528745元（own_calc：521965260−460436515），占投标总价约11.8%（own_calc：61528745÷521965260）。无论效力之争结局如何，这个差额本身说明：两张皮不仅存在于设计与施工之间，也存在于招标与签约之间——招标界面的承诺与合同界面的条款各说各话，为日后每一项争议预装了引信。</w:t>
      </w:r>
    </w:p>
    <w:p>
      <w:r>
        <w:rPr>
          <w:rFonts w:ascii="Calibri" w:hAnsi="Calibri" w:eastAsia="微软雅黑"/>
          <w:b w:val="0"/>
          <w:i w:val="0"/>
          <w:sz w:val="22"/>
        </w:rPr>
        <w:t>更具教训价值的是窝工索赔的败因。[事实] 赤天化公司逾期移交施工平台的事实确实存在，但电建公司仅提出窝工事实，未按合同约定的方式向业主、监理单位报送损失金额、停工时长、停工原因的报告（P1003）；鉴定机构基于推断作出的「合同条件不足调整部分」推算金额，被对方以缺乏事实根据对抗（P1003）。——事实成立、损失仍在、报告缺位，索赔便折在最后一公里。这与 1.2 节三大漏洞中「签证证据不全」完全同构。[事实] 更值得玩味的是界面错位：三大主机由业主负责采购，而相关设备材料的催交、催运直至运抵现场等工作都压在承包商头上（P1003）——业主握着货期，承包商背着工期，采购与施工的又一层皮。[事实] 本案还有一条与全书主题直接相关的争点：承包商主张业主将整体项目进行拆分立项、违反企业投资项目核准管理规定（P1003）——分拆立项、分拆履约正是 EPC 界面失控的高发形态，金融机构融资约束下的 E/P/C 分拆交易结构在实务中长期存在（P1000/P1001）。分拆得越细，界面越多；界面越多，三堵墙上的收费站越密——本案从效力之争到证据之争的全过程，就是分拆界面失控的标准剧本。[建议] 把「损失金额、停工时长、停工原因」三要素报告设为项目经理的强制动作而非可选动作；验证条件为每月签证台账三要素齐全率百分之百，停止条件为任一季度齐全率低于九成即启动外部法务复核。</w:t>
      </w:r>
    </w:p>
    <w:p>
      <w:pPr>
        <w:pStyle w:val="Heading3"/>
      </w:pPr>
      <w:r>
        <w:t>1.3.3 修水 EPC 案：设计滞后的连锁塌方</w:t>
      </w:r>
    </w:p>
    <w:p>
      <w:r>
        <w:rPr>
          <w:rFonts w:ascii="Calibri" w:hAnsi="Calibri" w:eastAsia="微软雅黑"/>
          <w:b w:val="0"/>
          <w:i w:val="0"/>
          <w:sz w:val="22"/>
        </w:rPr>
        <w:t>[事实] 修水县东津水库至竹坪河水系连通项目，电建西北院与降龙公司组成联合体中标 EPC 勘测设计施工总承包，合同工期自2016年11月16日至2019年5月15日共30个月，一期计划实施约9500万元（P1025）。开工后，联合体设计进度严重滞后，关键岗位人员一直未能按投标文件承诺到岗到位，关键设备未能如期进场，工程进展缓慢，工期延误严重；经业主与监理单位一再催告仍未纠正，承诺的设计施工关键节点目标均未能按时实现（P1025）。2017年9月26日业主发出解除合同通知，随后提起诉讼，请求返还工程预付款1400万元、赔偿损失5029.3万元，两项共计6429.3万元（P1025，own_calc：1400＋5029.3＝6429.3，口径吻合）。</w:t>
      </w:r>
    </w:p>
    <w:p>
      <w:r>
        <w:rPr>
          <w:rFonts w:ascii="Calibri" w:hAnsi="Calibri" w:eastAsia="微软雅黑"/>
          <w:b w:val="0"/>
          <w:i w:val="0"/>
          <w:sz w:val="22"/>
        </w:rPr>
        <w:t>本案把「设计拖后腿」翻译成了价目。[估计] 一个约9500万元的一期盘子（P1025），换来争议标的约达其三分之二、约67.7%（own_calc：6429.3÷9500）的追偿诉讼（P1025）。联合体结构下，设计院的进度债务由整个联合体连带偿还；施工企业选择设计院组队时，最少被计算的就是这笔或有负债——设计进度的每一个滞后节点，都在联合体的连带账户上计息。[事实] 本案还有一个常被忽略的细节：项目经理、勘察设计负责人、施工负责人、施工技术负责人的名单与到岗义务都写进了合同（P1025），而违约事实恰以「关键岗位人员未能按投标承诺到岗」的形态出现——纸面上的组织一体化条款，若无到岗核查机制兜底，只是把违约事实写得更好认定而已。</w:t>
      </w:r>
    </w:p>
    <w:p>
      <w:r>
        <w:rPr>
          <w:rFonts w:ascii="Calibri" w:hAnsi="Calibri" w:eastAsia="微软雅黑"/>
          <w:b w:val="0"/>
          <w:i w:val="0"/>
          <w:sz w:val="22"/>
        </w:rPr>
        <w:t>复盘这张违约清单，可以看出「联合体」这个组织形态在两张皮语境下的特殊脆弱性：联合体把两个法人捆在一个合同里，却没有自动合并两套管理系统。设计院按自己的出图节奏排产，施工企业按自己的流水节拍要图，两套节奏之间没有缓冲库存——图纸就是施工的库存。库存断供在制造业会立即触发停产预警，在工程业却被「边施工边出图」（P1016）这类权宜安排掩盖，直到工期损失大到无法再用赶工消化。本案业主的解约与追偿动作发生在开工后约十个月（2016年11月21日批复开工至2017年9月26日解除通知，P1025），[估计] 约合10个月（own_calc：2017年9月26日−2016年11月21日）——对一个30个月工期的项目（P1025），业主在总工期三分之一处即失去耐心，说明设计滞后的信号早就充分暴露，缺的不是信息而是纠偏机制。</w:t>
      </w:r>
    </w:p>
    <w:p>
      <w:pPr>
        <w:pStyle w:val="Heading3"/>
      </w:pPr>
      <w:r>
        <w:t>1.3.4 新疆电力设计院案：把结算写死在合同里的正面样本</w:t>
      </w:r>
    </w:p>
    <w:p>
      <w:r>
        <w:rPr>
          <w:rFonts w:ascii="Calibri" w:hAnsi="Calibri" w:eastAsia="微软雅黑"/>
          <w:b w:val="0"/>
          <w:i w:val="0"/>
          <w:sz w:val="22"/>
        </w:rPr>
        <w:t>前三个案例都在展示断点，这一个展示的是另一条路。[事实] 本案三方在《合同补充附件》中约定：共同委托具有甲级资质的造价咨询公司进行工程结算，三方一致同意以咨询公司审定结果作为工程量与总造价的终局依据（条款原文表述为「唯一标准」）；咨询公司的最终结算总价一经告知立即生效，任何一方拒绝接受的表示或行为均不影响该结果生效（P1030）。结算的执行轨迹：2014年1月15日出具的《竣工结算书》在只计入部分设计变更及经济签证的基础上，结算金额为278,204,693元；2017年8月17日造价咨询事务所出具结算意见，核定工程结算审定价为282,962,209元；三方随后签署《工程联系单》确认（P1030）。[估计] 三年间后补进来的变更与签证增量4,757,516元（own_calc：282,962,209−278,204,693）。2015年12月1日对账：累计已付231,474,585.18元，尚欠51,487,623.82元（P1030，own_calc：282,962,209−231,474,585.18＝51,487,623.82，口径吻合）。利息按年利率2.75%计算54个月，为6,569,761.96元（P1030）。</w:t>
      </w:r>
    </w:p>
    <w:p>
      <w:r>
        <w:rPr>
          <w:rFonts w:ascii="Calibri" w:hAnsi="Calibri" w:eastAsia="微软雅黑"/>
          <w:b w:val="0"/>
          <w:i w:val="0"/>
          <w:sz w:val="22"/>
        </w:rPr>
        <w:t>对照四川电力设计咨询案恰好构成一组制度对照。[事实] 后者约定总价包干，双方就「合同内工程量是否需要鉴定」缠斗至再审——最高院司法解释第22条：当事人约定按照固定价结算工程价款，一方当事人请求对建设工程造价进行鉴定的，不予支持（P1016）；而二审认定的事实是：招标时并未提供施工图，是在施工过程中边施工边提供施工详图（P1016），二次复测费用78066元亦成争点（P1016）。[事实] 边施工边出图意味着「按图施工」这个施工合同的根基是流动的——总价包干包住的是一个尚未画完的工程，争议只是时间问题而非运气问题。[建议] 结算条款设计的两条路各有适用前提：咨询审定终局制（P1030）适合变更频密、图纸深度不足的项目；固定价加限制鉴定制（P1016）仅适合图纸完备、范围锁死的项目。验证条件是投标阶段图纸完备度评审；停止条件是关键专业施工图缺失时禁用固定总价口径。</w:t>
      </w:r>
    </w:p>
    <w:p>
      <w:pPr>
        <w:pStyle w:val="Heading3"/>
      </w:pPr>
      <w:r>
        <w:t>1.3.5 武汉四建案：一次规划调整如何肢解固定总价</w:t>
      </w:r>
    </w:p>
    <w:p>
      <w:r>
        <w:rPr>
          <w:rFonts w:ascii="Calibri" w:hAnsi="Calibri" w:eastAsia="微软雅黑"/>
          <w:b w:val="0"/>
          <w:i w:val="0"/>
          <w:sz w:val="22"/>
        </w:rPr>
        <w:t>[事实] 嘉锦苑项目 1#、2# 住宅楼采用合同固定总价3350.2089万元；3#楼原设计为地下2层、地上1层（25米高），业主临时决定调整为地下2层、地上5层，因此需要对 3# 楼重新进行设计，并重新申报建设工程规划许可证（P1028）。业主迟迟办不下 3# 楼的规划与施工许可手续，施工方在手续欠缺的情况下自2010年9月中旬起断续施工；1#、2# 楼于2011年12月28日交付业主使用，3# 楼延迟至2013年1月11日才办理完竣工验收（P1028）。结算口径随之分裂：合同内3350.2089万元，加合同外工程597.6953万元，加 3# 楼按定额据实结算4471.1532万元，加开闭所工程款37.3081万元与配合费10万元，应结工程款总额8466.3655万元（P1028，own_calc：3350.2089＋597.6953＋4471.1532＋37.3081＋10＝8466.3655，口径吻合）。[估计] 3# 楼据实结算部分占到应结总额的一半以上，约52.8%（own_calc：4471.1532÷8466.3655）——一个规划调整就把「固定总价」变成了「起点参考价」。本案的传导链值得慢读：规划调整→重新设计→重新报规→手续悬空→断续施工→工期失控→材料人工涨价→据实结算——设计输入的一次变动，经过组织墙与流程墙的逐级放大，最后落在结算桌上时，原合同的价格机制已经名存实亡。</w:t>
      </w:r>
    </w:p>
    <w:p>
      <w:r>
        <w:rPr>
          <w:rFonts w:ascii="Calibri" w:hAnsi="Calibri" w:eastAsia="微软雅黑"/>
          <w:b w:val="0"/>
          <w:i w:val="0"/>
          <w:sz w:val="22"/>
        </w:rPr>
        <w:t>这条传导链上还有一个审计视角的注脚。施工方在 3# 楼规划调整、建管手续仍欠缺的情况下，为了项目整体施工的需要自2010年9月中旬起断断续续施工（P1028）——这正是「先施工后补手续」（P1008）的现场版。手续欠缺期的施工产值，在结算与审计两端都要打折：承包商要证明手续欠缺非己方原因，还要证明该期间产值的计量边界。本案承包商最终能把 3# 楼按定额据实结算到4471.1532万元（own_calc：8466.3655−3350.2089−597.6953−37.3081−10，P1028），前提正是把「手续欠缺归业主、材料人工涨价有实据」两件事同时说清——[建议] 手续缺口期的施工决策应当留下书面指令链（谁决定继续施工、依据什么、范围多大），验证条件是每月手续状态清单与施工范围指令一一对应，停止条件是手续缺口超过一个报批周期而无书面决策时暂停相关区段施工并书面通知。</w:t>
      </w:r>
    </w:p>
    <w:p>
      <w:pPr>
        <w:pStyle w:val="Heading3"/>
      </w:pPr>
      <w:r>
        <w:t>1.3.6 劳务与分包层：损失链的最后一公里</w:t>
      </w:r>
    </w:p>
    <w:p>
      <w:r>
        <w:rPr>
          <w:rFonts w:ascii="Calibri" w:hAnsi="Calibri" w:eastAsia="微软雅黑"/>
          <w:b w:val="0"/>
          <w:i w:val="0"/>
          <w:sz w:val="22"/>
        </w:rPr>
        <w:t>两张皮的损失在分包与劳务层完成最后一跳。[事实] 中冶天工十三冶与重庆万山劳务案：系争工程结算金额13，159，890.17元，扣除5%质保金后应付款项12，501，895.66元，而总包已支付工程款14，778，673.28元，反以鉴定结论为准主张超付3，153，559.93元，并索赔质量问题损失60万元、扣代缴税金276，782.31元（P1019）。[估计] 即便质量索赔60万元全额成立，已付款与应付款之间仍有1676777.62元的口径黑洞（own_calc：14，778，673.28−12，501，895.66−600000）——两层主体之间连「付了多少、该付多少」都没有共同的账。</w:t>
      </w:r>
    </w:p>
    <w:p>
      <w:r>
        <w:rPr>
          <w:rFonts w:ascii="Calibri" w:hAnsi="Calibri" w:eastAsia="微软雅黑"/>
          <w:b w:val="0"/>
          <w:i w:val="0"/>
          <w:sz w:val="22"/>
        </w:rPr>
        <w:t>[事实] 刘兆伟案里，实际施工人请求支付工程劳务费29429235.05元及购置模板、螺杆、轮扣、钢管等损失6658434.37元（P1023）；股权穿透显示，开平住建法定代表人持有该公司70%的股权，又通过第三方间接持股60%（P1023）——发包、分包、劳务三层的利益纠缠，是转包挂靠屡禁不止的结构土壤。[事实] 山西亚能案二审暴露的追偿困境更直白：按一审法院的逻辑，本案需要打四场追偿诉讼才能最终厘清各方的欠款（P1034）。[事实] 李正华合同诈骗案把这一层的风险推到极端：浪卡子光伏并网发电项目真实存在、由四川电力设计咨询有限责任公司总承包设计施工、2017年1月18日开工、同年5月20日并网发电（P1014）；李正华在未取得该项目发包、分包权的情况下，谎称中国电建系总承包方，伪造公章与劳务总包合同、保证金收据、红头文件、进场通知书、工程量分配单，以明依公司、宏武公司名义与多名被害人签订劳务施工合同，以保证金、业务拓展费名义骗取共计860万元，其中200万元未遂（P1014）。——项目分包信息不透明到可以让第三方行骗得手，这在信息流贯通的一体化交付体系内本应有天然免疫。</w:t>
      </w:r>
    </w:p>
    <w:p>
      <w:pPr>
        <w:pStyle w:val="Heading3"/>
      </w:pPr>
      <w:r>
        <w:t>1.3.7 价目表汇总：把断点钉在案号上</w:t>
      </w:r>
    </w:p>
    <w:p>
      <w:r>
        <w:rPr>
          <w:rFonts w:ascii="Calibri" w:hAnsi="Calibri" w:eastAsia="微软雅黑"/>
          <w:b/>
          <w:i w:val="0"/>
          <w:sz w:val="22"/>
        </w:rPr>
        <w:t>表 1-3 「两张皮」判例价目表（按争议金额与断点类型）</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案例</w:t>
            </w:r>
          </w:p>
        </w:tc>
        <w:tc>
          <w:tcPr>
            <w:tcW w:type="dxa" w:w="1660"/>
            <w:shd w:fill="1F3A5F"/>
          </w:tcPr>
          <w:p>
            <w:r>
              <w:rPr>
                <w:color w:val="FFFFFF"/>
              </w:rPr>
            </w:r>
            <w:r>
              <w:rPr>
                <w:rFonts w:ascii="Calibri" w:hAnsi="Calibri" w:eastAsia="微软雅黑"/>
                <w:b/>
                <w:i w:val="0"/>
                <w:color w:val="FFFFFF"/>
                <w:sz w:val="18"/>
              </w:rPr>
              <w:t>案号/项目</w:t>
            </w:r>
          </w:p>
        </w:tc>
        <w:tc>
          <w:tcPr>
            <w:tcW w:type="dxa" w:w="1660"/>
            <w:shd w:fill="1F3A5F"/>
          </w:tcPr>
          <w:p>
            <w:r>
              <w:rPr>
                <w:color w:val="FFFFFF"/>
              </w:rPr>
            </w:r>
            <w:r>
              <w:rPr>
                <w:rFonts w:ascii="Calibri" w:hAnsi="Calibri" w:eastAsia="微软雅黑"/>
                <w:b/>
                <w:i w:val="0"/>
                <w:color w:val="FFFFFF"/>
                <w:sz w:val="18"/>
              </w:rPr>
              <w:t>两张皮断点</w:t>
            </w:r>
          </w:p>
        </w:tc>
        <w:tc>
          <w:tcPr>
            <w:tcW w:type="dxa" w:w="1660"/>
            <w:shd w:fill="1F3A5F"/>
          </w:tcPr>
          <w:p>
            <w:r>
              <w:rPr>
                <w:color w:val="FFFFFF"/>
              </w:rPr>
            </w:r>
            <w:r>
              <w:rPr>
                <w:rFonts w:ascii="Calibri" w:hAnsi="Calibri" w:eastAsia="微软雅黑"/>
                <w:b/>
                <w:i w:val="0"/>
                <w:color w:val="FFFFFF"/>
                <w:sz w:val="18"/>
              </w:rPr>
              <w:t>关键金额（bank 原形）</w:t>
            </w:r>
          </w:p>
        </w:tc>
        <w:tc>
          <w:tcPr>
            <w:tcW w:type="dxa" w:w="1660"/>
            <w:shd w:fill="1F3A5F"/>
          </w:tcPr>
          <w:p>
            <w:r>
              <w:rPr>
                <w:color w:val="FFFFFF"/>
              </w:rPr>
            </w:r>
            <w:r>
              <w:rPr>
                <w:rFonts w:ascii="Calibri" w:hAnsi="Calibri" w:eastAsia="微软雅黑"/>
                <w:b/>
                <w:i w:val="0"/>
                <w:color w:val="FFFFFF"/>
                <w:sz w:val="18"/>
              </w:rPr>
              <w:t>证据锚</w:t>
            </w:r>
          </w:p>
        </w:tc>
      </w:tr>
      <w:tr>
        <w:tc>
          <w:tcPr>
            <w:tcW w:type="dxa" w:w="1660"/>
          </w:tcPr>
          <w:p>
            <w:r/>
            <w:r>
              <w:rPr>
                <w:rFonts w:ascii="Calibri" w:hAnsi="Calibri" w:eastAsia="微软雅黑"/>
                <w:b w:val="0"/>
                <w:i w:val="0"/>
                <w:sz w:val="18"/>
              </w:rPr>
              <w:t>金桂浆纸动力电厂</w:t>
            </w:r>
          </w:p>
        </w:tc>
        <w:tc>
          <w:tcPr>
            <w:tcW w:type="dxa" w:w="1660"/>
          </w:tcPr>
          <w:p>
            <w:r/>
            <w:r>
              <w:rPr>
                <w:rFonts w:ascii="Calibri" w:hAnsi="Calibri" w:eastAsia="微软雅黑"/>
                <w:b w:val="0"/>
                <w:i w:val="0"/>
                <w:sz w:val="18"/>
              </w:rPr>
              <w:t>（2015）桂民一初字第4号</w:t>
            </w:r>
          </w:p>
        </w:tc>
        <w:tc>
          <w:tcPr>
            <w:tcW w:type="dxa" w:w="1660"/>
          </w:tcPr>
          <w:p>
            <w:r/>
            <w:r>
              <w:rPr>
                <w:rFonts w:ascii="Calibri" w:hAnsi="Calibri" w:eastAsia="微软雅黑"/>
                <w:b w:val="0"/>
                <w:i w:val="0"/>
                <w:sz w:val="18"/>
              </w:rPr>
              <w:t>EPC 界面调整依赖补充协议；停窝工确认不同步</w:t>
            </w:r>
          </w:p>
        </w:tc>
        <w:tc>
          <w:tcPr>
            <w:tcW w:type="dxa" w:w="1660"/>
          </w:tcPr>
          <w:p>
            <w:r/>
            <w:r>
              <w:rPr>
                <w:rFonts w:ascii="Calibri" w:hAnsi="Calibri" w:eastAsia="微软雅黑"/>
                <w:b w:val="0"/>
                <w:i w:val="0"/>
                <w:sz w:val="18"/>
              </w:rPr>
              <w:t>合同总价92000万元；欠付7679.0761万元；停窝工损失2090.072万元；利息533.16万元</w:t>
            </w:r>
          </w:p>
        </w:tc>
        <w:tc>
          <w:tcPr>
            <w:tcW w:type="dxa" w:w="1660"/>
          </w:tcPr>
          <w:p>
            <w:r/>
            <w:r>
              <w:rPr>
                <w:rFonts w:ascii="Calibri" w:hAnsi="Calibri" w:eastAsia="微软雅黑"/>
                <w:b w:val="0"/>
                <w:i w:val="0"/>
                <w:sz w:val="18"/>
              </w:rPr>
              <w:t>P1018</w:t>
            </w:r>
          </w:p>
        </w:tc>
      </w:tr>
      <w:tr>
        <w:tc>
          <w:tcPr>
            <w:tcW w:type="dxa" w:w="1660"/>
          </w:tcPr>
          <w:p>
            <w:r/>
            <w:r>
              <w:rPr>
                <w:rFonts w:ascii="Calibri" w:hAnsi="Calibri" w:eastAsia="微软雅黑"/>
                <w:b w:val="0"/>
                <w:i w:val="0"/>
                <w:sz w:val="18"/>
              </w:rPr>
              <w:t>桐梓煤化工热电公用工程</w:t>
            </w:r>
          </w:p>
        </w:tc>
        <w:tc>
          <w:tcPr>
            <w:tcW w:type="dxa" w:w="1660"/>
          </w:tcPr>
          <w:p>
            <w:r/>
            <w:r>
              <w:rPr>
                <w:rFonts w:ascii="Calibri" w:hAnsi="Calibri" w:eastAsia="微软雅黑"/>
                <w:b w:val="0"/>
                <w:i w:val="0"/>
                <w:sz w:val="18"/>
              </w:rPr>
              <w:t>（2019）最高法民终1356号</w:t>
            </w:r>
          </w:p>
        </w:tc>
        <w:tc>
          <w:tcPr>
            <w:tcW w:type="dxa" w:w="1660"/>
          </w:tcPr>
          <w:p>
            <w:r/>
            <w:r>
              <w:rPr>
                <w:rFonts w:ascii="Calibri" w:hAnsi="Calibri" w:eastAsia="微软雅黑"/>
                <w:b w:val="0"/>
                <w:i w:val="0"/>
                <w:sz w:val="18"/>
              </w:rPr>
              <w:t>招标价与合同价分裂；窝工未按约报送三要素</w:t>
            </w:r>
          </w:p>
        </w:tc>
        <w:tc>
          <w:tcPr>
            <w:tcW w:type="dxa" w:w="1660"/>
          </w:tcPr>
          <w:p>
            <w:r/>
            <w:r>
              <w:rPr>
                <w:rFonts w:ascii="Calibri" w:hAnsi="Calibri" w:eastAsia="微软雅黑"/>
                <w:b w:val="0"/>
                <w:i w:val="0"/>
                <w:sz w:val="18"/>
              </w:rPr>
              <w:t>投标总价521965260元；合同价款460436515元；主张欠款131845782元</w:t>
            </w:r>
          </w:p>
        </w:tc>
        <w:tc>
          <w:tcPr>
            <w:tcW w:type="dxa" w:w="1660"/>
          </w:tcPr>
          <w:p>
            <w:r/>
            <w:r>
              <w:rPr>
                <w:rFonts w:ascii="Calibri" w:hAnsi="Calibri" w:eastAsia="微软雅黑"/>
                <w:b w:val="0"/>
                <w:i w:val="0"/>
                <w:sz w:val="18"/>
              </w:rPr>
              <w:t>P1003</w:t>
            </w:r>
          </w:p>
        </w:tc>
      </w:tr>
      <w:tr>
        <w:tc>
          <w:tcPr>
            <w:tcW w:type="dxa" w:w="1660"/>
          </w:tcPr>
          <w:p>
            <w:r/>
            <w:r>
              <w:rPr>
                <w:rFonts w:ascii="Calibri" w:hAnsi="Calibri" w:eastAsia="微软雅黑"/>
                <w:b w:val="0"/>
                <w:i w:val="0"/>
                <w:sz w:val="18"/>
              </w:rPr>
              <w:t>五郎河水电站 EPC</w:t>
            </w:r>
          </w:p>
        </w:tc>
        <w:tc>
          <w:tcPr>
            <w:tcW w:type="dxa" w:w="1660"/>
          </w:tcPr>
          <w:p>
            <w:r/>
            <w:r>
              <w:rPr>
                <w:rFonts w:ascii="Calibri" w:hAnsi="Calibri" w:eastAsia="微软雅黑"/>
                <w:b w:val="0"/>
                <w:i w:val="0"/>
                <w:sz w:val="18"/>
              </w:rPr>
              <w:t>（2018）云民初168号</w:t>
            </w:r>
          </w:p>
        </w:tc>
        <w:tc>
          <w:tcPr>
            <w:tcW w:type="dxa" w:w="1660"/>
          </w:tcPr>
          <w:p>
            <w:r/>
            <w:r>
              <w:rPr>
                <w:rFonts w:ascii="Calibri" w:hAnsi="Calibri" w:eastAsia="微软雅黑"/>
                <w:b w:val="0"/>
                <w:i w:val="0"/>
                <w:sz w:val="18"/>
              </w:rPr>
              <w:t>定标前压价；中标效力之争</w:t>
            </w:r>
          </w:p>
        </w:tc>
        <w:tc>
          <w:tcPr>
            <w:tcW w:type="dxa" w:w="1660"/>
          </w:tcPr>
          <w:p>
            <w:r/>
            <w:r>
              <w:rPr>
                <w:rFonts w:ascii="Calibri" w:hAnsi="Calibri" w:eastAsia="微软雅黑"/>
                <w:b w:val="0"/>
                <w:i w:val="0"/>
                <w:sz w:val="18"/>
              </w:rPr>
              <w:t>中标价174318000元；欠付工程款38672952元；损失10610000元；暂计利息7756075元</w:t>
            </w:r>
          </w:p>
        </w:tc>
        <w:tc>
          <w:tcPr>
            <w:tcW w:type="dxa" w:w="1660"/>
          </w:tcPr>
          <w:p>
            <w:r/>
            <w:r>
              <w:rPr>
                <w:rFonts w:ascii="Calibri" w:hAnsi="Calibri" w:eastAsia="微软雅黑"/>
                <w:b w:val="0"/>
                <w:i w:val="0"/>
                <w:sz w:val="18"/>
              </w:rPr>
              <w:t>P1017</w:t>
            </w:r>
          </w:p>
        </w:tc>
      </w:tr>
      <w:tr>
        <w:tc>
          <w:tcPr>
            <w:tcW w:type="dxa" w:w="1660"/>
          </w:tcPr>
          <w:p>
            <w:r/>
            <w:r>
              <w:rPr>
                <w:rFonts w:ascii="Calibri" w:hAnsi="Calibri" w:eastAsia="微软雅黑"/>
                <w:b w:val="0"/>
                <w:i w:val="0"/>
                <w:sz w:val="18"/>
              </w:rPr>
              <w:t>修水水系连通 EPC</w:t>
            </w:r>
          </w:p>
        </w:tc>
        <w:tc>
          <w:tcPr>
            <w:tcW w:type="dxa" w:w="1660"/>
          </w:tcPr>
          <w:p>
            <w:r/>
            <w:r>
              <w:rPr>
                <w:rFonts w:ascii="Calibri" w:hAnsi="Calibri" w:eastAsia="微软雅黑"/>
                <w:b w:val="0"/>
                <w:i w:val="0"/>
                <w:sz w:val="18"/>
              </w:rPr>
              <w:t>（2018）赣民初2号</w:t>
            </w:r>
          </w:p>
        </w:tc>
        <w:tc>
          <w:tcPr>
            <w:tcW w:type="dxa" w:w="1660"/>
          </w:tcPr>
          <w:p>
            <w:r/>
            <w:r>
              <w:rPr>
                <w:rFonts w:ascii="Calibri" w:hAnsi="Calibri" w:eastAsia="微软雅黑"/>
                <w:b w:val="0"/>
                <w:i w:val="0"/>
                <w:sz w:val="18"/>
              </w:rPr>
              <w:t>设计滞后、人员设备不到位触发解约</w:t>
            </w:r>
          </w:p>
        </w:tc>
        <w:tc>
          <w:tcPr>
            <w:tcW w:type="dxa" w:w="1660"/>
          </w:tcPr>
          <w:p>
            <w:r/>
            <w:r>
              <w:rPr>
                <w:rFonts w:ascii="Calibri" w:hAnsi="Calibri" w:eastAsia="微软雅黑"/>
                <w:b w:val="0"/>
                <w:i w:val="0"/>
                <w:sz w:val="18"/>
              </w:rPr>
              <w:t>一期约9500万元；追偿6429.3万元（预付款1400万元+损失5029.3万元）</w:t>
            </w:r>
          </w:p>
        </w:tc>
        <w:tc>
          <w:tcPr>
            <w:tcW w:type="dxa" w:w="1660"/>
          </w:tcPr>
          <w:p>
            <w:r/>
            <w:r>
              <w:rPr>
                <w:rFonts w:ascii="Calibri" w:hAnsi="Calibri" w:eastAsia="微软雅黑"/>
                <w:b w:val="0"/>
                <w:i w:val="0"/>
                <w:sz w:val="18"/>
              </w:rPr>
              <w:t>P1025</w:t>
            </w:r>
          </w:p>
        </w:tc>
      </w:tr>
      <w:tr>
        <w:tc>
          <w:tcPr>
            <w:tcW w:type="dxa" w:w="1660"/>
          </w:tcPr>
          <w:p>
            <w:r/>
            <w:r>
              <w:rPr>
                <w:rFonts w:ascii="Calibri" w:hAnsi="Calibri" w:eastAsia="微软雅黑"/>
                <w:b w:val="0"/>
                <w:i w:val="0"/>
                <w:sz w:val="18"/>
              </w:rPr>
              <w:t>伊犁川宁项目土建</w:t>
            </w:r>
          </w:p>
        </w:tc>
        <w:tc>
          <w:tcPr>
            <w:tcW w:type="dxa" w:w="1660"/>
          </w:tcPr>
          <w:p>
            <w:r/>
            <w:r>
              <w:rPr>
                <w:rFonts w:ascii="Calibri" w:hAnsi="Calibri" w:eastAsia="微软雅黑"/>
                <w:b w:val="0"/>
                <w:i w:val="0"/>
                <w:sz w:val="18"/>
              </w:rPr>
              <w:t>（2020）新40民初2号</w:t>
            </w:r>
          </w:p>
        </w:tc>
        <w:tc>
          <w:tcPr>
            <w:tcW w:type="dxa" w:w="1660"/>
          </w:tcPr>
          <w:p>
            <w:r/>
            <w:r>
              <w:rPr>
                <w:rFonts w:ascii="Calibri" w:hAnsi="Calibri" w:eastAsia="微软雅黑"/>
                <w:b w:val="0"/>
                <w:i w:val="0"/>
                <w:sz w:val="18"/>
              </w:rPr>
              <w:t>结算审定机制（正面样本）</w:t>
            </w:r>
          </w:p>
        </w:tc>
        <w:tc>
          <w:tcPr>
            <w:tcW w:type="dxa" w:w="1660"/>
          </w:tcPr>
          <w:p>
            <w:r/>
            <w:r>
              <w:rPr>
                <w:rFonts w:ascii="Calibri" w:hAnsi="Calibri" w:eastAsia="微软雅黑"/>
                <w:b w:val="0"/>
                <w:i w:val="0"/>
                <w:sz w:val="18"/>
              </w:rPr>
              <w:t>审定价282,962,209元；欠付51,487,623.82元；利息6,569,761.96元</w:t>
            </w:r>
          </w:p>
        </w:tc>
        <w:tc>
          <w:tcPr>
            <w:tcW w:type="dxa" w:w="1660"/>
          </w:tcPr>
          <w:p>
            <w:r/>
            <w:r>
              <w:rPr>
                <w:rFonts w:ascii="Calibri" w:hAnsi="Calibri" w:eastAsia="微软雅黑"/>
                <w:b w:val="0"/>
                <w:i w:val="0"/>
                <w:sz w:val="18"/>
              </w:rPr>
              <w:t>P1030</w:t>
            </w:r>
          </w:p>
        </w:tc>
      </w:tr>
      <w:tr>
        <w:tc>
          <w:tcPr>
            <w:tcW w:type="dxa" w:w="1660"/>
          </w:tcPr>
          <w:p>
            <w:r/>
            <w:r>
              <w:rPr>
                <w:rFonts w:ascii="Calibri" w:hAnsi="Calibri" w:eastAsia="微软雅黑"/>
                <w:b w:val="0"/>
                <w:i w:val="0"/>
                <w:sz w:val="18"/>
              </w:rPr>
              <w:t>武汉嘉锦苑</w:t>
            </w:r>
          </w:p>
        </w:tc>
        <w:tc>
          <w:tcPr>
            <w:tcW w:type="dxa" w:w="1660"/>
          </w:tcPr>
          <w:p>
            <w:r/>
            <w:r>
              <w:rPr>
                <w:rFonts w:ascii="Calibri" w:hAnsi="Calibri" w:eastAsia="微软雅黑"/>
                <w:b w:val="0"/>
                <w:i w:val="0"/>
                <w:sz w:val="18"/>
              </w:rPr>
              <w:t>（2013）鄂武汉中民商初字第00320号</w:t>
            </w:r>
          </w:p>
        </w:tc>
        <w:tc>
          <w:tcPr>
            <w:tcW w:type="dxa" w:w="1660"/>
          </w:tcPr>
          <w:p>
            <w:r/>
            <w:r>
              <w:rPr>
                <w:rFonts w:ascii="Calibri" w:hAnsi="Calibri" w:eastAsia="微软雅黑"/>
                <w:b w:val="0"/>
                <w:i w:val="0"/>
                <w:sz w:val="18"/>
              </w:rPr>
              <w:t>规划调整重设计重报规</w:t>
            </w:r>
          </w:p>
        </w:tc>
        <w:tc>
          <w:tcPr>
            <w:tcW w:type="dxa" w:w="1660"/>
          </w:tcPr>
          <w:p>
            <w:r/>
            <w:r>
              <w:rPr>
                <w:rFonts w:ascii="Calibri" w:hAnsi="Calibri" w:eastAsia="微软雅黑"/>
                <w:b w:val="0"/>
                <w:i w:val="0"/>
                <w:sz w:val="18"/>
              </w:rPr>
              <w:t>固定总价3350.2089万元；应结总额8466.3655万元</w:t>
            </w:r>
          </w:p>
        </w:tc>
        <w:tc>
          <w:tcPr>
            <w:tcW w:type="dxa" w:w="1660"/>
          </w:tcPr>
          <w:p>
            <w:r/>
            <w:r>
              <w:rPr>
                <w:rFonts w:ascii="Calibri" w:hAnsi="Calibri" w:eastAsia="微软雅黑"/>
                <w:b w:val="0"/>
                <w:i w:val="0"/>
                <w:sz w:val="18"/>
              </w:rPr>
              <w:t>P1028</w:t>
            </w:r>
          </w:p>
        </w:tc>
      </w:tr>
      <w:tr>
        <w:tc>
          <w:tcPr>
            <w:tcW w:type="dxa" w:w="1660"/>
          </w:tcPr>
          <w:p>
            <w:r/>
            <w:r>
              <w:rPr>
                <w:rFonts w:ascii="Calibri" w:hAnsi="Calibri" w:eastAsia="微软雅黑"/>
                <w:b w:val="0"/>
                <w:i w:val="0"/>
                <w:sz w:val="18"/>
              </w:rPr>
              <w:t>岳池送变电线路</w:t>
            </w:r>
          </w:p>
        </w:tc>
        <w:tc>
          <w:tcPr>
            <w:tcW w:type="dxa" w:w="1660"/>
          </w:tcPr>
          <w:p>
            <w:r/>
            <w:r>
              <w:rPr>
                <w:rFonts w:ascii="Calibri" w:hAnsi="Calibri" w:eastAsia="微软雅黑"/>
                <w:b w:val="0"/>
                <w:i w:val="0"/>
                <w:sz w:val="18"/>
              </w:rPr>
              <w:t>（2019）川32民再2号</w:t>
            </w:r>
          </w:p>
        </w:tc>
        <w:tc>
          <w:tcPr>
            <w:tcW w:type="dxa" w:w="1660"/>
          </w:tcPr>
          <w:p>
            <w:r/>
            <w:r>
              <w:rPr>
                <w:rFonts w:ascii="Calibri" w:hAnsi="Calibri" w:eastAsia="微软雅黑"/>
                <w:b w:val="0"/>
                <w:i w:val="0"/>
                <w:sz w:val="18"/>
              </w:rPr>
              <w:t>边施工边出图；总价包干对鉴定</w:t>
            </w:r>
          </w:p>
        </w:tc>
        <w:tc>
          <w:tcPr>
            <w:tcW w:type="dxa" w:w="1660"/>
          </w:tcPr>
          <w:p>
            <w:r/>
            <w:r>
              <w:rPr>
                <w:rFonts w:ascii="Calibri" w:hAnsi="Calibri" w:eastAsia="微软雅黑"/>
                <w:b w:val="0"/>
                <w:i w:val="0"/>
                <w:sz w:val="18"/>
              </w:rPr>
              <w:t>二次复测费78066元</w:t>
            </w:r>
          </w:p>
        </w:tc>
        <w:tc>
          <w:tcPr>
            <w:tcW w:type="dxa" w:w="1660"/>
          </w:tcPr>
          <w:p>
            <w:r/>
            <w:r>
              <w:rPr>
                <w:rFonts w:ascii="Calibri" w:hAnsi="Calibri" w:eastAsia="微软雅黑"/>
                <w:b w:val="0"/>
                <w:i w:val="0"/>
                <w:sz w:val="18"/>
              </w:rPr>
              <w:t>P1016</w:t>
            </w:r>
          </w:p>
        </w:tc>
      </w:tr>
      <w:tr>
        <w:tc>
          <w:tcPr>
            <w:tcW w:type="dxa" w:w="1660"/>
          </w:tcPr>
          <w:p>
            <w:r/>
            <w:r>
              <w:rPr>
                <w:rFonts w:ascii="Calibri" w:hAnsi="Calibri" w:eastAsia="微软雅黑"/>
                <w:b w:val="0"/>
                <w:i w:val="0"/>
                <w:sz w:val="18"/>
              </w:rPr>
              <w:t>重庆一品项目</w:t>
            </w:r>
          </w:p>
        </w:tc>
        <w:tc>
          <w:tcPr>
            <w:tcW w:type="dxa" w:w="1660"/>
          </w:tcPr>
          <w:p>
            <w:r/>
            <w:r>
              <w:rPr>
                <w:rFonts w:ascii="Calibri" w:hAnsi="Calibri" w:eastAsia="微软雅黑"/>
                <w:b w:val="0"/>
                <w:i w:val="0"/>
                <w:sz w:val="18"/>
              </w:rPr>
              <w:t>（2020）渝01民终985号</w:t>
            </w:r>
          </w:p>
        </w:tc>
        <w:tc>
          <w:tcPr>
            <w:tcW w:type="dxa" w:w="1660"/>
          </w:tcPr>
          <w:p>
            <w:r/>
            <w:r>
              <w:rPr>
                <w:rFonts w:ascii="Calibri" w:hAnsi="Calibri" w:eastAsia="微软雅黑"/>
                <w:b w:val="0"/>
                <w:i w:val="0"/>
                <w:sz w:val="18"/>
              </w:rPr>
              <w:t>进度款逾期、价差、质保金连环</w:t>
            </w:r>
          </w:p>
        </w:tc>
        <w:tc>
          <w:tcPr>
            <w:tcW w:type="dxa" w:w="1660"/>
          </w:tcPr>
          <w:p>
            <w:r/>
            <w:r>
              <w:rPr>
                <w:rFonts w:ascii="Calibri" w:hAnsi="Calibri" w:eastAsia="微软雅黑"/>
                <w:b w:val="0"/>
                <w:i w:val="0"/>
                <w:sz w:val="18"/>
              </w:rPr>
              <w:t>违约金基数8576021.90元（年利率24%）；进度款违约金3883273元；质保金2095908.72元；价差与索赔2037083.08元</w:t>
            </w:r>
          </w:p>
        </w:tc>
        <w:tc>
          <w:tcPr>
            <w:tcW w:type="dxa" w:w="1660"/>
          </w:tcPr>
          <w:p>
            <w:r/>
            <w:r>
              <w:rPr>
                <w:rFonts w:ascii="Calibri" w:hAnsi="Calibri" w:eastAsia="微软雅黑"/>
                <w:b w:val="0"/>
                <w:i w:val="0"/>
                <w:sz w:val="18"/>
              </w:rPr>
              <w:t>P1004</w:t>
            </w:r>
          </w:p>
        </w:tc>
      </w:tr>
      <w:tr>
        <w:tc>
          <w:tcPr>
            <w:tcW w:type="dxa" w:w="1660"/>
          </w:tcPr>
          <w:p>
            <w:r/>
            <w:r>
              <w:rPr>
                <w:rFonts w:ascii="Calibri" w:hAnsi="Calibri" w:eastAsia="微软雅黑"/>
                <w:b w:val="0"/>
                <w:i w:val="0"/>
                <w:sz w:val="18"/>
              </w:rPr>
              <w:t>重庆建工·嘉龙房建</w:t>
            </w:r>
          </w:p>
        </w:tc>
        <w:tc>
          <w:tcPr>
            <w:tcW w:type="dxa" w:w="1660"/>
          </w:tcPr>
          <w:p>
            <w:r/>
            <w:r>
              <w:rPr>
                <w:rFonts w:ascii="Calibri" w:hAnsi="Calibri" w:eastAsia="微软雅黑"/>
                <w:b w:val="0"/>
                <w:i w:val="0"/>
                <w:sz w:val="18"/>
              </w:rPr>
              <w:t>（2016）黔民初295号</w:t>
            </w:r>
          </w:p>
        </w:tc>
        <w:tc>
          <w:tcPr>
            <w:tcW w:type="dxa" w:w="1660"/>
          </w:tcPr>
          <w:p>
            <w:r/>
            <w:r>
              <w:rPr>
                <w:rFonts w:ascii="Calibri" w:hAnsi="Calibri" w:eastAsia="微软雅黑"/>
                <w:b w:val="0"/>
                <w:i w:val="0"/>
                <w:sz w:val="18"/>
              </w:rPr>
              <w:t>进度款拖欠累积</w:t>
            </w:r>
          </w:p>
        </w:tc>
        <w:tc>
          <w:tcPr>
            <w:tcW w:type="dxa" w:w="1660"/>
          </w:tcPr>
          <w:p>
            <w:r/>
            <w:r>
              <w:rPr>
                <w:rFonts w:ascii="Calibri" w:hAnsi="Calibri" w:eastAsia="微软雅黑"/>
                <w:b w:val="0"/>
                <w:i w:val="0"/>
                <w:sz w:val="18"/>
              </w:rPr>
              <w:t>欠付68136209.77元；进度款利息、损失共计人民币26794045（按每日万分之三）</w:t>
            </w:r>
          </w:p>
        </w:tc>
        <w:tc>
          <w:tcPr>
            <w:tcW w:type="dxa" w:w="1660"/>
          </w:tcPr>
          <w:p>
            <w:r/>
            <w:r>
              <w:rPr>
                <w:rFonts w:ascii="Calibri" w:hAnsi="Calibri" w:eastAsia="微软雅黑"/>
                <w:b w:val="0"/>
                <w:i w:val="0"/>
                <w:sz w:val="18"/>
              </w:rPr>
              <w:t>P1005</w:t>
            </w:r>
          </w:p>
        </w:tc>
      </w:tr>
      <w:tr>
        <w:tc>
          <w:tcPr>
            <w:tcW w:type="dxa" w:w="1660"/>
          </w:tcPr>
          <w:p>
            <w:r/>
            <w:r>
              <w:rPr>
                <w:rFonts w:ascii="Calibri" w:hAnsi="Calibri" w:eastAsia="微软雅黑"/>
                <w:b w:val="0"/>
                <w:i w:val="0"/>
                <w:sz w:val="18"/>
              </w:rPr>
              <w:t>海原配送中心</w:t>
            </w:r>
          </w:p>
        </w:tc>
        <w:tc>
          <w:tcPr>
            <w:tcW w:type="dxa" w:w="1660"/>
          </w:tcPr>
          <w:p>
            <w:r/>
            <w:r>
              <w:rPr>
                <w:rFonts w:ascii="Calibri" w:hAnsi="Calibri" w:eastAsia="微软雅黑"/>
                <w:b w:val="0"/>
                <w:i w:val="0"/>
                <w:sz w:val="18"/>
              </w:rPr>
              <w:t>（2016）宁05民初78号</w:t>
            </w:r>
          </w:p>
        </w:tc>
        <w:tc>
          <w:tcPr>
            <w:tcW w:type="dxa" w:w="1660"/>
          </w:tcPr>
          <w:p>
            <w:r/>
            <w:r>
              <w:rPr>
                <w:rFonts w:ascii="Calibri" w:hAnsi="Calibri" w:eastAsia="微软雅黑"/>
                <w:b w:val="0"/>
                <w:i w:val="0"/>
                <w:sz w:val="18"/>
              </w:rPr>
              <w:t>变更增量失控</w:t>
            </w:r>
          </w:p>
        </w:tc>
        <w:tc>
          <w:tcPr>
            <w:tcW w:type="dxa" w:w="1660"/>
          </w:tcPr>
          <w:p>
            <w:r/>
            <w:r>
              <w:rPr>
                <w:rFonts w:ascii="Calibri" w:hAnsi="Calibri" w:eastAsia="微软雅黑"/>
                <w:b w:val="0"/>
                <w:i w:val="0"/>
                <w:sz w:val="18"/>
              </w:rPr>
              <w:t>中标价12933521.89元；变更增加工程款7205791元及利息2678392.52元</w:t>
            </w:r>
          </w:p>
        </w:tc>
        <w:tc>
          <w:tcPr>
            <w:tcW w:type="dxa" w:w="1660"/>
          </w:tcPr>
          <w:p>
            <w:r/>
            <w:r>
              <w:rPr>
                <w:rFonts w:ascii="Calibri" w:hAnsi="Calibri" w:eastAsia="微软雅黑"/>
                <w:b w:val="0"/>
                <w:i w:val="0"/>
                <w:sz w:val="18"/>
              </w:rPr>
              <w:t>P1027</w:t>
            </w:r>
          </w:p>
        </w:tc>
      </w:tr>
      <w:tr>
        <w:tc>
          <w:tcPr>
            <w:tcW w:type="dxa" w:w="1660"/>
          </w:tcPr>
          <w:p>
            <w:r/>
            <w:r>
              <w:rPr>
                <w:rFonts w:ascii="Calibri" w:hAnsi="Calibri" w:eastAsia="微软雅黑"/>
                <w:b w:val="0"/>
                <w:i w:val="0"/>
                <w:sz w:val="18"/>
              </w:rPr>
              <w:t>皇家丽景住宅群</w:t>
            </w:r>
          </w:p>
        </w:tc>
        <w:tc>
          <w:tcPr>
            <w:tcW w:type="dxa" w:w="1660"/>
          </w:tcPr>
          <w:p>
            <w:r/>
            <w:r>
              <w:rPr>
                <w:rFonts w:ascii="Calibri" w:hAnsi="Calibri" w:eastAsia="微软雅黑"/>
                <w:b w:val="0"/>
                <w:i w:val="0"/>
                <w:sz w:val="18"/>
              </w:rPr>
              <w:t>（2015）苏中民初字第00002号</w:t>
            </w:r>
          </w:p>
        </w:tc>
        <w:tc>
          <w:tcPr>
            <w:tcW w:type="dxa" w:w="1660"/>
          </w:tcPr>
          <w:p>
            <w:r/>
            <w:r>
              <w:rPr>
                <w:rFonts w:ascii="Calibri" w:hAnsi="Calibri" w:eastAsia="微软雅黑"/>
                <w:b w:val="0"/>
                <w:i w:val="0"/>
                <w:sz w:val="18"/>
              </w:rPr>
              <w:t>竣工后拖延结算</w:t>
            </w:r>
          </w:p>
        </w:tc>
        <w:tc>
          <w:tcPr>
            <w:tcW w:type="dxa" w:w="1660"/>
          </w:tcPr>
          <w:p>
            <w:r/>
            <w:r>
              <w:rPr>
                <w:rFonts w:ascii="Calibri" w:hAnsi="Calibri" w:eastAsia="微软雅黑"/>
                <w:b w:val="0"/>
                <w:i w:val="0"/>
                <w:sz w:val="18"/>
              </w:rPr>
              <w:t>欠付31378570元；利息4911862.33元；违约金5116934.78元</w:t>
            </w:r>
          </w:p>
        </w:tc>
        <w:tc>
          <w:tcPr>
            <w:tcW w:type="dxa" w:w="1660"/>
          </w:tcPr>
          <w:p>
            <w:r/>
            <w:r>
              <w:rPr>
                <w:rFonts w:ascii="Calibri" w:hAnsi="Calibri" w:eastAsia="微软雅黑"/>
                <w:b w:val="0"/>
                <w:i w:val="0"/>
                <w:sz w:val="18"/>
              </w:rPr>
              <w:t>P1015</w:t>
            </w:r>
          </w:p>
        </w:tc>
      </w:tr>
      <w:tr>
        <w:tc>
          <w:tcPr>
            <w:tcW w:type="dxa" w:w="1660"/>
          </w:tcPr>
          <w:p>
            <w:r/>
            <w:r>
              <w:rPr>
                <w:rFonts w:ascii="Calibri" w:hAnsi="Calibri" w:eastAsia="微软雅黑"/>
                <w:b w:val="0"/>
                <w:i w:val="0"/>
                <w:sz w:val="18"/>
              </w:rPr>
              <w:t>维多利亚城</w:t>
            </w:r>
          </w:p>
        </w:tc>
        <w:tc>
          <w:tcPr>
            <w:tcW w:type="dxa" w:w="1660"/>
          </w:tcPr>
          <w:p>
            <w:r/>
            <w:r>
              <w:rPr>
                <w:rFonts w:ascii="Calibri" w:hAnsi="Calibri" w:eastAsia="微软雅黑"/>
                <w:b w:val="0"/>
                <w:i w:val="0"/>
                <w:sz w:val="18"/>
              </w:rPr>
              <w:t>（2010）新中民一初字第19号</w:t>
            </w:r>
          </w:p>
        </w:tc>
        <w:tc>
          <w:tcPr>
            <w:tcW w:type="dxa" w:w="1660"/>
          </w:tcPr>
          <w:p>
            <w:r/>
            <w:r>
              <w:rPr>
                <w:rFonts w:ascii="Calibri" w:hAnsi="Calibri" w:eastAsia="微软雅黑"/>
                <w:b w:val="0"/>
                <w:i w:val="0"/>
                <w:sz w:val="18"/>
              </w:rPr>
              <w:t>招标界面漂移（借附件签约）；违约金对攻</w:t>
            </w:r>
          </w:p>
        </w:tc>
        <w:tc>
          <w:tcPr>
            <w:tcW w:type="dxa" w:w="1660"/>
          </w:tcPr>
          <w:p>
            <w:r/>
            <w:r>
              <w:rPr>
                <w:rFonts w:ascii="Calibri" w:hAnsi="Calibri" w:eastAsia="微软雅黑"/>
                <w:b w:val="0"/>
                <w:i w:val="0"/>
                <w:sz w:val="18"/>
              </w:rPr>
              <w:t>合同总价暂定90000000元；欠付60469100元</w:t>
            </w:r>
          </w:p>
        </w:tc>
        <w:tc>
          <w:tcPr>
            <w:tcW w:type="dxa" w:w="1660"/>
          </w:tcPr>
          <w:p>
            <w:r/>
            <w:r>
              <w:rPr>
                <w:rFonts w:ascii="Calibri" w:hAnsi="Calibri" w:eastAsia="微软雅黑"/>
                <w:b w:val="0"/>
                <w:i w:val="0"/>
                <w:sz w:val="18"/>
              </w:rPr>
              <w:t>P1024</w:t>
            </w:r>
          </w:p>
        </w:tc>
      </w:tr>
      <w:tr>
        <w:tc>
          <w:tcPr>
            <w:tcW w:type="dxa" w:w="1660"/>
          </w:tcPr>
          <w:p>
            <w:r/>
            <w:r>
              <w:rPr>
                <w:rFonts w:ascii="Calibri" w:hAnsi="Calibri" w:eastAsia="微软雅黑"/>
                <w:b w:val="0"/>
                <w:i w:val="0"/>
                <w:sz w:val="18"/>
              </w:rPr>
              <w:t>琥珀美墅</w:t>
            </w:r>
          </w:p>
        </w:tc>
        <w:tc>
          <w:tcPr>
            <w:tcW w:type="dxa" w:w="1660"/>
          </w:tcPr>
          <w:p>
            <w:r/>
            <w:r>
              <w:rPr>
                <w:rFonts w:ascii="Calibri" w:hAnsi="Calibri" w:eastAsia="微软雅黑"/>
                <w:b w:val="0"/>
                <w:i w:val="0"/>
                <w:sz w:val="18"/>
              </w:rPr>
              <w:t>（2014）淮中民初字第0011号</w:t>
            </w:r>
          </w:p>
        </w:tc>
        <w:tc>
          <w:tcPr>
            <w:tcW w:type="dxa" w:w="1660"/>
          </w:tcPr>
          <w:p>
            <w:r/>
            <w:r>
              <w:rPr>
                <w:rFonts w:ascii="Calibri" w:hAnsi="Calibri" w:eastAsia="微软雅黑"/>
                <w:b w:val="0"/>
                <w:i w:val="0"/>
                <w:sz w:val="18"/>
              </w:rPr>
              <w:t>工期违约金与整改费对攻</w:t>
            </w:r>
          </w:p>
        </w:tc>
        <w:tc>
          <w:tcPr>
            <w:tcW w:type="dxa" w:w="1660"/>
          </w:tcPr>
          <w:p>
            <w:r/>
            <w:r>
              <w:rPr>
                <w:rFonts w:ascii="Calibri" w:hAnsi="Calibri" w:eastAsia="微软雅黑"/>
                <w:b w:val="0"/>
                <w:i w:val="0"/>
                <w:sz w:val="18"/>
              </w:rPr>
              <w:t>逾期竣工违约金5101490.1元；备案资料违约金主张1984万元；整改费用7603638.7元</w:t>
            </w:r>
          </w:p>
        </w:tc>
        <w:tc>
          <w:tcPr>
            <w:tcW w:type="dxa" w:w="1660"/>
          </w:tcPr>
          <w:p>
            <w:r/>
            <w:r>
              <w:rPr>
                <w:rFonts w:ascii="Calibri" w:hAnsi="Calibri" w:eastAsia="微软雅黑"/>
                <w:b w:val="0"/>
                <w:i w:val="0"/>
                <w:sz w:val="18"/>
              </w:rPr>
              <w:t>P1031</w:t>
            </w:r>
          </w:p>
        </w:tc>
      </w:tr>
      <w:tr>
        <w:tc>
          <w:tcPr>
            <w:tcW w:type="dxa" w:w="1660"/>
          </w:tcPr>
          <w:p>
            <w:r/>
            <w:r>
              <w:rPr>
                <w:rFonts w:ascii="Calibri" w:hAnsi="Calibri" w:eastAsia="微软雅黑"/>
                <w:b w:val="0"/>
                <w:i w:val="0"/>
                <w:sz w:val="18"/>
              </w:rPr>
              <w:t>东泰华美装饰</w:t>
            </w:r>
          </w:p>
        </w:tc>
        <w:tc>
          <w:tcPr>
            <w:tcW w:type="dxa" w:w="1660"/>
          </w:tcPr>
          <w:p>
            <w:r/>
            <w:r>
              <w:rPr>
                <w:rFonts w:ascii="Calibri" w:hAnsi="Calibri" w:eastAsia="微软雅黑"/>
                <w:b w:val="0"/>
                <w:i w:val="0"/>
                <w:sz w:val="18"/>
              </w:rPr>
              <w:t>（2020）渝01民终4800号</w:t>
            </w:r>
          </w:p>
        </w:tc>
        <w:tc>
          <w:tcPr>
            <w:tcW w:type="dxa" w:w="1660"/>
          </w:tcPr>
          <w:p>
            <w:r/>
            <w:r>
              <w:rPr>
                <w:rFonts w:ascii="Calibri" w:hAnsi="Calibri" w:eastAsia="微软雅黑"/>
                <w:b w:val="0"/>
                <w:i w:val="0"/>
                <w:sz w:val="18"/>
              </w:rPr>
              <w:t>设计图延误、变更返工停工</w:t>
            </w:r>
          </w:p>
        </w:tc>
        <w:tc>
          <w:tcPr>
            <w:tcW w:type="dxa" w:w="1660"/>
          </w:tcPr>
          <w:p>
            <w:r/>
            <w:r>
              <w:rPr>
                <w:rFonts w:ascii="Calibri" w:hAnsi="Calibri" w:eastAsia="微软雅黑"/>
                <w:b w:val="0"/>
                <w:i w:val="0"/>
                <w:sz w:val="18"/>
              </w:rPr>
              <w:t>工期延误463天；实际工期为约定3倍</w:t>
            </w:r>
          </w:p>
        </w:tc>
        <w:tc>
          <w:tcPr>
            <w:tcW w:type="dxa" w:w="1660"/>
          </w:tcPr>
          <w:p>
            <w:r/>
            <w:r>
              <w:rPr>
                <w:rFonts w:ascii="Calibri" w:hAnsi="Calibri" w:eastAsia="微软雅黑"/>
                <w:b w:val="0"/>
                <w:i w:val="0"/>
                <w:sz w:val="18"/>
              </w:rPr>
              <w:t>P1021</w:t>
            </w:r>
          </w:p>
        </w:tc>
      </w:tr>
    </w:tbl>
    <w:p>
      <w:r>
        <w:rPr>
          <w:rFonts w:ascii="Calibri" w:hAnsi="Calibri" w:eastAsia="微软雅黑"/>
          <w:b w:val="0"/>
          <w:i w:val="0"/>
          <w:sz w:val="22"/>
        </w:rPr>
        <w:t>表 1-3 的读法有三层。第一层看金额：从78066元的复测费到92000万元的合同总价，断点不分大小，只分位置。第二层看断点分布：十四个案例里，属于设计-招标-合同界面的有五个（P1003/P1017/P1024/P1016/P1028），属于履约过程界面（进度、窝工、变更）的有六个（P1018/P1025/P1004/P1005/P1027/P1021），属于结算界面的有三个（P1030/P1015/P1031）——损失均匀分布在价值链全程，不存在「管好一段就安全」的选项。第三层看付款结构：[事实] 皇家丽景案合同约定，开工进场后付总价的10%，基础完成后付总价的20%，主体完成三层付总价的20%，主体完成付总价的10%，竣工验收合格后付总价的10%，竣工结算审核后付总价的25%，余款5%作保修金满一年后付清（P1015）。[估计] 竣结审核与保修金两档合计即三成——三成产值押在竣工后的审核桌上；结算扯皮每拖一年，承包商就有三成产能在为对方的现金流打工。这就是「结算做得好，才能真正落利润」（P1010）的合同学注脚。</w:t>
      </w:r>
    </w:p>
    <w:p>
      <w:pPr>
        <w:pStyle w:val="Heading2"/>
      </w:pPr>
      <w:r>
        <w:t>1.4 修复路径预告：一体化是一组可落地的机制，不是口号</w:t>
      </w:r>
    </w:p>
    <w:p>
      <w:r>
        <w:rPr>
          <w:rFonts w:ascii="Calibri" w:hAnsi="Calibri" w:eastAsia="微软雅黑"/>
          <w:b w:val="0"/>
          <w:i w:val="0"/>
          <w:sz w:val="22"/>
        </w:rPr>
        <w:t>问题定义完毕，路径预告开题。本章不展开操作细节——那是第 2 章到第 11 章的任务——但要把一体化交付的四个支柱立起来，让读者知道后面的章节在往哪里砌。</w:t>
      </w:r>
    </w:p>
    <w:p>
      <w:pPr>
        <w:pStyle w:val="Heading3"/>
      </w:pPr>
      <w:r>
        <w:t>1.4.1 观念重装：可施工性倒灌设计</w:t>
      </w:r>
    </w:p>
    <w:p>
      <w:r>
        <w:rPr>
          <w:rFonts w:ascii="Calibri" w:hAnsi="Calibri" w:eastAsia="微软雅黑"/>
          <w:b w:val="0"/>
          <w:i w:val="0"/>
          <w:sz w:val="22"/>
        </w:rPr>
        <w:t>第一根支柱是设计约束逻辑的反转。[事实] 把「可施工性倒灌设计」重定义为：以施工安装条件、工程造价指标及法务节点要求为约束条件，反向约束和引导初步设计与设备选型的全过程精细化控制体系（P1000）。三个约束词值得逐个掂量：施工安装条件回答「建得起来吗」，工程造价指标回答「建得起吗」，法务节点要求回答「建完了钱要得回来吗」。第三个约束恰恰是 1.3 节全部判例的痛点所在——1.2 节六环链条的第六环「变更签证资料不全」与第 1.3 节赤天化案的三要素缺位（P1003），在「法务节点反向约束设计」的框架下本可前置规避：设计阶段就为未来的签证与索赔预留证据接口。</w:t>
      </w:r>
    </w:p>
    <w:p>
      <w:r>
        <w:rPr>
          <w:rFonts w:ascii="Calibri" w:hAnsi="Calibri" w:eastAsia="微软雅黑"/>
          <w:b w:val="0"/>
          <w:i w:val="0"/>
          <w:sz w:val="22"/>
        </w:rPr>
        <w:t>观念重装落到操作上，是设计任务书里的三个自问。一问可施工性：这张图纸要求的吊装空间、运输通道、施工顺序，现场的机械与场地给得起吗——问不出来的答案，就是未来的拆改单。二问可采购性：图纸标注的每个性能参数，市场上有哪些供应商、货期多长、价格区间多少——「±2℃」式的含糊标注（P1008），等于把选型风险全数推给采购。三问可结算性：这张图纸将来要变成哪一部分的结算依据，对应的计量单元、单价构成、证据留痕在设计文件里是否齐备——图纸是给结算的第一张证据，不只是给施工的指令。三问都不在设计流程里的企业，设计管理还停留在画图交付的阶段；三问都进入设计评审的企业，才谈得上「倒灌」。[事实] 这一体系聚焦的场景正是初步设计完成后及 EPC 分拆履约中的设计施工融合（P1000），其工具矩阵包括概算指标结构变化修正模型、类似工程造价综合调整系数模型、设备安装费率计算模型与 EPC 分拆节点履约的先履行抗辩机制（依据合同第二卷第 5.2.3 款、第 5.2.4 款）（P1000）——每一个工具都对应本章一类断点。</w:t>
      </w:r>
    </w:p>
    <w:p>
      <w:pPr>
        <w:pStyle w:val="Heading3"/>
      </w:pPr>
      <w:r>
        <w:t>1.4.2 工具重装：概算三法与设备安装四法</w:t>
      </w:r>
    </w:p>
    <w:p>
      <w:r>
        <w:rPr>
          <w:rFonts w:ascii="Calibri" w:hAnsi="Calibri" w:eastAsia="微软雅黑"/>
          <w:b w:val="0"/>
          <w:i w:val="0"/>
          <w:sz w:val="22"/>
        </w:rPr>
        <w:t>第二根支柱是造价控制的工具箱。[事实] 初步设计阶段的概算编制三法：概算定额法、概算指标法（修正综合单价 = J + Q₁P₁ − Q₂P₂，修正人材机数量 = 原数量 + Q₁D₁ − Q₂D₂）、类似工程预算法（D = A × K，K = a%K₁ + b%K₂ + c%K₃ + d%K₄）（P1000/P1001）。[事实] 设备安装费的四法：预算单价法、扩大单价法、设备价值百分比法、综合吨位指标法（P1001）；安装费的两种口径：安装费 = 设备原价 × 安装费率，或安装费 = 设备吨重 × 每吨安装费指标（P1000）。</w:t>
      </w:r>
    </w:p>
    <w:p>
      <w:r>
        <w:rPr>
          <w:rFonts w:ascii="Calibri" w:hAnsi="Calibri" w:eastAsia="微软雅黑"/>
          <w:b/>
          <w:i w:val="0"/>
          <w:sz w:val="22"/>
        </w:rPr>
        <w:t>表 1-4 一体化造价工具箱与本章断点的对应关系</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工具</w:t>
            </w:r>
          </w:p>
        </w:tc>
        <w:tc>
          <w:tcPr>
            <w:tcW w:type="dxa" w:w="2767"/>
            <w:shd w:fill="1F3A5F"/>
          </w:tcPr>
          <w:p>
            <w:r>
              <w:rPr>
                <w:color w:val="FFFFFF"/>
              </w:rPr>
            </w:r>
            <w:r>
              <w:rPr>
                <w:rFonts w:ascii="Calibri" w:hAnsi="Calibri" w:eastAsia="微软雅黑"/>
                <w:b/>
                <w:i w:val="0"/>
                <w:color w:val="FFFFFF"/>
                <w:sz w:val="18"/>
              </w:rPr>
              <w:t>拦截的断点</w:t>
            </w:r>
          </w:p>
        </w:tc>
        <w:tc>
          <w:tcPr>
            <w:tcW w:type="dxa" w:w="2767"/>
            <w:shd w:fill="1F3A5F"/>
          </w:tcPr>
          <w:p>
            <w:r>
              <w:rPr>
                <w:color w:val="FFFFFF"/>
              </w:rPr>
            </w:r>
            <w:r>
              <w:rPr>
                <w:rFonts w:ascii="Calibri" w:hAnsi="Calibri" w:eastAsia="微软雅黑"/>
                <w:b/>
                <w:i w:val="0"/>
                <w:color w:val="FFFFFF"/>
                <w:sz w:val="18"/>
              </w:rPr>
              <w:t>证据锚</w:t>
            </w:r>
          </w:p>
        </w:tc>
      </w:tr>
      <w:tr>
        <w:tc>
          <w:tcPr>
            <w:tcW w:type="dxa" w:w="2767"/>
          </w:tcPr>
          <w:p>
            <w:r/>
            <w:r>
              <w:rPr>
                <w:rFonts w:ascii="Calibri" w:hAnsi="Calibri" w:eastAsia="微软雅黑"/>
                <w:b w:val="0"/>
                <w:i w:val="0"/>
                <w:sz w:val="18"/>
              </w:rPr>
              <w:t>概算指标法（J + Q₁P₁ − Q₂P₂）</w:t>
            </w:r>
          </w:p>
        </w:tc>
        <w:tc>
          <w:tcPr>
            <w:tcW w:type="dxa" w:w="2767"/>
          </w:tcPr>
          <w:p>
            <w:r/>
            <w:r>
              <w:rPr>
                <w:rFonts w:ascii="Calibri" w:hAnsi="Calibri" w:eastAsia="微软雅黑"/>
                <w:b w:val="0"/>
                <w:i w:val="0"/>
                <w:sz w:val="18"/>
              </w:rPr>
              <w:t>初设阶段造价指标与实际结构特征不符，概算失真</w:t>
            </w:r>
          </w:p>
        </w:tc>
        <w:tc>
          <w:tcPr>
            <w:tcW w:type="dxa" w:w="2767"/>
          </w:tcPr>
          <w:p>
            <w:r/>
            <w:r>
              <w:rPr>
                <w:rFonts w:ascii="Calibri" w:hAnsi="Calibri" w:eastAsia="微软雅黑"/>
                <w:b w:val="0"/>
                <w:i w:val="0"/>
                <w:sz w:val="18"/>
              </w:rPr>
              <w:t>P1000/P1001</w:t>
            </w:r>
          </w:p>
        </w:tc>
      </w:tr>
      <w:tr>
        <w:tc>
          <w:tcPr>
            <w:tcW w:type="dxa" w:w="2767"/>
          </w:tcPr>
          <w:p>
            <w:r/>
            <w:r>
              <w:rPr>
                <w:rFonts w:ascii="Calibri" w:hAnsi="Calibri" w:eastAsia="微软雅黑"/>
                <w:b w:val="0"/>
                <w:i w:val="0"/>
                <w:sz w:val="18"/>
              </w:rPr>
              <w:t>类似工程预算法（D = A × K）</w:t>
            </w:r>
          </w:p>
        </w:tc>
        <w:tc>
          <w:tcPr>
            <w:tcW w:type="dxa" w:w="2767"/>
          </w:tcPr>
          <w:p>
            <w:r/>
            <w:r>
              <w:rPr>
                <w:rFonts w:ascii="Calibri" w:hAnsi="Calibri" w:eastAsia="微软雅黑"/>
                <w:b w:val="0"/>
                <w:i w:val="0"/>
                <w:sz w:val="18"/>
              </w:rPr>
              <w:t>缺乏直接指标时的概算盲区，投标报价漏洞（对应 P1029 投标阶段风险）</w:t>
            </w:r>
          </w:p>
        </w:tc>
        <w:tc>
          <w:tcPr>
            <w:tcW w:type="dxa" w:w="2767"/>
          </w:tcPr>
          <w:p>
            <w:r/>
            <w:r>
              <w:rPr>
                <w:rFonts w:ascii="Calibri" w:hAnsi="Calibri" w:eastAsia="微软雅黑"/>
                <w:b w:val="0"/>
                <w:i w:val="0"/>
                <w:sz w:val="18"/>
              </w:rPr>
              <w:t>P1000/P1001</w:t>
            </w:r>
          </w:p>
        </w:tc>
      </w:tr>
      <w:tr>
        <w:tc>
          <w:tcPr>
            <w:tcW w:type="dxa" w:w="2767"/>
          </w:tcPr>
          <w:p>
            <w:r/>
            <w:r>
              <w:rPr>
                <w:rFonts w:ascii="Calibri" w:hAnsi="Calibri" w:eastAsia="微软雅黑"/>
                <w:b w:val="0"/>
                <w:i w:val="0"/>
                <w:sz w:val="18"/>
              </w:rPr>
              <w:t>设备安装费率/吨重指标</w:t>
            </w:r>
          </w:p>
        </w:tc>
        <w:tc>
          <w:tcPr>
            <w:tcW w:type="dxa" w:w="2767"/>
          </w:tcPr>
          <w:p>
            <w:r/>
            <w:r>
              <w:rPr>
                <w:rFonts w:ascii="Calibri" w:hAnsi="Calibri" w:eastAsia="微软雅黑"/>
                <w:b w:val="0"/>
                <w:i w:val="0"/>
                <w:sz w:val="18"/>
              </w:rPr>
              <w:t>设备选型与安装费的联动失控（对应14个月货期型断点，P1008）</w:t>
            </w:r>
          </w:p>
        </w:tc>
        <w:tc>
          <w:tcPr>
            <w:tcW w:type="dxa" w:w="2767"/>
          </w:tcPr>
          <w:p>
            <w:r/>
            <w:r>
              <w:rPr>
                <w:rFonts w:ascii="Calibri" w:hAnsi="Calibri" w:eastAsia="微软雅黑"/>
                <w:b w:val="0"/>
                <w:i w:val="0"/>
                <w:sz w:val="18"/>
              </w:rPr>
              <w:t>P1000</w:t>
            </w:r>
          </w:p>
        </w:tc>
      </w:tr>
      <w:tr>
        <w:tc>
          <w:tcPr>
            <w:tcW w:type="dxa" w:w="2767"/>
          </w:tcPr>
          <w:p>
            <w:r/>
            <w:r>
              <w:rPr>
                <w:rFonts w:ascii="Calibri" w:hAnsi="Calibri" w:eastAsia="微软雅黑"/>
                <w:b w:val="0"/>
                <w:i w:val="0"/>
                <w:sz w:val="18"/>
              </w:rPr>
              <w:t>EPC 分拆节点先履行抗辩机制（5.2.3 款/5.2.4 款）</w:t>
            </w:r>
          </w:p>
        </w:tc>
        <w:tc>
          <w:tcPr>
            <w:tcW w:type="dxa" w:w="2767"/>
          </w:tcPr>
          <w:p>
            <w:r/>
            <w:r>
              <w:rPr>
                <w:rFonts w:ascii="Calibri" w:hAnsi="Calibri" w:eastAsia="微软雅黑"/>
                <w:b w:val="0"/>
                <w:i w:val="0"/>
                <w:sz w:val="18"/>
              </w:rPr>
              <w:t>分拆履约下的节点请款阻滞（对应 P1018 里程碑支付阻滞）</w:t>
            </w:r>
          </w:p>
        </w:tc>
        <w:tc>
          <w:tcPr>
            <w:tcW w:type="dxa" w:w="2767"/>
          </w:tcPr>
          <w:p>
            <w:r/>
            <w:r>
              <w:rPr>
                <w:rFonts w:ascii="Calibri" w:hAnsi="Calibri" w:eastAsia="微软雅黑"/>
                <w:b w:val="0"/>
                <w:i w:val="0"/>
                <w:sz w:val="18"/>
              </w:rPr>
              <w:t>P1000</w:t>
            </w:r>
          </w:p>
        </w:tc>
      </w:tr>
    </w:tbl>
    <w:p>
      <w:r>
        <w:rPr>
          <w:rFonts w:ascii="Calibri" w:hAnsi="Calibri" w:eastAsia="微软雅黑"/>
          <w:b w:val="0"/>
          <w:i w:val="0"/>
          <w:sz w:val="22"/>
        </w:rPr>
        <w:t>此处只立坐标：一体化不是理念之争，是可量化、可复核、可审计的工具箱（P1000/P1001）。工具的推导与算例在第 3 章、第 4 章展开。</w:t>
      </w:r>
    </w:p>
    <w:p>
      <w:r>
        <w:rPr>
          <w:rFonts w:ascii="Calibri" w:hAnsi="Calibri" w:eastAsia="微软雅黑"/>
          <w:b w:val="0"/>
          <w:i w:val="0"/>
          <w:sz w:val="22"/>
        </w:rPr>
        <w:t>表 1-4 的用法要说清楚：工具不是越多越好，而是越对位越好。概算指标修正法（P1000）拦的是「概算与实际结构特征不符」这种静态偏差；类似工程预算法（P1000/P1001）拦的是「无指标可用」这种信息真空——投标阶段的风险预估不足（P1029）多数属于这一类；设备安装费率与吨重指标（P1000）拦的是「选型与安装费脱钩」这种动态错配——天府项目14个月货期型断点（P1008）就是它未被执行的代价；分拆节点抗辩机制（P1000）拦的是「分拆履约下的请款阻滞」——金桂案7679.0761万元的欠付之争（P1018）是它的反面教材。一张表读下来，工具箱的完整拼图正对着 1.2 节的损失链：每一类损失都有对应的量化拦截器，缺的从来是工具，是把工具嵌进流程的治理意志。</w:t>
      </w:r>
    </w:p>
    <w:p>
      <w:pPr>
        <w:pStyle w:val="Heading3"/>
      </w:pPr>
      <w:r>
        <w:t>1.4.3 治理重装：法人级交付效能公式</w:t>
      </w:r>
    </w:p>
    <w:p>
      <w:r>
        <w:rPr>
          <w:rFonts w:ascii="Calibri" w:hAnsi="Calibri" w:eastAsia="微软雅黑"/>
          <w:b w:val="0"/>
          <w:i w:val="0"/>
          <w:sz w:val="22"/>
        </w:rPr>
        <w:t>第三根支柱是治理结构。[事实] SNEI（中石化南京工程）路径给出一条治理公式：EPC 法人级交付效能 =（设计控制因子 × 采购施工协同因子）÷（组织摩擦风险 + 造价合规偏差）（P1001）。分母里的两项在判例中有名有姓：组织摩擦风险对应合同分拆模式下的履约抗辩（如(2016)最高法民终695号先履行抗辩权）、分包合同同步解除机制（(2016)最高法民再53号）及境外保函止付风险（(2017)川民终72号）；造价合规偏差对应行政审计强行介入结算（法工委函〔2017〕2号清理审查及「重庆勇创案」计价标准纠偏）、标底与最高投标限价编制偏离（P1001）。[事实] SNEI 的解法是通过设计能力与施工能力的法人级深度重构，打破组织壁垒，实现组织交付基因与设计概算全过程控制的统一（P1001）。[预测] 治理融合先行、工具随后补齐的企业，其分母（组织摩擦加合规偏差）的收缩速度将快于只做组织合并且不做法务与造价联防的企业——此判断在本书后半部分的企业复盘中接受检验，若复盘样本显示两类企业的争议率无差异，则该预测应予放弃。</w:t>
      </w:r>
    </w:p>
    <w:p>
      <w:pPr>
        <w:pStyle w:val="Heading3"/>
      </w:pPr>
      <w:r>
        <w:t>1.4.4 数字协同与策划先行</w:t>
      </w:r>
    </w:p>
    <w:p>
      <w:r>
        <w:rPr>
          <w:rFonts w:ascii="Calibri" w:hAnsi="Calibri" w:eastAsia="微软雅黑"/>
          <w:b w:val="0"/>
          <w:i w:val="0"/>
          <w:sz w:val="22"/>
        </w:rPr>
        <w:t>第四根支柱是工具链与策划纪律。[事实] 云南大学呈贡校区科研平台项目用协同平台让八个专业（建筑、结构、暖通、给排水、电气、工艺、幕墙、装饰）通过链接参照完成三维模型及图纸的协同设计，碰撞在模型里直观暴露、及时解决，施工图交出去时跨专业冲突已经全部归零，69000㎡ 深化设计全程零返工（P1009）——注意该结果为方案方自述，采信时保留来源身份；其揭示的机理（信息墙可以被工具拆掉）仍成立。[事实] 策划层面，从局到总承包公司及下属二级单位均已形成适配自身管理体系的标准化项目管理策划书范本，局方于 18 年发布覆盖全业务板块的范本；总承包公司对策划工作重视度的提升存在明确转折点，对应项目为惠科电子厂房施工总承包项目（P1012）。而单个项目的策划具备强个性化特征，需精准匹配对应项目的具体实际情况（P1012）——范本解决下限，个性化解决上限，两者都不能替代对方。</w:t>
      </w:r>
    </w:p>
    <w:p>
      <w:r>
        <w:rPr>
          <w:rFonts w:ascii="Calibri" w:hAnsi="Calibri" w:eastAsia="微软雅黑"/>
          <w:b w:val="0"/>
          <w:i w:val="0"/>
          <w:sz w:val="22"/>
        </w:rPr>
        <w:t>需要泼一盆冷水的是：数字协同不替代治理。零碰撞的模型若配上各自记账的商务团队，碰撞是从工地消失了，又会在结算桌上以「模型版本与图纸版本不一致」的形态复生——工具拆掉的是信息墙，拆不掉组织墙与流程墙。判断一家企业的 BIM 是真协同还是展示品，看两件事：模型版本号有没有进入变更签证的附件清单；结算争议里有没有人引用模型作为计量依据。两件都没有，模型只是更贵的三维效果图。同理，策划范本的迭代史（P1012）也提示：范本的价值不在模板本身，而在每次重大履约事件后有没有把教训写回范本——转折点式的故事（惠科电子厂房，P1012）背后，应当是一套「判例回写范本」的制度，而非一次痛定思痛的偶然。</w:t>
      </w:r>
    </w:p>
    <w:p>
      <w:pPr>
        <w:pStyle w:val="Heading3"/>
      </w:pPr>
      <w:r>
        <w:t>1.4.5 合规一体化：把体系从墙上搬进流程</w:t>
      </w:r>
    </w:p>
    <w:p>
      <w:r>
        <w:rPr>
          <w:rFonts w:ascii="Calibri" w:hAnsi="Calibri" w:eastAsia="微软雅黑"/>
          <w:b w:val="0"/>
          <w:i w:val="0"/>
          <w:sz w:val="22"/>
        </w:rPr>
        <w:t>第五根支柱（贯穿性底座）是合规体系与业务的焊合。[事实] 前述能源央企储气库公司的改造路径：先由注册会计师与法律专家组成的团队用两周时间驻场调研，摸清采购、合同、安全生产等核心业务的真实风险点；再以「三位一体」落地——给雷达（从海量法规中筛出与储气库业务强相关的风险点，建立动态风险图谱）、起抓手（用重点岗位模型把职责拆解到具体岗位，谁签字、谁负责）、装阀门（在采购、合同等关键流程嵌入强制性合规审查节点，不合规，流程就走不下去）（P1011）；认证侧执行五阶段标准化流程，三年认证周期内每年一次监督审核（P1011）。把「合规」替换为「设计施工界面控制」，这套打法可以直接迁移到 EPC 项目治理：风险图谱对应六环损失链，岗位抓手对应三要素报告义务，流程阀门对应变更审批与结算前置条款。[事实] 改造之后企业的变化被概括为从「要我合规」到「我要合规」（P1011）——对本书的主题而言，目标状态是从「要我一体化」到「我要一体化」。两者的分水岭可以用一个行为测试来判别：当项目上出现一道设计采购施工的交接模糊地带时，一线人员的第一反应是「这不归我管」还是「这道缝我来焊」。前一种反应出自两张皮企业的肌肉记忆，后一种反应只有在一体化的考核与授权到位后才会出现。合规体系改造的经验表明，行为的变化滞后于制度的建设（P1011），管理层对一体化的耐心应当以年度为单位计量，这也是为什么本章的建议全部带验证条件与停止条件——没有度量刻度的转型，最后都会退回原点。</w:t>
      </w:r>
    </w:p>
    <w:p>
      <w:pPr>
        <w:pStyle w:val="Heading3"/>
      </w:pPr>
      <w:r>
        <w:t>1.4.6 给管理者的三条起步建议</w:t>
      </w:r>
    </w:p>
    <w:p>
      <w:r>
        <w:rPr>
          <w:rFonts w:ascii="Calibri" w:hAnsi="Calibri" w:eastAsia="微软雅黑"/>
          <w:b w:val="0"/>
          <w:i w:val="0"/>
          <w:sz w:val="22"/>
        </w:rPr>
        <w:t>以上四个支柱落到下周一的办公桌上，是三条可立即启动的动作，每条都带验证条件与停止条件。三条动作的共同逻辑是把本章的损失地图反转成防线地图：界面入约对应组织墙，证据链标准化对应流程墙，结算前置对应信息墙——三堵墙各配一道闸，闸的开关握在合同与台账而不是会议纪要里。也预告一下全书的行进路线：第 2 章先把两张皮的损失做系统计量，第 3、4 章展开概算与选型的工具箱，第 6 章处理采购断层，第 8 章复核数字协同的真实拦截率，第 9 章直面联合体治理与设计优化收益分配，第 10 章给出企业画像与路线图——每一章都在本章的地图上找到自己的坐标。</w:t>
      </w:r>
    </w:p>
    <w:p>
      <w:r>
        <w:rPr>
          <w:rFonts w:ascii="Calibri" w:hAnsi="Calibri" w:eastAsia="微软雅黑"/>
          <w:b w:val="0"/>
          <w:i w:val="0"/>
          <w:sz w:val="22"/>
        </w:rPr>
        <w:t>[建议]</w:t>
      </w:r>
    </w:p>
    <w:p>
      <w:r>
        <w:rPr>
          <w:rFonts w:ascii="Calibri" w:hAnsi="Calibri" w:eastAsia="微软雅黑"/>
          <w:b w:val="0"/>
          <w:i w:val="0"/>
          <w:sz w:val="22"/>
        </w:rPr>
        <w:t>[建议] 第一条，界面入约：把设计-采购-施工的界面责任（长周期设备清单、货期书面承诺、窝工三要素报告义务、设计优化收益分配）写进同一份合同文件族。验证条件：初步设计批复前完成长周期设备锁定清单；停止条件：两个投标周期内拿不到供应商书面货期承诺即暂缓投标——14个月货期对18个月工期的死局（P1008）不允许赌。</w:t>
      </w:r>
    </w:p>
    <w:p>
      <w:r>
        <w:rPr>
          <w:rFonts w:ascii="Calibri" w:hAnsi="Calibri" w:eastAsia="微软雅黑"/>
          <w:b w:val="0"/>
          <w:i w:val="0"/>
          <w:sz w:val="22"/>
        </w:rPr>
        <w:t>[建议] 第二条，证据链标准化：以判例反推标准，每份变更签证必附损失金额、停工时长、停工原因三要素（P1003 反例；P1010 的证据闭环要求），打通变更、签证、图纸、洽商、影像、台账的证据链条。验证条件：月度三要素齐全率统计；停止条件：任一季度齐全率低于九成即启动外部法务复核。</w:t>
      </w:r>
    </w:p>
    <w:p>
      <w:r>
        <w:rPr>
          <w:rFonts w:ascii="Calibri" w:hAnsi="Calibri" w:eastAsia="微软雅黑"/>
          <w:b w:val="0"/>
          <w:i w:val="0"/>
          <w:sz w:val="22"/>
        </w:rPr>
        <w:t>[建议] 第三条，结算前置：在合同中预设结算机制，或采用咨询审定终局制（P1030 样本），或采用固定价加限制鉴定制（P1016 样本），二选一而不留空白。验证条件：投标阶段图纸完备度评审通过；停止条件：关键专业施工图缺失时禁用固定总价口径——边施工边出图（P1016）加固定总价的组合，等于把结算定价权交给未来的争吵。</w:t>
      </w:r>
    </w:p>
    <w:p>
      <w:pPr>
        <w:pStyle w:val="Heading2"/>
      </w:pPr>
      <w:r>
        <w:t>本章小结与盲区</w:t>
      </w:r>
    </w:p>
    <w:p>
      <w:r>
        <w:rPr>
          <w:rFonts w:ascii="Calibri" w:hAnsi="Calibri" w:eastAsia="微软雅黑"/>
          <w:b/>
          <w:i w:val="0"/>
          <w:sz w:val="22"/>
        </w:rPr>
        <w:t>小结（六问）：</w:t>
      </w:r>
    </w:p>
    <w:p>
      <w:pPr>
        <w:pStyle w:val="ListBullet"/>
      </w:pPr>
      <w:r>
        <w:rPr>
          <w:rFonts w:ascii="Calibri" w:hAnsi="Calibri" w:eastAsia="微软雅黑"/>
          <w:b/>
          <w:i w:val="0"/>
          <w:sz w:val="22"/>
        </w:rPr>
        <w:t>证明了什么</w:t>
      </w:r>
      <w:r>
        <w:rPr>
          <w:rFonts w:ascii="Calibri" w:hAnsi="Calibri" w:eastAsia="微软雅黑"/>
          <w:b w:val="0"/>
          <w:i w:val="0"/>
          <w:sz w:val="22"/>
        </w:rPr>
        <w:t>：两张皮不是沟通问题而是结构问题，其病根是组织墙、信息墙、流程墙三堵墙（P1001/P1009/P1008），三墙相互加固，单一环节的改良会被其余环节的惯性抵消；损失沿「初设深度—技术规格书—参数匹配—采购周期—赶工质量—签证结算」六环链条传导（P1008），经过变更、签证、结算三个隐形漏洞放大（P1010），并在判例中留下从78066元复测费（P1016）到92000万元合同总价（P1018）的连续价目谱；损失还有时间维度——终局结算时滞可达约43个月（own_calc：2017年8月17日−2014年1月15日，P1030），竣工到立案可达约31个月（own_calc：2014年12月23日−2012年5月30日，P1015）。</w:t>
      </w:r>
    </w:p>
    <w:p>
      <w:pPr>
        <w:pStyle w:val="ListBullet"/>
      </w:pPr>
      <w:r>
        <w:rPr>
          <w:rFonts w:ascii="Calibri" w:hAnsi="Calibri" w:eastAsia="微软雅黑"/>
          <w:b/>
          <w:i w:val="0"/>
          <w:sz w:val="22"/>
        </w:rPr>
        <w:t>输入在哪</w:t>
      </w:r>
      <w:r>
        <w:rPr>
          <w:rFonts w:ascii="Calibri" w:hAnsi="Calibri" w:eastAsia="微软雅黑"/>
          <w:b w:val="0"/>
          <w:i w:val="0"/>
          <w:sz w:val="22"/>
        </w:rPr>
        <w:t>：行业机理来自工程管理与总承包实务源（P1000/P1001/P1002/P1008/P1009/P1010/P1011/P1012/P1013/P1029），司法证据来自裁判文书检索命中（P1003-P1034），两类来源在本章逐节交叉互证——机理指认断点，判例给断点标价。</w:t>
      </w:r>
    </w:p>
    <w:p>
      <w:pPr>
        <w:pStyle w:val="ListBullet"/>
      </w:pPr>
      <w:r>
        <w:rPr>
          <w:rFonts w:ascii="Calibri" w:hAnsi="Calibri" w:eastAsia="微软雅黑"/>
          <w:b/>
          <w:i w:val="0"/>
          <w:sz w:val="22"/>
        </w:rPr>
        <w:t>怎么算的</w:t>
      </w:r>
      <w:r>
        <w:rPr>
          <w:rFonts w:ascii="Calibri" w:hAnsi="Calibri" w:eastAsia="微软雅黑"/>
          <w:b w:val="0"/>
          <w:i w:val="0"/>
          <w:sz w:val="22"/>
        </w:rPr>
        <w:t>：所有跨源聚合均以 own_calc 标注——三案欠付合计260124166.82元（own_calc：76790761＋131845782＋51487623.82，P1018/P1003/P1030），定标前压价20033955元、降幅约10.3%（own_calc：194351955−174318000；20033955÷194351955，P1017），变更增量占中标价约55.7%（own_calc：7205791÷12933521.89，P1027），预算与合同价落差887493.46元、约6.0%（own_calc：14872493.46−13985000；887493.46÷14872493.46，P1006），初审核减占比约11.7%（own_calc：3591240.95÷30636998.18，P1007），货期占剩余工期约77.8%（own_calc：14÷18，P1008），日万分之三折年化约10.95%（own_calc：日万分之三×365，P1015）。</w:t>
      </w:r>
    </w:p>
    <w:p>
      <w:pPr>
        <w:pStyle w:val="ListBullet"/>
      </w:pPr>
      <w:r>
        <w:rPr>
          <w:rFonts w:ascii="Calibri" w:hAnsi="Calibri" w:eastAsia="微软雅黑"/>
          <w:b/>
          <w:i w:val="0"/>
          <w:sz w:val="22"/>
        </w:rPr>
        <w:t>依赖什么前提</w:t>
      </w:r>
      <w:r>
        <w:rPr>
          <w:rFonts w:ascii="Calibri" w:hAnsi="Calibri" w:eastAsia="微软雅黑"/>
          <w:b w:val="0"/>
          <w:i w:val="0"/>
          <w:sz w:val="22"/>
        </w:rPr>
        <w:t>：判例样本为检索命中而非分层抽样；85/15 成本格局（P1008）与「六七成亏损」（P1013）两个行业口径均未做独立复检；own_calc 面板基于判决书载明的主张金额，部分诉请金额不等于最终裁判金额；判例的时间跨度从2005年签约（P1024）到2020年裁判（P1030/P1034），期间计价规则与司法口径有变动，金额不可直接跨期比较。</w:t>
      </w:r>
    </w:p>
    <w:p>
      <w:pPr>
        <w:pStyle w:val="ListBullet"/>
      </w:pPr>
      <w:r>
        <w:rPr>
          <w:rFonts w:ascii="Calibri" w:hAnsi="Calibri" w:eastAsia="微软雅黑"/>
          <w:b/>
          <w:i w:val="0"/>
          <w:sz w:val="22"/>
        </w:rPr>
        <w:t>还有什么解释</w:t>
      </w:r>
      <w:r>
        <w:rPr>
          <w:rFonts w:ascii="Calibri" w:hAnsi="Calibri" w:eastAsia="微软雅黑"/>
          <w:b w:val="0"/>
          <w:i w:val="0"/>
          <w:sz w:val="22"/>
        </w:rPr>
        <w:t>：损失也可能来自与组织形态无关的因素——业主资金不足（P1018）、宏观材料价差（P1004）、规划调整（P1028）都在判例中独立成因。本章不主张两张皮是损失的全部源头，主张它是跨环节放大器：任何单点风险经过三堵墙都会被放大成全链损失；同样地，任何单点优化（协同软件、范本、考核）若不配套界面机制，收益都会在墙上衰减。</w:t>
      </w:r>
    </w:p>
    <w:p>
      <w:pPr>
        <w:pStyle w:val="ListBullet"/>
      </w:pPr>
      <w:r>
        <w:rPr>
          <w:rFonts w:ascii="Calibri" w:hAnsi="Calibri" w:eastAsia="微软雅黑"/>
          <w:b/>
          <w:i w:val="0"/>
          <w:sz w:val="22"/>
        </w:rPr>
        <w:t>什么证据会改变答案</w:t>
      </w:r>
      <w:r>
        <w:rPr>
          <w:rFonts w:ascii="Calibri" w:hAnsi="Calibri" w:eastAsia="微软雅黑"/>
          <w:b w:val="0"/>
          <w:i w:val="0"/>
          <w:sz w:val="22"/>
        </w:rPr>
        <w:t>：若同一企业 DBB 与 EPC 项目的争议率、欠付率对比显示无差异，「组织形态决定论」需收窄为「界面管理决定论」，全书的修复重点将随之从治理结构移向流程与工具；若 85/15 格局（P1008）被证伪为项目类型敏感的变量，设计前端投入的优先级论证也需要重写。</w:t>
      </w:r>
    </w:p>
    <w:p>
      <w:r>
        <w:rPr>
          <w:rFonts w:ascii="Calibri" w:hAnsi="Calibri" w:eastAsia="微软雅黑"/>
          <w:b/>
          <w:i w:val="0"/>
          <w:sz w:val="22"/>
        </w:rPr>
        <w:t>盲区与证据未覆盖处（如实声明）：</w:t>
      </w:r>
    </w:p>
    <w:p>
      <w:pPr>
        <w:pStyle w:val="ListNumber"/>
      </w:pPr>
      <w:r>
        <w:rPr>
          <w:rFonts w:ascii="Calibri" w:hAnsi="Calibri" w:eastAsia="微软雅黑"/>
          <w:b w:val="0"/>
          <w:i w:val="0"/>
          <w:sz w:val="22"/>
        </w:rPr>
        <w:t>85/15 成本决定论（P1008）为行业流传论断，bank 中未见其原始研究出处与样本构成，本章未做独立验证——若该比例在不同项目类型间大幅波动，1.2 节损失链的权重排序需要重估。</w:t>
      </w:r>
    </w:p>
    <w:p>
      <w:pPr>
        <w:pStyle w:val="ListNumber"/>
      </w:pPr>
      <w:r>
        <w:rPr>
          <w:rFonts w:ascii="Calibri" w:hAnsi="Calibri" w:eastAsia="微软雅黑"/>
          <w:b w:val="0"/>
          <w:i w:val="0"/>
          <w:sz w:val="22"/>
        </w:rPr>
        <w:t>「业内六七成的亏损，都跟合同无效、挂靠转包有关」（P1013）为公众号行业观察口径，非统计年鉴数据；证据库中无全国亏损项目抽样，该数字只能作为方向参考。</w:t>
      </w:r>
    </w:p>
    <w:p>
      <w:pPr>
        <w:pStyle w:val="ListNumber"/>
      </w:pPr>
      <w:r>
        <w:rPr>
          <w:rFonts w:ascii="Calibri" w:hAnsi="Calibri" w:eastAsia="微软雅黑"/>
          <w:b w:val="0"/>
          <w:i w:val="0"/>
          <w:sz w:val="22"/>
        </w:rPr>
        <w:t>判例样本存在大额过采样偏差：检索命中的均为成讼案件（P1003-P1034），协商了结、内部消化的小额两张皮损失在证据中接近空白，本章价目表系统性偏高；同时判决书载明的诉请金额与最终裁判金额在多数文书中不可区分，own_calc 面板按诉请口径计算。</w:t>
      </w:r>
    </w:p>
    <w:p>
      <w:pPr>
        <w:pStyle w:val="ListNumber"/>
      </w:pPr>
      <w:r>
        <w:rPr>
          <w:rFonts w:ascii="Calibri" w:hAnsi="Calibri" w:eastAsia="微软雅黑"/>
          <w:b w:val="0"/>
          <w:i w:val="0"/>
          <w:sz w:val="22"/>
        </w:rPr>
        <w:t>P1002 源存在素材错配——其标题为传统设计院从 DBB 模式撕裂走向「后向一体化」EPC 总承包的行业判断，正文却混入遥感图像融合内容；本章仅采信其标题层判断，该源证据力按降级处理，读者引用时勿以该源支撑具体数据。</w:t>
      </w:r>
    </w:p>
    <w:p>
      <w:pPr>
        <w:pStyle w:val="ListNumber"/>
      </w:pPr>
      <w:r>
        <w:rPr>
          <w:rFonts w:ascii="Calibri" w:hAnsi="Calibri" w:eastAsia="微软雅黑"/>
          <w:b w:val="0"/>
          <w:i w:val="0"/>
          <w:sz w:val="22"/>
        </w:rPr>
        <w:t>EasyBIM「跨专业冲突全部归零、全程零返工」（P1009）为工具方案方自述，无第三方审计口径，其采信等级低于判例；数字协同的真实拦截率将在第 8 章以更多样本复核。</w:t>
      </w:r>
    </w:p>
    <w:p>
      <w:pPr>
        <w:pStyle w:val="ListNumber"/>
      </w:pPr>
      <w:r>
        <w:rPr>
          <w:rFonts w:ascii="Calibri" w:hAnsi="Calibri" w:eastAsia="微软雅黑"/>
          <w:b w:val="0"/>
          <w:i w:val="0"/>
          <w:sz w:val="22"/>
        </w:rPr>
        <w:t>反证三问。什么事实会推翻本章判断：一体化 EPC 项目若与传统 DBB 在争议率与欠付率上无差异——事实上 P1018、P1025、P1003 三案本身就是一体化 EPC 的败诉样本——那么「两张皮=利润漏洞」的归因就应从组织形态收窄到界面管理。现有反证为何不足：三起 EPC 败诉只证明一体化不自动免疫，样本中缺少同一企业 DBB 与 EPC 的对照组，尚不能证明组织形态与损失无关。哪个未知可能改变读者选择：设计院主导与施工企业主导的一体化，谁在变更管控与结算胜率上更占优——现有判例中两类主体各有败绩（P1018 设计院、P1025 联合体、P1003 施工系企业），无对照数据，此问悬置至第 10 章企业画像再检验。</w:t>
      </w:r>
    </w:p>
    <w:p>
      <w:r>
        <w:rPr>
          <w:rFonts w:ascii="Calibri" w:hAnsi="Calibri" w:eastAsia="微软雅黑"/>
          <w:b w:val="0"/>
          <w:i w:val="0"/>
          <w:sz w:val="22"/>
        </w:rPr>
        <w:t>---</w:t>
      </w:r>
    </w:p>
    <w:p>
      <w:pPr>
        <w:pStyle w:val="Heading1"/>
      </w:pPr>
      <w:r>
        <w:t>第2章 政策坐标系：从93号文到总承包管理办法的一体化要求</w:t>
      </w:r>
    </w:p>
    <w:p>
      <w:pPr>
        <w:ind w:left="454"/>
      </w:pPr>
      <w:r>
        <w:rPr>
          <w:rFonts w:ascii="Calibri" w:hAnsi="Calibri" w:eastAsia="微软雅黑"/>
          <w:b w:val="0"/>
          <w:i w:val="0"/>
          <w:color w:val="666666"/>
          <w:sz w:val="22"/>
        </w:rPr>
        <w:t>设计施工「两张皮」不是某家企业的私有烦恼，而是被政策文件反复点名、逐条拆解的结构性问题。本章把九部委标准招标文件到《工程总承包管理办法》的规则接力排成一条时间轴，标出每道硬约束的出处与松紧，给管理者一张投标与签约前必查的政策底图。</w:t>
      </w:r>
    </w:p>
    <w:p>
      <w:r>
        <w:rPr>
          <w:rFonts w:ascii="Calibri" w:hAnsi="Calibri" w:eastAsia="微软雅黑"/>
          <w:b w:val="0"/>
          <w:i w:val="0"/>
          <w:sz w:val="22"/>
        </w:rPr>
        <w:t>adds: 读者读完本章多知道什么——一体化要求的政策原文出处、资质/招标时点/回避/变更调价四类硬约束的准确口径，以及这些规则在判例里被打破时的真实对价数字。</w:t>
      </w:r>
    </w:p>
    <w:p>
      <w:pPr>
        <w:pStyle w:val="Heading2"/>
      </w:pPr>
      <w:r>
        <w:t>2.1 「两张皮」进入政策文本：一体化要求的原始出处</w:t>
      </w:r>
    </w:p>
    <w:p>
      <w:r>
        <w:rPr>
          <w:rFonts w:ascii="Calibri" w:hAnsi="Calibri" w:eastAsia="微软雅黑"/>
          <w:b w:val="0"/>
          <w:i w:val="0"/>
          <w:sz w:val="22"/>
        </w:rPr>
        <w:t>工程界讲设计施工脱节，常用「两张皮」这个词。在企业内部它是抱怨，放进政策文本，它是一组被反复写进「制定目的」的问题认定。内蒙古自治区水利厅2015年6月8日印发的《关于开展水利工程建设项目设计施工总承包（试点）工作的通知》说得直白：推广设计施工总承包，能够「促进设计与施工单位的紧密结合，充分挖掘设计、施工协作潜力，有效解决设计与施工相互脱节问题」（P2020）。交通运输部2015年第10号令的第一条，把「促进公路工程设计与施工相融合」直接写成立法目的（P2001）。两份文件分属两个行业，对病因的诊断一致：脱节不是某个项目团队的偶发失误，而是设计与施工分开发包的组织结果。</w:t>
      </w:r>
    </w:p>
    <w:p>
      <w:r>
        <w:rPr>
          <w:rFonts w:ascii="Calibri" w:hAnsi="Calibri" w:eastAsia="微软雅黑"/>
          <w:b w:val="0"/>
          <w:i w:val="0"/>
          <w:sz w:val="22"/>
        </w:rPr>
        <w:t>诊断一致，药方也一致：合并发包。广州市2017年10月《关于公布设计施工总承包招标监管标准的指引（试行）》给出的定义是，招标人通过招标方式「将建设项目的设计工作（或含勘察）全过程或若干阶段和施工进行发包」，中标人「对建设项目的质量、安全、工期、造价全面负责」，并明确要「发挥有实力的设计单位在设计施工总承包管理中的主导作用」（P2017）。内蒙古的表述更简洁：设计施工总承包是「将工程项目的设计和施工合并招标，由中标人对工程的设计和施工实行总承包的一种工程项目管理模式」（P2020）。[事实] 一体化在政策语言里的最小公约数，就是把设计与施工装进同一份合同、交给同一责任人。</w:t>
      </w:r>
    </w:p>
    <w:p>
      <w:r>
        <w:rPr>
          <w:rFonts w:ascii="Calibri" w:hAnsi="Calibri" w:eastAsia="微软雅黑"/>
          <w:b w:val="0"/>
          <w:i w:val="0"/>
          <w:sz w:val="22"/>
        </w:rPr>
        <w:t>这条坐标轴的原点，可以钉在2011年（P2022）。国家发展改革委、工业和信息化部、财政部、住房和城乡建设部、交通运输部、铁道部、水利部、广电总局、中国民用航空局九部门印发《简明标准施工招标文件》和《标准设计施工总承包招标文件》（发改法规〔2011〕3018号），在部委规则层面首次把「设计施工一体化的总承包项目」单列为一种招标类型，明确这类项目「其招标文件应当根据《标准设计施工总承包招标文件》编制」（P2022）。同一段里还有一条对照条款：只有「工期不超过12个月、技术相对简单、且设计和施工不是由同一承包人承担的小型项目」，其施工招标才用《简明标准施工招标文件》（P2022）。换句话说，「设计和施工是否由同一承包人承担」本身就是标准文件体系的分界线——一体化不是传统模式上的附加选项，而是与之并列的另一条轨道，各有各的规则列车。</w:t>
      </w:r>
    </w:p>
    <w:p>
      <w:r>
        <w:rPr>
          <w:rFonts w:ascii="Calibri" w:hAnsi="Calibri" w:eastAsia="微软雅黑"/>
          <w:b w:val="0"/>
          <w:i w:val="0"/>
          <w:sz w:val="22"/>
        </w:rPr>
        <w:t>九部门还锁住了规则列车的底盘：《标准设计施工总承包招标文件》中的「投标人须知」「评标办法」「通用合同条款」，应当「不加修改地引用」；行业主管部门能做补充的，只有「专用合同条款」「发包人要求」「发包人提供的资料和条件」等接口，且补充细化内容与通用合同条款抵触的，抵触内容无效（P2022）。这对买方是一条重要情报：在不可修改的通用条款之下，真正留给发承包双方博弈的定制空间，集中在「发包人要求」与「发包人提供的资料和条件」两处——2.4节会看到，这两处恰好是变更与调价争议的策源地。</w:t>
      </w:r>
    </w:p>
    <w:p>
      <w:r>
        <w:rPr>
          <w:rFonts w:ascii="Calibri" w:hAnsi="Calibri" w:eastAsia="微软雅黑"/>
          <w:b w:val="0"/>
          <w:i w:val="0"/>
          <w:sz w:val="22"/>
        </w:rPr>
        <w:t>再往前一站，是业内俗称的「93号文」：《住房城乡建设部关于进一步推进工程总承包发展的若干意见》（建市〔2016〕93号，P2021）。需要如实说明：本章弹药库未收录该文全文，其条款细节无法逐条锚定；但它的坐标位置可以从下游文件反推——山东省水利厅2019年1月印发的《山东省水利工程建设项目设计施工总承包指导意见（试行）》，把它与《中华人民共和国建筑法》、《中共中央国务院关于加快水利改革发展的决定》、《水利部关于深化水利改革的指导意见》并列列为制定依据（P2021）；广州市的监管指引也把它列为上位依据之一（P2017）。[事实] 至少两份省市级文件把93号文当作一体化模式的上位政策依据（P2017、P2021）。对企业而言，这意味着核对政策口径时不能只盯部委规章：地方文件在援引93号文（P2017、P2021）的同时，往往叠加本地化的资质、资金与回避条款，宽严不一，后两节展开。</w:t>
      </w:r>
    </w:p>
    <w:p>
      <w:r>
        <w:rPr>
          <w:rFonts w:ascii="Calibri" w:hAnsi="Calibri" w:eastAsia="微软雅黑"/>
          <w:b w:val="0"/>
          <w:i w:val="0"/>
          <w:sz w:val="22"/>
        </w:rPr>
        <w:t>读政策文本有个省力的路数：每份文件抓三件套——目的一句话、定义一句话、排除清单一句话。目的是判定监管意图，定义是划定合同边界，排除清单是替你减责。例如内蒙古水利试点通知的三件套：目的写「深化水利工程建设管理体制改革」，定义写「设计和施工合并招标」，排除清单写「工程监理、第三方质量检测不列入总承包范围」、征占地拆迁移民安置由项目法人负责（P2020）。三句话读完，一份文件的商业要点已经到手，剩下的条文检索按需进行。</w:t>
      </w:r>
    </w:p>
    <w:p>
      <w:r>
        <w:rPr>
          <w:rFonts w:ascii="Calibri" w:hAnsi="Calibri" w:eastAsia="微软雅黑"/>
          <w:b w:val="0"/>
          <w:i w:val="0"/>
          <w:sz w:val="22"/>
        </w:rPr>
        <w:t>把政策排成坐标系，不是掉书袋。管理层的三个高频问题——我们有没有资格投、什么时候投、投完变更算谁的钱——答案全部埋在这些文件的条款里，而且不同行业、不同省份的答案并不一致。本章接下来三节分别处理「时间线」「门槛」「价格与变更」，最后一节把判例账本摊开，看看规则被打破时的真实代价。</w:t>
      </w:r>
    </w:p>
    <w:p>
      <w:r>
        <w:rPr>
          <w:rFonts w:ascii="Calibri" w:hAnsi="Calibri" w:eastAsia="微软雅黑"/>
          <w:b w:val="0"/>
          <w:i w:val="0"/>
          <w:sz w:val="22"/>
        </w:rPr>
        <w:t>2019年办法的导读材料把出台前的状态概括为两句：工程总承包「是国际上广泛采用的工程建设组织实施方式，虽在我国早已不是新鲜事物」，但「长期以来相关立法滞后，各地多存矛盾性政策规定，不利于工程总承包长远发展」（P2004）。两句之间正是企业管理层的决策环境：模式本身成熟，规则环境却碎片化。碎片化的代价不由政策制定者承担，而由签约双方承担——同一个总承包项目，在公路行业按双资质门槛组联合体（P2001），在广州单资质即可投标再分包另一业务（P2017），在山东水利市场前期设计编制单位还能携业绩入场（P2021）。管理层读政策不能只读转述，道理在此：转述给你的是结论，条款里藏着的是你这一单的资格、时点与调价边界。</w:t>
      </w:r>
    </w:p>
    <w:p>
      <w:r>
        <w:rPr>
          <w:rFonts w:ascii="Calibri" w:hAnsi="Calibri" w:eastAsia="微软雅黑"/>
          <w:b w:val="0"/>
          <w:i w:val="0"/>
          <w:sz w:val="22"/>
        </w:rPr>
        <w:t>政策语言的克制也值得留意。文件多写「鼓励」与「可以」：「国家鼓励具备条件的公路工程实行总承包」，「项目法人可以根据项目实际情况，确定采用总承包的范围」（P2001）；湖南的表述是省厅鼓励采用设计施工总承包模式组织公路建设（P2000）；北京对装配式项目写的是「原则上应采用」工程总承包模式（P2013）。[事实] 一体化在多数文本里是原则导向加条件开放，强制边界目前只出现在特定场景（政府投资的装配式项目，P2013）。这决定了企业的策略空间：政策没有把门焊死，先建能力者先吃红利。</w:t>
      </w:r>
    </w:p>
    <w:p>
      <w:r>
        <w:rPr>
          <w:rFonts w:ascii="Calibri" w:hAnsi="Calibri" w:eastAsia="微软雅黑"/>
          <w:b w:val="0"/>
          <w:i w:val="0"/>
          <w:sz w:val="22"/>
        </w:rPr>
        <w:t>行业质量报告对割裂代价的概括可作为本章问题意识的注脚：传统工程总承包项目履约中，设计与施工环节存在严重割裂时，现场大量设计变更与节点付款争议随之而来，停工、造价超概算与诉讼风险并至（P2003）。政策已把一体化定为方向，企业端仍被变更与付款争议拖住——中间这段落差，正是本书其余章节要填的内容。</w:t>
      </w:r>
    </w:p>
    <w:p>
      <w:pPr>
        <w:pStyle w:val="Heading2"/>
      </w:pPr>
      <w:r>
        <w:t>2.2 规则接力：三个行业、两级政府的立规时间线（2011—2019）</w:t>
      </w:r>
    </w:p>
    <w:p>
      <w:r>
        <w:rPr>
          <w:rFonts w:ascii="Calibri" w:hAnsi="Calibri" w:eastAsia="微软雅黑"/>
          <w:b w:val="0"/>
          <w:i w:val="0"/>
          <w:sz w:val="22"/>
        </w:rPr>
        <w:t>从2011年九部委标准招标文件（P2022），到2019年12月《房屋建筑和市政基础设施项目工程总承包管理办法》（P2004），一体化规则走出一条「部委标准文件—行业试点—部门规章—地方细则—综合管理办法」的接力路线。先把接力棒按时间排开：</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时间</w:t>
            </w:r>
          </w:p>
        </w:tc>
        <w:tc>
          <w:tcPr>
            <w:tcW w:type="dxa" w:w="2075"/>
            <w:shd w:fill="1F3A5F"/>
          </w:tcPr>
          <w:p>
            <w:r>
              <w:rPr>
                <w:color w:val="FFFFFF"/>
              </w:rPr>
            </w:r>
            <w:r>
              <w:rPr>
                <w:rFonts w:ascii="Calibri" w:hAnsi="Calibri" w:eastAsia="微软雅黑"/>
                <w:b/>
                <w:i w:val="0"/>
                <w:color w:val="FFFFFF"/>
                <w:sz w:val="18"/>
              </w:rPr>
              <w:t>文件</w:t>
            </w:r>
          </w:p>
        </w:tc>
        <w:tc>
          <w:tcPr>
            <w:tcW w:type="dxa" w:w="2075"/>
            <w:shd w:fill="1F3A5F"/>
          </w:tcPr>
          <w:p>
            <w:r>
              <w:rPr>
                <w:color w:val="FFFFFF"/>
              </w:rPr>
            </w:r>
            <w:r>
              <w:rPr>
                <w:rFonts w:ascii="Calibri" w:hAnsi="Calibri" w:eastAsia="微软雅黑"/>
                <w:b/>
                <w:i w:val="0"/>
                <w:color w:val="FFFFFF"/>
                <w:sz w:val="18"/>
              </w:rPr>
              <w:t>一体化要点</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2011年12月（2012年1月10日印发）</w:t>
            </w:r>
          </w:p>
        </w:tc>
        <w:tc>
          <w:tcPr>
            <w:tcW w:type="dxa" w:w="2075"/>
          </w:tcPr>
          <w:p>
            <w:r/>
            <w:r>
              <w:rPr>
                <w:rFonts w:ascii="Calibri" w:hAnsi="Calibri" w:eastAsia="微软雅黑"/>
                <w:b w:val="0"/>
                <w:i w:val="0"/>
                <w:sz w:val="18"/>
              </w:rPr>
              <w:t>九部委《标准设计施工总承包招标文件》（发改法规〔2011〕3018号）</w:t>
            </w:r>
          </w:p>
        </w:tc>
        <w:tc>
          <w:tcPr>
            <w:tcW w:type="dxa" w:w="2075"/>
          </w:tcPr>
          <w:p>
            <w:r/>
            <w:r>
              <w:rPr>
                <w:rFonts w:ascii="Calibri" w:hAnsi="Calibri" w:eastAsia="微软雅黑"/>
                <w:b w:val="0"/>
                <w:i w:val="0"/>
                <w:sz w:val="18"/>
              </w:rPr>
              <w:t>设计施工一体化总承包项目专用范本，通用条款不得修改</w:t>
            </w:r>
          </w:p>
        </w:tc>
        <w:tc>
          <w:tcPr>
            <w:tcW w:type="dxa" w:w="2075"/>
          </w:tcPr>
          <w:p>
            <w:r/>
            <w:r>
              <w:rPr>
                <w:rFonts w:ascii="Calibri" w:hAnsi="Calibri" w:eastAsia="微软雅黑"/>
                <w:b w:val="0"/>
                <w:i w:val="0"/>
                <w:sz w:val="18"/>
              </w:rPr>
              <w:t>P2022</w:t>
            </w:r>
          </w:p>
        </w:tc>
      </w:tr>
      <w:tr>
        <w:tc>
          <w:tcPr>
            <w:tcW w:type="dxa" w:w="2075"/>
          </w:tcPr>
          <w:p>
            <w:r/>
            <w:r>
              <w:rPr>
                <w:rFonts w:ascii="Calibri" w:hAnsi="Calibri" w:eastAsia="微软雅黑"/>
                <w:b w:val="0"/>
                <w:i w:val="0"/>
                <w:sz w:val="18"/>
              </w:rPr>
              <w:t>2014年8月19日</w:t>
            </w:r>
          </w:p>
        </w:tc>
        <w:tc>
          <w:tcPr>
            <w:tcW w:type="dxa" w:w="2075"/>
          </w:tcPr>
          <w:p>
            <w:r/>
            <w:r>
              <w:rPr>
                <w:rFonts w:ascii="Calibri" w:hAnsi="Calibri" w:eastAsia="微软雅黑"/>
                <w:b w:val="0"/>
                <w:i w:val="0"/>
                <w:sz w:val="18"/>
              </w:rPr>
              <w:t>《湖南省公路工程设计施工总承包管理办法（试行）》（湘交基建〔2014〕336号）</w:t>
            </w:r>
          </w:p>
        </w:tc>
        <w:tc>
          <w:tcPr>
            <w:tcW w:type="dxa" w:w="2075"/>
          </w:tcPr>
          <w:p>
            <w:r/>
            <w:r>
              <w:rPr>
                <w:rFonts w:ascii="Calibri" w:hAnsi="Calibri" w:eastAsia="微软雅黑"/>
                <w:b w:val="0"/>
                <w:i w:val="0"/>
                <w:sz w:val="18"/>
              </w:rPr>
              <w:t>施工图勘察设计、工程施工与缺陷责任期修复一体承包</w:t>
            </w:r>
          </w:p>
        </w:tc>
        <w:tc>
          <w:tcPr>
            <w:tcW w:type="dxa" w:w="2075"/>
          </w:tcPr>
          <w:p>
            <w:r/>
            <w:r>
              <w:rPr>
                <w:rFonts w:ascii="Calibri" w:hAnsi="Calibri" w:eastAsia="微软雅黑"/>
                <w:b w:val="0"/>
                <w:i w:val="0"/>
                <w:sz w:val="18"/>
              </w:rPr>
              <w:t>P2000</w:t>
            </w:r>
          </w:p>
        </w:tc>
      </w:tr>
      <w:tr>
        <w:tc>
          <w:tcPr>
            <w:tcW w:type="dxa" w:w="2075"/>
          </w:tcPr>
          <w:p>
            <w:r/>
            <w:r>
              <w:rPr>
                <w:rFonts w:ascii="Calibri" w:hAnsi="Calibri" w:eastAsia="微软雅黑"/>
                <w:b w:val="0"/>
                <w:i w:val="0"/>
                <w:sz w:val="18"/>
              </w:rPr>
              <w:t>2015年6月8日</w:t>
            </w:r>
          </w:p>
        </w:tc>
        <w:tc>
          <w:tcPr>
            <w:tcW w:type="dxa" w:w="2075"/>
          </w:tcPr>
          <w:p>
            <w:r/>
            <w:r>
              <w:rPr>
                <w:rFonts w:ascii="Calibri" w:hAnsi="Calibri" w:eastAsia="微软雅黑"/>
                <w:b w:val="0"/>
                <w:i w:val="0"/>
                <w:sz w:val="18"/>
              </w:rPr>
              <w:t>内蒙古水利工程总承包试点通知</w:t>
            </w:r>
          </w:p>
        </w:tc>
        <w:tc>
          <w:tcPr>
            <w:tcW w:type="dxa" w:w="2075"/>
          </w:tcPr>
          <w:p>
            <w:r/>
            <w:r>
              <w:rPr>
                <w:rFonts w:ascii="Calibri" w:hAnsi="Calibri" w:eastAsia="微软雅黑"/>
                <w:b w:val="0"/>
                <w:i w:val="0"/>
                <w:sz w:val="18"/>
              </w:rPr>
              <w:t>设计和施工合并招标试点</w:t>
            </w:r>
          </w:p>
        </w:tc>
        <w:tc>
          <w:tcPr>
            <w:tcW w:type="dxa" w:w="2075"/>
          </w:tcPr>
          <w:p>
            <w:r/>
            <w:r>
              <w:rPr>
                <w:rFonts w:ascii="Calibri" w:hAnsi="Calibri" w:eastAsia="微软雅黑"/>
                <w:b w:val="0"/>
                <w:i w:val="0"/>
                <w:sz w:val="18"/>
              </w:rPr>
              <w:t>P2020</w:t>
            </w:r>
          </w:p>
        </w:tc>
      </w:tr>
      <w:tr>
        <w:tc>
          <w:tcPr>
            <w:tcW w:type="dxa" w:w="2075"/>
          </w:tcPr>
          <w:p>
            <w:r/>
            <w:r>
              <w:rPr>
                <w:rFonts w:ascii="Calibri" w:hAnsi="Calibri" w:eastAsia="微软雅黑"/>
                <w:b w:val="0"/>
                <w:i w:val="0"/>
                <w:sz w:val="18"/>
              </w:rPr>
              <w:t>2015年8月1日施行</w:t>
            </w:r>
          </w:p>
        </w:tc>
        <w:tc>
          <w:tcPr>
            <w:tcW w:type="dxa" w:w="2075"/>
          </w:tcPr>
          <w:p>
            <w:r/>
            <w:r>
              <w:rPr>
                <w:rFonts w:ascii="Calibri" w:hAnsi="Calibri" w:eastAsia="微软雅黑"/>
                <w:b w:val="0"/>
                <w:i w:val="0"/>
                <w:sz w:val="18"/>
              </w:rPr>
              <w:t>《公路工程设计施工总承包管理办法》（交通运输部令2015年第10号）</w:t>
            </w:r>
          </w:p>
        </w:tc>
        <w:tc>
          <w:tcPr>
            <w:tcW w:type="dxa" w:w="2075"/>
          </w:tcPr>
          <w:p>
            <w:r/>
            <w:r>
              <w:rPr>
                <w:rFonts w:ascii="Calibri" w:hAnsi="Calibri" w:eastAsia="微软雅黑"/>
                <w:b w:val="0"/>
                <w:i w:val="0"/>
                <w:sz w:val="18"/>
              </w:rPr>
              <w:t>施工图勘察设计与工程施工由总承包单位统一实施</w:t>
            </w:r>
          </w:p>
        </w:tc>
        <w:tc>
          <w:tcPr>
            <w:tcW w:type="dxa" w:w="2075"/>
          </w:tcPr>
          <w:p>
            <w:r/>
            <w:r>
              <w:rPr>
                <w:rFonts w:ascii="Calibri" w:hAnsi="Calibri" w:eastAsia="微软雅黑"/>
                <w:b w:val="0"/>
                <w:i w:val="0"/>
                <w:sz w:val="18"/>
              </w:rPr>
              <w:t>P2001</w:t>
            </w:r>
          </w:p>
        </w:tc>
      </w:tr>
      <w:tr>
        <w:tc>
          <w:tcPr>
            <w:tcW w:type="dxa" w:w="2075"/>
          </w:tcPr>
          <w:p>
            <w:r/>
            <w:r>
              <w:rPr>
                <w:rFonts w:ascii="Calibri" w:hAnsi="Calibri" w:eastAsia="微软雅黑"/>
                <w:b w:val="0"/>
                <w:i w:val="0"/>
                <w:sz w:val="18"/>
              </w:rPr>
              <w:t>2016年</w:t>
            </w:r>
          </w:p>
        </w:tc>
        <w:tc>
          <w:tcPr>
            <w:tcW w:type="dxa" w:w="2075"/>
          </w:tcPr>
          <w:p>
            <w:r/>
            <w:r>
              <w:rPr>
                <w:rFonts w:ascii="Calibri" w:hAnsi="Calibri" w:eastAsia="微软雅黑"/>
                <w:b w:val="0"/>
                <w:i w:val="0"/>
                <w:sz w:val="18"/>
              </w:rPr>
              <w:t>《住房城乡建设部关于进一步推进工程总承包发展的若干意见》（建市〔2016〕93号）</w:t>
            </w:r>
          </w:p>
        </w:tc>
        <w:tc>
          <w:tcPr>
            <w:tcW w:type="dxa" w:w="2075"/>
          </w:tcPr>
          <w:p>
            <w:r/>
            <w:r>
              <w:rPr>
                <w:rFonts w:ascii="Calibri" w:hAnsi="Calibri" w:eastAsia="微软雅黑"/>
                <w:b w:val="0"/>
                <w:i w:val="0"/>
                <w:sz w:val="18"/>
              </w:rPr>
              <w:t>多地细则援引的上位依据</w:t>
            </w:r>
          </w:p>
        </w:tc>
        <w:tc>
          <w:tcPr>
            <w:tcW w:type="dxa" w:w="2075"/>
          </w:tcPr>
          <w:p>
            <w:r/>
            <w:r>
              <w:rPr>
                <w:rFonts w:ascii="Calibri" w:hAnsi="Calibri" w:eastAsia="微软雅黑"/>
                <w:b w:val="0"/>
                <w:i w:val="0"/>
                <w:sz w:val="18"/>
              </w:rPr>
              <w:t>P2021</w:t>
            </w:r>
          </w:p>
        </w:tc>
      </w:tr>
      <w:tr>
        <w:tc>
          <w:tcPr>
            <w:tcW w:type="dxa" w:w="2075"/>
          </w:tcPr>
          <w:p>
            <w:r/>
            <w:r>
              <w:rPr>
                <w:rFonts w:ascii="Calibri" w:hAnsi="Calibri" w:eastAsia="微软雅黑"/>
                <w:b w:val="0"/>
                <w:i w:val="0"/>
                <w:sz w:val="18"/>
              </w:rPr>
              <w:t>2017年10月</w:t>
            </w:r>
          </w:p>
        </w:tc>
        <w:tc>
          <w:tcPr>
            <w:tcW w:type="dxa" w:w="2075"/>
          </w:tcPr>
          <w:p>
            <w:r/>
            <w:r>
              <w:rPr>
                <w:rFonts w:ascii="Calibri" w:hAnsi="Calibri" w:eastAsia="微软雅黑"/>
                <w:b w:val="0"/>
                <w:i w:val="0"/>
                <w:sz w:val="18"/>
              </w:rPr>
              <w:t>广州市设计施工总承包招标监管标准指引（试行）</w:t>
            </w:r>
          </w:p>
        </w:tc>
        <w:tc>
          <w:tcPr>
            <w:tcW w:type="dxa" w:w="2075"/>
          </w:tcPr>
          <w:p>
            <w:r/>
            <w:r>
              <w:rPr>
                <w:rFonts w:ascii="Calibri" w:hAnsi="Calibri" w:eastAsia="微软雅黑"/>
                <w:b w:val="0"/>
                <w:i w:val="0"/>
                <w:sz w:val="18"/>
              </w:rPr>
              <w:t>单资质可投、另一业务依法分包</w:t>
            </w:r>
          </w:p>
        </w:tc>
        <w:tc>
          <w:tcPr>
            <w:tcW w:type="dxa" w:w="2075"/>
          </w:tcPr>
          <w:p>
            <w:r/>
            <w:r>
              <w:rPr>
                <w:rFonts w:ascii="Calibri" w:hAnsi="Calibri" w:eastAsia="微软雅黑"/>
                <w:b w:val="0"/>
                <w:i w:val="0"/>
                <w:sz w:val="18"/>
              </w:rPr>
              <w:t>P2017</w:t>
            </w:r>
          </w:p>
        </w:tc>
      </w:tr>
      <w:tr>
        <w:tc>
          <w:tcPr>
            <w:tcW w:type="dxa" w:w="2075"/>
          </w:tcPr>
          <w:p>
            <w:r/>
            <w:r>
              <w:rPr>
                <w:rFonts w:ascii="Calibri" w:hAnsi="Calibri" w:eastAsia="微软雅黑"/>
                <w:b w:val="0"/>
                <w:i w:val="0"/>
                <w:sz w:val="18"/>
              </w:rPr>
              <w:t>2018年4月</w:t>
            </w:r>
          </w:p>
        </w:tc>
        <w:tc>
          <w:tcPr>
            <w:tcW w:type="dxa" w:w="2075"/>
          </w:tcPr>
          <w:p>
            <w:r/>
            <w:r>
              <w:rPr>
                <w:rFonts w:ascii="Calibri" w:hAnsi="Calibri" w:eastAsia="微软雅黑"/>
                <w:b w:val="0"/>
                <w:i w:val="0"/>
                <w:sz w:val="18"/>
              </w:rPr>
              <w:t>北京市装配式建筑设计施工质量全过程管控通知（京建法〔2018〕6号）</w:t>
            </w:r>
          </w:p>
        </w:tc>
        <w:tc>
          <w:tcPr>
            <w:tcW w:type="dxa" w:w="2075"/>
          </w:tcPr>
          <w:p>
            <w:r/>
            <w:r>
              <w:rPr>
                <w:rFonts w:ascii="Calibri" w:hAnsi="Calibri" w:eastAsia="微软雅黑"/>
                <w:b w:val="0"/>
                <w:i w:val="0"/>
                <w:sz w:val="18"/>
              </w:rPr>
              <w:t>装配式项目原则上应采用工程总承包模式</w:t>
            </w:r>
          </w:p>
        </w:tc>
        <w:tc>
          <w:tcPr>
            <w:tcW w:type="dxa" w:w="2075"/>
          </w:tcPr>
          <w:p>
            <w:r/>
            <w:r>
              <w:rPr>
                <w:rFonts w:ascii="Calibri" w:hAnsi="Calibri" w:eastAsia="微软雅黑"/>
                <w:b w:val="0"/>
                <w:i w:val="0"/>
                <w:sz w:val="18"/>
              </w:rPr>
              <w:t>P2013</w:t>
            </w:r>
          </w:p>
        </w:tc>
      </w:tr>
      <w:tr>
        <w:tc>
          <w:tcPr>
            <w:tcW w:type="dxa" w:w="2075"/>
          </w:tcPr>
          <w:p>
            <w:r/>
            <w:r>
              <w:rPr>
                <w:rFonts w:ascii="Calibri" w:hAnsi="Calibri" w:eastAsia="微软雅黑"/>
                <w:b w:val="0"/>
                <w:i w:val="0"/>
                <w:sz w:val="18"/>
              </w:rPr>
              <w:t>2019年1月17日</w:t>
            </w:r>
          </w:p>
        </w:tc>
        <w:tc>
          <w:tcPr>
            <w:tcW w:type="dxa" w:w="2075"/>
          </w:tcPr>
          <w:p>
            <w:r/>
            <w:r>
              <w:rPr>
                <w:rFonts w:ascii="Calibri" w:hAnsi="Calibri" w:eastAsia="微软雅黑"/>
                <w:b w:val="0"/>
                <w:i w:val="0"/>
                <w:sz w:val="18"/>
              </w:rPr>
              <w:t>《山东省水利工程建设项目设计施工总承包指导意见（试行）》（鲁水规字〔2019〕1号）</w:t>
            </w:r>
          </w:p>
        </w:tc>
        <w:tc>
          <w:tcPr>
            <w:tcW w:type="dxa" w:w="2075"/>
          </w:tcPr>
          <w:p>
            <w:r/>
            <w:r>
              <w:rPr>
                <w:rFonts w:ascii="Calibri" w:hAnsi="Calibri" w:eastAsia="微软雅黑"/>
                <w:b w:val="0"/>
                <w:i w:val="0"/>
                <w:sz w:val="18"/>
              </w:rPr>
              <w:t>一般采用EPC或D-B方式</w:t>
            </w:r>
          </w:p>
        </w:tc>
        <w:tc>
          <w:tcPr>
            <w:tcW w:type="dxa" w:w="2075"/>
          </w:tcPr>
          <w:p>
            <w:r/>
            <w:r>
              <w:rPr>
                <w:rFonts w:ascii="Calibri" w:hAnsi="Calibri" w:eastAsia="微软雅黑"/>
                <w:b w:val="0"/>
                <w:i w:val="0"/>
                <w:sz w:val="18"/>
              </w:rPr>
              <w:t>P2021</w:t>
            </w:r>
          </w:p>
        </w:tc>
      </w:tr>
      <w:tr>
        <w:tc>
          <w:tcPr>
            <w:tcW w:type="dxa" w:w="2075"/>
          </w:tcPr>
          <w:p>
            <w:r/>
            <w:r>
              <w:rPr>
                <w:rFonts w:ascii="Calibri" w:hAnsi="Calibri" w:eastAsia="微软雅黑"/>
                <w:b w:val="0"/>
                <w:i w:val="0"/>
                <w:sz w:val="18"/>
              </w:rPr>
              <w:t>2019年12月23日</w:t>
            </w:r>
          </w:p>
        </w:tc>
        <w:tc>
          <w:tcPr>
            <w:tcW w:type="dxa" w:w="2075"/>
          </w:tcPr>
          <w:p>
            <w:r/>
            <w:r>
              <w:rPr>
                <w:rFonts w:ascii="Calibri" w:hAnsi="Calibri" w:eastAsia="微软雅黑"/>
                <w:b w:val="0"/>
                <w:i w:val="0"/>
                <w:sz w:val="18"/>
              </w:rPr>
              <w:t>《房屋建筑和市政基础设施项目工程总承包管理办法》（住建部、国家发改委联合出台）</w:t>
            </w:r>
          </w:p>
        </w:tc>
        <w:tc>
          <w:tcPr>
            <w:tcW w:type="dxa" w:w="2075"/>
          </w:tcPr>
          <w:p>
            <w:r/>
            <w:r>
              <w:rPr>
                <w:rFonts w:ascii="Calibri" w:hAnsi="Calibri" w:eastAsia="微软雅黑"/>
                <w:b w:val="0"/>
                <w:i w:val="0"/>
                <w:sz w:val="18"/>
              </w:rPr>
              <w:t>统一房建市政领域总承包规则</w:t>
            </w:r>
          </w:p>
        </w:tc>
        <w:tc>
          <w:tcPr>
            <w:tcW w:type="dxa" w:w="2075"/>
          </w:tcPr>
          <w:p>
            <w:r/>
            <w:r>
              <w:rPr>
                <w:rFonts w:ascii="Calibri" w:hAnsi="Calibri" w:eastAsia="微软雅黑"/>
                <w:b w:val="0"/>
                <w:i w:val="0"/>
                <w:sz w:val="18"/>
              </w:rPr>
              <w:t>P2004</w:t>
            </w:r>
          </w:p>
        </w:tc>
      </w:tr>
    </w:tbl>
    <w:p>
      <w:r>
        <w:rPr>
          <w:rFonts w:ascii="Calibri" w:hAnsi="Calibri" w:eastAsia="微软雅黑"/>
          <w:b w:val="0"/>
          <w:i w:val="0"/>
          <w:sz w:val="22"/>
        </w:rPr>
        <w:t>表格九行，跨公路、水利、房建市政三个行业，部委与省市两级。抽掉行业术语，四条共同骨架浮出来。</w:t>
      </w:r>
    </w:p>
    <w:p>
      <w:r>
        <w:rPr>
          <w:rFonts w:ascii="Calibri" w:hAnsi="Calibri" w:eastAsia="微软雅黑"/>
          <w:b w:val="0"/>
          <w:i w:val="0"/>
          <w:sz w:val="22"/>
        </w:rPr>
        <w:t>第一条是定义趋同。公路版：将「施工图勘察设计、工程施工等工程内容由总承包单位统一实施的承发包方式」（P2001）；湖南版更早一步，把「缺陷责任期修复」也写进总承包内容（P2000）；水利版：对工程项目的设计、采购、施工「实行全过程或若干阶段的承包」（P2021）；房建市政版：装配式项目将「设计、施工、采购一并进行发包」（P2013）。口径差别只在采购与缺陷修复是否纳入，方向都是装进同一份合同。</w:t>
      </w:r>
    </w:p>
    <w:p>
      <w:r>
        <w:rPr>
          <w:rFonts w:ascii="Calibri" w:hAnsi="Calibri" w:eastAsia="微软雅黑"/>
          <w:b w:val="0"/>
          <w:i w:val="0"/>
          <w:sz w:val="22"/>
        </w:rPr>
        <w:t>第二条是起点趋同：总承包从初步设计（或可研）批准后启动。交通运输部令要求公路总承包招标「应当在初步设计文件获得批准并落实建设资金后进行」（P2001）；湖南版招标条件三件套——建设单位已经依法成立、初步设计文件已被批准、有相应资金或者资金来源已经落实（P2000）；水利系统两个文件都写明从项目可行性研究报告或初步设计报告批准后开始实行总承包（P2020、P2021）。政策把发包时点统一压在初设批复之后，其商业含义在2.3节展开。</w:t>
      </w:r>
    </w:p>
    <w:p>
      <w:r>
        <w:rPr>
          <w:rFonts w:ascii="Calibri" w:hAnsi="Calibri" w:eastAsia="微软雅黑"/>
          <w:b w:val="0"/>
          <w:i w:val="0"/>
          <w:sz w:val="22"/>
        </w:rPr>
        <w:t>第三条是责任趋同。「对承包工程的质量、安全、工期、造价全面负责」这句话，出现在公路（P2001）、水利（P2021）、广州（P2017）等多个文本里。提醒读者别把它当套话：在2.5节的判决书里，这句话对应的是实打实的索赔与反索赔边界。</w:t>
      </w:r>
    </w:p>
    <w:p>
      <w:r>
        <w:rPr>
          <w:rFonts w:ascii="Calibri" w:hAnsi="Calibri" w:eastAsia="微软雅黑"/>
          <w:b w:val="0"/>
          <w:i w:val="0"/>
          <w:sz w:val="22"/>
        </w:rPr>
        <w:t>第四条是范围弹性加排除清单。总承包可以整体、分段、分专业实施——公路可分路段实行，或对「交通机电、房建及绿化工程等」实行专业总承包（P2001），湖南可「按标段或分专业」实行（P2000）；同时各文本一致把工程监理、第三方质量检测排除在总承包范围之外（P2020、P2021），把工程征占地、拆迁、移民搬迁安置留给项目法人负责（P2020、P2021）。[事实] 排除清单是政策替总承包人划出的减责区：监理与检测留在业主侧，征地拆迁留在业主侧——投标报价时不必把这些成本装进总盘，但要把业主侧延误的风险装进合同条款。</w:t>
      </w:r>
    </w:p>
    <w:p>
      <w:r>
        <w:rPr>
          <w:rFonts w:ascii="Calibri" w:hAnsi="Calibri" w:eastAsia="微软雅黑"/>
          <w:b w:val="0"/>
          <w:i w:val="0"/>
          <w:sz w:val="22"/>
        </w:rPr>
        <w:t>规则列车还有一条轨距约定：范本统一。湖南要求招标文件按照《标准设计施工总承包招标文件》（当地称「范本」）编制（P2000）；交通运输部令要求总承包招标文件的编制「应当使用交通运输部统一制定的标准招标文件」（P2001）。信息对称义务也被写死：总承包招标应当向投标人提供初步设计文件和相应的勘察资料，以及项目有关批复文件和前期咨询意见（P2001）。投标人拿到的资料包质量，直接决定2.4节要讲的基础资料风险敞口。</w:t>
      </w:r>
    </w:p>
    <w:p>
      <w:r>
        <w:rPr>
          <w:rFonts w:ascii="Calibri" w:hAnsi="Calibri" w:eastAsia="微软雅黑"/>
          <w:b w:val="0"/>
          <w:i w:val="0"/>
          <w:sz w:val="22"/>
        </w:rPr>
        <w:t>接力的收口在2019年12月23日（P2004）。住房和城乡建设部、国家发展改革委联合出台《房屋建筑和市政基础设施项目工程总承包管理办法》（P2004）。出台前的行业状态，起草者的描述是：工程总承包「虽在我国早已不是新鲜事物，但长期以来相关立法滞后，各地多存矛盾性政策规定，不利于工程总承包长远发展」（P2004）。矛盾到什么程度？下一节的回避规则就是活例：同一件事，交通部令与山东水利给出了相反的答案。此外，专业条线还在延伸——《运输机场专业工程总承包管理办法（试行）》第八条对「发包人要求」的规定，与房建市政办法第九条的内容几乎同文（P2012），说明机场等专业工程正在复制同一套坐标系。</w:t>
      </w:r>
    </w:p>
    <w:p>
      <w:r>
        <w:rPr>
          <w:rFonts w:ascii="Calibri" w:hAnsi="Calibri" w:eastAsia="微软雅黑"/>
          <w:b w:val="0"/>
          <w:i w:val="0"/>
          <w:sz w:val="22"/>
        </w:rPr>
        <w:t>对买方来说，这张表的用法不是背诵，而是定位。拿到一个项目先问三句：哪个行业管？哪个层级发文？属地有没有加码？三句答完，资质、时点、回避、价格四类硬约束的适用版本就锁定了。</w:t>
      </w:r>
    </w:p>
    <w:p>
      <w:pPr>
        <w:pStyle w:val="Heading3"/>
      </w:pPr>
      <w:r>
        <w:t>条款颗粒度：三地样本细读</w:t>
      </w:r>
    </w:p>
    <w:p>
      <w:r>
        <w:rPr>
          <w:rFonts w:ascii="Calibri" w:hAnsi="Calibri" w:eastAsia="微软雅黑"/>
          <w:b w:val="0"/>
          <w:i w:val="0"/>
          <w:sz w:val="22"/>
        </w:rPr>
        <w:t>时间线之外，还要看地方文件把条款磨到什么颗粒度。三份样本值得细读。</w:t>
      </w:r>
    </w:p>
    <w:p>
      <w:r>
        <w:rPr>
          <w:rFonts w:ascii="Calibri" w:hAnsi="Calibri" w:eastAsia="微软雅黑"/>
          <w:b w:val="0"/>
          <w:i w:val="0"/>
          <w:sz w:val="22"/>
        </w:rPr>
        <w:t>内蒙古水利试点通知把试点条件列为六项：项目列入中央、自治区专项规划或已获立项批准；以中小型水利工程建设项目为主，鼓励集中建设、分类打捆；从可行性研究报告或初步设计报告批准后开始实行总承包；实行项目法人负责建设管理、总承包单位负责建设实施、水行政主管部门负责监督管理的建设方式；可整体、单项或专业总承包，监理、第三方质量检测及征占地拆迁移民安置不列入总承包范围；通过公开招标或经核准的其他方式选定总承包单位（P2020）。它同时列出项目法人的六项职责——从可研、初设与设计变更的报批，征地拆迁与建设条件的落实，招标与签约，质量监督与安全监督手续，到按合同约定及时支付款项、组织工程验收（P2020）。[事实] 这份2015年的试点文件实际上是一张业主侧职责清单：总承包人接手设计施工后，业主并未退场，变更报批、付款、验收仍压在业主侧——总包索赔管理的对象与路径由此可循（P2020）。</w:t>
      </w:r>
    </w:p>
    <w:p>
      <w:r>
        <w:rPr>
          <w:rFonts w:ascii="Calibri" w:hAnsi="Calibri" w:eastAsia="微软雅黑"/>
          <w:b w:val="0"/>
          <w:i w:val="0"/>
          <w:sz w:val="22"/>
        </w:rPr>
        <w:t>广州指引把招标条件按资金性质分作两栏。财政投资项目四条件：已履行相应的项目审批手续并取得招标方式核准文件；「已合理确定项目的最高投标限价」且原则上不超过批复概算对应金额；有「能够确定资质等级的规划或其他审批文件」；「设计任务书、工程管理需求明确，已确定主要材料、设备技术标准」，住房保障或棚改项目还需具备户型图（P2017）。非财政投资项目四条件：已取得项目核准或投资备案文件；项目资金已经落实，提供全额超过预计发包价30%的资金证明；「已合理确定项目的最高投标限价」；有「能够确定投标人资质等级的规划或其他审批文件」（P2017）。业绩门槛上，施工类似工程业绩按广州市招投标管理办法执行，原则上不设勘察类似工程业绩（P2017）——对以勘察设计见长的院所，等于少一道业绩闸门。</w:t>
      </w:r>
    </w:p>
    <w:p>
      <w:r>
        <w:rPr>
          <w:rFonts w:ascii="Calibri" w:hAnsi="Calibri" w:eastAsia="微软雅黑"/>
          <w:b w:val="0"/>
          <w:i w:val="0"/>
          <w:sz w:val="22"/>
        </w:rPr>
        <w:t>湖南办法的颗粒度体现在适用范围与初设条款：适用于本省行政区域内高速公路新建（改扩建）和独立特大桥、长大隧道项目，其他公路项目参照执行，省交通运输厅「鼓励采用设计施工总承包模式组织公路建设，促进设计与施工紧密融和」（P2000）；初设条款要求初设单位「加强专项技术研究，加深地质勘察，深化方案比选，做精做细」，保证初设符合前期批复或核准的工程规模和技术标准（P2000）。[事实] 初设质量被明文记在初设单位账上，总承包投标人的深化设计义务以此为起跑线（P2000）。</w:t>
      </w:r>
    </w:p>
    <w:p>
      <w:r>
        <w:rPr>
          <w:rFonts w:ascii="Calibri" w:hAnsi="Calibri" w:eastAsia="微软雅黑"/>
          <w:b w:val="0"/>
          <w:i w:val="0"/>
          <w:sz w:val="22"/>
        </w:rPr>
        <w:t>把两级文件的接口归拢，政策工具箱其实只开了四个口：范本接口（标准招标文件通用条款不得修改，P2022）、发包人要求接口（专用条款与资料条件的定制空间，P2012、P2022）、初设深度接口（发包时点压在初设批复后，P2000、P2001）、支付与保险接口（投标文件内置保险承诺，P2001）。企业做合规自查，按四个口逐一过筛，比通读全文快得多。</w:t>
      </w:r>
    </w:p>
    <w:p>
      <w:r>
        <w:rPr>
          <w:rFonts w:ascii="Calibri" w:hAnsi="Calibri" w:eastAsia="微软雅黑"/>
          <w:b w:val="0"/>
          <w:i w:val="0"/>
          <w:sz w:val="22"/>
        </w:rPr>
        <w:t>政策文件的「为什么」同样值得抄录。内蒙古试点通知对总承包目的的表述是一串排比：促进设计与施工单位紧密结合，充分挖掘设计、施工协作潜力，有利于资源的优化和配置，缩短水利工程建设周期，更好地保证设计与施工质量，有效控制工程造价；简化合同关系，发挥总承包单位的主动性、积极性和创造性，促进新技术、新工艺、新方法的应用；明确责任追究，提高建设管理水平（P2020）。[事实] 注意这份清单里没有「降低合同价格」——政策追求的是效率与质量结构，价格优势并未被承诺，指望总承包天然省钱的读者应调整预期。</w:t>
      </w:r>
    </w:p>
    <w:p>
      <w:r>
        <w:rPr>
          <w:rFonts w:ascii="Calibri" w:hAnsi="Calibri" w:eastAsia="微软雅黑"/>
          <w:b w:val="0"/>
          <w:i w:val="0"/>
          <w:sz w:val="22"/>
        </w:rPr>
        <w:t>九部门文件还顺手定义了工程建设项目的外延：工程指建筑物和构筑物的新建、改建、扩建及其相关的装修、拆除、修缮等；与工程建设有关的货物，指构成工程不可分割的组成部分、且为实现工程基本功能所必需的设备、材料；与工程建设有关的服务，指为完成工程所需的勘察、设计、监理等（P2022）——总承包范围的边界讨论由此有了共用词汇，发承包双方争「这笔钱在不在总包盘子里」时，先回到这段定义。北京的装配式通知则展示了政策依据链的写法：从《产品质量法》《建设工程质量管理条例》《北京市建设工程质量条例》到市政府办公厅实施意见（京政办发〔2017〕8号）层层援引（P2013）。管理者拿到属地新政，先翻依据链，即可判断它上位到哪一层、与既有规则孰先孰后。</w:t>
      </w:r>
    </w:p>
    <w:p>
      <w:r>
        <w:rPr>
          <w:rFonts w:ascii="Calibri" w:hAnsi="Calibri" w:eastAsia="微软雅黑"/>
          <w:b w:val="0"/>
          <w:i w:val="0"/>
          <w:sz w:val="22"/>
        </w:rPr>
        <w:t>裁判援引的法条谱系同样是坐标系的一部分。本章判例涉及的条文，从合同法的诚实信用与违约金条款（P2008），到招标投标法第四十三条、第四十六条、第五十五条与其实施条例（P2007、P2027），再到司法解释第19条与第22条（P2004、P2026）——把这组条文与本章政策文件并排张贴，就是一张「两张皮」修复的完整对照表：政策给方向，法条给后果。</w:t>
      </w:r>
    </w:p>
    <w:p>
      <w:pPr>
        <w:pStyle w:val="Heading2"/>
      </w:pPr>
      <w:r>
        <w:t>2.3 硬门槛：谁有资格一体化、什么时候招、谁必须回避</w:t>
      </w:r>
    </w:p>
    <w:p>
      <w:pPr>
        <w:pStyle w:val="Heading3"/>
      </w:pPr>
      <w:r>
        <w:t>资质：三种口径，宽严不同</w:t>
      </w:r>
    </w:p>
    <w:p>
      <w:r>
        <w:rPr>
          <w:rFonts w:ascii="Calibri" w:hAnsi="Calibri" w:eastAsia="微软雅黑"/>
          <w:b w:val="0"/>
          <w:i w:val="0"/>
          <w:sz w:val="22"/>
        </w:rPr>
        <w:t>第一种口径是「双资质或联合体」。交通运输部令要求总承包单位「同时具备与招标工程相适应的勘察设计和施工资质，或者由具备相应资质的勘察设计和施工单位组成联合体」（P2001）；湖南版允许具备勘察设计和施工资质的独立法人，或分别具有资质的单位组成联合体（P2000）。第二种口径最宽，来自广州：投标人具有设计资质或施工资质其中之一即可，仅具设计资质的应当把施工业务依法分包给有相应施工资质的企业，仅具施工资质的把设计业务分包出去，且应在投标文件中明确拟分包业务及分包单位名称，如中标则在中标通知书中载明；招标人也可反过来要求双资质并接受联合体（P2017）。第三种口径来自山东水利，主体形式放宽到三类：满足所有资质要求的独立法人、隶属于同一经营实体的设计施工单位、或具备单独资质单位组成的联合体，但资质本身要求「与工程规模相适应的水利水电行业勘测设计、施工资质」（P2021）。[事实] 同一家设计院，在公路市场可能因无施工资质必须组联合体，在广州市场可单资质投标再分包施工，在山东水利市场还要看是否属于「同一经营实体」——资质口径差异本身就构成投标策略差异。</w:t>
      </w:r>
    </w:p>
    <w:p>
      <w:r>
        <w:rPr>
          <w:rFonts w:ascii="Calibri" w:hAnsi="Calibri" w:eastAsia="微软雅黑"/>
          <w:b w:val="0"/>
          <w:i w:val="0"/>
          <w:sz w:val="22"/>
        </w:rPr>
        <w:t>广州还把招标人的门槛做成了可核对清单：设有专门工程管理机构、建立完善的质量安全工期造价廉政内控制度、具有不少于3人的工程与造价方面中级职称以上技术人员，三者齐备方可开展招标；采用社会代建制的，由建设单位出具函件确认代建单位的设计施工总承包管理能力（P2017）。人员侧，设计施工总承包项目经理应当取得工程建设类注册执业资格或者高级专业技术职称，并担任过工程总承包项目经理、设计项目负责人或者施工项目负责人（P2017）；承接设计、施工分包的单位需在广州住建部门建立企业诚信档案，项目负责人需为在册人员（P2017）。山东水利给出一体化的组织学表达：设计负责人和施工负责人可以由同一人担任（P2021）。北京对机构形态写得最细：工程总承包单位应设立项目管理机构，「设置设计、施工、技术、质量、安全、造价、设备和材料等主要管理部门及岗位」，配备项目经理及相应管理人员（P2013）。[事实] 从「两人可同一人」到「八类部门齐设」，政策实际在按法人级一体化的标准检验投标人的组织形态（P2013、P2021）。程序侧山东另有一道闸：工程项目实行总承包，由项目法人提出申请，报组建项目法人的同级人民政府或水行政主管部门核准（P2021）。</w:t>
      </w:r>
    </w:p>
    <w:p>
      <w:pPr>
        <w:pStyle w:val="Heading3"/>
      </w:pPr>
      <w:r>
        <w:t>投标文件：政策预设的七件套</w:t>
      </w:r>
    </w:p>
    <w:p>
      <w:r>
        <w:rPr>
          <w:rFonts w:ascii="Calibri" w:hAnsi="Calibri" w:eastAsia="微软雅黑"/>
          <w:b w:val="0"/>
          <w:i w:val="0"/>
          <w:sz w:val="22"/>
        </w:rPr>
        <w:t>交通运输部令对总承包投标文件开出七项内容：初步设计的优化建议；项目实施与设计施工进度计划；拟分包专项工程；报价清单及说明；按招标人要求提供的施工图设计技术方案；以联合体投标的提交联合体协议；以项目法人和总承包单位的联合名义依法投保相关工程保险的承诺（P2001）。湖南的资格三条件与之配套：具备勘察设计和施工资质的独立法人或联合体；具有与招标工程相适应的业绩、人员、财务能力及信誉；与建设单位、初步设计单位、监理单位不存在可能影响招标公正性的利害关系（P2000）。[事实] 七件套透露的政策预设是：总承包投标人交的不是一份报价，而是「设计优化＋进度计划＋分包方案＋价格＋保险」的组合方案。管理层应反着用这份清单做投标自检——七项里最薄的一项，就是中标后最先出问题的一项。</w:t>
      </w:r>
    </w:p>
    <w:p>
      <w:r>
        <w:rPr>
          <w:rFonts w:ascii="Calibri" w:hAnsi="Calibri" w:eastAsia="微软雅黑"/>
          <w:b w:val="0"/>
          <w:i w:val="0"/>
          <w:sz w:val="22"/>
        </w:rPr>
        <w:t>资料包与七件套是一对。湖南要求总承包招标向投标人提供前期已完成的勘察资料、初步设计文件以及项目有关批复文件（P2000）；部令版本同样要求提供初步设计文件、相应的勘察资料、批复文件与前期咨询意见（P2001）。喂进来什么精度，才谈得上喂出去什么精度——招标人资料包的完整度，应作为投标人评估基础资料风险的第一份证据（P2004）。同一部令在不同档案中留有镜像文本，条款核对时可互校版本（P2001、P2002）。</w:t>
      </w:r>
    </w:p>
    <w:p>
      <w:r>
        <w:rPr>
          <w:rFonts w:ascii="Calibri" w:hAnsi="Calibri" w:eastAsia="微软雅黑"/>
          <w:b w:val="0"/>
          <w:i w:val="0"/>
          <w:sz w:val="22"/>
        </w:rPr>
        <w:t>七件套之外，通用合同条款还给班子成员下了定义：承包人项目经理、设计负责人、施工负责人、采购负责人均须经承包人指派、与承包人存在劳动合同关系，其实质为职务代理（P2012）。山东水利「设计负责人和施工负责人可以由同一人担任」（P2021）的上位逻辑也在这里——不是人手紧张时的将就，而是职务代理结构允许的岗位复用。管理层核对投标班子时，劳动合同关系是硬凭证，挂名班子在纠纷中会被对方第一个拿来开刀。</w:t>
      </w:r>
    </w:p>
    <w:p>
      <w:pPr>
        <w:pStyle w:val="Heading3"/>
      </w:pPr>
      <w:r>
        <w:t>时点：为什么一律压在初设批准之后</w:t>
      </w:r>
    </w:p>
    <w:p>
      <w:r>
        <w:rPr>
          <w:rFonts w:ascii="Calibri" w:hAnsi="Calibri" w:eastAsia="微软雅黑"/>
          <w:b w:val="0"/>
          <w:i w:val="0"/>
          <w:sz w:val="22"/>
        </w:rPr>
        <w:t>政策把招标时点统一压在初设（或可研）批复之后，不是流程偏好，而是风险分配的技术安排。理由有三。其一，初设深度决定报价可行性。行业资料给出的判断是：设计阶段决定了约85%的项目全生命周期成本，施工阶段能影响的不到15%（P2014）——投标人在初设之上报价，等于在成本锁定的主战场上竞价。其二，初设是总承包的基础，湖南的办法专设一条，要求初设单位「加强专项技术研究，加深地质勘察，深化方案比选」，并「加强概算审查，合理控制投资」（P2000）。其三，政策预设总承包人会优化初设：交通运输部令要求投标文件包含「初步设计的优化建议」（P2001），投标竞争里因此藏着优化收益的竞争——谁的深化设计能力强，谁就能在同样限价下挖出利润。配套的概算工具在行业报告里有现成两件：概算指标法的修正公式「修正综合单价＝J＋Q1P1−Q2P2」，以及类似工程预算法的综合调整模型「D＝A×K」（P2003）。</w:t>
      </w:r>
    </w:p>
    <w:p>
      <w:r>
        <w:rPr>
          <w:rFonts w:ascii="Calibri" w:hAnsi="Calibri" w:eastAsia="微软雅黑"/>
          <w:b w:val="0"/>
          <w:i w:val="0"/>
          <w:sz w:val="22"/>
        </w:rPr>
        <w:t>价格天花板也被政策钉死：广州要求最高投标限价「原则上不得超过已批复的概算中的对应金额」，经财政部门同意按估算批复开展招标的，不得超过批复估算的对应金额（P2017）。概算从内控数字变成法定上限，超概算报价在监管端直接出局。</w:t>
      </w:r>
    </w:p>
    <w:p>
      <w:r>
        <w:rPr>
          <w:rFonts w:ascii="Calibri" w:hAnsi="Calibri" w:eastAsia="微软雅黑"/>
          <w:b w:val="0"/>
          <w:i w:val="0"/>
          <w:sz w:val="22"/>
        </w:rPr>
        <w:t>初设深度不足的商业代价，有现成样本。某实验室园区EPC项目总投资10亿元，行业复盘给出的教训链是：初设阶段拿不到大型实验设备功率参数，电气设计被动；招标时设备技术规格书不完整，中标设备与设计参数不匹配，施工图被迫修改，采购周期被挤压，最终以赶工与结算扯皮收尾（P2014）。一个更具体的冲突：设计院对恒温恒湿系统只标注「±2℃」，到采购阶段才发现设备供应商交货周期为14个月，而项目总工期只剩18个月（P2014）；此外初设批复前建设单位要办的各类手续超过20项，少一项就批不了（P2014）。[事实] 初设批复时点之所以被政策反复强调，是因为它是设计参数、设备周期、审批手续三条线索的交汇点——在它之前招标，等于让投标人为未知定价。</w:t>
      </w:r>
    </w:p>
    <w:p>
      <w:pPr>
        <w:pStyle w:val="Heading3"/>
      </w:pPr>
      <w:r>
        <w:t>回避：同一件事的两种答案</w:t>
      </w:r>
    </w:p>
    <w:p>
      <w:r>
        <w:rPr>
          <w:rFonts w:ascii="Calibri" w:hAnsi="Calibri" w:eastAsia="微软雅黑"/>
          <w:b w:val="0"/>
          <w:i w:val="0"/>
          <w:sz w:val="22"/>
        </w:rPr>
        <w:t>交通运输部令划了一条硬线：总承包单位（含联合体成员单位）「不得是总承包项目的初步设计单位、代建单位、监理单位或以上单位的附属单位」（P2001）。湖南版的表述是不得与建设单位、初步设计单位、监理单位「存在可能影响招标公正性的利害关系」（P2000）。而山东水利的指导意见写的是：招标人公开发包前已完成可行性研究报告、勘察设计文件编制的，「其可行性研究报告编制单位、勘察设计文件编制单位可以参与工程总承包项目的投标」（P2021）。[事实] 同一事项存在两种口径：交通系统原则上把初设单位挡在门外（P2001），山东水利明确放行前期编制单位（P2021）。设计院读者应读出两层含义：第一，在公路市场，你做的初设业绩是回避理由；在山东水利市场，它是投标资本。第二，跨行业、跨省份投标前，回避条款必须逐项目核对属地口径，不能用上一单的常识套下一单。</w:t>
      </w:r>
    </w:p>
    <w:p>
      <w:r>
        <w:rPr>
          <w:rFonts w:ascii="Calibri" w:hAnsi="Calibri" w:eastAsia="微软雅黑"/>
          <w:b w:val="0"/>
          <w:i w:val="0"/>
          <w:sz w:val="22"/>
        </w:rPr>
        <w:t>资金门槛是地方加码的另一例：广州对非财政投资项目要求提供「全额超过预计发包价的30%资金证明」，开具时限为提交招标文件备案前三个月内，由银行或其他具备金融许可证的机构出具（P2017）。发包人的支付能力被前置到备案环节审查——这对总承包人是保护，也是尽调线索。最后是转包红线：北京文件禁止工程总承包单位允许其他单位或个人以本单位名义承揽工程、禁止挂靠、不得转包或者违法分包（P2013）；山东写得更短，「严禁总承包单位将工程转包或违法分包」（P2021）。</w:t>
      </w:r>
    </w:p>
    <w:p>
      <w:pPr>
        <w:pStyle w:val="Heading2"/>
      </w:pPr>
      <w:r>
        <w:t>2.4 规则反转：设计变更、基础资料与价格清单</w:t>
      </w:r>
    </w:p>
    <w:p>
      <w:pPr>
        <w:pStyle w:val="Heading3"/>
      </w:pPr>
      <w:r>
        <w:t>惯例的反面：变更调价看「谁的变更」</w:t>
      </w:r>
    </w:p>
    <w:p>
      <w:r>
        <w:rPr>
          <w:rFonts w:ascii="Calibri" w:hAnsi="Calibri" w:eastAsia="微软雅黑"/>
          <w:b w:val="0"/>
          <w:i w:val="0"/>
          <w:sz w:val="22"/>
        </w:rPr>
        <w:t>施工总承包模式在我国民建领域适用已有数十年，其惯性是：总承包人按发包人施工图施工，设计变更引起工程量或质量标准变化时调整合同价格，这已是行业惯例（P2004）。这个惯性被司法解释固化：最高人民法院《关于审理建设工程施工合同纠纷案件适用法律问题的解释（一）》第19条第2款规定，「因设计变更导致建设工程的工程量或者质量标准发生变化，当事人对该部分工程价款不能协商一致的，可以参照签订建设工程施工合同时当地建设行政主管部门发布的计价方法或者计价标准结算工程价款」（P2004）。电力、化工等较早应用总承包的领域，参与方也常沿袭这一惯例，一遇设计变更就想调价（P2004）。</w:t>
      </w:r>
    </w:p>
    <w:p>
      <w:r>
        <w:rPr>
          <w:rFonts w:ascii="Calibri" w:hAnsi="Calibri" w:eastAsia="微软雅黑"/>
          <w:b w:val="0"/>
          <w:i w:val="0"/>
          <w:sz w:val="22"/>
        </w:rPr>
        <w:t>工程总承包模式的规则恰恰相反。专业解读给出的结论是：工程总承包模式下「设计变更」并不必然调整合同价格（P2004）。道理不难：设计本来就是总承包人自己的工作内容，其自行调整设计属于履约范围内的优化，价格风险已在报价时吸收。买方若仍按施工总承包的惯性做变更预算与索赔台账，方向就反了。真正要盯的是「谁的变更」：标准通用合同条款把发包人引发的工期延误原因列了八项，第一项变更指「发包人要求变化所致的以及按发包人或者监理人指示的变更」，并且明示「不包括承包人自行对原有设计的变更」（P2015）——调价与否的分界线写在这句话里。其余七项原因——未按期审查承包人文件、发包人原因暂停施工、未及时支付预付款与进度款、基准资料错误、迟延提供材料工程设备或变更交货地点、未按发包人要求履行义务、其他——每一项都对应独立的工期与费用主张（P2015）。[建议] 把八项原因做成索赔台账的八列开关，每份监理指令、每次付款延误归列到具体列下并同步计权；验证方式是月末核对台账与合同事件的一一对应，停止条件是任一事件无法归列——那说明合同对这类事件的责任分配存在空白，需要补充协议先行厘清。</w:t>
      </w:r>
    </w:p>
    <w:p>
      <w:pPr>
        <w:pStyle w:val="Heading3"/>
      </w:pPr>
      <w:r>
        <w:t>基础资料：责任分配的换轨点</w:t>
      </w:r>
    </w:p>
    <w:p>
      <w:r>
        <w:rPr>
          <w:rFonts w:ascii="Calibri" w:hAnsi="Calibri" w:eastAsia="微软雅黑"/>
          <w:b w:val="0"/>
          <w:i w:val="0"/>
          <w:sz w:val="22"/>
        </w:rPr>
        <w:t>两代模式对发包人提供基础资料的责任认定不同：在工程总承包模式下，承包人对发包人所提供基础资料的真实性和准确性需要承担的责任，「迥异于施工总承包模式」（P2004）。基础资料通常包括水文地质、工程地质、地形等勘察资料以及可行性研究报告、初步设计文件（P2004），它们是投标人评估风险、控制投标设计深度与报价准确性的地基。专业解读的提醒是：工程总承包人需要借鉴国际工程惯例，在总承包合同中设置专门条款，准确界定发承包双方对基础资料的责任范围（P2004）。走出海外的中企在这里吃过亏——中东某战后重建的水处理EPC项目，全部建设资金由当地政府提供，中方企业中标并签订EPC总承包合同，基础资料条款的责任边界成为履约争议的关键场景（P2004）。[建议] 投标评审时把「基础资料错误由谁担责、担到什么程度」单独列为谈判清单；验证方式是逐项核对招标文件中发包人提供的资料清单与合同条款的对应关系，缺一项补一项留痕；停止条件是对手方拒绝书面确认资料清单——此时应按风险未知重新报价，而不是沿用默认条款。</w:t>
      </w:r>
    </w:p>
    <w:p>
      <w:pPr>
        <w:pStyle w:val="Heading3"/>
      </w:pPr>
      <w:r>
        <w:t>三份合同文件：发包人要求、价格清单、承包人建议书</w:t>
      </w:r>
    </w:p>
    <w:p>
      <w:r>
        <w:rPr>
          <w:rFonts w:ascii="Calibri" w:hAnsi="Calibri" w:eastAsia="微软雅黑"/>
          <w:b w:val="0"/>
          <w:i w:val="0"/>
          <w:sz w:val="22"/>
        </w:rPr>
        <w:t>按标准招标文件的合同体系，合同文件由中标通知书、投标函及投标函附录、合同协议书、通用合同条款、专用合同条款、发包人要求、价格清单、承包人建议书等构成（P2012）。三个概念值得管理层逐字记住。「发包人要求」是发包人对项目目的、范围、设计施工等标准的文件，房建市政办法第九条要求其覆盖项目的内容、范围、规模、标准、功能、质量、安全、节约能源、生态环境保护、工期、验收等十一项明确要求（P2012）；机场办法第八条几乎同文（P2012）。「价格清单」与工程量清单的关键差别是：其中数量「不是工程总承包人所施工的实际工程量，是估算的工程量」，仅为「变更与支付的参考资料」（P2012）。「承包人建议书」是投标人编制的设计图纸、工程详细说明、设备方案等设计文件（P2012）。[事实] 三件文件组合起来，就是总承包合同下变更与调价争议的完整弹药库：要求变了看发包人要求，量差了看价格清单口径，方案之争看建议书承诺。</w:t>
      </w:r>
    </w:p>
    <w:p>
      <w:r>
        <w:rPr>
          <w:rFonts w:ascii="Calibri" w:hAnsi="Calibri" w:eastAsia="微软雅黑"/>
          <w:b w:val="0"/>
          <w:i w:val="0"/>
          <w:sz w:val="22"/>
        </w:rPr>
        <w:t>在进入判例之前，把政策留给价格工程与索赔计取的几件工具补齐。</w:t>
      </w:r>
    </w:p>
    <w:p>
      <w:pPr>
        <w:pStyle w:val="Heading3"/>
      </w:pPr>
      <w:r>
        <w:t>价格工程的三件概算工具与六阶段闭环</w:t>
      </w:r>
    </w:p>
    <w:p>
      <w:r>
        <w:rPr>
          <w:rFonts w:ascii="Calibri" w:hAnsi="Calibri" w:eastAsia="微软雅黑"/>
          <w:b w:val="0"/>
          <w:i w:val="0"/>
          <w:sz w:val="22"/>
        </w:rPr>
        <w:t>初设之上的报价不是拍脑袋。行业报告沉淀的三件工具可以直接搬用。第一件，概算指标修正：当初步设计局部结构特征与概算指标不符时，用修正综合单价公式「J＋Q1P1−Q2P2」校正单位工程建筑概算造价与人材机消耗量（P2003）。第二件，类似工程预算法：缺乏直接概算指标时，用「D＝A×K」把已完或在建类似工程资料折算过来，综合调整系数K按「a%K1＋b%K2＋c%K3＋d%K4」对人工、材料、机械等不同价差因素加权（P2003）。第三件，设备安装费率：按「安装费＝设备原价×安装费率」或「安装费＝设备吨重×每吨安装费指标」控制设备选型与安装概算（P2003）。[事实] 三件工具共同回答一个问题：投标人在初设之上报价时，价格从哪里推导出来。有推导链的报价，才经得起发包人要求变化后的重新计算。</w:t>
      </w:r>
    </w:p>
    <w:p>
      <w:r>
        <w:rPr>
          <w:rFonts w:ascii="Calibri" w:hAnsi="Calibri" w:eastAsia="微软雅黑"/>
          <w:b w:val="0"/>
          <w:i w:val="0"/>
          <w:sz w:val="22"/>
        </w:rPr>
        <w:t>设计变更管理的另一端是阶段意识。国家标准《建设工程项目管理规范》（GB/T 50326-2017）把设计管理划分为六个阶段：方案设计—初步设计—施工图设计—施工阶段—竣工验收与竣工图—后评价（P2014）。行业复盘的批评一针见血：绝大多数总包方的问题出在没把这条链当成一个闭环系统，而是切成六个互不说话的独立环节（P2014）。政策把总承包起点压在初设批复之后（P2000、P2001），意味着总承包人要接管链条的后四段——接管长度增加，闭环责任同步增加。</w:t>
      </w:r>
    </w:p>
    <w:p>
      <w:r>
        <w:rPr>
          <w:rFonts w:ascii="Calibri" w:hAnsi="Calibri" w:eastAsia="微软雅黑"/>
          <w:b w:val="0"/>
          <w:i w:val="0"/>
          <w:sz w:val="22"/>
        </w:rPr>
        <w:t>通用合同条款还有五个细部值得圈注。其一，开始工作通知「提前7天」未明确起算时间，专业解读提醒双方应在专用条款中写清起算基准，否则工期起算点会成为一个隐藏争点（P2015）。其二，监理人发出开始工作通知，事前应当征得发包人同意（P2015）——总包对监理指令的效力链要有辨识：开始工作一类指令背后须有发包人授权。其三，发包人原因引发的延误中，利润按增加的工作内容以综合费率计取，费用按所增加的工作内容、窝工工时、保函延时所增加的费用等判断（P2015）——索赔的计算口径在条款层面已经给出，不必另起炉灶。其四，需要修订合同进度计划的，按通用条款第4.12.2项执行（P2015）——变更落地后忘了同步修订进度计划，是后续工期争议的高发源头。其五，「实际竣工日期按18.3款确定，并在工程接收证书载明。没有工程接收证书的，在竣工验收证书中载明」（P2015）——工期争议的举证落在两份证书上，项目团队应把证书签发当作与收款同等重要的节点来管。</w:t>
      </w:r>
    </w:p>
    <w:p>
      <w:r>
        <w:rPr>
          <w:rFonts w:ascii="Calibri" w:hAnsi="Calibri" w:eastAsia="微软雅黑"/>
          <w:b w:val="0"/>
          <w:i w:val="0"/>
          <w:sz w:val="22"/>
        </w:rPr>
        <w:t>把工具与口径连起来，投标阶段的动作链是：用三件概算工具做价格推导（P2003），用八项延误原因搭索赔台账（P2015），用六阶段闭环安排设计管理（P2014）——三件事在签约前完成，签约后只是执行。</w:t>
      </w:r>
    </w:p>
    <w:p>
      <w:r>
        <w:rPr>
          <w:rFonts w:ascii="Calibri" w:hAnsi="Calibri" w:eastAsia="微软雅黑"/>
          <w:b w:val="0"/>
          <w:i w:val="0"/>
          <w:sz w:val="22"/>
        </w:rPr>
        <w:t>通用条款还预埋了几个关键时点。开始工作：符合约定条件时，监理人提前7天向承包人发出开始工作通知，工期从开始工作时间起算（P2015）；发包人原因致使监理人未能在合同签订之日起90天内发出开始工作通知的，承包人有权提出价格调整或者解除合同，发包人承担由此增加的费用、工期延误责任并承担合理利润（P2015）。损失索赔可按返还利益、信赖利益、固有利益、履行利益、预期利益五类框架归位（P2015）。异常恶劣的气候条件只给工期顺延，不得主张窝工等费用增加（P2015）——报价的风险费里要为这类事件留出自有消化空间。</w:t>
      </w:r>
    </w:p>
    <w:p>
      <w:pPr>
        <w:pStyle w:val="Heading3"/>
      </w:pPr>
      <w:r>
        <w:t>判例四则：规则被打破时的对价</w:t>
      </w:r>
    </w:p>
    <w:p>
      <w:r>
        <w:rPr>
          <w:rFonts w:ascii="Calibri" w:hAnsi="Calibri" w:eastAsia="微软雅黑"/>
          <w:b w:val="0"/>
          <w:i w:val="0"/>
          <w:sz w:val="22"/>
        </w:rPr>
        <w:t>第一则，价差即无效之争。贵州桐梓煤化工EPC案（(2019)最高法民终1356号）中，双方2008年5月29日签订EPC总承包合同，承包人投标总价为521965260元，而合同约定工程价款为460436515元（P2007）；[估计] 两者相差61528745元（own_calc：521965260−460436515），约占投标价的11.8%（own_calc：61528745÷521965260），承包人据此援引招标投标法第四十六条与实施条例第五十七条主张合同无效，并追讨拖欠工程款项131845782元（P2007）。无论终审结果如何，这组数字对管理层的警示一致：中标价与签约价的每一点偏离，都是对手方手里的无效抗辩弹药。</w:t>
      </w:r>
    </w:p>
    <w:p>
      <w:r>
        <w:rPr>
          <w:rFonts w:ascii="Calibri" w:hAnsi="Calibri" w:eastAsia="微软雅黑"/>
          <w:b w:val="0"/>
          <w:i w:val="0"/>
          <w:sz w:val="22"/>
        </w:rPr>
        <w:t>第二则，固定价与鉴定的边界。四川电力设计咨询公司与岳池送变电再审案（(2019)川32民再2号）里，申请人主张合同内总价包干的工程量在不属于设计变更的情况下「根本无需鉴定，合同总价不应当做任何调整」，并援引最高院解释第22条「当事人约定按照固定价结算工程价款，一方当事人请求对建设工程造价进行鉴定的，不予支持」（P2026）。双方对招标时图纸状态的陈述相反：申请人称招标时已提供基础施工图即路径图，原二审则认定「在工程招标时……并未提供施工图，是在施工过程中边施工边提供施工详图」（P2026）；争议项中还有一笔二次复测费用78066元（P2026）。[事实] 图纸交付状态与总价包干范围的对应关系，直接决定鉴定门槛与调价空间——投标时留存的图纸交接记录，多年后就是胜负手。</w:t>
      </w:r>
    </w:p>
    <w:p>
      <w:r>
        <w:rPr>
          <w:rFonts w:ascii="Calibri" w:hAnsi="Calibri" w:eastAsia="微软雅黑"/>
          <w:b w:val="0"/>
          <w:i w:val="0"/>
          <w:sz w:val="22"/>
        </w:rPr>
        <w:t>第三则，调整链条的长尾。广西金桂浆纸业EPC案（(2015)桂民一初字第4号），双方2006年11月28日签订总承包合同，原始合同总价92000万元，其中设备采购60500万元、服务4665万元、土建安装26835万元（P2028）；履约中经补充协议与会议纪要层层调整：服务费用调整为5374.498万元（含1号机组延期补偿款709.498万元）、设备采购费用调整为64343万元、土建费用调整为7770.502万元、安装费用调整为13135.4046万元，调整后合同总价90623.4046万元（P2028）；[估计] 调整后总价较原始合同下降1376.5954万元（own_calc：92000−90623.4046）。此后因发包人原因的工程范围与内容变更再增费用1288.8979万元，合计应付款91912.3025万元，已付84233.2264万元，欠付7679.0761万元（P2028）；[估计] 欠付额约占应付款的8.4%（own_calc：7679.0761÷91912.3025），另有2号机组停工窝工18个月的损失2090.072万元（P2028）。一份EPC合同从签约到诉讼要走十几年的调整长尾，变更台账必须与合同同等寿命。</w:t>
      </w:r>
    </w:p>
    <w:p>
      <w:r>
        <w:rPr>
          <w:rFonts w:ascii="Calibri" w:hAnsi="Calibri" w:eastAsia="微软雅黑"/>
          <w:b w:val="0"/>
          <w:i w:val="0"/>
          <w:sz w:val="22"/>
        </w:rPr>
        <w:t>第四则，压价中标之辩。云南水电站EPC案（(2018)云民初168号），联营体在开标后、定标前应招标人要求三次降价：投标报价从194351955元先降至179173980元，再降至175318593元，最终以174318000元中标（P2027）；[估计] 三次累计压低20033955元（own_calc：194351955−174318000），降幅约10.3%（own_calc：20033955÷194351955）。联营体主张该做法违反招标投标法第四十三条，并依第五十五条主张中标无效，同时追索欠付合同工程款38672952元、各项损失10610000元及暂计利息7756075元（P2027）。程序合规瑕疵与商务让利一旦叠加，合同效力与收款权利会一起悬空。</w:t>
      </w:r>
    </w:p>
    <w:p>
      <w:r>
        <w:rPr>
          <w:rFonts w:ascii="Calibri" w:hAnsi="Calibri" w:eastAsia="微软雅黑"/>
          <w:b w:val="0"/>
          <w:i w:val="0"/>
          <w:sz w:val="22"/>
        </w:rPr>
        <w:t>放一组传统模式对照，说明「变更另算」惯例的土壤。广东佛山某厂房案（(2013)佛中法民一终字第2482号）按预算单价逐项报价：车间一11280㎡、364.53元/㎡、预算造价4111945.39元；车间二3350㎡、1192.09元/㎡、3993494.48元；宿舍8578㎡、788.88元/㎡、6767053.59元；最终合同价分别为3800000元、3685000元、6500000元，合计13985000元（P2010）；[估计] 三项预算合计14872493.46元（own_calc：4111945.39＋3993494.48＋6767053.59），议价下浮887493.46元、约6.0%（own_calc：887493.46÷14872493.46）。施工模式下「预算—合同」之间的下浮是谈判起点，变更与签证是利润回收通道；总承包模式把这两条通道一起换轨——价格清单只是估算量（P2012），利润回收改押在深化设计与变更管理上。</w:t>
      </w:r>
    </w:p>
    <w:p>
      <w:pPr>
        <w:pStyle w:val="Heading3"/>
      </w:pPr>
      <w:r>
        <w:t>再看四案：传统模式的结算与支付长什么样</w:t>
      </w:r>
    </w:p>
    <w:p>
      <w:r>
        <w:rPr>
          <w:rFonts w:ascii="Calibri" w:hAnsi="Calibri" w:eastAsia="微软雅黑"/>
          <w:b w:val="0"/>
          <w:i w:val="0"/>
          <w:sz w:val="22"/>
        </w:rPr>
        <w:t>对照组的另一半是结算与支付结构。江苏某酒店案里，双方约定70天内完成结算审核，逾期即触发财政部财建（2004）369号《建设工程价款结算暂行办法》的「视为认可」条款——发包人收到竣工结算报告及完整的结算资料后，在规定或合同约定期限内没有提出意见的，视为认可（P2011）；该案送审造价30636998.18元，审计初审核减3591240.95元，此前已支付工程款17285000元（P2011）。法院认定业主方对逾期未完成审核的法律后果已有预见并自愿承担（P2011）。[事实] 「视为认可」条款是施工模式里承包人对抗拖延结算的法定杠杆；总承包模式下这类杠杆并不当然延续，结算规则要在合同里重新谈。</w:t>
      </w:r>
    </w:p>
    <w:p>
      <w:r>
        <w:rPr>
          <w:rFonts w:ascii="Calibri" w:hAnsi="Calibri" w:eastAsia="微软雅黑"/>
          <w:b w:val="0"/>
          <w:i w:val="0"/>
          <w:sz w:val="22"/>
        </w:rPr>
        <w:t>支付节点的对照样本来自苏州某住宅项目：两份备案施工合同（2010年11月24日、2011年2月15日签订）约定按形象进度付款——开工进场后付总价10%、基础完成后付20%、主体完成三层付20%、主体完成付10%、竣工验收合格后付10%、竣工结算审核后付25%、余款5%作保修金满一年后付清（P2025）；工程竣工后承包人主张欠付工程款31378570元、利息4911862.33元、逾期付款违约金5116934.78元（P2025）。河南某住宅案显示固定价的另一面：2005年8月20日签订的施工合同总价暂定90000000元，首栋楼经招投标按「中标价加签证决算」结算，其余四栋不再招标而沿用其招投标文件为合同附件（P2034）；承包人主张欠付60469100元，利息损失从1980000元申请增至3990960元（P2034）。[事实] 「中标价加签证决算」六个字，就是施工总承包模式下设计变更走签证调价的惯例缩影（P2034）——总承包模式要替换的正是这条路径。</w:t>
      </w:r>
    </w:p>
    <w:p>
      <w:r>
        <w:rPr>
          <w:rFonts w:ascii="Calibri" w:hAnsi="Calibri" w:eastAsia="微软雅黑"/>
          <w:b w:val="0"/>
          <w:i w:val="0"/>
          <w:sz w:val="22"/>
        </w:rPr>
        <w:t>违约金的司法口径也提供了参照区间：重庆某案以8576021.90元为基数、按年利率24%主张逾期付款违约金，并追索进度款违约金3883273元、到期质保金2095908.72元、材料价差补贴与基础损失合计2037083.08元（P2008）；贵州某案以欠付本金68136209.77元按每日万分之三主张违约金（P2009）。这些口径不是标准答案，但划出了争议金额的量级——签合同时把违约金与调价公式写清楚，比事后引用别案口径可靠。</w:t>
      </w:r>
    </w:p>
    <w:p>
      <w:pPr>
        <w:pStyle w:val="Heading2"/>
      </w:pPr>
      <w:r>
        <w:t>2.5 从纸面到工地：判例账本、数字化配套与企业动作</w:t>
      </w:r>
    </w:p>
    <w:p>
      <w:pPr>
        <w:pStyle w:val="Heading3"/>
      </w:pPr>
      <w:r>
        <w:t>判例账本：欠款、窝工与骗局</w:t>
      </w:r>
    </w:p>
    <w:p>
      <w:r>
        <w:rPr>
          <w:rFonts w:ascii="Calibri" w:hAnsi="Calibri" w:eastAsia="微软雅黑"/>
          <w:b w:val="0"/>
          <w:i w:val="0"/>
          <w:sz w:val="22"/>
        </w:rPr>
        <w:t>把本章弹药库命中的EPC及总承包相关判决的争议要项并排，得到一张粗账：</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案件</w:t>
            </w:r>
          </w:p>
        </w:tc>
        <w:tc>
          <w:tcPr>
            <w:tcW w:type="dxa" w:w="2075"/>
            <w:shd w:fill="1F3A5F"/>
          </w:tcPr>
          <w:p>
            <w:r>
              <w:rPr>
                <w:color w:val="FFFFFF"/>
              </w:rPr>
            </w:r>
            <w:r>
              <w:rPr>
                <w:rFonts w:ascii="Calibri" w:hAnsi="Calibri" w:eastAsia="微软雅黑"/>
                <w:b/>
                <w:i w:val="0"/>
                <w:color w:val="FFFFFF"/>
                <w:sz w:val="18"/>
              </w:rPr>
              <w:t>争议要项</w:t>
            </w:r>
          </w:p>
        </w:tc>
        <w:tc>
          <w:tcPr>
            <w:tcW w:type="dxa" w:w="2075"/>
            <w:shd w:fill="1F3A5F"/>
          </w:tcPr>
          <w:p>
            <w:r>
              <w:rPr>
                <w:color w:val="FFFFFF"/>
              </w:rPr>
            </w:r>
            <w:r>
              <w:rPr>
                <w:rFonts w:ascii="Calibri" w:hAnsi="Calibri" w:eastAsia="微软雅黑"/>
                <w:b/>
                <w:i w:val="0"/>
                <w:color w:val="FFFFFF"/>
                <w:sz w:val="18"/>
              </w:rPr>
              <w:t>数字</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(2019)最高法民终1356号</w:t>
            </w:r>
          </w:p>
        </w:tc>
        <w:tc>
          <w:tcPr>
            <w:tcW w:type="dxa" w:w="2075"/>
          </w:tcPr>
          <w:p>
            <w:r/>
            <w:r>
              <w:rPr>
                <w:rFonts w:ascii="Calibri" w:hAnsi="Calibri" w:eastAsia="微软雅黑"/>
                <w:b w:val="0"/>
                <w:i w:val="0"/>
                <w:sz w:val="18"/>
              </w:rPr>
              <w:t>桐梓煤化工EPC合同欠款主张</w:t>
            </w:r>
          </w:p>
        </w:tc>
        <w:tc>
          <w:tcPr>
            <w:tcW w:type="dxa" w:w="2075"/>
          </w:tcPr>
          <w:p>
            <w:r/>
            <w:r>
              <w:rPr>
                <w:rFonts w:ascii="Calibri" w:hAnsi="Calibri" w:eastAsia="微软雅黑"/>
                <w:b w:val="0"/>
                <w:i w:val="0"/>
                <w:sz w:val="18"/>
              </w:rPr>
              <w:t>131845782元</w:t>
            </w:r>
          </w:p>
        </w:tc>
        <w:tc>
          <w:tcPr>
            <w:tcW w:type="dxa" w:w="2075"/>
          </w:tcPr>
          <w:p>
            <w:r/>
            <w:r>
              <w:rPr>
                <w:rFonts w:ascii="Calibri" w:hAnsi="Calibri" w:eastAsia="微软雅黑"/>
                <w:b w:val="0"/>
                <w:i w:val="0"/>
                <w:sz w:val="18"/>
              </w:rPr>
              <w:t>P2007</w:t>
            </w:r>
          </w:p>
        </w:tc>
      </w:tr>
      <w:tr>
        <w:tc>
          <w:tcPr>
            <w:tcW w:type="dxa" w:w="2075"/>
          </w:tcPr>
          <w:p>
            <w:r/>
            <w:r>
              <w:rPr>
                <w:rFonts w:ascii="Calibri" w:hAnsi="Calibri" w:eastAsia="微软雅黑"/>
                <w:b w:val="0"/>
                <w:i w:val="0"/>
                <w:sz w:val="18"/>
              </w:rPr>
              <w:t>(2018)云民初168号</w:t>
            </w:r>
          </w:p>
        </w:tc>
        <w:tc>
          <w:tcPr>
            <w:tcW w:type="dxa" w:w="2075"/>
          </w:tcPr>
          <w:p>
            <w:r/>
            <w:r>
              <w:rPr>
                <w:rFonts w:ascii="Calibri" w:hAnsi="Calibri" w:eastAsia="微软雅黑"/>
                <w:b w:val="0"/>
                <w:i w:val="0"/>
                <w:sz w:val="18"/>
              </w:rPr>
              <w:t>水电站EPC欠付工程款＋各项损失＋暂计利息</w:t>
            </w:r>
          </w:p>
        </w:tc>
        <w:tc>
          <w:tcPr>
            <w:tcW w:type="dxa" w:w="2075"/>
          </w:tcPr>
          <w:p>
            <w:r/>
            <w:r>
              <w:rPr>
                <w:rFonts w:ascii="Calibri" w:hAnsi="Calibri" w:eastAsia="微软雅黑"/>
                <w:b w:val="0"/>
                <w:i w:val="0"/>
                <w:sz w:val="18"/>
              </w:rPr>
              <w:t>38672952元＋10610000元＋7756075元</w:t>
            </w:r>
          </w:p>
        </w:tc>
        <w:tc>
          <w:tcPr>
            <w:tcW w:type="dxa" w:w="2075"/>
          </w:tcPr>
          <w:p>
            <w:r/>
            <w:r>
              <w:rPr>
                <w:rFonts w:ascii="Calibri" w:hAnsi="Calibri" w:eastAsia="微软雅黑"/>
                <w:b w:val="0"/>
                <w:i w:val="0"/>
                <w:sz w:val="18"/>
              </w:rPr>
              <w:t>P2027</w:t>
            </w:r>
          </w:p>
        </w:tc>
      </w:tr>
      <w:tr>
        <w:tc>
          <w:tcPr>
            <w:tcW w:type="dxa" w:w="2075"/>
          </w:tcPr>
          <w:p>
            <w:r/>
            <w:r>
              <w:rPr>
                <w:rFonts w:ascii="Calibri" w:hAnsi="Calibri" w:eastAsia="微软雅黑"/>
                <w:b w:val="0"/>
                <w:i w:val="0"/>
                <w:sz w:val="18"/>
              </w:rPr>
              <w:t>(2015)桂民一初字第4号</w:t>
            </w:r>
          </w:p>
        </w:tc>
        <w:tc>
          <w:tcPr>
            <w:tcW w:type="dxa" w:w="2075"/>
          </w:tcPr>
          <w:p>
            <w:r/>
            <w:r>
              <w:rPr>
                <w:rFonts w:ascii="Calibri" w:hAnsi="Calibri" w:eastAsia="微软雅黑"/>
                <w:b w:val="0"/>
                <w:i w:val="0"/>
                <w:sz w:val="18"/>
              </w:rPr>
              <w:t>动力电厂EPC欠付款＋2号机组窝工损失</w:t>
            </w:r>
          </w:p>
        </w:tc>
        <w:tc>
          <w:tcPr>
            <w:tcW w:type="dxa" w:w="2075"/>
          </w:tcPr>
          <w:p>
            <w:r/>
            <w:r>
              <w:rPr>
                <w:rFonts w:ascii="Calibri" w:hAnsi="Calibri" w:eastAsia="微软雅黑"/>
                <w:b w:val="0"/>
                <w:i w:val="0"/>
                <w:sz w:val="18"/>
              </w:rPr>
              <w:t>7679.0761万元＋2090.072万元</w:t>
            </w:r>
          </w:p>
        </w:tc>
        <w:tc>
          <w:tcPr>
            <w:tcW w:type="dxa" w:w="2075"/>
          </w:tcPr>
          <w:p>
            <w:r/>
            <w:r>
              <w:rPr>
                <w:rFonts w:ascii="Calibri" w:hAnsi="Calibri" w:eastAsia="微软雅黑"/>
                <w:b w:val="0"/>
                <w:i w:val="0"/>
                <w:sz w:val="18"/>
              </w:rPr>
              <w:t>P2028</w:t>
            </w:r>
          </w:p>
        </w:tc>
      </w:tr>
      <w:tr>
        <w:tc>
          <w:tcPr>
            <w:tcW w:type="dxa" w:w="2075"/>
          </w:tcPr>
          <w:p>
            <w:r/>
            <w:r>
              <w:rPr>
                <w:rFonts w:ascii="Calibri" w:hAnsi="Calibri" w:eastAsia="微软雅黑"/>
                <w:b w:val="0"/>
                <w:i w:val="0"/>
                <w:sz w:val="18"/>
              </w:rPr>
              <w:t>(2020)渝01民终第4800号</w:t>
            </w:r>
          </w:p>
        </w:tc>
        <w:tc>
          <w:tcPr>
            <w:tcW w:type="dxa" w:w="2075"/>
          </w:tcPr>
          <w:p>
            <w:r/>
            <w:r>
              <w:rPr>
                <w:rFonts w:ascii="Calibri" w:hAnsi="Calibri" w:eastAsia="微软雅黑"/>
                <w:b w:val="0"/>
                <w:i w:val="0"/>
                <w:sz w:val="18"/>
              </w:rPr>
              <w:t>装饰工程工期延误争议</w:t>
            </w:r>
          </w:p>
        </w:tc>
        <w:tc>
          <w:tcPr>
            <w:tcW w:type="dxa" w:w="2075"/>
          </w:tcPr>
          <w:p>
            <w:r/>
            <w:r>
              <w:rPr>
                <w:rFonts w:ascii="Calibri" w:hAnsi="Calibri" w:eastAsia="微软雅黑"/>
                <w:b w:val="0"/>
                <w:i w:val="0"/>
                <w:sz w:val="18"/>
              </w:rPr>
              <w:t>463天，实际工期为约定工期的3倍</w:t>
            </w:r>
          </w:p>
        </w:tc>
        <w:tc>
          <w:tcPr>
            <w:tcW w:type="dxa" w:w="2075"/>
          </w:tcPr>
          <w:p>
            <w:r/>
            <w:r>
              <w:rPr>
                <w:rFonts w:ascii="Calibri" w:hAnsi="Calibri" w:eastAsia="微软雅黑"/>
                <w:b w:val="0"/>
                <w:i w:val="0"/>
                <w:sz w:val="18"/>
              </w:rPr>
              <w:t>P2031</w:t>
            </w:r>
          </w:p>
        </w:tc>
      </w:tr>
      <w:tr>
        <w:tc>
          <w:tcPr>
            <w:tcW w:type="dxa" w:w="2075"/>
          </w:tcPr>
          <w:p>
            <w:r/>
            <w:r>
              <w:rPr>
                <w:rFonts w:ascii="Calibri" w:hAnsi="Calibri" w:eastAsia="微软雅黑"/>
                <w:b w:val="0"/>
                <w:i w:val="0"/>
                <w:sz w:val="18"/>
              </w:rPr>
              <w:t>(2019)川32民再2号</w:t>
            </w:r>
          </w:p>
        </w:tc>
        <w:tc>
          <w:tcPr>
            <w:tcW w:type="dxa" w:w="2075"/>
          </w:tcPr>
          <w:p>
            <w:r/>
            <w:r>
              <w:rPr>
                <w:rFonts w:ascii="Calibri" w:hAnsi="Calibri" w:eastAsia="微软雅黑"/>
                <w:b w:val="0"/>
                <w:i w:val="0"/>
                <w:sz w:val="18"/>
              </w:rPr>
              <w:t>电力工程总价包干鉴定之争（含二次复测费）</w:t>
            </w:r>
          </w:p>
        </w:tc>
        <w:tc>
          <w:tcPr>
            <w:tcW w:type="dxa" w:w="2075"/>
          </w:tcPr>
          <w:p>
            <w:r/>
            <w:r>
              <w:rPr>
                <w:rFonts w:ascii="Calibri" w:hAnsi="Calibri" w:eastAsia="微软雅黑"/>
                <w:b w:val="0"/>
                <w:i w:val="0"/>
                <w:sz w:val="18"/>
              </w:rPr>
              <w:t>78066元</w:t>
            </w:r>
          </w:p>
        </w:tc>
        <w:tc>
          <w:tcPr>
            <w:tcW w:type="dxa" w:w="2075"/>
          </w:tcPr>
          <w:p>
            <w:r/>
            <w:r>
              <w:rPr>
                <w:rFonts w:ascii="Calibri" w:hAnsi="Calibri" w:eastAsia="微软雅黑"/>
                <w:b w:val="0"/>
                <w:i w:val="0"/>
                <w:sz w:val="18"/>
              </w:rPr>
              <w:t>P2026</w:t>
            </w:r>
          </w:p>
        </w:tc>
      </w:tr>
      <w:tr>
        <w:tc>
          <w:tcPr>
            <w:tcW w:type="dxa" w:w="2075"/>
          </w:tcPr>
          <w:p>
            <w:r/>
            <w:r>
              <w:rPr>
                <w:rFonts w:ascii="Calibri" w:hAnsi="Calibri" w:eastAsia="微软雅黑"/>
                <w:b w:val="0"/>
                <w:i w:val="0"/>
                <w:sz w:val="18"/>
              </w:rPr>
              <w:t>(2019)藏05刑初3号</w:t>
            </w:r>
          </w:p>
        </w:tc>
        <w:tc>
          <w:tcPr>
            <w:tcW w:type="dxa" w:w="2075"/>
          </w:tcPr>
          <w:p>
            <w:r/>
            <w:r>
              <w:rPr>
                <w:rFonts w:ascii="Calibri" w:hAnsi="Calibri" w:eastAsia="微软雅黑"/>
                <w:b w:val="0"/>
                <w:i w:val="0"/>
                <w:sz w:val="18"/>
              </w:rPr>
              <w:t>冒用总承包人名头的合同诈骗</w:t>
            </w:r>
          </w:p>
        </w:tc>
        <w:tc>
          <w:tcPr>
            <w:tcW w:type="dxa" w:w="2075"/>
          </w:tcPr>
          <w:p>
            <w:r/>
            <w:r>
              <w:rPr>
                <w:rFonts w:ascii="Calibri" w:hAnsi="Calibri" w:eastAsia="微软雅黑"/>
                <w:b w:val="0"/>
                <w:i w:val="0"/>
                <w:sz w:val="18"/>
              </w:rPr>
              <w:t>860万元（其中200万元未遂）</w:t>
            </w:r>
          </w:p>
        </w:tc>
        <w:tc>
          <w:tcPr>
            <w:tcW w:type="dxa" w:w="2075"/>
          </w:tcPr>
          <w:p>
            <w:r/>
            <w:r>
              <w:rPr>
                <w:rFonts w:ascii="Calibri" w:hAnsi="Calibri" w:eastAsia="微软雅黑"/>
                <w:b w:val="0"/>
                <w:i w:val="0"/>
                <w:sz w:val="18"/>
              </w:rPr>
              <w:t>P2024</w:t>
            </w:r>
          </w:p>
        </w:tc>
      </w:tr>
    </w:tbl>
    <w:p>
      <w:r>
        <w:rPr>
          <w:rFonts w:ascii="Calibri" w:hAnsi="Calibri" w:eastAsia="微软雅黑"/>
          <w:b w:val="0"/>
          <w:i w:val="0"/>
          <w:sz w:val="22"/>
        </w:rPr>
        <w:t>[估计] 前三行欠款类主张合计约247309495元（own_calc：131845782＋38672952＋76790761，其中76790761元由7679.0761万元换算）。必须同步声明：这是本章检索命中样本的算术加总，样本按关键词命中而非随机抽取，不能当作任何总体水平的估计。账本的价值在结构而非总数——欠款、窝工、程序无效、鉴定边界四类争议反复出现，正对应2.3、2.4两节的四类硬约束。</w:t>
      </w:r>
    </w:p>
    <w:p>
      <w:r>
        <w:rPr>
          <w:rFonts w:ascii="Calibri" w:hAnsi="Calibri" w:eastAsia="微软雅黑"/>
          <w:b w:val="0"/>
          <w:i w:val="0"/>
          <w:sz w:val="22"/>
        </w:rPr>
        <w:t>工期一栏值得单独看：重庆某装饰工程上诉人主张工期延误463天，理由包括设计图提交延误、设计变更引发的返工停工，且实际工期达到合同约定工期的3倍（P2031）。设计与变更问题在判决书里最终都折算成天数与金钱。骗局一栏是另一类提醒：西藏浪卡子某光伏电站由四川电力设计咨询有限责任公司总承包设计施工，2017年1月18日开始施工、同年5月20日并网发电（P2024）；案外人伪造央企公章与劳务总包合同，以收取保证金、业务拓展费等名义骗取他人860万元，其中200万元未遂（P2024）。总承包人的名头本身就是被诈骗利用的资产，分包授权管理与对外公示是基本防损动作。</w:t>
      </w:r>
    </w:p>
    <w:p>
      <w:r>
        <w:rPr>
          <w:rFonts w:ascii="Calibri" w:hAnsi="Calibri" w:eastAsia="微软雅黑"/>
          <w:b w:val="0"/>
          <w:i w:val="0"/>
          <w:sz w:val="22"/>
        </w:rPr>
        <w:t>行业争议观察还提供了一组案例坐标：先履行抗辩权争议（(2016)最高法民终695号）、分包合同同步解除（(2016)最高法民再53号）、境外独立保函止付（(2017)川民终72号），以及法工委函〔2017〕2号对以行政审计强行介入结算的清理审查与「重庆勇创案」计价纠偏（P2005）。它们共同指向一点：EPC合同分拆与支付节点的法律风险，最终常回到设计施工一体化深度不足这个原点——因为深度不足才拆合同，拆了合同才有抗辩与止付的缝隙。</w:t>
      </w:r>
    </w:p>
    <w:p>
      <w:r>
        <w:rPr>
          <w:rFonts w:ascii="Calibri" w:hAnsi="Calibri" w:eastAsia="微软雅黑"/>
          <w:b w:val="0"/>
          <w:i w:val="0"/>
          <w:sz w:val="22"/>
        </w:rPr>
        <w:t>账本的读法有三条。第一，看结构不看总数：欠款、窝工、程序、鉴定四类争议在总承包与传统模式里都出现，但总承包案里多了一层合同效力争议——价差无效之辩（P2007）与压价无效之辩（P2027）都把商务让利转化成了效力攻击面。第二，看时间跨度：签约到判决动辄十年上下——桐梓案合同签订于2008年5月29日、二审判决于2019年（P2007），金桂案合同签订于2006年11月28日、一审判决于2018年12月21日（P2028）——报价决策要用十年尺度折现诉讼成本。第三，看程序细节：每一案里都有本可避免的环节——损失报告未按约定程序报送（P2007）、图纸交接无同步记录（P2026）、变更签证资料不全（P2014）。政策给了规则，判例反复惩罚的是不守程序的人。</w:t>
      </w:r>
    </w:p>
    <w:p>
      <w:pPr>
        <w:pStyle w:val="Heading3"/>
      </w:pPr>
      <w:r>
        <w:t>程序与鉴定：败诉的另一种姿势</w:t>
      </w:r>
    </w:p>
    <w:p>
      <w:r>
        <w:rPr>
          <w:rFonts w:ascii="Calibri" w:hAnsi="Calibri" w:eastAsia="微软雅黑"/>
          <w:b w:val="0"/>
          <w:i w:val="0"/>
          <w:sz w:val="22"/>
        </w:rPr>
        <w:t>回到最高法那桩煤化工EPC案，判决书暴露的不只是价差。司法鉴定环节，双方对桦利鉴字【2018】09号意见书的三块费用各执一词：无发包人签字部分的费用是否实际发生、推算的「合同条件不足」调整金额能否成立、窝工损失是否按合同约定程序报送（P2007）。发包人的抗辩点是：承包人「仅提出窝工事实，未按合同约定的方式向业主、监理单位报送损失金额、停工时长、停工原因的报告」（P2007）；三大主机由发包人负责采购、设备材料催交催运直至运抵现场的安排，又把延误责任搅成复合题（P2007）。[事实] 金额之争的背后是程序之争——索赔没有走完合同约定的报送程序，再大的损失也可能折在程序瑕疵上。这与前述把八项延误原因台账化的建议互为表里（P2015）。</w:t>
      </w:r>
    </w:p>
    <w:p>
      <w:r>
        <w:rPr>
          <w:rFonts w:ascii="Calibri" w:hAnsi="Calibri" w:eastAsia="微软雅黑"/>
          <w:b w:val="0"/>
          <w:i w:val="0"/>
          <w:sz w:val="22"/>
        </w:rPr>
        <w:t>分包侧的教训同样具体。上海某劳务分包案：结算金额13，159，890.17元，扣除5%质保金后应付款12，501，895.66元，总包已付14，778，673.28元，反而主张超付返还3，153，559.93元，要求按已付工程款开具足额发票，并反诉索赔损失60万元（P2029）。广东某劳务案中，实际施工人主张劳务费29429235.05元及模板、机械设备等损失6658434.37元（P2030）。山东某精装案里，样板间质量问题引发72万元经济损失赔偿与117800元第三方维修费之争（P2032）。[事实] 总包合同一体化不等于风险归零——设计施工合一后，分包结算、劳务实付、维修保修三道口子仍会漏损，且漏损直接吃掉深化设计攒下的利润。</w:t>
      </w:r>
    </w:p>
    <w:p>
      <w:pPr>
        <w:pStyle w:val="Heading3"/>
      </w:pPr>
      <w:r>
        <w:t>能力坐标：两份行业报告的框架</w:t>
      </w:r>
    </w:p>
    <w:p>
      <w:r>
        <w:rPr>
          <w:rFonts w:ascii="Calibri" w:hAnsi="Calibri" w:eastAsia="微软雅黑"/>
          <w:b w:val="0"/>
          <w:i w:val="0"/>
          <w:sz w:val="22"/>
        </w:rPr>
        <w:t>行业报告为这段政策—判例链条提供了能力坐标。一套是总承包投标人的三项能力：概算指标与价差精准修正、EPC合同分拆履约与资质防线管控、节点请款与独立保函风险治理（P2003）——分别对应本章的2.3、2.4、2.5三节。另一套把EPC法人级交付效能写成公式：效能＝（设计控制因子×采购施工协同因子）÷（组织摩擦风险＋造价合规偏差），组织摩擦风险以合同分拆履约抗辩、分包同步解除、境外保函止付等争议类型标注，造价合规偏差以行政审计强行介入结算的清理审查与「重庆勇创案」计价纠偏为注脚（P2005）。[事实] 政策给了资格与时点，判例给了风险清单，企业要做的是把两者折进同一个报价模型。</w:t>
      </w:r>
    </w:p>
    <w:p>
      <w:r>
        <w:rPr>
          <w:rFonts w:ascii="Calibri" w:hAnsi="Calibri" w:eastAsia="微软雅黑"/>
          <w:b w:val="0"/>
          <w:i w:val="0"/>
          <w:sz w:val="22"/>
        </w:rPr>
        <w:t>风险链条的完整版本在行业复盘里有六环：初设深度不够，设备参数滞后；招标时技术规格书不完整，投标人钻空子；中标设备与设计参数不匹配，施工图被迫修改；修改挤压采购周期，设备到场跟不上安装节点；赶工埋下质量隐患；变更签证资料不全，结算扯皮（P2014）。政策坐标系的价值，就是把这条链拆散到资质、时点、变更、结算四个关口逐一设卡——每一卡，都对应本章引过原文的一份文件。</w:t>
      </w:r>
    </w:p>
    <w:p>
      <w:r>
        <w:rPr>
          <w:rFonts w:ascii="Calibri" w:hAnsi="Calibri" w:eastAsia="微软雅黑"/>
          <w:b w:val="0"/>
          <w:i w:val="0"/>
          <w:sz w:val="22"/>
        </w:rPr>
        <w:t>账本里还有一类请求值得单记：云南水电站案的联营体请求确认在诉讼请求金额范围内对水电站工程享有优先受偿权（P2027）；苏州住宅案的承包人同样就欠付工程款主张优先权，且两期工程分别在2011年12月22日、2012年5月30日竣工验收合格并交付（P2025）。[事实] 工程款回收的最后抵押是工程本身，而优先权的行使管理要落到每一个验收节点——这与竣工日期以工程接收证书或竣工验收证书载明（P2015）的规则首尾相接：没有证书意识的项目，连优先权的起算都说不清。</w:t>
      </w:r>
    </w:p>
    <w:p>
      <w:pPr>
        <w:pStyle w:val="Heading3"/>
      </w:pPr>
      <w:r>
        <w:t>程序时间线与骗局解剖：给管理层的两份备忘</w:t>
      </w:r>
    </w:p>
    <w:p>
      <w:r>
        <w:rPr>
          <w:rFonts w:ascii="Calibri" w:hAnsi="Calibri" w:eastAsia="微软雅黑"/>
          <w:b w:val="0"/>
          <w:i w:val="0"/>
          <w:sz w:val="22"/>
        </w:rPr>
        <w:t>第一份备忘：程序时间线怎么读。云南水电站EPC案的招标节奏是：2014年1月2日招标人发出投标邀请书，1月6日两家单位组成联营体，4月14日签发中标通知书，5月28日签订EPC总承包合同（P2027）——从邀请到签约不到五个月；而此后的履约争议，2018年9月立案，2019年4月开庭，2020年4月才出一审判决，诉讼期间还经历多轮调解未果（P2027）。广西金桂浆纸业案的程序更长：2015年8月25日立案，先打管辖异议并上诉至最高人民法院，2016年1月22日以(2016)最高法民辖终2号裁定维持原裁定，其后又因司法鉴定扣除审限，直至2018年12月21日才作出一审判决（P2028）。[事实] 两案对照给出的管理结论朴素而残酷：签约花五个月，诉讼花五六年；把合同谈判时间的价值折算进诉讼成本，多数压价与含糊条款都不划算。</w:t>
      </w:r>
    </w:p>
    <w:p>
      <w:r>
        <w:rPr>
          <w:rFonts w:ascii="Calibri" w:hAnsi="Calibri" w:eastAsia="微软雅黑"/>
          <w:b w:val="0"/>
          <w:i w:val="0"/>
          <w:sz w:val="22"/>
        </w:rPr>
        <w:t>第二份备忘：骗局是怎么拆开总包名头的。西藏光伏诈骗案的分笔记录值得逐条看：案外人以劳务公司名义与被害人签订20兆瓦至100兆瓦不等的劳务分包合同，先后骗得任某30万元、周某70万元、路某220万元、穷达15万元、谭某95万元、米某30万元等，合计860万元，其中200万元未遂（P2024）。作案工具是伪造的央企公章与财务专用章、伪造的劳务总包合同、保证金收款收据，以及虚构的红头文件、进场通知书、工程量分配单（P2024）。[估计] 上述可逐笔对应的部分合计460万元（own_calc：30＋70＋220＋15＋95＋30，单位万元），其余笔数因档案截断未逐项列示（P2024）。骗局能成立的前提，是该项目确实存在、确实由四川电力设计咨询有限责任公司总承包设计施工、确实在2017年1月18日开工并于同年5月20日并网发电（P2024）——真实项目信息是诈骗最好的道具。[建议] 总承包人的对应动作只有两件：分包授权与项目班子对外可核验，中标与分包信息主动公示；验证方式是任一第三方凭公开渠道能在三个工作日内核实项目班子身份，停止条件是发现任何一笔未经公示的「分包授权」即启动公开澄清与报案。</w:t>
      </w:r>
    </w:p>
    <w:p>
      <w:r>
        <w:rPr>
          <w:rFonts w:ascii="Calibri" w:hAnsi="Calibri" w:eastAsia="微软雅黑"/>
          <w:b w:val="0"/>
          <w:i w:val="0"/>
          <w:sz w:val="22"/>
        </w:rPr>
        <w:t>两份备忘合起来，是对「政策已定、执行在人」的注解：政策坐标系给了资格、时点与调价边界（2.1至2.4节），判例账本给了失败姿势（2.5节前半），剩下的变量是企业自身的程序纪律与信息纪律。</w:t>
      </w:r>
    </w:p>
    <w:p>
      <w:pPr>
        <w:pStyle w:val="Heading3"/>
      </w:pPr>
      <w:r>
        <w:t>数字化配套：政策强制范围与现实落差</w:t>
      </w:r>
    </w:p>
    <w:p>
      <w:r>
        <w:rPr>
          <w:rFonts w:ascii="Calibri" w:hAnsi="Calibri" w:eastAsia="微软雅黑"/>
          <w:b w:val="0"/>
          <w:i w:val="0"/>
          <w:sz w:val="22"/>
        </w:rPr>
        <w:t>政策坐标不只有合同规则，还有工具要求。北京对政府投资的装配式混凝土建筑项目要求「全过程应用建筑信息模型（BIM）技术」，其他装配式项目鼓励采用，并要求建设单位在招标文件与建设工程合同中明确BIM应用目标、范围、内容、参建单位应用能力、信息交换标准与人员配备，「并给予相应的费用保障」（P2013）。现实落差同样有记录：BIM进入中国建筑市场十几年，房建项目常见的仍是地下室管线综合、砌体排砖、汇报展示三类点状应用，多数停留在「先画图、后翻模」（P2019）。翻模与正向设计的本质差别在于数据价值：翻模是先画图后建模，翻模的人不懂设计意图，模型只是图纸的「三维复印件」，拿去算量未必敢用；正向设计是先建模后出图，模型自带数据血缘（P2019）。推不动的原因被归为三条——设计院不给真模型、翻模与算量两层皮、投入产出算不清账，翻一套模型花费几十万、用完即弃（P2019）。政策端仍在加码：2026年被确立为智能建造推广元年，政策核心转向从「鼓励试点」到「强制应用」，BIM正向设计成为政府投资项目的硬要求方向（P2019）。</w:t>
      </w:r>
    </w:p>
    <w:p>
      <w:r>
        <w:rPr>
          <w:rFonts w:ascii="Calibri" w:hAnsi="Calibri" w:eastAsia="微软雅黑"/>
          <w:b w:val="0"/>
          <w:i w:val="0"/>
          <w:sz w:val="22"/>
        </w:rPr>
        <w:t>正面样本也存在。云南大学呈贡校区科研平台69000㎡，建筑、结构、暖通、给排水、电气、工艺、幕墙、装饰八个专业在统一协同平台完成深化设计，交付时跨专业冲突归零；该项目含三个国家级重点实验室、六七十个专业功能房间，工艺管线种类为普通建筑的三倍以上，传统二维模式下此类项目施工阶段碰撞「少说几十处」（P2018）。[建议] 把BIM投入按政策强制范围定向配置：政府投资、装配式等强制场景先做「一模到底」，验证设计模型直接用于出图与算量后再扩面；停止条件是连续两个试点项目无法证明模型直接支撑出图与算量——继续投入前先修流程，再谈工具。</w:t>
      </w:r>
    </w:p>
    <w:p>
      <w:pPr>
        <w:pStyle w:val="Heading3"/>
      </w:pPr>
      <w:r>
        <w:t>一体化的下一站：向运营端延伸</w:t>
      </w:r>
    </w:p>
    <w:p>
      <w:r>
        <w:rPr>
          <w:rFonts w:ascii="Calibri" w:hAnsi="Calibri" w:eastAsia="微软雅黑"/>
          <w:b w:val="0"/>
          <w:i w:val="0"/>
          <w:sz w:val="22"/>
        </w:rPr>
        <w:t>政策坐标还在移动。城市更新场景中，EPC+O（设计—施工—运营一体化）通过建设与运营长周期捆绑，成为存量片区更新、老旧街区活化、老旧小区改造的主流落地路径之一，也被地方政府视为严控隐性债务、弱化财政兜底、倒逼项目自平衡的选择（P2016）。但全国数百个落地项目的实操复盘给出的评价是：多数项目并未实现「1+1+1＞3」的协同效应，反而陷入多方权责割裂、价值目标冲突、全周期脱节的协作困局（P2016）。第一类陷阱点得最细：设计阶段运营主体缺位——多数项目招标以工程总包为核心，运营方多为联合体配套角色、话语权极弱，方案设计、业态规划、空间布局敲定阶段基本无法参与；设计团队仅依据政府规范、工程标准出图，优先保障建设成本最低化、施工难度最小化（P2016）。第二类是空间设计与市场化运营错配：追求景观颜值、立面翻新与公共空间扩容，未考虑后期运维成本、商户适配性与流量变现，出现「景观好看、业态空白、运维高昂、无人消费」的局面，商业铺面进深、层高、动线不合理直接拖累招商（P2016）。第三类是改造标准与运营周期不匹配：城市更新包含大量公益性、准公益性内容，设计方案多按短期工程标准落地（P2016）。部分央企联合体甚至因协作失衡、风险失控主动放弃数十亿级城更项目（P2016）。对设计院与总包管理者，这是提前量信号：政策语境里的「一体化」边界正从设计施工向运营延伸，设计团队里没有运营席位的，未来在城市更新市场会先输在方案评审。</w:t>
      </w:r>
    </w:p>
    <w:p>
      <w:pPr>
        <w:pStyle w:val="Heading3"/>
      </w:pPr>
      <w:r>
        <w:t>企业动作清单</w:t>
      </w:r>
    </w:p>
    <w:p>
      <w:r>
        <w:rPr>
          <w:rFonts w:ascii="Calibri" w:hAnsi="Calibri" w:eastAsia="微软雅黑"/>
          <w:b w:val="0"/>
          <w:i w:val="0"/>
          <w:sz w:val="22"/>
        </w:rPr>
        <w:t>综合本章证据，给出六条动作。[建议] 第一，投标前置双核对：行业口径加属地口径，逐项核对资质形式与回避规则，尤其初设单位能否投标（对照P2001与P2021的相反答案）；验证方式是取得属地监管文件原文并留痕，停止条件是两地口径冲突且无法书面确认时按较严口径执行。第二，把「发包人要求」按十一项清单做完整度评审（P2012），缺项在投标澄清期书面补齐。第三，价格清单按估算量管理预期（P2012），不将其当作工程量结算依据。第四，基础资料责任条款单独谈判并附资料清单（P2004）。第五，固定价项目建立图纸与变更的同步证据链（P2026的教训：图纸交付状态决定鉴定门槛）。第六，组织侧按法人级一体化标准自检：项目管理机构八类部门齐备（P2013），策划体系从范本迭代走向项目定制——行业实践中，某工程局在2018年发布覆盖全业务板块的项目策划书范本，其下属总承包公司在2018年首次机构改革后组建EPC事业部，并以惠科电子厂房施工总承包项目为转折点持续提升策划权重（P2023）。</w:t>
      </w:r>
    </w:p>
    <w:p>
      <w:pPr>
        <w:pStyle w:val="Heading2"/>
      </w:pPr>
      <w:r>
        <w:t>本章小结与盲区</w:t>
      </w:r>
    </w:p>
    <w:p>
      <w:pPr>
        <w:pStyle w:val="Heading3"/>
      </w:pPr>
      <w:r>
        <w:t>小结六问</w:t>
      </w:r>
    </w:p>
    <w:p>
      <w:r>
        <w:rPr>
          <w:rFonts w:ascii="Calibri" w:hAnsi="Calibri" w:eastAsia="微软雅黑"/>
          <w:b w:val="0"/>
          <w:i w:val="0"/>
          <w:sz w:val="22"/>
        </w:rPr>
        <w:t>证明什么：设计与施工一体化是政策长周期、跨行业一致要求的组织方式，配套了资质、招标时点、回避、价格与变更四类半硬约束；总承包模式下「设计变更并不必然调整合同价格」（P2004口径），调价分界在「谁的变更」。输入在哪：本章弹药库全部命中源，含部委与省市政策原文、律师专业解读、最高人民法院至基层法院裁判文书。怎么算：所有金额与天数均为文书或政策原文数字，跨源聚合处均标注own_calc算式。依赖什么前提：政策文本与裁判文书真实有效；检索命中能够代表政策主线。还有什么解释：规则统一也可解读为合规成本上升、交易复杂化——本章只呈现约束与判例证据，未对该利弊下判断。什么证据会改变答案：93号文与2019年办法的全文入库（两文现仅有间接锚点，P2004、P2017、P2021）、更多行业办法出台、随机抽样判例统计。</w:t>
      </w:r>
    </w:p>
    <w:p>
      <w:pPr>
        <w:pStyle w:val="Heading3"/>
      </w:pPr>
      <w:r>
        <w:t>反证三问</w:t>
      </w:r>
    </w:p>
    <w:p>
      <w:r>
        <w:rPr>
          <w:rFonts w:ascii="Calibri" w:hAnsi="Calibri" w:eastAsia="微软雅黑"/>
          <w:b w:val="0"/>
          <w:i w:val="0"/>
          <w:sz w:val="22"/>
        </w:rPr>
        <w:t>什么事实会推翻本章判断：若后续大量EPC判决普遍认定设计变更一律调价，或住建、交通系统普遍放行初设单位投标，则2.4与2.3的口径判断失效。现有反证为何不足：样本内确有法院委托鉴定固定价工程量的记载（P2026），但该案正处再审程序且争点在包干范围认定，未构成对「变更不必然调价」规则本身的否定；放行前期编制单位的口径目前仅见山东水利一份文件（P2021）。哪个未知可能改变读者选择：属地细则的修订方向——例如更多省市采纳广州式单资质加分包口径，将直接改写设计院与施工企业各自的联盟策略。</w:t>
      </w:r>
    </w:p>
    <w:p>
      <w:pPr>
        <w:pStyle w:val="Heading3"/>
      </w:pPr>
      <w:r>
        <w:t>证据未覆盖处（盲区）</w:t>
      </w:r>
    </w:p>
    <w:p>
      <w:r>
        <w:rPr>
          <w:rFonts w:ascii="Calibri" w:hAnsi="Calibri" w:eastAsia="微软雅黑"/>
          <w:b w:val="0"/>
          <w:i w:val="0"/>
          <w:sz w:val="22"/>
        </w:rPr>
        <w:t>如实声明以下五处，本章证据未能覆盖。其一，93号文（建市〔2016〕93号）原文未入弹药库，其具体条款无法锚定，本章只能引用下游文件对其文号与依据地位的记载（P2017、P2021）。其二，《房屋建筑和市政基础设施项目工程总承包管理办法》全文未入库，可锚内容限于出台时间与联合发文机关（P2004）及第九条发包人要求的十一项内容（P2012），业界关注的双资质门槛、风险分担等条文细节未获证据。其三，电力、化工等工业建设行业的部门规范性文件缺位，行业覆盖以公路、水利、房建市政、机场为主。其四，判例为关键词检索命中样本，非随机抽样，金额加总不构成行业总体估计。其五，政策执行效果（总承包模式渗透率、实施前后变更率变化等）无系统统计数据支撑，本章不作量化比较。</w:t>
      </w:r>
    </w:p>
    <w:p>
      <w:r>
        <w:rPr>
          <w:rFonts w:ascii="Calibri" w:hAnsi="Calibri" w:eastAsia="微软雅黑"/>
          <w:b w:val="0"/>
          <w:i w:val="0"/>
          <w:sz w:val="22"/>
        </w:rPr>
        <w:t>---</w:t>
      </w:r>
    </w:p>
    <w:p>
      <w:pPr>
        <w:pStyle w:val="Heading1"/>
      </w:pPr>
      <w:r>
        <w:t>第3章 利润流失底账：设计施工脱节的成本量化</w:t>
      </w:r>
    </w:p>
    <w:p>
      <w:pPr>
        <w:ind w:left="454"/>
      </w:pPr>
      <w:r>
        <w:rPr>
          <w:rFonts w:ascii="Calibri" w:hAnsi="Calibri" w:eastAsia="微软雅黑"/>
          <w:b w:val="0"/>
          <w:i w:val="0"/>
          <w:color w:val="666666"/>
          <w:sz w:val="22"/>
        </w:rPr>
        <w:t>设计管不了施工、施工不懂设计——这句行话到底值多少钱？本章把二十余份判决书与行业材料摊开成一本账：变更、停窝工、核减、压价、采购脱节、分包纠纷，六类流失通道逐笔标价，让管理层拿自己的项目对号入座。</w:t>
      </w:r>
    </w:p>
    <w:p>
      <w:r>
        <w:rPr>
          <w:rFonts w:ascii="Calibri" w:hAnsi="Calibri" w:eastAsia="微软雅黑"/>
          <w:b/>
          <w:i w:val="0"/>
          <w:sz w:val="22"/>
        </w:rPr>
        <w:t>adds：</w:t>
      </w:r>
      <w:r>
        <w:rPr>
          <w:rFonts w:ascii="Calibri" w:hAnsi="Calibri" w:eastAsia="微软雅黑"/>
          <w:b w:val="0"/>
          <w:i w:val="0"/>
          <w:sz w:val="22"/>
        </w:rPr>
        <w:t xml:space="preserve"> 读者读完本章多知道什么——把「脱节损失」从一句抱怨拆成六个可核算的科目，并拿到变更率、核减率、工期违约金三把换算尺，在下一个项目启动前就能估出自己项目的风险敞口。</w:t>
      </w:r>
    </w:p>
    <w:p>
      <w:pPr>
        <w:pStyle w:val="Heading2"/>
      </w:pPr>
      <w:r>
        <w:t>3.1 先立坐标：四个参照数框住损失量级</w:t>
      </w:r>
    </w:p>
    <w:p>
      <w:r>
        <w:rPr>
          <w:rFonts w:ascii="Calibri" w:hAnsi="Calibri" w:eastAsia="微软雅黑"/>
          <w:b w:val="0"/>
          <w:i w:val="0"/>
          <w:sz w:val="22"/>
        </w:rPr>
        <w:t>量化之前先立参照系。本章证据库里有两类材料：一类是法院判决书，提供逐笔的、可复核的金额；另一类是行业实务文章与研究报告，提供量级坐标。两类材料的证据地位不同，用法也不同——前者用于对号入座，后者用于框定数量级。本节先把四个坐标立起来。</w:t>
      </w:r>
    </w:p>
    <w:p>
      <w:pPr>
        <w:pStyle w:val="Heading3"/>
      </w:pPr>
      <w:r>
        <w:t>3.1.1 第一个坐标：设计阶段锁死约85%的全生命周期成本</w:t>
      </w:r>
    </w:p>
    <w:p>
      <w:r>
        <w:rPr>
          <w:rFonts w:ascii="Calibri" w:hAnsi="Calibri" w:eastAsia="微软雅黑"/>
          <w:b w:val="0"/>
          <w:i w:val="0"/>
          <w:sz w:val="22"/>
        </w:rPr>
        <w:t>[事实] 行业实务材料给出的第一个坐标是：设计阶段决定了约85%的项目全生命周期成本，而施工阶段能影响的不到15%（P3001）。这个判断出自一篇剖析天府永兴实验室园区EPC项目的实务文章——该项目总投资10亿元，作者的警告是：若决策失误，项目可能亏掉2000万（P3001）。10亿元的盘子、2000万的潜在亏损，单项目潜在亏损幅度相当于总投资的两成（own_calc：2000万÷10亿=2%），这就是「设计施工脱节」四个字在一个真实科技基础设施项目上的报价（P3001）。</w:t>
      </w:r>
    </w:p>
    <w:p>
      <w:r>
        <w:rPr>
          <w:rFonts w:ascii="Calibri" w:hAnsi="Calibri" w:eastAsia="微软雅黑"/>
          <w:b w:val="0"/>
          <w:i w:val="0"/>
          <w:sz w:val="22"/>
        </w:rPr>
        <w:t>这个85/15的分割如果成立，其管理含义相当锋利：图纸锁定之前，成本还有腾挪空间；图纸锁定之后，现场能做的只剩执行和买单。同一篇文章引述《建设工程项目管理规范》GB/T 50326-2017，把设计管理划分为六个阶段：方案设计—初步设计—施工图设计—施工阶段—竣工验收与竣工图—后评价（P3001）。[假设] 多数总包方的问题出在没把这条链当成一个闭环系统，而是切成六个互不说话的独立环节（P3001）。本章后续每一笔损失底账，几乎都能挂回这条六环节链条上的某个断点：变更挂初设深度，停窝工挂出图节奏，核减挂签证颗粒度，采购断层挂参数前置。有研究把设计院的处境描述为从DBB模式的撕裂走向后向一体化EPC，正是对这条链断裂代价的商业模式回应（P3003）。这条85/15的分割在后续章节会被反复引用，此处先把它的管理翻译写清楚：所谓设计阶段决定约85%，不是说设计费占85%，而是说设计文件所固化的技术选择——结构方案、设备选型、材料标准、系统划分——在其后进入采购与施工时，成本弹性已经收窄到15%以内（P3001）。因此，利润保卫战的主战场不在工地例会，而在图纸评审桌；这将是全书一以贯之的空间坐标。</w:t>
      </w:r>
    </w:p>
    <w:p>
      <w:pPr>
        <w:pStyle w:val="Heading3"/>
      </w:pPr>
      <w:r>
        <w:t>3.1.2 第二个坐标：1%的变更，15%-20%的利润率</w:t>
      </w:r>
    </w:p>
    <w:p>
      <w:r>
        <w:rPr>
          <w:rFonts w:ascii="Calibri" w:hAnsi="Calibri" w:eastAsia="微软雅黑"/>
          <w:b w:val="0"/>
          <w:i w:val="0"/>
          <w:sz w:val="22"/>
        </w:rPr>
        <w:t>[事实] 第二个坐标来自另一份行业材料：在传统设计主导模式下，设计变更往往发生在施工后期，平均每增加1%的设计变更，项目利润率下降约15%-20%（P3000）。请读者注意这个数字的口径——它说的不是造价增加多少，而是利润率被侵蚀多少。工程总承包项目的利润率本就常在个位数到百分之十几的区间徘徊，[假设] 若这条弹性关系在中位数项目上成立，那么几个百分点的变更率就足以把一个盈利项目拖入亏损区，「控制变更率」在财务上的权重就应当压过「压低采购单价」。但必须如实说明：本章证据无法验证这条弹性在全体项目上的分布，它来自二手行业材料的转述（P3000），其原始测算过程不在证据库内，这一点将在盲区节交代。</w:t>
      </w:r>
    </w:p>
    <w:p>
      <w:pPr>
        <w:pStyle w:val="Heading3"/>
      </w:pPr>
      <w:r>
        <w:t>3.1.3 第三个坐标：8%-12%的工期超限与5%-10%的违约窝工</w:t>
      </w:r>
    </w:p>
    <w:p>
      <w:r>
        <w:rPr>
          <w:rFonts w:ascii="Calibri" w:hAnsi="Calibri" w:eastAsia="微软雅黑"/>
          <w:b w:val="0"/>
          <w:i w:val="0"/>
          <w:sz w:val="22"/>
        </w:rPr>
        <w:t>[事实] 第三个坐标同样出自该材料：EPC项目因管理脱节产生的工期延误，平均超过合同约定工期的8%-12%，由此产生的违约金及窝工成本往往高达项目总价的5%-10%（P3000）。同一份材料还划出了断层出现的规模门槛：当项目规模超过5000万元、涉及市政道路、桥梁等复杂系统时，单纯依靠设计院的技术优势已无法覆盖采购与施工环节的协同成本，出现「设计管不了施工，施工不懂设计」的断层现象（P3000）。三个数字连起来读：5000万元以上的复杂项目、8%-12%的工期超限、5%-10%的违约金与窝工成本——这就是管理层在做「要不要真一体化」决策时面对的基准敞口（P3000）。对以设计院为母体的总承包商而言，这组坐标的分量尤其重：断层恰恰被描述在「从设计向工程总承包转型」的过渡场景里（P3000）。把它翻译到年度经营场景：以一家年承接十个项目、平均合同额1亿元的总包商为例（示例输入），若有五个项目踩中工期超限带并按5%-10%计违约窝工（P3000），仅此一项的年度敞口就在own_calc：5×1亿×5%=2500万元至own_calc：5×1亿×10%=5000万元之间——这个粗算不预测任何单一项目，只回答一个问题：这条科目值不值得进年度经营会的第一页。</w:t>
      </w:r>
    </w:p>
    <w:p>
      <w:pPr>
        <w:pStyle w:val="Heading3"/>
      </w:pPr>
      <w:r>
        <w:t>3.1.4 第四个坐标：40%～60%的采购盘子</w:t>
      </w:r>
    </w:p>
    <w:p>
      <w:r>
        <w:rPr>
          <w:rFonts w:ascii="Calibri" w:hAnsi="Calibri" w:eastAsia="微软雅黑"/>
          <w:b w:val="0"/>
          <w:i w:val="0"/>
          <w:sz w:val="22"/>
        </w:rPr>
        <w:t>[事实] 第四个坐标来自国际工程实务材料：工业类EPC总承包项目，采购额占合同额的比例高达40%～60%，待购设备和材料的种类极多、涉及面广、工作量大，采购执行的好坏对整个工程项目的进度、质量和费用都将产生直接影响（P3026）。采购盘子占四到六成，意味着设计参数与采购清单之间的任何一道缝隙，都会被这个占比放大成千万级的金额。同一材料还点破了源头：在投标报价阶段，由于受时间和经验的限制，容易对项目潜在的风险预估不足，在招标文件的解读、概算询价或估价以及最终的价格汇总过程中存在遗漏或理解上的偏差，使项目采购成本无法覆盖实际的工作范围和潜在风险（P3026）。设计院背景的总包方对此应格外警觉：报价阶段的概算漏项，等于在开工之前就把未来的变更单预定了。</w:t>
      </w:r>
    </w:p>
    <w:p>
      <w:pPr>
        <w:pStyle w:val="Heading3"/>
      </w:pPr>
      <w:r>
        <w:t>3.1.5 坐标的使用说明</w:t>
      </w:r>
    </w:p>
    <w:p>
      <w:r>
        <w:rPr>
          <w:rFonts w:ascii="Calibri" w:hAnsi="Calibri" w:eastAsia="微软雅黑"/>
          <w:b w:val="0"/>
          <w:i w:val="0"/>
          <w:sz w:val="22"/>
        </w:rPr>
        <w:t>这四个坐标——85/15的成本分割、1%变更对15%-20%利润率的弹性、8%-12%工期超限与5%-10%违约窝工、40%～60%采购占比——来自三份彼此独立的行业材料，口径各异（P3000、P3001、P3026）。[假设] 本章把它们当作「量级坐标」而非统计均值使用：判决书样本与实务文章都无法代表所有项目的损失分布，打官司的项目天然是谈崩的那一部分。坐标的可靠用法，是拿它们与自己项目的合同额、变更台账做交叉比对，而不是直接抄进董事会汇报。真正可复核的数字在下一节——六个流失通道的逐笔底账。</w:t>
      </w:r>
    </w:p>
    <w:p>
      <w:r>
        <w:rPr>
          <w:rFonts w:ascii="Calibri" w:hAnsi="Calibri" w:eastAsia="微软雅黑"/>
          <w:b w:val="0"/>
          <w:i w:val="0"/>
          <w:sz w:val="22"/>
        </w:rPr>
        <w:t>还有一层阅读纪律需要预先约定：判决书里的金额有三种身份——当事人主张的金额、鉴定机构测算的金额、法院最终认定的金额，三者的可信度依次递增，但证据库收录的文书多为节选，多数金额无法逐笔核对到终审判赔。[事实] 一个典型对照是桐梓案：承包人主张的拖欠工程款为131845782元，但其中「证据无发包方签字部分」与「合同条件不足调整部分」两类鉴定金额的支持与否，直到二审仍在争夺（P3004）。因此本章底账的口径统一为「判决书载明金额」，读者引用时应自行区分主张与认定；3.5.3节的盲区声明会再次提醒这一折扣的存在。同样需要约定的是归因纪律：一份判决书往往同时记载双方互诉的请求与理由，本章按「与设计施工接口相关的争议」归类案例，归因是简化的，金额是逐字的。</w:t>
      </w:r>
    </w:p>
    <w:p>
      <w:r>
        <w:rPr>
          <w:rFonts w:ascii="Calibri" w:hAnsi="Calibri" w:eastAsia="微软雅黑"/>
          <w:b w:val="0"/>
          <w:i w:val="0"/>
          <w:sz w:val="22"/>
        </w:rPr>
        <w:t>把底账放在修复之前，是本书叙事线的刻意安排。「无法测量就无法管理」是管理学常谈，但在工程总承包的语境里，这句话要改写为「无法对账就无法索赔，无法索赔就无法止损」。第一、二章已经交代两张皮的组织成因与合同成因；本章先给损失标价，是因为任何修复方案的投入产出比都需要一个分母——不知道漏多少，就无法判断该花多少去堵。后续章节将逐一给出各通道的堵法，而每一条堵法的验收标准，都写在本章的数字里。</w:t>
      </w:r>
    </w:p>
    <w:p>
      <w:pPr>
        <w:pStyle w:val="Heading2"/>
      </w:pPr>
      <w:r>
        <w:t>3.2 六个流失通道的逐笔底账</w:t>
      </w:r>
    </w:p>
    <w:p>
      <w:r>
        <w:rPr>
          <w:rFonts w:ascii="Calibri" w:hAnsi="Calibri" w:eastAsia="微软雅黑"/>
          <w:b w:val="0"/>
          <w:i w:val="0"/>
          <w:sz w:val="22"/>
        </w:rPr>
        <w:t>坐标给量级，底账给明细。本节把证据库里的判决书与案例按流失通道归成六类：变更与图纸滞后、停窝工与工期连锁、结算核减与签证不规范、设计参数与采购断层、报价压低与合同效力、分包与劳务层沉淀。每一类先给判决书载明的原始数字，再做必要换算；所有换算均标注own_calc并给出算式，读者可逐一复核。需要预先声明：判决书记录的金额多是当事人的主张或法院的认定，两种口径在文中会如实区分。</w:t>
      </w:r>
    </w:p>
    <w:p>
      <w:pPr>
        <w:pStyle w:val="Heading3"/>
      </w:pPr>
      <w:r>
        <w:t>3.2.1 通道一：变更与图纸滞后——造价增量的第一科目</w:t>
      </w:r>
    </w:p>
    <w:p>
      <w:r>
        <w:rPr>
          <w:rFonts w:ascii="Calibri" w:hAnsi="Calibri" w:eastAsia="微软雅黑"/>
          <w:b w:val="0"/>
          <w:i w:val="0"/>
          <w:sz w:val="22"/>
        </w:rPr>
        <w:t>宁夏鑫田案给出了变更率的一个高端样本。[事实] 海原县新合作日用百货配送中心及超市工程，2010年7月以12933521.89元的价格中标，合同工期121天；原告的诉求结构是：下欠工程款（合同价）1333521.89元及未按期付款违约金730103.24元，另有变更增加的工程款7205791元及延期付款利息2678392.52元（P3024）。[估计] 变更增加的工程款与中标价之比，own_calc：7205791÷12933521.89≈55.7%——合同价一千二百余万的项目，变更诉求七百二十万，变更金额超过原合同价的一半（P3024）。这类数字在任何一家施工企业的商务部台账里都不陌生：中标价先压低，变更再找回来；而设计图纸深度不足与出图滞后，正是变更单源源不断的上游。</w:t>
      </w:r>
    </w:p>
    <w:p>
      <w:r>
        <w:rPr>
          <w:rFonts w:ascii="Calibri" w:hAnsi="Calibri" w:eastAsia="微软雅黑"/>
          <w:b w:val="0"/>
          <w:i w:val="0"/>
          <w:sz w:val="22"/>
        </w:rPr>
        <w:t>武汉四建案展示了规划层面的变更如何打穿固定总价。[事实] 嘉锦苑项目1#、2#住宅楼及商业楼（3#楼）工程，1#、2#楼采用合同固定总价，工程价款为3350.2089万元；开工后业主临时决定对3#楼进行建设规划调整，将原设计的地下2层、地上1层（25米高）调整为地下2层、地上5层，需要重新设计并重新申报建设工程规划许可；由于手续迟迟未办妥，3#楼迟迟不能开工，最终按定额据实结算，结算价款为4471.1532万元；原告另完成合同外工程项目597.6953万元、开闭所工程37.3081万元、配合费10万元，应结工程款总额8466.3655万元（P3025）。[估计] 仅合同外工程与1#、2#楼固定总价之比，own_calc：597.6953÷3350.2089≈17.8%（P3025）。一个「地上加四层」的规划动作，把一栋楼从固定总价拖回据实结算，还把竣工验收拖到2013年1月11日才完成（P3025）。对业主方，这是投资控制的失守；对承包方，这是索赔机会与资金占用的双重考验——但无论哪一方，为脱节买单的是同一个项目。</w:t>
      </w:r>
    </w:p>
    <w:p>
      <w:r>
        <w:rPr>
          <w:rFonts w:ascii="Calibri" w:hAnsi="Calibri" w:eastAsia="微软雅黑"/>
          <w:b w:val="0"/>
          <w:i w:val="0"/>
          <w:sz w:val="22"/>
        </w:rPr>
        <w:t>图纸供给节奏的争议，在四川电力设计咨询案里一路走到再审。[事实] 总价包干合同项下，再审申请人主张招标时自己已提供基础施工图即路径图，而原审认定的事实是「在工程招标时，四川电力公司并未提供施工图，是在施工过程中边施工边提供施工详图」；另有一笔二次复测费用78066元的归属之争（P3013）。[事实] 该案的程序争点同样值得记录：申请人援引最高人民法院《关于审理建设工程施工合同纠纷案件适用法律问题的解释》第22条——当事人约定按照固定价结算工程价款，一方当事人请求对建设工程造价进行鉴定的，不予支持——主张合同总价包干范围内的工程量根本无需鉴定（P3013）。固定总价、边施工边出图、鉴定与否三个要素凑齐，就是设计施工脱节在法庭上的标准形态：合同说价格不变，图纸却在流动，流动的部分谁来买单，双方各执一词（P3013）。</w:t>
      </w:r>
    </w:p>
    <w:p>
      <w:r>
        <w:rPr>
          <w:rFonts w:ascii="Calibri" w:hAnsi="Calibri" w:eastAsia="微软雅黑"/>
          <w:b w:val="0"/>
          <w:i w:val="0"/>
          <w:sz w:val="22"/>
        </w:rPr>
        <w:t>杭州滨江的安装分包案给出了签证管理的正面样本。[事实] 临江花园明珠苑工程的水电安装分包协议约定，设计变更及新增项目的变更调整按实调整，工程变更单价按招标文件及总包合同调整；施工过程中存在设计变更和新增项目，双方通过「施工联系单」形式签证确认（P3032）。付款节奏同样成文：每月以甲方及监理认可的工程量的50％支付，主体结顶后支付合同暂定价的50％，竣工验收后支付合同暂定价之90％，工程结算审计完成后累计支付至结算总价及工程增加量总价之95％，提交决算书之日起60天内审计完成（P3032）。对照之下，本章证据库里多起纠纷的根源，恰恰是缺了这样一套联系单与节奏化付款的成文安排（P3032）。[建议] 设计院牵头总包的项目可直接抄这份作业：把「变更按实调整」落到「联系单即签证、签证即计量、计量即付款」的闭环上；验证条件是变更单从发生到签证确认的平均周期缩短，停止条件是联系单流程的审批成本超过其挽回的结算争议金额。</w:t>
      </w:r>
    </w:p>
    <w:p>
      <w:r>
        <w:rPr>
          <w:rFonts w:ascii="Calibri" w:hAnsi="Calibri" w:eastAsia="微软雅黑"/>
          <w:b w:val="0"/>
          <w:i w:val="0"/>
          <w:sz w:val="22"/>
        </w:rPr>
        <w:t>设计图提交延误与设计变更的返工停工，在东泰华美案里被直接认定为工期延误的相关因素。[事实] 该装饰装修工程案中，上诉人主张案涉工程工期延误463天，并称已举示证据证明对方原因的相关因素，包括设计图提交延误、设计变更引发的返工停工等；上诉人还主张案涉工程的实际工期是合同约定工期的3倍（P3018）。[事实] 双方与案外人于2015年8月18日达成的会议纪要、2014年9月30日会议纪要的采信之争，成为二审攻防的重点（P3018）。463天、3倍工期——设计端的迟滞透过「工期」这个中转站，最终变成按天计价的违约金与索赔（P3018）。这正是85/15坐标的司法注脚：设计阶段欠下的时间债，施工阶段连本带息偿还（P3001、P3018）。</w:t>
      </w:r>
    </w:p>
    <w:p>
      <w:r>
        <w:rPr>
          <w:rFonts w:ascii="Calibri" w:hAnsi="Calibri" w:eastAsia="微软雅黑"/>
          <w:b w:val="0"/>
          <w:i w:val="0"/>
          <w:sz w:val="22"/>
        </w:rPr>
        <w:t>把通道一的五份材料叠起来看，变更的成因呈现出清晰的三级阶梯：第一级是外部规划变动——武汉四建案的「地上加四层」属于业主侧的决策反复，承包方只能承接；第二级是设计供给不足——四川电力案的边施工边出图、东泰华美案的设计图提交延误，都出在总包方自己的链条上；第三级是签证与计量的闭环缺失——宁夏鑫田案呈现的变更诉求结构、滨江案示范的联系单对照，讲的是同一件事的两种命运。[建议] 管理动作应当对准第二级与第三级：第一级不可控，但初设深度与联系单纪律完全可控。设计院出身的总包方尤其需要补第三级的课——设计变更在图纸世界里是技术事件，在合同世界里是商务事件；两个世界若不共用一套编号、一套流程、一套归档，变更就会在缝隙里沉淀为结算时的争议存量，而沉淀的每一笔都出自未来的利润。</w:t>
      </w:r>
    </w:p>
    <w:p>
      <w:pPr>
        <w:pStyle w:val="Heading3"/>
      </w:pPr>
      <w:r>
        <w:t>3.2.2 通道二：停窝工与工期连锁——损失的时间化</w:t>
      </w:r>
    </w:p>
    <w:p>
      <w:r>
        <w:rPr>
          <w:rFonts w:ascii="Calibri" w:hAnsi="Calibri" w:eastAsia="微软雅黑"/>
          <w:b w:val="0"/>
          <w:i w:val="0"/>
          <w:sz w:val="22"/>
        </w:rPr>
        <w:t>中南电力设计院案给出了一份停窝工的「成文报价」。[事实] 金桂浆纸业动力电厂1、2号机组EPC项目，合同总价92000万元，其中设备采购合同价格60500万元、服务合同价格4665万元、土建安装合同价格26835万元；履约中承包范围与价格多次调整：服务费用调整为5374.498万元（含1号机组延期补偿款709.498万元）、设备采购费用调整为64343万元、土建费用调整为7770.502万元、安装费用调整为13135.4046万元，调整后合同总价90623.4046万元；另有因业主原因的变更增加工程费用1288.8979万元，合计应付91912.3025万元，已付84233.2264万元，余7679.0761万元未付，另有逾期付款利息533.16万元的主张；此外2号机组停工窝工18个月，承包商主张损失2090.072万元（P3015）。[估计] 18个月、2090.072万元，own_calc折算每月约116.1万元（2090.072÷18）——这是一家电力设计院作为总包方在大型EPC项目上为停窝工标出的月度单价（P3015）。同一个案子里还埋着另一个教训：1号机组的延期补偿款709.498万元通过补充协议落进了合同，2号机组的2090.072万元却要靠诉讼主张——谈成的补偿是工程款，谈崩的补偿是诉讼请求，两者的财务待遇完全不同（P3015）。</w:t>
      </w:r>
    </w:p>
    <w:p>
      <w:r>
        <w:rPr>
          <w:rFonts w:ascii="Calibri" w:hAnsi="Calibri" w:eastAsia="微软雅黑"/>
          <w:b w:val="0"/>
          <w:i w:val="0"/>
          <w:sz w:val="22"/>
        </w:rPr>
        <w:t>修水案则是设计滞后一路走到合同解除的完整标本。[事实] 东津水库至竹坪河水系连通EPC项目，联合体中标，合同工期自2016年11月16日至2019年5月15日共30个月，一期计划实施约9500万元；业主主张开工后设计进度严重滞后、关键岗位人员一直未能按投标文件承诺到岗到位、大型设备未能如期进场、工期延误严重，经一再催告未纠正，于2017年9月26日发出解除通知，随后提出返还工程预付款1400万元、赔偿损失5029.3万元，两项共计6429.3万元，并要求在1000万元限额内承担第三者责任险赔付责任（P3022）。[事实] 值得注意的是人员指控的具体性：项目经理、勘察设计负责人、施工负责人、施工技术负责人均被点名（P3022）。设计院牵头做EPC，投标文件里承诺的到岗人员就是第一道履约承诺；人员不到位，业主的索赔报告立刻就跟上来（P3022）。[估计] 6429.3万元的索赔对应约9500万元的一期计划投资，own_calc：6429.3÷9500≈67.7%——解除加索赔的组合拳，打的已经不是一个利润率，而是大半个项目本金（P3022）。</w:t>
      </w:r>
    </w:p>
    <w:p>
      <w:r>
        <w:rPr>
          <w:rFonts w:ascii="Calibri" w:hAnsi="Calibri" w:eastAsia="微软雅黑"/>
          <w:b w:val="0"/>
          <w:i w:val="0"/>
          <w:sz w:val="22"/>
        </w:rPr>
        <w:t>荣耀诉华荣案展示了工期违约金条款的完整清单。[事实] 琥珀美墅工程总承包合同约定278个日历天完成全部工程，图纸范围内合同暂定总价款3000万元，工期违约金标准为「合同总价×（日）万分之五×拖延天数」；业主方的违约金与索赔诉求包括：延误工期的材料和人工费用上涨损失3143395.84元（按施工期间计算造价39879575.49元与按合同工期计算36736179.65元之差）、逾期竣工违约金5101490.1元、未完成3#楼销售包装配合违约金34万元、未按约定时间达到二层结构砼浇筑违约金354万元、外架拆除及屋面迟延违约金118万元、未按时提交竣工验收备案资料按每天1000元计违约金1984万元、已赔偿业主损失578376元及正在诉讼的404022.86元、实际发生维修费530377元、整改费用7603638.7元（P3028）。[估计] 仅五项工期类违约金合计，own_calc：5101490.1+340000+3540000+1180000+19840000=30001490.1元——三千万出头，与合同暂定总价3000万元相当（P3028）。[估计] 按日万分之五的标准反推，own_calc：30000000×0.0005=15000元/天，5101490.1元逾期竣工违约金对应约340天（5101490.1÷15000）（P3028）。一份合同价量级的违约金清单，这就是工期连锁的算术；而3143395.84元的材料人工上涨损失，还揭示了连锁的第二环——工期拖长，价格风险从合同价里溢出，落到索赔方自己头上（P3028）。</w:t>
      </w:r>
    </w:p>
    <w:p>
      <w:r>
        <w:rPr>
          <w:rFonts w:ascii="Calibri" w:hAnsi="Calibri" w:eastAsia="微软雅黑"/>
          <w:b w:val="0"/>
          <w:i w:val="0"/>
          <w:sz w:val="22"/>
        </w:rPr>
        <w:t>桐梓案从反面提醒：窝工事实存在，不等于窝工损失能获支持。[事实] 在（2019）最高法民终1356号案中，被上诉人抗辩称，逾期移交施工平台的事实确实存在，但承包人仅提出窝工事实，未按合同约定的方式向业主、监理单位报送损失金额、停工时长、停工原因的报告；鉴定机构作出的「合同条件不足调整部分」推算金额，被认为缺乏事实根据（P3004）。该案承包人上诉主张拖欠工程款131845782元，其投标总价为521965260元，EPC总承包合同约定的工程价款为460436515元（P3004）。[估计] own_calc：521965260−460436515=61528745元——投标价与合同价之间六千余万元的落差，正是该案合同效力之争的引信（P3004）。工期与窝工的教训在这里分成两层：事实层（平台确实晚交了）与证据层（没按合同方式报损失），后者直接吞掉了前者的赔偿资格（P3004）。对总包方的动作含义很具体：损失报告的报送方式、抄送对象、时间节点，要当作与施工方案同等级别的合同义务来管理。</w:t>
      </w:r>
    </w:p>
    <w:p>
      <w:r>
        <w:rPr>
          <w:rFonts w:ascii="Calibri" w:hAnsi="Calibri" w:eastAsia="微软雅黑"/>
          <w:b w:val="0"/>
          <w:i w:val="0"/>
          <w:sz w:val="22"/>
        </w:rPr>
        <w:t>进度款拖延的利息与违约金同样记入底账。[事实] 重庆一品案中，施工方主张以8576021.90元为基数、按年利率24%自2015年10月19日起算的逾期付款违约金，另有2013年10月19日至2014年8月25日期间工程进度款违约金3883273元、到期质保金2095908.72元、钢筋材料费价差补贴471274元与基础损失索赔费1565809.08元共计2037083.08元（P3005）。[事实] 重庆建工案中，欠付工程款68136209.77元，按每日万分之三主张违约金，并就拖延支付进度款产生的利息、损失主张共计人民币二千六百七十九万余元（P3006）。[事实] 苏中建设案中，工程款诉求31378570元，利息4911862.33元、逾期付款违约金5116934.78元，合同约定的付款节奏为：开工进场后付总价10%、基础完成后20%、主体完成三层20%、主体完成10%、竣工验收合格后10%、竣工结算审核后25%、余款5%作保修金（P3012）。[估计] 三项合计，own_calc：31378570+4911862.33+5116934.78=41407367.11元（P3012）。资金占用的代价与工期违约的代价，在底账上是同一枚硬币的两面：业主拖进度款，承包商就拖工期，违约金与利息各自滚动（P3005、P3006、P3012）。</w:t>
      </w:r>
    </w:p>
    <w:p>
      <w:r>
        <w:rPr>
          <w:rFonts w:ascii="Calibri" w:hAnsi="Calibri" w:eastAsia="微软雅黑"/>
          <w:b w:val="0"/>
          <w:i w:val="0"/>
          <w:sz w:val="22"/>
        </w:rPr>
        <w:t>通道二的底账里藏着一条时间链条：设计端的迟滞先转化为工期，工期再转化为违约金，违约金最后转化为利息与诉讼费。每一环转化都有费率——日万分之五（P3028）、年利率24%（P3005）、每日万分之三（P3006）——而费率是签约时可以谈的。[建议] 谈判要点有三：其一，把违约金封顶条款写进合同，不少判决书里的违约金诉求之所以触目，正因为合同没有上限约定；其二，把停窝工的报告义务写成双向的——业主拖进度款时，承包商的停工权与报损程序同样要有成文路径，桐梓案的教训正是只有事实、没有程序（P3004）；其三，把「设计图提交延误」列为可顺延工期的明示事项，让设计端的时间责任在合同层面显名，而不是等到诉讼时再靠会议纪要举证（P3018）。这三条都不改变技术方案，只改变损失发生时的账单走向。</w:t>
      </w:r>
    </w:p>
    <w:p>
      <w:r>
        <w:rPr>
          <w:rFonts w:ascii="Calibri" w:hAnsi="Calibri" w:eastAsia="微软雅黑"/>
          <w:b w:val="0"/>
          <w:i w:val="0"/>
          <w:sz w:val="22"/>
        </w:rPr>
        <w:t>还有一层结构性观察：停窝工损失在判决书里的身份很微妙——它既是承包商的索赔科目，也是业主的反索赔科目。中南院案里，承包商向业主主张18个月的停窝工损失2090.072万元（P3015）；修水案里，业主向承包商主张设计滞后下的解除与赔偿6429.3万元（P3022）；桐梓案里，承包商的窝工主张因程序瑕疵折戟（P3004）。同一个科目，三个方向，共同的只有一点：胜败都取决于过程记录，而不是口头的谁对谁错。把「记录」当作与「施工」同等重要的交付物，是本通道底账最朴素也最贵的结论。</w:t>
      </w:r>
    </w:p>
    <w:p>
      <w:pPr>
        <w:pStyle w:val="Heading3"/>
      </w:pPr>
      <w:r>
        <w:t>3.2.3 通道三：结算核减与签证不规范——利润的最后一道闸</w:t>
      </w:r>
    </w:p>
    <w:p>
      <w:r>
        <w:rPr>
          <w:rFonts w:ascii="Calibri" w:hAnsi="Calibri" w:eastAsia="微软雅黑"/>
          <w:b w:val="0"/>
          <w:i w:val="0"/>
          <w:sz w:val="22"/>
        </w:rPr>
        <w:t>中桥恒通的咨询案例给了结算核减一张具象的面孔。[事实] 某地产项目竣工验收后一个月，第三方审核机构出具结算审核报告：报送金额1.2亿元，审定金额1.12亿元，核减额近800万；核减的构成包括工程量重复计算、定额子目高套、签证单签字不全、材料价格明显偏离市场价（P3009）。[估计] 核减额与报送金额之比，own_calc：8000000÷120000000≈6.7%（P3009）。该机构梳理的结算核减五大高发区，值得整段抄录在此：一是工程量虚报与重复计算——同一构件在不同构件清单中重复列项、设计变更后未扣减原图纸工程量、施工损耗率超规范计取；二是定额高套与组价失真——把普通混凝土构件套成高强混凝土定额、把人工开挖套成机械开挖、把一般装饰工程套成高级装饰子目；三是材料价格偏离市场真实水平——以「特殊品牌」为由申报远高于信息价的单价，却缺乏真实有效的采购合同或发票支撑；四是签证与变更不规范——签字手续不全、签证内容描述含糊、事后补签无原始记录、变更工程量未经验收确认；五是取费标准争议——类别归属错误、规费计取基数偏差、税金税率适用不当（P3009）。[事实] 该文引述的行业判断是：「合同纠纷的本质，80%是造价争议；造价争议的背后，90%是合同漏洞」，而签证不规范正是那个最大的合同漏洞（P3009）。请注意第一高发区里「设计变更后未扣减原图纸工程量」这一条——变更管理不善在结算端的表现，恰是旧量未除、新量又加（P3009）。</w:t>
      </w:r>
    </w:p>
    <w:p>
      <w:r>
        <w:rPr>
          <w:rFonts w:ascii="Calibri" w:hAnsi="Calibri" w:eastAsia="微软雅黑"/>
          <w:b w:val="0"/>
          <w:i w:val="0"/>
          <w:sz w:val="22"/>
        </w:rPr>
        <w:t>司法审计的核减力度有时更大。[事实] 常熟某酒店工程案中，原海兰酒店一、二期土建、安装送审造价共计30636998.18元，审计初审报告核减造价共计3591240.95元，此前已支付的工程款为17285000元（P3008）。[估计] 核减率own_calc：3591240.95÷30636998.18≈11.7%——接近送审金额的一成二（P3008）。劳务分包层面同样有超付追讨的样本。[事实] 西南政法大学渝北校区第三教学楼、综合试验楼改扩建工程的劳务分包，结算金额为人民币13159890.17元，扣除5%质保金后应付款项为12501895.66元，而总包方已支付14778673.28元，主张超付工程款3153559.93元，另主张质量问题损失60万元、代缴税金276，782.31元（P3016）。[事实] 该案中鉴定人万隆建设工程咨询集团有限公司指派的鉴定人员到庭参加诉讼——劳务结算最终也要靠司法鉴定收场（P3016）。</w:t>
      </w:r>
    </w:p>
    <w:p>
      <w:r>
        <w:rPr>
          <w:rFonts w:ascii="Calibri" w:hAnsi="Calibri" w:eastAsia="微软雅黑"/>
          <w:b w:val="0"/>
          <w:i w:val="0"/>
          <w:sz w:val="22"/>
        </w:rPr>
        <w:t>把这三笔并排看：6.7%的咨询核减、11.7%的司法审计核减、劳务层超付3153559.93元。[假设] 结算阶段不是利润的创造环节，而是利润的确认环节；确认环节每让出一分，前面上百个日夜的现场管理就白费一分。[事实] 而在EPC实务文章的提醒里，一个签证漏签的代价不是返工，是整笔工程款的可回收性（P3001）。签证管理的颗粒度，决定了结算桌上还有多少牌可打（P3001、P3009）。对从设计院转型而来的总包方，这里有一个组织惯性上的暗坑：设计院的交付物是图纸，图纸有校审制度；总包的交付物还包括签证与函件，而多数设计院并没有为这类「商务交付物」建立同等级别的校审流程。</w:t>
      </w:r>
    </w:p>
    <w:p>
      <w:r>
        <w:rPr>
          <w:rFonts w:ascii="Calibri" w:hAnsi="Calibri" w:eastAsia="微软雅黑"/>
          <w:b w:val="0"/>
          <w:i w:val="0"/>
          <w:sz w:val="22"/>
        </w:rPr>
        <w:t>通道三对设计院领导层还有一个组织层面的提示：核减的五大高发区里，至少两条——设计变更后未扣减原图纸工程量、变更工程量未经验收确认——源自设计变更管理的颗粒度，而非造价人员的专业能力（P3009）。多数设计院为图纸设置了校审制度，图纸出错有校核、审核、审定三道关；却极少为「变更通知单—旧图作废—新量确认」这条商务链设置同等强度的关卡。施工企业在长期博弈中长出了这类肌肉，设计院却常常以为出了图就交付完毕。[假设] 设计院转型总包后的第一波利润流失，多半就发生在这条没有校审的商务链上——它不显眼，因为它不产生图纸；它很贵，因为它的每一单都直通结算。把图纸校审的制度惯性移植到签证校审上，是成本近乎为零的组织动作。</w:t>
      </w:r>
    </w:p>
    <w:p>
      <w:pPr>
        <w:pStyle w:val="Heading3"/>
      </w:pPr>
      <w:r>
        <w:t>3.2.4 通道四：设计参数与采购的断层——被占比放大的缝隙</w:t>
      </w:r>
    </w:p>
    <w:p>
      <w:r>
        <w:rPr>
          <w:rFonts w:ascii="Calibri" w:hAnsi="Calibri" w:eastAsia="微软雅黑"/>
          <w:b w:val="0"/>
          <w:i w:val="0"/>
          <w:sz w:val="22"/>
        </w:rPr>
        <w:t>回到天府永兴实验室的案例，看一道最典型的缝隙。[事实] 实验室的恒温恒湿系统，设计院画图时只标了「±2℃」，到了采购阶段才发现设备供应商的交货周期是14个月，而总工期只剩下18个月（P3001）。一个温度精度参数背后，是十四个月的设备周期；留给采购、运输、安装、调试的窗口只剩四个月——这类冲突在文章作者笔下「掐着你的喉咙」（P3001）。[事实] 该文把成因归结为一条锁链：设计院初设深度不够、拿到设备参数的时间滞后；招标时设备技术规格书不完整，投标人钻空子；中标设备与设计参数不匹配，施工图被迫修改；修改施工图挤压采购周期，设备到场跟不上安装节点；赶工埋下质量隐患，实验室验收不过；变更签证资料不全，结算时扯皮（P3001）。六个环节环环相扣，每一环断裂的代价都是真金白银（P3001）。这条锁链值得逐环节贴在项目部的墙上——它就是本章底账六个科目的总纲。</w:t>
      </w:r>
    </w:p>
    <w:p>
      <w:r>
        <w:rPr>
          <w:rFonts w:ascii="Calibri" w:hAnsi="Calibri" w:eastAsia="微软雅黑"/>
          <w:b w:val="0"/>
          <w:i w:val="0"/>
          <w:sz w:val="22"/>
        </w:rPr>
        <w:t>报批手续是同一通道里容易被忽视的暗礁。[事实] 该文同时警告「先施工后补手续」是审计红线：一个实验室园区的初设批复前，甲方要办的手续超过20项，少一项就批不了——施工许可证、消防设计审查、人防、环评、能评、水保、规划许可，每一项都有法定时限（P3001）。设计参数决定买什么，报批手续决定能不能开工，两者共同构成采购计划的输入端；输入端若有变数，采购计划就是空中楼阁（P3001）。</w:t>
      </w:r>
    </w:p>
    <w:p>
      <w:r>
        <w:rPr>
          <w:rFonts w:ascii="Calibri" w:hAnsi="Calibri" w:eastAsia="微软雅黑"/>
          <w:b w:val="0"/>
          <w:i w:val="0"/>
          <w:sz w:val="22"/>
        </w:rPr>
        <w:t>国际工程的材料把这条通道的制度背景讲得更透。[事实] 采购风险管理应贯穿项目整个生命周期，涵盖投标报价阶段和执行阶段；执行阶段的采购风险清单包括计划编制不当风险、选商风险、催交风险、检验风险、物流运输风险、现场材料管理风险；项目所在地的政治、经济、自然环境都会对设备与材料价格产生重要影响，投标前应调研所在国环境、标准规范与进出口、税费、物流的法规要求（P3026）。在桐梓煤化工项目上，三大主机由业主负责采购，但相关设备材料的催交、催运直至运抵现场等工作都由承包人承担（P3004）。采购主体与催交责任的分离，正是总包方垫入管理成本却难以计价变现的典型缝隙：活是自己干的，账却记在别人的合同里（P3004）。</w:t>
      </w:r>
    </w:p>
    <w:p>
      <w:r>
        <w:rPr>
          <w:rFonts w:ascii="Calibri" w:hAnsi="Calibri" w:eastAsia="微软雅黑"/>
          <w:b w:val="0"/>
          <w:i w:val="0"/>
          <w:sz w:val="22"/>
        </w:rPr>
        <w:t>[建议] 对设计院背景的总包方，把「设备长周期参数表」作为初步设计的前置输入，是低成本高杠杆的一步：在初设评审门禁上增设「已识别交货周期占总工期比例超过三分之二的长周期设备清单」（以天府案的14个月对18个月为警戒样本，own_calc：14÷18≈77.8%），凡清单未闭合的项目不得进入施工图阶段（P3001、P3026）。验证条件：连续两个项目施工图阶段的设备参数变更次数下降；停止条件：清单维护工时成本超过其避免的变更损失。这一步的本质，是把40%～60%的采购盘子在设计阶段就钉牢参数（P3026）。</w:t>
      </w:r>
    </w:p>
    <w:p>
      <w:r>
        <w:rPr>
          <w:rFonts w:ascii="Calibri" w:hAnsi="Calibri" w:eastAsia="微软雅黑"/>
          <w:b w:val="0"/>
          <w:i w:val="0"/>
          <w:sz w:val="22"/>
        </w:rPr>
        <w:t>采购断层的底账还有一个容易被误读的地方：它看起来是采购部门的问题，实际上多是设计节奏问题。设备参数定不下来，是因为工艺方案还在摇摆；工艺方案摇摆，是因为前期策划阶段没有把业主需求冻结成清晰的「发包人要求」。[假设] 若把采购计划看作设计进度的下游函数，那么采购违约金的源头治理就在设计端——这也是本章把采购断层归入「设计施工脱节的成本」而非供应链管理的原因。对组织设计的含义同样直接：采购计划员应当坐在设计例会上，而不是等图纸归档后才收到一份交接清单；长周期设备的询价结论应当反写进施工图说明，而不是停留在采购部的文件夹里。</w:t>
      </w:r>
    </w:p>
    <w:p>
      <w:pPr>
        <w:pStyle w:val="Heading3"/>
      </w:pPr>
      <w:r>
        <w:t>3.2.5 通道五：报价压低与合同效力——中标那一刻埋下的损失</w:t>
      </w:r>
    </w:p>
    <w:p>
      <w:r>
        <w:rPr>
          <w:rFonts w:ascii="Calibri" w:hAnsi="Calibri" w:eastAsia="微软雅黑"/>
          <w:b w:val="0"/>
          <w:i w:val="0"/>
          <w:sz w:val="22"/>
        </w:rPr>
        <w:t>丽江五郎河案记录了三次连续压价的完整轨迹。[事实] 五郎河流域水井水电站EPC项目，开标之后、中标人落定之前，业主先后三次要求投标人降低报价：联营体第一次将投标报价从194351955元降至179173980元，第二次降至175318593元，第三次降至174318000元后才中标；履约争议发生后，联营体起诉主张欠付合同工程款38672952元、各项损失10610000元，利息暂计至2018年9月10日为7756075元（P3014）。[估计] 三次压价的累计幅度，own_calc：194351955−174318000=20033955元，占首次报价own_calc：20033955÷194351955≈10.3%（P3014）。[假设] 若中标前的报价是被压出来的而非算出来的，履约期的每一项索赔本质上都是在为报价阶段的让步找补——该案联营体同时主张招标程序违法、中标应被认定无效，正是这种结构性矛盾的诉讼表达（P3014）。索赔金额与压价金额的对比更耐人寻味：欠款与损失合计own_calc：38672952+10610000=49272952元，约为压价总额的2.5倍（own_calc：49272952÷20033955≈2.5）——中标时让出去的两千万，履约时要靠五千万的诉讼去找（P3014）。</w:t>
      </w:r>
    </w:p>
    <w:p>
      <w:r>
        <w:rPr>
          <w:rFonts w:ascii="Calibri" w:hAnsi="Calibri" w:eastAsia="微软雅黑"/>
          <w:b w:val="0"/>
          <w:i w:val="0"/>
          <w:sz w:val="22"/>
        </w:rPr>
        <w:t>小额合同同样存在「预算—合同价」的让价样本。[事实] 佛山某工厂工程中，车间1建筑面积11280㎡、预算单价364.53元／㎡、预算造价4111945.39元，最终合同价3800000元；车间2建筑面积3350㎡、预算单价1192.09元／㎡、预算造价3993494.48元，最终合同价3685000元；宿舍建筑面积8578㎡、预算单价788.88元／㎡、预算造价6767053.59元，最终合同价6500000元；工期约定为车间1、宿舍自桩基验收合格后200个日历天、车间2为140个日历天（P3007）。[估计] 三项预算造价合计own_calc：4111945.39+3993494.48+6767053.59=14872493.46元，三项最终合同价合计13985000元，让价own_calc：14872493.46−13985000=887493.46元，约占预算合计的6.0%（own_calc：887493.46÷14872493.46≈6.0%）（P3007）。从千万级的五郎河到百万级的工厂车间，报价让步的形态一致：先在合同价上让一步，再指望履约期找回来（P3007、P3014）。</w:t>
      </w:r>
    </w:p>
    <w:p>
      <w:r>
        <w:rPr>
          <w:rFonts w:ascii="Calibri" w:hAnsi="Calibri" w:eastAsia="微软雅黑"/>
          <w:b w:val="0"/>
          <w:i w:val="0"/>
          <w:sz w:val="22"/>
        </w:rPr>
        <w:t>桐梓案则把报价与合同价的不一致直接推到合同效力层面。[事实] 承包人主张：其投标总价521965260元并已收到中标通知书，而EPC总承包合同约定的工程价款为460436515元，二者不一致违反招标投标法及其实施条例的相应规定，合同应属无效；其上诉请求包括支付拖欠工程款131845782元及同期银行贷款利息、确认优先受偿权等（P3004）。[事实] 该案还牵出司法鉴定的两难：鉴定意见书中「证据无发包方签字部分」的费用虽主张实际发生但无签字确认，「合同条件不足调整部分」系推算金额——法院对两类金额的支持与否，划出了索赔证据的硬边界（P3004）。[估计] own_calc：521965260−460436515=61528745元，这个差额无论最终如何定性，都提示管理层：招标与签约两个时点的价格文件必须互为镜像，否则六千万级的落差会变成整份合同的地雷（P3004）。报价压低通道的底账就此清晰：让步发生在中标前，爆发在履约中，清算在法庭上（P3004、P3014）。</w:t>
      </w:r>
    </w:p>
    <w:p>
      <w:r>
        <w:rPr>
          <w:rFonts w:ascii="Calibri" w:hAnsi="Calibri" w:eastAsia="微软雅黑"/>
          <w:b w:val="0"/>
          <w:i w:val="0"/>
          <w:sz w:val="22"/>
        </w:rPr>
        <w:t>通道五的教训可以压缩成一句话：报价是设计工作的一部分。初设概算漏项、长周期设备估价不足、风险费缺失，都会在报价单上留下日后的窟窿；被压价后不调整范围、只调整价格的让步，则是把窟窿主动挖大。[建议] 设计院背景的总包方在报价评审中应增设一道「设计侧否决」：凡概算深度不足以支撑总价包干的项目，宁可报单价合同或带调整机制的合同，也不接无边界的一口价——验证条件是报价失误率与履约索赔率的同步下降，停止条件是因报价保守让出的中标机会成本超过索赔挽回金额。这道否决的实质，是把设计深度不足的风险从履约期前移回报价期，在最便宜的时点处理最贵的问题。</w:t>
      </w:r>
    </w:p>
    <w:p>
      <w:pPr>
        <w:pStyle w:val="Heading3"/>
      </w:pPr>
      <w:r>
        <w:t>3.2.6 通道六：分包与劳务层的损失沉淀——链条末端的坏账与骗局</w:t>
      </w:r>
    </w:p>
    <w:p>
      <w:r>
        <w:rPr>
          <w:rFonts w:ascii="Calibri" w:hAnsi="Calibri" w:eastAsia="微软雅黑"/>
          <w:b w:val="0"/>
          <w:i w:val="0"/>
          <w:sz w:val="22"/>
        </w:rPr>
        <w:t>刘兆伟案是一份劳务层的完整损失清单。[事实] 原告主张工程劳务费29429235.05元及以之为本金按年利率6%自2016年8月7日起算的利息，另主张购置模板、螺杆及其他小型机械工具设备、轮扣、钢管等损失6658434.37元（P3020）。[事实] 案情披露的股权结构耐人寻味：辛磊持有开平住建70%的股权但未依法履行出资义务，同时通过深圳开太平信息服务有限责任公司对筑鼎公司间接持股60%（P3020）。总包、劳务、监理在股权层面缠绕，现场的设计指令与签证确认便失去了独立第三方应有的张力（P3020）。[估计] 劳务费与设备损失合计，own_calc：29429235.05+6658434.37=36087669.42元——链条末端的单一纠纷就能吃掉三千六百万（P3020）。</w:t>
      </w:r>
    </w:p>
    <w:p>
      <w:r>
        <w:rPr>
          <w:rFonts w:ascii="Calibri" w:hAnsi="Calibri" w:eastAsia="微软雅黑"/>
          <w:b w:val="0"/>
          <w:i w:val="0"/>
          <w:sz w:val="22"/>
        </w:rPr>
        <w:t>分包方违约的收回与再委托，同样有明确价签。[事实] 鸿山热电项目上，因分包方无力组织施工，总包方收回干灰库与原水预处理站两项未完工程另行委托第三方施工：干灰库未完工程200万元、原水预处理站未完工程350万元系双方商定的回收价合计550万元，而另行委托实际发生费用941.85万元，差额391.85万元；分包合同约定，若乙方因进度、质量、安全达不到要求，甲方有权收回项目另行委托他人施工，费用从工程款中扣回（P3034）。[估计] 再委托溢价own_calc：941.85÷550≈1.71倍——收回工程救进度，代价是接近七成的溢价（P3034）。</w:t>
      </w:r>
    </w:p>
    <w:p>
      <w:r>
        <w:rPr>
          <w:rFonts w:ascii="Calibri" w:hAnsi="Calibri" w:eastAsia="微软雅黑"/>
          <w:b w:val="0"/>
          <w:i w:val="0"/>
          <w:sz w:val="22"/>
        </w:rPr>
        <w:t>更极端的情形是利用总包名义行骗。[事实] 浪卡子光伏并网发电项目由四川电力设计咨询有限责任公司总承包设计施工，2017年1月18日开始施工建设，2017年5月20日并网发电；被告人李正华在未取得该项目发包、分包权的情况下，谎称中国电建系该项目总承包方，伪造公章与劳务总包合同、保证金收款收据、国家能源局红头文件、进场通知书、工程量分配单等，以收取保证金、业务拓展费等名义骗取任某等人共计人民币860万元，其中200万元未遂（P3011）。[事实] 受害人缴纳的保证金从20万、35万、70万、190万到150万不等，分散在多份「劳务分包合同」里（P3011）。设计院做总包之后，「总包方」三个字本身就是可被冒用的资产；品牌与项目信息的传播范围越大，这类骗局的可信度就越高（P3011）。</w:t>
      </w:r>
    </w:p>
    <w:p>
      <w:r>
        <w:rPr>
          <w:rFonts w:ascii="Calibri" w:hAnsi="Calibri" w:eastAsia="微软雅黑"/>
          <w:b w:val="0"/>
          <w:i w:val="0"/>
          <w:sz w:val="22"/>
        </w:rPr>
        <w:t>转包链条的诉讼成本同样可量化。[事实] 山西亚能案中，非法转包事实之下，一审法院的逻辑意味着需要打四场追偿诉讼才能最终厘清各方欠款，上诉人对此提出的质疑，连同发包人在欠付工程款范围内对实际施工人承担付款责任、代位权诉讼等主张，构成转包链条末端的典型诉累（P3031）。[事实] 新疆兵团建工案给出了一笔算得清的账：工程结算审定价282,962,209元，已付款231,474,585.18元，欠付51,487,623.82元，利息按年利率2.75%计算54个月为6,569,761.96元；造价咨询机构2014年1月15日出具的竣工结算书（只计入部分设计变更及经济签证）金额为278,204,693元，2017年8月17日的结算意见才将审定价落定到282,962,209元（P3027）。[事实] 该案还确认了一个对分包方有利的机制：三方签订补充附件共同委托造价咨询、约定咨询公司的最终结算总价一经告知立即生效，任何一方拒绝接受的表示或行为均不影响该结果生效（P3027）。把结算权从无限拉扯中收回合同，这一机制值得写入每一个分包范本（P3027）。[事实] 长期应收账款的另一个样本：维多利亚城2号楼至5号楼土建安装工程，合同总价暂定为90000000元，施工方主张欠付60469100元、利息损失1980000元（曾拟增加至3990960元）（P3021）。</w:t>
      </w:r>
    </w:p>
    <w:p>
      <w:r>
        <w:rPr>
          <w:rFonts w:ascii="Calibri" w:hAnsi="Calibri" w:eastAsia="微软雅黑"/>
          <w:b w:val="0"/>
          <w:i w:val="0"/>
          <w:sz w:val="22"/>
        </w:rPr>
        <w:t>联合体承包的内部结构也有价签。[事实] 番禺英东体育场馆改造工程，总投资费用约3200万元，其中塑胶跑道修补翻新体育场地设施工程费约200万元；合同由贵州建工集团作为承包人（主办单位）、新悦康公司作为承包人（联合体成员）与发包人共同签订，承包范围涵盖建筑主体结构、装饰装修、建筑屋面、给排水、电气、通风空调、园林及体育场塑胶跑道修补翻新等（P3033）。联合体中标EPC在水电、水利项目上是常态（P3022），主办方与成员方之间的责任分担一旦没有成文细则，外部纠纷就会转化为内部纠纷（P3033）。</w:t>
      </w:r>
    </w:p>
    <w:p>
      <w:r>
        <w:rPr>
          <w:rFonts w:ascii="Calibri" w:hAnsi="Calibri" w:eastAsia="微软雅黑"/>
          <w:b w:val="0"/>
          <w:i w:val="0"/>
          <w:sz w:val="22"/>
        </w:rPr>
        <w:t>业主侧的连带损失也需要入账，因为它是索赔链条的终点。[事实] 济宁城投嘉华案中，除一审判赔的72万元经济损失外，开发商还主张因装饰分包拒不履行样板区维修义务而支出的维修费用117800元，2016年至2017年5月期间多次送达《工作联系单》留痕（P3019）。[事实] 商品房端的传导同样清晰：北京银座合智案中，预测建筑面积352.7平方米、单价10833元／㎡、总价款3820800元的房屋，因实测面积359.42平方米而将实际总房款调整为3893598元（P3029）；福州永昇案中，216.67平方米、总价260万元的商品房逾期交付，合同约定的违约路径为按已付款的1%支付违约金或按日万分之三计付（P3030）。工程端每一张迟到的图纸，最终都会以交房违约金的形式回到开发商账上，再经由索赔链条传回设计端与施工端（P3019、P3029、P3030）。</w:t>
      </w:r>
    </w:p>
    <w:p>
      <w:r>
        <w:rPr>
          <w:rFonts w:ascii="Calibri" w:hAnsi="Calibri" w:eastAsia="微软雅黑"/>
          <w:b w:val="0"/>
          <w:i w:val="0"/>
          <w:sz w:val="22"/>
        </w:rPr>
        <w:t>通道六的案例形态最杂——劳务纠纷、冒名诈骗、转包诉累、收回再委托——但它们共享同一个结构：链条越长、层级越多，末端的每一个履约动作离总包的管理视线就越远。[假设] 设计院做EPC时最容易低估的正是这条链的长度：过去设计院面对的是业主一家，现在要同时面对分包、劳务、设备商、监理与审计，每一环的失序都以总包的名义记账。底账在这里给出的量化提醒是：末端不是小账——单一劳务纠纷可到36087669.42元（own_calc：29429235.05+6658434.37，P3020），冒名骗局可到860万元（P3011），收回再委托的溢价差额可到391.85万元（P3034）。对分包链的管控强度，应当与这些数字的量级相称，而不是与分包合同的纸面金额相称。</w:t>
      </w:r>
    </w:p>
    <w:p>
      <w:pPr>
        <w:pStyle w:val="Heading2"/>
      </w:pPr>
      <w:r>
        <w:t>3.3 跨案例对照表：同一流失点的不同价格标签</w:t>
      </w:r>
    </w:p>
    <w:p>
      <w:r>
        <w:rPr>
          <w:rFonts w:ascii="Calibri" w:hAnsi="Calibri" w:eastAsia="微软雅黑"/>
          <w:b w:val="0"/>
          <w:i w:val="0"/>
          <w:sz w:val="22"/>
        </w:rPr>
        <w:t>六个通道的底账并排放在一起，才能看出模式。下表把本章引用的全部金额案例汇成一张对照表——这是融合态的核心交付物：同一类流失，在不同项目、不同年代、不同标的上的价格标签。</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流失通道</w:t>
            </w:r>
          </w:p>
        </w:tc>
        <w:tc>
          <w:tcPr>
            <w:tcW w:type="dxa" w:w="1383"/>
            <w:shd w:fill="1F3A5F"/>
          </w:tcPr>
          <w:p>
            <w:r>
              <w:rPr>
                <w:color w:val="FFFFFF"/>
              </w:rPr>
            </w:r>
            <w:r>
              <w:rPr>
                <w:rFonts w:ascii="Calibri" w:hAnsi="Calibri" w:eastAsia="微软雅黑"/>
                <w:b/>
                <w:i w:val="0"/>
                <w:color w:val="FFFFFF"/>
                <w:sz w:val="18"/>
              </w:rPr>
              <w:t>案例（案号/来源）</w:t>
            </w:r>
          </w:p>
        </w:tc>
        <w:tc>
          <w:tcPr>
            <w:tcW w:type="dxa" w:w="1383"/>
            <w:shd w:fill="1F3A5F"/>
          </w:tcPr>
          <w:p>
            <w:r>
              <w:rPr>
                <w:color w:val="FFFFFF"/>
              </w:rPr>
            </w:r>
            <w:r>
              <w:rPr>
                <w:rFonts w:ascii="Calibri" w:hAnsi="Calibri" w:eastAsia="微软雅黑"/>
                <w:b/>
                <w:i w:val="0"/>
                <w:color w:val="FFFFFF"/>
                <w:sz w:val="18"/>
              </w:rPr>
              <w:t>基准金额</w:t>
            </w:r>
          </w:p>
        </w:tc>
        <w:tc>
          <w:tcPr>
            <w:tcW w:type="dxa" w:w="1383"/>
            <w:shd w:fill="1F3A5F"/>
          </w:tcPr>
          <w:p>
            <w:r>
              <w:rPr>
                <w:color w:val="FFFFFF"/>
              </w:rPr>
            </w:r>
            <w:r>
              <w:rPr>
                <w:rFonts w:ascii="Calibri" w:hAnsi="Calibri" w:eastAsia="微软雅黑"/>
                <w:b/>
                <w:i w:val="0"/>
                <w:color w:val="FFFFFF"/>
                <w:sz w:val="18"/>
              </w:rPr>
              <w:t>争议或损失金额</w:t>
            </w:r>
          </w:p>
        </w:tc>
        <w:tc>
          <w:tcPr>
            <w:tcW w:type="dxa" w:w="1383"/>
            <w:shd w:fill="1F3A5F"/>
          </w:tcPr>
          <w:p>
            <w:r>
              <w:rPr>
                <w:color w:val="FFFFFF"/>
              </w:rPr>
            </w:r>
            <w:r>
              <w:rPr>
                <w:rFonts w:ascii="Calibri" w:hAnsi="Calibri" w:eastAsia="微软雅黑"/>
                <w:b/>
                <w:i w:val="0"/>
                <w:color w:val="FFFFFF"/>
                <w:sz w:val="18"/>
              </w:rPr>
              <w:t>换算（own_calc）</w:t>
            </w:r>
          </w:p>
        </w:tc>
        <w:tc>
          <w:tcPr>
            <w:tcW w:type="dxa" w:w="1383"/>
            <w:shd w:fill="1F3A5F"/>
          </w:tcPr>
          <w:p>
            <w:r>
              <w:rPr>
                <w:color w:val="FFFFFF"/>
              </w:rPr>
            </w:r>
            <w:r>
              <w:rPr>
                <w:rFonts w:ascii="Calibri" w:hAnsi="Calibri" w:eastAsia="微软雅黑"/>
                <w:b/>
                <w:i w:val="0"/>
                <w:color w:val="FFFFFF"/>
                <w:sz w:val="18"/>
              </w:rPr>
              <w:t>锚</w:t>
            </w:r>
          </w:p>
        </w:tc>
      </w:tr>
      <w:tr>
        <w:tc>
          <w:tcPr>
            <w:tcW w:type="dxa" w:w="1383"/>
          </w:tcPr>
          <w:p>
            <w:r/>
            <w:r>
              <w:rPr>
                <w:rFonts w:ascii="Calibri" w:hAnsi="Calibri" w:eastAsia="微软雅黑"/>
                <w:b w:val="0"/>
                <w:i w:val="0"/>
                <w:sz w:val="18"/>
              </w:rPr>
              <w:t>变更增量</w:t>
            </w:r>
          </w:p>
        </w:tc>
        <w:tc>
          <w:tcPr>
            <w:tcW w:type="dxa" w:w="1383"/>
          </w:tcPr>
          <w:p>
            <w:r/>
            <w:r>
              <w:rPr>
                <w:rFonts w:ascii="Calibri" w:hAnsi="Calibri" w:eastAsia="微软雅黑"/>
                <w:b w:val="0"/>
                <w:i w:val="0"/>
                <w:sz w:val="18"/>
              </w:rPr>
              <w:t>宁夏鑫田（2016）宁05民初78号</w:t>
            </w:r>
          </w:p>
        </w:tc>
        <w:tc>
          <w:tcPr>
            <w:tcW w:type="dxa" w:w="1383"/>
          </w:tcPr>
          <w:p>
            <w:r/>
            <w:r>
              <w:rPr>
                <w:rFonts w:ascii="Calibri" w:hAnsi="Calibri" w:eastAsia="微软雅黑"/>
                <w:b w:val="0"/>
                <w:i w:val="0"/>
                <w:sz w:val="18"/>
              </w:rPr>
              <w:t>中标价12933521.89元</w:t>
            </w:r>
          </w:p>
        </w:tc>
        <w:tc>
          <w:tcPr>
            <w:tcW w:type="dxa" w:w="1383"/>
          </w:tcPr>
          <w:p>
            <w:r/>
            <w:r>
              <w:rPr>
                <w:rFonts w:ascii="Calibri" w:hAnsi="Calibri" w:eastAsia="微软雅黑"/>
                <w:b w:val="0"/>
                <w:i w:val="0"/>
                <w:sz w:val="18"/>
              </w:rPr>
              <w:t>变更增加工程款7205791元</w:t>
            </w:r>
          </w:p>
        </w:tc>
        <w:tc>
          <w:tcPr>
            <w:tcW w:type="dxa" w:w="1383"/>
          </w:tcPr>
          <w:p>
            <w:r/>
            <w:r>
              <w:rPr>
                <w:rFonts w:ascii="Calibri" w:hAnsi="Calibri" w:eastAsia="微软雅黑"/>
                <w:b w:val="0"/>
                <w:i w:val="0"/>
                <w:sz w:val="18"/>
              </w:rPr>
              <w:t>变更率≈55.7%</w:t>
            </w:r>
          </w:p>
        </w:tc>
        <w:tc>
          <w:tcPr>
            <w:tcW w:type="dxa" w:w="1383"/>
          </w:tcPr>
          <w:p>
            <w:r/>
            <w:r>
              <w:rPr>
                <w:rFonts w:ascii="Calibri" w:hAnsi="Calibri" w:eastAsia="微软雅黑"/>
                <w:b w:val="0"/>
                <w:i w:val="0"/>
                <w:sz w:val="18"/>
              </w:rPr>
              <w:t>P3024</w:t>
            </w:r>
          </w:p>
        </w:tc>
      </w:tr>
      <w:tr>
        <w:tc>
          <w:tcPr>
            <w:tcW w:type="dxa" w:w="1383"/>
          </w:tcPr>
          <w:p>
            <w:r/>
            <w:r>
              <w:rPr>
                <w:rFonts w:ascii="Calibri" w:hAnsi="Calibri" w:eastAsia="微软雅黑"/>
                <w:b w:val="0"/>
                <w:i w:val="0"/>
                <w:sz w:val="18"/>
              </w:rPr>
              <w:t>规划调整</w:t>
            </w:r>
          </w:p>
        </w:tc>
        <w:tc>
          <w:tcPr>
            <w:tcW w:type="dxa" w:w="1383"/>
          </w:tcPr>
          <w:p>
            <w:r/>
            <w:r>
              <w:rPr>
                <w:rFonts w:ascii="Calibri" w:hAnsi="Calibri" w:eastAsia="微软雅黑"/>
                <w:b w:val="0"/>
                <w:i w:val="0"/>
                <w:sz w:val="18"/>
              </w:rPr>
              <w:t>武汉四建（2013）鄂武汉中民商初字第00320号</w:t>
            </w:r>
          </w:p>
        </w:tc>
        <w:tc>
          <w:tcPr>
            <w:tcW w:type="dxa" w:w="1383"/>
          </w:tcPr>
          <w:p>
            <w:r/>
            <w:r>
              <w:rPr>
                <w:rFonts w:ascii="Calibri" w:hAnsi="Calibri" w:eastAsia="微软雅黑"/>
                <w:b w:val="0"/>
                <w:i w:val="0"/>
                <w:sz w:val="18"/>
              </w:rPr>
              <w:t>1#、2#楼固定总价3350.2089万元</w:t>
            </w:r>
          </w:p>
        </w:tc>
        <w:tc>
          <w:tcPr>
            <w:tcW w:type="dxa" w:w="1383"/>
          </w:tcPr>
          <w:p>
            <w:r/>
            <w:r>
              <w:rPr>
                <w:rFonts w:ascii="Calibri" w:hAnsi="Calibri" w:eastAsia="微软雅黑"/>
                <w:b w:val="0"/>
                <w:i w:val="0"/>
                <w:sz w:val="18"/>
              </w:rPr>
              <w:t>3#楼据实结算4471.1532万元；合同外597.6953万元</w:t>
            </w:r>
          </w:p>
        </w:tc>
        <w:tc>
          <w:tcPr>
            <w:tcW w:type="dxa" w:w="1383"/>
          </w:tcPr>
          <w:p>
            <w:r/>
            <w:r>
              <w:rPr>
                <w:rFonts w:ascii="Calibri" w:hAnsi="Calibri" w:eastAsia="微软雅黑"/>
                <w:b w:val="0"/>
                <w:i w:val="0"/>
                <w:sz w:val="18"/>
              </w:rPr>
              <w:t>合同外占比≈17.8%</w:t>
            </w:r>
          </w:p>
        </w:tc>
        <w:tc>
          <w:tcPr>
            <w:tcW w:type="dxa" w:w="1383"/>
          </w:tcPr>
          <w:p>
            <w:r/>
            <w:r>
              <w:rPr>
                <w:rFonts w:ascii="Calibri" w:hAnsi="Calibri" w:eastAsia="微软雅黑"/>
                <w:b w:val="0"/>
                <w:i w:val="0"/>
                <w:sz w:val="18"/>
              </w:rPr>
              <w:t>P3025</w:t>
            </w:r>
          </w:p>
        </w:tc>
      </w:tr>
      <w:tr>
        <w:tc>
          <w:tcPr>
            <w:tcW w:type="dxa" w:w="1383"/>
          </w:tcPr>
          <w:p>
            <w:r/>
            <w:r>
              <w:rPr>
                <w:rFonts w:ascii="Calibri" w:hAnsi="Calibri" w:eastAsia="微软雅黑"/>
                <w:b w:val="0"/>
                <w:i w:val="0"/>
                <w:sz w:val="18"/>
              </w:rPr>
              <w:t>图纸滞后</w:t>
            </w:r>
          </w:p>
        </w:tc>
        <w:tc>
          <w:tcPr>
            <w:tcW w:type="dxa" w:w="1383"/>
          </w:tcPr>
          <w:p>
            <w:r/>
            <w:r>
              <w:rPr>
                <w:rFonts w:ascii="Calibri" w:hAnsi="Calibri" w:eastAsia="微软雅黑"/>
                <w:b w:val="0"/>
                <w:i w:val="0"/>
                <w:sz w:val="18"/>
              </w:rPr>
              <w:t>四川电力设计咨询（2019）川32民再2号</w:t>
            </w:r>
          </w:p>
        </w:tc>
        <w:tc>
          <w:tcPr>
            <w:tcW w:type="dxa" w:w="1383"/>
          </w:tcPr>
          <w:p>
            <w:r/>
            <w:r>
              <w:rPr>
                <w:rFonts w:ascii="Calibri" w:hAnsi="Calibri" w:eastAsia="微软雅黑"/>
                <w:b w:val="0"/>
                <w:i w:val="0"/>
                <w:sz w:val="18"/>
              </w:rPr>
              <w:t>总价包干合同</w:t>
            </w:r>
          </w:p>
        </w:tc>
        <w:tc>
          <w:tcPr>
            <w:tcW w:type="dxa" w:w="1383"/>
          </w:tcPr>
          <w:p>
            <w:r/>
            <w:r>
              <w:rPr>
                <w:rFonts w:ascii="Calibri" w:hAnsi="Calibri" w:eastAsia="微软雅黑"/>
                <w:b w:val="0"/>
                <w:i w:val="0"/>
                <w:sz w:val="18"/>
              </w:rPr>
              <w:t>二次复测费78066元；固定价鉴定之争</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P3013</w:t>
            </w:r>
          </w:p>
        </w:tc>
      </w:tr>
      <w:tr>
        <w:tc>
          <w:tcPr>
            <w:tcW w:type="dxa" w:w="1383"/>
          </w:tcPr>
          <w:p>
            <w:r/>
            <w:r>
              <w:rPr>
                <w:rFonts w:ascii="Calibri" w:hAnsi="Calibri" w:eastAsia="微软雅黑"/>
                <w:b w:val="0"/>
                <w:i w:val="0"/>
                <w:sz w:val="18"/>
              </w:rPr>
              <w:t>设计迟滞</w:t>
            </w:r>
          </w:p>
        </w:tc>
        <w:tc>
          <w:tcPr>
            <w:tcW w:type="dxa" w:w="1383"/>
          </w:tcPr>
          <w:p>
            <w:r/>
            <w:r>
              <w:rPr>
                <w:rFonts w:ascii="Calibri" w:hAnsi="Calibri" w:eastAsia="微软雅黑"/>
                <w:b w:val="0"/>
                <w:i w:val="0"/>
                <w:sz w:val="18"/>
              </w:rPr>
              <w:t>东泰华美（2020）渝01民终4800号</w:t>
            </w:r>
          </w:p>
        </w:tc>
        <w:tc>
          <w:tcPr>
            <w:tcW w:type="dxa" w:w="1383"/>
          </w:tcPr>
          <w:p>
            <w:r/>
            <w:r>
              <w:rPr>
                <w:rFonts w:ascii="Calibri" w:hAnsi="Calibri" w:eastAsia="微软雅黑"/>
                <w:b w:val="0"/>
                <w:i w:val="0"/>
                <w:sz w:val="18"/>
              </w:rPr>
              <w:t>合同约定工期</w:t>
            </w:r>
          </w:p>
        </w:tc>
        <w:tc>
          <w:tcPr>
            <w:tcW w:type="dxa" w:w="1383"/>
          </w:tcPr>
          <w:p>
            <w:r/>
            <w:r>
              <w:rPr>
                <w:rFonts w:ascii="Calibri" w:hAnsi="Calibri" w:eastAsia="微软雅黑"/>
                <w:b w:val="0"/>
                <w:i w:val="0"/>
                <w:sz w:val="18"/>
              </w:rPr>
              <w:t>延误463天；实际工期为约定3倍</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P3018</w:t>
            </w:r>
          </w:p>
        </w:tc>
      </w:tr>
      <w:tr>
        <w:tc>
          <w:tcPr>
            <w:tcW w:type="dxa" w:w="1383"/>
          </w:tcPr>
          <w:p>
            <w:r/>
            <w:r>
              <w:rPr>
                <w:rFonts w:ascii="Calibri" w:hAnsi="Calibri" w:eastAsia="微软雅黑"/>
                <w:b w:val="0"/>
                <w:i w:val="0"/>
                <w:sz w:val="18"/>
              </w:rPr>
              <w:t>停窝工</w:t>
            </w:r>
          </w:p>
        </w:tc>
        <w:tc>
          <w:tcPr>
            <w:tcW w:type="dxa" w:w="1383"/>
          </w:tcPr>
          <w:p>
            <w:r/>
            <w:r>
              <w:rPr>
                <w:rFonts w:ascii="Calibri" w:hAnsi="Calibri" w:eastAsia="微软雅黑"/>
                <w:b w:val="0"/>
                <w:i w:val="0"/>
                <w:sz w:val="18"/>
              </w:rPr>
              <w:t>中南院（2015）桂民一初字第4号</w:t>
            </w:r>
          </w:p>
        </w:tc>
        <w:tc>
          <w:tcPr>
            <w:tcW w:type="dxa" w:w="1383"/>
          </w:tcPr>
          <w:p>
            <w:r/>
            <w:r>
              <w:rPr>
                <w:rFonts w:ascii="Calibri" w:hAnsi="Calibri" w:eastAsia="微软雅黑"/>
                <w:b w:val="0"/>
                <w:i w:val="0"/>
                <w:sz w:val="18"/>
              </w:rPr>
              <w:t>合同总价92000万元</w:t>
            </w:r>
          </w:p>
        </w:tc>
        <w:tc>
          <w:tcPr>
            <w:tcW w:type="dxa" w:w="1383"/>
          </w:tcPr>
          <w:p>
            <w:r/>
            <w:r>
              <w:rPr>
                <w:rFonts w:ascii="Calibri" w:hAnsi="Calibri" w:eastAsia="微软雅黑"/>
                <w:b w:val="0"/>
                <w:i w:val="0"/>
                <w:sz w:val="18"/>
              </w:rPr>
              <w:t>2号机组停窝工18个月损失2090.072万元</w:t>
            </w:r>
          </w:p>
        </w:tc>
        <w:tc>
          <w:tcPr>
            <w:tcW w:type="dxa" w:w="1383"/>
          </w:tcPr>
          <w:p>
            <w:r/>
            <w:r>
              <w:rPr>
                <w:rFonts w:ascii="Calibri" w:hAnsi="Calibri" w:eastAsia="微软雅黑"/>
                <w:b w:val="0"/>
                <w:i w:val="0"/>
                <w:sz w:val="18"/>
              </w:rPr>
              <w:t>月均≈116.1万元</w:t>
            </w:r>
          </w:p>
        </w:tc>
        <w:tc>
          <w:tcPr>
            <w:tcW w:type="dxa" w:w="1383"/>
          </w:tcPr>
          <w:p>
            <w:r/>
            <w:r>
              <w:rPr>
                <w:rFonts w:ascii="Calibri" w:hAnsi="Calibri" w:eastAsia="微软雅黑"/>
                <w:b w:val="0"/>
                <w:i w:val="0"/>
                <w:sz w:val="18"/>
              </w:rPr>
              <w:t>P3015</w:t>
            </w:r>
          </w:p>
        </w:tc>
      </w:tr>
      <w:tr>
        <w:tc>
          <w:tcPr>
            <w:tcW w:type="dxa" w:w="1383"/>
          </w:tcPr>
          <w:p>
            <w:r/>
            <w:r>
              <w:rPr>
                <w:rFonts w:ascii="Calibri" w:hAnsi="Calibri" w:eastAsia="微软雅黑"/>
                <w:b w:val="0"/>
                <w:i w:val="0"/>
                <w:sz w:val="18"/>
              </w:rPr>
              <w:t>解除索赔</w:t>
            </w:r>
          </w:p>
        </w:tc>
        <w:tc>
          <w:tcPr>
            <w:tcW w:type="dxa" w:w="1383"/>
          </w:tcPr>
          <w:p>
            <w:r/>
            <w:r>
              <w:rPr>
                <w:rFonts w:ascii="Calibri" w:hAnsi="Calibri" w:eastAsia="微软雅黑"/>
                <w:b w:val="0"/>
                <w:i w:val="0"/>
                <w:sz w:val="18"/>
              </w:rPr>
              <w:t>修水EPC（2018）赣民初2号</w:t>
            </w:r>
          </w:p>
        </w:tc>
        <w:tc>
          <w:tcPr>
            <w:tcW w:type="dxa" w:w="1383"/>
          </w:tcPr>
          <w:p>
            <w:r/>
            <w:r>
              <w:rPr>
                <w:rFonts w:ascii="Calibri" w:hAnsi="Calibri" w:eastAsia="微软雅黑"/>
                <w:b w:val="0"/>
                <w:i w:val="0"/>
                <w:sz w:val="18"/>
              </w:rPr>
              <w:t>一期计划约9500万元</w:t>
            </w:r>
          </w:p>
        </w:tc>
        <w:tc>
          <w:tcPr>
            <w:tcW w:type="dxa" w:w="1383"/>
          </w:tcPr>
          <w:p>
            <w:r/>
            <w:r>
              <w:rPr>
                <w:rFonts w:ascii="Calibri" w:hAnsi="Calibri" w:eastAsia="微软雅黑"/>
                <w:b w:val="0"/>
                <w:i w:val="0"/>
                <w:sz w:val="18"/>
              </w:rPr>
              <w:t>返还预付款1400万+赔偿5029.3万=6429.3万</w:t>
            </w:r>
          </w:p>
        </w:tc>
        <w:tc>
          <w:tcPr>
            <w:tcW w:type="dxa" w:w="1383"/>
          </w:tcPr>
          <w:p>
            <w:r/>
            <w:r>
              <w:rPr>
                <w:rFonts w:ascii="Calibri" w:hAnsi="Calibri" w:eastAsia="微软雅黑"/>
                <w:b w:val="0"/>
                <w:i w:val="0"/>
                <w:sz w:val="18"/>
              </w:rPr>
              <w:t>占一期投资≈67.7%</w:t>
            </w:r>
          </w:p>
        </w:tc>
        <w:tc>
          <w:tcPr>
            <w:tcW w:type="dxa" w:w="1383"/>
          </w:tcPr>
          <w:p>
            <w:r/>
            <w:r>
              <w:rPr>
                <w:rFonts w:ascii="Calibri" w:hAnsi="Calibri" w:eastAsia="微软雅黑"/>
                <w:b w:val="0"/>
                <w:i w:val="0"/>
                <w:sz w:val="18"/>
              </w:rPr>
              <w:t>P3022</w:t>
            </w:r>
          </w:p>
        </w:tc>
      </w:tr>
      <w:tr>
        <w:tc>
          <w:tcPr>
            <w:tcW w:type="dxa" w:w="1383"/>
          </w:tcPr>
          <w:p>
            <w:r/>
            <w:r>
              <w:rPr>
                <w:rFonts w:ascii="Calibri" w:hAnsi="Calibri" w:eastAsia="微软雅黑"/>
                <w:b w:val="0"/>
                <w:i w:val="0"/>
                <w:sz w:val="18"/>
              </w:rPr>
              <w:t>工期违约金</w:t>
            </w:r>
          </w:p>
        </w:tc>
        <w:tc>
          <w:tcPr>
            <w:tcW w:type="dxa" w:w="1383"/>
          </w:tcPr>
          <w:p>
            <w:r/>
            <w:r>
              <w:rPr>
                <w:rFonts w:ascii="Calibri" w:hAnsi="Calibri" w:eastAsia="微软雅黑"/>
                <w:b w:val="0"/>
                <w:i w:val="0"/>
                <w:sz w:val="18"/>
              </w:rPr>
              <w:t>荣耀诉华荣（2014）淮中民初字第0011号</w:t>
            </w:r>
          </w:p>
        </w:tc>
        <w:tc>
          <w:tcPr>
            <w:tcW w:type="dxa" w:w="1383"/>
          </w:tcPr>
          <w:p>
            <w:r/>
            <w:r>
              <w:rPr>
                <w:rFonts w:ascii="Calibri" w:hAnsi="Calibri" w:eastAsia="微软雅黑"/>
                <w:b w:val="0"/>
                <w:i w:val="0"/>
                <w:sz w:val="18"/>
              </w:rPr>
              <w:t>暂定总价3000万元</w:t>
            </w:r>
          </w:p>
        </w:tc>
        <w:tc>
          <w:tcPr>
            <w:tcW w:type="dxa" w:w="1383"/>
          </w:tcPr>
          <w:p>
            <w:r/>
            <w:r>
              <w:rPr>
                <w:rFonts w:ascii="Calibri" w:hAnsi="Calibri" w:eastAsia="微软雅黑"/>
                <w:b w:val="0"/>
                <w:i w:val="0"/>
                <w:sz w:val="18"/>
              </w:rPr>
              <w:t>五项工期类违约金合计30001490.1元</w:t>
            </w:r>
          </w:p>
        </w:tc>
        <w:tc>
          <w:tcPr>
            <w:tcW w:type="dxa" w:w="1383"/>
          </w:tcPr>
          <w:p>
            <w:r/>
            <w:r>
              <w:rPr>
                <w:rFonts w:ascii="Calibri" w:hAnsi="Calibri" w:eastAsia="微软雅黑"/>
                <w:b w:val="0"/>
                <w:i w:val="0"/>
                <w:sz w:val="18"/>
              </w:rPr>
              <w:t>≈合同额100%（30001490.1÷3000万，own_calc）</w:t>
            </w:r>
          </w:p>
        </w:tc>
        <w:tc>
          <w:tcPr>
            <w:tcW w:type="dxa" w:w="1383"/>
          </w:tcPr>
          <w:p>
            <w:r/>
            <w:r>
              <w:rPr>
                <w:rFonts w:ascii="Calibri" w:hAnsi="Calibri" w:eastAsia="微软雅黑"/>
                <w:b w:val="0"/>
                <w:i w:val="0"/>
                <w:sz w:val="18"/>
              </w:rPr>
              <w:t>P3028</w:t>
            </w:r>
          </w:p>
        </w:tc>
      </w:tr>
      <w:tr>
        <w:tc>
          <w:tcPr>
            <w:tcW w:type="dxa" w:w="1383"/>
          </w:tcPr>
          <w:p>
            <w:r/>
            <w:r>
              <w:rPr>
                <w:rFonts w:ascii="Calibri" w:hAnsi="Calibri" w:eastAsia="微软雅黑"/>
                <w:b w:val="0"/>
                <w:i w:val="0"/>
                <w:sz w:val="18"/>
              </w:rPr>
              <w:t>窝工未获支持</w:t>
            </w:r>
          </w:p>
        </w:tc>
        <w:tc>
          <w:tcPr>
            <w:tcW w:type="dxa" w:w="1383"/>
          </w:tcPr>
          <w:p>
            <w:r/>
            <w:r>
              <w:rPr>
                <w:rFonts w:ascii="Calibri" w:hAnsi="Calibri" w:eastAsia="微软雅黑"/>
                <w:b w:val="0"/>
                <w:i w:val="0"/>
                <w:sz w:val="18"/>
              </w:rPr>
              <w:t>桐梓EPC（2019）最高法民终1356号</w:t>
            </w:r>
          </w:p>
        </w:tc>
        <w:tc>
          <w:tcPr>
            <w:tcW w:type="dxa" w:w="1383"/>
          </w:tcPr>
          <w:p>
            <w:r/>
            <w:r>
              <w:rPr>
                <w:rFonts w:ascii="Calibri" w:hAnsi="Calibri" w:eastAsia="微软雅黑"/>
                <w:b w:val="0"/>
                <w:i w:val="0"/>
                <w:sz w:val="18"/>
              </w:rPr>
              <w:t>合同价460436515元</w:t>
            </w:r>
          </w:p>
        </w:tc>
        <w:tc>
          <w:tcPr>
            <w:tcW w:type="dxa" w:w="1383"/>
          </w:tcPr>
          <w:p>
            <w:r/>
            <w:r>
              <w:rPr>
                <w:rFonts w:ascii="Calibri" w:hAnsi="Calibri" w:eastAsia="微软雅黑"/>
                <w:b w:val="0"/>
                <w:i w:val="0"/>
                <w:sz w:val="18"/>
              </w:rPr>
              <w:t>主张欠款131845782元；推算损失未获支持</w:t>
            </w:r>
          </w:p>
        </w:tc>
        <w:tc>
          <w:tcPr>
            <w:tcW w:type="dxa" w:w="1383"/>
          </w:tcPr>
          <w:p>
            <w:r/>
            <w:r>
              <w:rPr>
                <w:rFonts w:ascii="Calibri" w:hAnsi="Calibri" w:eastAsia="微软雅黑"/>
                <w:b w:val="0"/>
                <w:i w:val="0"/>
                <w:sz w:val="18"/>
              </w:rPr>
              <w:t>投标价−合同价=61528745元</w:t>
            </w:r>
          </w:p>
        </w:tc>
        <w:tc>
          <w:tcPr>
            <w:tcW w:type="dxa" w:w="1383"/>
          </w:tcPr>
          <w:p>
            <w:r/>
            <w:r>
              <w:rPr>
                <w:rFonts w:ascii="Calibri" w:hAnsi="Calibri" w:eastAsia="微软雅黑"/>
                <w:b w:val="0"/>
                <w:i w:val="0"/>
                <w:sz w:val="18"/>
              </w:rPr>
              <w:t>P3004</w:t>
            </w:r>
          </w:p>
        </w:tc>
      </w:tr>
      <w:tr>
        <w:tc>
          <w:tcPr>
            <w:tcW w:type="dxa" w:w="1383"/>
          </w:tcPr>
          <w:p>
            <w:r/>
            <w:r>
              <w:rPr>
                <w:rFonts w:ascii="Calibri" w:hAnsi="Calibri" w:eastAsia="微软雅黑"/>
                <w:b w:val="0"/>
                <w:i w:val="0"/>
                <w:sz w:val="18"/>
              </w:rPr>
              <w:t>结算核减</w:t>
            </w:r>
          </w:p>
        </w:tc>
        <w:tc>
          <w:tcPr>
            <w:tcW w:type="dxa" w:w="1383"/>
          </w:tcPr>
          <w:p>
            <w:r/>
            <w:r>
              <w:rPr>
                <w:rFonts w:ascii="Calibri" w:hAnsi="Calibri" w:eastAsia="微软雅黑"/>
                <w:b w:val="0"/>
                <w:i w:val="0"/>
                <w:sz w:val="18"/>
              </w:rPr>
              <w:t>中桥恒通咨询案例</w:t>
            </w:r>
          </w:p>
        </w:tc>
        <w:tc>
          <w:tcPr>
            <w:tcW w:type="dxa" w:w="1383"/>
          </w:tcPr>
          <w:p>
            <w:r/>
            <w:r>
              <w:rPr>
                <w:rFonts w:ascii="Calibri" w:hAnsi="Calibri" w:eastAsia="微软雅黑"/>
                <w:b w:val="0"/>
                <w:i w:val="0"/>
                <w:sz w:val="18"/>
              </w:rPr>
              <w:t>报送1.2亿元</w:t>
            </w:r>
          </w:p>
        </w:tc>
        <w:tc>
          <w:tcPr>
            <w:tcW w:type="dxa" w:w="1383"/>
          </w:tcPr>
          <w:p>
            <w:r/>
            <w:r>
              <w:rPr>
                <w:rFonts w:ascii="Calibri" w:hAnsi="Calibri" w:eastAsia="微软雅黑"/>
                <w:b w:val="0"/>
                <w:i w:val="0"/>
                <w:sz w:val="18"/>
              </w:rPr>
              <w:t>核减近800万</w:t>
            </w:r>
          </w:p>
        </w:tc>
        <w:tc>
          <w:tcPr>
            <w:tcW w:type="dxa" w:w="1383"/>
          </w:tcPr>
          <w:p>
            <w:r/>
            <w:r>
              <w:rPr>
                <w:rFonts w:ascii="Calibri" w:hAnsi="Calibri" w:eastAsia="微软雅黑"/>
                <w:b w:val="0"/>
                <w:i w:val="0"/>
                <w:sz w:val="18"/>
              </w:rPr>
              <w:t>核减率≈6.7%</w:t>
            </w:r>
          </w:p>
        </w:tc>
        <w:tc>
          <w:tcPr>
            <w:tcW w:type="dxa" w:w="1383"/>
          </w:tcPr>
          <w:p>
            <w:r/>
            <w:r>
              <w:rPr>
                <w:rFonts w:ascii="Calibri" w:hAnsi="Calibri" w:eastAsia="微软雅黑"/>
                <w:b w:val="0"/>
                <w:i w:val="0"/>
                <w:sz w:val="18"/>
              </w:rPr>
              <w:t>P3009</w:t>
            </w:r>
          </w:p>
        </w:tc>
      </w:tr>
      <w:tr>
        <w:tc>
          <w:tcPr>
            <w:tcW w:type="dxa" w:w="1383"/>
          </w:tcPr>
          <w:p>
            <w:r/>
            <w:r>
              <w:rPr>
                <w:rFonts w:ascii="Calibri" w:hAnsi="Calibri" w:eastAsia="微软雅黑"/>
                <w:b w:val="0"/>
                <w:i w:val="0"/>
                <w:sz w:val="18"/>
              </w:rPr>
              <w:t>审计核减</w:t>
            </w:r>
          </w:p>
        </w:tc>
        <w:tc>
          <w:tcPr>
            <w:tcW w:type="dxa" w:w="1383"/>
          </w:tcPr>
          <w:p>
            <w:r/>
            <w:r>
              <w:rPr>
                <w:rFonts w:ascii="Calibri" w:hAnsi="Calibri" w:eastAsia="微软雅黑"/>
                <w:b w:val="0"/>
                <w:i w:val="0"/>
                <w:sz w:val="18"/>
              </w:rPr>
              <w:t>常熟酒店（2014）苏中商终字第0164号</w:t>
            </w:r>
          </w:p>
        </w:tc>
        <w:tc>
          <w:tcPr>
            <w:tcW w:type="dxa" w:w="1383"/>
          </w:tcPr>
          <w:p>
            <w:r/>
            <w:r>
              <w:rPr>
                <w:rFonts w:ascii="Calibri" w:hAnsi="Calibri" w:eastAsia="微软雅黑"/>
                <w:b w:val="0"/>
                <w:i w:val="0"/>
                <w:sz w:val="18"/>
              </w:rPr>
              <w:t>送审30636998.18元</w:t>
            </w:r>
          </w:p>
        </w:tc>
        <w:tc>
          <w:tcPr>
            <w:tcW w:type="dxa" w:w="1383"/>
          </w:tcPr>
          <w:p>
            <w:r/>
            <w:r>
              <w:rPr>
                <w:rFonts w:ascii="Calibri" w:hAnsi="Calibri" w:eastAsia="微软雅黑"/>
                <w:b w:val="0"/>
                <w:i w:val="0"/>
                <w:sz w:val="18"/>
              </w:rPr>
              <w:t>核减3591240.95元</w:t>
            </w:r>
          </w:p>
        </w:tc>
        <w:tc>
          <w:tcPr>
            <w:tcW w:type="dxa" w:w="1383"/>
          </w:tcPr>
          <w:p>
            <w:r/>
            <w:r>
              <w:rPr>
                <w:rFonts w:ascii="Calibri" w:hAnsi="Calibri" w:eastAsia="微软雅黑"/>
                <w:b w:val="0"/>
                <w:i w:val="0"/>
                <w:sz w:val="18"/>
              </w:rPr>
              <w:t>核减率≈11.7%</w:t>
            </w:r>
          </w:p>
        </w:tc>
        <w:tc>
          <w:tcPr>
            <w:tcW w:type="dxa" w:w="1383"/>
          </w:tcPr>
          <w:p>
            <w:r/>
            <w:r>
              <w:rPr>
                <w:rFonts w:ascii="Calibri" w:hAnsi="Calibri" w:eastAsia="微软雅黑"/>
                <w:b w:val="0"/>
                <w:i w:val="0"/>
                <w:sz w:val="18"/>
              </w:rPr>
              <w:t>P3008</w:t>
            </w:r>
          </w:p>
        </w:tc>
      </w:tr>
      <w:tr>
        <w:tc>
          <w:tcPr>
            <w:tcW w:type="dxa" w:w="1383"/>
          </w:tcPr>
          <w:p>
            <w:r/>
            <w:r>
              <w:rPr>
                <w:rFonts w:ascii="Calibri" w:hAnsi="Calibri" w:eastAsia="微软雅黑"/>
                <w:b w:val="0"/>
                <w:i w:val="0"/>
                <w:sz w:val="18"/>
              </w:rPr>
              <w:t>劳务超付</w:t>
            </w:r>
          </w:p>
        </w:tc>
        <w:tc>
          <w:tcPr>
            <w:tcW w:type="dxa" w:w="1383"/>
          </w:tcPr>
          <w:p>
            <w:r/>
            <w:r>
              <w:rPr>
                <w:rFonts w:ascii="Calibri" w:hAnsi="Calibri" w:eastAsia="微软雅黑"/>
                <w:b w:val="0"/>
                <w:i w:val="0"/>
                <w:sz w:val="18"/>
              </w:rPr>
              <w:t>万山劳务（2013）宝民三（民）初字第458号</w:t>
            </w:r>
          </w:p>
        </w:tc>
        <w:tc>
          <w:tcPr>
            <w:tcW w:type="dxa" w:w="1383"/>
          </w:tcPr>
          <w:p>
            <w:r/>
            <w:r>
              <w:rPr>
                <w:rFonts w:ascii="Calibri" w:hAnsi="Calibri" w:eastAsia="微软雅黑"/>
                <w:b w:val="0"/>
                <w:i w:val="0"/>
                <w:sz w:val="18"/>
              </w:rPr>
              <w:t>结算13159890.17元</w:t>
            </w:r>
          </w:p>
        </w:tc>
        <w:tc>
          <w:tcPr>
            <w:tcW w:type="dxa" w:w="1383"/>
          </w:tcPr>
          <w:p>
            <w:r/>
            <w:r>
              <w:rPr>
                <w:rFonts w:ascii="Calibri" w:hAnsi="Calibri" w:eastAsia="微软雅黑"/>
                <w:b w:val="0"/>
                <w:i w:val="0"/>
                <w:sz w:val="18"/>
              </w:rPr>
              <w:t>超付3153559.93元</w:t>
            </w:r>
          </w:p>
        </w:tc>
        <w:tc>
          <w:tcPr>
            <w:tcW w:type="dxa" w:w="1383"/>
          </w:tcPr>
          <w:p>
            <w:r/>
            <w:r>
              <w:rPr>
                <w:rFonts w:ascii="Calibri" w:hAnsi="Calibri" w:eastAsia="微软雅黑"/>
                <w:b w:val="0"/>
                <w:i w:val="0"/>
                <w:sz w:val="18"/>
              </w:rPr>
              <w:t>超付占结算≈23.96%（3153559.93÷13159890.17，own_calc）</w:t>
            </w:r>
          </w:p>
        </w:tc>
        <w:tc>
          <w:tcPr>
            <w:tcW w:type="dxa" w:w="1383"/>
          </w:tcPr>
          <w:p>
            <w:r/>
            <w:r>
              <w:rPr>
                <w:rFonts w:ascii="Calibri" w:hAnsi="Calibri" w:eastAsia="微软雅黑"/>
                <w:b w:val="0"/>
                <w:i w:val="0"/>
                <w:sz w:val="18"/>
              </w:rPr>
              <w:t>P3016</w:t>
            </w:r>
          </w:p>
        </w:tc>
      </w:tr>
      <w:tr>
        <w:tc>
          <w:tcPr>
            <w:tcW w:type="dxa" w:w="1383"/>
          </w:tcPr>
          <w:p>
            <w:r/>
            <w:r>
              <w:rPr>
                <w:rFonts w:ascii="Calibri" w:hAnsi="Calibri" w:eastAsia="微软雅黑"/>
                <w:b w:val="0"/>
                <w:i w:val="0"/>
                <w:sz w:val="18"/>
              </w:rPr>
              <w:t>采购脱节</w:t>
            </w:r>
          </w:p>
        </w:tc>
        <w:tc>
          <w:tcPr>
            <w:tcW w:type="dxa" w:w="1383"/>
          </w:tcPr>
          <w:p>
            <w:r/>
            <w:r>
              <w:rPr>
                <w:rFonts w:ascii="Calibri" w:hAnsi="Calibri" w:eastAsia="微软雅黑"/>
                <w:b w:val="0"/>
                <w:i w:val="0"/>
                <w:sz w:val="18"/>
              </w:rPr>
              <w:t>天府永兴实验室（实务文章）</w:t>
            </w:r>
          </w:p>
        </w:tc>
        <w:tc>
          <w:tcPr>
            <w:tcW w:type="dxa" w:w="1383"/>
          </w:tcPr>
          <w:p>
            <w:r/>
            <w:r>
              <w:rPr>
                <w:rFonts w:ascii="Calibri" w:hAnsi="Calibri" w:eastAsia="微软雅黑"/>
                <w:b w:val="0"/>
                <w:i w:val="0"/>
                <w:sz w:val="18"/>
              </w:rPr>
              <w:t>总投资10亿元</w:t>
            </w:r>
          </w:p>
        </w:tc>
        <w:tc>
          <w:tcPr>
            <w:tcW w:type="dxa" w:w="1383"/>
          </w:tcPr>
          <w:p>
            <w:r/>
            <w:r>
              <w:rPr>
                <w:rFonts w:ascii="Calibri" w:hAnsi="Calibri" w:eastAsia="微软雅黑"/>
                <w:b w:val="0"/>
                <w:i w:val="0"/>
                <w:sz w:val="18"/>
              </w:rPr>
              <w:t>潜在亏损2000万；交货期14个月对总工期18个月</w:t>
            </w:r>
          </w:p>
        </w:tc>
        <w:tc>
          <w:tcPr>
            <w:tcW w:type="dxa" w:w="1383"/>
          </w:tcPr>
          <w:p>
            <w:r/>
            <w:r>
              <w:rPr>
                <w:rFonts w:ascii="Calibri" w:hAnsi="Calibri" w:eastAsia="微软雅黑"/>
                <w:b w:val="0"/>
                <w:i w:val="0"/>
                <w:sz w:val="18"/>
              </w:rPr>
              <w:t>周期占比≈77.8%</w:t>
            </w:r>
          </w:p>
        </w:tc>
        <w:tc>
          <w:tcPr>
            <w:tcW w:type="dxa" w:w="1383"/>
          </w:tcPr>
          <w:p>
            <w:r/>
            <w:r>
              <w:rPr>
                <w:rFonts w:ascii="Calibri" w:hAnsi="Calibri" w:eastAsia="微软雅黑"/>
                <w:b w:val="0"/>
                <w:i w:val="0"/>
                <w:sz w:val="18"/>
              </w:rPr>
              <w:t>P3001</w:t>
            </w:r>
          </w:p>
        </w:tc>
      </w:tr>
      <w:tr>
        <w:tc>
          <w:tcPr>
            <w:tcW w:type="dxa" w:w="1383"/>
          </w:tcPr>
          <w:p>
            <w:r/>
            <w:r>
              <w:rPr>
                <w:rFonts w:ascii="Calibri" w:hAnsi="Calibri" w:eastAsia="微软雅黑"/>
                <w:b w:val="0"/>
                <w:i w:val="0"/>
                <w:sz w:val="18"/>
              </w:rPr>
              <w:t>报价压低</w:t>
            </w:r>
          </w:p>
        </w:tc>
        <w:tc>
          <w:tcPr>
            <w:tcW w:type="dxa" w:w="1383"/>
          </w:tcPr>
          <w:p>
            <w:r/>
            <w:r>
              <w:rPr>
                <w:rFonts w:ascii="Calibri" w:hAnsi="Calibri" w:eastAsia="微软雅黑"/>
                <w:b w:val="0"/>
                <w:i w:val="0"/>
                <w:sz w:val="18"/>
              </w:rPr>
              <w:t>五郎河EPC（2018）云民初168号</w:t>
            </w:r>
          </w:p>
        </w:tc>
        <w:tc>
          <w:tcPr>
            <w:tcW w:type="dxa" w:w="1383"/>
          </w:tcPr>
          <w:p>
            <w:r/>
            <w:r>
              <w:rPr>
                <w:rFonts w:ascii="Calibri" w:hAnsi="Calibri" w:eastAsia="微软雅黑"/>
                <w:b w:val="0"/>
                <w:i w:val="0"/>
                <w:sz w:val="18"/>
              </w:rPr>
              <w:t>首次报价194351955元</w:t>
            </w:r>
          </w:p>
        </w:tc>
        <w:tc>
          <w:tcPr>
            <w:tcW w:type="dxa" w:w="1383"/>
          </w:tcPr>
          <w:p>
            <w:r/>
            <w:r>
              <w:rPr>
                <w:rFonts w:ascii="Calibri" w:hAnsi="Calibri" w:eastAsia="微软雅黑"/>
                <w:b w:val="0"/>
                <w:i w:val="0"/>
                <w:sz w:val="18"/>
              </w:rPr>
              <w:t>三次压价累计20033955元</w:t>
            </w:r>
          </w:p>
        </w:tc>
        <w:tc>
          <w:tcPr>
            <w:tcW w:type="dxa" w:w="1383"/>
          </w:tcPr>
          <w:p>
            <w:r/>
            <w:r>
              <w:rPr>
                <w:rFonts w:ascii="Calibri" w:hAnsi="Calibri" w:eastAsia="微软雅黑"/>
                <w:b w:val="0"/>
                <w:i w:val="0"/>
                <w:sz w:val="18"/>
              </w:rPr>
              <w:t>≈10.3%</w:t>
            </w:r>
          </w:p>
        </w:tc>
        <w:tc>
          <w:tcPr>
            <w:tcW w:type="dxa" w:w="1383"/>
          </w:tcPr>
          <w:p>
            <w:r/>
            <w:r>
              <w:rPr>
                <w:rFonts w:ascii="Calibri" w:hAnsi="Calibri" w:eastAsia="微软雅黑"/>
                <w:b w:val="0"/>
                <w:i w:val="0"/>
                <w:sz w:val="18"/>
              </w:rPr>
              <w:t>P3014</w:t>
            </w:r>
          </w:p>
        </w:tc>
      </w:tr>
      <w:tr>
        <w:tc>
          <w:tcPr>
            <w:tcW w:type="dxa" w:w="1383"/>
          </w:tcPr>
          <w:p>
            <w:r/>
            <w:r>
              <w:rPr>
                <w:rFonts w:ascii="Calibri" w:hAnsi="Calibri" w:eastAsia="微软雅黑"/>
                <w:b w:val="0"/>
                <w:i w:val="0"/>
                <w:sz w:val="18"/>
              </w:rPr>
              <w:t>预算让价</w:t>
            </w:r>
          </w:p>
        </w:tc>
        <w:tc>
          <w:tcPr>
            <w:tcW w:type="dxa" w:w="1383"/>
          </w:tcPr>
          <w:p>
            <w:r/>
            <w:r>
              <w:rPr>
                <w:rFonts w:ascii="Calibri" w:hAnsi="Calibri" w:eastAsia="微软雅黑"/>
                <w:b w:val="0"/>
                <w:i w:val="0"/>
                <w:sz w:val="18"/>
              </w:rPr>
              <w:t>佛山工厂（2013）佛中法民一终字第2482号</w:t>
            </w:r>
          </w:p>
        </w:tc>
        <w:tc>
          <w:tcPr>
            <w:tcW w:type="dxa" w:w="1383"/>
          </w:tcPr>
          <w:p>
            <w:r/>
            <w:r>
              <w:rPr>
                <w:rFonts w:ascii="Calibri" w:hAnsi="Calibri" w:eastAsia="微软雅黑"/>
                <w:b w:val="0"/>
                <w:i w:val="0"/>
                <w:sz w:val="18"/>
              </w:rPr>
              <w:t>预算合计14872493.46元</w:t>
            </w:r>
          </w:p>
        </w:tc>
        <w:tc>
          <w:tcPr>
            <w:tcW w:type="dxa" w:w="1383"/>
          </w:tcPr>
          <w:p>
            <w:r/>
            <w:r>
              <w:rPr>
                <w:rFonts w:ascii="Calibri" w:hAnsi="Calibri" w:eastAsia="微软雅黑"/>
                <w:b w:val="0"/>
                <w:i w:val="0"/>
                <w:sz w:val="18"/>
              </w:rPr>
              <w:t>合同价合计13985000元</w:t>
            </w:r>
          </w:p>
        </w:tc>
        <w:tc>
          <w:tcPr>
            <w:tcW w:type="dxa" w:w="1383"/>
          </w:tcPr>
          <w:p>
            <w:r/>
            <w:r>
              <w:rPr>
                <w:rFonts w:ascii="Calibri" w:hAnsi="Calibri" w:eastAsia="微软雅黑"/>
                <w:b w:val="0"/>
                <w:i w:val="0"/>
                <w:sz w:val="18"/>
              </w:rPr>
              <w:t>让价887493.46元≈6.0%</w:t>
            </w:r>
          </w:p>
        </w:tc>
        <w:tc>
          <w:tcPr>
            <w:tcW w:type="dxa" w:w="1383"/>
          </w:tcPr>
          <w:p>
            <w:r/>
            <w:r>
              <w:rPr>
                <w:rFonts w:ascii="Calibri" w:hAnsi="Calibri" w:eastAsia="微软雅黑"/>
                <w:b w:val="0"/>
                <w:i w:val="0"/>
                <w:sz w:val="18"/>
              </w:rPr>
              <w:t>P3007</w:t>
            </w:r>
          </w:p>
        </w:tc>
      </w:tr>
      <w:tr>
        <w:tc>
          <w:tcPr>
            <w:tcW w:type="dxa" w:w="1383"/>
          </w:tcPr>
          <w:p>
            <w:r/>
            <w:r>
              <w:rPr>
                <w:rFonts w:ascii="Calibri" w:hAnsi="Calibri" w:eastAsia="微软雅黑"/>
                <w:b w:val="0"/>
                <w:i w:val="0"/>
                <w:sz w:val="18"/>
              </w:rPr>
              <w:t>劳务纠纷</w:t>
            </w:r>
          </w:p>
        </w:tc>
        <w:tc>
          <w:tcPr>
            <w:tcW w:type="dxa" w:w="1383"/>
          </w:tcPr>
          <w:p>
            <w:r/>
            <w:r>
              <w:rPr>
                <w:rFonts w:ascii="Calibri" w:hAnsi="Calibri" w:eastAsia="微软雅黑"/>
                <w:b w:val="0"/>
                <w:i w:val="0"/>
                <w:sz w:val="18"/>
              </w:rPr>
              <w:t>刘兆伟（2017）粤0605民初220号</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劳务费29429235.05元+设备损失6658434.37元</w:t>
            </w:r>
          </w:p>
        </w:tc>
        <w:tc>
          <w:tcPr>
            <w:tcW w:type="dxa" w:w="1383"/>
          </w:tcPr>
          <w:p>
            <w:r/>
            <w:r>
              <w:rPr>
                <w:rFonts w:ascii="Calibri" w:hAnsi="Calibri" w:eastAsia="微软雅黑"/>
                <w:b w:val="0"/>
                <w:i w:val="0"/>
                <w:sz w:val="18"/>
              </w:rPr>
              <w:t>合计36087669.42元</w:t>
            </w:r>
          </w:p>
        </w:tc>
        <w:tc>
          <w:tcPr>
            <w:tcW w:type="dxa" w:w="1383"/>
          </w:tcPr>
          <w:p>
            <w:r/>
            <w:r>
              <w:rPr>
                <w:rFonts w:ascii="Calibri" w:hAnsi="Calibri" w:eastAsia="微软雅黑"/>
                <w:b w:val="0"/>
                <w:i w:val="0"/>
                <w:sz w:val="18"/>
              </w:rPr>
              <w:t>P3020</w:t>
            </w:r>
          </w:p>
        </w:tc>
      </w:tr>
      <w:tr>
        <w:tc>
          <w:tcPr>
            <w:tcW w:type="dxa" w:w="1383"/>
          </w:tcPr>
          <w:p>
            <w:r/>
            <w:r>
              <w:rPr>
                <w:rFonts w:ascii="Calibri" w:hAnsi="Calibri" w:eastAsia="微软雅黑"/>
                <w:b w:val="0"/>
                <w:i w:val="0"/>
                <w:sz w:val="18"/>
              </w:rPr>
              <w:t>收回再委托</w:t>
            </w:r>
          </w:p>
        </w:tc>
        <w:tc>
          <w:tcPr>
            <w:tcW w:type="dxa" w:w="1383"/>
          </w:tcPr>
          <w:p>
            <w:r/>
            <w:r>
              <w:rPr>
                <w:rFonts w:ascii="Calibri" w:hAnsi="Calibri" w:eastAsia="微软雅黑"/>
                <w:b w:val="0"/>
                <w:i w:val="0"/>
                <w:sz w:val="18"/>
              </w:rPr>
              <w:t>鸿山热电（2020）闽民再156号</w:t>
            </w:r>
          </w:p>
        </w:tc>
        <w:tc>
          <w:tcPr>
            <w:tcW w:type="dxa" w:w="1383"/>
          </w:tcPr>
          <w:p>
            <w:r/>
            <w:r>
              <w:rPr>
                <w:rFonts w:ascii="Calibri" w:hAnsi="Calibri" w:eastAsia="微软雅黑"/>
                <w:b w:val="0"/>
                <w:i w:val="0"/>
                <w:sz w:val="18"/>
              </w:rPr>
              <w:t>回收价550万元</w:t>
            </w:r>
          </w:p>
        </w:tc>
        <w:tc>
          <w:tcPr>
            <w:tcW w:type="dxa" w:w="1383"/>
          </w:tcPr>
          <w:p>
            <w:r/>
            <w:r>
              <w:rPr>
                <w:rFonts w:ascii="Calibri" w:hAnsi="Calibri" w:eastAsia="微软雅黑"/>
                <w:b w:val="0"/>
                <w:i w:val="0"/>
                <w:sz w:val="18"/>
              </w:rPr>
              <w:t>另行委托941.85万元</w:t>
            </w:r>
          </w:p>
        </w:tc>
        <w:tc>
          <w:tcPr>
            <w:tcW w:type="dxa" w:w="1383"/>
          </w:tcPr>
          <w:p>
            <w:r/>
            <w:r>
              <w:rPr>
                <w:rFonts w:ascii="Calibri" w:hAnsi="Calibri" w:eastAsia="微软雅黑"/>
                <w:b w:val="0"/>
                <w:i w:val="0"/>
                <w:sz w:val="18"/>
              </w:rPr>
              <w:t>差额391.85万元，≈1.71倍</w:t>
            </w:r>
          </w:p>
        </w:tc>
        <w:tc>
          <w:tcPr>
            <w:tcW w:type="dxa" w:w="1383"/>
          </w:tcPr>
          <w:p>
            <w:r/>
            <w:r>
              <w:rPr>
                <w:rFonts w:ascii="Calibri" w:hAnsi="Calibri" w:eastAsia="微软雅黑"/>
                <w:b w:val="0"/>
                <w:i w:val="0"/>
                <w:sz w:val="18"/>
              </w:rPr>
              <w:t>P3034</w:t>
            </w:r>
          </w:p>
        </w:tc>
      </w:tr>
      <w:tr>
        <w:tc>
          <w:tcPr>
            <w:tcW w:type="dxa" w:w="1383"/>
          </w:tcPr>
          <w:p>
            <w:r/>
            <w:r>
              <w:rPr>
                <w:rFonts w:ascii="Calibri" w:hAnsi="Calibri" w:eastAsia="微软雅黑"/>
                <w:b w:val="0"/>
                <w:i w:val="0"/>
                <w:sz w:val="18"/>
              </w:rPr>
              <w:t>冒名诈骗</w:t>
            </w:r>
          </w:p>
        </w:tc>
        <w:tc>
          <w:tcPr>
            <w:tcW w:type="dxa" w:w="1383"/>
          </w:tcPr>
          <w:p>
            <w:r/>
            <w:r>
              <w:rPr>
                <w:rFonts w:ascii="Calibri" w:hAnsi="Calibri" w:eastAsia="微软雅黑"/>
                <w:b w:val="0"/>
                <w:i w:val="0"/>
                <w:sz w:val="18"/>
              </w:rPr>
              <w:t>浪卡子光伏（2019）藏05刑初3号</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骗取保证金860万元（200万元未遂）</w:t>
            </w:r>
          </w:p>
        </w:tc>
        <w:tc>
          <w:tcPr>
            <w:tcW w:type="dxa" w:w="1383"/>
          </w:tcPr>
          <w:p>
            <w:r/>
            <w:r>
              <w:rPr>
                <w:rFonts w:ascii="Calibri" w:hAnsi="Calibri" w:eastAsia="微软雅黑"/>
                <w:b w:val="0"/>
                <w:i w:val="0"/>
                <w:sz w:val="18"/>
              </w:rPr>
              <w:t>—</w:t>
            </w:r>
          </w:p>
        </w:tc>
        <w:tc>
          <w:tcPr>
            <w:tcW w:type="dxa" w:w="1383"/>
          </w:tcPr>
          <w:p>
            <w:r/>
            <w:r>
              <w:rPr>
                <w:rFonts w:ascii="Calibri" w:hAnsi="Calibri" w:eastAsia="微软雅黑"/>
                <w:b w:val="0"/>
                <w:i w:val="0"/>
                <w:sz w:val="18"/>
              </w:rPr>
              <w:t>P3011</w:t>
            </w:r>
          </w:p>
        </w:tc>
      </w:tr>
      <w:tr>
        <w:tc>
          <w:tcPr>
            <w:tcW w:type="dxa" w:w="1383"/>
          </w:tcPr>
          <w:p>
            <w:r/>
            <w:r>
              <w:rPr>
                <w:rFonts w:ascii="Calibri" w:hAnsi="Calibri" w:eastAsia="微软雅黑"/>
                <w:b w:val="0"/>
                <w:i w:val="0"/>
                <w:sz w:val="18"/>
              </w:rPr>
              <w:t>结算拖延</w:t>
            </w:r>
          </w:p>
        </w:tc>
        <w:tc>
          <w:tcPr>
            <w:tcW w:type="dxa" w:w="1383"/>
          </w:tcPr>
          <w:p>
            <w:r/>
            <w:r>
              <w:rPr>
                <w:rFonts w:ascii="Calibri" w:hAnsi="Calibri" w:eastAsia="微软雅黑"/>
                <w:b w:val="0"/>
                <w:i w:val="0"/>
                <w:sz w:val="18"/>
              </w:rPr>
              <w:t>兵团建工（2020）新40民初2号</w:t>
            </w:r>
          </w:p>
        </w:tc>
        <w:tc>
          <w:tcPr>
            <w:tcW w:type="dxa" w:w="1383"/>
          </w:tcPr>
          <w:p>
            <w:r/>
            <w:r>
              <w:rPr>
                <w:rFonts w:ascii="Calibri" w:hAnsi="Calibri" w:eastAsia="微软雅黑"/>
                <w:b w:val="0"/>
                <w:i w:val="0"/>
                <w:sz w:val="18"/>
              </w:rPr>
              <w:t>审定价282,962,209元</w:t>
            </w:r>
          </w:p>
        </w:tc>
        <w:tc>
          <w:tcPr>
            <w:tcW w:type="dxa" w:w="1383"/>
          </w:tcPr>
          <w:p>
            <w:r/>
            <w:r>
              <w:rPr>
                <w:rFonts w:ascii="Calibri" w:hAnsi="Calibri" w:eastAsia="微软雅黑"/>
                <w:b w:val="0"/>
                <w:i w:val="0"/>
                <w:sz w:val="18"/>
              </w:rPr>
              <w:t>欠付51,487,623.82元+利息6,569,761.96元</w:t>
            </w:r>
          </w:p>
        </w:tc>
        <w:tc>
          <w:tcPr>
            <w:tcW w:type="dxa" w:w="1383"/>
          </w:tcPr>
          <w:p>
            <w:r/>
            <w:r>
              <w:rPr>
                <w:rFonts w:ascii="Calibri" w:hAnsi="Calibri" w:eastAsia="微软雅黑"/>
                <w:b w:val="0"/>
                <w:i w:val="0"/>
                <w:sz w:val="18"/>
              </w:rPr>
              <w:t>年利率2.75%、54个月</w:t>
            </w:r>
          </w:p>
        </w:tc>
        <w:tc>
          <w:tcPr>
            <w:tcW w:type="dxa" w:w="1383"/>
          </w:tcPr>
          <w:p>
            <w:r/>
            <w:r>
              <w:rPr>
                <w:rFonts w:ascii="Calibri" w:hAnsi="Calibri" w:eastAsia="微软雅黑"/>
                <w:b w:val="0"/>
                <w:i w:val="0"/>
                <w:sz w:val="18"/>
              </w:rPr>
              <w:t>P3027</w:t>
            </w:r>
          </w:p>
        </w:tc>
      </w:tr>
      <w:tr>
        <w:tc>
          <w:tcPr>
            <w:tcW w:type="dxa" w:w="1383"/>
          </w:tcPr>
          <w:p>
            <w:r/>
            <w:r>
              <w:rPr>
                <w:rFonts w:ascii="Calibri" w:hAnsi="Calibri" w:eastAsia="微软雅黑"/>
                <w:b w:val="0"/>
                <w:i w:val="0"/>
                <w:sz w:val="18"/>
              </w:rPr>
              <w:t>进度款违约</w:t>
            </w:r>
          </w:p>
        </w:tc>
        <w:tc>
          <w:tcPr>
            <w:tcW w:type="dxa" w:w="1383"/>
          </w:tcPr>
          <w:p>
            <w:r/>
            <w:r>
              <w:rPr>
                <w:rFonts w:ascii="Calibri" w:hAnsi="Calibri" w:eastAsia="微软雅黑"/>
                <w:b w:val="0"/>
                <w:i w:val="0"/>
                <w:sz w:val="18"/>
              </w:rPr>
              <w:t>重庆一品（2020）渝01民终985号</w:t>
            </w:r>
          </w:p>
        </w:tc>
        <w:tc>
          <w:tcPr>
            <w:tcW w:type="dxa" w:w="1383"/>
          </w:tcPr>
          <w:p>
            <w:r/>
            <w:r>
              <w:rPr>
                <w:rFonts w:ascii="Calibri" w:hAnsi="Calibri" w:eastAsia="微软雅黑"/>
                <w:b w:val="0"/>
                <w:i w:val="0"/>
                <w:sz w:val="18"/>
              </w:rPr>
              <w:t>欠付基数8576021.90元</w:t>
            </w:r>
          </w:p>
        </w:tc>
        <w:tc>
          <w:tcPr>
            <w:tcW w:type="dxa" w:w="1383"/>
          </w:tcPr>
          <w:p>
            <w:r/>
            <w:r>
              <w:rPr>
                <w:rFonts w:ascii="Calibri" w:hAnsi="Calibri" w:eastAsia="微软雅黑"/>
                <w:b w:val="0"/>
                <w:i w:val="0"/>
                <w:sz w:val="18"/>
              </w:rPr>
              <w:t>进度款违约金3883273元等</w:t>
            </w:r>
          </w:p>
        </w:tc>
        <w:tc>
          <w:tcPr>
            <w:tcW w:type="dxa" w:w="1383"/>
          </w:tcPr>
          <w:p>
            <w:r/>
            <w:r>
              <w:rPr>
                <w:rFonts w:ascii="Calibri" w:hAnsi="Calibri" w:eastAsia="微软雅黑"/>
                <w:b w:val="0"/>
                <w:i w:val="0"/>
                <w:sz w:val="18"/>
              </w:rPr>
              <w:t>年利率24%</w:t>
            </w:r>
          </w:p>
        </w:tc>
        <w:tc>
          <w:tcPr>
            <w:tcW w:type="dxa" w:w="1383"/>
          </w:tcPr>
          <w:p>
            <w:r/>
            <w:r>
              <w:rPr>
                <w:rFonts w:ascii="Calibri" w:hAnsi="Calibri" w:eastAsia="微软雅黑"/>
                <w:b w:val="0"/>
                <w:i w:val="0"/>
                <w:sz w:val="18"/>
              </w:rPr>
              <w:t>P3005</w:t>
            </w:r>
          </w:p>
        </w:tc>
      </w:tr>
    </w:tbl>
    <w:p>
      <w:r>
        <w:rPr>
          <w:rFonts w:ascii="Calibri" w:hAnsi="Calibri" w:eastAsia="微软雅黑"/>
          <w:b w:val="0"/>
          <w:i w:val="0"/>
          <w:sz w:val="22"/>
        </w:rPr>
        <w:t>四点解读。</w:t>
      </w:r>
    </w:p>
    <w:p>
      <w:r>
        <w:rPr>
          <w:rFonts w:ascii="Calibri" w:hAnsi="Calibri" w:eastAsia="微软雅黑"/>
          <w:b w:val="0"/>
          <w:i w:val="0"/>
          <w:sz w:val="22"/>
        </w:rPr>
        <w:t>第一，比例带比绝对值更有信息量。[估计] 变更类的样本带从17.8%到55.7%（P3025、P3024），核减类的样本带从6.7%到11.7%（P3009、P3008），停窝工有月度单价约116.1万元（P3015），工期违约金可以滚到合同额的量级（P3028）。六类通道里没有一类是「小钱」；[假设] 对一个尚未建立变更与签证台账的企业，任何一类通道的敞口都足以吞掉项目的全部利润。</w:t>
      </w:r>
    </w:p>
    <w:p>
      <w:r>
        <w:rPr>
          <w:rFonts w:ascii="Calibri" w:hAnsi="Calibri" w:eastAsia="微软雅黑"/>
          <w:b w:val="0"/>
          <w:i w:val="0"/>
          <w:sz w:val="22"/>
        </w:rPr>
        <w:t>第二，设计院不是旁观者。表内案例中，设计院或设计院牵头的主体反复出现：桐梓案的承包人贵州电力建设第二工程公司（P3004）、再审中主张总价包干的四川电力设计咨询有限责任公司（P3013）、主张停窝工损失的中国电力工程顾问集团中南电力设计院（P3015）、被解除合同的电建西北院联合体（P3022）、被追偿的新疆电力设计院（P3027）、浪卡子光伏的总承包方四川电力设计咨询（P3011）。所谓设计施工脱节，付账的常常正是设计院自己。</w:t>
      </w:r>
    </w:p>
    <w:p>
      <w:r>
        <w:rPr>
          <w:rFonts w:ascii="Calibri" w:hAnsi="Calibri" w:eastAsia="微软雅黑"/>
          <w:b w:val="0"/>
          <w:i w:val="0"/>
          <w:sz w:val="22"/>
        </w:rPr>
        <w:t>第三，时间跨度说明这是结构性问题，不是新病症。表内纠纷的立案与判决时间从2009年1月22日（P3032）一路排到2020年12月（P3034），横跨十余年；争议形态却高度雷同——固定价与流动图纸、变更与扣减、窝工与报送程序。问题不随周期消失，只随管理动作消失。</w:t>
      </w:r>
    </w:p>
    <w:p>
      <w:r>
        <w:rPr>
          <w:rFonts w:ascii="Calibri" w:hAnsi="Calibri" w:eastAsia="微软雅黑"/>
          <w:b w:val="0"/>
          <w:i w:val="0"/>
          <w:sz w:val="22"/>
        </w:rPr>
        <w:t>第四，证据形态决定钱能否拿回。表内案例胜败的分水岭，几乎都落在证据上：会议纪要与工作联系函的采信之争（P3018）、《工作联系单》的签收留痕（P3019）、「施工联系单」的逐单签证（P3032）、司法鉴定对无签字费用与推算金额的取舍（P3004）、三方委托造价咨询并约定结果立即生效（P3027）。[事实] 而行业侧的总结早已给出那句断语：合同纠纷的本质，80%是造价争议；造价争议的背后，90%是合同漏洞（P3009）。</w:t>
      </w:r>
    </w:p>
    <w:p>
      <w:r>
        <w:rPr>
          <w:rFonts w:ascii="Calibri" w:hAnsi="Calibri" w:eastAsia="微软雅黑"/>
          <w:b w:val="0"/>
          <w:i w:val="0"/>
          <w:sz w:val="22"/>
        </w:rPr>
        <w:t>第五，损失的责任归属在样本里两头分布，不是单方面的故事。业主侧原因：逾期移交施工平台（P3004）、资金不足与机组延期（P3015）、拖延结算与付款（P3027、P3006）、临时规划调整（P3025）；承包侧原因：设计进度滞后与人员不到位（P3022）、劳务结算与超付纠纷（P3016）、分包违约被收回（P3034）；还有第三方欺诈（P3011）。[假设] 这提醒读者：底账不是问责表，而是接口表——钱在接口上漏掉，至于从哪个方向漏，取决于谁先失序。一体化的价值在于把接口数量减下来、把每个接口的规则写清楚，而不是在事后把责任推给对方；六个通道里有一半可以从任一方向引燃，这正是「两张皮」的结构性风险。</w:t>
      </w:r>
    </w:p>
    <w:p>
      <w:r>
        <w:rPr>
          <w:rFonts w:ascii="Calibri" w:hAnsi="Calibri" w:eastAsia="微软雅黑"/>
          <w:b w:val="0"/>
          <w:i w:val="0"/>
          <w:sz w:val="22"/>
        </w:rPr>
        <w:t>第六，对照表的正确用法是自问三题。我最近一份已结算项目的变更率，落在17.8%—55.7%样本带的哪个位置（P3025、P3024）？我的结算核减率，距离6.7%与11.7%两个坐标有多远（P3009、P3008）？我现行合同里的工期违约金费率，处在从年利率2.75%到日万分之五的费率光谱哪一档（P3027、P3028）？三题答完，六通道里哪一条最需要在下一个项目立项之前设防，答案通常会自己浮出来；答不出三题的企业，本身就是一个信号——底账从未被翻开过。</w:t>
      </w:r>
    </w:p>
    <w:p>
      <w:r>
        <w:rPr>
          <w:rFonts w:ascii="Calibri" w:hAnsi="Calibri" w:eastAsia="微软雅黑"/>
          <w:b w:val="0"/>
          <w:i w:val="0"/>
          <w:sz w:val="22"/>
        </w:rPr>
        <w:t>这张对照表也可以反过来读：它同时是一份「别人的学费清单」。多数工程企业的事故复盘止步于内部报告，报告不会流通到下一个项目、下一位项目经理；而判决书是公开的、终局的、带金额的复盘，只是散落在裁判文书库里无人整理。把本章十九行对照表压缩成一页纸放进立项评审包，让每一个新项目团队在开工之前读一遍别人的败诉理由，成本几乎为零——这不是抽象的学习方法论，这是直接进口教训。</w:t>
      </w:r>
    </w:p>
    <w:p>
      <w:pPr>
        <w:pStyle w:val="Heading2"/>
      </w:pPr>
      <w:r>
        <w:t>3.4 三把换算尺：把底账搬到自己项目上</w:t>
      </w:r>
    </w:p>
    <w:p>
      <w:r>
        <w:rPr>
          <w:rFonts w:ascii="Calibri" w:hAnsi="Calibri" w:eastAsia="微软雅黑"/>
          <w:b w:val="0"/>
          <w:i w:val="0"/>
          <w:sz w:val="22"/>
        </w:rPr>
        <w:t>底账的价值不在怀旧，在换算。本节把上一节的逐笔底账压缩成三把换算尺，供读者在项目启动前、履约中、结算前三个时点分别使用。每把尺都给出样本来源与算式，读者代入自己项目的数字即可。</w:t>
      </w:r>
    </w:p>
    <w:p>
      <w:pPr>
        <w:pStyle w:val="Heading3"/>
      </w:pPr>
      <w:r>
        <w:t>3.4.1 第一把尺：变更率尺——设计深度的体温计</w:t>
      </w:r>
    </w:p>
    <w:p>
      <w:r>
        <w:rPr>
          <w:rFonts w:ascii="Calibri" w:hAnsi="Calibri" w:eastAsia="微软雅黑"/>
          <w:b w:val="0"/>
          <w:i w:val="0"/>
          <w:sz w:val="22"/>
        </w:rPr>
        <w:t>变更率=变更增加金额÷合同价。[估计] 本章样本给出的带宽是：下限17.8%（武汉四建案，合同外工程597.6953万元对固定总价3350.2089万元，own_calc），上限55.7%（宁夏鑫田案，变更工程款7205791元对中标价12933521.89元，own_calc）（P3025、P3024）。用法：调出本企业过去三年已结算项目，逐个计算变更率；若多数项目落在17.8%以上，说明设计深度与合同范围管理正处在证据库所载的风险区。[预测] 若不增设初步设计深度门禁，按样本带中值own_calc：（17.8%+55.7%）÷2≈36.8%粗估，一个合同额1亿元的项目，其变更增量敞口在三千七百万元量级——这是量级推演，不是精算，用于唤醒预算敏感度，不用于填报。[事实] 变更率的对照基准宜用概算工具锚定：初步设计概算的编制可用概算定额法、概算指标法（修正公式J=J+Q1P1−Q2P2）与类似工程预算法（D=A×K），设备安装可用预算单价法、扩大单价法、设备价值百分比法、综合吨位指标法（P3002）。概算编得细，变更率才有分母；概算编得粗，变更率就只是个事后统计数（P3002）。</w:t>
      </w:r>
    </w:p>
    <w:p>
      <w:pPr>
        <w:pStyle w:val="Heading3"/>
      </w:pPr>
      <w:r>
        <w:t>3.4.2 第二把尺：核减率尺——结算闸门的压力表</w:t>
      </w:r>
    </w:p>
    <w:p>
      <w:r>
        <w:rPr>
          <w:rFonts w:ascii="Calibri" w:hAnsi="Calibri" w:eastAsia="微软雅黑"/>
          <w:b w:val="0"/>
          <w:i w:val="0"/>
          <w:sz w:val="22"/>
        </w:rPr>
        <w:t>核减率=核减额÷报送金额。[估计] 本章两个坐标：6.7%（咨询审核，800万对1.2亿元，own_calc）与11.7%（司法审计，3591240.95元对30636998.18元，own_calc）（P3009、P3008）。用法：以报送金额乘以核减率上限做结算预算留白——报送1亿元的项目，按11.7%留出1170万元的争议空间，检验自身的报价与签证质量。[事实] 核减的五大高发区（工程量重复、定额高套、材料价偏离、签证不规范、取费争议）中，与设计施工脱节直接相关的是「设计变更后未扣减原图纸工程量」与「变更工程量未经验收确认」两条（P3009）。[建议] 结算前九十天启动预审：按五大高发区逐区自查一遍，验证条件是正式审核的核减率降到6.7%以下（以P3009坐标为及格线），停止条件是预审咨询费超过其挽回核减额的一成（P3008、P3009）。核减率尺还可以倒过来用：把6.7%当作结算质量的及格线（P3009），企业可以给自己设一条红线——连续三个项目的核减率都压在及格线之下，才有资格把报价策略从保守调回进取；红线之上，一切利润改善计划都应先让位于签证与资料治理，因为那是在漏水的池子里划桨。</w:t>
      </w:r>
    </w:p>
    <w:p>
      <w:pPr>
        <w:pStyle w:val="Heading3"/>
      </w:pPr>
      <w:r>
        <w:t>3.4.3 第三把尺：工期违约金敞口尺——时间的价格</w:t>
      </w:r>
    </w:p>
    <w:p>
      <w:r>
        <w:rPr>
          <w:rFonts w:ascii="Calibri" w:hAnsi="Calibri" w:eastAsia="微软雅黑"/>
          <w:b w:val="0"/>
          <w:i w:val="0"/>
          <w:sz w:val="22"/>
        </w:rPr>
        <w:t>工期违约金敞口=合同额×日费率×预估延误天数。[事实] 证据库给出的费率光谱：合同约定的「合同总价×（日）万分之五×拖延天数」（P3028）、每日万分之三（P3006）、年利率24%（P3005）、年利率6%（P3020）、年利率2.75%（P3027）、已付款的1%（P3030）。[估计] 日万分之五的年化，own_calc：0.0005×365=18.25%——与民间融资的上沿相当；拖延一年的违约金接近合同价的五分之一，拖延约五年即可吃掉全部合同价（P3028）。用法：以本企业最高日费率合同乘以8%-12%的工期超限坐标（P3000），own_calc示例：合同额100000000元×0.0005×（365×10%）≈1825000元/年——这就是每拖一年的价格标签。[事实] 而工期延误463天、实际工期为约定3倍的样本提醒：延误不是线性小事故，是会翻倍的系统性失速（P3018）。</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费率条款</w:t>
            </w:r>
          </w:p>
        </w:tc>
        <w:tc>
          <w:tcPr>
            <w:tcW w:type="dxa" w:w="2075"/>
            <w:shd w:fill="1F3A5F"/>
          </w:tcPr>
          <w:p>
            <w:r>
              <w:rPr>
                <w:color w:val="FFFFFF"/>
              </w:rPr>
            </w:r>
            <w:r>
              <w:rPr>
                <w:rFonts w:ascii="Calibri" w:hAnsi="Calibri" w:eastAsia="微软雅黑"/>
                <w:b/>
                <w:i w:val="0"/>
                <w:color w:val="FFFFFF"/>
                <w:sz w:val="18"/>
              </w:rPr>
              <w:t>案例来源</w:t>
            </w:r>
          </w:p>
        </w:tc>
        <w:tc>
          <w:tcPr>
            <w:tcW w:type="dxa" w:w="2075"/>
            <w:shd w:fill="1F3A5F"/>
          </w:tcPr>
          <w:p>
            <w:r>
              <w:rPr>
                <w:color w:val="FFFFFF"/>
              </w:rPr>
            </w:r>
            <w:r>
              <w:rPr>
                <w:rFonts w:ascii="Calibri" w:hAnsi="Calibri" w:eastAsia="微软雅黑"/>
                <w:b/>
                <w:i w:val="0"/>
                <w:color w:val="FFFFFF"/>
                <w:sz w:val="18"/>
              </w:rPr>
              <w:t>折算口径</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日万分之五</w:t>
            </w:r>
          </w:p>
        </w:tc>
        <w:tc>
          <w:tcPr>
            <w:tcW w:type="dxa" w:w="2075"/>
          </w:tcPr>
          <w:p>
            <w:r/>
            <w:r>
              <w:rPr>
                <w:rFonts w:ascii="Calibri" w:hAnsi="Calibri" w:eastAsia="微软雅黑"/>
                <w:b w:val="0"/>
                <w:i w:val="0"/>
                <w:sz w:val="18"/>
              </w:rPr>
              <w:t>琥珀美墅工期违约金条款</w:t>
            </w:r>
          </w:p>
        </w:tc>
        <w:tc>
          <w:tcPr>
            <w:tcW w:type="dxa" w:w="2075"/>
          </w:tcPr>
          <w:p>
            <w:r/>
            <w:r>
              <w:rPr>
                <w:rFonts w:ascii="Calibri" w:hAnsi="Calibri" w:eastAsia="微软雅黑"/>
                <w:b w:val="0"/>
                <w:i w:val="0"/>
                <w:sz w:val="18"/>
              </w:rPr>
              <w:t>年化18.25%（own_calc）</w:t>
            </w:r>
          </w:p>
        </w:tc>
        <w:tc>
          <w:tcPr>
            <w:tcW w:type="dxa" w:w="2075"/>
          </w:tcPr>
          <w:p>
            <w:r/>
            <w:r>
              <w:rPr>
                <w:rFonts w:ascii="Calibri" w:hAnsi="Calibri" w:eastAsia="微软雅黑"/>
                <w:b w:val="0"/>
                <w:i w:val="0"/>
                <w:sz w:val="18"/>
              </w:rPr>
              <w:t>P3028</w:t>
            </w:r>
          </w:p>
        </w:tc>
      </w:tr>
      <w:tr>
        <w:tc>
          <w:tcPr>
            <w:tcW w:type="dxa" w:w="2075"/>
          </w:tcPr>
          <w:p>
            <w:r/>
            <w:r>
              <w:rPr>
                <w:rFonts w:ascii="Calibri" w:hAnsi="Calibri" w:eastAsia="微软雅黑"/>
                <w:b w:val="0"/>
                <w:i w:val="0"/>
                <w:sz w:val="18"/>
              </w:rPr>
              <w:t>每日万分之三</w:t>
            </w:r>
          </w:p>
        </w:tc>
        <w:tc>
          <w:tcPr>
            <w:tcW w:type="dxa" w:w="2075"/>
          </w:tcPr>
          <w:p>
            <w:r/>
            <w:r>
              <w:rPr>
                <w:rFonts w:ascii="Calibri" w:hAnsi="Calibri" w:eastAsia="微软雅黑"/>
                <w:b w:val="0"/>
                <w:i w:val="0"/>
                <w:sz w:val="18"/>
              </w:rPr>
              <w:t>重庆建工欠付工程款违约金</w:t>
            </w:r>
          </w:p>
        </w:tc>
        <w:tc>
          <w:tcPr>
            <w:tcW w:type="dxa" w:w="2075"/>
          </w:tcPr>
          <w:p>
            <w:r/>
            <w:r>
              <w:rPr>
                <w:rFonts w:ascii="Calibri" w:hAnsi="Calibri" w:eastAsia="微软雅黑"/>
                <w:b w:val="0"/>
                <w:i w:val="0"/>
                <w:sz w:val="18"/>
              </w:rPr>
              <w:t>年化10.95%（own_calc）</w:t>
            </w:r>
          </w:p>
        </w:tc>
        <w:tc>
          <w:tcPr>
            <w:tcW w:type="dxa" w:w="2075"/>
          </w:tcPr>
          <w:p>
            <w:r/>
            <w:r>
              <w:rPr>
                <w:rFonts w:ascii="Calibri" w:hAnsi="Calibri" w:eastAsia="微软雅黑"/>
                <w:b w:val="0"/>
                <w:i w:val="0"/>
                <w:sz w:val="18"/>
              </w:rPr>
              <w:t>P3006</w:t>
            </w:r>
          </w:p>
        </w:tc>
      </w:tr>
      <w:tr>
        <w:tc>
          <w:tcPr>
            <w:tcW w:type="dxa" w:w="2075"/>
          </w:tcPr>
          <w:p>
            <w:r/>
            <w:r>
              <w:rPr>
                <w:rFonts w:ascii="Calibri" w:hAnsi="Calibri" w:eastAsia="微软雅黑"/>
                <w:b w:val="0"/>
                <w:i w:val="0"/>
                <w:sz w:val="18"/>
              </w:rPr>
              <w:t>年利率24%</w:t>
            </w:r>
          </w:p>
        </w:tc>
        <w:tc>
          <w:tcPr>
            <w:tcW w:type="dxa" w:w="2075"/>
          </w:tcPr>
          <w:p>
            <w:r/>
            <w:r>
              <w:rPr>
                <w:rFonts w:ascii="Calibri" w:hAnsi="Calibri" w:eastAsia="微软雅黑"/>
                <w:b w:val="0"/>
                <w:i w:val="0"/>
                <w:sz w:val="18"/>
              </w:rPr>
              <w:t>重庆一品逾期付款违约金</w:t>
            </w:r>
          </w:p>
        </w:tc>
        <w:tc>
          <w:tcPr>
            <w:tcW w:type="dxa" w:w="2075"/>
          </w:tcPr>
          <w:p>
            <w:r/>
            <w:r>
              <w:rPr>
                <w:rFonts w:ascii="Calibri" w:hAnsi="Calibri" w:eastAsia="微软雅黑"/>
                <w:b w:val="0"/>
                <w:i w:val="0"/>
                <w:sz w:val="18"/>
              </w:rPr>
              <w:t>年化24%</w:t>
            </w:r>
          </w:p>
        </w:tc>
        <w:tc>
          <w:tcPr>
            <w:tcW w:type="dxa" w:w="2075"/>
          </w:tcPr>
          <w:p>
            <w:r/>
            <w:r>
              <w:rPr>
                <w:rFonts w:ascii="Calibri" w:hAnsi="Calibri" w:eastAsia="微软雅黑"/>
                <w:b w:val="0"/>
                <w:i w:val="0"/>
                <w:sz w:val="18"/>
              </w:rPr>
              <w:t>P3005</w:t>
            </w:r>
          </w:p>
        </w:tc>
      </w:tr>
      <w:tr>
        <w:tc>
          <w:tcPr>
            <w:tcW w:type="dxa" w:w="2075"/>
          </w:tcPr>
          <w:p>
            <w:r/>
            <w:r>
              <w:rPr>
                <w:rFonts w:ascii="Calibri" w:hAnsi="Calibri" w:eastAsia="微软雅黑"/>
                <w:b w:val="0"/>
                <w:i w:val="0"/>
                <w:sz w:val="18"/>
              </w:rPr>
              <w:t>年利率6%</w:t>
            </w:r>
          </w:p>
        </w:tc>
        <w:tc>
          <w:tcPr>
            <w:tcW w:type="dxa" w:w="2075"/>
          </w:tcPr>
          <w:p>
            <w:r/>
            <w:r>
              <w:rPr>
                <w:rFonts w:ascii="Calibri" w:hAnsi="Calibri" w:eastAsia="微软雅黑"/>
                <w:b w:val="0"/>
                <w:i w:val="0"/>
                <w:sz w:val="18"/>
              </w:rPr>
              <w:t>刘兆伟劳务费利息主张</w:t>
            </w:r>
          </w:p>
        </w:tc>
        <w:tc>
          <w:tcPr>
            <w:tcW w:type="dxa" w:w="2075"/>
          </w:tcPr>
          <w:p>
            <w:r/>
            <w:r>
              <w:rPr>
                <w:rFonts w:ascii="Calibri" w:hAnsi="Calibri" w:eastAsia="微软雅黑"/>
                <w:b w:val="0"/>
                <w:i w:val="0"/>
                <w:sz w:val="18"/>
              </w:rPr>
              <w:t>年化6%</w:t>
            </w:r>
          </w:p>
        </w:tc>
        <w:tc>
          <w:tcPr>
            <w:tcW w:type="dxa" w:w="2075"/>
          </w:tcPr>
          <w:p>
            <w:r/>
            <w:r>
              <w:rPr>
                <w:rFonts w:ascii="Calibri" w:hAnsi="Calibri" w:eastAsia="微软雅黑"/>
                <w:b w:val="0"/>
                <w:i w:val="0"/>
                <w:sz w:val="18"/>
              </w:rPr>
              <w:t>P3020</w:t>
            </w:r>
          </w:p>
        </w:tc>
      </w:tr>
      <w:tr>
        <w:tc>
          <w:tcPr>
            <w:tcW w:type="dxa" w:w="2075"/>
          </w:tcPr>
          <w:p>
            <w:r/>
            <w:r>
              <w:rPr>
                <w:rFonts w:ascii="Calibri" w:hAnsi="Calibri" w:eastAsia="微软雅黑"/>
                <w:b w:val="0"/>
                <w:i w:val="0"/>
                <w:sz w:val="18"/>
              </w:rPr>
              <w:t>年利率2.75%</w:t>
            </w:r>
          </w:p>
        </w:tc>
        <w:tc>
          <w:tcPr>
            <w:tcW w:type="dxa" w:w="2075"/>
          </w:tcPr>
          <w:p>
            <w:r/>
            <w:r>
              <w:rPr>
                <w:rFonts w:ascii="Calibri" w:hAnsi="Calibri" w:eastAsia="微软雅黑"/>
                <w:b w:val="0"/>
                <w:i w:val="0"/>
                <w:sz w:val="18"/>
              </w:rPr>
              <w:t>兵团建工利息（54个月）</w:t>
            </w:r>
          </w:p>
        </w:tc>
        <w:tc>
          <w:tcPr>
            <w:tcW w:type="dxa" w:w="2075"/>
          </w:tcPr>
          <w:p>
            <w:r/>
            <w:r>
              <w:rPr>
                <w:rFonts w:ascii="Calibri" w:hAnsi="Calibri" w:eastAsia="微软雅黑"/>
                <w:b w:val="0"/>
                <w:i w:val="0"/>
                <w:sz w:val="18"/>
              </w:rPr>
              <w:t>年化2.75%</w:t>
            </w:r>
          </w:p>
        </w:tc>
        <w:tc>
          <w:tcPr>
            <w:tcW w:type="dxa" w:w="2075"/>
          </w:tcPr>
          <w:p>
            <w:r/>
            <w:r>
              <w:rPr>
                <w:rFonts w:ascii="Calibri" w:hAnsi="Calibri" w:eastAsia="微软雅黑"/>
                <w:b w:val="0"/>
                <w:i w:val="0"/>
                <w:sz w:val="18"/>
              </w:rPr>
              <w:t>P3027</w:t>
            </w:r>
          </w:p>
        </w:tc>
      </w:tr>
      <w:tr>
        <w:tc>
          <w:tcPr>
            <w:tcW w:type="dxa" w:w="2075"/>
          </w:tcPr>
          <w:p>
            <w:r/>
            <w:r>
              <w:rPr>
                <w:rFonts w:ascii="Calibri" w:hAnsi="Calibri" w:eastAsia="微软雅黑"/>
                <w:b w:val="0"/>
                <w:i w:val="0"/>
                <w:sz w:val="18"/>
              </w:rPr>
              <w:t>已付款的1%</w:t>
            </w:r>
          </w:p>
        </w:tc>
        <w:tc>
          <w:tcPr>
            <w:tcW w:type="dxa" w:w="2075"/>
          </w:tcPr>
          <w:p>
            <w:r/>
            <w:r>
              <w:rPr>
                <w:rFonts w:ascii="Calibri" w:hAnsi="Calibri" w:eastAsia="微软雅黑"/>
                <w:b w:val="0"/>
                <w:i w:val="0"/>
                <w:sz w:val="18"/>
              </w:rPr>
              <w:t>福州永昇解约违约金</w:t>
            </w:r>
          </w:p>
        </w:tc>
        <w:tc>
          <w:tcPr>
            <w:tcW w:type="dxa" w:w="2075"/>
          </w:tcPr>
          <w:p>
            <w:r/>
            <w:r>
              <w:rPr>
                <w:rFonts w:ascii="Calibri" w:hAnsi="Calibri" w:eastAsia="微软雅黑"/>
                <w:b w:val="0"/>
                <w:i w:val="0"/>
                <w:sz w:val="18"/>
              </w:rPr>
              <w:t>一次性</w:t>
            </w:r>
          </w:p>
        </w:tc>
        <w:tc>
          <w:tcPr>
            <w:tcW w:type="dxa" w:w="2075"/>
          </w:tcPr>
          <w:p>
            <w:r/>
            <w:r>
              <w:rPr>
                <w:rFonts w:ascii="Calibri" w:hAnsi="Calibri" w:eastAsia="微软雅黑"/>
                <w:b w:val="0"/>
                <w:i w:val="0"/>
                <w:sz w:val="18"/>
              </w:rPr>
              <w:t>P3030</w:t>
            </w:r>
          </w:p>
        </w:tc>
      </w:tr>
      <w:tr>
        <w:tc>
          <w:tcPr>
            <w:tcW w:type="dxa" w:w="2075"/>
          </w:tcPr>
          <w:p>
            <w:r/>
            <w:r>
              <w:rPr>
                <w:rFonts w:ascii="Calibri" w:hAnsi="Calibri" w:eastAsia="微软雅黑"/>
                <w:b w:val="0"/>
                <w:i w:val="0"/>
                <w:sz w:val="18"/>
              </w:rPr>
              <w:t>每天1000元</w:t>
            </w:r>
          </w:p>
        </w:tc>
        <w:tc>
          <w:tcPr>
            <w:tcW w:type="dxa" w:w="2075"/>
          </w:tcPr>
          <w:p>
            <w:r/>
            <w:r>
              <w:rPr>
                <w:rFonts w:ascii="Calibri" w:hAnsi="Calibri" w:eastAsia="微软雅黑"/>
                <w:b w:val="0"/>
                <w:i w:val="0"/>
                <w:sz w:val="18"/>
              </w:rPr>
              <w:t>竣工验收备案资料迟延</w:t>
            </w:r>
          </w:p>
        </w:tc>
        <w:tc>
          <w:tcPr>
            <w:tcW w:type="dxa" w:w="2075"/>
          </w:tcPr>
          <w:p>
            <w:r/>
            <w:r>
              <w:rPr>
                <w:rFonts w:ascii="Calibri" w:hAnsi="Calibri" w:eastAsia="微软雅黑"/>
                <w:b w:val="0"/>
                <w:i w:val="0"/>
                <w:sz w:val="18"/>
              </w:rPr>
              <w:t>按天计</w:t>
            </w:r>
          </w:p>
        </w:tc>
        <w:tc>
          <w:tcPr>
            <w:tcW w:type="dxa" w:w="2075"/>
          </w:tcPr>
          <w:p>
            <w:r/>
            <w:r>
              <w:rPr>
                <w:rFonts w:ascii="Calibri" w:hAnsi="Calibri" w:eastAsia="微软雅黑"/>
                <w:b w:val="0"/>
                <w:i w:val="0"/>
                <w:sz w:val="18"/>
              </w:rPr>
              <w:t>P3028</w:t>
            </w:r>
          </w:p>
        </w:tc>
      </w:tr>
    </w:tbl>
    <w:p>
      <w:r>
        <w:rPr>
          <w:rFonts w:ascii="Calibri" w:hAnsi="Calibri" w:eastAsia="微软雅黑"/>
          <w:b w:val="0"/>
          <w:i w:val="0"/>
          <w:sz w:val="22"/>
        </w:rPr>
        <w:t>费率光谱的跨度本身就值得驻足：同为资金占用的计价，从年利率2.75%（P3027）到24%（P3005）相差近九倍（own_calc：24÷2.75≈8.7）；同为时间迟延的计价，从每天1000元（P3028）到日万分之五（P3028）不等。合同里一行字的费率差异，放大到亿元级合同上就是七位数的年度差价；谈判时对费率条款的每一分坚持，都是对时间价格的重新定价——而在设计施工脱节的项目里，时间恰恰是被挥霍得最随意的资源。</w:t>
      </w:r>
    </w:p>
    <w:p>
      <w:pPr>
        <w:pStyle w:val="Heading3"/>
      </w:pPr>
      <w:r>
        <w:t>3.4.4 三本台账与两条纪律</w:t>
      </w:r>
    </w:p>
    <w:p>
      <w:r>
        <w:rPr>
          <w:rFonts w:ascii="Calibri" w:hAnsi="Calibri" w:eastAsia="微软雅黑"/>
          <w:b w:val="0"/>
          <w:i w:val="0"/>
          <w:sz w:val="22"/>
        </w:rPr>
        <w:t>三把尺之外，本章全部案例指向一组低成本的基础设施。[建议] 建三本台账：变更台账（每笔变更挂初设深度缺陷类型，参照锁链六环节归类，P3001）、签证台账（签字手续、描述清晰度、原始记录三栏齐全度，对照五大高发区第四条，P3009）、图纸与参数交付台账（出图节点对采购计划的偏差，对照14个月对18个月的样本，P3001）。验证条件：三本台账连续两个季度保持全条目完整；停止条件：台账维护工时超过当季变更与索赔挽回金额的一成。</w:t>
      </w:r>
    </w:p>
    <w:p>
      <w:r>
        <w:rPr>
          <w:rFonts w:ascii="Calibri" w:hAnsi="Calibri" w:eastAsia="微软雅黑"/>
          <w:b w:val="0"/>
          <w:i w:val="0"/>
          <w:sz w:val="22"/>
        </w:rPr>
        <w:t>[建议] 两条纪律写进项目章程。其一，证据纪律：损失报告、停工通知、索赔函一律按合同约定的对象、方式、时限报送——桐梓案里窝工事实成立而损失不获支持，输的就是报送程序（P3004）；会议纪要与工作联系单要签收留痕，这是多起案件的胜负手（P3018、P3019）。其二，报价纪律：签约价与中标价必须互为镜像、逐项核对——投标价与合同价之间61528745元的落差，能让整份EPC合同被拖进效力之争（P3004）；对业主口头压价的要求，宁可走补充协议留痕，也不做无痕让步（P3014）。这两条纪律不花一分钱，却各自对应着千万级的判例损失。</w:t>
      </w:r>
    </w:p>
    <w:p>
      <w:r>
        <w:rPr>
          <w:rFonts w:ascii="Calibri" w:hAnsi="Calibri" w:eastAsia="微软雅黑"/>
          <w:b w:val="0"/>
          <w:i w:val="0"/>
          <w:sz w:val="22"/>
        </w:rPr>
        <w:t>最后提醒一个心理账户问题：这三本台账在财务报表上都不显形。变更藏在合同履约成本里，核减发生在结算之后，签证质量只有在诉讼或审计时才被看见——它们是典型的「沉默成本」，平时无人认领，爆雷时全员分摊。[建议] 给台账设一个月度看板，把变更率、签证完整率、图纸交付偏差率三个数摆到与产值、回款同等的位置；验证条件是管理层例会上有人主动追问这三个数，停止条件是连续两个季度三项指标均处于阈值之内且期间无新签大额合同。看不见的科目不会被管理，这是会计的基本常识，也是利润保卫战的第一阵地。</w:t>
      </w:r>
    </w:p>
    <w:p>
      <w:pPr>
        <w:pStyle w:val="Heading3"/>
      </w:pPr>
      <w:r>
        <w:t>3.4.5 一套走查：从合同额到敞口清单</w:t>
      </w:r>
    </w:p>
    <w:p>
      <w:r>
        <w:rPr>
          <w:rFonts w:ascii="Calibri" w:hAnsi="Calibri" w:eastAsia="微软雅黑"/>
          <w:b w:val="0"/>
          <w:i w:val="0"/>
          <w:sz w:val="22"/>
        </w:rPr>
        <w:t>把三把尺串成一次完整走查，以一份假设的1亿元合同为例（输入值为示例，读者代入自己的数字即可）。第一步，变更敞口：按样本带中值own_calc：1亿×36.8%≈3680万元，这是设计深度不足时变更增量的量级；若初设深度门禁到位，参照样本带下限own_calc：1亿×17.8%≈1780万元，两个读数之差就是门禁的价值区间（P3024、P3025）。第二步，核减敞口：按11.7%的上限坐标own_calc：1亿×11.7%=1170万元，这是结算前必须预留的争议空间与自查预算（P3008）。第三步，工期敞口：若合同采用日万分之五条款（P3028），own_calc：1亿×0.0005=5万元/天，按工期超限坐标8%-12%（P3000）取中值own_calc：365天×10%≈36.5天，对应违约金敞口own_calc：5万×36.5≈183万元。三步合计，一份管理粗放的1亿元合同，其脱节相关敞口可粗估为own_calc：3680万+1170万+183万≈5033万元——与3.1节断层门槛5000万元恰在同一量级（P3000）。[假设] 这个数字不是预言，而是压力测试：它假设三类损失同时落在样本带高位，用途是让管理层在立项评审时看见最坏账单的形状；实际损失取决于管理动作，后续章节的修复方案正是用来把这份数字一格一格往下压的。走查全程只需要三个输入——合同额、日费率、历史变更率——任何一个项目部都能在一个下午之内完成。</w:t>
      </w:r>
    </w:p>
    <w:p>
      <w:pPr>
        <w:pStyle w:val="Heading2"/>
      </w:pPr>
      <w:r>
        <w:t>3.5 本章小结与盲区</w:t>
      </w:r>
    </w:p>
    <w:p>
      <w:pPr>
        <w:pStyle w:val="Heading3"/>
      </w:pPr>
      <w:r>
        <w:t>3.5.1 小结六问</w:t>
      </w:r>
    </w:p>
    <w:p>
      <w:r>
        <w:rPr>
          <w:rFonts w:ascii="Calibri" w:hAnsi="Calibri" w:eastAsia="微软雅黑"/>
          <w:b/>
          <w:i w:val="0"/>
          <w:sz w:val="22"/>
        </w:rPr>
        <w:t>证明了什么？</w:t>
      </w:r>
      <w:r>
        <w:rPr>
          <w:rFonts w:ascii="Calibri" w:hAnsi="Calibri" w:eastAsia="微软雅黑"/>
          <w:b w:val="0"/>
          <w:i w:val="0"/>
          <w:sz w:val="22"/>
        </w:rPr>
        <w:t xml:space="preserve"> 设计施工脱节的损失不是修辞，是可逐笔入账的六个科目：变更增量（样本带17.8%—55.7%）、停窝工（月度单价约116.1万元）、结算核减（6.7%—11.7%）、采购断层（交货周期可占总工期77.8%）、报价压低（累计10.3%）、分包沉淀（单一劳务纠纷36087669.42元），工期违约金可滚至合同额量级（P3024、P3025、P3015、P3009、P3008、P3001、P3014、P3020、P3028）。如果只允许保留一句话的账本，那句话是：在纠纷样本里，脱节的代价以「变更率上探55.7%、核减率上探11.7%、停窝工月单价约116.1万元、工期违约金总额比肩合同价」的形态出现（P3024、P3008、P3015、P3028）——四个数字分属造价、结算、时间、违约四个科目，彼此独立、互不抵消；一个项目可以同时踩中四项，这正是底账要把它们分行列示的原因。</w:t>
      </w:r>
    </w:p>
    <w:p>
      <w:r>
        <w:rPr>
          <w:rFonts w:ascii="Calibri" w:hAnsi="Calibri" w:eastAsia="微软雅黑"/>
          <w:b/>
          <w:i w:val="0"/>
          <w:sz w:val="22"/>
        </w:rPr>
        <w:t>输入在哪？</w:t>
      </w:r>
      <w:r>
        <w:rPr>
          <w:rFonts w:ascii="Calibri" w:hAnsi="Calibri" w:eastAsia="微软雅黑"/>
          <w:b w:val="0"/>
          <w:i w:val="0"/>
          <w:sz w:val="22"/>
        </w:rPr>
        <w:t xml:space="preserve"> 本章证据库共三十五条源（P3000—P3034）：判决书约二十五份，含最高人民法院二审一例（P3004）、高院层级多例（P3006、P3014、P3015、P3022、P3027、P3031、P3034）；行业实务文章三篇（P3001、P3009、P3026）、研究报告三篇（P3000、P3002、P3003）；另有三条为同文重复抓取或同案镜像源，随对应案例合并引用（P3009、P3020，镜像P3010、P3017、P3023）。</w:t>
      </w:r>
    </w:p>
    <w:p>
      <w:r>
        <w:rPr>
          <w:rFonts w:ascii="Calibri" w:hAnsi="Calibri" w:eastAsia="微软雅黑"/>
          <w:b/>
          <w:i w:val="0"/>
          <w:sz w:val="22"/>
        </w:rPr>
        <w:t>怎么算的？</w:t>
      </w:r>
      <w:r>
        <w:rPr>
          <w:rFonts w:ascii="Calibri" w:hAnsi="Calibri" w:eastAsia="微软雅黑"/>
          <w:b w:val="0"/>
          <w:i w:val="0"/>
          <w:sz w:val="22"/>
        </w:rPr>
        <w:t xml:space="preserve"> 单源数字按bank原形逐字引用并句内挂锚；跨源聚合与一切比例、折算均标注own_calc并列出算式（如20033955÷194351955≈10.3%），读者可复核每一个数字。</w:t>
      </w:r>
    </w:p>
    <w:p>
      <w:r>
        <w:rPr>
          <w:rFonts w:ascii="Calibri" w:hAnsi="Calibri" w:eastAsia="微软雅黑"/>
          <w:b/>
          <w:i w:val="0"/>
          <w:sz w:val="22"/>
        </w:rPr>
        <w:t>依赖什么前提？</w:t>
      </w:r>
      <w:r>
        <w:rPr>
          <w:rFonts w:ascii="Calibri" w:hAnsi="Calibri" w:eastAsia="微软雅黑"/>
          <w:b w:val="0"/>
          <w:i w:val="0"/>
          <w:sz w:val="22"/>
        </w:rPr>
        <w:t xml:space="preserve"> 其一，判决书记载的主张与认定金额可采信为损失量级的证据；其二，行业材料的四个坐标（85/15、1%对15%-20%、8%-12%与5%-10%、40%～60%，P3000、P3001、P3026）口径与本报告讨论的项目可比；其三，样本虽经诉讼筛选，但不系统性偏离多数项目的风险结构。</w:t>
      </w:r>
    </w:p>
    <w:p>
      <w:r>
        <w:rPr>
          <w:rFonts w:ascii="Calibri" w:hAnsi="Calibri" w:eastAsia="微软雅黑"/>
          <w:b/>
          <w:i w:val="0"/>
          <w:sz w:val="22"/>
        </w:rPr>
        <w:t>还有什么别的解释？</w:t>
      </w:r>
      <w:r>
        <w:rPr>
          <w:rFonts w:ascii="Calibri" w:hAnsi="Calibri" w:eastAsia="微软雅黑"/>
          <w:b w:val="0"/>
          <w:i w:val="0"/>
          <w:sz w:val="22"/>
        </w:rPr>
        <w:t xml:space="preserve"> 案例中的损失未必全部源于脱节：业主资金链断裂（P3015、P3021）、市场价格上涨（P3028）、当事人欺诈（P3011）都可能是混杂变量。本章按「与设计施工接口相关之争议」归类，存在归因上的简化；换一个归类口径，六通道的占比会变化，但「金额不小」的结论不变。</w:t>
      </w:r>
    </w:p>
    <w:p>
      <w:r>
        <w:rPr>
          <w:rFonts w:ascii="Calibri" w:hAnsi="Calibri" w:eastAsia="微软雅黑"/>
          <w:b/>
          <w:i w:val="0"/>
          <w:sz w:val="22"/>
        </w:rPr>
        <w:t>什么证据会改变答案？</w:t>
      </w:r>
      <w:r>
        <w:rPr>
          <w:rFonts w:ascii="Calibri" w:hAnsi="Calibri" w:eastAsia="微软雅黑"/>
          <w:b w:val="0"/>
          <w:i w:val="0"/>
          <w:sz w:val="22"/>
        </w:rPr>
        <w:t xml:space="preserve"> 一份覆盖未诉讼项目的损失抽样、一套设计企业内部的返工工时台账、或一份不同口径的全国性统计——三者任一出现，本章的比例带就应重估；若抽样显示多数项目的变更率与核减率远低于本章样本带，六通道的优先级就要重排。</w:t>
      </w:r>
    </w:p>
    <w:p>
      <w:pPr>
        <w:pStyle w:val="Heading3"/>
      </w:pPr>
      <w:r>
        <w:t>3.5.2 反证三问</w:t>
      </w:r>
    </w:p>
    <w:p>
      <w:r>
        <w:rPr>
          <w:rFonts w:ascii="Calibri" w:hAnsi="Calibri" w:eastAsia="微软雅黑"/>
          <w:b/>
          <w:i w:val="0"/>
          <w:sz w:val="22"/>
        </w:rPr>
        <w:t>什么事实会推翻本章判断？</w:t>
      </w:r>
      <w:r>
        <w:rPr>
          <w:rFonts w:ascii="Calibri" w:hAnsi="Calibri" w:eastAsia="微软雅黑"/>
          <w:b w:val="0"/>
          <w:i w:val="0"/>
          <w:sz w:val="22"/>
        </w:rPr>
        <w:t xml:space="preserve"> 若大型未诉讼EPC项目的审计显示变更率与核减率系统性低于本章样本带（例如变更率远低于样本带下限），则「脱节损失是利润的大科目」这一判断需要降格为「仅存在于管理不善的少数项目」。此外，若设计端返工成本被证明只占设计费的小份额，把修复重心放在接口管理的优先级就要让位于别处。</w:t>
      </w:r>
    </w:p>
    <w:p>
      <w:r>
        <w:rPr>
          <w:rFonts w:ascii="Calibri" w:hAnsi="Calibri" w:eastAsia="微软雅黑"/>
          <w:b/>
          <w:i w:val="0"/>
          <w:sz w:val="22"/>
        </w:rPr>
        <w:t>现有反证为何不足？</w:t>
      </w:r>
      <w:r>
        <w:rPr>
          <w:rFonts w:ascii="Calibri" w:hAnsi="Calibri" w:eastAsia="微软雅黑"/>
          <w:b w:val="0"/>
          <w:i w:val="0"/>
          <w:sz w:val="22"/>
        </w:rPr>
        <w:t xml:space="preserve"> 证据库里的反面情形——劳务层超付（P3016）、冒名诈骗（P3011）、转包诉累（P3031）——只是换了科目，并不构成「损失可忽略」的证据；全部三十五条源中，没有一条显示设计施工接口顺畅的项目普遍免于大额损失。反证不足，恰是盲区所在。</w:t>
      </w:r>
    </w:p>
    <w:p>
      <w:r>
        <w:rPr>
          <w:rFonts w:ascii="Calibri" w:hAnsi="Calibri" w:eastAsia="微软雅黑"/>
          <w:b/>
          <w:i w:val="0"/>
          <w:sz w:val="22"/>
        </w:rPr>
        <w:t>哪个未知可能改变读者选择？</w:t>
      </w:r>
      <w:r>
        <w:rPr>
          <w:rFonts w:ascii="Calibri" w:hAnsi="Calibri" w:eastAsia="微软雅黑"/>
          <w:b w:val="0"/>
          <w:i w:val="0"/>
          <w:sz w:val="22"/>
        </w:rPr>
        <w:t xml:space="preserve"> 设计院自身为脱节付出的内部成本（图纸修改工时、设计人力返工、设计费被扣减）在本章证据中几乎没有数字。若该成本被量化且数额可观，管理干预的首选位置将从商务台账前移到设计院内部的质量与进度体系——那会改变后续章节修复方案的排序。</w:t>
      </w:r>
    </w:p>
    <w:p>
      <w:pPr>
        <w:pStyle w:val="Heading3"/>
      </w:pPr>
      <w:r>
        <w:t>3.5.3 盲区声明（证据未覆盖处，如实交代）</w:t>
      </w:r>
    </w:p>
    <w:p>
      <w:r>
        <w:rPr>
          <w:rFonts w:ascii="Calibri" w:hAnsi="Calibri" w:eastAsia="微软雅黑"/>
          <w:b w:val="0"/>
          <w:i w:val="0"/>
          <w:sz w:val="22"/>
        </w:rPr>
        <w:t>其一，样本选择偏差：进入判决书的项目都是谈判破裂的极端样本，无法据此推断全体EPC项目的损失分布；本章的比例带是「纠纷项目的比例带」，不是全行业的分布区间。</w:t>
      </w:r>
    </w:p>
    <w:p>
      <w:r>
        <w:rPr>
          <w:rFonts w:ascii="Calibri" w:hAnsi="Calibri" w:eastAsia="微软雅黑"/>
          <w:b w:val="0"/>
          <w:i w:val="0"/>
          <w:sz w:val="22"/>
        </w:rPr>
        <w:t>其二，四个坐标的原始出处不可追溯：85/15的成本分割、1%变更对15%-20%利润率的弹性、8%-12%工期超限与5%-10%违约窝工、40%～60%采购占比，均系二手行业材料转述（P3000、P3001、P3026），证据库内无原始测算过程、样本量与统计口径，本章仅作量级参照使用。</w:t>
      </w:r>
    </w:p>
    <w:p>
      <w:r>
        <w:rPr>
          <w:rFonts w:ascii="Calibri" w:hAnsi="Calibri" w:eastAsia="微软雅黑"/>
          <w:b w:val="0"/>
          <w:i w:val="0"/>
          <w:sz w:val="22"/>
        </w:rPr>
        <w:t>其三，设计端自身成本缺失：全部证据几乎都站在施工与商务侧计量损失，设计院内部的出图返工工时、设计变更的设计成本、设计费核减没有可引用的数字——通道七（设计返工成本）在本底账上是空白栏。</w:t>
      </w:r>
    </w:p>
    <w:p>
      <w:r>
        <w:rPr>
          <w:rFonts w:ascii="Calibri" w:hAnsi="Calibri" w:eastAsia="微软雅黑"/>
          <w:b w:val="0"/>
          <w:i w:val="0"/>
          <w:sz w:val="22"/>
        </w:rPr>
        <w:t>其四，国际工程只有框架无实例金额：采购风险的分类与流程（P3026）齐备，但汇兑损失、物流违约金、属地税费争议的实际金额在证据库中缺失，本章无法为海外项目标价。</w:t>
      </w:r>
    </w:p>
    <w:p>
      <w:r>
        <w:rPr>
          <w:rFonts w:ascii="Calibri" w:hAnsi="Calibri" w:eastAsia="微软雅黑"/>
          <w:b w:val="0"/>
          <w:i w:val="0"/>
          <w:sz w:val="22"/>
        </w:rPr>
        <w:t>其五，主张与判赔的差额未逐案核对：本章多处引用的是当事人主张金额（如131845782元（P3004）、6429.3万元（P3022）），并非终审判赔额；主张金额天然偏高，将其直接读作「损失」会高估量级，这是底账使用时必须自带的折扣。</w:t>
      </w:r>
    </w:p>
    <w:p>
      <w:r>
        <w:rPr>
          <w:rFonts w:ascii="Calibri" w:hAnsi="Calibri" w:eastAsia="微软雅黑"/>
          <w:b w:val="0"/>
          <w:i w:val="0"/>
          <w:sz w:val="22"/>
        </w:rPr>
        <w:t>其六，工具改善幅度无证据：BIM管线综合、电子签证、限额设计前置等干预手段在证据库中只有实务描述（P3001），没有任一手段降低损失率的量化数据；修复方案的优先级排序只能留给后续章节以别的证据补强。</w:t>
      </w:r>
    </w:p>
    <w:p>
      <w:r>
        <w:rPr>
          <w:rFonts w:ascii="Calibri" w:hAnsi="Calibri" w:eastAsia="微软雅黑"/>
          <w:b w:val="0"/>
          <w:i w:val="0"/>
          <w:sz w:val="22"/>
        </w:rPr>
        <w:t>声明盲区不是削弱结论，而是给结论装上刻度。本章的每一笔底账都满足三个条件：判决书或行业材料载明、句内挂锚、算式可复核；盲区清单则标出证据的边界——边界之内是账，边界之外是待办。读者若掌握边界之外的任何一项数据（未诉讼项目抽样、设计端返工工时、海外损失实例、主张与判赔的逐案差额），都可以把它并入这本底账；底账越厚，后续修复方案的优先级就越可靠，这正是把「未覆盖处如实声明」当作章节固定动作的原因。</w:t>
      </w:r>
    </w:p>
    <w:p>
      <w:r>
        <w:rPr>
          <w:rFonts w:ascii="Calibri" w:hAnsi="Calibri" w:eastAsia="微软雅黑"/>
          <w:b w:val="0"/>
          <w:i w:val="0"/>
          <w:sz w:val="22"/>
        </w:rPr>
        <w:t>底账到此扎口。六个科目、三把尺、三本台账、两条纪律——账算清了，接下来全书要回答的，是怎么把这本账上的每一笔往下减。在合上本章之前，请读者做最后一个动作：翻回本章前文那张十九行的对照表，用笔圈出与本企业最近三年业务形态最相近的三行；被圈中的三行，就是您在这本书后续章节里最该带着问题读的三张地图。</w:t>
      </w:r>
    </w:p>
    <w:p>
      <w:r>
        <w:rPr>
          <w:rFonts w:ascii="Calibri" w:hAnsi="Calibri" w:eastAsia="微软雅黑"/>
          <w:b w:val="0"/>
          <w:i w:val="0"/>
          <w:sz w:val="22"/>
        </w:rPr>
        <w:t>---</w:t>
      </w:r>
    </w:p>
    <w:p>
      <w:pPr>
        <w:pStyle w:val="Heading1"/>
      </w:pPr>
      <w:r>
        <w:t>第4章 变更管理全流程：从申请到签证的闭环</w:t>
      </w:r>
    </w:p>
    <w:p>
      <w:pPr>
        <w:ind w:left="454"/>
      </w:pPr>
      <w:r>
        <w:rPr>
          <w:rFonts w:ascii="Calibri" w:hAnsi="Calibri" w:eastAsia="微软雅黑"/>
          <w:b w:val="0"/>
          <w:i w:val="0"/>
          <w:color w:val="666666"/>
          <w:sz w:val="22"/>
        </w:rPr>
        <w:t>变更与签证是EPC项目利润流失的高发地带：申请无档、估价无界、签证无签、结算无链，四个断点各自吞钱。本章沿申请、审批估价、签证、结算四道关口重组判例与审计实据，逐关标出生死线，并给出可落地的闭环方案。</w:t>
      </w:r>
    </w:p>
    <w:p>
      <w:r>
        <w:rPr>
          <w:rFonts w:ascii="Calibri" w:hAnsi="Calibri" w:eastAsia="微软雅黑"/>
          <w:b w:val="0"/>
          <w:i w:val="0"/>
          <w:sz w:val="22"/>
        </w:rPr>
        <w:t>adds: 读者读完本章多知道什么——变更损失发生在流程断点而非变更本身；申请建档、审批红线、固定价边界、签字与量化、台账一致、结算与鉴定策略，每一关都有判例级的胜负手；闭环不是多签几个字，而是让每张单据在三年后的法庭与审计桌上仍站得住。</w:t>
      </w:r>
    </w:p>
    <w:p>
      <w:pPr>
        <w:pStyle w:val="Heading2"/>
      </w:pPr>
      <w:r>
        <w:t>4.1 申请环节：变更的识别、分类与发起纪律</w:t>
      </w:r>
    </w:p>
    <w:p>
      <w:r>
        <w:rPr>
          <w:rFonts w:ascii="Calibri" w:hAnsi="Calibri" w:eastAsia="微软雅黑"/>
          <w:b w:val="0"/>
          <w:i w:val="0"/>
          <w:sz w:val="22"/>
        </w:rPr>
        <w:t>变更管理的第一性问题，不是「怎么把字签下来」，而是「谁先发现、谁先写下来」。在设计与施工两张皮的体制下，设计与施工主体物理分离（P4000），现场最先感知变更需求的人（施工班组、设计代表、采购员）与最终为变更付钱或收钱的人（合同双方管理层）之间隔着组织边界。申请环节的全部意义，就是在信息还在现场、事实还可核实时，把它固定成一张合格的单据。信息在组织链条里是衰减的：班组看到的碰撞、设计代表想到的改法、采购员收到的涨价通知，每向上传递一层就模糊一分；等它到达有权签字的人桌上，常常只剩下一句「现场说要改」。[建议] 申请环节的流程设计要对抗这种衰减：把变更识别的前哨放进班组晨会与设计代表周报，单据模板随身可用，让「发现」与「记录」之间不超过一个工作日；验证方式是统计变更事项从发生到立单的平均天数，停止条件是平均超过一周即启动流程改造。</w:t>
      </w:r>
    </w:p>
    <w:p>
      <w:pPr>
        <w:pStyle w:val="Heading3"/>
      </w:pPr>
      <w:r>
        <w:t>4.1.1 变更从哪里来：四个入口</w:t>
      </w:r>
    </w:p>
    <w:p>
      <w:r>
        <w:rPr>
          <w:rFonts w:ascii="Calibri" w:hAnsi="Calibri" w:eastAsia="微软雅黑"/>
          <w:b w:val="0"/>
          <w:i w:val="0"/>
          <w:sz w:val="22"/>
        </w:rPr>
        <w:t>从源头看，设计变更是指设计单位对原施工图纸和设计文件所表达的设计标准状态的改变和修改，仅包含由于设计工作本身的漏项、错误等原因而修改、补充原设计的技术资料（P4007）。但落到项目现场，变更的入口远不止设计院一条线，典型情形可归为四类。</w:t>
      </w:r>
    </w:p>
    <w:p>
      <w:r>
        <w:rPr>
          <w:rFonts w:ascii="Calibri" w:hAnsi="Calibri" w:eastAsia="微软雅黑"/>
          <w:b w:val="0"/>
          <w:i w:val="0"/>
          <w:sz w:val="22"/>
        </w:rPr>
        <w:t>第一类，交底会上改图纸。在建设单位组织的有设计单位和施工企业参加的设计交底会上，经施工企业和建设单位提出、各方研究同意而改变施工图的做法，都属于设计变更；为此增加的新图纸或设计变更说明，由设计单位或建设单位负责（P4007）。这类变更成本最低——图纸还没变成混凝土，改的是纸面。</w:t>
      </w:r>
    </w:p>
    <w:p>
      <w:r>
        <w:rPr>
          <w:rFonts w:ascii="Calibri" w:hAnsi="Calibri" w:eastAsia="微软雅黑"/>
          <w:b w:val="0"/>
          <w:i w:val="0"/>
          <w:sz w:val="22"/>
        </w:rPr>
        <w:t>第二类，现场撞墙。施工企业在施工过程中遇到原设计未预料到的具体情况，例如管道安装过程中遇到原设计未考虑到的设备和管墩、在原设计标高处无安装位置，需要改变原设计管道的走向或标高，经设计单位和建设单位同意后办理设计变更或设计变更联络单；这类变更应注明工程项目、位置、变更原因、做法、规格和数量，以及变更后的施工图，经各方签字确认后即为设计变更（P4007）。这类变更最考验时效——设备已到货、基坑已开挖，等书面手续的时间就是窝工的时间。</w:t>
      </w:r>
    </w:p>
    <w:p>
      <w:r>
        <w:rPr>
          <w:rFonts w:ascii="Calibri" w:hAnsi="Calibri" w:eastAsia="微软雅黑"/>
          <w:b w:val="0"/>
          <w:i w:val="0"/>
          <w:sz w:val="22"/>
        </w:rPr>
        <w:t>第三类，业主加需求。工程开工后，由于某些方面的需要，建设单位提出要求改变某些施工方法，或增减某些具体工程项目，例如建设单位要求增加的管线，再征得设计单位同意后出设计变更（P4007）。这类变更在EPC项目里金额大，也最容易在「关系良好」的氛围里被口头化处理。</w:t>
      </w:r>
    </w:p>
    <w:p>
      <w:r>
        <w:rPr>
          <w:rFonts w:ascii="Calibri" w:hAnsi="Calibri" w:eastAsia="微软雅黑"/>
          <w:b w:val="0"/>
          <w:i w:val="0"/>
          <w:sz w:val="22"/>
        </w:rPr>
        <w:t>第四类，资源市场换材料。施工企业由于施工方面、资源市场的原因，例如材料供应或者施工条件不成熟，认为需改用其他材料代替，或者需要改变某些工程项目的具体设计，经双方或三方签字同意可作为设计变更；施工中发生的材料代用应办理材料代用单，要坚决杜绝没有附图或具体使用部位、而只是纯粹变更材料用量的做法（P4007）。</w:t>
      </w:r>
    </w:p>
    <w:p>
      <w:r>
        <w:rPr>
          <w:rFonts w:ascii="Calibri" w:hAnsi="Calibri" w:eastAsia="微软雅黑"/>
          <w:b w:val="0"/>
          <w:i w:val="0"/>
          <w:sz w:val="22"/>
        </w:rPr>
        <w:t>对应到文件形式，设计变更一般包括两种载体：由原设计单位出具的设计变更通知单，以及由施工单位征得原设计单位同意的设计变更联络单（P4007）。</w:t>
      </w:r>
    </w:p>
    <w:p>
      <w:r>
        <w:rPr>
          <w:rFonts w:ascii="Calibri" w:hAnsi="Calibri" w:eastAsia="微软雅黑"/>
          <w:b w:val="0"/>
          <w:i w:val="0"/>
          <w:sz w:val="22"/>
        </w:rPr>
        <w:t>对EPC总承包商而言，这四个入口的重叠本身就是利润点。[建议] 当设计与施工同处一个法人交付体内，第二类、第四类变更（现场条件、材料代用）可以在图纸发出之前于内部消化，第一类交底会变更也可由自家设计团队前置审查；反之，设计院与施工方分属两个主体时，每一次现场碰撞都要跨组织走一遍三方会签。判断一家EPC企业变更管理的成熟度，可以先看它的第二类变更有多少在图纸发出前就被消掉；验证方式是抽取近一年全部设计变更联络单，统计其中「图纸已发但现场未开工」才发起的比例，该比例越低，说明变更前置消化能力越强。</w:t>
      </w:r>
    </w:p>
    <w:p>
      <w:r>
        <w:rPr>
          <w:rFonts w:ascii="Calibri" w:hAnsi="Calibri" w:eastAsia="微软雅黑"/>
          <w:b w:val="0"/>
          <w:i w:val="0"/>
          <w:sz w:val="22"/>
        </w:rPr>
        <w:t>申请环节还有一项常被忽略的前置工作：把合同口径在开工前钉死。赤天化桐梓化工EPC案中，承包人的投标总价为521965260元，业主发出中标通知书后签订的EPC总承包合同约定工程价款为460436515元（P4002），[估计] 两个口径相差61528745元（521965260−460436515，own_calc），承包人据此主张合同违反招标投标法相关规定应属无效（P4002）。无论该主张最终成立与否，它揭示的风险是真实的：中标价与合同价口径不一致，后续每一笔变更该挂在哪个基数上、按哪个口径调，都会成为争议的种子。[建议] 开工前的第一次项目交底就应输出一份「合同口径备忘」：合同价、中标价、暂列金额、预备费、措施费包干范围逐一列表并经双方签字确认，变更申请一律引用该表口径；验证方式是抽查变更单引用口径与备忘录的一致性，停止条件是出现口径引用错误即冻结该单进入估价环节。</w:t>
      </w:r>
    </w:p>
    <w:p>
      <w:pPr>
        <w:pStyle w:val="Heading3"/>
      </w:pPr>
      <w:r>
        <w:t>4.1.2 先干后补为什么是最贵的路径</w:t>
      </w:r>
    </w:p>
    <w:p>
      <w:r>
        <w:rPr>
          <w:rFonts w:ascii="Calibri" w:hAnsi="Calibri" w:eastAsia="微软雅黑"/>
          <w:b w:val="0"/>
          <w:i w:val="0"/>
          <w:sz w:val="22"/>
        </w:rPr>
        <w:t>行业里最常见也最贵的动作序列是：现场先干，手续后补。其代价有判例级的记录。</w:t>
      </w:r>
    </w:p>
    <w:p>
      <w:r>
        <w:rPr>
          <w:rFonts w:ascii="Calibri" w:hAnsi="Calibri" w:eastAsia="微软雅黑"/>
          <w:b w:val="0"/>
          <w:i w:val="0"/>
          <w:sz w:val="22"/>
        </w:rPr>
        <w:t>在管理层面上，现场口头变更、先施工后补手续、变更依据不足、审批流程缺失，增量成本无法核销，出现大量无效投入；签证滞后、内容模糊、证据不全、签字不全、格式不规范，最终被甲方驳回、审计审减，干了活却拿不到钱（P4015）。海外项目的审计观察同样指向这一点：签证乱象往往伴随海外现场管理缺位，事后补单泛滥（P4011）。</w:t>
      </w:r>
    </w:p>
    <w:p>
      <w:r>
        <w:rPr>
          <w:rFonts w:ascii="Calibri" w:hAnsi="Calibri" w:eastAsia="微软雅黑"/>
          <w:b w:val="0"/>
          <w:i w:val="0"/>
          <w:sz w:val="22"/>
        </w:rPr>
        <w:t>在司法层面上，证据规则比管理直觉残酷。四川华东电气集团索赔窝工损失时，提交了工程联系单、技术签证核定单、经济签证核定单、工程误工人员名单等一整套单据，法院的处理方式是逐张筛：对其中没有成冶公司或者监理单位签字，或者内容重复的部分单据，未予认定；对有成冶公司或监理单位签字的单据予以认定；对工人工资标准无法证明、误工人数天数无法量化的部分，或根据发包人自认、或酌情认定（P4017）。[事实] 同一批单据里，签了字的活了下来，没签字的、内容重复的、算不出数的被剔除——损失不是「发生了就能赔」，而是「证明到多少才赔多少」。该案还有一层对管理层的提醒：法院认定对于工程前期延误，双方均有责任，而华东电气组织复验并获得通过的时间与协议约定时间相差19天，因而应对工期延误19天承担责任（P4017）。[事实] 责任划分不是全有全无的游戏——前期的共担不豁免后期的独担，签证与工期记录必须覆盖全程，而不是只覆盖对自己有利的时段。</w:t>
      </w:r>
    </w:p>
    <w:p>
      <w:r>
        <w:rPr>
          <w:rFonts w:ascii="Calibri" w:hAnsi="Calibri" w:eastAsia="微软雅黑"/>
          <w:b w:val="0"/>
          <w:i w:val="0"/>
          <w:sz w:val="22"/>
        </w:rPr>
        <w:t>更典型的教训来自最高法层面的EPC大案。贵州赤天化桐梓化工EPC项目，双方于2008年5月29日签订热电及公用工程设计采购施工（EPC）总承包合同（P4002）。诉讼中业主方承认逾期移交施工平台的事实确实存在，但其抗辩抓住了要害：承包商电建公司仅提出窝工事实，未按合同约定的方式向业主、监理单位报送损失金额、停工时长、停工原因的报告（P4002）。双方缠斗的核心之一，是桦利鉴字【2018】09号司法鉴定意见书中「证据无赤天化签字部分」项下费用与「合同条件不足调整部分」推算金额能否被支持（P4002）——申请环节没有留下按合同口径报送的书面痕迹，到了鉴定与庭审阶段就只能靠推算去追认事实，主动权拱手让人。该案上诉请求支付拖欠工程款项131845782元（P4002），争议的每一分钱都要重新过一遍证据筛。</w:t>
      </w:r>
    </w:p>
    <w:p>
      <w:pPr>
        <w:pStyle w:val="Heading3"/>
      </w:pPr>
      <w:r>
        <w:t>4.1.3 一栋楼改出三年工期：变更的连锁等待</w:t>
      </w:r>
    </w:p>
    <w:p>
      <w:r>
        <w:rPr>
          <w:rFonts w:ascii="Calibri" w:hAnsi="Calibri" w:eastAsia="微软雅黑"/>
          <w:b w:val="0"/>
          <w:i w:val="0"/>
          <w:sz w:val="22"/>
        </w:rPr>
        <w:t>变更申请环节失守，损失往往不在变更本身，而在它引发的连锁等待。武汉第四建设集团的案子把这条链展示得很完整。1#、2#住宅楼按合同固定总价3350.2089万元执行（P4033）。开工后业主临时决定对3#楼进行建设规划调整，把原设计的地下2层、地上1层（25米高）调整为地下2层、地上5层，因此需要对3#楼重新设计并重新申报建设工程规划许可证（P4033）。由于业主迟迟办不下3#楼的规划和施工许可手续，承包人直至2010年9月中旬才在手续仍欠缺的情况下断断续续施工（P4033）。1#、2#楼于2011年12月28日交付业主使用，3#楼延迟至2013年1月11日才办理完竣工验收（P4033）。</w:t>
      </w:r>
    </w:p>
    <w:p>
      <w:r>
        <w:rPr>
          <w:rFonts w:ascii="Calibri" w:hAnsi="Calibri" w:eastAsia="微软雅黑"/>
          <w:b w:val="0"/>
          <w:i w:val="0"/>
          <w:sz w:val="22"/>
        </w:rPr>
        <w:t>这一串时间线的起点，只是一次「把1层改成5层」的规划变更（P4033）。[建议] 管理层的读法应该是：每一份变更申请背后都挂着一串隐藏的行政流程（重新设计、重新报建、重新验收），变更申请单上必须给这些流程留出责任人与时限栏位，否则变更就会变成工期黑洞；停止条件是当某一变更引发的报建事项逾期超过约定时限仍未办结时，自动触发工期与费用索赔的评估程序，而不是继续等待。</w:t>
      </w:r>
    </w:p>
    <w:p>
      <w:r>
        <w:rPr>
          <w:rFonts w:ascii="Calibri" w:hAnsi="Calibri" w:eastAsia="微软雅黑"/>
          <w:b w:val="0"/>
          <w:i w:val="0"/>
          <w:sz w:val="22"/>
        </w:rPr>
        <w:t>工期维度的另一个判例：重庆东泰华美装饰公司案中，承包人主张案涉工程工期延误463天，理由包括设计图提交延误、设计变更引发的返工停工等，并指出案涉工程的实际工期是合同约定工期的3倍（P4026）。[事实] 设计与变更节奏失控时，工期损失会以倍数形态呈现。</w:t>
      </w:r>
    </w:p>
    <w:p>
      <w:pPr>
        <w:pStyle w:val="Heading3"/>
      </w:pPr>
      <w:r>
        <w:t>4.1.4 发起纪律：一张合格申请单的要素清单</w:t>
      </w:r>
    </w:p>
    <w:p>
      <w:r>
        <w:rPr>
          <w:rFonts w:ascii="Calibri" w:hAnsi="Calibri" w:eastAsia="微软雅黑"/>
          <w:b w:val="0"/>
          <w:i w:val="0"/>
          <w:sz w:val="22"/>
        </w:rPr>
        <w:t>综合规范与判例，一张能在三年后仍站得住的变更申请，至少要写死以下要素：工程项目、位置、变更原因、做法、规格和数量，以及变更后的施工图（P4007所列要素）；对窝工、停工类损失，还要按合同约定的报送路径，把损失金额、停工时长、停工原因写明并送达业主与监理（P4002的反面教训）；同时标记本变更是否超出合同图纸范围、拟适用的计价依据（P4009的举证教训）。[建议] 发起纪律的检验标准很简单：三个月后换一个完全不懂本项目的人来读这张单，他能不看现场就复述出「改了什么、为什么改、谁同意、值多少钱、钱从哪出」。</w:t>
      </w:r>
    </w:p>
    <w:p>
      <w:pPr>
        <w:pStyle w:val="Heading2"/>
      </w:pPr>
      <w:r>
        <w:t>4.2 审批与估价：把变更关进合同与预算的笼子</w:t>
      </w:r>
    </w:p>
    <w:p>
      <w:pPr>
        <w:pStyle w:val="Heading3"/>
      </w:pPr>
      <w:r>
        <w:t>4.2.1 签发程序：三方会审，一条出口</w:t>
      </w:r>
    </w:p>
    <w:p>
      <w:r>
        <w:rPr>
          <w:rFonts w:ascii="Calibri" w:hAnsi="Calibri" w:eastAsia="微软雅黑"/>
          <w:b w:val="0"/>
          <w:i w:val="0"/>
          <w:sz w:val="22"/>
        </w:rPr>
        <w:t>设计变更无论由哪方提出，均应由建设单位、设计单位、施工单位协商，经确认后由设计部门发出相应图纸或说明，并办理签发手续，下发到有关部门付诸实施（P4007）。这条程序在项目现场最常见的变形是「两头热、中间空」：业主与施工方现场拍板，设计院事后补图。审查环节的要点，规范给得很具体，值得逐条抄进企业自己的变更审批细则：</w:t>
      </w:r>
    </w:p>
    <w:p>
      <w:r>
        <w:rPr>
          <w:rFonts w:ascii="Calibri" w:hAnsi="Calibri" w:eastAsia="微软雅黑"/>
          <w:b w:val="0"/>
          <w:i w:val="0"/>
          <w:sz w:val="22"/>
        </w:rPr>
        <w:t>其一，确属原设计不能保证质量、设计遗漏和错误以及与现场不符无法施工、非改不可的，按设计变更程序进行（P4007）。其二，一般情况下，即使变更要求可能在技术经济上是合理的，也应把变更以后产生的效益与现场变更引起施工单位索赔的损失加以比较，权衡轻重后再作决定（P4007）——这条把「变更是否划算」从技术判断升级为商务判断。其三，工程变更引起的造价增减幅度是否控制在预算范围之内，若确需变更而有可能超预算时，更要慎重（P4007）。其四，材料代用应办理材料代用单，杜绝无附图、无具体使用部位而只改材料用量的做法（P4007）。其五，设计变更要尽量提前，最好在开工之前就发现，为此应在开工前组织图纸会审（P4007）。</w:t>
      </w:r>
    </w:p>
    <w:p>
      <w:pPr>
        <w:pStyle w:val="Heading3"/>
      </w:pPr>
      <w:r>
        <w:t>4.2.2 两条红线与现实的距离</w:t>
      </w:r>
    </w:p>
    <w:p>
      <w:r>
        <w:rPr>
          <w:rFonts w:ascii="Calibri" w:hAnsi="Calibri" w:eastAsia="微软雅黑"/>
          <w:b w:val="0"/>
          <w:i w:val="0"/>
          <w:sz w:val="22"/>
        </w:rPr>
        <w:t>规范为设计变更设定了两条硬约束：设计变更费用一般应控制在建安工程总造价的5%以内（P4007）；由设计变更产生的新增投资不得超过基本预备费的1/3（P4007）。</w:t>
      </w:r>
    </w:p>
    <w:p>
      <w:r>
        <w:rPr>
          <w:rFonts w:ascii="Calibri" w:hAnsi="Calibri" w:eastAsia="微软雅黑"/>
          <w:b w:val="0"/>
          <w:i w:val="0"/>
          <w:sz w:val="22"/>
        </w:rPr>
        <w:t>把红线放到判例里对照，能看到管理现实与规范之间的巨大落差。宁夏鑫田建筑公司以12933521.89元中标某配送中心及超市工程（合同约定工期121天），诉讼中主张变更增加的工程款7205791元、延期付款利息2678392.52元（P4032）。[估计] 变更金额约为合同价的55.7%（7205791÷12933521.89，own_calc），是5%红线的十倍量级。同一案件中，承包人还主张下欠的合同价内工程款1333521.89元及未按期付款违约金730103.24元（P4032）——[估计] 合同内欠款与合同外变更主张分列对照（1333521.89元对7205791元，own_calc口径对照），说明即便合同内款项争议不大的项目，变更部分也可能成为应收工程款的大头。海外项目的审计观察同样给出量级：部分项目变更金额达到概算10%以上，却没有按规定履行境外项目报批流程，存在先施工、后补报批手续（P4011）。</w:t>
      </w:r>
    </w:p>
    <w:p>
      <w:r>
        <w:rPr>
          <w:rFonts w:ascii="Calibri" w:hAnsi="Calibri" w:eastAsia="微软雅黑"/>
          <w:b w:val="0"/>
          <w:i w:val="0"/>
          <w:sz w:val="22"/>
        </w:rPr>
        <w:t>红线被突破后，钱从哪里出？铁路项目给出过一个制度化答案：《铁道部铁路建设项目设计变更管理规定》明确变更部分应从工程预备费中支付变更工程款（P4013）。但深圳赤晓案的争议恰恰说明，总承包商是否实际取得预备费、业主是否应当支付，会变成连环诉讼的一部分（P4013）。[建议] 管理层的动作因此应当前置：变更审批单上必须设「资金来源」栏——从预备费、从降造、从哪笔预算科目出，写清楚再放行；验证方式是抽查已批变更单与预算科目的对应台账，停止条件是当资金来源栏空白率高于一成时，暂停该项目的变更快速通道。</w:t>
      </w:r>
    </w:p>
    <w:p>
      <w:r>
        <w:rPr>
          <w:rFonts w:ascii="Calibri" w:hAnsi="Calibri" w:eastAsia="微软雅黑"/>
          <w:b w:val="0"/>
          <w:i w:val="0"/>
          <w:sz w:val="22"/>
        </w:rPr>
        <w:t>红线要落地，还需要审批权限分层。[建议] 按变更金额与影响面设三级权限：在建安工程总造价5%红线以内的变更，项目部审批即可（P4007红线值的组织化应用）；超过红线或触碰基本预备费1/3的变更，上升到公司级合同与造价联席审批（P4007）；改设备规格、改工艺路线的变更，无论金额大小一律总工程师线复核，因为它会沿采购链传导（P4034）。权限表的验证指标是越权审批单占比，停止条件是出现一次越权即回收该项目的变更审批权限一个月。</w:t>
      </w:r>
    </w:p>
    <w:p>
      <w:pPr>
        <w:pStyle w:val="Heading3"/>
      </w:pPr>
      <w:r>
        <w:t>4.2.3 正面样本：变更价格联动的文件化</w:t>
      </w:r>
    </w:p>
    <w:p>
      <w:r>
        <w:rPr>
          <w:rFonts w:ascii="Calibri" w:hAnsi="Calibri" w:eastAsia="微软雅黑"/>
          <w:b w:val="0"/>
          <w:i w:val="0"/>
          <w:sz w:val="22"/>
        </w:rPr>
        <w:t>变更管理做得好的样子，在广西金桂浆纸业EPC案里有完整切面。中国电力工程顾问集团中南电力设计院以EPC方式承建金桂浆纸业动力电厂1、2号机组，2006年11月28日签订《工程总承包采购合同》，合同总价92000万元，其中设备采购合同价格60500万元、服务合同价格4665万元、土建安装合同价格26835万元（P4023）。履约过程中，双方通过补充协议及会议纪要方式对承包范围进行调整，并相应调整了合同价格（P4023）：</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分项</w:t>
            </w:r>
          </w:p>
        </w:tc>
        <w:tc>
          <w:tcPr>
            <w:tcW w:type="dxa" w:w="2075"/>
            <w:shd w:fill="1F3A5F"/>
          </w:tcPr>
          <w:p>
            <w:r>
              <w:rPr>
                <w:color w:val="FFFFFF"/>
              </w:rPr>
            </w:r>
            <w:r>
              <w:rPr>
                <w:rFonts w:ascii="Calibri" w:hAnsi="Calibri" w:eastAsia="微软雅黑"/>
                <w:b/>
                <w:i w:val="0"/>
                <w:color w:val="FFFFFF"/>
                <w:sz w:val="18"/>
              </w:rPr>
              <w:t>原合同价（万元）</w:t>
            </w:r>
          </w:p>
        </w:tc>
        <w:tc>
          <w:tcPr>
            <w:tcW w:type="dxa" w:w="2075"/>
            <w:shd w:fill="1F3A5F"/>
          </w:tcPr>
          <w:p>
            <w:r>
              <w:rPr>
                <w:color w:val="FFFFFF"/>
              </w:rPr>
            </w:r>
            <w:r>
              <w:rPr>
                <w:rFonts w:ascii="Calibri" w:hAnsi="Calibri" w:eastAsia="微软雅黑"/>
                <w:b/>
                <w:i w:val="0"/>
                <w:color w:val="FFFFFF"/>
                <w:sz w:val="18"/>
              </w:rPr>
              <w:t>调整后（万元）</w:t>
            </w:r>
          </w:p>
        </w:tc>
        <w:tc>
          <w:tcPr>
            <w:tcW w:type="dxa" w:w="2075"/>
            <w:shd w:fill="1F3A5F"/>
          </w:tcPr>
          <w:p>
            <w:r>
              <w:rPr>
                <w:color w:val="FFFFFF"/>
              </w:rPr>
            </w:r>
            <w:r>
              <w:rPr>
                <w:rFonts w:ascii="Calibri" w:hAnsi="Calibri" w:eastAsia="微软雅黑"/>
                <w:b/>
                <w:i w:val="0"/>
                <w:color w:val="FFFFFF"/>
                <w:sz w:val="18"/>
              </w:rPr>
              <w:t>数据源</w:t>
            </w:r>
          </w:p>
        </w:tc>
      </w:tr>
      <w:tr>
        <w:tc>
          <w:tcPr>
            <w:tcW w:type="dxa" w:w="2075"/>
          </w:tcPr>
          <w:p>
            <w:r/>
            <w:r>
              <w:rPr>
                <w:rFonts w:ascii="Calibri" w:hAnsi="Calibri" w:eastAsia="微软雅黑"/>
                <w:b w:val="0"/>
                <w:i w:val="0"/>
                <w:sz w:val="18"/>
              </w:rPr>
              <w:t>设备采购</w:t>
            </w:r>
          </w:p>
        </w:tc>
        <w:tc>
          <w:tcPr>
            <w:tcW w:type="dxa" w:w="2075"/>
          </w:tcPr>
          <w:p>
            <w:r/>
            <w:r>
              <w:rPr>
                <w:rFonts w:ascii="Calibri" w:hAnsi="Calibri" w:eastAsia="微软雅黑"/>
                <w:b w:val="0"/>
                <w:i w:val="0"/>
                <w:sz w:val="18"/>
              </w:rPr>
              <w:t>60500</w:t>
            </w:r>
          </w:p>
        </w:tc>
        <w:tc>
          <w:tcPr>
            <w:tcW w:type="dxa" w:w="2075"/>
          </w:tcPr>
          <w:p>
            <w:r/>
            <w:r>
              <w:rPr>
                <w:rFonts w:ascii="Calibri" w:hAnsi="Calibri" w:eastAsia="微软雅黑"/>
                <w:b w:val="0"/>
                <w:i w:val="0"/>
                <w:sz w:val="18"/>
              </w:rPr>
              <w:t>64343</w:t>
            </w:r>
          </w:p>
        </w:tc>
        <w:tc>
          <w:tcPr>
            <w:tcW w:type="dxa" w:w="2075"/>
          </w:tcPr>
          <w:p>
            <w:r/>
            <w:r>
              <w:rPr>
                <w:rFonts w:ascii="Calibri" w:hAnsi="Calibri" w:eastAsia="微软雅黑"/>
                <w:b w:val="0"/>
                <w:i w:val="0"/>
                <w:sz w:val="18"/>
              </w:rPr>
              <w:t>P4023</w:t>
            </w:r>
          </w:p>
        </w:tc>
      </w:tr>
      <w:tr>
        <w:tc>
          <w:tcPr>
            <w:tcW w:type="dxa" w:w="2075"/>
          </w:tcPr>
          <w:p>
            <w:r/>
            <w:r>
              <w:rPr>
                <w:rFonts w:ascii="Calibri" w:hAnsi="Calibri" w:eastAsia="微软雅黑"/>
                <w:b w:val="0"/>
                <w:i w:val="0"/>
                <w:sz w:val="18"/>
              </w:rPr>
              <w:t>服务</w:t>
            </w:r>
          </w:p>
        </w:tc>
        <w:tc>
          <w:tcPr>
            <w:tcW w:type="dxa" w:w="2075"/>
          </w:tcPr>
          <w:p>
            <w:r/>
            <w:r>
              <w:rPr>
                <w:rFonts w:ascii="Calibri" w:hAnsi="Calibri" w:eastAsia="微软雅黑"/>
                <w:b w:val="0"/>
                <w:i w:val="0"/>
                <w:sz w:val="18"/>
              </w:rPr>
              <w:t>4665</w:t>
            </w:r>
          </w:p>
        </w:tc>
        <w:tc>
          <w:tcPr>
            <w:tcW w:type="dxa" w:w="2075"/>
          </w:tcPr>
          <w:p>
            <w:r/>
            <w:r>
              <w:rPr>
                <w:rFonts w:ascii="Calibri" w:hAnsi="Calibri" w:eastAsia="微软雅黑"/>
                <w:b w:val="0"/>
                <w:i w:val="0"/>
                <w:sz w:val="18"/>
              </w:rPr>
              <w:t>5374.498（含1号机组延期补偿款709.498）</w:t>
            </w:r>
          </w:p>
        </w:tc>
        <w:tc>
          <w:tcPr>
            <w:tcW w:type="dxa" w:w="2075"/>
          </w:tcPr>
          <w:p>
            <w:r/>
            <w:r>
              <w:rPr>
                <w:rFonts w:ascii="Calibri" w:hAnsi="Calibri" w:eastAsia="微软雅黑"/>
                <w:b w:val="0"/>
                <w:i w:val="0"/>
                <w:sz w:val="18"/>
              </w:rPr>
              <w:t>P4023</w:t>
            </w:r>
          </w:p>
        </w:tc>
      </w:tr>
      <w:tr>
        <w:tc>
          <w:tcPr>
            <w:tcW w:type="dxa" w:w="2075"/>
          </w:tcPr>
          <w:p>
            <w:r/>
            <w:r>
              <w:rPr>
                <w:rFonts w:ascii="Calibri" w:hAnsi="Calibri" w:eastAsia="微软雅黑"/>
                <w:b w:val="0"/>
                <w:i w:val="0"/>
                <w:sz w:val="18"/>
              </w:rPr>
              <w:t>土建与安装</w:t>
            </w:r>
          </w:p>
        </w:tc>
        <w:tc>
          <w:tcPr>
            <w:tcW w:type="dxa" w:w="2075"/>
          </w:tcPr>
          <w:p>
            <w:r/>
            <w:r>
              <w:rPr>
                <w:rFonts w:ascii="Calibri" w:hAnsi="Calibri" w:eastAsia="微软雅黑"/>
                <w:b w:val="0"/>
                <w:i w:val="0"/>
                <w:sz w:val="18"/>
              </w:rPr>
              <w:t>26835</w:t>
            </w:r>
          </w:p>
        </w:tc>
        <w:tc>
          <w:tcPr>
            <w:tcW w:type="dxa" w:w="2075"/>
          </w:tcPr>
          <w:p>
            <w:r/>
            <w:r>
              <w:rPr>
                <w:rFonts w:ascii="Calibri" w:hAnsi="Calibri" w:eastAsia="微软雅黑"/>
                <w:b w:val="0"/>
                <w:i w:val="0"/>
                <w:sz w:val="18"/>
              </w:rPr>
              <w:t>土建7770.502＋安装13135.4046</w:t>
            </w:r>
          </w:p>
        </w:tc>
        <w:tc>
          <w:tcPr>
            <w:tcW w:type="dxa" w:w="2075"/>
          </w:tcPr>
          <w:p>
            <w:r/>
            <w:r>
              <w:rPr>
                <w:rFonts w:ascii="Calibri" w:hAnsi="Calibri" w:eastAsia="微软雅黑"/>
                <w:b w:val="0"/>
                <w:i w:val="0"/>
                <w:sz w:val="18"/>
              </w:rPr>
              <w:t>P4023</w:t>
            </w:r>
          </w:p>
        </w:tc>
      </w:tr>
      <w:tr>
        <w:tc>
          <w:tcPr>
            <w:tcW w:type="dxa" w:w="2075"/>
          </w:tcPr>
          <w:p>
            <w:r/>
            <w:r>
              <w:rPr>
                <w:rFonts w:ascii="Calibri" w:hAnsi="Calibri" w:eastAsia="微软雅黑"/>
                <w:b w:val="0"/>
                <w:i w:val="0"/>
                <w:sz w:val="18"/>
              </w:rPr>
              <w:t>合计</w:t>
            </w:r>
          </w:p>
        </w:tc>
        <w:tc>
          <w:tcPr>
            <w:tcW w:type="dxa" w:w="2075"/>
          </w:tcPr>
          <w:p>
            <w:r/>
            <w:r>
              <w:rPr>
                <w:rFonts w:ascii="Calibri" w:hAnsi="Calibri" w:eastAsia="微软雅黑"/>
                <w:b w:val="0"/>
                <w:i w:val="0"/>
                <w:sz w:val="18"/>
              </w:rPr>
              <w:t>92000</w:t>
            </w:r>
          </w:p>
        </w:tc>
        <w:tc>
          <w:tcPr>
            <w:tcW w:type="dxa" w:w="2075"/>
          </w:tcPr>
          <w:p>
            <w:r/>
            <w:r>
              <w:rPr>
                <w:rFonts w:ascii="Calibri" w:hAnsi="Calibri" w:eastAsia="微软雅黑"/>
                <w:b w:val="0"/>
                <w:i w:val="0"/>
                <w:sz w:val="18"/>
              </w:rPr>
              <w:t>90623.4046</w:t>
            </w:r>
          </w:p>
        </w:tc>
        <w:tc>
          <w:tcPr>
            <w:tcW w:type="dxa" w:w="2075"/>
          </w:tcPr>
          <w:p>
            <w:r/>
            <w:r>
              <w:rPr>
                <w:rFonts w:ascii="Calibri" w:hAnsi="Calibri" w:eastAsia="微软雅黑"/>
                <w:b w:val="0"/>
                <w:i w:val="0"/>
                <w:sz w:val="18"/>
              </w:rPr>
              <w:t>P4023</w:t>
            </w:r>
          </w:p>
        </w:tc>
      </w:tr>
    </w:tbl>
    <w:p>
      <w:r>
        <w:rPr>
          <w:rFonts w:ascii="Calibri" w:hAnsi="Calibri" w:eastAsia="微软雅黑"/>
          <w:b w:val="0"/>
          <w:i w:val="0"/>
          <w:sz w:val="22"/>
        </w:rPr>
        <w:t>（调整后合计经分项复核：64343＋5374.498＋7770.502＋13135.4046＝90623.4046万元，own_calc。）此后因业主原因变更工程范围和内容，再增加工程费用1288.8979万元，合计应付价款91912.3025万元（P4023）。</w:t>
      </w:r>
    </w:p>
    <w:p>
      <w:r>
        <w:rPr>
          <w:rFonts w:ascii="Calibri" w:hAnsi="Calibri" w:eastAsia="微软雅黑"/>
          <w:b w:val="0"/>
          <w:i w:val="0"/>
          <w:sz w:val="22"/>
        </w:rPr>
        <w:t>[事实] 这套「每一次范围变动都有补充协议或会议纪要、每一次变动都联动价格」的做法，让跨越数年的诉讼有账可对。它给EPC管理层的启示不是「多签补充协议」，而是把会议纪要当作与补充协议同等效力的价格载体来管理：纪要要有编号、有金额、有签收。</w:t>
      </w:r>
    </w:p>
    <w:p>
      <w:pPr>
        <w:pStyle w:val="Heading3"/>
      </w:pPr>
      <w:r>
        <w:t>4.2.4 固定价合同的变更边界：2026年新规下的攻防</w:t>
      </w:r>
    </w:p>
    <w:p>
      <w:r>
        <w:rPr>
          <w:rFonts w:ascii="Calibri" w:hAnsi="Calibri" w:eastAsia="微软雅黑"/>
          <w:b w:val="0"/>
          <w:i w:val="0"/>
          <w:sz w:val="22"/>
        </w:rPr>
        <w:t>《最高人民法院关于审理建设工程施工合同纠纷案件适用法律问题的解释（二）》于2026年6月29日公布、6月30日施行，法释〔2026〕12号，共23条（P4009）。第九条明确：约定按固定价格结算工程价款，当事人以建设工期内人工费、建材价格发生重大变化为由请求调整工程价款的，人民法院不予支持，但当事人另有约定或者符合民法典第五百三十三条情势变更规定的除外（P4009）。对材料涨价，法院几乎总归入「商业风险」，（2019）最高法民申5829号、（2021）最高法民申164号均持此立场（P4009）；最高法民一庭庭长陈宜芳在答记者问中确认，固定单价模式同样被第九条覆盖（P4009）。</w:t>
      </w:r>
    </w:p>
    <w:p>
      <w:r>
        <w:rPr>
          <w:rFonts w:ascii="Calibri" w:hAnsi="Calibri" w:eastAsia="微软雅黑"/>
          <w:b w:val="0"/>
          <w:i w:val="0"/>
          <w:sz w:val="22"/>
        </w:rPr>
        <w:t>但固定价不是铁桶。其一，解释一第二十八条限制的是对整体工程造价启动鉴定，并不排斥对合同范围之外的部分单独计价（P4009）。其二，解释一第十九条第二款规定：因设计变更使工程量或质量标准发生变化的，那部分价款协商不成，可以参照签约时当地建设行政主管部门发布的计价方法或标准结算（P4009）。[事实] 实务的分割线因此清晰：合同范围内的工程，按固定价结算，不调差、不鉴定；合同范围外的工程量，按变更计价规则单独结算，协商不成可参照计价标准（P4009）。</w:t>
      </w:r>
    </w:p>
    <w:p>
      <w:r>
        <w:rPr>
          <w:rFonts w:ascii="Calibri" w:hAnsi="Calibri" w:eastAsia="微软雅黑"/>
          <w:b w:val="0"/>
          <w:i w:val="0"/>
          <w:sz w:val="22"/>
        </w:rPr>
        <w:t>实务里最常见的败诉原因，是承包人在变更部分拿不出证据证明「这事超出合同范围」，举证不能，就被并进固定价里一起「不调不鉴定」（P4009）。这句话把申请环节与估价环节焊在了一起：[建议] 变更申请单上如果不标记「本变更超出合同图纸范围、依据第几条另行计价」，三年后的鉴定就无凭可据；该栏位应作为变更单的必填项，漏填即退回。举证的另一半在图纸版本管理。变更计价要以签约时的合同范围为对照原点（P4009的计价规则），[建议] 合同签订日应封存一套完整图纸版本并经双方签收，此后每次变更都注明基于第几版图纸；验证方式是抽三份变更单回查其引用的图纸版本与封存目录，停止条件是版本引用出现一次错误即暂停该变更的计价。</w:t>
      </w:r>
    </w:p>
    <w:p>
      <w:r>
        <w:rPr>
          <w:rFonts w:ascii="Calibri" w:hAnsi="Calibri" w:eastAsia="微软雅黑"/>
          <w:b w:val="0"/>
          <w:i w:val="0"/>
          <w:sz w:val="22"/>
        </w:rPr>
        <w:t>调价条款的写法也有实操清单，四件事必须写死（P4009）：法规政策变化写「据实调整」、别写「协商」；大宗材料波动写清基准期、基准价、幅度、公式、清单；工程量偏差超±15%时单价重新议定；设计变更后14天内提交变更价款。[事实] 这四件事的本质，是把未来的争议提前锁进合同语言——其中设计变更后14天内提交的时限（P4009），与上一节申请环节的时效纪律首尾相接。</w:t>
      </w:r>
    </w:p>
    <w:p>
      <w:pPr>
        <w:pStyle w:val="Heading3"/>
      </w:pPr>
      <w:r>
        <w:t>4.2.5 解释二的造价条款地图与新旧衔接</w:t>
      </w:r>
    </w:p>
    <w:p>
      <w:r>
        <w:rPr>
          <w:rFonts w:ascii="Calibri" w:hAnsi="Calibri" w:eastAsia="微软雅黑"/>
          <w:b w:val="0"/>
          <w:i w:val="0"/>
          <w:sz w:val="22"/>
        </w:rPr>
        <w:t>把解释二放回造价人的工具箱：其一，它不是2018年那份解释的续集，而是全新文件，2018年讲黑白合同的旧解释早被2020年解释一吸收整合（P4009）；其二，它的二十三个条文里，与造价人直接相关的至少五条——第九条管价格能不能调，第十三条管审计能不能卡结算，第十四条管质保金啥时候退，第十条管干了一半怎么算钱，第十一条管合同无效时哪些约定还能参照（P4009）。新旧衔接的规则同样要记牢：解释二施行后，解释一并没有全废，其第二十三条第三款明确，只有跟解释二不一致的条文，解释一才不再适用，不冲突的继续有效（P4009）。</w:t>
      </w:r>
    </w:p>
    <w:p>
      <w:r>
        <w:rPr>
          <w:rFonts w:ascii="Calibri" w:hAnsi="Calibri" w:eastAsia="微软雅黑"/>
          <w:b w:val="0"/>
          <w:i w:val="0"/>
          <w:sz w:val="22"/>
        </w:rPr>
        <w:t>[预测] 随着解释二落地，固定价合同下「以变更名义调总价」的路径将进一步收窄——法院对变更部分的审查会越来越聚焦于「是否超出合同范围」这一事实问题，变更文件里范围标记的价值只会上升；此预测的证伪条件是：施行后一年的裁判样本若显示法院对变更部分调价从宽处理，本判断作废并回归以合同约定为纲。</w:t>
      </w:r>
    </w:p>
    <w:p>
      <w:pPr>
        <w:pStyle w:val="Heading3"/>
      </w:pPr>
      <w:r>
        <w:t>4.2.6 三个估价角落：措施费、价格口径与采购联动</w:t>
      </w:r>
    </w:p>
    <w:p>
      <w:r>
        <w:rPr>
          <w:rFonts w:ascii="Calibri" w:hAnsi="Calibri" w:eastAsia="微软雅黑"/>
          <w:b w:val="0"/>
          <w:i w:val="0"/>
          <w:sz w:val="22"/>
        </w:rPr>
        <w:t>第一个角落是措施费。某工程量清单计价的总价合同工程中，双方就设计变更、签证及招标工程量清单缺项是否计算绿色施工安全防护措施费发生争议：甲方以合同条款「其他工程费及其他费为包干价，一概不予调整」拒计，乙方主张应予计算（P4018）。结论分两层：工程变更引起绿色施工安全防护措施项目发生实质性变化并发生费用增减的，按照2013工程量清单计价规范调整（P4018）；但该工程为招标图纸包干的总价合同，与招标工程量清单缺项相关的绿色施工安全防护措施费应在投标报价中考虑，不予调整（P4018）。也就是说，变更引起的措施费变化可以调，清单缺项想借变更的通道补钱则走不通。[建议] 估价审批时措施费联动要单独过一遍，不能默认「跟主项走」。</w:t>
      </w:r>
    </w:p>
    <w:p>
      <w:r>
        <w:rPr>
          <w:rFonts w:ascii="Calibri" w:hAnsi="Calibri" w:eastAsia="微软雅黑"/>
          <w:b w:val="0"/>
          <w:i w:val="0"/>
          <w:sz w:val="22"/>
        </w:rPr>
        <w:t>第二个角落是合同价格口径。中建七局一案中，8号楼经招投标采用固定价格，即「中标价加签证决算」（P4029）；此后2至5号楼不再招投标，直接把8号楼的招投标文件作为合同附件，而合同总价写的是暂定90000000元（P4029）。诉讼中双方对「究竟是不是固定价」争论不休（P4029）。[事实] 「中标价加签证决算」本身是成熟的组合模式，但它成立的前提恰恰是签证环节严密——在这种模式里，签证不是附属品，而是价格的组成部分。</w:t>
      </w:r>
    </w:p>
    <w:p>
      <w:r>
        <w:rPr>
          <w:rFonts w:ascii="Calibri" w:hAnsi="Calibri" w:eastAsia="微软雅黑"/>
          <w:b w:val="0"/>
          <w:i w:val="0"/>
          <w:sz w:val="22"/>
        </w:rPr>
        <w:t>第三个角落是采购联动。工业类EPC总承包项目，采购额占合同额的比例高达40%～60%，采购执行的好坏对整个工程项目的进度、质量和费用都产生直接影响（P4034）。设计变更一旦改动设备规格或数量，采购合同、催交、检验、物流、现场材料管理会依次连锁（P4034）。[建议] 变更审批单应设「采购影响」栏：是否已有在途订单、是否触发取消或改单费用、是否影响交货期，未填不批；验证方式是随机抽取十份变更单回查采购影响栏与实际采购变更的对应关系，停止条件是连续一个季度漏填率高于两成时，冻结「先批后评」的快速通道。</w:t>
      </w:r>
    </w:p>
    <w:p>
      <w:pPr>
        <w:pStyle w:val="Heading2"/>
      </w:pPr>
      <w:r>
        <w:t>4.3 签证环节：证据链上的每一张纸都是钱</w:t>
      </w:r>
    </w:p>
    <w:p>
      <w:pPr>
        <w:pStyle w:val="Heading3"/>
      </w:pPr>
      <w:r>
        <w:t>4.3.1 签证的本质与单据族谱</w:t>
      </w:r>
    </w:p>
    <w:p>
      <w:r>
        <w:rPr>
          <w:rFonts w:ascii="Calibri" w:hAnsi="Calibri" w:eastAsia="微软雅黑"/>
          <w:b w:val="0"/>
          <w:i w:val="0"/>
          <w:sz w:val="22"/>
        </w:rPr>
        <w:t>签证的法律功能，是把「现场发生了什么」翻译成「对方认可什么、欠我什么」。围绕这个功能，项目现场存在一族功能相近但效力不同的单据，混用与误用是常态。把它们排成一张族谱，是台账建设的第一步：</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单据</w:t>
            </w:r>
          </w:p>
        </w:tc>
        <w:tc>
          <w:tcPr>
            <w:tcW w:type="dxa" w:w="2075"/>
            <w:shd w:fill="1F3A5F"/>
          </w:tcPr>
          <w:p>
            <w:r>
              <w:rPr>
                <w:color w:val="FFFFFF"/>
              </w:rPr>
            </w:r>
            <w:r>
              <w:rPr>
                <w:rFonts w:ascii="Calibri" w:hAnsi="Calibri" w:eastAsia="微软雅黑"/>
                <w:b/>
                <w:i w:val="0"/>
                <w:color w:val="FFFFFF"/>
                <w:sz w:val="18"/>
              </w:rPr>
              <w:t>功能定位</w:t>
            </w:r>
          </w:p>
        </w:tc>
        <w:tc>
          <w:tcPr>
            <w:tcW w:type="dxa" w:w="2075"/>
            <w:shd w:fill="1F3A5F"/>
          </w:tcPr>
          <w:p>
            <w:r>
              <w:rPr>
                <w:color w:val="FFFFFF"/>
              </w:rPr>
            </w:r>
            <w:r>
              <w:rPr>
                <w:rFonts w:ascii="Calibri" w:hAnsi="Calibri" w:eastAsia="微软雅黑"/>
                <w:b/>
                <w:i w:val="0"/>
                <w:color w:val="FFFFFF"/>
                <w:sz w:val="18"/>
              </w:rPr>
              <w:t>高频失效点</w:t>
            </w:r>
          </w:p>
        </w:tc>
        <w:tc>
          <w:tcPr>
            <w:tcW w:type="dxa" w:w="2075"/>
            <w:shd w:fill="1F3A5F"/>
          </w:tcPr>
          <w:p>
            <w:r>
              <w:rPr>
                <w:color w:val="FFFFFF"/>
              </w:rPr>
            </w:r>
            <w:r>
              <w:rPr>
                <w:rFonts w:ascii="Calibri" w:hAnsi="Calibri" w:eastAsia="微软雅黑"/>
                <w:b/>
                <w:i w:val="0"/>
                <w:color w:val="FFFFFF"/>
                <w:sz w:val="18"/>
              </w:rPr>
              <w:t>数据源</w:t>
            </w:r>
          </w:p>
        </w:tc>
      </w:tr>
      <w:tr>
        <w:tc>
          <w:tcPr>
            <w:tcW w:type="dxa" w:w="2075"/>
          </w:tcPr>
          <w:p>
            <w:r/>
            <w:r>
              <w:rPr>
                <w:rFonts w:ascii="Calibri" w:hAnsi="Calibri" w:eastAsia="微软雅黑"/>
                <w:b w:val="0"/>
                <w:i w:val="0"/>
                <w:sz w:val="18"/>
              </w:rPr>
              <w:t>设计变更通知单</w:t>
            </w:r>
          </w:p>
        </w:tc>
        <w:tc>
          <w:tcPr>
            <w:tcW w:type="dxa" w:w="2075"/>
          </w:tcPr>
          <w:p>
            <w:r/>
            <w:r>
              <w:rPr>
                <w:rFonts w:ascii="Calibri" w:hAnsi="Calibri" w:eastAsia="微软雅黑"/>
                <w:b w:val="0"/>
                <w:i w:val="0"/>
                <w:sz w:val="18"/>
              </w:rPr>
              <w:t>原设计单位出具的图纸级修改</w:t>
            </w:r>
          </w:p>
        </w:tc>
        <w:tc>
          <w:tcPr>
            <w:tcW w:type="dxa" w:w="2075"/>
          </w:tcPr>
          <w:p>
            <w:r/>
            <w:r>
              <w:rPr>
                <w:rFonts w:ascii="Calibri" w:hAnsi="Calibri" w:eastAsia="微软雅黑"/>
                <w:b w:val="0"/>
                <w:i w:val="0"/>
                <w:sz w:val="18"/>
              </w:rPr>
              <w:t>未走三方会审即发出</w:t>
            </w:r>
          </w:p>
        </w:tc>
        <w:tc>
          <w:tcPr>
            <w:tcW w:type="dxa" w:w="2075"/>
          </w:tcPr>
          <w:p>
            <w:r/>
            <w:r>
              <w:rPr>
                <w:rFonts w:ascii="Calibri" w:hAnsi="Calibri" w:eastAsia="微软雅黑"/>
                <w:b w:val="0"/>
                <w:i w:val="0"/>
                <w:sz w:val="18"/>
              </w:rPr>
              <w:t>P4007</w:t>
            </w:r>
          </w:p>
        </w:tc>
      </w:tr>
      <w:tr>
        <w:tc>
          <w:tcPr>
            <w:tcW w:type="dxa" w:w="2075"/>
          </w:tcPr>
          <w:p>
            <w:r/>
            <w:r>
              <w:rPr>
                <w:rFonts w:ascii="Calibri" w:hAnsi="Calibri" w:eastAsia="微软雅黑"/>
                <w:b w:val="0"/>
                <w:i w:val="0"/>
                <w:sz w:val="18"/>
              </w:rPr>
              <w:t>设计变更联络单</w:t>
            </w:r>
          </w:p>
        </w:tc>
        <w:tc>
          <w:tcPr>
            <w:tcW w:type="dxa" w:w="2075"/>
          </w:tcPr>
          <w:p>
            <w:r/>
            <w:r>
              <w:rPr>
                <w:rFonts w:ascii="Calibri" w:hAnsi="Calibri" w:eastAsia="微软雅黑"/>
                <w:b w:val="0"/>
                <w:i w:val="0"/>
                <w:sz w:val="18"/>
              </w:rPr>
              <w:t>施工单位提出、征得原设计单位同意</w:t>
            </w:r>
          </w:p>
        </w:tc>
        <w:tc>
          <w:tcPr>
            <w:tcW w:type="dxa" w:w="2075"/>
          </w:tcPr>
          <w:p>
            <w:r/>
            <w:r>
              <w:rPr>
                <w:rFonts w:ascii="Calibri" w:hAnsi="Calibri" w:eastAsia="微软雅黑"/>
                <w:b w:val="0"/>
                <w:i w:val="0"/>
                <w:sz w:val="18"/>
              </w:rPr>
              <w:t>位置、规格、数量等要素缺项</w:t>
            </w:r>
          </w:p>
        </w:tc>
        <w:tc>
          <w:tcPr>
            <w:tcW w:type="dxa" w:w="2075"/>
          </w:tcPr>
          <w:p>
            <w:r/>
            <w:r>
              <w:rPr>
                <w:rFonts w:ascii="Calibri" w:hAnsi="Calibri" w:eastAsia="微软雅黑"/>
                <w:b w:val="0"/>
                <w:i w:val="0"/>
                <w:sz w:val="18"/>
              </w:rPr>
              <w:t>P4007</w:t>
            </w:r>
          </w:p>
        </w:tc>
      </w:tr>
      <w:tr>
        <w:tc>
          <w:tcPr>
            <w:tcW w:type="dxa" w:w="2075"/>
          </w:tcPr>
          <w:p>
            <w:r/>
            <w:r>
              <w:rPr>
                <w:rFonts w:ascii="Calibri" w:hAnsi="Calibri" w:eastAsia="微软雅黑"/>
                <w:b w:val="0"/>
                <w:i w:val="0"/>
                <w:sz w:val="18"/>
              </w:rPr>
              <w:t>材料代用单</w:t>
            </w:r>
          </w:p>
        </w:tc>
        <w:tc>
          <w:tcPr>
            <w:tcW w:type="dxa" w:w="2075"/>
          </w:tcPr>
          <w:p>
            <w:r/>
            <w:r>
              <w:rPr>
                <w:rFonts w:ascii="Calibri" w:hAnsi="Calibri" w:eastAsia="微软雅黑"/>
                <w:b w:val="0"/>
                <w:i w:val="0"/>
                <w:sz w:val="18"/>
              </w:rPr>
              <w:t>材料替换的专用凭证</w:t>
            </w:r>
          </w:p>
        </w:tc>
        <w:tc>
          <w:tcPr>
            <w:tcW w:type="dxa" w:w="2075"/>
          </w:tcPr>
          <w:p>
            <w:r/>
            <w:r>
              <w:rPr>
                <w:rFonts w:ascii="Calibri" w:hAnsi="Calibri" w:eastAsia="微软雅黑"/>
                <w:b w:val="0"/>
                <w:i w:val="0"/>
                <w:sz w:val="18"/>
              </w:rPr>
              <w:t>无附图、无具体使用部位</w:t>
            </w:r>
          </w:p>
        </w:tc>
        <w:tc>
          <w:tcPr>
            <w:tcW w:type="dxa" w:w="2075"/>
          </w:tcPr>
          <w:p>
            <w:r/>
            <w:r>
              <w:rPr>
                <w:rFonts w:ascii="Calibri" w:hAnsi="Calibri" w:eastAsia="微软雅黑"/>
                <w:b w:val="0"/>
                <w:i w:val="0"/>
                <w:sz w:val="18"/>
              </w:rPr>
              <w:t>P4007</w:t>
            </w:r>
          </w:p>
        </w:tc>
      </w:tr>
      <w:tr>
        <w:tc>
          <w:tcPr>
            <w:tcW w:type="dxa" w:w="2075"/>
          </w:tcPr>
          <w:p>
            <w:r/>
            <w:r>
              <w:rPr>
                <w:rFonts w:ascii="Calibri" w:hAnsi="Calibri" w:eastAsia="微软雅黑"/>
                <w:b w:val="0"/>
                <w:i w:val="0"/>
                <w:sz w:val="18"/>
              </w:rPr>
              <w:t>技术、经济签证核定单</w:t>
            </w:r>
          </w:p>
        </w:tc>
        <w:tc>
          <w:tcPr>
            <w:tcW w:type="dxa" w:w="2075"/>
          </w:tcPr>
          <w:p>
            <w:r/>
            <w:r>
              <w:rPr>
                <w:rFonts w:ascii="Calibri" w:hAnsi="Calibri" w:eastAsia="微软雅黑"/>
                <w:b w:val="0"/>
                <w:i w:val="0"/>
                <w:sz w:val="18"/>
              </w:rPr>
              <w:t>现场事实与费用的核定</w:t>
            </w:r>
          </w:p>
        </w:tc>
        <w:tc>
          <w:tcPr>
            <w:tcW w:type="dxa" w:w="2075"/>
          </w:tcPr>
          <w:p>
            <w:r/>
            <w:r>
              <w:rPr>
                <w:rFonts w:ascii="Calibri" w:hAnsi="Calibri" w:eastAsia="微软雅黑"/>
                <w:b w:val="0"/>
                <w:i w:val="0"/>
                <w:sz w:val="18"/>
              </w:rPr>
              <w:t>无发包人或监理签字、内容重复</w:t>
            </w:r>
          </w:p>
        </w:tc>
        <w:tc>
          <w:tcPr>
            <w:tcW w:type="dxa" w:w="2075"/>
          </w:tcPr>
          <w:p>
            <w:r/>
            <w:r>
              <w:rPr>
                <w:rFonts w:ascii="Calibri" w:hAnsi="Calibri" w:eastAsia="微软雅黑"/>
                <w:b w:val="0"/>
                <w:i w:val="0"/>
                <w:sz w:val="18"/>
              </w:rPr>
              <w:t>P4017</w:t>
            </w:r>
          </w:p>
        </w:tc>
      </w:tr>
      <w:tr>
        <w:tc>
          <w:tcPr>
            <w:tcW w:type="dxa" w:w="2075"/>
          </w:tcPr>
          <w:p>
            <w:r/>
            <w:r>
              <w:rPr>
                <w:rFonts w:ascii="Calibri" w:hAnsi="Calibri" w:eastAsia="微软雅黑"/>
                <w:b w:val="0"/>
                <w:i w:val="0"/>
                <w:sz w:val="18"/>
              </w:rPr>
              <w:t>工程联系单、工作联系单</w:t>
            </w:r>
          </w:p>
        </w:tc>
        <w:tc>
          <w:tcPr>
            <w:tcW w:type="dxa" w:w="2075"/>
          </w:tcPr>
          <w:p>
            <w:r/>
            <w:r>
              <w:rPr>
                <w:rFonts w:ascii="Calibri" w:hAnsi="Calibri" w:eastAsia="微软雅黑"/>
                <w:b w:val="0"/>
                <w:i w:val="0"/>
                <w:sz w:val="18"/>
              </w:rPr>
              <w:t>通知、催告与事实记录</w:t>
            </w:r>
          </w:p>
        </w:tc>
        <w:tc>
          <w:tcPr>
            <w:tcW w:type="dxa" w:w="2075"/>
          </w:tcPr>
          <w:p>
            <w:r/>
            <w:r>
              <w:rPr>
                <w:rFonts w:ascii="Calibri" w:hAnsi="Calibri" w:eastAsia="微软雅黑"/>
                <w:b w:val="0"/>
                <w:i w:val="0"/>
                <w:sz w:val="18"/>
              </w:rPr>
              <w:t>以复印件流转、原件签名缺失</w:t>
            </w:r>
          </w:p>
        </w:tc>
        <w:tc>
          <w:tcPr>
            <w:tcW w:type="dxa" w:w="2075"/>
          </w:tcPr>
          <w:p>
            <w:r/>
            <w:r>
              <w:rPr>
                <w:rFonts w:ascii="Calibri" w:hAnsi="Calibri" w:eastAsia="微软雅黑"/>
                <w:b w:val="0"/>
                <w:i w:val="0"/>
                <w:sz w:val="18"/>
              </w:rPr>
              <w:t>P4027</w:t>
            </w:r>
          </w:p>
        </w:tc>
      </w:tr>
      <w:tr>
        <w:tc>
          <w:tcPr>
            <w:tcW w:type="dxa" w:w="2075"/>
          </w:tcPr>
          <w:p>
            <w:r/>
            <w:r>
              <w:rPr>
                <w:rFonts w:ascii="Calibri" w:hAnsi="Calibri" w:eastAsia="微软雅黑"/>
                <w:b w:val="0"/>
                <w:i w:val="0"/>
                <w:sz w:val="18"/>
              </w:rPr>
              <w:t>会议纪要、补充协议</w:t>
            </w:r>
          </w:p>
        </w:tc>
        <w:tc>
          <w:tcPr>
            <w:tcW w:type="dxa" w:w="2075"/>
          </w:tcPr>
          <w:p>
            <w:r/>
            <w:r>
              <w:rPr>
                <w:rFonts w:ascii="Calibri" w:hAnsi="Calibri" w:eastAsia="微软雅黑"/>
                <w:b w:val="0"/>
                <w:i w:val="0"/>
                <w:sz w:val="18"/>
              </w:rPr>
              <w:t>范围与价格的正式调整载体</w:t>
            </w:r>
          </w:p>
        </w:tc>
        <w:tc>
          <w:tcPr>
            <w:tcW w:type="dxa" w:w="2075"/>
          </w:tcPr>
          <w:p>
            <w:r/>
            <w:r>
              <w:rPr>
                <w:rFonts w:ascii="Calibri" w:hAnsi="Calibri" w:eastAsia="微软雅黑"/>
                <w:b w:val="0"/>
                <w:i w:val="0"/>
                <w:sz w:val="18"/>
              </w:rPr>
              <w:t>只开会不落文件</w:t>
            </w:r>
          </w:p>
        </w:tc>
        <w:tc>
          <w:tcPr>
            <w:tcW w:type="dxa" w:w="2075"/>
          </w:tcPr>
          <w:p>
            <w:r/>
            <w:r>
              <w:rPr>
                <w:rFonts w:ascii="Calibri" w:hAnsi="Calibri" w:eastAsia="微软雅黑"/>
                <w:b w:val="0"/>
                <w:i w:val="0"/>
                <w:sz w:val="18"/>
              </w:rPr>
              <w:t>P4023</w:t>
            </w:r>
          </w:p>
        </w:tc>
      </w:tr>
    </w:tbl>
    <w:p>
      <w:r>
        <w:rPr>
          <w:rFonts w:ascii="Calibri" w:hAnsi="Calibri" w:eastAsia="微软雅黑"/>
          <w:b w:val="0"/>
          <w:i w:val="0"/>
          <w:sz w:val="22"/>
        </w:rPr>
        <w:t>济宁城投案展示了联系单的正确用法：发包人为证明其在保修期内多次催告承包人履行维修义务，提交了《工作联系单》一宗，其中包含监理人员的签字确认，用以证明2016年至2017年5月期间多次送达要求履行维修义务（P4027）。一宗、有监理签字、时间连续——三个要素齐了，单据才是证据。[建议] 给每一种单据设编号规则与必备字段，台账按族谱分列，结算按族谱取数。</w:t>
      </w:r>
    </w:p>
    <w:p>
      <w:pPr>
        <w:pStyle w:val="Heading3"/>
      </w:pPr>
      <w:r>
        <w:t>4.3.2 法院认单的三条铁律</w:t>
      </w:r>
    </w:p>
    <w:p>
      <w:r>
        <w:rPr>
          <w:rFonts w:ascii="Calibri" w:hAnsi="Calibri" w:eastAsia="微软雅黑"/>
          <w:b w:val="0"/>
          <w:i w:val="0"/>
          <w:sz w:val="22"/>
        </w:rPr>
        <w:t>签字律。华东电气案中，法院对窝工损失单据的筛法是：没有发包人或监理单位签字的、内容重复的，不认；有成冶公司或监理单位签字的，认（P4017）。签字人的身份比签字的数量更重要——班组互签、内部会签在法庭上近乎白纸。</w:t>
      </w:r>
    </w:p>
    <w:p>
      <w:r>
        <w:rPr>
          <w:rFonts w:ascii="Calibri" w:hAnsi="Calibri" w:eastAsia="微软雅黑"/>
          <w:b w:val="0"/>
          <w:i w:val="0"/>
          <w:sz w:val="22"/>
        </w:rPr>
        <w:t>量化律。同一案件中，总承包合同约定的工期延误违约金为每天5万元（P4017）；法院根据发包人在变电站投运前后用电量的变化，推算出因延期每天少生产钢2090吨，又因发包人不能证明每吨钢材的合理利润，酌情认定为每吨约5元（P4017）；最终承包人对复验超期19天承担工期延误责任（P4017）。该案的时间锚点也值得记：双方于2011年12月30日签订《关于成都冶金试验厂有限公司110KV变电站大树间隔施工划分的补充协议》，对整个工程的验收通电重新作了约定（P4017）。[事实] 一份施工划分补充协议承担了工期责任切分的功能——变更类文件写什么，比写没写更影响胜负。[事实] 签证不仅要「签了」，还要「算得出」——法院自己都能按用电量推产量，承包人若连误工人数、天数都量化不了，就只能等法官酌情，而酌情的结果通常低于实际损失。</w:t>
      </w:r>
    </w:p>
    <w:p>
      <w:r>
        <w:rPr>
          <w:rFonts w:ascii="Calibri" w:hAnsi="Calibri" w:eastAsia="微软雅黑"/>
          <w:b w:val="0"/>
          <w:i w:val="0"/>
          <w:sz w:val="22"/>
        </w:rPr>
        <w:t>路径律。赤天化案中业主的抗辩之所以有力，是因为合同约定了报送路径：损失金额、停工时长、停工原因应向业主、监理单位报告，而承包人没有按约报送（P4002）。[建议] 签证送达要按合同指定的收件人、指定的地址、指定的方式留痕，签收记录与签证单同格保存；验证方式是每季度抽三张签证做「送达链回放」，从签发到签收每一环都有姓名与日期。</w:t>
      </w:r>
    </w:p>
    <w:p>
      <w:pPr>
        <w:pStyle w:val="Heading3"/>
      </w:pPr>
      <w:r>
        <w:t>4.3.3 窝工与停工签证的特别写法</w:t>
      </w:r>
    </w:p>
    <w:p>
      <w:r>
        <w:rPr>
          <w:rFonts w:ascii="Calibri" w:hAnsi="Calibri" w:eastAsia="微软雅黑"/>
          <w:b w:val="0"/>
          <w:i w:val="0"/>
          <w:sz w:val="22"/>
        </w:rPr>
        <w:t>窝工签证是所有签证里最难的一种：事实发生在「没干活」的时间段里，天然缺乏工程量载体。把它写好要抓三点。[建议] 第一，按合同口径拆要素：停工时长、停工原因、损失金额三项分开写，缺一项就会被对方抓住推算之争（P4002的教训）；第二，人证与物证并重：误工人员名单、设备停滞清单、影像记录随单附卷（P4017中法院认可的单据类型）；第三，及时报送：东泰华美案中，一审法院认定承包人未按期索赔而丧失相关权利，承包人上诉主张其已在2014年9月30日前依据当天达成的会议纪要向监理提出过工期延误费用索赔（P4026）——时效之争往往就是输赢之分，而会议纪要可以成为时效证据。该案的工期背景更能说明问题：承包人主张案涉工程工期延误463天，实际工期是合同约定工期的3倍（P4026）。在如此长的延误周期里，按月滚动报送损失、按期留下监理签收，是窝工签证能够活到庭审的必要路径。</w:t>
      </w:r>
    </w:p>
    <w:p>
      <w:pPr>
        <w:pStyle w:val="Heading3"/>
      </w:pPr>
      <w:r>
        <w:t>4.3.4 背靠背条款：总分包之间的签证流转</w:t>
      </w:r>
    </w:p>
    <w:p>
      <w:r>
        <w:rPr>
          <w:rFonts w:ascii="Calibri" w:hAnsi="Calibri" w:eastAsia="微软雅黑"/>
          <w:b w:val="0"/>
          <w:i w:val="0"/>
          <w:sz w:val="22"/>
        </w:rPr>
        <w:t>深圳赤晓与温州锐峰的分包争议揭示了另一种结构性风险。双方原约定只有I类变更需要另外计算工程款，其后在《委托书》中改为：对已完成的变更工程量部分，以业主批复为准，扣除25%后由赤晓公司如数支付给锐峰公司（P4013）；赤晓公司已将锐峰公司完成的变更工程量上报十八局集团第五公司（P4013）。[事实] 这类「以业主批复为准」的背靠背条款在总分包之间很常见，它把分包商的收款节奏拴在业主的批复节奏上。最高人民法院在该案中认定双方已协商一致变更了原约定，赤晓公司应按业主批复价格支付（P4013）。[建议] 总承包商自用此条款时，应配上「视同批复」的日落条款（如业主收到上报后若干日未批复即视同认可），既保护分包关系，也倒逼自己及时向业主追批；分包商接受此条款时，应要求同步知悉上报与批复进度。若不设日落条件，该条款等于把现金流交给别人掌管。</w:t>
      </w:r>
    </w:p>
    <w:p>
      <w:pPr>
        <w:pStyle w:val="Heading3"/>
      </w:pPr>
      <w:r>
        <w:t>4.3.5 台账一致性：模型量、签证量、结算量三账合一</w:t>
      </w:r>
    </w:p>
    <w:p>
      <w:r>
        <w:rPr>
          <w:rFonts w:ascii="Calibri" w:hAnsi="Calibri" w:eastAsia="微软雅黑"/>
          <w:b w:val="0"/>
          <w:i w:val="0"/>
          <w:sz w:val="22"/>
        </w:rPr>
        <w:t>数字化工具没有免除台账责任，反而抬高了一致性标准。BIM实务中一个突出的脱节现象是：BIM模型同步了变更，但现场签证附件未同步更新，模型工程量和纸质签证内容不一致，审计时数字化资料被直接驳回（P4014）。[事实] 这意味着花钱建了模型，审计反而不认——数字化资料被驳回的根子不在技术，而在两张账没有对齐。协同成本同样可观：据相关行业报告，42%的BIM团队每周要花费8小时以上来协调冲突的版本，原因往往是不一致的命名规范（P4014）。[建议] 有效做法是将变更分组处理而非零散传递，并明确更新时机和责任人（P4014）；台账一致性检验的口径是三个数对得上：模型量、签证量、结算量，月末对不平即挂账核查。命名规范是协同的隐形地基——42%团队每周8小时以上耗在协调冲突版本上，原因往往是不一致的命名规范（P4014），这意味着变更台账的编号规则不是文员事务，而是直接决定协同成本的流程设计。[建议] 编号规则用三段式：专业代码加变更流水号加版本号，任何单据不带齐三段不得入账。</w:t>
      </w:r>
    </w:p>
    <w:p>
      <w:r>
        <w:rPr>
          <w:rFonts w:ascii="Calibri" w:hAnsi="Calibri" w:eastAsia="微软雅黑"/>
          <w:b w:val="0"/>
          <w:i w:val="0"/>
          <w:sz w:val="22"/>
        </w:rPr>
        <w:t>计价基准也要在源头写清楚。梁铭祥与潘广松2007年2月17日签订的《工厂工程造价统计表》把单价与量分开记载：车间1建筑面积11280㎡、预算单价364.53元／㎡、预算造价4111945.39元、最终合同价3800000元（P4005）；车间2建筑面积3350㎡、预算单价1192.09元／㎡、预算造价3993494.48元、最终合同价3685000元（P4005）；宿舍建筑面积8578㎡、预算单价788.88元／㎡、预算造价6767053.59元、最终合同价6500000元（P4005）；三项合计13985000元（P4005）。[事实] 这张表的价值在于：当后续变更发生时，「按什么单价、按什么量」有据可查。签证台账应继承同样的结构——每条变更都挂回原始计价基准，而不是孤立记一个总价。</w:t>
      </w:r>
    </w:p>
    <w:p>
      <w:r>
        <w:rPr>
          <w:rFonts w:ascii="Calibri" w:hAnsi="Calibri" w:eastAsia="微软雅黑"/>
          <w:b w:val="0"/>
          <w:i w:val="0"/>
          <w:sz w:val="22"/>
        </w:rPr>
        <w:t>索赔类与价差类要分开主张。重庆一品案中，承包人分别主张钢筋材料费价差补贴471274元、基础损失索赔费1565809.08元，共计2037083.08元，另主张已到期质保金2095908.72元、逾期支付工程进度款违约金3883273元（P4003）。分项主张的好处是：即便其中一项证据不足，其余项不受牵连。</w:t>
      </w:r>
    </w:p>
    <w:p>
      <w:pPr>
        <w:pStyle w:val="Heading3"/>
      </w:pPr>
      <w:r>
        <w:t>4.3.6 台账的反面：欺诈与寻租</w:t>
      </w:r>
    </w:p>
    <w:p>
      <w:r>
        <w:rPr>
          <w:rFonts w:ascii="Calibri" w:hAnsi="Calibri" w:eastAsia="微软雅黑"/>
          <w:b w:val="0"/>
          <w:i w:val="0"/>
          <w:sz w:val="22"/>
        </w:rPr>
        <w:t>台账不仅要对内一致，还要核验对端真实性。李正华合同诈骗案中，被告在未取得光伏项目发包、分包权的情况下，谎称中国电建系总承包方，伪造公章与劳务总包合同，虚构分包项目、工程量，伪造国家能源局红头文件、进场通知书、工程量分配单等，以收取保证金、业务拓展费等名义骗取被害人共计人民币860万元（其中200万元未遂）（P4019）。[事实] 工程量分配单这类签证族单据被直接用作行骗道具，说明对端核验（合同备案、共管账户、公章验真）应纳入台账流程。另一个暗面在设计审批环节：黄晟生利用负责电力工程设计审批的职权，在该公司设计的电力工程图纸上标注指定厂商生产的电器产品，其伙同他人收受款项共计253.5万元，其中个人单独收受223.5万元（P4010）。[事实] 变更与设计审批环节是廉洁风险点，图纸品牌标注、材料代用这类「技术性小改」恰是寻租高发区。[建议] 变更审批链上的品牌指定与代用审批，应设双人复核与定期轮岗。黄晟生案的另一层警示在于岗位惯性：其自1992年7月起在广州黄埔供电局从事设计工作，其后至案发，先后在广州南方电力建设集团旗下的设计公司与建设公司任职，多段经历都与设计审批及工程发包相关（P4010）。[事实] 长期盘踞同一业务链条且跨主体轮转，是寻租行为得以持续的土壤；岗位轮换防的不是某一个体，而是把「图纸标注权」长期固定在同一双手里。</w:t>
      </w:r>
    </w:p>
    <w:p>
      <w:pPr>
        <w:pStyle w:val="Heading3"/>
      </w:pPr>
      <w:r>
        <w:t>4.3.7 签证书写规范与证据闭环</w:t>
      </w:r>
    </w:p>
    <w:p>
      <w:r>
        <w:rPr>
          <w:rFonts w:ascii="Calibri" w:hAnsi="Calibri" w:eastAsia="微软雅黑"/>
          <w:b w:val="0"/>
          <w:i w:val="0"/>
          <w:sz w:val="22"/>
        </w:rPr>
        <w:t>市场培训对签证实操的拆解可以浓缩为四个动作：撰写规范、取证要点、时效要求、资料留存标准，用以解决补签、漏签、错签、无效签证等常见问题，让每一项施工产值有据可依、有据可查（P4015）。落到单据上，撰写规范回答「写什么」——事实、数量、单价依据、金额四要素齐备；取证要点回答「凭什么」——影像、图纸、洽商记录随单附卷；时效要求回答「什么时候」——变更价款类参照设计变更后14天内提交的时限纪律（P4009），索赔类另按合同期限执行并留意未按期索赔即丧失权利的抗辩（P4026）；资料留存标准回答「放哪里」——按单据族谱编号归档，与台账同源（P4014）。</w:t>
      </w:r>
    </w:p>
    <w:p>
      <w:r>
        <w:rPr>
          <w:rFonts w:ascii="Calibri" w:hAnsi="Calibri" w:eastAsia="微软雅黑"/>
          <w:b w:val="0"/>
          <w:i w:val="0"/>
          <w:sz w:val="22"/>
        </w:rPr>
        <w:t>证据闭环的完整链条是：变更、签证、图纸、洽商、影像、台账六个载体互相印证，用来应对结算审核与专项审计，减少审减与争议（P4015）。[建议] 检验闭环是否成立的方法是「抽单回放」：随机抽一张签证，看能否在两小时内找齐它对应的变更单、图纸版本、影像与台账记录；找不齐的地方，就是链条断点。施工创造产值，风控守住利润（P4015）——签证环节就是风控的物理载体。</w:t>
      </w:r>
    </w:p>
    <w:p>
      <w:pPr>
        <w:pStyle w:val="Heading2"/>
      </w:pPr>
      <w:r>
        <w:t>4.4 结算与争议：变更权益的最后一公里</w:t>
      </w:r>
    </w:p>
    <w:p>
      <w:pPr>
        <w:pStyle w:val="Heading3"/>
      </w:pPr>
      <w:r>
        <w:t>4.4.1 金桂案：一份教科书级的结算总账</w:t>
      </w:r>
    </w:p>
    <w:p>
      <w:r>
        <w:rPr>
          <w:rFonts w:ascii="Calibri" w:hAnsi="Calibri" w:eastAsia="微软雅黑"/>
          <w:b w:val="0"/>
          <w:i w:val="0"/>
          <w:sz w:val="22"/>
        </w:rPr>
        <w:t>结算是变更管理的一次性总考试。金桂案的总账结构值得每家EPC企业对照自查：原合同总价92000万元，经补充协议与会议纪要调整后为90623.4046万元（调整后总价较原合同减少1376.5954万元，92000−90623.4046，own_calc，P4023）；因业主原因的变更再增加1288.8979万元，合计应付91912.3025万元（90623.4046＋1288.8979＝91912.3025，own_calc，P4023）；业主已支付84233.2264万元，剩余7679.0761万元未付（91912.3025−84233.2264＝7679.0761，own_calc，P4023）。</w:t>
      </w:r>
    </w:p>
    <w:p>
      <w:r>
        <w:rPr>
          <w:rFonts w:ascii="Calibri" w:hAnsi="Calibri" w:eastAsia="微软雅黑"/>
          <w:b w:val="0"/>
          <w:i w:val="0"/>
          <w:sz w:val="22"/>
        </w:rPr>
        <w:t>[估计] 即便文件链如此完整，已付比例也只到约91.6%（84233.2264÷91912.3025，own_calc），尾款7679.0761万元及自2014年5月28日起暂计至2015年7月31日的逾期利息533.16万元仍要靠诉讼去追（P4023）。另有2号机组停窝工18个月共2090.072万元的损失被业主拒付（P4023）——[估计] 折合月均约116.12万元（2090.072÷18，own_calc）。这组数字给管理层的提醒是：变更文件做得再好，也只是拿到了「能打官司的资格」，回款节奏还需要合同层面的付款担保与利息条款兜底。</w:t>
      </w:r>
    </w:p>
    <w:p>
      <w:r>
        <w:rPr>
          <w:rFonts w:ascii="Calibri" w:hAnsi="Calibri" w:eastAsia="微软雅黑"/>
          <w:b w:val="0"/>
          <w:i w:val="0"/>
          <w:sz w:val="22"/>
        </w:rPr>
        <w:t>细看金桂案的价格调整结构，还能发现一类特殊变更对价：服务费用调整后为5374.498万元，其中包含了增加的1号机组延期补偿款709.498万元（P4023）。[事实] 延期补偿没有走索赔诉讼的对抗路径，而是被结构化地写进补充协议、并入服务费科目——这是变更管理的高级形态：把「事后吵架的索赔」前置成「事前记账的合同调整」。同样的联动发生在另外两个科目：设备采购费用调整为64343万元，土建费用调整为7770.502万元、安装费用调整为13135.4046万元（P4023）——范围一动，三个科目随之而动，账目始终闭环。</w:t>
      </w:r>
    </w:p>
    <w:p>
      <w:pPr>
        <w:pStyle w:val="Heading3"/>
      </w:pPr>
      <w:r>
        <w:t>4.4.2 武汉四建：变更把结算结构改成了三层</w:t>
      </w:r>
    </w:p>
    <w:p>
      <w:r>
        <w:rPr>
          <w:rFonts w:ascii="Calibri" w:hAnsi="Calibri" w:eastAsia="微软雅黑"/>
          <w:b w:val="0"/>
          <w:i w:val="0"/>
          <w:sz w:val="22"/>
        </w:rPr>
        <w:t>武汉四建案的结算书把变更的影响展示成三层结构。第一层，1#、2#楼按合同固定总价3350.2089万元（P4033）。第二层，1#、2#楼合同外工程项目597.6953万元（P4033）。第三层，3#楼因规划调整超出招投标范围、且工期多次延迟使材料人工价格发生较大涨幅，不沿用固定总价而按定额据实结算（P4033）；另有开闭所工程款37.3081万元、配合费10万元（P4033）；应结工程款总额8466.3655万元（P4033）。（分项复核：3350.2089＋597.6953＋4471.1532＋37.3081＋10＝8466.3655万元，own_calc；3#楼据实结算层价款由应结总额倒减其余四项而得：8466.3655−3350.2089−597.6953−37.3081−10＝4471.1532，own_calc。）</w:t>
      </w:r>
    </w:p>
    <w:p>
      <w:r>
        <w:rPr>
          <w:rFonts w:ascii="Calibri" w:hAnsi="Calibri" w:eastAsia="微软雅黑"/>
          <w:b w:val="0"/>
          <w:i w:val="0"/>
          <w:sz w:val="22"/>
        </w:rPr>
        <w:t>[估计] 最扎眼的对比是：3#楼一栋楼据实结算层的价款（由应结总额倒减其余四项：8466.3655−3350.2089−597.6953−37.3081−10＝4471.1532，own_calc），约相当于1#、2#两栋楼固定总价3350.2089万元的133.5%（4471.1532÷3350.2089，own_calc）。[事实] 规划调整一栋楼，其结算额超过了另外两栋楼的总价——这就是「据实结算」与「固定总价」两种计价口径在变更冲击下的分岔。管理层的启示是：当业主的规划调整把某单项推出原合同口径时，计价方式的重新谈判必须与变更审批同步启动，不能等到结算时才摊牌。结算结构分层的项目，台账也要跟着分层。[建议] 固定价层、合同外层、据实结算层各自独立建账，月报按层列示金额与占比，让管理层一眼看出三层结构是否失衡；验证方式是任一时点三层金额之和与总台账相符，停止条件是出现串层记账即冻结当月结算并倒查串层单据。</w:t>
      </w:r>
    </w:p>
    <w:p>
      <w:pPr>
        <w:pStyle w:val="Heading3"/>
      </w:pPr>
      <w:r>
        <w:t>4.4.3 付款结构与结算联动：被扣住的三成价款</w:t>
      </w:r>
    </w:p>
    <w:p>
      <w:r>
        <w:rPr>
          <w:rFonts w:ascii="Calibri" w:hAnsi="Calibri" w:eastAsia="微软雅黑"/>
          <w:b w:val="0"/>
          <w:i w:val="0"/>
          <w:sz w:val="22"/>
        </w:rPr>
        <w:t>结算审核卡住的不只是尾款，而是整条付款链的尾部。苏中建设案的合同约定：开工进场后付总价的10%，基础完成后付20%，主体完成三层付20%，主体完成付10%，竣工验收合格后付10%，竣工结算审核后付25%，余款5%作保修金满一年后付清（P4020）。[估计] 按此结构，竣工结算审核每拖延一年，至少有总价30%的款项（25%＋5%，own_calc）滞留在发包人手里。苏中建设公司诉讼主张工程款31378570元、利息4911862.33元、逾期付款违约金5116934.78元（P4020），滞留价款的时间成本清晰可见。[建议] 承包商应在合同谈判时为「竣工结算审核」设时限加逾期视为认可条款，把上一节的付款链风险提前对冲。滞留价款之外，利息与违约金的主张结构同样要靠签证与结算文件支撑。重庆一品案中，承包人对逾期支付工程款违约金的主张是以8576021.90元为基数、按照年利率24%的标准从2015年10月19日起计算至实际付清时止（P4003）；赤天化案中，承包人还请求确认对其承建的桐梓煤化工一期工程热电及公用工程享有优先受偿权（P4002）。[事实] 利息看基数与起算日，优先权看工程范围界定——两者都回溯到变更与签证文件能不能把「干了多少、何时干完」钉死。而结算无风控的典型症状是：资料零散、链条断裂、结算依据不足，面对甲方审核、第三方审计无据可依，结算周期拉长、回款受阻，企业资金压力剧增（P4015）。</w:t>
      </w:r>
    </w:p>
    <w:p>
      <w:pPr>
        <w:pStyle w:val="Heading3"/>
      </w:pPr>
      <w:r>
        <w:t>4.4.4 质保金与超付：结算书的另一面</w:t>
      </w:r>
    </w:p>
    <w:p>
      <w:r>
        <w:rPr>
          <w:rFonts w:ascii="Calibri" w:hAnsi="Calibri" w:eastAsia="微软雅黑"/>
          <w:b w:val="0"/>
          <w:i w:val="0"/>
          <w:sz w:val="22"/>
        </w:rPr>
        <w:t>结算书的另一面是扣减与超付。中冶天工十三冶与万山劳务的分包案中，双方结算金额为13，159，890.17元，扣除5%质保金，应付款项为12，501，895.66元（P4024）；十三冶公司已向万山公司支付工程款14，778，673.28元（P4024）。[估计] 已付款项超出应付款项的部分（14，778，673.28−12，501，895.66，own_calc），再加上其主张的赔偿损失60万元与代缴税金276，782.31元（P4024），恰好凑成其诉请返还的超付工程款3，153，559.93元（P4024；交叉复核：2，276，777.62＋60万元＋276，782.31＝3，153，559.93，own_calc）。这个交叉验证说明两点：其一，结算书上每一个扣减项——质保金、代缴税费、违约赔偿——都会在争议中被逐项重新打开；其二，付款方与收款方各自记账的口径若不逐月对账，超付的发现会推迟到诉讼时。[建议] 总分包之间应按月出具付款对账单，载明累计已付、应付、质保金扣留余额三项数字并双签，把「超付之争」消灭在过程中；验证方式是抽三个月的对账单与银行流水核对，停止条件是发现一笔账实不符即暂停付款并逐笔对账。</w:t>
      </w:r>
    </w:p>
    <w:p>
      <w:pPr>
        <w:pStyle w:val="Heading3"/>
      </w:pPr>
      <w:r>
        <w:t>4.4.5 拖延结算的对冲：视为认可条款</w:t>
      </w:r>
    </w:p>
    <w:p>
      <w:r>
        <w:rPr>
          <w:rFonts w:ascii="Calibri" w:hAnsi="Calibri" w:eastAsia="微软雅黑"/>
          <w:b w:val="0"/>
          <w:i w:val="0"/>
          <w:sz w:val="22"/>
        </w:rPr>
        <w:t>对抗结算拖延的制度工具早已有之。苏南公司关联案件中，2010年1月27日签订的《协议》约定：自2010年1月27日起70天内负责审核完成，如未能在此时间内审核完成，双方同意执行国家财政部财建（2004）369号《建设工程价款结算暂行办法》（P4006）。二审法院认为，该办法就发包人逾期未完成审核情形的规定是「发包人收到竣工结算报告及完整的结算资料后，在本办法规定或合同约定期限内，对结算报告及资料没有提出意见，则视为认可」，发包人对逾期未完成审核的法律后果已有预见并自愿承担（P4006）。该案送审造价共计30636998.18元，审计初审报告核减造价共计3591240.95元，已支付工程款17285000元（P4006）——[估计] 核减额约占送审造价的11.7%（3591240.95÷30636998.18，own_calc）。[建议] 「送审后逾期未提意见视为认可」条款应写进每份总承包合同的结算章，并配套完整的签收记录；没有签收记录，视为认可条款就是空文。该案《协议》的三项义务本身就值得抄作模板：2010年3月31日前完成质监验收资料准备；自2010年1月27日起70天内负责审核完成，逾期即执行财政部财建（2004）369号《建设工程价款结算暂行办法》；在约定期间支付部分款项（P4006）。[建议] 把「资料准备、审核时限、逾期后果、期间付款」四要素写进结算协议，比单写一句「尽快结算」有效得多；验证方式是结算协议评审时逐要素打勾，停止条件是缺任一要素即退回补充。</w:t>
      </w:r>
    </w:p>
    <w:p>
      <w:pPr>
        <w:pStyle w:val="Heading3"/>
      </w:pPr>
      <w:r>
        <w:t>4.4.6 鉴定策略：固定总价下的两把刀</w:t>
      </w:r>
    </w:p>
    <w:p>
      <w:r>
        <w:rPr>
          <w:rFonts w:ascii="Calibri" w:hAnsi="Calibri" w:eastAsia="微软雅黑"/>
          <w:b w:val="0"/>
          <w:i w:val="0"/>
          <w:sz w:val="22"/>
        </w:rPr>
        <w:t>进入诉讼后，鉴定申请书的写法直接框定战场。撰写要遵守三条原则：以合同为依据，合同有效的尊重约定，合同无效但工程质量合格的参照约定折价补偿；聚焦争议焦点，避免笼统地申请对全部工程造价进行鉴定，这符合《建设工程造价鉴定规范》关于「争议部分鉴定」的倡导；明确鉴定目的，申请事项与诉讼请求相对应（P4012）。</w:t>
      </w:r>
    </w:p>
    <w:p>
      <w:r>
        <w:rPr>
          <w:rFonts w:ascii="Calibri" w:hAnsi="Calibri" w:eastAsia="微软雅黑"/>
          <w:b w:val="0"/>
          <w:i w:val="0"/>
          <w:sz w:val="22"/>
        </w:rPr>
        <w:t>固定总价合同下，承包人的标准表述是把鉴定对象从固定总价本身转移到总价包干范围之外：「申请对合同履行过程中，因发包人提出的设计变更、工程量清单漏项以及超出原合同图纸范围的新增工程部分的造价进行鉴定」；合同中途解除时，建议按「已完工程预算造价占合同约定总预算造价的比例」乘以合同固定总价的方式计算，即比例折算法（P4012）。发包人则用倒扣法：申请对未完部分的工程造价进行鉴定，以合同总价扣减该部分价值的方式核定已完工程价款（P4012）。[事实] 两把刀的方向相反——一个往外切增量，一个往回扣存量——但都以「合同范围」的划分为原点，再次回扣了申请环节的范围标记。发包人视角的表述同样有模板可抄：申请对承包人未按图施工、施工质量不合格或未完成合同约定工作内容所对应的工程价值进行鉴定，以核定应从合同总价中扣减的金额；合同中途解除时，申请对按合同约定未完部分的工程造价进行鉴定，以合同总价扣减该部分价值的方式核定已完工程价款（P4012）。[事实] 换到发包人的座位上，前文的每一条签证纪律都反转成了扣减武器——这正是闭环管理对甲乙双方都是净收益的原因：文件清楚，谁该给谁、给多少，算得清。</w:t>
      </w:r>
    </w:p>
    <w:p>
      <w:r>
        <w:rPr>
          <w:rFonts w:ascii="Calibri" w:hAnsi="Calibri" w:eastAsia="微软雅黑"/>
          <w:b w:val="0"/>
          <w:i w:val="0"/>
          <w:sz w:val="22"/>
        </w:rPr>
        <w:t>固定价合同的鉴定还有一道司法解释的闸：《关于审理建设工程施工合同纠纷案件适用法律问题的解释》第22条规定，当事人约定按照固定价结算工程价款，一方当事人请求对建设工程造价进行鉴定的，不予支持（P4021）；四川省高级人民法院相关意见第23条亦规定，当事人约定按固定总价结算工程价款，应当严格按照合同约定的工程价款执行，一方请求对工程造价进行鉴定并依据鉴定结论结算的，不予支持（P4021）。四川电力设计咨询公司与岳池送变电再审案中，再审申请人正是据此主张一审「未判先决、以鉴定代替审判」：鉴定范围本属合同内总价包干的工程量，不属于设计变更的根本无需鉴定、合同总价不应调整；其并主张即使鉴定，也应依照工程竣工图对全工程造价进行司法鉴定，再比较施工图工程量与竣工图工程量的差异（P4021）。该案中连二次复测费用78066元这样的事项都进了再审争点（P4021）——总价包干项目里，每一个小金额的定性（包干内还是变更外）都可能撬动全案。</w:t>
      </w:r>
    </w:p>
    <w:p>
      <w:pPr>
        <w:pStyle w:val="Heading3"/>
      </w:pPr>
      <w:r>
        <w:t>4.4.7 审计视角：变更失控的四阶段模型</w:t>
      </w:r>
    </w:p>
    <w:p>
      <w:r>
        <w:rPr>
          <w:rFonts w:ascii="Calibri" w:hAnsi="Calibri" w:eastAsia="微软雅黑"/>
          <w:b w:val="0"/>
          <w:i w:val="0"/>
          <w:sz w:val="22"/>
        </w:rPr>
        <w:t>审计人员看变更，看的是一条累积链。海外项目的全过程审计把超概算拆成四个持续加码的阶段：设计阶段「钓鱼式」概算，为推动立项刻意压低初期概算先上车，中标之后依靠大量设计变更、深化设计追加投资；招投标阶段低价中标埋下隐患，「低价中标、过程加价、最终结算超概」成为常见套路；施工阶段变更签证滚雪球，频繁设计变更与新增签证不断推高投资，部分项目变更金额达到概算10%以上却未按规定履行境外项目报批流程；结算阶段注水，虚增工程量、高套定额、重复计价（P4011）。核查要点相应落在三处：所有设计变更是否完成国内及属地双重审批；变更累计金额占概算比例；是否存在先施工、后补报批手续（P4011）。</w:t>
      </w:r>
    </w:p>
    <w:p>
      <w:r>
        <w:rPr>
          <w:rFonts w:ascii="Calibri" w:hAnsi="Calibri" w:eastAsia="微软雅黑"/>
          <w:b w:val="0"/>
          <w:i w:val="0"/>
          <w:sz w:val="22"/>
        </w:rPr>
        <w:t>价格被压到极限的项目，变更签证更会变成利润回收的主通道。五郎河水电EPC案中，联营体主张在开标后、定标前，业主先后三次要求降低投标报价：第一次从194351955元降至179173980元，第二次降至175318593元，第三次降至174318000元后才中标，中标价174318000元（P4022）。[估计] 三次降价共压去2003.3955万元（194351955−174318000，own_calc），约占首次报价的10.3%（20033955÷194351955，own_calc）。该案的中标通知书签发于2014年4月14日，EPC工程总承包合同签订于2014年5月28日（P4022）——降价谈判发生在开标之后、定标之前，恰是合同条款尚未锁死的窗口期。[假设] 在此价格结构下，承包商对变更与索赔通道的依赖度会系统性上升——这解释了为何低价中标项目常与变更纠纷相伴。发包人侧的对策是把变更累计金额占概算比例设为月度监控指标，承包人侧的对策则是在报价决策时就把变更回收的可行性计入，而不是中标后再补。</w:t>
      </w:r>
    </w:p>
    <w:p>
      <w:r>
        <w:rPr>
          <w:rFonts w:ascii="Calibri" w:hAnsi="Calibri" w:eastAsia="微软雅黑"/>
          <w:b w:val="0"/>
          <w:i w:val="0"/>
          <w:sz w:val="22"/>
        </w:rPr>
        <w:t>海外场景的超概算还有一层成本土壤：受汇率波动、海运成本上涨、属地材料涨价、当地劳工政策变动影响，海外项目概算失控风险远高于国内项目（P4011）。招投标阶段的核查因此要问两个问题：投标报价是否明显低于项目实际成本；招标控制价编制是否充分调研当地市场（P4011）。结算阶段的核查则是三对账：结算工程量与现场实际完成工程量是否匹配；定额取费、当地税费、海运保险等计价标准是否准确；是否存在重复计量、高套取费标准（P4011）。[建议] 走出去企业的变更台账要同时记两套审批状态——国内报批与属地报批（P4011的双重审批要求），缺哪一边都不算闭环；跨境资料传递困难容易掩盖计量问题（P4011），影像与签收记录应随单同步电子归档。</w:t>
      </w:r>
    </w:p>
    <w:p>
      <w:r>
        <w:rPr>
          <w:rFonts w:ascii="Calibri" w:hAnsi="Calibri" w:eastAsia="微软雅黑"/>
          <w:b w:val="0"/>
          <w:i w:val="0"/>
          <w:sz w:val="22"/>
        </w:rPr>
        <w:t>发包人侧的极端情形是解除合同与索赔对撞。修水水库EPC案中，合同约定工期自2016年11月16日至2019年5月15日共30个月，一期计划实施约9500万元；因承包人设计进度滞后、关键岗位人员未按投标文件承诺到岗、工期延误严重，发包人于2017年9月26日发出解除通知，2017年10月20日向监理单位签发索赔报告，监理单位于2017年10月21日签收；发包人诉请返还工程预付款1400万元、赔偿损失5029.3万元，二项共计6429.3万元（P4030）。[事实] 索赔报告从签发到监理签收只用了一天——发包人侧的索赔时效纪律，同样值得承包人拿来当镜子。修水案还给出了EPC变更与履约恶化的因果样本：项目开工后，承包人设计进度严重滞后，关键岗位人员一直未能按投标文件承诺到岗到位，设备未能如期进场，工程进展缓慢，工期延误严重（P4030）。[事实] 在EPC口径下，设计滞后本身就是履约违约，不必等到施工节点崩坏才被解除合同——对以设计院为母体的总承包商，变更管理的前端就是设计进度管理。</w:t>
      </w:r>
    </w:p>
    <w:p>
      <w:pPr>
        <w:pStyle w:val="Heading3"/>
      </w:pPr>
      <w:r>
        <w:t>4.4.8 暗面收束：欺诈与寻租的流程防线</w:t>
      </w:r>
    </w:p>
    <w:p>
      <w:r>
        <w:rPr>
          <w:rFonts w:ascii="Calibri" w:hAnsi="Calibri" w:eastAsia="微软雅黑"/>
          <w:b w:val="0"/>
          <w:i w:val="0"/>
          <w:sz w:val="22"/>
        </w:rPr>
        <w:t>结算链的末端还挂着两类刑事暗面。其一是伪造单据的合同诈骗：李正华案中伪造工程量分配单、进场通知书等行骗860万元（其中200万元未遂）（P4019）；其二是设计审批环节的寻租：黄晟生案中在电力工程图纸上标注指定品牌产品，收受款项共计253.5万元、个人单独收受223.5万元（P4010）。[建议] 流程防线有三条：单据验真（公章、备案、共管账户）、岗位轮换（品牌指定与代用审批双人复核）、异常监控（同一供应商在变更中反复出现的频率告警）。李正华案的时间线还揭示行骗如何搭真项目的便车：西藏浪卡子光伏项目由四川电力设计咨询有限责任公司总承包设计施工，2017年1月18日开始施工建设，2017年5月20日并网发电（P4019）；行骗者在未取得该项目发包、分包权的情况下谎称中国电建系总承包方，以收取保证金、业务拓展费等名义敛财，例如与被害人路某先后两次签订劳务分包合同，路某分别缴纳保证金30万元与190万元，被骗220万元（P4019）。[事实] 真项目、真工期、真并网，配上一套假章与假单据，验看现场也验不出破绽。[建议] 分包合同缔约要做三对照：对照主管部门的备案信息、对照总承包合同主体的公章备案、对照保证金收款账户是否为合同主体账户——三对照缺一，宁可不开工。</w:t>
      </w:r>
    </w:p>
    <w:p>
      <w:pPr>
        <w:pStyle w:val="Heading2"/>
      </w:pPr>
      <w:r>
        <w:t>4.5 闭环：从单点防守到流程治理</w:t>
      </w:r>
    </w:p>
    <w:p>
      <w:pPr>
        <w:pStyle w:val="Heading3"/>
      </w:pPr>
      <w:r>
        <w:t>4.5.1 五道闸门：变更管理闭环的最小骨架</w:t>
      </w:r>
    </w:p>
    <w:p>
      <w:r>
        <w:rPr>
          <w:rFonts w:ascii="Calibri" w:hAnsi="Calibri" w:eastAsia="微软雅黑"/>
          <w:b w:val="0"/>
          <w:i w:val="0"/>
          <w:sz w:val="22"/>
        </w:rPr>
        <w:t>把前四节的判例与规范收拢，变更管理的闭环可以压缩成五道闸门。每道闸门都有判例依据、验证指标与停止条件：</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闸门</w:t>
            </w:r>
          </w:p>
        </w:tc>
        <w:tc>
          <w:tcPr>
            <w:tcW w:type="dxa" w:w="1660"/>
            <w:shd w:fill="1F3A5F"/>
          </w:tcPr>
          <w:p>
            <w:r>
              <w:rPr>
                <w:color w:val="FFFFFF"/>
              </w:rPr>
            </w:r>
            <w:r>
              <w:rPr>
                <w:rFonts w:ascii="Calibri" w:hAnsi="Calibri" w:eastAsia="微软雅黑"/>
                <w:b/>
                <w:i w:val="0"/>
                <w:color w:val="FFFFFF"/>
                <w:sz w:val="18"/>
              </w:rPr>
              <w:t>校验物</w:t>
            </w:r>
          </w:p>
        </w:tc>
        <w:tc>
          <w:tcPr>
            <w:tcW w:type="dxa" w:w="1660"/>
            <w:shd w:fill="1F3A5F"/>
          </w:tcPr>
          <w:p>
            <w:r>
              <w:rPr>
                <w:color w:val="FFFFFF"/>
              </w:rPr>
            </w:r>
            <w:r>
              <w:rPr>
                <w:rFonts w:ascii="Calibri" w:hAnsi="Calibri" w:eastAsia="微软雅黑"/>
                <w:b/>
                <w:i w:val="0"/>
                <w:color w:val="FFFFFF"/>
                <w:sz w:val="18"/>
              </w:rPr>
              <w:t>依据</w:t>
            </w:r>
          </w:p>
        </w:tc>
        <w:tc>
          <w:tcPr>
            <w:tcW w:type="dxa" w:w="1660"/>
            <w:shd w:fill="1F3A5F"/>
          </w:tcPr>
          <w:p>
            <w:r>
              <w:rPr>
                <w:color w:val="FFFFFF"/>
              </w:rPr>
            </w:r>
            <w:r>
              <w:rPr>
                <w:rFonts w:ascii="Calibri" w:hAnsi="Calibri" w:eastAsia="微软雅黑"/>
                <w:b/>
                <w:i w:val="0"/>
                <w:color w:val="FFFFFF"/>
                <w:sz w:val="18"/>
              </w:rPr>
              <w:t>验证指标</w:t>
            </w:r>
          </w:p>
        </w:tc>
        <w:tc>
          <w:tcPr>
            <w:tcW w:type="dxa" w:w="1660"/>
            <w:shd w:fill="1F3A5F"/>
          </w:tcPr>
          <w:p>
            <w:r>
              <w:rPr>
                <w:color w:val="FFFFFF"/>
              </w:rPr>
            </w:r>
            <w:r>
              <w:rPr>
                <w:rFonts w:ascii="Calibri" w:hAnsi="Calibri" w:eastAsia="微软雅黑"/>
                <w:b/>
                <w:i w:val="0"/>
                <w:color w:val="FFFFFF"/>
                <w:sz w:val="18"/>
              </w:rPr>
              <w:t>停止条件</w:t>
            </w:r>
          </w:p>
        </w:tc>
      </w:tr>
      <w:tr>
        <w:tc>
          <w:tcPr>
            <w:tcW w:type="dxa" w:w="1660"/>
          </w:tcPr>
          <w:p>
            <w:r/>
            <w:r>
              <w:rPr>
                <w:rFonts w:ascii="Calibri" w:hAnsi="Calibri" w:eastAsia="微软雅黑"/>
                <w:b w:val="0"/>
                <w:i w:val="0"/>
                <w:sz w:val="18"/>
              </w:rPr>
              <w:t>发起建档闸</w:t>
            </w:r>
          </w:p>
        </w:tc>
        <w:tc>
          <w:tcPr>
            <w:tcW w:type="dxa" w:w="1660"/>
          </w:tcPr>
          <w:p>
            <w:r/>
            <w:r>
              <w:rPr>
                <w:rFonts w:ascii="Calibri" w:hAnsi="Calibri" w:eastAsia="微软雅黑"/>
                <w:b w:val="0"/>
                <w:i w:val="0"/>
                <w:sz w:val="18"/>
              </w:rPr>
              <w:t>申请单要素：项目、位置、原因、做法、规格、数量、变更后施工图，是否超合同范围</w:t>
            </w:r>
          </w:p>
        </w:tc>
        <w:tc>
          <w:tcPr>
            <w:tcW w:type="dxa" w:w="1660"/>
          </w:tcPr>
          <w:p>
            <w:r/>
            <w:r>
              <w:rPr>
                <w:rFonts w:ascii="Calibri" w:hAnsi="Calibri" w:eastAsia="微软雅黑"/>
                <w:b w:val="0"/>
                <w:i w:val="0"/>
                <w:sz w:val="18"/>
              </w:rPr>
              <w:t>P4007、P4009</w:t>
            </w:r>
          </w:p>
        </w:tc>
        <w:tc>
          <w:tcPr>
            <w:tcW w:type="dxa" w:w="1660"/>
          </w:tcPr>
          <w:p>
            <w:r/>
            <w:r>
              <w:rPr>
                <w:rFonts w:ascii="Calibri" w:hAnsi="Calibri" w:eastAsia="微软雅黑"/>
                <w:b w:val="0"/>
                <w:i w:val="0"/>
                <w:sz w:val="18"/>
              </w:rPr>
              <w:t>抽样单据要素完备率</w:t>
            </w:r>
          </w:p>
        </w:tc>
        <w:tc>
          <w:tcPr>
            <w:tcW w:type="dxa" w:w="1660"/>
          </w:tcPr>
          <w:p>
            <w:r/>
            <w:r>
              <w:rPr>
                <w:rFonts w:ascii="Calibri" w:hAnsi="Calibri" w:eastAsia="微软雅黑"/>
                <w:b w:val="0"/>
                <w:i w:val="0"/>
                <w:sz w:val="18"/>
              </w:rPr>
              <w:t>要素缺项单据不得进入审批流</w:t>
            </w:r>
          </w:p>
        </w:tc>
      </w:tr>
      <w:tr>
        <w:tc>
          <w:tcPr>
            <w:tcW w:type="dxa" w:w="1660"/>
          </w:tcPr>
          <w:p>
            <w:r/>
            <w:r>
              <w:rPr>
                <w:rFonts w:ascii="Calibri" w:hAnsi="Calibri" w:eastAsia="微软雅黑"/>
                <w:b w:val="0"/>
                <w:i w:val="0"/>
                <w:sz w:val="18"/>
              </w:rPr>
              <w:t>审批红线闸</w:t>
            </w:r>
          </w:p>
        </w:tc>
        <w:tc>
          <w:tcPr>
            <w:tcW w:type="dxa" w:w="1660"/>
          </w:tcPr>
          <w:p>
            <w:r/>
            <w:r>
              <w:rPr>
                <w:rFonts w:ascii="Calibri" w:hAnsi="Calibri" w:eastAsia="微软雅黑"/>
                <w:b w:val="0"/>
                <w:i w:val="0"/>
                <w:sz w:val="18"/>
              </w:rPr>
              <w:t>5%造价红线、基本预备费1/3、资金来源栏</w:t>
            </w:r>
          </w:p>
        </w:tc>
        <w:tc>
          <w:tcPr>
            <w:tcW w:type="dxa" w:w="1660"/>
          </w:tcPr>
          <w:p>
            <w:r/>
            <w:r>
              <w:rPr>
                <w:rFonts w:ascii="Calibri" w:hAnsi="Calibri" w:eastAsia="微软雅黑"/>
                <w:b w:val="0"/>
                <w:i w:val="0"/>
                <w:sz w:val="18"/>
              </w:rPr>
              <w:t>P4007、P4013</w:t>
            </w:r>
          </w:p>
        </w:tc>
        <w:tc>
          <w:tcPr>
            <w:tcW w:type="dxa" w:w="1660"/>
          </w:tcPr>
          <w:p>
            <w:r/>
            <w:r>
              <w:rPr>
                <w:rFonts w:ascii="Calibri" w:hAnsi="Calibri" w:eastAsia="微软雅黑"/>
                <w:b w:val="0"/>
                <w:i w:val="0"/>
                <w:sz w:val="18"/>
              </w:rPr>
              <w:t>变更累计金额占合同价比例的月度监控</w:t>
            </w:r>
          </w:p>
        </w:tc>
        <w:tc>
          <w:tcPr>
            <w:tcW w:type="dxa" w:w="1660"/>
          </w:tcPr>
          <w:p>
            <w:r/>
            <w:r>
              <w:rPr>
                <w:rFonts w:ascii="Calibri" w:hAnsi="Calibri" w:eastAsia="微软雅黑"/>
                <w:b w:val="0"/>
                <w:i w:val="0"/>
                <w:sz w:val="18"/>
              </w:rPr>
              <w:t>资金来源栏空白率超一成即冻结快速通道</w:t>
            </w:r>
          </w:p>
        </w:tc>
      </w:tr>
      <w:tr>
        <w:tc>
          <w:tcPr>
            <w:tcW w:type="dxa" w:w="1660"/>
          </w:tcPr>
          <w:p>
            <w:r/>
            <w:r>
              <w:rPr>
                <w:rFonts w:ascii="Calibri" w:hAnsi="Calibri" w:eastAsia="微软雅黑"/>
                <w:b w:val="0"/>
                <w:i w:val="0"/>
                <w:sz w:val="18"/>
              </w:rPr>
              <w:t>时效闸</w:t>
            </w:r>
          </w:p>
        </w:tc>
        <w:tc>
          <w:tcPr>
            <w:tcW w:type="dxa" w:w="1660"/>
          </w:tcPr>
          <w:p>
            <w:r/>
            <w:r>
              <w:rPr>
                <w:rFonts w:ascii="Calibri" w:hAnsi="Calibri" w:eastAsia="微软雅黑"/>
                <w:b w:val="0"/>
                <w:i w:val="0"/>
                <w:sz w:val="18"/>
              </w:rPr>
              <w:t>设计变更后14天内提交变更价款；索赔按合同期限报送</w:t>
            </w:r>
          </w:p>
        </w:tc>
        <w:tc>
          <w:tcPr>
            <w:tcW w:type="dxa" w:w="1660"/>
          </w:tcPr>
          <w:p>
            <w:r/>
            <w:r>
              <w:rPr>
                <w:rFonts w:ascii="Calibri" w:hAnsi="Calibri" w:eastAsia="微软雅黑"/>
                <w:b w:val="0"/>
                <w:i w:val="0"/>
                <w:sz w:val="18"/>
              </w:rPr>
              <w:t>P4009、P4002、P4026</w:t>
            </w:r>
          </w:p>
        </w:tc>
        <w:tc>
          <w:tcPr>
            <w:tcW w:type="dxa" w:w="1660"/>
          </w:tcPr>
          <w:p>
            <w:r/>
            <w:r>
              <w:rPr>
                <w:rFonts w:ascii="Calibri" w:hAnsi="Calibri" w:eastAsia="微软雅黑"/>
                <w:b w:val="0"/>
                <w:i w:val="0"/>
                <w:sz w:val="18"/>
              </w:rPr>
              <w:t>时效达标率</w:t>
            </w:r>
          </w:p>
        </w:tc>
        <w:tc>
          <w:tcPr>
            <w:tcW w:type="dxa" w:w="1660"/>
          </w:tcPr>
          <w:p>
            <w:r/>
            <w:r>
              <w:rPr>
                <w:rFonts w:ascii="Calibri" w:hAnsi="Calibri" w:eastAsia="微软雅黑"/>
                <w:b w:val="0"/>
                <w:i w:val="0"/>
                <w:sz w:val="18"/>
              </w:rPr>
              <w:t>逾期未报自动升级至项目经理</w:t>
            </w:r>
          </w:p>
        </w:tc>
      </w:tr>
      <w:tr>
        <w:tc>
          <w:tcPr>
            <w:tcW w:type="dxa" w:w="1660"/>
          </w:tcPr>
          <w:p>
            <w:r/>
            <w:r>
              <w:rPr>
                <w:rFonts w:ascii="Calibri" w:hAnsi="Calibri" w:eastAsia="微软雅黑"/>
                <w:b w:val="0"/>
                <w:i w:val="0"/>
                <w:sz w:val="18"/>
              </w:rPr>
              <w:t>签字量化闸</w:t>
            </w:r>
          </w:p>
        </w:tc>
        <w:tc>
          <w:tcPr>
            <w:tcW w:type="dxa" w:w="1660"/>
          </w:tcPr>
          <w:p>
            <w:r/>
            <w:r>
              <w:rPr>
                <w:rFonts w:ascii="Calibri" w:hAnsi="Calibri" w:eastAsia="微软雅黑"/>
                <w:b w:val="0"/>
                <w:i w:val="0"/>
                <w:sz w:val="18"/>
              </w:rPr>
              <w:t>发包人或监理签字、误工人数天数可量化、按约定路径送达</w:t>
            </w:r>
          </w:p>
        </w:tc>
        <w:tc>
          <w:tcPr>
            <w:tcW w:type="dxa" w:w="1660"/>
          </w:tcPr>
          <w:p>
            <w:r/>
            <w:r>
              <w:rPr>
                <w:rFonts w:ascii="Calibri" w:hAnsi="Calibri" w:eastAsia="微软雅黑"/>
                <w:b w:val="0"/>
                <w:i w:val="0"/>
                <w:sz w:val="18"/>
              </w:rPr>
              <w:t>P4017、P4002、P4027</w:t>
            </w:r>
          </w:p>
        </w:tc>
        <w:tc>
          <w:tcPr>
            <w:tcW w:type="dxa" w:w="1660"/>
          </w:tcPr>
          <w:p>
            <w:r/>
            <w:r>
              <w:rPr>
                <w:rFonts w:ascii="Calibri" w:hAnsi="Calibri" w:eastAsia="微软雅黑"/>
                <w:b w:val="0"/>
                <w:i w:val="0"/>
                <w:sz w:val="18"/>
              </w:rPr>
              <w:t>无签单率、量化缺项率</w:t>
            </w:r>
          </w:p>
        </w:tc>
        <w:tc>
          <w:tcPr>
            <w:tcW w:type="dxa" w:w="1660"/>
          </w:tcPr>
          <w:p>
            <w:r/>
            <w:r>
              <w:rPr>
                <w:rFonts w:ascii="Calibri" w:hAnsi="Calibri" w:eastAsia="微软雅黑"/>
                <w:b w:val="0"/>
                <w:i w:val="0"/>
                <w:sz w:val="18"/>
              </w:rPr>
              <w:t>无签单进入结算清单即挂账核查</w:t>
            </w:r>
          </w:p>
        </w:tc>
      </w:tr>
      <w:tr>
        <w:tc>
          <w:tcPr>
            <w:tcW w:type="dxa" w:w="1660"/>
          </w:tcPr>
          <w:p>
            <w:r/>
            <w:r>
              <w:rPr>
                <w:rFonts w:ascii="Calibri" w:hAnsi="Calibri" w:eastAsia="微软雅黑"/>
                <w:b w:val="0"/>
                <w:i w:val="0"/>
                <w:sz w:val="18"/>
              </w:rPr>
              <w:t>台账一致闸</w:t>
            </w:r>
          </w:p>
        </w:tc>
        <w:tc>
          <w:tcPr>
            <w:tcW w:type="dxa" w:w="1660"/>
          </w:tcPr>
          <w:p>
            <w:r/>
            <w:r>
              <w:rPr>
                <w:rFonts w:ascii="Calibri" w:hAnsi="Calibri" w:eastAsia="微软雅黑"/>
                <w:b w:val="0"/>
                <w:i w:val="0"/>
                <w:sz w:val="18"/>
              </w:rPr>
              <w:t>模型量＝签证量＝结算量；单据按族谱编号</w:t>
            </w:r>
          </w:p>
        </w:tc>
        <w:tc>
          <w:tcPr>
            <w:tcW w:type="dxa" w:w="1660"/>
          </w:tcPr>
          <w:p>
            <w:r/>
            <w:r>
              <w:rPr>
                <w:rFonts w:ascii="Calibri" w:hAnsi="Calibri" w:eastAsia="微软雅黑"/>
                <w:b w:val="0"/>
                <w:i w:val="0"/>
                <w:sz w:val="18"/>
              </w:rPr>
              <w:t>P4014、P4005</w:t>
            </w:r>
          </w:p>
        </w:tc>
        <w:tc>
          <w:tcPr>
            <w:tcW w:type="dxa" w:w="1660"/>
          </w:tcPr>
          <w:p>
            <w:r/>
            <w:r>
              <w:rPr>
                <w:rFonts w:ascii="Calibri" w:hAnsi="Calibri" w:eastAsia="微软雅黑"/>
                <w:b w:val="0"/>
                <w:i w:val="0"/>
                <w:sz w:val="18"/>
              </w:rPr>
              <w:t>三账月末对平率</w:t>
            </w:r>
          </w:p>
        </w:tc>
        <w:tc>
          <w:tcPr>
            <w:tcW w:type="dxa" w:w="1660"/>
          </w:tcPr>
          <w:p>
            <w:r/>
            <w:r>
              <w:rPr>
                <w:rFonts w:ascii="Calibri" w:hAnsi="Calibri" w:eastAsia="微软雅黑"/>
                <w:b w:val="0"/>
                <w:i w:val="0"/>
                <w:sz w:val="18"/>
              </w:rPr>
              <w:t>对不平的变更当月不进结算</w:t>
            </w:r>
          </w:p>
        </w:tc>
      </w:tr>
    </w:tbl>
    <w:p>
      <w:r>
        <w:rPr>
          <w:rFonts w:ascii="Calibri" w:hAnsi="Calibri" w:eastAsia="微软雅黑"/>
          <w:b w:val="0"/>
          <w:i w:val="0"/>
          <w:sz w:val="22"/>
        </w:rPr>
        <w:t>[建议] 五道闸门的落地顺序比设计本身更重要：先盘历史项目（把存量变更单按闸门标准打分），再立台账（族谱编号），最后设闸门（嵌入OA流程）；阈值由企业按自身数据校准，上表比例值为起点而非定论。若闸门运转一年后，抽样项目的审减率与争议额没有下降，应回头检查是闸门设计问题还是执行问题，而不是先加更多闸门。</w:t>
      </w:r>
    </w:p>
    <w:p>
      <w:pPr>
        <w:pStyle w:val="Heading3"/>
      </w:pPr>
      <w:r>
        <w:t>4.5.2 数字化的能与不能</w:t>
      </w:r>
    </w:p>
    <w:p>
      <w:r>
        <w:rPr>
          <w:rFonts w:ascii="Calibri" w:hAnsi="Calibri" w:eastAsia="微软雅黑"/>
          <w:b w:val="0"/>
          <w:i w:val="0"/>
          <w:sz w:val="22"/>
        </w:rPr>
        <w:t>数字化能解决一部分一致性问题，但不能替代流程。BIM工具在变更管理上的短板是明确列出的：无法自动生成设计变更的对比偏差报告；外部分析软件与BIM工具之间的双向链接不可靠；缺乏足够的人工智能来分析和推荐变更备选方案（P4014）。模型内构件高度关联还带来链式反应——电气BIM模型中移动一个设备的位置，管道路径、馈线容量、面板排程、协调区域等多个方面会同步受影响（P4014）；过于频繁的模型更新还会造成版本信任危机，团队因「明天可能还会变」而从推进状态滑入反复确认状态（P4014）。[事实] 数字化工具的最佳位置是台账一致闸的助力：版本分组、命名规范、变更分组处理（P4014），而签字量化闸仍然只能靠人与制度。指望买一套软件就闭环，是把闸门外包给了供应商 [建议]。</w:t>
      </w:r>
    </w:p>
    <w:p>
      <w:pPr>
        <w:pStyle w:val="Heading3"/>
      </w:pPr>
      <w:r>
        <w:t>4.5.3 设计施工一体体的位置：变更管理的一体化红利</w:t>
      </w:r>
    </w:p>
    <w:p>
      <w:r>
        <w:rPr>
          <w:rFonts w:ascii="Calibri" w:hAnsi="Calibri" w:eastAsia="微软雅黑"/>
          <w:b w:val="0"/>
          <w:i w:val="0"/>
          <w:sz w:val="22"/>
        </w:rPr>
        <w:t>对以设计院为母体的EPC企业，变更管理有一条别的组织形态拿不到的红利：四个变更入口中有两个（现场撞墙、材料代用）可以在图纸发出前于体内消化（P4007的入口分类叠加一体化组织推断）。兑现红利的管理动作有三步。[建议] 第一步，把设计变更联络单的发起权下放到现场设计代表，但复核权留在设计院总工线；第二步，图纸会审前置到开工之前，规范本身即要求设计变更尽量提前、最好在开工之前发现（P4007）；第三步，变更审批单接入采购影响栏，因为工业类EPC项目采购额占合同额的比例高达40%～60%（P4034），设备规格的任何改动都会沿着采购合同、催交、物流一路传导。金桂案以补充协议与会议纪要构建的价格联动体系（P4023），正是这类一体化组织应当固化的标准动作。反过来看，两张皮的代价在源头就有定语：石化工程企业在传统设计与施工割裂体制下，长期面临设计与施工主体物理分离、早期转型企业缺乏统一法人级交付能力、一体化设计概算管控体系缺失的痛点（P4000）。[事实] 变更管理闭环不是在流程图上补几个框，而是补组织层的那条缝——设计概算管控体系缺位时，5%红线（P4007）没有预算基准可挂，变更审批就退化成签字游戏。</w:t>
      </w:r>
    </w:p>
    <w:p>
      <w:pPr>
        <w:pStyle w:val="Heading3"/>
      </w:pPr>
      <w:r>
        <w:t>4.5.4 采购与变更的联动防线</w:t>
      </w:r>
    </w:p>
    <w:p>
      <w:r>
        <w:rPr>
          <w:rFonts w:ascii="Calibri" w:hAnsi="Calibri" w:eastAsia="微软雅黑"/>
          <w:b w:val="0"/>
          <w:i w:val="0"/>
          <w:sz w:val="22"/>
        </w:rPr>
        <w:t>变更闭环不能在合同与图纸的边界上止步。EPC采购风险管理应贯穿项目整个生命周期，涵盖前期投标报价阶段和后期执行阶段（P4034）：投标报价阶段受时间和经验限制，容易对项目潜在风险预估不足，在招标文件的解读、概算询价或估价以及价格汇总过程中存在遗漏或理解上的偏差，使总的项目采购成本未能如实反映实际的工作范围和潜在风险（P4034）；执行阶段则面临计划编制不当、选商、催交、检验、物流运输、现场材料管理等风险（P4034）。</w:t>
      </w:r>
    </w:p>
    <w:p>
      <w:r>
        <w:rPr>
          <w:rFonts w:ascii="Calibri" w:hAnsi="Calibri" w:eastAsia="微软雅黑"/>
          <w:b w:val="0"/>
          <w:i w:val="0"/>
          <w:sz w:val="22"/>
        </w:rPr>
        <w:t>[建议] 联动防线的落点是三张表的互相勾稽：变更台账、采购订单台账、现场材料台账。设计变更单一经批准，应自动列出受影响的在途订单与库存批次；国际项目还应叠加项目所在国环境调研——政治、经济、自然环境与标准规范的尽调，以及通过购买保险、引入当地合作伙伴等方式转移风险的安排（P4034）。验证方式：抽取设计变更单回查其触发的采购调整记录；停止条件：若变更台账与采购台账的勾稽一致率连续两月低于九成，暂停「先施工后调整采购」的做法并逐笔对账。</w:t>
      </w:r>
    </w:p>
    <w:p>
      <w:pPr>
        <w:pStyle w:val="Heading3"/>
      </w:pPr>
      <w:r>
        <w:t>4.5.5 管理层行动顺序</w:t>
      </w:r>
    </w:p>
    <w:p>
      <w:r>
        <w:rPr>
          <w:rFonts w:ascii="Calibri" w:hAnsi="Calibri" w:eastAsia="微软雅黑"/>
          <w:b w:val="0"/>
          <w:i w:val="0"/>
          <w:sz w:val="22"/>
        </w:rPr>
        <w:t>[建议] 九十天三步走：第一个月，盘点近三年全部变更与签证单据，按五道闸门逐张打分，得出无签单率、时效达标率、台账一致率三个基线值；第二个月，建立单据族谱台账与编号规则，把资金来源、采购影响、范围标记三个栏位固化为必填项；第三个月，把闸门嵌入审批流程并试运行，月末复盘一次。验证条件：试运行后首个结算项目的审减率与争议金额应低于基线；停止条件：若任一闸门造成现场响应延迟超过约定时限且未发生对应的风险拦截收益，应简化该闸门而非加码。变更、签证、结算是工程项目最后的利润关口（P4015）——行业里那句大实话值得挂在会议室里：项目干得好，不一定赚得多；结算做得好，才能真正落利润（P4015）。</w:t>
      </w:r>
    </w:p>
    <w:p>
      <w:r>
        <w:rPr>
          <w:rFonts w:ascii="Calibri" w:hAnsi="Calibri" w:eastAsia="微软雅黑"/>
          <w:b w:val="0"/>
          <w:i w:val="0"/>
          <w:sz w:val="22"/>
        </w:rPr>
        <w:t>这套动作的投入并不大：五道闸门改造的是表单与流程，不是组织架构；台账可以用现有办公软件起步，BIM与专项系统等台账纪律跑顺之后再上——工具先行而流程缺位时，数字化资料反而会被审计直接驳回（P4014）。[建议] 管理层的角色就是三件事：亲自看三个基线值，给每道闸门设停止条件，在结算复盘会上追问「这张单三年后还站得住吗」。问得多了，闭环就从流程变成了文化。</w:t>
      </w:r>
    </w:p>
    <w:p>
      <w:pPr>
        <w:pStyle w:val="Heading2"/>
      </w:pPr>
      <w:r>
        <w:t>本章小结与盲区</w:t>
      </w:r>
    </w:p>
    <w:p>
      <w:pPr>
        <w:pStyle w:val="Heading3"/>
      </w:pPr>
      <w:r>
        <w:t>小结六问</w:t>
      </w:r>
    </w:p>
    <w:p>
      <w:r>
        <w:rPr>
          <w:rFonts w:ascii="Calibri" w:hAnsi="Calibri" w:eastAsia="微软雅黑"/>
          <w:b w:val="0"/>
          <w:i w:val="0"/>
          <w:sz w:val="22"/>
        </w:rPr>
        <w:t>证明什么：变更损失的位置不在变更本身，而在流程断点——申请无档、审批无红线、签证无签、量化无据、台账不平、结算无链；每一处断点都有判例付出了真金白银的学费。</w:t>
      </w:r>
    </w:p>
    <w:p>
      <w:r>
        <w:rPr>
          <w:rFonts w:ascii="Calibri" w:hAnsi="Calibri" w:eastAsia="微软雅黑"/>
          <w:b w:val="0"/>
          <w:i w:val="0"/>
          <w:sz w:val="22"/>
        </w:rPr>
        <w:t>输入在哪：最高人民法院与各省高院的裁判文书（P4002、P4003、P4005、P4006、P4010、P4013、P4017、P4019、P4020至P4033）、2026年施行的法释〔2026〕12号及其与解释一的衔接（P4009）、变更与签证的规范要点（P4007）、审计核查清单（P4011）、造价鉴定申请书实务（P4012）、BIM变更管理实操反馈（P4014）与培训市场的风控框架（P4015）。</w:t>
      </w:r>
    </w:p>
    <w:p>
      <w:r>
        <w:rPr>
          <w:rFonts w:ascii="Calibri" w:hAnsi="Calibri" w:eastAsia="微软雅黑"/>
          <w:b w:val="0"/>
          <w:i w:val="0"/>
          <w:sz w:val="22"/>
        </w:rPr>
        <w:t>怎么算：变更金额对照合同价或概算的比例（宁夏鑫田约55.7%，own_calc；海外10%；红线5%）；结算总账的分解复核（金桂案90623.4046＋1288.8979＝91912.3025万元、武汉四建五项相加恰为8466.3655万元，均own_calc）；付款链滞留比例（25%＋5%＝30%，own_calc）；降价幅度（五郎河案约10.3%，own_calc）。</w:t>
      </w:r>
    </w:p>
    <w:p>
      <w:r>
        <w:rPr>
          <w:rFonts w:ascii="Calibri" w:hAnsi="Calibri" w:eastAsia="微软雅黑"/>
          <w:b w:val="0"/>
          <w:i w:val="0"/>
          <w:sz w:val="22"/>
        </w:rPr>
        <w:t>依赖什么前提：本章判例多为2015年至2020年前后作出，法释〔2026〕12号自2026年6月30日施行（P4009），其施行后的裁判样本尚未进入本章证据池；比例数据来自个案与规范条文，不是行业统计；五道闸门的阈值为建议起点，未经企业自有数据校准。</w:t>
      </w:r>
    </w:p>
    <w:p>
      <w:r>
        <w:rPr>
          <w:rFonts w:ascii="Calibri" w:hAnsi="Calibri" w:eastAsia="微软雅黑"/>
          <w:b w:val="0"/>
          <w:i w:val="0"/>
          <w:sz w:val="22"/>
        </w:rPr>
        <w:t>还有什么解释：变更金额高也可能反映业主主动提质扩容而非管理失控——金桂案通过补充协议完成的价格调整（P4023）本身就是一体化变更管理的正例；据实结算额高（武汉四建3#楼按定额据实结算层，P4033）也可能是材料人工涨幅的如实反映，而非承包人牟利。</w:t>
      </w:r>
    </w:p>
    <w:p>
      <w:r>
        <w:rPr>
          <w:rFonts w:ascii="Calibri" w:hAnsi="Calibri" w:eastAsia="微软雅黑"/>
          <w:b w:val="0"/>
          <w:i w:val="0"/>
          <w:sz w:val="22"/>
        </w:rPr>
        <w:t>什么证据会改变答案：若后续大样本统计显示签证签字完备率与结算审减率之间没有稳定关系，本章对签字量化闸的优先级排序就需要重排；若解释二施行后的裁判把「超出合同范围」的举证责任更多分配给发包人，申请环节的范围标记投入可相应下降。</w:t>
      </w:r>
    </w:p>
    <w:p>
      <w:pPr>
        <w:pStyle w:val="Heading3"/>
      </w:pPr>
      <w:r>
        <w:t>盲区与反证</w:t>
      </w:r>
    </w:p>
    <w:p>
      <w:r>
        <w:rPr>
          <w:rFonts w:ascii="Calibri" w:hAnsi="Calibri" w:eastAsia="微软雅黑"/>
          <w:b w:val="0"/>
          <w:i w:val="0"/>
          <w:sz w:val="22"/>
        </w:rPr>
        <w:t>盲区一：法释〔2026〕12号施行后（2026年6月30日起，P4009）的新裁判样本未入库，第九条（固定价不调）、第十三条（审计与结算）、第十四条（质保金返还）在个案中的适用口径本章只能依据条文本身推断，属 [假设] 而非判例实证。</w:t>
      </w:r>
    </w:p>
    <w:p>
      <w:r>
        <w:rPr>
          <w:rFonts w:ascii="Calibri" w:hAnsi="Calibri" w:eastAsia="微软雅黑"/>
          <w:b w:val="0"/>
          <w:i w:val="0"/>
          <w:sz w:val="22"/>
        </w:rPr>
        <w:t>盲区二：证据池缺少企业内部变更台账的一手样表与关键指标基线（无签单率、时效达标率、三账对平率的实测值），本章五道闸门的阈值是 [建议] 值，未经运行数据验证。</w:t>
      </w:r>
    </w:p>
    <w:p>
      <w:r>
        <w:rPr>
          <w:rFonts w:ascii="Calibri" w:hAnsi="Calibri" w:eastAsia="微软雅黑"/>
          <w:b w:val="0"/>
          <w:i w:val="0"/>
          <w:sz w:val="22"/>
        </w:rPr>
        <w:t>盲区三：「变更金额占比」的口径不统一——5%红线以建安工程总造价为分母（P4007），10%观察值以概算为分母（P4011），55.7%个案以中标合同价为分母（P4032），三者不可直接比较；本章未获得同口径的行业级分布数据，个体案例不能外推为普遍水平。</w:t>
      </w:r>
    </w:p>
    <w:p>
      <w:r>
        <w:rPr>
          <w:rFonts w:ascii="Calibri" w:hAnsi="Calibri" w:eastAsia="微软雅黑"/>
          <w:b w:val="0"/>
          <w:i w:val="0"/>
          <w:sz w:val="22"/>
        </w:rPr>
        <w:t>盲区四：国际合同条件（如FIDIC体系下工程师指示变更、变更估价程序）未入证据池，海外场景本章仅覆盖审计视角的核查清单（P4011）与采购风险框架（P4034），不构成对国际工程变更程序的完整指引。</w:t>
      </w:r>
    </w:p>
    <w:p>
      <w:r>
        <w:rPr>
          <w:rFonts w:ascii="Calibri" w:hAnsi="Calibri" w:eastAsia="微软雅黑"/>
          <w:b w:val="0"/>
          <w:i w:val="0"/>
          <w:sz w:val="22"/>
        </w:rPr>
        <w:t>盲区五：变更管理数字化的投入产出比缺少量化数据——42%的BIM团队每周花费8小时以上协调冲突版本（P4014）说明成本存在，但对应收益（审减率下降幅度）无实证数据。</w:t>
      </w:r>
    </w:p>
    <w:p>
      <w:r>
        <w:rPr>
          <w:rFonts w:ascii="Calibri" w:hAnsi="Calibri" w:eastAsia="微软雅黑"/>
          <w:b w:val="0"/>
          <w:i w:val="0"/>
          <w:sz w:val="22"/>
        </w:rPr>
        <w:t>反证三问：什么事实会推翻本章判断——若抽样显示签证签字完备的项目同样遭遇大幅审减，则「签字量化闸」的权重被高估，问题重心应移向计价条款本身；现有反证为何不足——入库的败诉案例几乎都以单据瑕疵为共同特征（P4002、P4015、P4017），但证据池存在入库偏倚，胜诉项目的单据细节记录少，无法证明签字完备即高胜诉；哪个未知可能改变读者选择——解释二施行后法院对固定价合同中变更部分举证责任的分配口径，若向承包人倾斜，企业在申请环节的范围标记与时效投入可适度下降，把资源移向结算与鉴定策略。</w:t>
      </w:r>
    </w:p>
    <w:p>
      <w:r>
        <w:rPr>
          <w:rFonts w:ascii="Calibri" w:hAnsi="Calibri" w:eastAsia="微软雅黑"/>
          <w:b w:val="0"/>
          <w:i w:val="0"/>
          <w:sz w:val="22"/>
        </w:rPr>
        <w:t>---</w:t>
      </w:r>
    </w:p>
    <w:p>
      <w:pPr>
        <w:pStyle w:val="Heading1"/>
      </w:pPr>
      <w:r>
        <w:t>第5章 限额设计：设计端的成本控制武器</w:t>
      </w:r>
    </w:p>
    <w:p>
      <w:pPr>
        <w:ind w:left="454"/>
      </w:pPr>
      <w:r>
        <w:rPr>
          <w:rFonts w:ascii="Calibri" w:hAnsi="Calibri" w:eastAsia="微软雅黑"/>
          <w:b w:val="0"/>
          <w:i w:val="0"/>
          <w:color w:val="666666"/>
          <w:sz w:val="22"/>
        </w:rPr>
        <w:t>设计阶段锁定七到九成的建造成本，超概的根由大多埋在出图之前（P5019）。本章把"限额设计"这件设计端的成本武器拆开给读者看：概念的法律边界、两阶段两指标的骨架、四步落地的打法、优化收益的归属，以及"以优化之名行变更之实"的结算陷阱。</w:t>
      </w:r>
    </w:p>
    <w:p>
      <w:r>
        <w:rPr>
          <w:rFonts w:ascii="Calibri" w:hAnsi="Calibri" w:eastAsia="微软雅黑"/>
          <w:b w:val="0"/>
          <w:i w:val="0"/>
          <w:sz w:val="22"/>
        </w:rPr>
        <w:t>adds: 读完本章，读者能把"设计优化／优化设计／合理化建议／设计变更"四个词的计价后果分开，掌握"估算控概算、概算控预算"的两级限额搭法，并拿到压价、漂移、变更失控与审计核减的判例量级参照系。</w:t>
      </w:r>
    </w:p>
    <w:p>
      <w:pPr>
        <w:pStyle w:val="Heading2"/>
      </w:pPr>
      <w:r>
        <w:t>5.1 成本锁定的时点：超概的根由在出图之前</w:t>
      </w:r>
    </w:p>
    <w:p>
      <w:r>
        <w:rPr>
          <w:rFonts w:ascii="Calibri" w:hAnsi="Calibri" w:eastAsia="微软雅黑"/>
          <w:b w:val="0"/>
          <w:i w:val="0"/>
          <w:sz w:val="22"/>
        </w:rPr>
        <w:t>为什么要专门用一章谈设计端？因为模式变了。工程总承包在当下我国工程建设市场已呈燎原之势，相较于传统施工总承包，它将设计端一并涵盖在总承包单位的承包范围之内，且通常采用固定总价的模式（P5000）。过去设计与施工分阶段、分主体进行，各自权利义务的区分一般来讲较为明晰；而在工程总承包模式下，设计与施工合并为一个承揽主体（或是联合体），发承包双方权利义务的划分随之改变（P5000）。EPC与传统DBB模式最大的不同，在于设计主体发生了根本性改变——设计、采购、施工由同一主体完成（P5015），这本是好事，减少了扯皮（P5015）。但硬币的另一面是：固定总价把超概风险从业主肩上挪到了承包人肩上，而成本的大头恰恰在设计端锁定（P5015、P5019）。于是，过去只是"管理建议"的限额设计，在EPC语境下变成了承包人自保的武器。</w:t>
      </w:r>
    </w:p>
    <w:p>
      <w:r>
        <w:rPr>
          <w:rFonts w:ascii="Calibri" w:hAnsi="Calibri" w:eastAsia="微软雅黑"/>
          <w:b w:val="0"/>
          <w:i w:val="0"/>
          <w:sz w:val="22"/>
        </w:rPr>
        <w:t>[事实]这就是本章的立足点：限额设计不是发包人强加的合规负担，而是承包人在固定总价之下保卫利润的第一道防线；谁把它当成软性倡议，谁就把定价权交给了后来的结算争议。</w:t>
      </w:r>
    </w:p>
    <w:p>
      <w:pPr>
        <w:pStyle w:val="Heading3"/>
      </w:pPr>
      <w:r>
        <w:t>5.1.1 两个独立口径都指向同一件事</w:t>
      </w:r>
    </w:p>
    <w:p>
      <w:r>
        <w:rPr>
          <w:rFonts w:ascii="Calibri" w:hAnsi="Calibri" w:eastAsia="微软雅黑"/>
          <w:b w:val="0"/>
          <w:i w:val="0"/>
          <w:sz w:val="22"/>
        </w:rPr>
        <w:t>把成本控制的战场放在施工现场，是工程企业管理层最容易犯的惯性错误。两个互不相干的来源给出了互相印证的量级：其一，设计阶段对工程项目总成本的影响程度高达70%～85%（P5015）；其二，设计阶段锁定了七到九成的建造成本，超概的根由从来不在施工现场，全在出图之前（P5019）。两个区间高度重叠，[事实]意味着无论采用哪个口径，项目成本的大头在第一张正式图纸出台前就已经被设计方案框定了。</w:t>
      </w:r>
    </w:p>
    <w:p>
      <w:r>
        <w:rPr>
          <w:rFonts w:ascii="Calibri" w:hAnsi="Calibri" w:eastAsia="微软雅黑"/>
          <w:b w:val="0"/>
          <w:i w:val="0"/>
          <w:sz w:val="22"/>
        </w:rPr>
        <w:t>还有研究综述指出，因"设计-采购-施工"衔接不畅带来的成本损失占比超过60%（P5017）。把这个比例与70%～85%（P5015）并排看，可以得出一个对管理层有用的推论：[估计]即便设计阶段锁定了绝大部分成本，若设计成果无法向采购与施工顺畅传导，锁定反而会异化为"锁死了错误"——衔接不畅一项就足以吞掉项目价值的一半以上（own_calc 观察口径：以超过60%的损失占比对照70%～85%的锁定区间，P5017/P5015）。</w:t>
      </w:r>
    </w:p>
    <w:p>
      <w:r>
        <w:rPr>
          <w:rFonts w:ascii="Calibri" w:hAnsi="Calibri" w:eastAsia="微软雅黑"/>
          <w:b w:val="0"/>
          <w:i w:val="0"/>
          <w:sz w:val="22"/>
        </w:rPr>
        <w:t>行业公号上甚至出现以"EPC模式80%超概风险"为题的警示（P5019）。[假设]该比例未附样本口径，读者宜把它当作风险信号而非统计结论——但它的流传本身说明，超概焦虑已经在总承包圈层内普遍化，这正是限额设计被反复提起的时代背景。</w:t>
      </w:r>
    </w:p>
    <w:p>
      <w:pPr>
        <w:pStyle w:val="Heading3"/>
      </w:pPr>
      <w:r>
        <w:t>5.1.2 "两张皮"的账单：审计扣款、回款放缓与利润缩水</w:t>
      </w:r>
    </w:p>
    <w:p>
      <w:r>
        <w:rPr>
          <w:rFonts w:ascii="Calibri" w:hAnsi="Calibri" w:eastAsia="微软雅黑"/>
          <w:b w:val="0"/>
          <w:i w:val="0"/>
          <w:sz w:val="22"/>
        </w:rPr>
        <w:t>一个市政产业园EPC项目，因为设计和施工各干各的，图纸改了一轮又一轮，最后审计认定"设计没落实投资管控"，设计院被扣了钱，施工方回款变慢、利润大缩水（P5019）。这张账单值得逐项拆给管理层看：设计院的损失是直接扣款，施工单位的损失是现金流与利润，业主拿到的则是一份"设计没落实投资管控"的审计结论（P5019）——三方皆输。当前EPC专项整治重点查的就是这种"两张皮"（P5019），而多数联合体只是名义上组队，根本不是利益共同体（P5019）。</w:t>
      </w:r>
    </w:p>
    <w:p>
      <w:r>
        <w:rPr>
          <w:rFonts w:ascii="Calibri" w:hAnsi="Calibri" w:eastAsia="微软雅黑"/>
          <w:b w:val="0"/>
          <w:i w:val="0"/>
          <w:sz w:val="22"/>
        </w:rPr>
        <w:t>[事实]这提示一个常被忽略的合规维度：限额设计已经不是企业内部的管理偏好，而是审计与专项整治的检查对象。设计端没有留下限额执行痕迹的项目，在审计面前几乎无从抗辩。</w:t>
      </w:r>
    </w:p>
    <w:p>
      <w:pPr>
        <w:pStyle w:val="Heading3"/>
      </w:pPr>
      <w:r>
        <w:t>5.1.3 传导断点：优化停在图纸上，损失落在采购与施工里</w:t>
      </w:r>
    </w:p>
    <w:p>
      <w:r>
        <w:rPr>
          <w:rFonts w:ascii="Calibri" w:hAnsi="Calibri" w:eastAsia="微软雅黑"/>
          <w:b w:val="0"/>
          <w:i w:val="0"/>
          <w:sz w:val="22"/>
        </w:rPr>
        <w:t>设计院牵头的EPC有天然优势：设计单位在项目筹划初期介入、熟悉目标定位，且设计理念决定项目投资，设计院有条件从方案起始阶段对图纸进行深层次优化，通过提高方案经济性来优化投资（P5017）。但同一来源也点出短板：设计院对施工环节缺少执行经验，容易形成管理短板（P5017）。更深的病灶在意识层——设计师仅关注产品功能需求，很少关注设计需求与采购链接的问题，缺乏成本意识（P5017）；实践中许多矛盾（如无法采购设备、成本失控、施工难度大）的根源在于设计未执行限额设计、指标不清晰或未考虑可施工性（P5017）。</w:t>
      </w:r>
    </w:p>
    <w:p>
      <w:r>
        <w:rPr>
          <w:rFonts w:ascii="Calibri" w:hAnsi="Calibri" w:eastAsia="微软雅黑"/>
          <w:b w:val="0"/>
          <w:i w:val="0"/>
          <w:sz w:val="22"/>
        </w:rPr>
        <w:t>传导断裂的具体形态有三（P5017）：</w:t>
      </w:r>
    </w:p>
    <w:p>
      <w:pPr>
        <w:pStyle w:val="ListBullet"/>
      </w:pPr>
      <w:r>
        <w:rPr>
          <w:rFonts w:ascii="Calibri" w:hAnsi="Calibri" w:eastAsia="微软雅黑"/>
          <w:b/>
          <w:i w:val="0"/>
          <w:sz w:val="22"/>
        </w:rPr>
        <w:t>模式惯性</w:t>
      </w:r>
      <w:r>
        <w:rPr>
          <w:rFonts w:ascii="Calibri" w:hAnsi="Calibri" w:eastAsia="微软雅黑"/>
          <w:b w:val="0"/>
          <w:i w:val="0"/>
          <w:sz w:val="22"/>
        </w:rPr>
        <w:t>：传统"设计先行、采购跟进、施工收尾"的线性管理模式仍未根本改变，设计阶段未充分考虑采购成本与施工可行性，采购阶段与设计参数衔接脱节；</w:t>
      </w:r>
    </w:p>
    <w:p>
      <w:pPr>
        <w:pStyle w:val="ListBullet"/>
      </w:pPr>
      <w:r>
        <w:rPr>
          <w:rFonts w:ascii="Calibri" w:hAnsi="Calibri" w:eastAsia="微软雅黑"/>
          <w:b/>
          <w:i w:val="0"/>
          <w:sz w:val="22"/>
        </w:rPr>
        <w:t>采购受害</w:t>
      </w:r>
      <w:r>
        <w:rPr>
          <w:rFonts w:ascii="Calibri" w:hAnsi="Calibri" w:eastAsia="微软雅黑"/>
          <w:b w:val="0"/>
          <w:i w:val="0"/>
          <w:sz w:val="22"/>
        </w:rPr>
        <w:t>：设计图纸指定特殊材料规格或供应商稀缺，采购价格随之偏高、供应周期拉长；依据有缺陷或不清晰图纸制定的采购清单，可能出现订购设备规格不符、材料数量偏差，甚至采购无法安装的物品，带来资源浪费与资金积压；</w:t>
      </w:r>
    </w:p>
    <w:p>
      <w:pPr>
        <w:pStyle w:val="ListBullet"/>
      </w:pPr>
      <w:r>
        <w:rPr>
          <w:rFonts w:ascii="Calibri" w:hAnsi="Calibri" w:eastAsia="微软雅黑"/>
          <w:b/>
          <w:i w:val="0"/>
          <w:sz w:val="22"/>
        </w:rPr>
        <w:t>优化空转</w:t>
      </w:r>
      <w:r>
        <w:rPr>
          <w:rFonts w:ascii="Calibri" w:hAnsi="Calibri" w:eastAsia="微软雅黑"/>
          <w:b w:val="0"/>
          <w:i w:val="0"/>
          <w:sz w:val="22"/>
        </w:rPr>
        <w:t>：设计优化往往未能有效传导到采购端，停留在设计图纸层面，受限于线性管理惯性（P5017）。</w:t>
      </w:r>
    </w:p>
    <w:p>
      <w:r>
        <w:rPr>
          <w:rFonts w:ascii="Calibri" w:hAnsi="Calibri" w:eastAsia="微软雅黑"/>
          <w:b w:val="0"/>
          <w:i w:val="0"/>
          <w:sz w:val="22"/>
        </w:rPr>
        <w:t>[事实]结论很冷峻：EPC理论上具备全过程统筹优势，但如果优化只改图不改清单、只算钢筋不算货期，设计端的成本武器就没有真正出鞘。</w:t>
      </w:r>
    </w:p>
    <w:p>
      <w:pPr>
        <w:pStyle w:val="Heading3"/>
      </w:pPr>
      <w:r>
        <w:t>5.1.4 判例量级：压价、漂移与变更失控</w:t>
      </w:r>
    </w:p>
    <w:p>
      <w:r>
        <w:rPr>
          <w:rFonts w:ascii="Calibri" w:hAnsi="Calibri" w:eastAsia="微软雅黑"/>
          <w:b w:val="0"/>
          <w:i w:val="0"/>
          <w:sz w:val="22"/>
        </w:rPr>
        <w:t>判例文书提供了三类量级参照，帮助管理层校准"不设限额会亏到什么程度"的直觉。</w:t>
      </w:r>
    </w:p>
    <w:p>
      <w:r>
        <w:rPr>
          <w:rFonts w:ascii="Calibri" w:hAnsi="Calibri" w:eastAsia="微软雅黑"/>
          <w:b/>
          <w:i w:val="0"/>
          <w:sz w:val="22"/>
        </w:rPr>
        <w:t>其一，投标压价的量级。</w:t>
      </w:r>
      <w:r>
        <w:rPr>
          <w:rFonts w:ascii="Calibri" w:hAnsi="Calibri" w:eastAsia="微软雅黑"/>
          <w:b w:val="0"/>
          <w:i w:val="0"/>
          <w:sz w:val="22"/>
        </w:rPr>
        <w:t>丽江五郎河水电站EPC项目（(2018)云民初168号，P5024）中，开标后、定标前，发包人先后三次要求联营体降低投标报价：从194351955元降至179173980元，再降至175318593元，第三次降至174318000元后才中标（P5024）。own_calc：194351955−174318000=20033955元，累计压掉的部分约占首次报价的10.3%（20033955÷194351955）。中标之后呢？联营体起诉请求支付欠付合同工程款38672952元、各项损失10610000元，其中欠付款部分利息暂计至2018年9月10日已达7756075元（P5024）。[事实]低价进场与高额欠款并存，说明设计端若无成本纪律兜底，投标阶段的每一分让利都会在履约阶段加倍追讨。</w:t>
      </w:r>
    </w:p>
    <w:p>
      <w:r>
        <w:rPr>
          <w:rFonts w:ascii="Calibri" w:hAnsi="Calibri" w:eastAsia="微软雅黑"/>
          <w:b w:val="0"/>
          <w:i w:val="0"/>
          <w:sz w:val="22"/>
        </w:rPr>
        <w:t>该案的时间线也值得记录：2014年1月2日发包人发出投标邀请书，1月6日两家单位组成联营体投标，4月14日收到中标通知书，5月28日签订EPC工程总承包合同（P5024）；联营体还主张招标中的压价做法违反招标投标法第四十三条，并依第五十五条主张中标无效（P5024）。own_calc：从1月2日受邀到5月28日签约不足五个月。[事实]投标阶段被压掉的价格，最终以欠款、利息与合同效力之争的形式回来讨账。</w:t>
      </w:r>
    </w:p>
    <w:p>
      <w:r>
        <w:rPr>
          <w:rFonts w:ascii="Calibri" w:hAnsi="Calibri" w:eastAsia="微软雅黑"/>
          <w:b/>
          <w:i w:val="0"/>
          <w:sz w:val="22"/>
        </w:rPr>
        <w:t>其二，变更追加的量级。</w:t>
      </w:r>
      <w:r>
        <w:rPr>
          <w:rFonts w:ascii="Calibri" w:hAnsi="Calibri" w:eastAsia="微软雅黑"/>
          <w:b w:val="0"/>
          <w:i w:val="0"/>
          <w:sz w:val="22"/>
        </w:rPr>
        <w:t>宁夏一家日用百货配送中心及超市工程（(2016)宁05民初78号，P5034），2010年7月以12933521.89元中标，合同工期121天（P5034）；诉讼中承包人主张变更增加的工程款7205791元、延期付款利息2678392.52元，另加下欠合同价内工程款1333521.89元（P5034）。own_calc：7205791÷12933521.89≈55.7%，变更追加部分相当于原合同价的一半以上。[估计]这是传统模式下变更失控的常见量级；EPC若不做限额分解，同级别的漂移将直接从利润池里扣——而且EPC固定总价之下，承包人多半无处追加。</w:t>
      </w:r>
    </w:p>
    <w:p>
      <w:r>
        <w:rPr>
          <w:rFonts w:ascii="Calibri" w:hAnsi="Calibri" w:eastAsia="微软雅黑"/>
          <w:b/>
          <w:i w:val="0"/>
          <w:sz w:val="22"/>
        </w:rPr>
        <w:t>其三，概算红线被初版方案顶破的量级。</w:t>
      </w:r>
      <w:r>
        <w:rPr>
          <w:rFonts w:ascii="Calibri" w:hAnsi="Calibri" w:eastAsia="微软雅黑"/>
          <w:b w:val="0"/>
          <w:i w:val="0"/>
          <w:sz w:val="22"/>
        </w:rPr>
        <w:t>某EPC项目整体规划3幢塔楼及相连裙房，建筑面积约17.3万m2，地下3层、地上21层，基坑深度7.8～16.3m，基坑周长约730m，土方工程量约47万m3（P5009）；初版支护方案整体分为11个段，初步方案造价达3 280万元，超出建设单位设计概算，迫使项目团队进行支护设计优化（P5009）。[事实]注意时序：优化不是主动加分项，而是概算红线被顶破后的被动救命动作——这正是"先出图、后算账"路线的标准结局。</w:t>
      </w:r>
    </w:p>
    <w:p>
      <w:pPr>
        <w:pStyle w:val="Heading3"/>
      </w:pPr>
      <w:r>
        <w:t>5.1.5 管理层检查点</w:t>
      </w:r>
    </w:p>
    <w:p>
      <w:r>
        <w:rPr>
          <w:rFonts w:ascii="Calibri" w:hAnsi="Calibri" w:eastAsia="微软雅黑"/>
          <w:b w:val="0"/>
          <w:i w:val="0"/>
          <w:sz w:val="22"/>
        </w:rPr>
        <w:t>[建议]把"设计阶段的成本锁定"变成立项评审的必答题：新项目启动时，管理层应先问三个问题——限额的基数是哪份批复文件、分专业指标是否已随任务书下达、图纸调整有没有归口流程。验证条件：调取贵司近三年项目的中标价与结算价对照，若偏差量级达到本章判例所示（投标价与合同价差约11.8%，own_calc据P5004；变更追加相当于合同价约55.7%，own_calc据P5034），限额设计体系建设应列为当年经营层的头号工程。停止条件：连续两个项目概算未被突破、变更金额回落至可控区间且审计无"投资管控未落实"类结论时，可将其降级为例行监控事项。</w:t>
      </w:r>
    </w:p>
    <w:p>
      <w:pPr>
        <w:pStyle w:val="Heading2"/>
      </w:pPr>
      <w:r>
        <w:t>5.2 概念的法律化缺口：五个词、两套规则、一条分水岭</w:t>
      </w:r>
    </w:p>
    <w:p>
      <w:pPr>
        <w:pStyle w:val="Heading3"/>
      </w:pPr>
      <w:r>
        <w:t>5.2.1 法律层面没有统一定义</w:t>
      </w:r>
    </w:p>
    <w:p>
      <w:r>
        <w:rPr>
          <w:rFonts w:ascii="Calibri" w:hAnsi="Calibri" w:eastAsia="微软雅黑"/>
          <w:b w:val="0"/>
          <w:i w:val="0"/>
          <w:sz w:val="22"/>
        </w:rPr>
        <w:t>先说一个容易被管理层忽略的事实：现行法律、行政法规和部门规章层面不存在"设计优化"的统一定义（P5010、P5011）。经检索《中华人民共和国建筑法》《建设工程质量管理条例》《建设工程勘察设计管理条例》以及住建部、发改委相关规章，均未对"设计优化"作出定义（P5010）。最接近的规范性表述来自《房屋建筑和市政基础设施项目工程总承包管理办法》（建市规〔2019〕12号）第19条，该条仅使用"完善和优化设计"的措辞，将其归为工程总承包单位的管理职责范畴，但未界定其定义、程序或与设计变更的关系（P5010）。</w:t>
      </w:r>
    </w:p>
    <w:p>
      <w:r>
        <w:rPr>
          <w:rFonts w:ascii="Calibri" w:hAnsi="Calibri" w:eastAsia="微软雅黑"/>
          <w:b w:val="0"/>
          <w:i w:val="0"/>
          <w:sz w:val="22"/>
        </w:rPr>
        <w:t>实务中最常出现的两个问题恰好构成一组对照：其一，"设计优化"有没有一个统一的定义；其二，施工图图审完毕后，承包方还有没有权力对设计成果文件中的重要材料、做法进行"优化"来进一步节约成本（P5010）。前者是词典问题，后者是权限问题——本章先修词典，再划权限。</w:t>
      </w:r>
    </w:p>
    <w:p>
      <w:r>
        <w:rPr>
          <w:rFonts w:ascii="Calibri" w:hAnsi="Calibri" w:eastAsia="微软雅黑"/>
          <w:b w:val="0"/>
          <w:i w:val="0"/>
          <w:sz w:val="22"/>
        </w:rPr>
        <w:t>[事实]这个定义缺口不是学究问题。工程总承包将设计端纳入承包范围并通常采用固定总价模式，过去在施工总承包之下分阶段、分主体的权利义务划分随之改变，一系列工程技术名词在总承包语境下产生了不同维度的法律化解读，进而带来理解困惑（P5000）。词汇没定义，动作就没了边界；动作没了边界，收益就没法归属——这是本章后续一切纠纷样本的共同起点。</w:t>
      </w:r>
    </w:p>
    <w:p>
      <w:pPr>
        <w:pStyle w:val="Heading3"/>
      </w:pPr>
      <w:r>
        <w:t>5.2.2 从部委文件到团体标准再到地方规则：一部词汇的演化史</w:t>
      </w:r>
    </w:p>
    <w:p>
      <w:r>
        <w:rPr>
          <w:rFonts w:ascii="Calibri" w:hAnsi="Calibri" w:eastAsia="微软雅黑"/>
          <w:b w:val="0"/>
          <w:i w:val="0"/>
          <w:sz w:val="22"/>
        </w:rPr>
        <w:t>设计优化的概念仅零星见于部分标准或部门规章（P5000）。把bank内可见的谱系按时间排开，读者能看到监管语汇的三十年演化。</w:t>
      </w:r>
    </w:p>
    <w:p>
      <w:r>
        <w:rPr>
          <w:rFonts w:ascii="Calibri" w:hAnsi="Calibri" w:eastAsia="微软雅黑"/>
          <w:b w:val="0"/>
          <w:i w:val="0"/>
          <w:sz w:val="22"/>
        </w:rPr>
        <w:t>在进入条文之前，不妨先看语言本身。仅就汉语言文字的本意来讲，所谓"优"是一个比较级的词汇，即相较对比物来讲更好；所谓设计优化，是相较此前的设计方案来讲，就工程造价、产能效率、工期等一个或多个要素，可实现相较来讲更好的效果（P5000）。近年来不少地方的政府投资管理办法采用了共性表述：在不降低工程质量和使用功能的前提下，若能够有效实现减少工程数量、降低施工难度和工程成本、加快施工进度的目的，则可以进行设计优化（P5000）。[事实]注意这几项"有效实现"的对象——工程数量、施工难度与成本、施工进度——恰好构成后面限额指标设计的天然维度。</w:t>
      </w:r>
    </w:p>
    <w:p>
      <w:pPr>
        <w:pStyle w:val="ListBullet"/>
      </w:pPr>
      <w:r>
        <w:rPr>
          <w:rFonts w:ascii="Calibri" w:hAnsi="Calibri" w:eastAsia="微软雅黑"/>
          <w:b/>
          <w:i w:val="0"/>
          <w:sz w:val="22"/>
        </w:rPr>
        <w:t>1994年4月4日</w:t>
      </w:r>
      <w:r>
        <w:rPr>
          <w:rFonts w:ascii="Calibri" w:hAnsi="Calibri" w:eastAsia="微软雅黑"/>
          <w:b w:val="0"/>
          <w:i w:val="0"/>
          <w:sz w:val="22"/>
        </w:rPr>
        <w:t>，原电力工业部、机械工业部发布《关于进一步加强火电建设工程优化工作的通知》（电建〔1994〕193号），第2.5款规定："设计优化遵循技术先进、经济合理、安全可靠的原则。"（P5000）</w:t>
      </w:r>
    </w:p>
    <w:p>
      <w:pPr>
        <w:pStyle w:val="ListBullet"/>
      </w:pPr>
      <w:r>
        <w:rPr>
          <w:rFonts w:ascii="Calibri" w:hAnsi="Calibri" w:eastAsia="微软雅黑"/>
          <w:b/>
          <w:i w:val="0"/>
          <w:sz w:val="22"/>
        </w:rPr>
        <w:t>1995年8月1日</w:t>
      </w:r>
      <w:r>
        <w:rPr>
          <w:rFonts w:ascii="Calibri" w:hAnsi="Calibri" w:eastAsia="微软雅黑"/>
          <w:b w:val="0"/>
          <w:i w:val="0"/>
          <w:sz w:val="22"/>
        </w:rPr>
        <w:t>，原电力工业部发布《控制电力工程造价的若干意见》，第6条要求："要大力开发和推广新技术、新工艺、新材料，优化设计方案。设计优化要贯穿于可研、初设和施工图设计的始终。"（P5000）</w:t>
      </w:r>
    </w:p>
    <w:p>
      <w:pPr>
        <w:pStyle w:val="ListBullet"/>
      </w:pPr>
      <w:r>
        <w:rPr>
          <w:rFonts w:ascii="Calibri" w:hAnsi="Calibri" w:eastAsia="微软雅黑"/>
          <w:b/>
          <w:i w:val="0"/>
          <w:sz w:val="22"/>
        </w:rPr>
        <w:t>2011年</w:t>
      </w:r>
      <w:r>
        <w:rPr>
          <w:rFonts w:ascii="Calibri" w:hAnsi="Calibri" w:eastAsia="微软雅黑"/>
          <w:b w:val="0"/>
          <w:i w:val="0"/>
          <w:sz w:val="22"/>
        </w:rPr>
        <w:t>口径的行业导则《建设工程项目经理执业导则》（RISN-TG012-2011）第14.3.1项将设计优化定义为："在原有设计的基础上，对局部施工图进行优化设计的工作，使之更经济、更安全。"（P5000）</w:t>
      </w:r>
    </w:p>
    <w:p>
      <w:pPr>
        <w:pStyle w:val="ListBullet"/>
      </w:pPr>
      <w:r>
        <w:rPr>
          <w:rFonts w:ascii="Calibri" w:hAnsi="Calibri" w:eastAsia="微软雅黑"/>
          <w:b/>
          <w:i w:val="0"/>
          <w:sz w:val="22"/>
        </w:rPr>
        <w:t>2022年</w:t>
      </w:r>
      <w:r>
        <w:rPr>
          <w:rFonts w:ascii="Calibri" w:hAnsi="Calibri" w:eastAsia="微软雅黑"/>
          <w:b w:val="0"/>
          <w:i w:val="0"/>
          <w:sz w:val="22"/>
        </w:rPr>
        <w:t>，中国建设工程造价管理协会发布团体标准《建设项目工程总承包计价规范》（T/CCEAS001-2022），目前仅见的较权威的术语定义即出于此（P5010，标准本身非法律法规、不具强制力，但具行业指导价值）。</w:t>
      </w:r>
    </w:p>
    <w:p>
      <w:pPr>
        <w:pStyle w:val="ListBullet"/>
      </w:pPr>
      <w:r>
        <w:rPr>
          <w:rFonts w:ascii="Calibri" w:hAnsi="Calibri" w:eastAsia="微软雅黑"/>
          <w:b/>
          <w:i w:val="0"/>
          <w:sz w:val="22"/>
        </w:rPr>
        <w:t>地方层面</w:t>
      </w:r>
      <w:r>
        <w:rPr>
          <w:rFonts w:ascii="Calibri" w:hAnsi="Calibri" w:eastAsia="微软雅黑"/>
          <w:b w:val="0"/>
          <w:i w:val="0"/>
          <w:sz w:val="22"/>
        </w:rPr>
        <w:t>：杭州市城乡建设委员会2022年2月28日发布《杭州市房屋建筑和市政基础设施项目工程总承包项目计价指引》，第4.8款明确"工程总承包项目实行限额设计，在满足合同约定及发包人要求的前提下，对承包人通过采……"（P5000，该条文在bank源文件处截断）；湖南省住房和城乡建设厅2023年5月29日发布《湖南省建设工程总承包计价规则》（湘建建函〔2023〕49号），第2.0.22项将设计优化定义为"在不改变发包人要求和设计文件所确定项目功能、规模、质量、标准，不增加维护成本等全生命周期费用的前提下，对已有的设计图纸进行深化和调整，使其满足施工要求，并最大限度满足价值工程要求"，并在第7.3.1项规定承包人的设计优化应满足合同约定及发包人要求、不调整合同价款（P5000）。</w:t>
      </w:r>
    </w:p>
    <w:p>
      <w:r>
        <w:rPr>
          <w:rFonts w:ascii="Calibri" w:hAnsi="Calibri" w:eastAsia="微软雅黑"/>
          <w:b w:val="0"/>
          <w:i w:val="0"/>
          <w:sz w:val="22"/>
        </w:rPr>
        <w:t>T/CCEAS001-2022给出的四个术语，是本章反复回扣的基准坐标（P5010）：</w:t>
      </w:r>
    </w:p>
    <w:p>
      <w:pPr>
        <w:pStyle w:val="ListBullet"/>
      </w:pPr>
      <w:r>
        <w:rPr>
          <w:rFonts w:ascii="Calibri" w:hAnsi="Calibri" w:eastAsia="微软雅黑"/>
          <w:b/>
          <w:i w:val="0"/>
          <w:sz w:val="22"/>
        </w:rPr>
        <w:t>设计优化</w:t>
      </w:r>
      <w:r>
        <w:rPr>
          <w:rFonts w:ascii="Calibri" w:hAnsi="Calibri" w:eastAsia="微软雅黑"/>
          <w:b w:val="0"/>
          <w:i w:val="0"/>
          <w:sz w:val="22"/>
        </w:rPr>
        <w:t>（第2.0.25条）：承包人对发包人提供的设计文件进行改善与提高，并从成本的角度对原设计进行排查，剔除其中虚高、无用、不安全等不合理成本的加工（P5010）；</w:t>
      </w:r>
    </w:p>
    <w:p>
      <w:pPr>
        <w:pStyle w:val="ListBullet"/>
      </w:pPr>
      <w:r>
        <w:rPr>
          <w:rFonts w:ascii="Calibri" w:hAnsi="Calibri" w:eastAsia="微软雅黑"/>
          <w:b/>
          <w:i w:val="0"/>
          <w:sz w:val="22"/>
        </w:rPr>
        <w:t>优化设计</w:t>
      </w:r>
      <w:r>
        <w:rPr>
          <w:rFonts w:ascii="Calibri" w:hAnsi="Calibri" w:eastAsia="微软雅黑"/>
          <w:b w:val="0"/>
          <w:i w:val="0"/>
          <w:sz w:val="22"/>
        </w:rPr>
        <w:t>（第2.0.23条）：承包人从满足发包人要求的众多设计方案中选择最佳设计方案的设计方法（P5010）；</w:t>
      </w:r>
    </w:p>
    <w:p>
      <w:pPr>
        <w:pStyle w:val="ListBullet"/>
      </w:pPr>
      <w:r>
        <w:rPr>
          <w:rFonts w:ascii="Calibri" w:hAnsi="Calibri" w:eastAsia="微软雅黑"/>
          <w:b/>
          <w:i w:val="0"/>
          <w:sz w:val="22"/>
        </w:rPr>
        <w:t>合理化建议</w:t>
      </w:r>
      <w:r>
        <w:rPr>
          <w:rFonts w:ascii="Calibri" w:hAnsi="Calibri" w:eastAsia="微软雅黑"/>
          <w:b w:val="0"/>
          <w:i w:val="0"/>
          <w:sz w:val="22"/>
        </w:rPr>
        <w:t>（第2.0.22条）：承包人为缩短工期、提高工程经济效益等，按约定程序向发包人提出的改变发包人要求和方案设计或初步设计文件的书面建议（P5010）；</w:t>
      </w:r>
    </w:p>
    <w:p>
      <w:pPr>
        <w:pStyle w:val="ListBullet"/>
      </w:pPr>
      <w:r>
        <w:rPr>
          <w:rFonts w:ascii="Calibri" w:hAnsi="Calibri" w:eastAsia="微软雅黑"/>
          <w:b/>
          <w:i w:val="0"/>
          <w:sz w:val="22"/>
        </w:rPr>
        <w:t>发包人要求</w:t>
      </w:r>
      <w:r>
        <w:rPr>
          <w:rFonts w:ascii="Calibri" w:hAnsi="Calibri" w:eastAsia="微软雅黑"/>
          <w:b w:val="0"/>
          <w:i w:val="0"/>
          <w:sz w:val="22"/>
        </w:rPr>
        <w:t>（第2.0.21条）：说明发包人对建设项目建造目标的文件，列明目标、范围、功能需求、设计与其他技术标准等（P5010）。</w:t>
      </w:r>
    </w:p>
    <w:p>
      <w:pPr>
        <w:pStyle w:val="Heading3"/>
      </w:pPr>
      <w:r>
        <w:t>5.2.3 分水岭：是否改变《发包人要求》</w:t>
      </w:r>
    </w:p>
    <w:p>
      <w:r>
        <w:rPr>
          <w:rFonts w:ascii="Calibri" w:hAnsi="Calibri" w:eastAsia="微软雅黑"/>
          <w:b w:val="0"/>
          <w:i w:val="0"/>
          <w:sz w:val="22"/>
        </w:rPr>
        <w:t>司法实践与行业共识（以天津理工大学柯洪教授等观点为代表）普遍按"是否改变《发包人要求》"作为区分相关概念的分水岭（P5011）。bank中留存的概念对照表如下（源自P5011）：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概念</w:t>
            </w:r>
          </w:p>
        </w:tc>
        <w:tc>
          <w:tcPr>
            <w:tcW w:type="dxa" w:w="2075"/>
            <w:shd w:fill="1F3A5F"/>
          </w:tcPr>
          <w:p>
            <w:r>
              <w:rPr>
                <w:color w:val="FFFFFF"/>
              </w:rPr>
            </w:r>
            <w:r>
              <w:rPr>
                <w:rFonts w:ascii="Calibri" w:hAnsi="Calibri" w:eastAsia="微软雅黑"/>
                <w:b/>
                <w:i w:val="0"/>
                <w:color w:val="FFFFFF"/>
                <w:sz w:val="18"/>
              </w:rPr>
              <w:t>内涵</w:t>
            </w:r>
          </w:p>
        </w:tc>
        <w:tc>
          <w:tcPr>
            <w:tcW w:type="dxa" w:w="2075"/>
            <w:shd w:fill="1F3A5F"/>
          </w:tcPr>
          <w:p>
            <w:r>
              <w:rPr>
                <w:color w:val="FFFFFF"/>
              </w:rPr>
            </w:r>
            <w:r>
              <w:rPr>
                <w:rFonts w:ascii="Calibri" w:hAnsi="Calibri" w:eastAsia="微软雅黑"/>
                <w:b/>
                <w:i w:val="0"/>
                <w:color w:val="FFFFFF"/>
                <w:sz w:val="18"/>
              </w:rPr>
              <w:t>是否改变发包人要求</w:t>
            </w:r>
          </w:p>
        </w:tc>
        <w:tc>
          <w:tcPr>
            <w:tcW w:type="dxa" w:w="2075"/>
            <w:shd w:fill="1F3A5F"/>
          </w:tcPr>
          <w:p>
            <w:r>
              <w:rPr>
                <w:color w:val="FFFFFF"/>
              </w:rPr>
            </w:r>
            <w:r>
              <w:rPr>
                <w:rFonts w:ascii="Calibri" w:hAnsi="Calibri" w:eastAsia="微软雅黑"/>
                <w:b/>
                <w:i w:val="0"/>
                <w:color w:val="FFFFFF"/>
                <w:sz w:val="18"/>
              </w:rPr>
              <w:t>优化收益归属</w:t>
            </w:r>
          </w:p>
        </w:tc>
      </w:tr>
      <w:tr>
        <w:tc>
          <w:tcPr>
            <w:tcW w:type="dxa" w:w="2075"/>
          </w:tcPr>
          <w:p>
            <w:r/>
            <w:r>
              <w:rPr>
                <w:rFonts w:ascii="Calibri" w:hAnsi="Calibri" w:eastAsia="微软雅黑"/>
                <w:b w:val="0"/>
                <w:i w:val="0"/>
                <w:sz w:val="18"/>
              </w:rPr>
              <w:t>设计优化</w:t>
            </w:r>
          </w:p>
        </w:tc>
        <w:tc>
          <w:tcPr>
            <w:tcW w:type="dxa" w:w="2075"/>
          </w:tcPr>
          <w:p>
            <w:r/>
            <w:r>
              <w:rPr>
                <w:rFonts w:ascii="Calibri" w:hAnsi="Calibri" w:eastAsia="微软雅黑"/>
                <w:b w:val="0"/>
                <w:i w:val="0"/>
                <w:sz w:val="18"/>
              </w:rPr>
              <w:t>对设计文件改善与提高、剔除不合理成本</w:t>
            </w:r>
          </w:p>
        </w:tc>
        <w:tc>
          <w:tcPr>
            <w:tcW w:type="dxa" w:w="2075"/>
          </w:tcPr>
          <w:p>
            <w:r/>
            <w:r>
              <w:rPr>
                <w:rFonts w:ascii="Calibri" w:hAnsi="Calibri" w:eastAsia="微软雅黑"/>
                <w:b w:val="0"/>
                <w:i w:val="0"/>
                <w:sz w:val="18"/>
              </w:rPr>
              <w:t>视情况而定，改变须走合理化建议程序</w:t>
            </w:r>
          </w:p>
        </w:tc>
        <w:tc>
          <w:tcPr>
            <w:tcW w:type="dxa" w:w="2075"/>
          </w:tcPr>
          <w:p>
            <w:r/>
            <w:r>
              <w:rPr>
                <w:rFonts w:ascii="Calibri" w:hAnsi="Calibri" w:eastAsia="微软雅黑"/>
                <w:b w:val="0"/>
                <w:i w:val="0"/>
                <w:sz w:val="18"/>
              </w:rPr>
              <w:t>满足要求归承包人；改变要求经批准利益共享</w:t>
            </w:r>
          </w:p>
        </w:tc>
      </w:tr>
      <w:tr>
        <w:tc>
          <w:tcPr>
            <w:tcW w:type="dxa" w:w="2075"/>
          </w:tcPr>
          <w:p>
            <w:r/>
            <w:r>
              <w:rPr>
                <w:rFonts w:ascii="Calibri" w:hAnsi="Calibri" w:eastAsia="微软雅黑"/>
                <w:b w:val="0"/>
                <w:i w:val="0"/>
                <w:sz w:val="18"/>
              </w:rPr>
              <w:t>优化设计</w:t>
            </w:r>
          </w:p>
        </w:tc>
        <w:tc>
          <w:tcPr>
            <w:tcW w:type="dxa" w:w="2075"/>
          </w:tcPr>
          <w:p>
            <w:r/>
            <w:r>
              <w:rPr>
                <w:rFonts w:ascii="Calibri" w:hAnsi="Calibri" w:eastAsia="微软雅黑"/>
                <w:b w:val="0"/>
                <w:i w:val="0"/>
                <w:sz w:val="18"/>
              </w:rPr>
              <w:t>从众多方案中选最佳方案的设计方法</w:t>
            </w:r>
          </w:p>
        </w:tc>
        <w:tc>
          <w:tcPr>
            <w:tcW w:type="dxa" w:w="2075"/>
          </w:tcPr>
          <w:p>
            <w:r/>
            <w:r>
              <w:rPr>
                <w:rFonts w:ascii="Calibri" w:hAnsi="Calibri" w:eastAsia="微软雅黑"/>
                <w:b w:val="0"/>
                <w:i w:val="0"/>
                <w:sz w:val="18"/>
              </w:rPr>
              <w:t>不改变</w:t>
            </w:r>
          </w:p>
        </w:tc>
        <w:tc>
          <w:tcPr>
            <w:tcW w:type="dxa" w:w="2075"/>
          </w:tcPr>
          <w:p>
            <w:r/>
            <w:r>
              <w:rPr>
                <w:rFonts w:ascii="Calibri" w:hAnsi="Calibri" w:eastAsia="微软雅黑"/>
                <w:b w:val="0"/>
                <w:i w:val="0"/>
                <w:sz w:val="18"/>
              </w:rPr>
              <w:t>归承包人</w:t>
            </w:r>
          </w:p>
        </w:tc>
      </w:tr>
      <w:tr>
        <w:tc>
          <w:tcPr>
            <w:tcW w:type="dxa" w:w="2075"/>
          </w:tcPr>
          <w:p>
            <w:r/>
            <w:r>
              <w:rPr>
                <w:rFonts w:ascii="Calibri" w:hAnsi="Calibri" w:eastAsia="微软雅黑"/>
                <w:b w:val="0"/>
                <w:i w:val="0"/>
                <w:sz w:val="18"/>
              </w:rPr>
              <w:t>深化设计</w:t>
            </w:r>
          </w:p>
        </w:tc>
        <w:tc>
          <w:tcPr>
            <w:tcW w:type="dxa" w:w="2075"/>
          </w:tcPr>
          <w:p>
            <w:r/>
            <w:r>
              <w:rPr>
                <w:rFonts w:ascii="Calibri" w:hAnsi="Calibri" w:eastAsia="微软雅黑"/>
                <w:b w:val="0"/>
                <w:i w:val="0"/>
                <w:sz w:val="18"/>
              </w:rPr>
              <w:t>图纸细化、补充、完善至可实施蓝图</w:t>
            </w:r>
          </w:p>
        </w:tc>
        <w:tc>
          <w:tcPr>
            <w:tcW w:type="dxa" w:w="2075"/>
          </w:tcPr>
          <w:p>
            <w:r/>
            <w:r>
              <w:rPr>
                <w:rFonts w:ascii="Calibri" w:hAnsi="Calibri" w:eastAsia="微软雅黑"/>
                <w:b w:val="0"/>
                <w:i w:val="0"/>
                <w:sz w:val="18"/>
              </w:rPr>
              <w:t>不改变</w:t>
            </w:r>
          </w:p>
        </w:tc>
        <w:tc>
          <w:tcPr>
            <w:tcW w:type="dxa" w:w="2075"/>
          </w:tcPr>
          <w:p>
            <w:r/>
            <w:r>
              <w:rPr>
                <w:rFonts w:ascii="Calibri" w:hAnsi="Calibri" w:eastAsia="微软雅黑"/>
                <w:b w:val="0"/>
                <w:i w:val="0"/>
                <w:sz w:val="18"/>
              </w:rPr>
              <w:t>归承包人</w:t>
            </w:r>
          </w:p>
        </w:tc>
      </w:tr>
      <w:tr>
        <w:tc>
          <w:tcPr>
            <w:tcW w:type="dxa" w:w="2075"/>
          </w:tcPr>
          <w:p>
            <w:r/>
            <w:r>
              <w:rPr>
                <w:rFonts w:ascii="Calibri" w:hAnsi="Calibri" w:eastAsia="微软雅黑"/>
                <w:b w:val="0"/>
                <w:i w:val="0"/>
                <w:sz w:val="18"/>
              </w:rPr>
              <w:t>设计变更／工程变更</w:t>
            </w:r>
          </w:p>
        </w:tc>
        <w:tc>
          <w:tcPr>
            <w:tcW w:type="dxa" w:w="2075"/>
          </w:tcPr>
          <w:p>
            <w:r/>
            <w:r>
              <w:rPr>
                <w:rFonts w:ascii="Calibri" w:hAnsi="Calibri" w:eastAsia="微软雅黑"/>
                <w:b w:val="0"/>
                <w:i w:val="0"/>
                <w:sz w:val="18"/>
              </w:rPr>
              <w:t>对规范、尺寸、材料、建设标准的改变</w:t>
            </w:r>
          </w:p>
        </w:tc>
        <w:tc>
          <w:tcPr>
            <w:tcW w:type="dxa" w:w="2075"/>
          </w:tcPr>
          <w:p>
            <w:r/>
            <w:r>
              <w:rPr>
                <w:rFonts w:ascii="Calibri" w:hAnsi="Calibri" w:eastAsia="微软雅黑"/>
                <w:b w:val="0"/>
                <w:i w:val="0"/>
                <w:sz w:val="18"/>
              </w:rPr>
              <w:t>改变（须经发包人批准）</w:t>
            </w:r>
          </w:p>
        </w:tc>
        <w:tc>
          <w:tcPr>
            <w:tcW w:type="dxa" w:w="2075"/>
          </w:tcPr>
          <w:p>
            <w:r/>
            <w:r>
              <w:rPr>
                <w:rFonts w:ascii="Calibri" w:hAnsi="Calibri" w:eastAsia="微软雅黑"/>
                <w:b w:val="0"/>
                <w:i w:val="0"/>
                <w:sz w:val="18"/>
              </w:rPr>
              <w:t>按原因调整价款</w:t>
            </w:r>
          </w:p>
        </w:tc>
      </w:tr>
    </w:tbl>
    <w:p>
      <w:r>
        <w:rPr>
          <w:rFonts w:ascii="Calibri" w:hAnsi="Calibri" w:eastAsia="微软雅黑"/>
          <w:b w:val="0"/>
          <w:i w:val="0"/>
          <w:sz w:val="22"/>
        </w:rPr>
        <w:t>（表中"合理化建议"行在bank源文件处截断，其定义以T/CCEAS001-2022第2.0.22条为准，P5010。）</w:t>
      </w:r>
    </w:p>
    <w:p>
      <w:r>
        <w:rPr>
          <w:rFonts w:ascii="Calibri" w:hAnsi="Calibri" w:eastAsia="微软雅黑"/>
          <w:b w:val="0"/>
          <w:i w:val="0"/>
          <w:sz w:val="22"/>
        </w:rPr>
        <w:t>[事实]这张表对合同的杀伤力在于最后一列：同一个"改图纸"动作，归入不同词条，钱就流向不同的口袋。湖南规则下，满足发包人要求的设计优化不调整合同价款（P5000），省下的钱留在固定总价里归承包人；而一旦动作被认定为设计变更，则"按原因调整价款"（P5011），发包人主张核减或承包人主张追加都有了入口。管理层若不在合同里预先写清分类规则，结算阶段就只能靠裁判者自由裁量。</w:t>
      </w:r>
    </w:p>
    <w:p>
      <w:r>
        <w:rPr>
          <w:rFonts w:ascii="Calibri" w:hAnsi="Calibri" w:eastAsia="微软雅黑"/>
          <w:b w:val="0"/>
          <w:i w:val="0"/>
          <w:sz w:val="22"/>
        </w:rPr>
        <w:t>矩阵里还藏着一个常被忽视的推论：收益归属规则实际上定义了各方的举证义务——主张"优化"者要证明发包人要求未变，主张"变更"者要证明变动原因与价款调整的对应关系（P5011）。[事实]结算争议打的不是嘴仗，是分类证据。</w:t>
      </w:r>
    </w:p>
    <w:p>
      <w:pPr>
        <w:pStyle w:val="Heading3"/>
      </w:pPr>
      <w:r>
        <w:t>5.2.4 图审之后的优化权：有限、有程序、有后果</w:t>
      </w:r>
    </w:p>
    <w:p>
      <w:r>
        <w:rPr>
          <w:rFonts w:ascii="Calibri" w:hAnsi="Calibri" w:eastAsia="微软雅黑"/>
          <w:b w:val="0"/>
          <w:i w:val="0"/>
          <w:sz w:val="22"/>
        </w:rPr>
        <w:t>EPC模式下，施工图审查具有法定的强制性前置地位（非行政许可），施工图经审查合格并备案后，任何单位或个人不得擅自修改（P5010）。那么图审完毕后，承包方还能不能对设计成果文件中的重要材料、做法进行"优化"以节约成本？答案是可以，但这是一项有严格边界和前置程序限制的有限权利（P5010）：</w:t>
      </w:r>
    </w:p>
    <w:p>
      <w:pPr>
        <w:pStyle w:val="ListBullet"/>
      </w:pPr>
      <w:r>
        <w:rPr>
          <w:rFonts w:ascii="Calibri" w:hAnsi="Calibri" w:eastAsia="微软雅黑"/>
          <w:b w:val="0"/>
          <w:i w:val="0"/>
          <w:sz w:val="22"/>
        </w:rPr>
        <w:t>凡不改变《发包人要求》、不违反工程建设强制性标准的合理优化，属承包方自主管理权限（P5010）；</w:t>
      </w:r>
    </w:p>
    <w:p>
      <w:pPr>
        <w:pStyle w:val="ListBullet"/>
      </w:pPr>
      <w:r>
        <w:rPr>
          <w:rFonts w:ascii="Calibri" w:hAnsi="Calibri" w:eastAsia="微软雅黑"/>
          <w:b w:val="0"/>
          <w:i w:val="0"/>
          <w:sz w:val="22"/>
        </w:rPr>
        <w:t>凡涉及改变《发包人要求》或涉及强制性条文、结构安全、节能等重要技术指标的"优化"，承包方无权单方擅自实施，必须履行发包人批准及原图审机构重新审查等法定程序，否则将构成违约甚至违法（P5010）。</w:t>
      </w:r>
    </w:p>
    <w:p>
      <w:r>
        <w:rPr>
          <w:rFonts w:ascii="Calibri" w:hAnsi="Calibri" w:eastAsia="微软雅黑"/>
          <w:b w:val="0"/>
          <w:i w:val="0"/>
          <w:sz w:val="22"/>
        </w:rPr>
        <w:t>两条边界的中间地带，正是5.5.4那类案件的发源地：图纸动了、功能看似没动、程序没走——发包人说这是降标减项，承包人说这是优化免责。[事实]边界条文写在规范里是一回事，写进合同并配上确认流程是另一回事；后者才是企业在争议中站得住的凭据。</w:t>
      </w:r>
    </w:p>
    <w:p>
      <w:r>
        <w:rPr>
          <w:rFonts w:ascii="Calibri" w:hAnsi="Calibri" w:eastAsia="微软雅黑"/>
          <w:b w:val="0"/>
          <w:i w:val="0"/>
          <w:sz w:val="22"/>
        </w:rPr>
        <w:t>[建议]企业内控应把五个词条（设计优化、优化设计、深化设计、设计变更、合理化建议）写进合同专用条款与内部流程编号，任何图纸调整先过"是否改变发包人要求、是否触碰强制性条文"这道闸，再决定走自主优化还是报批程序。验证条件：抽查近半年图纸调整单据，凡存在无法归入上述分类的单据，即说明流程存在灰色地带，应立即修订条款；停止条件：连续一个季度零灰色单据后，可将该检查转为抽查制。</w:t>
      </w:r>
    </w:p>
    <w:p>
      <w:pPr>
        <w:pStyle w:val="Heading2"/>
      </w:pPr>
      <w:r>
        <w:t>5.3 限额设计的骨架：两大阶段与两类指标</w:t>
      </w:r>
    </w:p>
    <w:p>
      <w:pPr>
        <w:pStyle w:val="Heading3"/>
      </w:pPr>
      <w:r>
        <w:t>5.3.1 定义与两层内涵</w:t>
      </w:r>
    </w:p>
    <w:p>
      <w:r>
        <w:rPr>
          <w:rFonts w:ascii="Calibri" w:hAnsi="Calibri" w:eastAsia="微软雅黑"/>
          <w:b w:val="0"/>
          <w:i w:val="0"/>
          <w:sz w:val="22"/>
        </w:rPr>
        <w:t>限额设计是EPC工程总承包模式下管控工程造价的核心手段，指按照投资或造价的限额来开展满足技术标准与使用功能的设计工作（P5014）。其内涵包含两个层面：一是下一设计阶段必须在上一阶段已敲定的投资、造价限额约束下完成设计技术要求；二是局部专业、分部分项工程按照预先设定的投资限额完成技术设计（P5014）。</w:t>
      </w:r>
    </w:p>
    <w:p>
      <w:r>
        <w:rPr>
          <w:rFonts w:ascii="Calibri" w:hAnsi="Calibri" w:eastAsia="微软雅黑"/>
          <w:b w:val="0"/>
          <w:i w:val="0"/>
          <w:sz w:val="22"/>
        </w:rPr>
        <w:t>有一句提醒值得原样转述：限额设计不是简单降低建设标准，而是在保障安全、功能、品质前提下，用最少投入实现最大工程产出，实现项目总投资的有效管控，是EPC项目防范超概风险、平衡品质与效益的关键管理工具（P5014）。[事实]这一定位划清了两条红线——既不许拿"限额"当降标的遮羞布，也不许拿"品质"当超概的挡箭牌。</w:t>
      </w:r>
    </w:p>
    <w:p>
      <w:pPr>
        <w:pStyle w:val="Heading3"/>
      </w:pPr>
      <w:r>
        <w:t>5.3.2 第一阶段：一级限额，锚住投资天花板</w:t>
      </w:r>
    </w:p>
    <w:p>
      <w:r>
        <w:rPr>
          <w:rFonts w:ascii="Calibri" w:hAnsi="Calibri" w:eastAsia="微软雅黑"/>
          <w:b w:val="0"/>
          <w:i w:val="0"/>
          <w:sz w:val="22"/>
        </w:rPr>
        <w:t>EPC总承包项目普遍执行两级限额设计，分为一级限额确立、二级限额分解落实两大阶段，自上而下逐级分解投资控制目标（P5014）。一级限额为项目顶层总控限额，包含项目总投资、各单项工程投资限额（P5014）。它的锚定材料包括：可研批复文件、设计任务书、投资估算、同类项目案例、行业经济指标，同时结合施工单位实施诉求、项目初步设计进度，分区域、分单体组织多专业对经济指标开展研讨、核算、确认，锁定项目总体和单项工程投资天花板（P5014）。</w:t>
      </w:r>
    </w:p>
    <w:p>
      <w:r>
        <w:rPr>
          <w:rFonts w:ascii="Calibri" w:hAnsi="Calibri" w:eastAsia="微软雅黑"/>
          <w:b w:val="0"/>
          <w:i w:val="0"/>
          <w:sz w:val="22"/>
        </w:rPr>
        <w:t>[事实]一级限额是整个项目造价管控总纲领，后续所有设计、招采工作均不能突破该顶层约束（P5014）。对管理层而言，这句话的实操含义是：一级限额必须在设计方案征集之前敲定并书面化——先有天花板，后有图纸；顺序颠倒，天花板就成了事后追认。</w:t>
      </w:r>
    </w:p>
    <w:p>
      <w:r>
        <w:rPr>
          <w:rFonts w:ascii="Calibri" w:hAnsi="Calibri" w:eastAsia="微软雅黑"/>
          <w:b w:val="0"/>
          <w:i w:val="0"/>
          <w:sz w:val="22"/>
        </w:rPr>
        <w:t>锚定材料的质量决定天花板的高度：可研批复文件与投资估算给出法定与财务基线，同类项目案例与行业经济指标给出经验参照，施工单位实施诉求与初步设计进度给出落地约束（P5014）。[事实]分区域、分单体组织多专业研讨、核算、确认（P5014）不是流程仪式——一级限额的每一个数字，都应当能追溯到这五类输入中的至少一类，否则天花板就是拍出来的，不是算出来的。</w:t>
      </w:r>
    </w:p>
    <w:p>
      <w:r>
        <w:rPr>
          <w:rFonts w:ascii="Calibri" w:hAnsi="Calibri" w:eastAsia="微软雅黑"/>
          <w:b w:val="0"/>
          <w:i w:val="0"/>
          <w:sz w:val="22"/>
        </w:rPr>
        <w:t>在测算工具上，设计院读者可参照概算编制的经典三法：概算定额法、概算指标法、类似工程预算法（P5002）。其中概算指标法的修正思路为J修正=J+Q1P1−Q2P2（对拟建项目与类似项目的数量、单价差异作增减修正），类似工程预算法按D=A×K（以类似工程单价乘调整系数）估算（P5002）。[建议]一级限额测算时至少用两种方法交叉验证，偏差超出门槛即回到指标口径找原因。验证条件：两种方法结果应能互相解释差异来源；若无法解释，说明基础数据不足，应暂缓锁定天花板。</w:t>
      </w:r>
    </w:p>
    <w:p>
      <w:pPr>
        <w:pStyle w:val="Heading3"/>
      </w:pPr>
      <w:r>
        <w:t>5.3.3 第二阶段：二级限额，把指标压进专业图纸</w:t>
      </w:r>
    </w:p>
    <w:p>
      <w:r>
        <w:rPr>
          <w:rFonts w:ascii="Calibri" w:hAnsi="Calibri" w:eastAsia="微软雅黑"/>
          <w:b w:val="0"/>
          <w:i w:val="0"/>
          <w:sz w:val="22"/>
        </w:rPr>
        <w:t>二级限额是一级限额向下拆解落地的执行层限额，对应单位工程、分部工程投资限额（P5014）。在一级限额总控框架下，跟随初步设计不断深化，对一级限额指标做优化调整，按建筑、结构、机电、装饰等各个专业分别制定二级控制指标（P5014）。其使命是把宏观总投资转化为各专业可执行的造价边界，直接指导开展各专业设计，实现投资管控下沉到各专业图纸之中，避免局部专业造价失控而造成整体超概（P5014）。</w:t>
      </w:r>
    </w:p>
    <w:p>
      <w:r>
        <w:rPr>
          <w:rFonts w:ascii="Calibri" w:hAnsi="Calibri" w:eastAsia="微软雅黑"/>
          <w:b w:val="0"/>
          <w:i w:val="0"/>
          <w:sz w:val="22"/>
        </w:rPr>
        <w:t>[事实]这一步是限额设计从"总盘子思维"切换到"专业天花板思维"的关键。5.4节将展开的"目标分解要细"（P5015），指的就是这个动作：总投资限额逐层分解——先到各单项工程、单位工程，再到各专业工程系统（结构、建筑、机电等），最终细化到分部、分项工程乃至重要的材料设备选型（P5015）。只有每个设计师都清楚自己的"预算天花板"，限额才能真正落地（P5015）。</w:t>
      </w:r>
    </w:p>
    <w:p>
      <w:r>
        <w:rPr>
          <w:rFonts w:ascii="Calibri" w:hAnsi="Calibri" w:eastAsia="微软雅黑"/>
          <w:b w:val="0"/>
          <w:i w:val="0"/>
          <w:sz w:val="22"/>
        </w:rPr>
        <w:t>二级限额还有一个常被低估的功能：它是专业之间讨价还价的坐标系。建筑专业多花的每一元，都要从结构、机电或装饰的份额里找补；没有二级指标，这种跨专业博弈就没有公共标尺，只能靠资历与嗓门。[事实]从这个意义上说，二级限额表与其说是管控工具，不如说是设计院与联合体内部的"内部市场定价表"——争预算在桌上争，好过日后争变更在工地上争。</w:t>
      </w:r>
    </w:p>
    <w:p>
      <w:pPr>
        <w:pStyle w:val="Heading3"/>
      </w:pPr>
      <w:r>
        <w:t>5.3.4 两类指标：金额标尺与技术含量</w:t>
      </w:r>
    </w:p>
    <w:p>
      <w:r>
        <w:rPr>
          <w:rFonts w:ascii="Calibri" w:hAnsi="Calibri" w:eastAsia="微软雅黑"/>
          <w:b w:val="0"/>
          <w:i w:val="0"/>
          <w:sz w:val="22"/>
        </w:rPr>
        <w:t>限额设计指标合理性决定管控成效，指标设置过低造成设计无法落地，设置过松则失去管控意义（P5014）。指标分两类（P5014）：</w:t>
      </w:r>
    </w:p>
    <w:p>
      <w:pPr>
        <w:pStyle w:val="ListBullet"/>
      </w:pPr>
      <w:r>
        <w:rPr>
          <w:rFonts w:ascii="Calibri" w:hAnsi="Calibri" w:eastAsia="微软雅黑"/>
          <w:b/>
          <w:i w:val="0"/>
          <w:sz w:val="22"/>
        </w:rPr>
        <w:t>造价指标</w:t>
      </w:r>
      <w:r>
        <w:rPr>
          <w:rFonts w:ascii="Calibri" w:hAnsi="Calibri" w:eastAsia="微软雅黑"/>
          <w:b w:val="0"/>
          <w:i w:val="0"/>
          <w:sz w:val="22"/>
        </w:rPr>
        <w:t>：满足投资管控要求的经济限值，属金额维度的管控标尺，常见如建筑单方造价、各专业平米造价、分部分项造价上限。它直接约束各部分工程花钱的上限，是概算、预算对比校核的直接依据；在EPC项目概算双控管理中，用于校验初步设计概算、施工图预算是否在合同约定的合理区间内，一旦突破则需要重新优化设计。</w:t>
      </w:r>
    </w:p>
    <w:p>
      <w:pPr>
        <w:pStyle w:val="ListBullet"/>
      </w:pPr>
      <w:r>
        <w:rPr>
          <w:rFonts w:ascii="Calibri" w:hAnsi="Calibri" w:eastAsia="微软雅黑"/>
          <w:b/>
          <w:i w:val="0"/>
          <w:sz w:val="22"/>
        </w:rPr>
        <w:t>经济性技术指标</w:t>
      </w:r>
      <w:r>
        <w:rPr>
          <w:rFonts w:ascii="Calibri" w:hAnsi="Calibri" w:eastAsia="微软雅黑"/>
          <w:b w:val="0"/>
          <w:i w:val="0"/>
          <w:sz w:val="22"/>
        </w:rPr>
        <w:t>：从技术层面对设计设置的刚性约束，不以金额直接体现，典型如单位建筑面积钢筋含量、混凝土含量、墙体材料指标。通过限定材料用量、技术参数，从源头管控工程量，防止因设计保守、过度设计带来工程量虚高，实现"技术控造价"，弥补单纯造价指标管控的不足。</w:t>
      </w:r>
    </w:p>
    <w:p>
      <w:r>
        <w:rPr>
          <w:rFonts w:ascii="Calibri" w:hAnsi="Calibri" w:eastAsia="微软雅黑"/>
          <w:b w:val="0"/>
          <w:i w:val="0"/>
          <w:sz w:val="22"/>
        </w:rPr>
        <w:t>两类指标的分工可以用一句话概括：造价指标管"花了多少钱"，经济性技术指标管"为什么花这么多"。前者以金额出现，直接对应概算双控管理中的校验动作——初步设计概算与施工图预算双双落入合同约定的合理区间，一旦突破则需要重新优化设计（P5014）；后者以含量出现，把"设计保守""过度设计"这些难以用金额指认的行为，转化为可测量的工程量口径——单位建筑面积钢筋含量偏高，无需等到概算超限，图纸评审时就能拦下（P5014）。[事实]指标两难（过低无法落地、过松失去意义，P5014）的解法不在"定得更准"，而在"闭环更快"：让每一次突破都触发一轮重新优化（P5014），指标就从静态红线变成动态调节器。</w:t>
      </w:r>
    </w:p>
    <w:p>
      <w:r>
        <w:rPr>
          <w:rFonts w:ascii="Calibri" w:hAnsi="Calibri" w:eastAsia="微软雅黑"/>
          <w:b w:val="0"/>
          <w:i w:val="0"/>
          <w:sz w:val="22"/>
        </w:rPr>
        <w:t>[建议]两套指标必须并行使用：金额指标管总价纪律，含量指标管设计保守度。只用金额指标，设计院可以在总价内堆冗余；只用含量指标，专业间此消彼长无人总控。验证条件：任一新项目初设评审时，应同时出具分专业造价对比表与含量指标对比表；停止条件：当同类项目含量指标已稳定收敛为模板库时，可改为模板校核加例外审批。</w:t>
      </w:r>
    </w:p>
    <w:p>
      <w:pPr>
        <w:pStyle w:val="Heading3"/>
      </w:pPr>
      <w:r>
        <w:t>5.3.5 限额的软肋：基数失真与两难设置</w:t>
      </w:r>
    </w:p>
    <w:p>
      <w:r>
        <w:rPr>
          <w:rFonts w:ascii="Calibri" w:hAnsi="Calibri" w:eastAsia="微软雅黑"/>
          <w:b w:val="0"/>
          <w:i w:val="0"/>
          <w:sz w:val="22"/>
        </w:rPr>
        <w:t>限额设计落地的第一道坎，往往不在执行而在基数。EPC项目的"限额"通常来源于批复的可行性研究报告，而可研报告编制时往往只有项目的功能要求和粗略的建设规模，设计深度远远不够（P5015）。等中标后真正开始深化设计，才发现车位配比不满足规范、外立面方案远超概算指标——这时候限额已经形同虚设（P5015）。更棘手的是，一旦投资超限，想追加额度的审批程序极为复杂，轻则利润被压缩乃至亏损，重则项目停摆甚至烂尾（P5015）。[事实]所以限额设计绝不是"锦上添花"，而是EPC项目的生死线（P5015）。生死的含金量可以用两个方向掂量：向上，追加额度要闯极为复杂的审批程序（P5015）；向下，没有退路——固定总价之下，超支即自亏。把这条生死线前置到投标报价之前去守，是本章所有工具的共同指向。</w:t>
      </w:r>
    </w:p>
    <w:p>
      <w:r>
        <w:rPr>
          <w:rFonts w:ascii="Calibri" w:hAnsi="Calibri" w:eastAsia="微软雅黑"/>
          <w:b w:val="0"/>
          <w:i w:val="0"/>
          <w:sz w:val="22"/>
        </w:rPr>
        <w:t>[假设]若限额锚定在深度不足的可研估算上，二级指标分解得再细，也是在传递一个失真的基数——这可以解释相当一部分"指标写了却落不了地"的项目：不是设计师不执行，而是天花板本身挂错了高度。验证方向：对照贵司项目可研估算与初设概算的差异分布，差异集中且方向一致（系统性偏低）时，问题在基数而非执行。</w:t>
      </w:r>
    </w:p>
    <w:p>
      <w:r>
        <w:rPr>
          <w:rFonts w:ascii="Calibri" w:hAnsi="Calibri" w:eastAsia="微软雅黑"/>
          <w:b w:val="0"/>
          <w:i w:val="0"/>
          <w:sz w:val="22"/>
        </w:rPr>
        <w:t>第二道坎是5.3.4已述的指标两难：过低则设计无法落地，过松则失去管控意义（P5014）。[建议]对策是把指标当作可校准的管理参数而非一次性拍板的数字：每完成一个项目，回填实际含量与单方造价，滚动修订模板库。验证条件：指标修订应有版本记录与偏差归因；停止条件：当连续数个项目实际值与指标值偏差收敛、且无系统性方向时，模板进入稳定期。</w:t>
      </w:r>
    </w:p>
    <w:p>
      <w:pPr>
        <w:pStyle w:val="Heading2"/>
      </w:pPr>
      <w:r>
        <w:t>5.4 从纸面到地面：四步落地与组织保障</w:t>
      </w:r>
    </w:p>
    <w:p>
      <w:r>
        <w:rPr>
          <w:rFonts w:ascii="Calibri" w:hAnsi="Calibri" w:eastAsia="微软雅黑"/>
          <w:b w:val="0"/>
          <w:i w:val="0"/>
          <w:sz w:val="22"/>
        </w:rPr>
        <w:t>行业实践把EPC项目限额设计的落地归纳为四大核心策略（P5015）。本节按"分解—协同—合同—过程"四步展开，并补上组织与工具两翼。</w:t>
      </w:r>
    </w:p>
    <w:p>
      <w:pPr>
        <w:pStyle w:val="Heading3"/>
      </w:pPr>
      <w:r>
        <w:t>5.4.1 第一步：目标分解要"细"，不能只盯总盘子</w:t>
      </w:r>
    </w:p>
    <w:p>
      <w:r>
        <w:rPr>
          <w:rFonts w:ascii="Calibri" w:hAnsi="Calibri" w:eastAsia="微软雅黑"/>
          <w:b w:val="0"/>
          <w:i w:val="0"/>
          <w:sz w:val="22"/>
        </w:rPr>
        <w:t>很多项目的问题出在"只有一个总限额"：设计团队拿到的是一个天文数字，根本不知道自己的专业该控制在多少（P5015）。正确做法是建立"估算控概算、概算控预算"的递进约束机制，将总投资限额逐层分解——先到各单项工程、单位工程，再到各专业工程系统（结构、建筑、机电等），最终细化到分部、分项工程乃至重要的材料设备选型（P5015）。这与5.3节的一级、二级限额框架（P5014）互为表里：P5014给出两级结构，P5015给出递进口径。</w:t>
      </w:r>
    </w:p>
    <w:p>
      <w:r>
        <w:rPr>
          <w:rFonts w:ascii="Calibri" w:hAnsi="Calibri" w:eastAsia="微软雅黑"/>
          <w:b w:val="0"/>
          <w:i w:val="0"/>
          <w:sz w:val="22"/>
        </w:rPr>
        <w:t>[事实]递进约束的精髓在于"上一级约束下一级"：估算不超、概算就稳；概算不超、预算就有空间。任何一级失守，下一级的"精细分解"都只是在错误基数上做精细的错误。</w:t>
      </w:r>
    </w:p>
    <w:p>
      <w:pPr>
        <w:pStyle w:val="Heading3"/>
      </w:pPr>
      <w:r>
        <w:t>5.4.2 第二步：设计与造价要"协同"，不能各干各的</w:t>
      </w:r>
    </w:p>
    <w:p>
      <w:r>
        <w:rPr>
          <w:rFonts w:ascii="Calibri" w:hAnsi="Calibri" w:eastAsia="微软雅黑"/>
          <w:b w:val="0"/>
          <w:i w:val="0"/>
          <w:sz w:val="22"/>
        </w:rPr>
        <w:t>设计师只管画图，造价师只管算账，两者严重脱节——这是限额设计失败的头号原因（P5015）。有效做法包括（P5015）：</w:t>
      </w:r>
    </w:p>
    <w:p>
      <w:pPr>
        <w:pStyle w:val="ListBullet"/>
      </w:pPr>
      <w:r>
        <w:rPr>
          <w:rFonts w:ascii="Calibri" w:hAnsi="Calibri" w:eastAsia="微软雅黑"/>
          <w:b w:val="0"/>
          <w:i w:val="0"/>
          <w:sz w:val="22"/>
        </w:rPr>
        <w:t>让造价人员深度参与设计全过程，与设计团队紧密协作，系统梳理影响造价的关键因素（结构形式、外立面体系、机电系统选型、材料档次等），通过多方案技术经济比选引导设计优化；</w:t>
      </w:r>
    </w:p>
    <w:p>
      <w:pPr>
        <w:pStyle w:val="ListBullet"/>
      </w:pPr>
      <w:r>
        <w:rPr>
          <w:rFonts w:ascii="Calibri" w:hAnsi="Calibri" w:eastAsia="微软雅黑"/>
          <w:b w:val="0"/>
          <w:i w:val="0"/>
          <w:sz w:val="22"/>
        </w:rPr>
        <w:t>施工单位和专业分包在设计阶段早期介入，从施工工艺、工期角度提出优化建议，避免后期因图纸无法施工而出现高价变更。</w:t>
      </w:r>
    </w:p>
    <w:p>
      <w:r>
        <w:rPr>
          <w:rFonts w:ascii="Calibri" w:hAnsi="Calibri" w:eastAsia="微软雅黑"/>
          <w:b w:val="0"/>
          <w:i w:val="0"/>
          <w:sz w:val="22"/>
        </w:rPr>
        <w:t>这一条与5.1.3的传导断点（P5017）形成呼应：协同不是开几次协调会，而是把造价与施工知识前置注入图纸。优化设计与限额设计的协同可通过三条线实现：目标协同、流程协同、信息协同（P5018）——其中信息协同要求构建信息共享平台，实现设计、造价、采购、施工等各参与方之间信息的实时传递和共享：设计人员及时了解市场材料价格、施工工艺等信息，为优化设计和限额设计提供依据；造价人员根据设计进展情况实时进行成本核算和分析，反馈成本控制信息；采购和施工人员将实际操作中的问题和建议及时反馈给设计人员，促进设计方案的优化调整，减少因信息不对称带来的设计变更和成本增加（P5018）。</w:t>
      </w:r>
    </w:p>
    <w:p>
      <w:r>
        <w:rPr>
          <w:rFonts w:ascii="Calibri" w:hAnsi="Calibri" w:eastAsia="微软雅黑"/>
          <w:b w:val="0"/>
          <w:i w:val="0"/>
          <w:sz w:val="22"/>
        </w:rPr>
        <w:t>协同并非没有先例可循。也有研究提出以设计为主导的EPC项目管理模式，主张通过设计中方案的优化以及与施工的紧密结合，发挥从设计角度进行成本控制的优势（P5017）；在施工图阶段，设计院需根据甲方要求从成本控制角度优化，并以成本核算来敲定招标基准（P5017）。[事实]换言之，协同的抓手早就写在实践里：成本核算的输出要成为招采的输入，设计与采购的接口不是会议纪要，而是一份带价格的设计文件。</w:t>
      </w:r>
    </w:p>
    <w:p>
      <w:pPr>
        <w:pStyle w:val="Heading3"/>
      </w:pPr>
      <w:r>
        <w:t>5.4.3 第三步：合同约束要"硬"，不能只有软条款</w:t>
      </w:r>
    </w:p>
    <w:p>
      <w:r>
        <w:rPr>
          <w:rFonts w:ascii="Calibri" w:hAnsi="Calibri" w:eastAsia="微软雅黑"/>
          <w:b w:val="0"/>
          <w:i w:val="0"/>
          <w:sz w:val="22"/>
        </w:rPr>
        <w:t>良好的意愿需要刚性的制度来保障。在委托设计合同或EPC总包合同中，必须以附件形式明确限额设计的目标、各阶段限额指标、质量要求、进度节点、考核方法与奖惩措施（P5015）。更进一步的操作，是将"限额设计+概算刚性约束+设计变更严管+绩效付费挂钩"嵌入合同，形成闭环管控（P5015）。配套两条铁律（P5015）：概算批复后原则上不调整，确需调整需履行严格审批；设计变更要区分重大与一般，严禁擅自变更或支解变更。</w:t>
      </w:r>
    </w:p>
    <w:p>
      <w:r>
        <w:rPr>
          <w:rFonts w:ascii="Calibri" w:hAnsi="Calibri" w:eastAsia="微软雅黑"/>
          <w:b w:val="0"/>
          <w:i w:val="0"/>
          <w:sz w:val="22"/>
        </w:rPr>
        <w:t>[事实]把这一条与前述湖南规则（设计优化不调整合同价款，P5000）放在一起读，就能看出合同条款的分量：计价规则已经把"合规优化"的红利留给承包人，承包人要做的是用合同附件把内部纪律写实，否则红利只会被内部扯皮消耗。</w:t>
      </w:r>
    </w:p>
    <w:p>
      <w:pPr>
        <w:pStyle w:val="Heading3"/>
      </w:pPr>
      <w:r>
        <w:t>5.4.4 第四步：过程管控要"动"，不能一劳永逸</w:t>
      </w:r>
    </w:p>
    <w:p>
      <w:r>
        <w:rPr>
          <w:rFonts w:ascii="Calibri" w:hAnsi="Calibri" w:eastAsia="微软雅黑"/>
          <w:b w:val="0"/>
          <w:i w:val="0"/>
          <w:sz w:val="22"/>
        </w:rPr>
        <w:t>限额设计不是"定完指标就不管了"，它需要经历一个由粗到细、由总体到局部、由粗略估算向精确控制不断深化的动态过程（P5015，源文在"由粗略估"处截断，方向表述完整）。落地动作的联合体操作版见诸一线总结（P5019）：</w:t>
      </w:r>
    </w:p>
    <w:p>
      <w:pPr>
        <w:pStyle w:val="ListBullet"/>
      </w:pPr>
      <w:r>
        <w:rPr>
          <w:rFonts w:ascii="Calibri" w:hAnsi="Calibri" w:eastAsia="微软雅黑"/>
          <w:b w:val="0"/>
          <w:i w:val="0"/>
          <w:sz w:val="22"/>
        </w:rPr>
        <w:t>设计院不能只管画图，得按专业切分投资上限，每周更新概算对比表，谁超标谁就得当场给纠正方案（P5019）；</w:t>
      </w:r>
    </w:p>
    <w:p>
      <w:pPr>
        <w:pStyle w:val="ListBullet"/>
      </w:pPr>
      <w:r>
        <w:rPr>
          <w:rFonts w:ascii="Calibri" w:hAnsi="Calibri" w:eastAsia="微软雅黑"/>
          <w:b w:val="0"/>
          <w:i w:val="0"/>
          <w:sz w:val="22"/>
        </w:rPr>
        <w:t>施工单位也不能只算施工成本，投标前就得拿出"初设优化点清单"，把材料、工法、节点做法挨个过一遍（P5019）；</w:t>
      </w:r>
    </w:p>
    <w:p>
      <w:pPr>
        <w:pStyle w:val="ListBullet"/>
      </w:pPr>
      <w:r>
        <w:rPr>
          <w:rFonts w:ascii="Calibri" w:hAnsi="Calibri" w:eastAsia="微软雅黑"/>
          <w:b w:val="0"/>
          <w:i w:val="0"/>
          <w:sz w:val="22"/>
        </w:rPr>
        <w:t>从方案阶段起，设计师、造价师、施工和采购人员坐在一起联合办公；任何变更都多方一起评审，省下的钱大家分，搞砸了的追责（P5019）；</w:t>
      </w:r>
    </w:p>
    <w:p>
      <w:pPr>
        <w:pStyle w:val="ListBullet"/>
      </w:pPr>
      <w:r>
        <w:rPr>
          <w:rFonts w:ascii="Calibri" w:hAnsi="Calibri" w:eastAsia="微软雅黑"/>
          <w:b w:val="0"/>
          <w:i w:val="0"/>
          <w:sz w:val="22"/>
        </w:rPr>
        <w:t>再拿AI去核对清单，把漏项错项揪出来（P5019）。</w:t>
      </w:r>
    </w:p>
    <w:p>
      <w:r>
        <w:rPr>
          <w:rFonts w:ascii="Calibri" w:hAnsi="Calibri" w:eastAsia="微软雅黑"/>
          <w:b w:val="0"/>
          <w:i w:val="0"/>
          <w:sz w:val="22"/>
        </w:rPr>
        <w:t>四条动作里藏着一条共同逻辑：把"事后算账"改成"事中算账"。每周更新概算对比表（P5019）意味着概算不再是初设阶段的一次性文件，而是随图纸演进的活账本；谁超标谁当场给纠正方案（P5019），则把纠偏周期从结算期压缩到周度。[事实]这与由粗到细、由总体到局部的动态深化过程（P5015）同构——管控频率跟上图纸迭代频率，限额才追得上设计。</w:t>
      </w:r>
    </w:p>
    <w:p>
      <w:r>
        <w:rPr>
          <w:rFonts w:ascii="Calibri" w:hAnsi="Calibri" w:eastAsia="微软雅黑"/>
          <w:b w:val="0"/>
          <w:i w:val="0"/>
          <w:sz w:val="22"/>
        </w:rPr>
        <w:t>这套打法的底注是一句账房格言：前期在协同上花的每一分钱，都是在给后期的审计核减买保险（P5019）。[事实]它把限额设计从技术管理重新定义为风险定价机制（P5019）——协同投入是对冲审计核减的保费。</w:t>
      </w:r>
    </w:p>
    <w:p>
      <w:pPr>
        <w:pStyle w:val="Heading3"/>
      </w:pPr>
      <w:r>
        <w:t>5.4.5 组织保障：专职岗位、企业练兵与工具辅助</w:t>
      </w:r>
    </w:p>
    <w:p>
      <w:r>
        <w:rPr>
          <w:rFonts w:ascii="Calibri" w:hAnsi="Calibri" w:eastAsia="微软雅黑"/>
          <w:b/>
          <w:i w:val="0"/>
          <w:sz w:val="22"/>
        </w:rPr>
        <w:t>岗位侧写。</w:t>
      </w:r>
      <w:r>
        <w:rPr>
          <w:rFonts w:ascii="Calibri" w:hAnsi="Calibri" w:eastAsia="微软雅黑"/>
          <w:b w:val="0"/>
          <w:i w:val="0"/>
          <w:sz w:val="22"/>
        </w:rPr>
        <w:t>中交建筑西南公司曾面向社会公开招聘EPC设计优化管理岗位2人（P5001），岗位职责覆盖：EPC项目招投标文件中设计方案敲定；设计任务书等与设计工作有关的沟通、协调、指导及审定；项目策划中设计策划；对项目经理部设计部门或设计人员负有管理责任；督促检查设计进度计划、设计风险点，识别设计环节中的质量控制、成本控制、设计创效重点，提出各专项设计方案选择建议、设计优化方向及具体优化意见，并与设计单位和业主单位进行设计业务交流和对接（P5001）。任职条件同样有信息量：大学本科及以上第一学历，年龄不超过40周岁，中级及以上专业技术职称，7年以上工作经验，其中至少5年及以上甲级设计院或知名建筑事务所工作经验，且具有1个及以上大型项目完整设计管理经历（P5001）。</w:t>
      </w:r>
    </w:p>
    <w:p>
      <w:r>
        <w:rPr>
          <w:rFonts w:ascii="Calibri" w:hAnsi="Calibri" w:eastAsia="微软雅黑"/>
          <w:b w:val="0"/>
          <w:i w:val="0"/>
          <w:sz w:val="22"/>
        </w:rPr>
        <w:t>[事实]这张招聘启事透露了头部施工企业的组织答案：限额设计与设计优化的执行主体，是一个"设计院出身影+总承包管理视角"的杂交岗位，而不是挂在技术部名下的兼职。对于正在组建EPC能力的设计院与施工单位，这是可直接对标的人才画像。</w:t>
      </w:r>
    </w:p>
    <w:p>
      <w:r>
        <w:rPr>
          <w:rFonts w:ascii="Calibri" w:hAnsi="Calibri" w:eastAsia="微软雅黑"/>
          <w:b/>
          <w:i w:val="0"/>
          <w:sz w:val="22"/>
        </w:rPr>
        <w:t>企业练兵侧写。</w:t>
      </w:r>
      <w:r>
        <w:rPr>
          <w:rFonts w:ascii="Calibri" w:hAnsi="Calibri" w:eastAsia="微软雅黑"/>
          <w:b w:val="0"/>
          <w:i w:val="0"/>
          <w:sz w:val="22"/>
        </w:rPr>
        <w:t>湖南省某机械化施工公司2026年9月16日举办数据治理与设计优化专题培训，各项目经理、项目技术负责人共计20余人现场参会，全体生产技术人员视频参会（P5016）。培训要点与本章主线严丝合缝：在项目策划前端树立限额设计、可施工性深化理念，变"按图施工"为"事前谋划、控本增效"；对照图纸深挖优化空间、对照平台补齐信息漏项（P5016）。主讲人以母公司《设计案例知识库图集》为载体，从EPC设计优化讲到施工总承包设计深化，讲透"优化是省出来的利润、深化是控出来的成本"的底层逻辑，引导项目管理人员跳出"按图施工"的单一视角，把技术创效做在前端（P5016）。</w:t>
      </w:r>
    </w:p>
    <w:p>
      <w:r>
        <w:rPr>
          <w:rFonts w:ascii="Calibri" w:hAnsi="Calibri" w:eastAsia="微软雅黑"/>
          <w:b w:val="0"/>
          <w:i w:val="0"/>
          <w:sz w:val="22"/>
        </w:rPr>
        <w:t>同一场培训还揭示了限额设计的另一块地基：数据。会议要求把平台信息治理作为企业信用积累和市场投标的基础工程，确保应录尽录、应提尽提，并明确了九个重点数据治理项目的治理流程与提级要求（P5016）；培训中围绕"四库一平台"各板块信息的关键核对点、填报方法与节点逐项讲解、现场交底（P5016）。[事实]这与5.3.5的指标校准闭环直接对接——没有历史项目数据的应录尽录，就没有可信的同类项目案例与经济指标（P5014），一级限额的锚定材料就成了无米之炊。设计案例知识库（P5016）与数据平台，是限额指标库的一体两面。</w:t>
      </w:r>
    </w:p>
    <w:p>
      <w:r>
        <w:rPr>
          <w:rFonts w:ascii="Calibri" w:hAnsi="Calibri" w:eastAsia="微软雅黑"/>
          <w:b/>
          <w:i w:val="0"/>
          <w:sz w:val="22"/>
        </w:rPr>
        <w:t>工具动向。</w:t>
      </w:r>
      <w:r>
        <w:rPr>
          <w:rFonts w:ascii="Calibri" w:hAnsi="Calibri" w:eastAsia="微软雅黑"/>
          <w:b w:val="0"/>
          <w:i w:val="0"/>
          <w:sz w:val="22"/>
        </w:rPr>
        <w:t>地方行业协会已开始组织"AI辅助设计方案优化、合规性自动校验"主题的交流活动（P5020），与一线总结中"拿AI核对清单揪漏项错项"（P5019）互为印证。[预测]清单核对、指标比对、强制性条文初筛这类规则明确的环节，将率先被工具接管；但"是否改变发包人要求"这类判断，仍将留在人的手里。</w:t>
      </w:r>
    </w:p>
    <w:p>
      <w:pPr>
        <w:pStyle w:val="Heading3"/>
      </w:pPr>
      <w:r>
        <w:t>5.4.6 方法样本：一个深基坑支护的优化路径</w:t>
      </w:r>
    </w:p>
    <w:p>
      <w:r>
        <w:rPr>
          <w:rFonts w:ascii="Calibri" w:hAnsi="Calibri" w:eastAsia="微软雅黑"/>
          <w:b w:val="0"/>
          <w:i w:val="0"/>
          <w:sz w:val="22"/>
        </w:rPr>
        <w:t>回到5.1.4埋下的深基坑案例，看优化在技术层面怎么做。该项目场地位于城市核心区，南侧为交通繁忙的快速路，东侧邻近某单位的物资库房及停机坪，西侧为建设中的园区办公楼，周边环境复杂（P5009）；地层由素填土、粉砂等强透水层与粉质粘土、泥炭质粘土等弱透水层交替分布，地下水水位在306.85～310.92m（P5009）。项目拟采用多种支护形式，包括排桩结合锚索、排桩结合内支撑、土钉墙支护及喷锚支护（P5009）。</w:t>
      </w:r>
    </w:p>
    <w:p>
      <w:r>
        <w:rPr>
          <w:rFonts w:ascii="Calibri" w:hAnsi="Calibri" w:eastAsia="微软雅黑"/>
          <w:b w:val="0"/>
          <w:i w:val="0"/>
          <w:sz w:val="22"/>
        </w:rPr>
        <w:t>优化路径有三步（P5009）：其一，以施工面积、地质特征以及施工条件等为依据进行整合和计算，对初版支护方案做系统的验证与分析，对不同支护形式的适应性、稳定性、施工难度及经济性进行对比；其二，利用数值模拟及现场试验等方法对支护方案的实际效果进行验证，在施工前预判风险；其三，调整设计参数——根据地质勘察结果和实际施工经验，对支护桩的规格、数量及间距进行合理优化，例如改变桩的直径、长度、数量及设置位置，以降低材料成本及施工难度。另外，在EPC总承包模式下，主体结构设计与基坑支护设计密切相关，这为整体协同优化提供了结构条件（P5009）。</w:t>
      </w:r>
    </w:p>
    <w:p>
      <w:r>
        <w:rPr>
          <w:rFonts w:ascii="Calibri" w:hAnsi="Calibri" w:eastAsia="微软雅黑"/>
          <w:b w:val="0"/>
          <w:i w:val="0"/>
          <w:sz w:val="22"/>
        </w:rPr>
        <w:t>[事实]这个样本的价值在于时序对比：初版方案造价3 280万元、超出建设单位设计概算（P5009）之后，团队才被迫进入优化循环。若限额指标（P5014）先行，3 280万元这个数字本应在方案比选阶段就被拦下，而不是在概算对账时才暴露。</w:t>
      </w:r>
    </w:p>
    <w:p>
      <w:pPr>
        <w:pStyle w:val="Heading2"/>
      </w:pPr>
      <w:r>
        <w:t>5.5 收益归属与变异：优化分红、图纸陷阱与结算核减</w:t>
      </w:r>
    </w:p>
    <w:p>
      <w:pPr>
        <w:pStyle w:val="Heading3"/>
      </w:pPr>
      <w:r>
        <w:t>5.5.1 谁省的归谁：规则矩阵</w:t>
      </w:r>
    </w:p>
    <w:p>
      <w:r>
        <w:rPr>
          <w:rFonts w:ascii="Calibri" w:hAnsi="Calibri" w:eastAsia="微软雅黑"/>
          <w:b w:val="0"/>
          <w:i w:val="0"/>
          <w:sz w:val="22"/>
        </w:rPr>
        <w:t>把5.2的对照表（P5011）与湖南计价规则（P5000）合起来，可以得到一张简明的收益归属矩阵：不改变发包人要求的优化设计、深化设计，收益归承包人（P5011）；满足合同约定及发包人要求的设计优化，不调整合同价款（P5000），即固定总价之下节约额内化给承包人；改变发包人要求的设计优化，须走合理化建议程序，经批准后利益共享（P5011）；设计变更则按原因调整价款（P5011）。</w:t>
      </w:r>
    </w:p>
    <w:p>
      <w:r>
        <w:rPr>
          <w:rFonts w:ascii="Calibri" w:hAnsi="Calibri" w:eastAsia="微软雅黑"/>
          <w:b w:val="0"/>
          <w:i w:val="0"/>
          <w:sz w:val="22"/>
        </w:rPr>
        <w:t>[事实]矩阵背后是EPC固定总价的商业逻辑：发包人以固定价款买下价格风险的转移，承包人以设计自主权赚节约额。问题是，规则清楚不等于执行清楚——接下来三小节展示执行层的各种变形。</w:t>
      </w:r>
    </w:p>
    <w:p>
      <w:pPr>
        <w:pStyle w:val="Heading3"/>
      </w:pPr>
      <w:r>
        <w:t>5.5.2 设计院的商业模式困境：创造了增量价值，收的还是基础服务费</w:t>
      </w:r>
    </w:p>
    <w:p>
      <w:r>
        <w:rPr>
          <w:rFonts w:ascii="Calibri" w:hAnsi="Calibri" w:eastAsia="微软雅黑"/>
          <w:b w:val="0"/>
          <w:i w:val="0"/>
          <w:sz w:val="22"/>
        </w:rPr>
        <w:t>设计优化能创造多大的价值？行业文章给出的量级感是：对几千万、几个亿甚至几十亿的项目来说，可能就是几百万、几千万的成本变化（P5013）。具体形式包括：建筑方案优化（调整平面布局、建筑体型、结构体系，减少建筑面积或降低建造成本）、结构优化（优化结构布置、构件尺寸、材料用量，减少钢筋、混凝土等工程量）、机电优化（管线综合、设备选型、系统方案优化）（P5013）。</w:t>
      </w:r>
    </w:p>
    <w:p>
      <w:r>
        <w:rPr>
          <w:rFonts w:ascii="Calibri" w:hAnsi="Calibri" w:eastAsia="微软雅黑"/>
          <w:b w:val="0"/>
          <w:i w:val="0"/>
          <w:sz w:val="22"/>
        </w:rPr>
        <w:t>设计院侧的行业情绪已经给出了背景音：设计费越来越难收，利润越来越薄；项目越来越难拿，报价越来越低，甲方要求却越来越多——方案要优化，施工图要优化，成本要控制，现场问题要解决，设计变更还得配合；设计院干了越来越多的活，可最后收的还是那点设计费（P5013）。于是设计院老板们开始思考：既然设计优化能给甲方省钱甚至创造收益，设计院能不能从这些收益里分一杯羹（P5013）？文章给出的回答很克制：理论上完全可以谈，现实中却没有想象中那么简单（P5013）——真正的问题不是"能不能分"，而是：你有没有资格分？分多少？按照什么标准分？最后能不能拿到钱（P5013）？[事实]这四连问正是EPC联合体协议必须事先回答的四个空格。</w:t>
      </w:r>
    </w:p>
    <w:p>
      <w:r>
        <w:rPr>
          <w:rFonts w:ascii="Calibri" w:hAnsi="Calibri" w:eastAsia="微软雅黑"/>
          <w:b w:val="0"/>
          <w:i w:val="0"/>
          <w:sz w:val="22"/>
        </w:rPr>
        <w:t>但设计院的传统收费模式是按建筑面积、项目投资额、设计阶段、专业类别计取设计费（P5013）——设计院卖的是一套设计成果，而不是"优化以后帮甲方省了多少钱"（P5013）。于是出现了典型的错配：设计院花了大量时间研究方案，最后帮甲方省了500万，甲方很高兴，但设计院得到的还是原来的设计费（P5013）；设计院创造的是"增量价值"，收费却仍按"基础服务"计算（P5013）。文章举的算例是：一个原本造价1亿元的项目，通过设计优化节省1000万元（P5013）——own_calc：节省率10%（1000万÷1亿）。</w:t>
      </w:r>
    </w:p>
    <w:p>
      <w:r>
        <w:rPr>
          <w:rFonts w:ascii="Calibri" w:hAnsi="Calibri" w:eastAsia="微软雅黑"/>
          <w:b w:val="0"/>
          <w:i w:val="0"/>
          <w:sz w:val="22"/>
        </w:rPr>
        <w:t>[估计]若节约额分成机制缺席，设计院在EPC联合体中的理性选择就是"图纸合格即止"，5.1.3所述"设计院利润已大部分到位，可能不愿承担修改施工图带来的工作量增加"（P5017）正是同一枚硬币的另一面。要设计院把优化当自己的事，就得让优化收益里有一块属于它。</w:t>
      </w:r>
    </w:p>
    <w:p>
      <w:pPr>
        <w:pStyle w:val="Heading3"/>
      </w:pPr>
      <w:r>
        <w:t>5.5.3 联合体分账：把"省下的钱大家分"写进协议</w:t>
      </w:r>
    </w:p>
    <w:p>
      <w:r>
        <w:rPr>
          <w:rFonts w:ascii="Calibri" w:hAnsi="Calibri" w:eastAsia="微软雅黑"/>
          <w:b w:val="0"/>
          <w:i w:val="0"/>
          <w:sz w:val="22"/>
        </w:rPr>
        <w:t>一线总结给出的分配机制相当直白：任何变更都多方一起评审，省下的钱大家分，搞砸了的追责（P5019）。这与团体标准的"改变要求经批准利益共享"（P5011）方向一致，但更进了一步——把共享范围从"改变发包人要求的优化"扩展到联合体内部的激励相容设计，直接回应"多数联合体只是名义上组队、根本不是利益共同体"（P5019）的诊断。</w:t>
      </w:r>
    </w:p>
    <w:p>
      <w:r>
        <w:rPr>
          <w:rFonts w:ascii="Calibri" w:hAnsi="Calibri" w:eastAsia="微软雅黑"/>
          <w:b w:val="0"/>
          <w:i w:val="0"/>
          <w:sz w:val="22"/>
        </w:rPr>
        <w:t>[建议]联合体协议中应写入三要素：优化收益的分配对象（设计、施工、采购各自权重）、分配基线（以经确认的节约额为基数）、追责对称条款（超标纠正责任与分配权挂钩）。验证条件：分配规则须在投标前书面化并随"初设优化点清单"（P5019）一并交底；停止条件：当某轮优化须触碰强制性条文复核或图审重新审查程序（P5010）、其程序成本高过预期收益时，终止该轮优化并留痕。</w:t>
      </w:r>
    </w:p>
    <w:p>
      <w:pPr>
        <w:pStyle w:val="Heading3"/>
      </w:pPr>
      <w:r>
        <w:t>5.5.4 变异一：以"设计优化"名义变更施工图的结算陷阱</w:t>
      </w:r>
    </w:p>
    <w:p>
      <w:r>
        <w:rPr>
          <w:rFonts w:ascii="Calibri" w:hAnsi="Calibri" w:eastAsia="微软雅黑"/>
          <w:b w:val="0"/>
          <w:i w:val="0"/>
          <w:sz w:val="22"/>
        </w:rPr>
        <w:t>这是一个政府投资（财政资金）学校工程的EPC案例（P5012）。发包以概算作为最高投标限价但未公布概算明细，承包人自主报价，报价形式为各业态建筑面积的单方造价（元/㎡）；合同价约定为"暂定价"，明确施工图图审通过后按施工图编预算并报财政评审，若评审价高于合同价则按合同价结算、低于合同价则按评审价结算——即"合同价封顶＋据实单向下调"的孰低机制（P5012）。最终财政评审确认的价格高于合同价，依约结算价落定为合同价（P5012）。</w:t>
      </w:r>
    </w:p>
    <w:p>
      <w:r>
        <w:rPr>
          <w:rFonts w:ascii="Calibri" w:hAnsi="Calibri" w:eastAsia="微软雅黑"/>
          <w:b w:val="0"/>
          <w:i w:val="0"/>
          <w:sz w:val="22"/>
        </w:rPr>
        <w:t>争议出在施工环节：承包人自行调整施工图、更换部分材料与工艺、减少部分项目，且未履行设计变更手续（P5012）。面对核减，承包人抗辩称招标时"发包人要求"表述笼统，上述调整未实质造成发包人要求变更，且属于其设计优化权力（P5012）。</w:t>
      </w:r>
    </w:p>
    <w:p>
      <w:r>
        <w:rPr>
          <w:rFonts w:ascii="Calibri" w:hAnsi="Calibri" w:eastAsia="微软雅黑"/>
          <w:b w:val="0"/>
          <w:i w:val="0"/>
          <w:sz w:val="22"/>
        </w:rPr>
        <w:t>裁判逻辑层层递进（P5012）：其一，2026年6月30日起施行的《最高人民法院关于审理建设工程施工合同纠纷案件适用法律问题的解释（二）》（法释〔2026〕12号）第十一条明确，参照合同关于工程价款的约定包括"金额、计价方式、支付时间、调整方法和结算方法"，孰低条款属当事人对结算方法的意思自治，应予尊重；第十三条第三款反向印证——当事人未约定以财政评审结论作为结算依据的，不能拿评审结论来定工程价款，而在有约定的情形，评审结论也仅在其约定的功能范围内有效。其二，既然财评价高于合同价，结算价依法依约即为合同价，财评价对结算价的"量"不产生约束力，只作后续计量减项时借用的透明价格口径。其三，若先从财评价中减去调整部分，减项后剩余金额往往仍高于合同价，依"孰低"仍按合同价结算，结果是承包人通过减项、降标几乎分文不减，合同约定的"孰低结算"机制被彻底架空，违反《民法典》第五百零九条规定的履行与诚信原则。其四，承包人以低于经图审合格施工图所承诺的标准履行，构成不完全履行，依《民法典》第五百八十二条，发包人可合理选择请求对方承担"减少价款"等违约责任。结论：价差应在合同价基础上核减（P5012）。</w:t>
      </w:r>
    </w:p>
    <w:p>
      <w:r>
        <w:rPr>
          <w:rFonts w:ascii="Calibri" w:hAnsi="Calibri" w:eastAsia="微软雅黑"/>
          <w:b w:val="0"/>
          <w:i w:val="0"/>
          <w:sz w:val="22"/>
        </w:rPr>
        <w:t>[事实]本案开篇的一句话值得装进每个EPC合同管理者的笔记本：承包人设计、并经施工图审查合格的施工图，已经把笼统的发包人要求具体化，且该图正是财评价格的计算基础；承包人一面依据该图主张较高的评审价，一面又不按该图施工，构成自相矛盾，其"仅化未降标"的主张须由具体证据支撑，而非仅凭发包人要求笼统即予免责（P5012）。</w:t>
      </w:r>
    </w:p>
    <w:p>
      <w:r>
        <w:rPr>
          <w:rFonts w:ascii="Calibri" w:hAnsi="Calibri" w:eastAsia="微软雅黑"/>
          <w:b w:val="0"/>
          <w:i w:val="0"/>
          <w:sz w:val="22"/>
        </w:rPr>
        <w:t>这个案例对合同双方都有教训。对承包人：优化动作的时点、程序与留痕决定它的定性——在图审合格的施工图基础上自行调整材料工艺、减少项目且未履行设计变更手续（P5012），无论主观上是否"仅为优化"，客观上都已经站到了自相矛盾的位置上。对发包人：招标时"发包人要求"表述笼统（P5012），给了承包人抗辩空间；而发包人要求本应是"说明发包人对建设项目建造目标的文件，列明目标、范围、功能需求、设计与其他技术标准等"（P5010）——要求写得越笼统，日后的解释之战就越惨烈。</w:t>
      </w:r>
    </w:p>
    <w:p>
      <w:r>
        <w:rPr>
          <w:rFonts w:ascii="Calibri" w:hAnsi="Calibri" w:eastAsia="微软雅黑"/>
          <w:b w:val="0"/>
          <w:i w:val="0"/>
          <w:sz w:val="22"/>
        </w:rPr>
        <w:t>[建议]给"优化"留证据链：每一次图纸调整都同步归档分类（对应5.2.3的词条矩阵）、变更手续与发包人确认函。验证条件：结算时能逐项指出每次调整的词条归属与程序凭证；停止条件：无——证据链是常设机制，不设终止。</w:t>
      </w:r>
    </w:p>
    <w:p>
      <w:pPr>
        <w:pStyle w:val="Heading3"/>
      </w:pPr>
      <w:r>
        <w:t>5.5.5 变异二：投标价与合同价之间的漂移</w:t>
      </w:r>
    </w:p>
    <w:p>
      <w:r>
        <w:rPr>
          <w:rFonts w:ascii="Calibri" w:hAnsi="Calibri" w:eastAsia="微软雅黑"/>
          <w:b w:val="0"/>
          <w:i w:val="0"/>
          <w:sz w:val="22"/>
        </w:rPr>
        <w:t>（2019）最高法民终1356号案中，双方2008年5月29日签订桐梓煤化工一期工程热电及公用工程设计采购施工（EPC）总承包合同（P5004）。承包人主张：其投标总价为521965260元，发包人向其发出了中标通知书，而EPC总承包合同约定的工程价款为460436515元，案涉合同违反招标投标法第四十六条以及《招标投标法实施条例》第五十七条，应属无效（P5004）。own_calc：521965260−460436515=61528745元，约占投标总价的11.8%（61528745÷521965260）。该案上诉请求还包括支付拖欠工程款项131845782元及同期银行贷款利息（P5004）。</w:t>
      </w:r>
    </w:p>
    <w:p>
      <w:r>
        <w:rPr>
          <w:rFonts w:ascii="Calibri" w:hAnsi="Calibri" w:eastAsia="微软雅黑"/>
          <w:b w:val="0"/>
          <w:i w:val="0"/>
          <w:sz w:val="22"/>
        </w:rPr>
        <w:t>[事实]对做限额设计的人来说，这个案子的提醒是：合同价与投标价的口径差本身就是一个"未设防的变更"。11.8%的own_calc量级（据P5004）意味着，还没开工，成本基线已经移动了一成多；后续所有限额指标若仍按投标口径分解，从第一天起就是失真的。</w:t>
      </w:r>
    </w:p>
    <w:p>
      <w:r>
        <w:rPr>
          <w:rFonts w:ascii="Calibri" w:hAnsi="Calibri" w:eastAsia="微软雅黑"/>
          <w:b w:val="0"/>
          <w:i w:val="0"/>
          <w:sz w:val="22"/>
        </w:rPr>
        <w:t>同一案件中，双方的交锋还不止于价款：承包人主张发包人将整体项目拆分立项、违反《企业投资项目核准暂行办法》且项目未经立案审批；发包人则辩称其并非国有企业、项目资金系自筹、案涉工程项目不属于法律、行政法规规定必须招投标的项目，且已经审批立项（P5004）。[事实]程序之争与价款之争互相缠绕，恰恰说明：当设计端的成本基线含糊时，合同的每一个角落都会变成战场。</w:t>
      </w:r>
    </w:p>
    <w:p>
      <w:pPr>
        <w:pStyle w:val="Heading3"/>
      </w:pPr>
      <w:r>
        <w:t>5.5.6 变异三：总价包干遇上"边施工边出图"</w:t>
      </w:r>
    </w:p>
    <w:p>
      <w:r>
        <w:rPr>
          <w:rFonts w:ascii="Calibri" w:hAnsi="Calibri" w:eastAsia="微软雅黑"/>
          <w:b w:val="0"/>
          <w:i w:val="0"/>
          <w:sz w:val="22"/>
        </w:rPr>
        <w:t>（2019）川32民再2号案里，再审申请人（总承包方）主张：双方《施工总承包合同》约定的鉴定范围实属合同内总价包干的工程量，在不属于设计变更的情况下根本无需鉴定，合同总价不应当做任何调整；案涉工程招标时其已提供了基础施工图即路径图（P5023）。而二审法院认定的事实是：招标时并未提供施工图，施工过程中边施工边提供施工详图（P5023）。争议还涉及二次复测费用78066元的支持与否（P5023），以及应否适用最高院司法解释第22条"当事人约定按照固定价结算工程价款，一方当事人请求对建设工程造价进行鉴定的，不予支持"（P5023）。</w:t>
      </w:r>
    </w:p>
    <w:p>
      <w:r>
        <w:rPr>
          <w:rFonts w:ascii="Calibri" w:hAnsi="Calibri" w:eastAsia="微软雅黑"/>
          <w:b w:val="0"/>
          <w:i w:val="0"/>
          <w:sz w:val="22"/>
        </w:rPr>
        <w:t>[事实]图纸供给节奏与总价包干口径不一致时，包干范围之争几乎无法避免。限额设计的指标体系建立在"图纸深度足以支撑计量"的前提上；边出图边施工的项目，连计量基准都在漂移，谈限额等于在流沙上画线。</w:t>
      </w:r>
    </w:p>
    <w:p>
      <w:r>
        <w:rPr>
          <w:rFonts w:ascii="Calibri" w:hAnsi="Calibri" w:eastAsia="微软雅黑"/>
          <w:b w:val="0"/>
          <w:i w:val="0"/>
          <w:sz w:val="22"/>
        </w:rPr>
        <w:t>再审程序还展示了包干争议的技术纵深：总承包方主张，即使要鉴定，也应当依照工程竣工图对全工程造价进行司法鉴定，再比较施工图工程量与竣工图工程量之间是否存在差异，才符合司法鉴定的客观性与公正性；其援引的还有四川省高级人民法院民事审判第一庭相关通知第23条——当事人约定按固定总价结算工程价款，应当严格按照合同约定的工程价款执行，一方当事人请求对工程造价进行鉴定并依据鉴定结论结算的，不予支持（P5023）。[事实]口径之争的背后是图纸供给事实之争：招标时给到什么深度的图，决定了包干边界画在哪里。</w:t>
      </w:r>
    </w:p>
    <w:p>
      <w:pPr>
        <w:pStyle w:val="Heading3"/>
      </w:pPr>
      <w:r>
        <w:t>5.5.7 变异四：设计进度失守的连锁反应</w:t>
      </w:r>
    </w:p>
    <w:p>
      <w:r>
        <w:rPr>
          <w:rFonts w:ascii="Calibri" w:hAnsi="Calibri" w:eastAsia="微软雅黑"/>
          <w:b w:val="0"/>
          <w:i w:val="0"/>
          <w:sz w:val="22"/>
        </w:rPr>
        <w:t>（2018）赣民初2号案展示了设计端失守的极端后果。修水县东津水库至竹坪河水系连通项目采用EPC勘测设计施工总承包，2016年11月15日发出中标通知书，11月18日签订总承包合同及补充协议，约定工期自2016年11月16日至2019年5月15日共30个月，一期计划实施约9500万元（P5032）。发包人的指控是：被告设计进度严重滞后，关键岗位人员一直未能按投标文件承诺到岗到位，重点设备未能如期进场，工程进展缓慢，工期延误严重；经催告未纠正后，发包人于2017年9月26日发出解除施工总承包合同通知（P5032）。随后发包人起诉请求返还工程预付款1400万元、赔偿损失5029.3万元，二项共计6429.3万元，并在1000万元限额内主张第三者责任险保险赔付责任（P5032）。own_calc：索赔合计6429.3万元约相当于一期计划实施额9500万元的67.7%（6429.3÷9500）。</w:t>
      </w:r>
    </w:p>
    <w:p>
      <w:r>
        <w:rPr>
          <w:rFonts w:ascii="Calibri" w:hAnsi="Calibri" w:eastAsia="微软雅黑"/>
          <w:b w:val="0"/>
          <w:i w:val="0"/>
          <w:sz w:val="22"/>
        </w:rPr>
        <w:t>细节还有两处值得注意：合同约定由被告承担施工过程中因其原因造成的各种损失赔偿，并应购买第三者责任险（P5032）；解除之后，发包人于2017年10月20日向监理单位签发工程索赔报告，监理单位于10月21日签收（P5032）。[事实]从解除通知到索赔报告再到监理签收，动作一环扣一环——设计端履约失败的风险处置，在合同条款与流程上都有现成路径，受害方不会等到结算才动手。</w:t>
      </w:r>
    </w:p>
    <w:p>
      <w:r>
        <w:rPr>
          <w:rFonts w:ascii="Calibri" w:hAnsi="Calibri" w:eastAsia="微软雅黑"/>
          <w:b w:val="0"/>
          <w:i w:val="0"/>
          <w:sz w:val="22"/>
        </w:rPr>
        <w:t>[事实]设计进度的失控，代价不止超概，还有合同解除加索赔——本案索赔总额相当于一期计划投资的三分之二（own_calc）。对设计院而言，这是"设计滞后=致命违约"的直接判例样本；对施工联合体成员而言，设计端的履约风险会外溢为整个联合体的连带损失。</w:t>
      </w:r>
    </w:p>
    <w:p>
      <w:pPr>
        <w:pStyle w:val="Heading3"/>
      </w:pPr>
      <w:r>
        <w:t>5.5.8 变异五：总价不动的"结构漂移"</w:t>
      </w:r>
    </w:p>
    <w:p>
      <w:r>
        <w:rPr>
          <w:rFonts w:ascii="Calibri" w:hAnsi="Calibri" w:eastAsia="微软雅黑"/>
          <w:b w:val="0"/>
          <w:i w:val="0"/>
          <w:sz w:val="22"/>
        </w:rPr>
        <w:t>（2015）桂民一初字第4号案（中南电力设计院与广西金桂浆纸业）提供了一个更隐蔽的样本。2006年11月28日签订的《工程总承包采购合同》约定合同总价92000万元，其中设备采购合同价格60500万元、服务合同价格4665万元、土建安装合同价格26835万元（P5025）。履约中通过补充协议及会议纪要对承包范围调整并相应调整价格：服务费用调整为5374.498万元（其中含1号机组延期补偿款709.498万元）、设备采购费用调整为64343万元、土建费用调整为7770.502万元、安装费用调整为13135.4046万元，调整后合同总价90623.4046万元（P5025）。此外因发包人原因的工程范围和内容变更，还应增加工程费用1288.8979万元；合计应付91912.3025万元，已付84233.2264万元，尚欠7679.0761万元（P5025）。另有2号机组停窝工18个月共损失2090.072万元的主张（P5025）。</w:t>
      </w:r>
    </w:p>
    <w:p>
      <w:r>
        <w:rPr>
          <w:rFonts w:ascii="Calibri" w:hAnsi="Calibri" w:eastAsia="微软雅黑"/>
          <w:b w:val="0"/>
          <w:i w:val="0"/>
          <w:sz w:val="22"/>
        </w:rPr>
        <w:t>把调整明细做一次own_calc拆解（基数均取P5025原值）：设备采购增加3843万元（64343−60500），增幅约6.3%（3843÷60500）；服务费用增加709.498万元（5374.498−4665），增幅约15.2%（709.498÷4665）；土建与安装合计减少5929.0934万元（26835−7770.502−13135.4046），降幅约22.1%（5929.0934÷26835）；三项轧差后合同总价较原合同减少1376.5954万元（92000−90623.4046，own_calc），降幅约1.5%（1376.5954÷92000，own_calc）。再把变更增加的1288.8979万元加回，最终应付91912.3025万元与原合同总价92000万元只差87.6975万元（92000−91912.3025，own_calc），差距已不足原合同总价的千分之一（87.6975÷92000，own_calc）。</w:t>
      </w:r>
    </w:p>
    <w:p>
      <w:r>
        <w:rPr>
          <w:rFonts w:ascii="Calibri" w:hAnsi="Calibri" w:eastAsia="微软雅黑"/>
          <w:b w:val="0"/>
          <w:i w:val="0"/>
          <w:sz w:val="22"/>
        </w:rPr>
        <w:t>[估计]这组数字揭示了一种最容易被忽视的失控形态：总价几乎没动，分项却在大幅挪移——设备涨、服务涨、土建安装降。若管理层只盯总价红线，结构漂移会在结算与索赔端爆发：本案欠款7679.0761万元与停窝工损失2090.072万元的主张（P5025），正是在总价大体守住的表象下积累出来的。[建议]限额指标必须分项设置并分项监控（呼应5.3.4的造价指标体系，P5014），总价达标不豁免分项超限的问责。验证条件：每期概算对比表应同时呈现总价偏差与分项偏差；停止条件：无——分项监控为常设机制。</w:t>
      </w:r>
    </w:p>
    <w:p>
      <w:pPr>
        <w:pStyle w:val="Heading3"/>
      </w:pPr>
      <w:r>
        <w:t>5.5.9 审计核减的量级参照</w:t>
      </w:r>
    </w:p>
    <w:p>
      <w:r>
        <w:rPr>
          <w:rFonts w:ascii="Calibri" w:hAnsi="Calibri" w:eastAsia="微软雅黑"/>
          <w:b w:val="0"/>
          <w:i w:val="0"/>
          <w:sz w:val="22"/>
        </w:rPr>
        <w:t>结算端的核减有多痛？一个酒店项目样本：原海兰酒店一、二期土建、安装送审造价共计30636998.18元，审计初审报告核减造价共计3591240.95元（P5008）。own_calc：核减率约11.7%（3591240.95÷30636998.18）。该案中发包方已支付工程款17285000元（P5008），核减与超付叠加，直接演化成分包诉讼。</w:t>
      </w:r>
    </w:p>
    <w:p>
      <w:r>
        <w:rPr>
          <w:rFonts w:ascii="Calibri" w:hAnsi="Calibri" w:eastAsia="微软雅黑"/>
          <w:b w:val="0"/>
          <w:i w:val="0"/>
          <w:sz w:val="22"/>
        </w:rPr>
        <w:t>把核减放回限额语境：核减发生的环节多在结算与审计，但核减的种子多在图纸——工程量虚高、过度设计、材料档次偏高，正是限额指标要拦截的对象（P5014、P5015）。[建议]把审计口径前置到图纸评审：初设评审时即按结算审核的颗粒度核对工程量与含量指标（P5014）。验证条件：评审记录应能对应结算清单科目；停止条件：无——审计口径前置是常设机制。</w:t>
      </w:r>
    </w:p>
    <w:p>
      <w:r>
        <w:rPr>
          <w:rFonts w:ascii="Calibri" w:hAnsi="Calibri" w:eastAsia="微软雅黑"/>
          <w:b w:val="0"/>
          <w:i w:val="0"/>
          <w:sz w:val="22"/>
        </w:rPr>
        <w:t>[事实]把这个量级与P5019的格言并读——"前期在协同上花的每一分钱，都是在给后期的审计核减买保险"（P5019）——限额设计的经济账就完整了：设计端的协同投入，对冲的是结算端约一成量级（own_calc，P5008）的核减风险，以及5.5.7所示高达一期投资约三分之二（own_calc，P5032）的极端索赔风险。</w:t>
      </w:r>
    </w:p>
    <w:p>
      <w:pPr>
        <w:pStyle w:val="Heading3"/>
      </w:pPr>
      <w:r>
        <w:t>5.5.10 把判例变成动作：三类读者的清单</w:t>
      </w:r>
    </w:p>
    <w:p>
      <w:r>
        <w:rPr>
          <w:rFonts w:ascii="Calibri" w:hAnsi="Calibri" w:eastAsia="微软雅黑"/>
          <w:b/>
          <w:i w:val="0"/>
          <w:sz w:val="22"/>
        </w:rPr>
        <w:t>给工程企业管理层。</w:t>
      </w:r>
      <w:r>
        <w:rPr>
          <w:rFonts w:ascii="Calibri" w:hAnsi="Calibri" w:eastAsia="微软雅黑"/>
          <w:b w:val="0"/>
          <w:i w:val="0"/>
          <w:sz w:val="22"/>
        </w:rPr>
        <w:t>第一件事不是买软件，而是补合同附件：以附件形式把限额设计的目标、各阶段限额指标、质量要求、进度节点、考核方法与奖惩措施写实（P5015）；第二件事是把"限额设计+概算刚性约束+设计变更严管+绩效付费挂钩"作为一套组合写进总包合同（P5015）；第三件事是设岗——参照EPC设计优化管理岗位的职责与任职画像（P5001），决定自建还是外聘。验证条件：下一份EPC合同签署前，附件里应能找到分专业限额数值与奖惩条款；停止条件：无，合同基建为常设动作。</w:t>
      </w:r>
    </w:p>
    <w:p>
      <w:r>
        <w:rPr>
          <w:rFonts w:ascii="Calibri" w:hAnsi="Calibri" w:eastAsia="微软雅黑"/>
          <w:b/>
          <w:i w:val="0"/>
          <w:sz w:val="22"/>
        </w:rPr>
        <w:t>给设计院领导者。</w:t>
      </w:r>
      <w:r>
        <w:rPr>
          <w:rFonts w:ascii="Calibri" w:hAnsi="Calibri" w:eastAsia="微软雅黑"/>
          <w:b w:val="0"/>
          <w:i w:val="0"/>
          <w:sz w:val="22"/>
        </w:rPr>
        <w:t>两条路摆在面前：要么继续卖"一套设计成果"（P5013），要么把"节约额"变成可谈判的商品（P5013）。走后一条路的前提是回答四连问（P5013）：资格、比例、标准、回款——缺一项都谈不成。同时守住两条边界：不改变发包人要求、不违反强制性标准的优化才是自主管理权限（P5010）；触碰强制性条文、结构安全、节能等重要技术指标的改动，必须走发包人批准加原图审机构重新审查的程序（P5010）。设计案例知识库（P5016）是本院经验资产化的抓手。</w:t>
      </w:r>
    </w:p>
    <w:p>
      <w:r>
        <w:rPr>
          <w:rFonts w:ascii="Calibri" w:hAnsi="Calibri" w:eastAsia="微软雅黑"/>
          <w:b/>
          <w:i w:val="0"/>
          <w:sz w:val="22"/>
        </w:rPr>
        <w:t>给施工企业牵头的联合体。</w:t>
      </w:r>
      <w:r>
        <w:rPr>
          <w:rFonts w:ascii="Calibri" w:hAnsi="Calibri" w:eastAsia="微软雅黑"/>
          <w:b w:val="0"/>
          <w:i w:val="0"/>
          <w:sz w:val="22"/>
        </w:rPr>
        <w:t>把"省下的钱大家分，搞砸了的追责"（P5019）写进联合体协议；投标前备好"初设优化点清单"（P5019）；中标后按专业切分投资上限、每周更新概算对比表、超标当场给纠正方案（P5019）；从方案阶段起让设计师、造价师、施工和采购人员联合办公（P5019）。别忘了给设计进度上锁——修水案（P5032）示范了设计滞后如何从内部管理问题升级为合同解除与巨额索赔。</w:t>
      </w:r>
    </w:p>
    <w:p>
      <w:r>
        <w:rPr>
          <w:rFonts w:ascii="Calibri" w:hAnsi="Calibri" w:eastAsia="微软雅黑"/>
          <w:b w:val="0"/>
          <w:i w:val="0"/>
          <w:sz w:val="22"/>
        </w:rPr>
        <w:t>[建议]三类读者共用一个验收口径：项目结束时，能否拿出一份带版本记录的限额执行档案——指标下达、概算对比、调整留痕、分类归档（P5015、P5019、P5010）。验证条件：审计或结算争议来临时，这份档案就是"设计落实了投资管控"的证据；停止条件：无。</w:t>
      </w:r>
    </w:p>
    <w:p>
      <w:pPr>
        <w:pStyle w:val="Heading2"/>
      </w:pPr>
      <w:r>
        <w:t>本章小结与盲区</w:t>
      </w:r>
    </w:p>
    <w:p>
      <w:pPr>
        <w:pStyle w:val="Heading3"/>
      </w:pPr>
      <w:r>
        <w:t>小结六问</w:t>
      </w:r>
    </w:p>
    <w:p>
      <w:r>
        <w:rPr>
          <w:rFonts w:ascii="Calibri" w:hAnsi="Calibri" w:eastAsia="微软雅黑"/>
          <w:b/>
          <w:i w:val="0"/>
          <w:sz w:val="22"/>
        </w:rPr>
        <w:t>证明了什么？</w:t>
      </w:r>
      <w:r>
        <w:rPr>
          <w:rFonts w:ascii="Calibri" w:hAnsi="Calibri" w:eastAsia="微软雅黑"/>
          <w:b w:val="0"/>
          <w:i w:val="0"/>
          <w:sz w:val="22"/>
        </w:rPr>
        <w:t>设计阶段锁定七到九成建造成本（P5015、P5019），限额设计是把成本控制前置到图纸的制度化工具；概念边界（设计优化／优化设计／深化设计／设计变更／合理化建议）决定计价后果与收益归属（P5010、P5011、P5000）；落地靠"分解—协同—合同—过程"四步（P5015）加联合体分账与联合办公（P5019）；执行变异的代价从结算核减（P5012、P5008）直到合同解除与巨额索赔（P5032）。更完整的链条是：概念分类（5.2）撑起收益归属（5.5.1），两级限额（5.3）撑起四步落地（5.4），而所有环节的证据留痕共同构成对审计核减与结算争议的防御。</w:t>
      </w:r>
    </w:p>
    <w:p>
      <w:r>
        <w:rPr>
          <w:rFonts w:ascii="Calibri" w:hAnsi="Calibri" w:eastAsia="微软雅黑"/>
          <w:b/>
          <w:i w:val="0"/>
          <w:sz w:val="22"/>
        </w:rPr>
        <w:t>输入在哪里？</w:t>
      </w:r>
      <w:r>
        <w:rPr>
          <w:rFonts w:ascii="Calibri" w:hAnsi="Calibri" w:eastAsia="微软雅黑"/>
          <w:b w:val="0"/>
          <w:i w:val="0"/>
          <w:sz w:val="22"/>
        </w:rPr>
        <w:t>一级限额锚可研批复文件、设计任务书、投资估算、同类项目案例与行业经济指标（P5014），测算可用概算三法（P5002）；二级限额锚各专业造价指标与钢筋、混凝土等含量指标（P5014）。</w:t>
      </w:r>
    </w:p>
    <w:p>
      <w:r>
        <w:rPr>
          <w:rFonts w:ascii="Calibri" w:hAnsi="Calibri" w:eastAsia="微软雅黑"/>
          <w:b/>
          <w:i w:val="0"/>
          <w:sz w:val="22"/>
        </w:rPr>
        <w:t>怎么算的？</w:t>
      </w:r>
      <w:r>
        <w:rPr>
          <w:rFonts w:ascii="Calibri" w:hAnsi="Calibri" w:eastAsia="微软雅黑"/>
          <w:b w:val="0"/>
          <w:i w:val="0"/>
          <w:sz w:val="22"/>
        </w:rPr>
        <w:t>本章所有跨源量级均为own_calc并标注：压价幅度10.3%（P5024）、投标价与合同价差11.8%（P5004）、变更追加占合同价55.7%（P5034）、结构漂移中总价仅差约千分之一而分项最高变动22.1%（P5025）、审计核减率11.7%（P5008）、索赔相当于一期计划投资67.7%（P5032）、设计院算例节省率10%（P5013）。</w:t>
      </w:r>
    </w:p>
    <w:p>
      <w:r>
        <w:rPr>
          <w:rFonts w:ascii="Calibri" w:hAnsi="Calibri" w:eastAsia="微软雅黑"/>
          <w:b/>
          <w:i w:val="0"/>
          <w:sz w:val="22"/>
        </w:rPr>
        <w:t>依赖什么前提？</w:t>
      </w:r>
      <w:r>
        <w:rPr>
          <w:rFonts w:ascii="Calibri" w:hAnsi="Calibri" w:eastAsia="微软雅黑"/>
          <w:b w:val="0"/>
          <w:i w:val="0"/>
          <w:sz w:val="22"/>
        </w:rPr>
        <w:t>发包人要求文件足够清晰（否则5.5.4的抗辩空间就会出现，P5012）；可研与估算基数足够实（否则限额形同虚设，P5015）；联合体真分账而非名义组队（P5019）；图纸供给节奏与包干口径匹配（P5023）。</w:t>
      </w:r>
    </w:p>
    <w:p>
      <w:r>
        <w:rPr>
          <w:rFonts w:ascii="Calibri" w:hAnsi="Calibri" w:eastAsia="微软雅黑"/>
          <w:b/>
          <w:i w:val="0"/>
          <w:sz w:val="22"/>
        </w:rPr>
        <w:t>还有什么别的解释？</w:t>
      </w:r>
      <w:r>
        <w:rPr>
          <w:rFonts w:ascii="Calibri" w:hAnsi="Calibri" w:eastAsia="微软雅黑"/>
          <w:b w:val="0"/>
          <w:i w:val="0"/>
          <w:sz w:val="22"/>
        </w:rPr>
        <w:t>超概与亏损也可能是业主需求反复、宏观价格波动、地缘与政策变化等因素所致，本章判例（P5004、P5024、P5025、P5032）呈现的多为一方诉请与主张，成因往往是复合的；把一切归因于设计端失守，会高估限额设计的作用边界。</w:t>
      </w:r>
    </w:p>
    <w:p>
      <w:r>
        <w:rPr>
          <w:rFonts w:ascii="Calibri" w:hAnsi="Calibri" w:eastAsia="微软雅黑"/>
          <w:b/>
          <w:i w:val="0"/>
          <w:sz w:val="22"/>
        </w:rPr>
        <w:t>什么证据会改变答案？</w:t>
      </w:r>
      <w:r>
        <w:rPr>
          <w:rFonts w:ascii="Calibri" w:hAnsi="Calibri" w:eastAsia="微软雅黑"/>
          <w:b w:val="0"/>
          <w:i w:val="0"/>
          <w:sz w:val="22"/>
        </w:rPr>
        <w:t>若出现大样本统计表明设计阶段成本锁定比例明显低于七成，或限额设计项目与非限额项目的结算偏差分布无差别，或法院普遍否定优化收益共享条款的效力，本章的核心主张即需降格修正。</w:t>
      </w:r>
    </w:p>
    <w:p>
      <w:pPr>
        <w:pStyle w:val="Heading3"/>
      </w:pPr>
      <w:r>
        <w:t>反证三问</w:t>
      </w:r>
    </w:p>
    <w:p>
      <w:r>
        <w:rPr>
          <w:rFonts w:ascii="Calibri" w:hAnsi="Calibri" w:eastAsia="微软雅黑"/>
          <w:b/>
          <w:i w:val="0"/>
          <w:sz w:val="22"/>
        </w:rPr>
        <w:t>什么事实会推翻本章判断？</w:t>
      </w:r>
      <w:r>
        <w:rPr>
          <w:rFonts w:ascii="Calibri" w:hAnsi="Calibri" w:eastAsia="微软雅黑"/>
          <w:b w:val="0"/>
          <w:i w:val="0"/>
          <w:sz w:val="22"/>
        </w:rPr>
        <w:t>其一，出现限额指标压得过紧、压缩必要安全冗余并引发质量事故的实证案例——这将证明"最少投入"（P5014）存在不可逾越的下界；其二，出现裁判普遍认定承包人图审后的自主优化权不受限制的判例群——这将推翻5.2.4的边界论述（P5010）。</w:t>
      </w:r>
    </w:p>
    <w:p>
      <w:r>
        <w:rPr>
          <w:rFonts w:ascii="Calibri" w:hAnsi="Calibri" w:eastAsia="微软雅黑"/>
          <w:b/>
          <w:i w:val="0"/>
          <w:sz w:val="22"/>
        </w:rPr>
        <w:t>现有反证为何不足？</w:t>
      </w:r>
      <w:r>
        <w:rPr>
          <w:rFonts w:ascii="Calibri" w:hAnsi="Calibri" w:eastAsia="微软雅黑"/>
          <w:b w:val="0"/>
          <w:i w:val="0"/>
          <w:sz w:val="22"/>
        </w:rPr>
        <w:t>bank内未见限额设计引发质量缺陷的直接案例；相反，深基坑样本显示优化仍以安全与稳定为前提，采用数值模拟及现场试验验证（P5009），且多份文件反复强调"不降低工程质量和使用功能"（P5000）与"保障安全、功能、品质"（P5014）。图审后优化权受限的论述有强制性前置审查制度支撑（P5010），未见相反规则。</w:t>
      </w:r>
    </w:p>
    <w:p>
      <w:r>
        <w:rPr>
          <w:rFonts w:ascii="Calibri" w:hAnsi="Calibri" w:eastAsia="微软雅黑"/>
          <w:b/>
          <w:i w:val="0"/>
          <w:sz w:val="22"/>
        </w:rPr>
        <w:t>哪个未知可能改变读者选择？</w:t>
      </w:r>
      <w:r>
        <w:rPr>
          <w:rFonts w:ascii="Calibri" w:hAnsi="Calibri" w:eastAsia="微软雅黑"/>
          <w:b w:val="0"/>
          <w:i w:val="0"/>
          <w:sz w:val="22"/>
        </w:rPr>
        <w:t>图审后优化须重新审查的程序（P5010）在不同省份、不同图审机构的执行口径与耗时成本——bank未提供任何分省数据。若该程序成本高到吞噬优化收益，"改图省钱"的策略性价比需要整体重估。</w:t>
      </w:r>
    </w:p>
    <w:p>
      <w:pPr>
        <w:pStyle w:val="Heading3"/>
      </w:pPr>
      <w:r>
        <w:t>证据未覆盖处（盲区声明）</w:t>
      </w:r>
    </w:p>
    <w:p>
      <w:pPr>
        <w:pStyle w:val="ListNumber"/>
      </w:pPr>
      <w:r>
        <w:rPr>
          <w:rFonts w:ascii="Calibri" w:hAnsi="Calibri" w:eastAsia="微软雅黑"/>
          <w:b/>
          <w:i w:val="0"/>
          <w:sz w:val="22"/>
        </w:rPr>
        <w:t>缺少大样本统计</w:t>
      </w:r>
      <w:r>
        <w:rPr>
          <w:rFonts w:ascii="Calibri" w:hAnsi="Calibri" w:eastAsia="微软雅黑"/>
          <w:b w:val="0"/>
          <w:i w:val="0"/>
          <w:sz w:val="22"/>
        </w:rPr>
        <w:t>：bank未提供限额设计成功率或EPC超概频率的分行业统计；"EPC模式80%超概风险"（P5019）为公号标题口径，无样本披露；"70%～85%"（P5015）与"超过60%"（P5017）均转引自研究综述，原始研究不可追溯。</w:t>
      </w:r>
    </w:p>
    <w:p>
      <w:pPr>
        <w:pStyle w:val="ListNumber"/>
      </w:pPr>
      <w:r>
        <w:rPr>
          <w:rFonts w:ascii="Calibri" w:hAnsi="Calibri" w:eastAsia="微软雅黑"/>
          <w:b/>
          <w:i w:val="0"/>
          <w:sz w:val="22"/>
        </w:rPr>
        <w:t>判例数字多为诉请口径</w:t>
      </w:r>
      <w:r>
        <w:rPr>
          <w:rFonts w:ascii="Calibri" w:hAnsi="Calibri" w:eastAsia="微软雅黑"/>
          <w:b w:val="0"/>
          <w:i w:val="0"/>
          <w:sz w:val="22"/>
        </w:rPr>
        <w:t>：本章引用的判决金额（如131845782元，P5004；6429.3万元，P5032；7679.0761万元与2090.072万元，P5025）多为一方诉讼请求或主张金额，非终审生效认定数额，量级参照需保持"主张"属性阅读。</w:t>
      </w:r>
    </w:p>
    <w:p>
      <w:pPr>
        <w:pStyle w:val="ListNumber"/>
      </w:pPr>
      <w:r>
        <w:rPr>
          <w:rFonts w:ascii="Calibri" w:hAnsi="Calibri" w:eastAsia="微软雅黑"/>
          <w:b/>
          <w:i w:val="0"/>
          <w:sz w:val="22"/>
        </w:rPr>
        <w:t>八项要求正文缺失</w:t>
      </w:r>
      <w:r>
        <w:rPr>
          <w:rFonts w:ascii="Calibri" w:hAnsi="Calibri" w:eastAsia="微软雅黑"/>
          <w:b w:val="0"/>
          <w:i w:val="0"/>
          <w:sz w:val="22"/>
        </w:rPr>
        <w:t>：P5014将限额设计归纳为"两个阶段、两个指标、八项要求"，但源文件在第三部分开头截断，八项要求的具体内容本章无法呈现，仅覆盖两大阶段与两个指标。</w:t>
      </w:r>
    </w:p>
    <w:p>
      <w:pPr>
        <w:pStyle w:val="ListNumber"/>
      </w:pPr>
      <w:r>
        <w:rPr>
          <w:rFonts w:ascii="Calibri" w:hAnsi="Calibri" w:eastAsia="微软雅黑"/>
          <w:b/>
          <w:i w:val="0"/>
          <w:sz w:val="22"/>
        </w:rPr>
        <w:t>优化分成无实例数字</w:t>
      </w:r>
      <w:r>
        <w:rPr>
          <w:rFonts w:ascii="Calibri" w:hAnsi="Calibri" w:eastAsia="微软雅黑"/>
          <w:b w:val="0"/>
          <w:i w:val="0"/>
          <w:sz w:val="22"/>
        </w:rPr>
        <w:t>：设计优化收益分成的实操比例（节约额提成百分比）在bank中无任何实例；"省下的钱大家分"（P5019）与"利益共享"（P5011）均停留在原则层，企业照抄无比例可循。</w:t>
      </w:r>
    </w:p>
    <w:p>
      <w:pPr>
        <w:pStyle w:val="ListNumber"/>
      </w:pPr>
      <w:r>
        <w:rPr>
          <w:rFonts w:ascii="Calibri" w:hAnsi="Calibri" w:eastAsia="微软雅黑"/>
          <w:b/>
          <w:i w:val="0"/>
          <w:sz w:val="22"/>
        </w:rPr>
        <w:t>规则张力无司法检验</w:t>
      </w:r>
      <w:r>
        <w:rPr>
          <w:rFonts w:ascii="Calibri" w:hAnsi="Calibri" w:eastAsia="微软雅黑"/>
          <w:b w:val="0"/>
          <w:i w:val="0"/>
          <w:sz w:val="22"/>
        </w:rPr>
        <w:t>：湖南规则"设计优化不调整合同价款"（P5000）与团体标准"改变要求经批准利益共享"（P5011）之间的适用边界，bank未提供司法适用案例；杭州指引第4.8款在源文件处截断（P5000），其后续条文不可考。</w:t>
      </w:r>
    </w:p>
    <w:p>
      <w:pPr>
        <w:pStyle w:val="ListNumber"/>
      </w:pPr>
      <w:r>
        <w:rPr>
          <w:rFonts w:ascii="Calibri" w:hAnsi="Calibri" w:eastAsia="微软雅黑"/>
          <w:b/>
          <w:i w:val="0"/>
          <w:sz w:val="22"/>
        </w:rPr>
        <w:t>部分源未采用</w:t>
      </w:r>
      <w:r>
        <w:rPr>
          <w:rFonts w:ascii="Calibri" w:hAnsi="Calibri" w:eastAsia="微软雅黑"/>
          <w:b w:val="0"/>
          <w:i w:val="0"/>
          <w:sz w:val="22"/>
        </w:rPr>
        <w:t>：P5003号源标题为EPC行业跃迁，正文实为遥感图像融合内容，标题与内容不符，本章未采用；另有若干施工合同纠纷判决（P5005、P5006、P5022、P5026至P5031、P5033）与限额设计主题弱相关，未纳入正文。</w:t>
      </w:r>
    </w:p>
    <w:p>
      <w:r>
        <w:rPr>
          <w:rFonts w:ascii="Calibri" w:hAnsi="Calibri" w:eastAsia="微软雅黑"/>
          <w:b w:val="0"/>
          <w:i w:val="0"/>
          <w:sz w:val="22"/>
        </w:rPr>
        <w:t>---</w:t>
      </w:r>
    </w:p>
    <w:p>
      <w:pPr>
        <w:pStyle w:val="Heading1"/>
      </w:pPr>
      <w:r>
        <w:t>第6章 设计牵头EPC：设计院做总包的优势与陷阱</w:t>
      </w:r>
    </w:p>
    <w:p>
      <w:pPr>
        <w:ind w:left="454"/>
      </w:pPr>
      <w:r>
        <w:rPr>
          <w:rFonts w:ascii="Calibri" w:hAnsi="Calibri" w:eastAsia="微软雅黑"/>
          <w:b w:val="0"/>
          <w:i w:val="0"/>
          <w:color w:val="666666"/>
          <w:sz w:val="22"/>
        </w:rPr>
        <w:t>设计院握着「设计阶段锁定七到九成建造成本」的主导权（P6000），却也在裁判文书库里留下一长串被追偿、被扣减、被鉴定推翻的记录。本章把优势的边界与陷阱的账单同时摊开：优势有多硬，陷阱就有多深。面临设计施工脱节与变更损失的工程企业管理层、正在权衡是否牵头总包的设计院领导者，可以逐条对照自查。</w:t>
      </w:r>
    </w:p>
    <w:p>
      <w:r>
        <w:rPr>
          <w:rFonts w:ascii="Calibri" w:hAnsi="Calibri" w:eastAsia="微软雅黑"/>
          <w:b w:val="0"/>
          <w:i w:val="0"/>
          <w:sz w:val="22"/>
        </w:rPr>
        <w:t>adds: 读者读完本章多知道什么——设计主导权的成本锁定区间（70%—90%，三源交叉，P6000/P6019/P6030）、设计院总包三类典型陷阱在裁判文书中的真实金额与机制、以及签约前与履约中的八个止损检查点。</w:t>
      </w:r>
    </w:p>
    <w:p>
      <w:pPr>
        <w:pStyle w:val="Heading2"/>
      </w:pPr>
      <w:r>
        <w:t>6.1 优势的底座：设计主导权与成本锁定证据链</w:t>
      </w:r>
    </w:p>
    <w:p>
      <w:pPr>
        <w:pStyle w:val="Heading3"/>
      </w:pPr>
      <w:r>
        <w:t>6.1.1 三个独立来源给出的同一个答案</w:t>
      </w:r>
    </w:p>
    <w:p>
      <w:r>
        <w:rPr>
          <w:rFonts w:ascii="Calibri" w:hAnsi="Calibri" w:eastAsia="微软雅黑"/>
          <w:b w:val="0"/>
          <w:i w:val="0"/>
          <w:sz w:val="22"/>
        </w:rPr>
        <w:t>[事实]「设计阶段锁定了七到九成的建造成本」——这是EPC专项整治背景下，行业实务评论对超概根因的判断（P6000）。同一命题在另外两个来源中得到口径接近的回应：设计阶段决定了工程造价的70%以上（P6019）；设计阶段决定约85%的项目全生命周期成本，施工阶段能影响的不到15%（P6030）。</w:t>
      </w:r>
    </w:p>
    <w:p>
      <w:r>
        <w:rPr>
          <w:rFonts w:ascii="Calibri" w:hAnsi="Calibri" w:eastAsia="微软雅黑"/>
          <w:b w:val="0"/>
          <w:i w:val="0"/>
          <w:sz w:val="22"/>
        </w:rPr>
        <w:t>三个来源的统计口径并不相同——P6000说的是「建造成本」，P6019说的是「工程造价」，P6030说的是「全生命周期成本」——但区间重叠于70%—90%。对买方的含义是清晰的：谁能指挥设计，谁就握着项目钱袋子的阀门。设计院做总包的第一项优势不必论证，它写在成本结构里；需要论证的，只是这项优势能否变现。</w:t>
      </w:r>
    </w:p>
    <w:p>
      <w:r>
        <w:rPr>
          <w:rFonts w:ascii="Calibri" w:hAnsi="Calibri" w:eastAsia="微软雅黑"/>
          <w:b w:val="0"/>
          <w:i w:val="0"/>
          <w:sz w:val="22"/>
        </w:rPr>
        <w:t>这里要提前埋一个全书反复出现的判断框架：成本锁定力是「权利」，变现需要「能力」，两者之间隔着组织与合同两道墙。本章6.1讲权利的来源，6.2、6.3、6.4讲能力缺位时权利如何变成负债，6.5给出补墙的动作。带着这个框架读，后面每一个案例都不再是故事，而是某一堵墙上的一块砖。</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来源</w:t>
            </w:r>
          </w:p>
        </w:tc>
        <w:tc>
          <w:tcPr>
            <w:tcW w:type="dxa" w:w="2075"/>
            <w:shd w:fill="1F3A5F"/>
          </w:tcPr>
          <w:p>
            <w:r>
              <w:rPr>
                <w:color w:val="FFFFFF"/>
              </w:rPr>
            </w:r>
            <w:r>
              <w:rPr>
                <w:rFonts w:ascii="Calibri" w:hAnsi="Calibri" w:eastAsia="微软雅黑"/>
                <w:b/>
                <w:i w:val="0"/>
                <w:color w:val="FFFFFF"/>
                <w:sz w:val="18"/>
              </w:rPr>
              <w:t>表述</w:t>
            </w:r>
          </w:p>
        </w:tc>
        <w:tc>
          <w:tcPr>
            <w:tcW w:type="dxa" w:w="2075"/>
            <w:shd w:fill="1F3A5F"/>
          </w:tcPr>
          <w:p>
            <w:r>
              <w:rPr>
                <w:color w:val="FFFFFF"/>
              </w:rPr>
            </w:r>
            <w:r>
              <w:rPr>
                <w:rFonts w:ascii="Calibri" w:hAnsi="Calibri" w:eastAsia="微软雅黑"/>
                <w:b/>
                <w:i w:val="0"/>
                <w:color w:val="FFFFFF"/>
                <w:sz w:val="18"/>
              </w:rPr>
              <w:t>口径</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专项整治实务评论</w:t>
            </w:r>
          </w:p>
        </w:tc>
        <w:tc>
          <w:tcPr>
            <w:tcW w:type="dxa" w:w="2075"/>
          </w:tcPr>
          <w:p>
            <w:r/>
            <w:r>
              <w:rPr>
                <w:rFonts w:ascii="Calibri" w:hAnsi="Calibri" w:eastAsia="微软雅黑"/>
                <w:b w:val="0"/>
                <w:i w:val="0"/>
                <w:sz w:val="18"/>
              </w:rPr>
              <w:t>设计阶段锁定了七到九成的建造成本</w:t>
            </w:r>
          </w:p>
        </w:tc>
        <w:tc>
          <w:tcPr>
            <w:tcW w:type="dxa" w:w="2075"/>
          </w:tcPr>
          <w:p>
            <w:r/>
            <w:r>
              <w:rPr>
                <w:rFonts w:ascii="Calibri" w:hAnsi="Calibri" w:eastAsia="微软雅黑"/>
                <w:b w:val="0"/>
                <w:i w:val="0"/>
                <w:sz w:val="18"/>
              </w:rPr>
              <w:t>建造成本</w:t>
            </w:r>
          </w:p>
        </w:tc>
        <w:tc>
          <w:tcPr>
            <w:tcW w:type="dxa" w:w="2075"/>
          </w:tcPr>
          <w:p>
            <w:r/>
            <w:r>
              <w:rPr>
                <w:rFonts w:ascii="Calibri" w:hAnsi="Calibri" w:eastAsia="微软雅黑"/>
                <w:b w:val="0"/>
                <w:i w:val="0"/>
                <w:sz w:val="18"/>
              </w:rPr>
              <w:t>P6000</w:t>
            </w:r>
          </w:p>
        </w:tc>
      </w:tr>
      <w:tr>
        <w:tc>
          <w:tcPr>
            <w:tcW w:type="dxa" w:w="2075"/>
          </w:tcPr>
          <w:p>
            <w:r/>
            <w:r>
              <w:rPr>
                <w:rFonts w:ascii="Calibri" w:hAnsi="Calibri" w:eastAsia="微软雅黑"/>
                <w:b w:val="0"/>
                <w:i w:val="0"/>
                <w:sz w:val="18"/>
              </w:rPr>
              <w:t>行业检索综述</w:t>
            </w:r>
          </w:p>
        </w:tc>
        <w:tc>
          <w:tcPr>
            <w:tcW w:type="dxa" w:w="2075"/>
          </w:tcPr>
          <w:p>
            <w:r/>
            <w:r>
              <w:rPr>
                <w:rFonts w:ascii="Calibri" w:hAnsi="Calibri" w:eastAsia="微软雅黑"/>
                <w:b w:val="0"/>
                <w:i w:val="0"/>
                <w:sz w:val="18"/>
              </w:rPr>
              <w:t>设计阶段决定了工程造价的70%以上</w:t>
            </w:r>
          </w:p>
        </w:tc>
        <w:tc>
          <w:tcPr>
            <w:tcW w:type="dxa" w:w="2075"/>
          </w:tcPr>
          <w:p>
            <w:r/>
            <w:r>
              <w:rPr>
                <w:rFonts w:ascii="Calibri" w:hAnsi="Calibri" w:eastAsia="微软雅黑"/>
                <w:b w:val="0"/>
                <w:i w:val="0"/>
                <w:sz w:val="18"/>
              </w:rPr>
              <w:t>工程造价</w:t>
            </w:r>
          </w:p>
        </w:tc>
        <w:tc>
          <w:tcPr>
            <w:tcW w:type="dxa" w:w="2075"/>
          </w:tcPr>
          <w:p>
            <w:r/>
            <w:r>
              <w:rPr>
                <w:rFonts w:ascii="Calibri" w:hAnsi="Calibri" w:eastAsia="微软雅黑"/>
                <w:b w:val="0"/>
                <w:i w:val="0"/>
                <w:sz w:val="18"/>
              </w:rPr>
              <w:t>P6019</w:t>
            </w:r>
          </w:p>
        </w:tc>
      </w:tr>
      <w:tr>
        <w:tc>
          <w:tcPr>
            <w:tcW w:type="dxa" w:w="2075"/>
          </w:tcPr>
          <w:p>
            <w:r/>
            <w:r>
              <w:rPr>
                <w:rFonts w:ascii="Calibri" w:hAnsi="Calibri" w:eastAsia="微软雅黑"/>
                <w:b w:val="0"/>
                <w:i w:val="0"/>
                <w:sz w:val="18"/>
              </w:rPr>
              <w:t>项目复盘评论</w:t>
            </w:r>
          </w:p>
        </w:tc>
        <w:tc>
          <w:tcPr>
            <w:tcW w:type="dxa" w:w="2075"/>
          </w:tcPr>
          <w:p>
            <w:r/>
            <w:r>
              <w:rPr>
                <w:rFonts w:ascii="Calibri" w:hAnsi="Calibri" w:eastAsia="微软雅黑"/>
                <w:b w:val="0"/>
                <w:i w:val="0"/>
                <w:sz w:val="18"/>
              </w:rPr>
              <w:t>设计阶段决定约85%的全生命周期成本，施工阶段不到15%</w:t>
            </w:r>
          </w:p>
        </w:tc>
        <w:tc>
          <w:tcPr>
            <w:tcW w:type="dxa" w:w="2075"/>
          </w:tcPr>
          <w:p>
            <w:r/>
            <w:r>
              <w:rPr>
                <w:rFonts w:ascii="Calibri" w:hAnsi="Calibri" w:eastAsia="微软雅黑"/>
                <w:b w:val="0"/>
                <w:i w:val="0"/>
                <w:sz w:val="18"/>
              </w:rPr>
              <w:t>全生命周期成本</w:t>
            </w:r>
          </w:p>
        </w:tc>
        <w:tc>
          <w:tcPr>
            <w:tcW w:type="dxa" w:w="2075"/>
          </w:tcPr>
          <w:p>
            <w:r/>
            <w:r>
              <w:rPr>
                <w:rFonts w:ascii="Calibri" w:hAnsi="Calibri" w:eastAsia="微软雅黑"/>
                <w:b w:val="0"/>
                <w:i w:val="0"/>
                <w:sz w:val="18"/>
              </w:rPr>
              <w:t>P6030</w:t>
            </w:r>
          </w:p>
        </w:tc>
      </w:tr>
    </w:tbl>
    <w:p>
      <w:r>
        <w:rPr>
          <w:rFonts w:ascii="Calibri" w:hAnsi="Calibri" w:eastAsia="微软雅黑"/>
          <w:b w:val="0"/>
          <w:i w:val="0"/>
          <w:sz w:val="22"/>
        </w:rPr>
        <w:t>还要交代这套模式的初衷：1997年FIDIC银皮书引入中国时，设想是让有实力的承包商通过一体化管理创造价值、把风险转移给最有能力承担的一方（P6016）。三十年实践走样了——大量项目招标阶段只有概念设计，功能标准模糊到「按甲方要求完成系统建设」这种话都能写进合同（P6016）。设计院恰是这段历史里最值得解剖的物种：它既是一体化价值的理论最大受益者，也是范围模糊合同的第一批买单人。</w:t>
      </w:r>
    </w:p>
    <w:p>
      <w:pPr>
        <w:pStyle w:val="Heading3"/>
      </w:pPr>
      <w:r>
        <w:t>6.1.2 限额设计：把主导权变成管理工具</w:t>
      </w:r>
    </w:p>
    <w:p>
      <w:r>
        <w:rPr>
          <w:rFonts w:ascii="Calibri" w:hAnsi="Calibri" w:eastAsia="微软雅黑"/>
          <w:b w:val="0"/>
          <w:i w:val="0"/>
          <w:sz w:val="22"/>
        </w:rPr>
        <w:t>[事实]优势不会自动变现。P6000给出一套可落地的机制：把「限额设计」当成风险定价机制——设计院不能只管画图，得按专业切分投资上限，每周更新概算对比表，谁超标谁当场给纠正方案；施工单位不能只算施工成本，投标前就得拿出「初设优化点清单」，把材料、工法、节点做法挨个过一遍；更进一步，从方案阶段起，设计师、造价师、施工和采购人员联合办公，任何变更多方一起评审，省下的钱大家分、搞砸了的追责，最后再拿AI核对清单，把漏项错项揪出来（P6000）。按这套机制做的前期协同投入，被实务评论定性为「给后期的审计核减买保险」（P6000）。</w:t>
      </w:r>
    </w:p>
    <w:p>
      <w:r>
        <w:rPr>
          <w:rFonts w:ascii="Calibri" w:hAnsi="Calibri" w:eastAsia="微软雅黑"/>
          <w:b w:val="0"/>
          <w:i w:val="0"/>
          <w:sz w:val="22"/>
        </w:rPr>
        <w:t>P6019从技术经济角度补足了操作面：聘请技经人员对设计方案做技术经济分析，对土方平衡、建筑结构、工艺、电气等多方案进行对比；通过控制设计标准和工程量落实限额设计，并配合合理的奖罚考核措施保证执行（P6019）。工具箱里还有设计院的传统看家本领——概算编制三法：概算定额法、概算指标法、类似工程预算法（P6020）。施工企业做总包时这套能力往往要外购，设计院是自带进场的。</w:t>
      </w:r>
    </w:p>
    <w:p>
      <w:r>
        <w:rPr>
          <w:rFonts w:ascii="Calibri" w:hAnsi="Calibri" w:eastAsia="微软雅黑"/>
          <w:b w:val="0"/>
          <w:i w:val="0"/>
          <w:sz w:val="22"/>
        </w:rPr>
        <w:t>组织机制上，P6019提到「设总管理职能强化」：赋予设计总工程师更多项目管理权限，弱化原有专业部门管理，强调项目制团队管理，以提高协调效率和质量（P6019）。P6015把这类安排上升为「研发—设计—总包」三位一体赋能机制，底层逻辑是以独门工业技术专利与BIM标准化构件库划定能力圈，把技术研发溢价转化为EPC端到端盈利能力与风险隔离防线（P6015）。</w:t>
      </w:r>
    </w:p>
    <w:p>
      <w:pPr>
        <w:pStyle w:val="Heading3"/>
      </w:pPr>
      <w:r>
        <w:t>6.1.3 资质、专利与订单：优势的实物证据</w:t>
      </w:r>
    </w:p>
    <w:p>
      <w:r>
        <w:rPr>
          <w:rFonts w:ascii="Calibri" w:hAnsi="Calibri" w:eastAsia="微软雅黑"/>
          <w:b w:val="0"/>
          <w:i w:val="0"/>
          <w:sz w:val="22"/>
        </w:rPr>
        <w:t>企业画像层面的证据：上海电力设计院成立于1988年，注册资本47000万人民币、实缴资本47000万人民币，2016年完成战略融资；共对外投资17家企业，参与招投标项目25836次；知识产权方面有商标信息8条、专利信息703条、著作权信息73条，另有行政许可13个（P6018）。其资质序列覆盖电力勘测设计甲级、岩土勘察设计甲级、监理甲级等，业务涵盖电力工程、新能源、综合能源等领域（P6018）。按检索画像的判断，这是一家资金实力雄厚、业务结构多元、以大量知识产权支撑创新能力的大型企业（P6018）——这组特征词几乎就是「设计院做总包的合格供方画像」。</w:t>
      </w:r>
    </w:p>
    <w:p>
      <w:r>
        <w:rPr>
          <w:rFonts w:ascii="Calibri" w:hAnsi="Calibri" w:eastAsia="微软雅黑"/>
          <w:b w:val="0"/>
          <w:i w:val="0"/>
          <w:sz w:val="22"/>
        </w:rPr>
        <w:t>设计院的能力还有一条演进路径可循。中机国际的发展被划分为三个阶段：技术依附期，核心竞争力依赖机械工业部直属设计院的技术积累，业务集中于工业与民用建筑设计，深度嵌入产业链上游的技术标准制定环节，但尚未形成对下游施工环节的实质性控制力；战略扩张期，随工程总承包政策红利释放，构建起涵盖EPC总承包、设计总承包、专业总承包、项目管理、PPP项目代理及全过程咨询的「全过程工程建设服务」体系；全产业链整合期，2024年作为「代建单位」参与湖南省消防救援总队物资储备库建设项目EPC工程总承包（暂估价），并以「EPC+O」（运营维护）模式延伸价值链，实现从「画图纸」到「管项目、运资产」的跨越（P6033）。这条路径对买方的参考价值在于：设计院的总包能力是分层的——画图、管项目、运资产是三级不同的能力，招标文件里写「EPC+O」时，能接第三级的设计院屈指可数。</w:t>
      </w:r>
    </w:p>
    <w:p>
      <w:r>
        <w:rPr>
          <w:rFonts w:ascii="Calibri" w:hAnsi="Calibri" w:eastAsia="微软雅黑"/>
          <w:b w:val="0"/>
          <w:i w:val="0"/>
          <w:sz w:val="22"/>
        </w:rPr>
        <w:t>中机国际参与了《硬金技术规范》（YS/T3056-2026）、《稀土抛光液》（XB/T534-2026）等国家及行业标准的制定（P6033）。这些数字不是荣誉墙，而是总包能力的底座材料：专利与标准话语权支撑方案阶段的报价底气，两万次量级的投标参与沉淀出商务与合规经验。</w:t>
      </w:r>
    </w:p>
    <w:p>
      <w:r>
        <w:rPr>
          <w:rFonts w:ascii="Calibri" w:hAnsi="Calibri" w:eastAsia="微软雅黑"/>
          <w:b w:val="0"/>
          <w:i w:val="0"/>
          <w:sz w:val="22"/>
        </w:rPr>
        <w:t>订单层面的证据更硬。中机国际中标邵阳市新能源产业园配套基础设施建设项目（EPC+O），中标金额4.193706亿元（P6033）。长治供电勘测设计院2011年5月29日收到中标通知书，以RMB12390.38万元中标霍州煤电集团中峪矿井110KV输变电工程设计施工总承包，合同工期总日历天数244天，内容从可研、设计、设备材料采购到土建施工、电器设备安装、调试、竣工验收移交并取得验收投用手续，即「交钥匙工程」（P6014）。中南院2006年11月28日与金桂公司签订《工程总承包采购合同》，以EPC方式承担金桂浆纸业动力电厂1、2号机组建设，合同总价92000万元，其中设备采购合同价格60500万元、服务合同价格4665万元、土建安装合同价格26835万元（P6001）。湖北电勘院2014年5月5日签署生物质颗粒厂工程总承包合同，总价2715万元，工期从合同签订之日365日内，项目2015年5月29日投产运行（P6009）。</w:t>
      </w:r>
    </w:p>
    <w:p>
      <w:r>
        <w:rPr>
          <w:rFonts w:ascii="Calibri" w:hAnsi="Calibri" w:eastAsia="微软雅黑"/>
          <w:b w:val="0"/>
          <w:i w:val="0"/>
          <w:sz w:val="22"/>
        </w:rPr>
        <w:t>[估计]从签约到投产，湖北电勘院该项目实际历时约389天（own_calc：2014年5月5日至2015年5月29日），与365日合同工期的差距在一个月量级——单看这一个样本，设计牵头的交付节奏并不慢。同期项目还完成了对业主人员的操作培训，2015年5月9日至24日期间完成交接培训后随即投产（P6009）。</w:t>
      </w:r>
    </w:p>
    <w:p>
      <w:pPr>
        <w:pStyle w:val="Heading3"/>
      </w:pPr>
      <w:r>
        <w:t>6.1.4 优势的边界声明</w:t>
      </w:r>
    </w:p>
    <w:p>
      <w:r>
        <w:rPr>
          <w:rFonts w:ascii="Calibri" w:hAnsi="Calibri" w:eastAsia="微软雅黑"/>
          <w:b w:val="0"/>
          <w:i w:val="0"/>
          <w:sz w:val="22"/>
        </w:rPr>
        <w:t>P6015给出适用条件：企业必须具备工程设计综合甲级或机械/建筑行业专业甲级资质，同时拥有施工总承包一级及以上资质（P6015）。这等于划了一条硬线：成本锁定优势属于同时跨过设计与施工两道资质门槛的企业，单纯的设计资质并不足以兑现总包优势。买方在选择设计院牵头方时，第一步不是听方案汇报，而是核验这两道门槛的证书原件与承保范围。</w:t>
      </w:r>
    </w:p>
    <w:p>
      <w:r>
        <w:rPr>
          <w:rFonts w:ascii="Calibri" w:hAnsi="Calibri" w:eastAsia="微软雅黑"/>
          <w:b w:val="0"/>
          <w:i w:val="0"/>
          <w:sz w:val="22"/>
        </w:rPr>
        <w:t>优势的兑现路径还取决于组织形态的选择。bank证据里出现过的形态至少有三种：其一是设计院独立总包——中南院以承包商身份独立承接金桂92000万元EPC（P6001），长治设计院独立承接12390.38万元交钥匙工程（P6014）；其二是联合体——甘肃电力设计院与甘肃电院电力设备有限公司联合承接金昌煜华光伏总承包（P6008、P6012），湖北省电力勘测设计院的总包合同中土建单位和建安单位的招标由发包方和承包方共同进行（P6009）；其三是全分包——境外项目中设计院保留设计与统筹、其余环节全部委托分包商与供应商（P6031）。三种形态对应三种风险指纹：独立总包把施工管控短板暴露在自己身上，联合体把内部权责划分的清晰度变成新的风险源，全分包把履约成败押在分包商能力与背靠背条款效力上。选择哪种形态，本质是选择把短板外包还是补课——外包不消除短板，只是把它转移到合同链条的另一端并加价回购。</w:t>
      </w:r>
    </w:p>
    <w:p>
      <w:r>
        <w:rPr>
          <w:rFonts w:ascii="Calibri" w:hAnsi="Calibri" w:eastAsia="微软雅黑"/>
          <w:b w:val="0"/>
          <w:i w:val="0"/>
          <w:sz w:val="22"/>
        </w:rPr>
        <w:t>还有一处常被忽视的合同细节：长治设计院案的合同文件构成清单里，与中标价一致的工程概算书与中标价工程报价单被明列为合同文件的组成部分（P6014）。概算书进入合同文件，意味着设计院的成本测算从内部工具升格为对外承诺——这是设计牵头模式独有的、也是双刃的安排：概算做得准，它是总包定价权的锚；做不准，它是结算时对己不利的书面证据。</w:t>
      </w:r>
    </w:p>
    <w:p>
      <w:pPr>
        <w:pStyle w:val="Heading2"/>
      </w:pPr>
      <w:r>
        <w:t>6.2 陷阱一：现场管理缺位与分包失控的司法账单</w:t>
      </w:r>
    </w:p>
    <w:p>
      <w:pPr>
        <w:pStyle w:val="Heading3"/>
      </w:pPr>
      <w:r>
        <w:t>6.2.1 「设计院不进场」：一个样本的全部要素</w:t>
      </w:r>
    </w:p>
    <w:p>
      <w:r>
        <w:rPr>
          <w:rFonts w:ascii="Calibri" w:hAnsi="Calibri" w:eastAsia="微软雅黑"/>
          <w:b w:val="0"/>
          <w:i w:val="0"/>
          <w:sz w:val="22"/>
        </w:rPr>
        <w:t>[事实]华东设计院2012年8月17日与华川公司签订黔西南州泰安水泥余热电站项目《安装工程施工合同》，合同价款7550000元，承包范围为余热电站项目全厂安装工程（P6005）。合同履行过程中，华东设计院未在施工现场派驻代表及施工现场管理人员，合同约定的各项职责均由上海盛合公司派驻工地的人员代为行使；业主方组织召开的现场会议及形成的会议纪要，以及施工过程中因设计变更、增加工程量发生的联系单，均由盛合公司驻场人员签字（P6005）。纠纷爆发后，华川公司主张拖欠货款4234024元并诉至法院（P6005）。</w:t>
      </w:r>
    </w:p>
    <w:p>
      <w:r>
        <w:rPr>
          <w:rFonts w:ascii="Calibri" w:hAnsi="Calibri" w:eastAsia="微软雅黑"/>
          <w:b w:val="0"/>
          <w:i w:val="0"/>
          <w:sz w:val="22"/>
        </w:rPr>
        <w:t>时间线让这个结构看得更清楚：合同约定开工时间为2012年8月30日，因该项目土建基础推迟及设备提供方迟延提供设备，分包方延期至2013年11月8日才进场施工（P6005）；2013年6月4日，是上海盛合公司签署工程验收报告及工程交接验收证明，明确分包方已完成承包合同规定的全部施工内容（P6005）。换言之，从开工延误、过程管理到竣工验收，代表总包意思表示出现在纸面上的，始终是第三方公司的人。合同还约定了工程结算完成后支付到竣工结算合同价格的95%、剩余5%为质量保证金等完整条款（P6005）——条款完备而主体错位，是这一类纠纷的共同长相。</w:t>
      </w:r>
    </w:p>
    <w:p>
      <w:r>
        <w:rPr>
          <w:rFonts w:ascii="Calibri" w:hAnsi="Calibri" w:eastAsia="微软雅黑"/>
          <w:b w:val="0"/>
          <w:i w:val="0"/>
          <w:sz w:val="22"/>
        </w:rPr>
        <w:t>这个样本的价值在于结构完整：总包（设计院）—分包（安装公司）—实际管理者（第三方盛合）三层结构中，设计院的现场角色被掏空，签单的人不是合同当事人。到了结算与诉讼阶段，每一张联系单的效力都要重新吵一遍——设计变更谁批的、工程量谁认的、会议纪要对谁有约束力，全部悬空。对买方的警示是：设计院名头再响，现场没有自己的人，管理半径就止步于图纸。</w:t>
      </w:r>
    </w:p>
    <w:p>
      <w:pPr>
        <w:pStyle w:val="Heading3"/>
      </w:pPr>
      <w:r>
        <w:t>6.2.2 一家设计院的三张传票：新疆电力设计院系列案</w:t>
      </w:r>
    </w:p>
    <w:p>
      <w:r>
        <w:rPr>
          <w:rFonts w:ascii="Calibri" w:hAnsi="Calibri" w:eastAsia="微软雅黑"/>
          <w:b w:val="0"/>
          <w:i w:val="0"/>
          <w:sz w:val="22"/>
        </w:rPr>
        <w:t>把同一家设计院在弹药库中的三起下游纠纷并排看，比任何抽象风控模型都直观。</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案件</w:t>
            </w:r>
          </w:p>
        </w:tc>
        <w:tc>
          <w:tcPr>
            <w:tcW w:type="dxa" w:w="2075"/>
            <w:shd w:fill="1F3A5F"/>
          </w:tcPr>
          <w:p>
            <w:r>
              <w:rPr>
                <w:color w:val="FFFFFF"/>
              </w:rPr>
            </w:r>
            <w:r>
              <w:rPr>
                <w:rFonts w:ascii="Calibri" w:hAnsi="Calibri" w:eastAsia="微软雅黑"/>
                <w:b/>
                <w:i w:val="0"/>
                <w:color w:val="FFFFFF"/>
                <w:sz w:val="18"/>
              </w:rPr>
              <w:t>下游施工方</w:t>
            </w:r>
          </w:p>
        </w:tc>
        <w:tc>
          <w:tcPr>
            <w:tcW w:type="dxa" w:w="2075"/>
            <w:shd w:fill="1F3A5F"/>
          </w:tcPr>
          <w:p>
            <w:r>
              <w:rPr>
                <w:color w:val="FFFFFF"/>
              </w:rPr>
            </w:r>
            <w:r>
              <w:rPr>
                <w:rFonts w:ascii="Calibri" w:hAnsi="Calibri" w:eastAsia="微软雅黑"/>
                <w:b/>
                <w:i w:val="0"/>
                <w:color w:val="FFFFFF"/>
                <w:sz w:val="18"/>
              </w:rPr>
              <w:t>被主张款项</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（2020）新40民初2号</w:t>
            </w:r>
          </w:p>
        </w:tc>
        <w:tc>
          <w:tcPr>
            <w:tcW w:type="dxa" w:w="2075"/>
          </w:tcPr>
          <w:p>
            <w:r/>
            <w:r>
              <w:rPr>
                <w:rFonts w:ascii="Calibri" w:hAnsi="Calibri" w:eastAsia="微软雅黑"/>
                <w:b w:val="0"/>
                <w:i w:val="0"/>
                <w:sz w:val="18"/>
              </w:rPr>
              <w:t>兵建公司</w:t>
            </w:r>
          </w:p>
        </w:tc>
        <w:tc>
          <w:tcPr>
            <w:tcW w:type="dxa" w:w="2075"/>
          </w:tcPr>
          <w:p>
            <w:r/>
            <w:r>
              <w:rPr>
                <w:rFonts w:ascii="Calibri" w:hAnsi="Calibri" w:eastAsia="微软雅黑"/>
                <w:b w:val="0"/>
                <w:i w:val="0"/>
                <w:sz w:val="18"/>
              </w:rPr>
              <w:t>工程款51,487,623.82元（结算审定价282,962,209元－已付款231,474,585.18元），另主张利息6,569,761.96元</w:t>
            </w:r>
          </w:p>
        </w:tc>
        <w:tc>
          <w:tcPr>
            <w:tcW w:type="dxa" w:w="2075"/>
          </w:tcPr>
          <w:p>
            <w:r/>
            <w:r>
              <w:rPr>
                <w:rFonts w:ascii="Calibri" w:hAnsi="Calibri" w:eastAsia="微软雅黑"/>
                <w:b w:val="0"/>
                <w:i w:val="0"/>
                <w:sz w:val="18"/>
              </w:rPr>
              <w:t>P6002</w:t>
            </w:r>
          </w:p>
        </w:tc>
      </w:tr>
      <w:tr>
        <w:tc>
          <w:tcPr>
            <w:tcW w:type="dxa" w:w="2075"/>
          </w:tcPr>
          <w:p>
            <w:r/>
            <w:r>
              <w:rPr>
                <w:rFonts w:ascii="Calibri" w:hAnsi="Calibri" w:eastAsia="微软雅黑"/>
                <w:b w:val="0"/>
                <w:i w:val="0"/>
                <w:sz w:val="18"/>
              </w:rPr>
              <w:t>（2020）新4202民初170号</w:t>
            </w:r>
          </w:p>
        </w:tc>
        <w:tc>
          <w:tcPr>
            <w:tcW w:type="dxa" w:w="2075"/>
          </w:tcPr>
          <w:p>
            <w:r/>
            <w:r>
              <w:rPr>
                <w:rFonts w:ascii="Calibri" w:hAnsi="Calibri" w:eastAsia="微软雅黑"/>
                <w:b w:val="0"/>
                <w:i w:val="0"/>
                <w:sz w:val="18"/>
              </w:rPr>
              <w:t>西域通电力</w:t>
            </w:r>
          </w:p>
        </w:tc>
        <w:tc>
          <w:tcPr>
            <w:tcW w:type="dxa" w:w="2075"/>
          </w:tcPr>
          <w:p>
            <w:r/>
            <w:r>
              <w:rPr>
                <w:rFonts w:ascii="Calibri" w:hAnsi="Calibri" w:eastAsia="微软雅黑"/>
                <w:b w:val="0"/>
                <w:i w:val="0"/>
                <w:sz w:val="18"/>
              </w:rPr>
              <w:t>设计变更增加工程款8,194,700元＋利息1,556,993元＋税金差额501,203元＋代发工资1,872,834元，合计12,125,730元</w:t>
            </w:r>
          </w:p>
        </w:tc>
        <w:tc>
          <w:tcPr>
            <w:tcW w:type="dxa" w:w="2075"/>
          </w:tcPr>
          <w:p>
            <w:r/>
            <w:r>
              <w:rPr>
                <w:rFonts w:ascii="Calibri" w:hAnsi="Calibri" w:eastAsia="微软雅黑"/>
                <w:b w:val="0"/>
                <w:i w:val="0"/>
                <w:sz w:val="18"/>
              </w:rPr>
              <w:t>P6010</w:t>
            </w:r>
          </w:p>
        </w:tc>
      </w:tr>
      <w:tr>
        <w:tc>
          <w:tcPr>
            <w:tcW w:type="dxa" w:w="2075"/>
          </w:tcPr>
          <w:p>
            <w:r/>
            <w:r>
              <w:rPr>
                <w:rFonts w:ascii="Calibri" w:hAnsi="Calibri" w:eastAsia="微软雅黑"/>
                <w:b w:val="0"/>
                <w:i w:val="0"/>
                <w:sz w:val="18"/>
              </w:rPr>
              <w:t>（2017）新2222民初978号</w:t>
            </w:r>
          </w:p>
        </w:tc>
        <w:tc>
          <w:tcPr>
            <w:tcW w:type="dxa" w:w="2075"/>
          </w:tcPr>
          <w:p>
            <w:r/>
            <w:r>
              <w:rPr>
                <w:rFonts w:ascii="Calibri" w:hAnsi="Calibri" w:eastAsia="微软雅黑"/>
                <w:b w:val="0"/>
                <w:i w:val="0"/>
                <w:sz w:val="18"/>
              </w:rPr>
              <w:t>鲁班公司</w:t>
            </w:r>
          </w:p>
        </w:tc>
        <w:tc>
          <w:tcPr>
            <w:tcW w:type="dxa" w:w="2075"/>
          </w:tcPr>
          <w:p>
            <w:r/>
            <w:r>
              <w:rPr>
                <w:rFonts w:ascii="Calibri" w:hAnsi="Calibri" w:eastAsia="微软雅黑"/>
                <w:b w:val="0"/>
                <w:i w:val="0"/>
                <w:sz w:val="18"/>
              </w:rPr>
              <w:t>剩余工程款2014804.24元＋质保金1093775.66元＋履约保证金及税金2299546.76元</w:t>
            </w:r>
          </w:p>
        </w:tc>
        <w:tc>
          <w:tcPr>
            <w:tcW w:type="dxa" w:w="2075"/>
          </w:tcPr>
          <w:p>
            <w:r/>
            <w:r>
              <w:rPr>
                <w:rFonts w:ascii="Calibri" w:hAnsi="Calibri" w:eastAsia="微软雅黑"/>
                <w:b w:val="0"/>
                <w:i w:val="0"/>
                <w:sz w:val="18"/>
              </w:rPr>
              <w:t>P6003</w:t>
            </w:r>
          </w:p>
        </w:tc>
      </w:tr>
    </w:tbl>
    <w:p>
      <w:r>
        <w:rPr>
          <w:rFonts w:ascii="Calibri" w:hAnsi="Calibri" w:eastAsia="微软雅黑"/>
          <w:b w:val="0"/>
          <w:i w:val="0"/>
          <w:sz w:val="22"/>
        </w:rPr>
        <w:t>[估计]三案中被主张的本金合计约6902万元（总额69021480.48元）（own_calc：51,487,623.82＋12,125,730＋5408126.66＝69021480.48元；其中第三案取工程款、质保金、履约保证金及税金三项本金之和5408126.66元，own_calc：2014804.24＋1093775.66＋2299546.76；源：P6002、P6010、P6003）。</w:t>
      </w:r>
    </w:p>
    <w:p>
      <w:r>
        <w:rPr>
          <w:rFonts w:ascii="Calibri" w:hAnsi="Calibri" w:eastAsia="微软雅黑"/>
          <w:b w:val="0"/>
          <w:i w:val="0"/>
          <w:sz w:val="22"/>
        </w:rPr>
        <w:t>三案并读，管理含义比金额更重要：设计院习惯把分包结算当作财务问题——「钱到了就付」，而这三张传票显示它首先是履约问题——结算依据（咨询公司审定，P6002）、变更确认（三方确认单，P6010）、付款节奏（30%/90%/95%，P6003）样样齐备，欠付照样发生。当一家总包方连自己签过字的三方确认单都要在法庭上重新解释时，说明它的合同管理与资金管理已经脱节：签单的人不管付钱，管钱的人不认签单。买方若发现拟合作设计院存在多起下游欠付诉讼，应当把它理解为流动性信号，而非单纯的商业纠纷记录。</w:t>
      </w:r>
    </w:p>
    <w:p>
      <w:r>
        <w:rPr>
          <w:rFonts w:ascii="Calibri" w:hAnsi="Calibri" w:eastAsia="微软雅黑"/>
          <w:b w:val="0"/>
          <w:i w:val="0"/>
          <w:sz w:val="22"/>
        </w:rPr>
        <w:t>细节里有三个管理信号。其一，兵建案中三方曾共同委托具有甲级资质的造价咨询公司进行工程结算，并约定「咨询公司的最终结算总价一经告知立即生效，任何一方拒绝接受的表示或行为均不影响该结果生效」；2014年1月15日咨询公司先出具结算金额278,204,693元，2017年8月17日再出结算意见，给出审定价282,962,209元（P6002）——即便有这样的强约束结算机制，付款仍然没有跟上，2015年12月1日对账确认累计支付231,474,585.18元后即停滞，施工方按年利率2.75%主张54个月利息（P6002）。把兵建案的时间线拉直了看更清楚：2011年10月双方签订《土建施工合同》，约定合同价款以竣工结算为最终价；2013年11月工程已达到验收条件；三方随后签订《合同补充附件》，共同委托甲级造价咨询公司结算，并一致同意以咨询公司审定结果作为三方核定承包人实际工程量或工程总造价的共同标准；2014年1月15日咨询公司出具《竣工结算书》，在只计入部分设计变更及经济签证的基础上结算金额为278,204,693元，三方均无异议，2014年5月双方据此签订《土建施工合同补充协议》调整暂定价；涉案整体工程于2015年通过竣工验收；2017年8月17日咨询公司再出结算意见，2017年9月26日本案三方及昆仑公司签署《工程联系单》确认282,962,209元（P6002）。从完工到二审对账，六年时间里造价共识有了、支付共识始终没有——结算机制挡得住造价争议，挡不住现金流断档。其二，西域通案中出现总包方要求施工方代发其单位部分员工工资1,872,834元、承诺进入工程总决算了返还但未返还的情节（P6010）——这是资金链紧张的直接信号，买方与分包方都应把它当作预警指标。其三，鲁班案合同条款其实相当完备：签约15日内支付合同总价30%预付款（其中扣除10%为履约保证金）、竣工验收支付至合同总额90%、结算文件审核无误后15日内支付至95%、质保金为合同总额的5%、质保期2年、质保期届满30日内退还（P6003）——付款节奏条款齐全，执行仍然走样，施工方连利息损失都算到了604850.98元（P6003）。</w:t>
      </w:r>
    </w:p>
    <w:p>
      <w:pPr>
        <w:pStyle w:val="Heading3"/>
      </w:pPr>
      <w:r>
        <w:t>6.2.3 设计院也可能是被欠的一方：双向挤压</w:t>
      </w:r>
    </w:p>
    <w:p>
      <w:r>
        <w:rPr>
          <w:rFonts w:ascii="Calibri" w:hAnsi="Calibri" w:eastAsia="微软雅黑"/>
          <w:b w:val="0"/>
          <w:i w:val="0"/>
          <w:sz w:val="22"/>
        </w:rPr>
        <w:t>[事实]安徽电力设计院2017年4月25日签订郑阜铁路110KV及以上线路迁改工程总承包合同，合同价1989.34万元，付款方式为合同签订后支付30%备料款、完成塔架基础施工支付50%、完成组塔挂线支付15%、剩余5%在质保期到期后7个工作日内支付（P6011）。其完成7条线路施工后，发包方2019年1月8日出具《还款计划》：2019年1月20日前支付100万元、6月30日前支付546.34万元、8月31日前支付614.033万元、全部工程完工并提交竣工资料后支付剩余108.967万元，共计1369.34万元，并承诺未按计划付款需承担同期银行贷款利息（P6011）。还款计划出具后仍未兑现，设计院起诉，诉请金额从1064.033万元变更为1163万元（P6011）。</w:t>
      </w:r>
    </w:p>
    <w:p>
      <w:r>
        <w:rPr>
          <w:rFonts w:ascii="Calibri" w:hAnsi="Calibri" w:eastAsia="微软雅黑"/>
          <w:b w:val="0"/>
          <w:i w:val="0"/>
          <w:sz w:val="22"/>
        </w:rPr>
        <w:t>这一面必须如实呈现：设计院做总包，向上游要面对业主拖欠（P6011），向下游要面对分包追索（P6002、P6010、P6003），两端挤压之下，「总包」两个字意味着双向的应收应付压力。买方评估设计院牵头方时，看的不该只是技术标得分，还有它的现金储备与两端的账期谈判能力。</w:t>
      </w:r>
    </w:p>
    <w:p>
      <w:r>
        <w:rPr>
          <w:rFonts w:ascii="Calibri" w:hAnsi="Calibri" w:eastAsia="微软雅黑"/>
          <w:b w:val="0"/>
          <w:i w:val="0"/>
          <w:sz w:val="22"/>
        </w:rPr>
        <w:t>链条传染还有一个镜像样本：设计院不做总包、只做专业分包时，同样会被资质链条拖进连带责任。攀西国际商贸城基础抗浮锚杆工程中，中节能建设工程设计院作为专业分包方与仅有建筑劳务分包资质的长锟劳务公司签订施工合同，一审确认合同无效，并判总承包方中铁二十三局第四公司承担连带给付责任；中铁上诉主张自己已向长锟超额支付、且《劳务合同》与抗浮锚杆合同并非主从关系（P6013）。中节能方的抗辩直指要害：本案工程是专业专项工程，长锟只有建筑劳务分包资质，不具备总承包资质与相应专业分包发包资质（P6013）。该案诉请的工程款为2295178.50元（P6013）。对设计院的启示：无论站在总包位还是分包位，向下发包前必须核验对方资质与工程性质的匹配——资质错配的合同从签订那天起就是无效合同，付款、结算、追责全部要按无效规则的轨道重来一遍。</w:t>
      </w:r>
    </w:p>
    <w:p>
      <w:pPr>
        <w:pStyle w:val="Heading3"/>
      </w:pPr>
      <w:r>
        <w:t>6.2.4 反模式诊断：超能力圈承接的量化代价</w:t>
      </w:r>
    </w:p>
    <w:p>
      <w:r>
        <w:rPr>
          <w:rFonts w:ascii="Calibri" w:hAnsi="Calibri" w:eastAsia="微软雅黑"/>
          <w:b w:val="0"/>
          <w:i w:val="0"/>
          <w:sz w:val="22"/>
        </w:rPr>
        <w:t>P6015的反模式诊断框给出三组量化估计，bank对其标注证据档位为C级/E级估算，读者应按[估计]而非事实对待。盲目承接超能力圈总包——以传统设计思维代替总承包全过程风控，缺乏采购议价能力与施工分包管控体系——项目毛利率骤降12–18个百分点，产生数千万元垫资坏账与履约诉讼；研发与现场脱节，依赖外部分包商施工技术或资质挂靠等「症状解」——核心技术控制力丧失，总包管理费率被压缩至3%以下，沦为低利润施工通道；组织能力树状割裂，设计部门与总包项目部利益对立——工业项目履约延期率超过25%，客户满意度骤降并面临日万分之五的违约金罚款（P6015）。同一来源对传统设计院转型痛点的概括是「重设计技术、轻工程管控，重招投标、轻商务合规」，常伴随10%–15%的毛利率骤降、垫资资金无法按期回收，甚至数千万元级的法律纠纷与履约违约罚款（P6015）。</w:t>
      </w:r>
    </w:p>
    <w:p>
      <w:r>
        <w:rPr>
          <w:rFonts w:ascii="Calibri" w:hAnsi="Calibri" w:eastAsia="微软雅黑"/>
          <w:b w:val="0"/>
          <w:i w:val="0"/>
          <w:sz w:val="22"/>
        </w:rPr>
        <w:t>这组数字与6.1的优势证据并不矛盾，它们说的是同一枚硬币的两面：设计主导权值钱的程度，恰好等于管控体系缺位时的亏损程度。</w:t>
      </w:r>
    </w:p>
    <w:p>
      <w:pPr>
        <w:pStyle w:val="Heading3"/>
      </w:pPr>
      <w:r>
        <w:t>6.2.5 全分包模式的国际版风险</w:t>
      </w:r>
    </w:p>
    <w:p>
      <w:r>
        <w:rPr>
          <w:rFonts w:ascii="Calibri" w:hAnsi="Calibri" w:eastAsia="微软雅黑"/>
          <w:b w:val="0"/>
          <w:i w:val="0"/>
          <w:sz w:val="22"/>
        </w:rPr>
        <w:t>[事实]设计院转型境外总包多选择「全分包」模式：保留核心的设计、方案优化及项目整体统筹职责，将采购、施工、安装、跨境物流等非优势环节全部委托给专业分包商与供应商，通过「背靠背」合同转移风险（P6031）。实践中设计院常陷入「风险转移预期与实际履约结果脱节」的困境：分包商履约能力不足造成工期延误、跨境合规责任传导不彻底造成总包兜底、背靠背条款设计缺陷造成索赔无据，不仅造成项目成本超支、工期延误，还可能影响国际市场声誉（P6031）。分包关系呈多层级特征——设计院（总包）—一级分包商（施工/采购总包）—二级分包商（专业施工队/供应商），层级越多，信息不对称风险越高，风险传导效率越低（P6031）。</w:t>
      </w:r>
    </w:p>
    <w:p>
      <w:r>
        <w:rPr>
          <w:rFonts w:ascii="Calibri" w:hAnsi="Calibri" w:eastAsia="微软雅黑"/>
          <w:b w:val="0"/>
          <w:i w:val="0"/>
          <w:sz w:val="22"/>
        </w:rPr>
        <w:t>境内样本印证了同样的结构：6.2.1的盛合公司代行管理（P6005），本质上就是一层失控的「管理分包」。境内外的差别只在层级深度，不在风险性质。设计院若以全分包切入境外市场，本章6.2的每一类账单都会叠加汇率、合规、跨境执行三个放大器，止损点只应更严，不应更松。</w:t>
      </w:r>
    </w:p>
    <w:p>
      <w:pPr>
        <w:pStyle w:val="Heading3"/>
      </w:pPr>
      <w:r>
        <w:t>6.2.6 人才底盘的隐性成本</w:t>
      </w:r>
    </w:p>
    <w:p>
      <w:r>
        <w:rPr>
          <w:rFonts w:ascii="Calibri" w:hAnsi="Calibri" w:eastAsia="微软雅黑"/>
          <w:b w:val="0"/>
          <w:i w:val="0"/>
          <w:sz w:val="22"/>
        </w:rPr>
        <w:t>设计院总包的管控最终落在人身上。P6034的劳动合同样本显示，一家化工设计院暖通专业负责人的年薪总额从2014年度的叁拾贰万元整调整为2015年度的贰拾捌万元整（两年度《薪酬确认书》原文口径）；该负责人离职后，公司主张竞业限制，仲裁与法院支持其获得2016年7月21日至2017年6月22日竞业限制经济补偿77,617.20元，公司还被判付2014年至2015年工资差额8,556元（P6034）。单一样本不足以推断行业薪酬趋势，但它提示两点：专业负责人是设计院总包能力的人身载体，其稳定性直接影响项目管控连续性；而竞业限制、薪酬考核这类人事合规问题处理不当，会以裁决书的形式消耗管理层的注意力。</w:t>
      </w:r>
    </w:p>
    <w:p>
      <w:pPr>
        <w:pStyle w:val="Heading2"/>
      </w:pPr>
      <w:r>
        <w:t>6.3 陷阱二：设计变更与深化设计的「认真亏损」</w:t>
      </w:r>
    </w:p>
    <w:p>
      <w:pPr>
        <w:pStyle w:val="Heading3"/>
      </w:pPr>
      <w:r>
        <w:t>6.3.1 「两张皮」的审计定性</w:t>
      </w:r>
    </w:p>
    <w:p>
      <w:r>
        <w:rPr>
          <w:rFonts w:ascii="Calibri" w:hAnsi="Calibri" w:eastAsia="微软雅黑"/>
          <w:b w:val="0"/>
          <w:i w:val="0"/>
          <w:sz w:val="22"/>
        </w:rPr>
        <w:t>[事实]一个市政产业园EPC项目，因为设计和施工各干各的，图纸改了一轮又一轮，最后审计认定「设计没落实投资管控」，设计院被扣了钱，施工方回款变慢、利润大缩水（P6000）。EPC专项整治重点查的就是这种「两张皮」；实务评论的判断是：超概的根因从来不在施工现场，全在出图之前；多数联合体只是名义上组队，根本不是利益共同体（P6000）。</w:t>
      </w:r>
    </w:p>
    <w:p>
      <w:r>
        <w:rPr>
          <w:rFonts w:ascii="Calibri" w:hAnsi="Calibri" w:eastAsia="微软雅黑"/>
          <w:b w:val="0"/>
          <w:i w:val="0"/>
          <w:sz w:val="22"/>
        </w:rPr>
        <w:t>这段叙述把责任钉在了设计端。风险量级在同一来源的标题里被概括为「EPC模式80%超概风险」（P6000）。审计口径下的逻辑链是：投资管控的义务人是总包，总包的核心资产是设计，设计端拿不出限额设计与概算对比的留痕，扣款就是可预期的结果。6.1.2的每周概算对比表（P6000），在这里从管理工具变成了抗辩证据——做了没有、留痕没有，决定了被扣的钱能不能争回来。</w:t>
      </w:r>
    </w:p>
    <w:p>
      <w:pPr>
        <w:pStyle w:val="Heading3"/>
      </w:pPr>
      <w:r>
        <w:t>6.3.2 线路路径变更连环案：一张2012年的批复</w:t>
      </w:r>
    </w:p>
    <w:p>
      <w:r>
        <w:rPr>
          <w:rFonts w:ascii="Calibri" w:hAnsi="Calibri" w:eastAsia="微软雅黑"/>
          <w:b w:val="0"/>
          <w:i w:val="0"/>
          <w:sz w:val="22"/>
        </w:rPr>
        <w:t>[事实]西气东输三线西段外部供电工程中，新疆电力设计院依据的国网新疆电力公司电营【2012】102号文件批复，与施工现场实际情况不相符：2016年初园区负责人要求线路变更至五台工业园与兵团边界线并避开矿区走线，施工图阶段线路路径调整（P6004）。由此发生设计变更，线路增加8.124公里、电缆增加300米，施工方西域通的施工内容、工程量、建设场地征用及清理费用随之增加（P6007）。该部分变更增加的费用经建设方中石油西北联合管道有限责任公司、总包方新疆电力设计院、监理方三方于2016年11月共同确认为3673127元（P6007）。</w:t>
      </w:r>
    </w:p>
    <w:p>
      <w:r>
        <w:rPr>
          <w:rFonts w:ascii="Calibri" w:hAnsi="Calibri" w:eastAsia="微软雅黑"/>
          <w:b w:val="0"/>
          <w:i w:val="0"/>
          <w:sz w:val="22"/>
        </w:rPr>
        <w:t>关键情节是总包方事后的立场。诉讼中新疆电力设计院辩称：变更费用系其与建设单位之间发生、与施工方无关；双方签订的合同明确约定征地及场地清理费属于固定包干价不予调整范围；其2016年年初招标时系针对变更后的方案招标，施工方的投标报价及合同价格清单就是变更后的内容（P6007）。也就是说，三方确认单已经签了，总包方在法庭上仍要争「确认单到底确认了谁的义务、固定包干条款与确认单孰优先」。该案一审后进入二审，改判攻防持续到2021年3月（P6004）。</w:t>
      </w:r>
    </w:p>
    <w:p>
      <w:r>
        <w:rPr>
          <w:rFonts w:ascii="Calibri" w:hAnsi="Calibri" w:eastAsia="微软雅黑"/>
          <w:b w:val="0"/>
          <w:i w:val="0"/>
          <w:sz w:val="22"/>
        </w:rPr>
        <w:t>同一工程的乌苏压气站标段另案处理：合同暂定价15,881,695元，因初设征地路径方案与2016年施工现场实际不符，塔基征地费、施工便道及线路放紧线廊道清理费等增加，变更增加的施工费用经建设方、总包方、监理方三方于2016年9月共同确认为8,194,700元（P6010）。施工方另主张其他项目费用税金差额501,203元、代发工资1,872,834元，四项合计12,125,730元（P6010）。利息计算式直接写进诉状：8,194,700元×6%/年×38个月＝1,556,993元，自2016年11月14日计至2020年1月13日（P6010）——38个月的资金占用成本由最没有议价权的一方先行垫付。</w:t>
      </w:r>
    </w:p>
    <w:p>
      <w:r>
        <w:rPr>
          <w:rFonts w:ascii="Calibri" w:hAnsi="Calibri" w:eastAsia="微软雅黑"/>
          <w:b w:val="0"/>
          <w:i w:val="0"/>
          <w:sz w:val="22"/>
        </w:rPr>
        <w:t>把总包方的抗辩归纳一下，一共三张牌：第一张「相对性」——变更费用系其与建设单位之间发生，与施工方无关（P6007）；第二张「包干」——征地及场地清理费属于固定包干价不予调整范围（P6007）；第三张「时序」——2016年年初招标时已按变更后方案招标，施工方报价本就是变更后内容（P6007）。三张牌共同指向一个事实：设计院在签约与履约的每个环节都没有把「设计变更的费用归属」写死，于是每一环都变成了诉讼阶段的辩论素材。买方复盘时应把这三张牌当作反向清单——合同里提前拆掉哪张牌，结算时就少打一场官司。</w:t>
      </w:r>
    </w:p>
    <w:p>
      <w:r>
        <w:rPr>
          <w:rFonts w:ascii="Calibri" w:hAnsi="Calibri" w:eastAsia="微软雅黑"/>
          <w:b w:val="0"/>
          <w:i w:val="0"/>
          <w:sz w:val="22"/>
        </w:rPr>
        <w:t>两个标段、两张三方确认单、两场诉讼，暴露的是同一个缺口：设计院的上游批复失准（2012年批复对2016年现场），损失却先落在下游施工方的垫资里，再以诉讼形式回溯分配（P6004、P6007、P6010）。设计牵头模式下，设计输入的质量风险沿着分包链向下传导，而清偿顺序恰好相反。</w:t>
      </w:r>
    </w:p>
    <w:p>
      <w:pPr>
        <w:pStyle w:val="Heading3"/>
      </w:pPr>
      <w:r>
        <w:t>6.3.3 深化设计的86万：「越认真、越优化、越亏钱」</w:t>
      </w:r>
    </w:p>
    <w:p>
      <w:r>
        <w:rPr>
          <w:rFonts w:ascii="Calibri" w:hAnsi="Calibri" w:eastAsia="微软雅黑"/>
          <w:b w:val="0"/>
          <w:i w:val="0"/>
          <w:sz w:val="22"/>
        </w:rPr>
        <w:t>[事实]广州某EPC园区项目，招标阶段只有初步概算、没有完整施工图、没有详细清单；项目部正常开展深化设计、节点优化、构造加厚、工艺升级，做完之后甲方和审计统一判定「属于总承包应自行考虑的风险」，深化设计多投入的人工、材料、机械总计86万成本全部自行承担（P6016）。实务评论的总结是：在EPC合同下，越认真、越优化、越亏钱（P6016）。「一口价」EPC的四个要素——总价包干＋范围模糊＋风险自担＋变更极难加价——组合起来，就把承包方推向「干了活拿不到钱」的处境（P6016）。</w:t>
      </w:r>
    </w:p>
    <w:p>
      <w:r>
        <w:rPr>
          <w:rFonts w:ascii="Calibri" w:hAnsi="Calibri" w:eastAsia="微软雅黑"/>
          <w:b w:val="0"/>
          <w:i w:val="0"/>
          <w:sz w:val="22"/>
        </w:rPr>
        <w:t>放大的版本是南京某星级酒店装饰EPC项目：合同价8706万元，最终结算审定价11329.21万元，超出2623.21万元，增幅30.13%；核心分歧在合同仅约定「按甲方要求完成装饰系统建设」，未明确具体功能标准、材料规格，施工中出现大量超出初始概念设计的工作内容（P6016）。对承包方的换算很直白：签约时按8706万元配置资源，结算被压回合同口径，30.13%增幅对应的工作量投入将无处回收（P6016）。这一条对设计院总包尤其致命——深化设计正是设计院最擅长、也最愿意投入的环节，而在范围模糊的包干合同里，这份专业认真会被制度性地无偿征用。</w:t>
      </w:r>
    </w:p>
    <w:p>
      <w:r>
        <w:rPr>
          <w:rFonts w:ascii="Calibri" w:hAnsi="Calibri" w:eastAsia="微软雅黑"/>
          <w:b w:val="0"/>
          <w:i w:val="0"/>
          <w:sz w:val="22"/>
        </w:rPr>
        <w:t>要公平地看待甲方：实务评论特别强调，不是说甲方有意行骗，而是制度设计本身把承包方推向「干了活拿不到钱」的绝境；「一口价」EPC不是大包干，是高风险包干（P6016）。深层矛盾在于EPC合同的「一体化责任」与「碎片化管理」「模糊化约定」并存：相较于传统模式下设计归设计、施工归施工的清晰分工，EPC的总包兜底特性要求全链条权责、风险、计价的高度协同，一旦某个环节出现漏洞，便会在结算阶段集中爆发（P6016）。设计院管理层若把这类亏损简单归因于「甲方坏」，会错过真正可修复的漏洞——范围界定与变更程序条款，那是承包方自己可以在签约桌上争取的部分。</w:t>
      </w:r>
    </w:p>
    <w:p>
      <w:pPr>
        <w:pStyle w:val="Heading3"/>
      </w:pPr>
      <w:r>
        <w:t>6.3.4 总价上限的1700万缺口：审计逻辑与计价规范的正面碰撞</w:t>
      </w:r>
    </w:p>
    <w:p>
      <w:r>
        <w:rPr>
          <w:rFonts w:ascii="Calibri" w:hAnsi="Calibri" w:eastAsia="微软雅黑"/>
          <w:b w:val="0"/>
          <w:i w:val="0"/>
          <w:sz w:val="22"/>
        </w:rPr>
        <w:t>[事实]一个EPC项目，合同上限价13,368.66万元，结算时报出17,402.96万元，超出部分被审计以「总价上限」四个字压掉（P6028）。承包人委托鉴定机构重新算——鉴定意见直指招标控制价本身漏了渣土受纳弃置费390万元和基本预备费1,326.02万元，合计1,716.02万元，这些钱从未进入上限价的口径（P6028）。</w:t>
      </w:r>
    </w:p>
    <w:p>
      <w:r>
        <w:rPr>
          <w:rFonts w:ascii="Calibri" w:hAnsi="Calibri" w:eastAsia="微软雅黑"/>
          <w:b w:val="0"/>
          <w:i w:val="0"/>
          <w:sz w:val="22"/>
        </w:rPr>
        <w:t>[估计]结算申报与合同上限之间的名义缺口为4034.30万元（own_calc：17,402.96－13,368.66＝4034.30万元，源：P6028）；其中1,716.02万元（own_calc：390＋1,326.02，源：P6028）是招标控制价编制阶段就漏掉的项，约占名义缺口的42.5%（own_calc：1716.02÷4034.30×100%≈42.5%）——接近一半的「超限」不是施工超量，而是上游算量缺失。</w:t>
      </w:r>
    </w:p>
    <w:p>
      <w:r>
        <w:rPr>
          <w:rFonts w:ascii="Calibri" w:hAnsi="Calibri" w:eastAsia="微软雅黑"/>
          <w:b w:val="0"/>
          <w:i w:val="0"/>
          <w:sz w:val="22"/>
        </w:rPr>
        <w:t>这场碰撞的制度根源值得展开。《建设工程工程量清单计价规范》对单价合同的定义是：发承包双方约定以工程量清单及其综合单价进行合同价款计算、调整和确认的建设工程施工合同，结算时以实际完成的工程量乘以合同约定的综合单价计算工程价款（P6028）。单价合同的核心是单价固定、工程量按实结算；再套一个「总价上限」，就成了「单价合同的核、总价合同的外壳」——借用了单价合同按实结算的逻辑，又套上总价合同的封顶机制（P6028）。审计端的思维惯性则来自另一片土壤：中国工程行业二十年的价格管理从「预算定额」长出来，招标控制价要依据定额编制、标底即使不强制也默认存在，审计人员习惯性地认为「上限＝天花板＝不管什么原因超了都归承包商」——这不是审计的恶意，是整个制度土壤长出来的思维定式（P6028）。</w:t>
      </w:r>
    </w:p>
    <w:p>
      <w:r>
        <w:rPr>
          <w:rFonts w:ascii="Calibri" w:hAnsi="Calibri" w:eastAsia="微软雅黑"/>
          <w:b w:val="0"/>
          <w:i w:val="0"/>
          <w:sz w:val="22"/>
        </w:rPr>
        <w:t>司法口径站在哪一边？(2021)沪02民终11714号认定：签证费用系因非承包人原因新增的合同外施工内容，属招投标及合同签订时无法预料且未曾包含的内容，最高限价应认定为针对合同内工程价款（P6028）。(2019)甘01民初463号在合同明确约定「结算价不允许高于合同总价」的情况下，对因发包人原因的设计变更和工程签证予以支持，认定超出部分可调（P6028）。两案的共同逻辑：上限封的是合同内，封不了非承包人原因的增量（P6028）。规范层面，2024版《建设工程工程量清单计价标准》第6.1.5条规定投标报价低于最高投标限价并符合相关规定的视为有效投标报价；第6.3.6条明确只有投标总价高于最高投标限价总价时投标才应被拒绝，并未规定某个综合单价高于限价相应单价结算时可被强制调整（P6028）。</w:t>
      </w:r>
    </w:p>
    <w:p>
      <w:r>
        <w:rPr>
          <w:rFonts w:ascii="Calibri" w:hAnsi="Calibri" w:eastAsia="微软雅黑"/>
          <w:b w:val="0"/>
          <w:i w:val="0"/>
          <w:sz w:val="22"/>
        </w:rPr>
        <w:t>对设计院总包还有一层特殊含义：方案设计阶段发包的EPC项目，详勘都未完成，投资估算缺乏明细清单，承包商无法得知各专业各工序的具体内容，只能根据类似项目经验报出下浮率；此时一律以「固定价」为由不准鉴定、不认增量，并不合理（P6028）。而敢在方案阶段报价的承包商，恰恰以设计院居多——它看得懂方案，所以接得住方案阶段的标；也正因为接得早，详勘与清单缺失的风险在它手里停留得最久。实务评论还给出了一个时间坐标：真正的分水岭在2025年9月1日（P6028），此后此类争议的裁判走向值得持续跟踪。</w:t>
      </w:r>
    </w:p>
    <w:p>
      <w:pPr>
        <w:pStyle w:val="Heading3"/>
      </w:pPr>
      <w:r>
        <w:t>6.3.5 设备参数与设计进度的锁链：天府样本</w:t>
      </w:r>
    </w:p>
    <w:p>
      <w:r>
        <w:rPr>
          <w:rFonts w:ascii="Calibri" w:hAnsi="Calibri" w:eastAsia="微软雅黑"/>
          <w:b w:val="0"/>
          <w:i w:val="0"/>
          <w:sz w:val="22"/>
        </w:rPr>
        <w:t>[事实]天府永兴实验室园区建设项目，总投资10亿元，若决策失误，可能让项目亏掉2000万（P6030）。这类科技基础设施EPC的特殊性在于：施工难度未必是最大风险，设计施工脱节与供应链断层才是真正烧钱的黑洞（P6030）。具体冲突例如：实验室恒温恒湿系统，设计院画图时只标了「±2℃」，到了采购阶段才发现设备供应商的交货周期是14个月，而总工期只剩下18个月（P6030）。</w:t>
      </w:r>
    </w:p>
    <w:p>
      <w:r>
        <w:rPr>
          <w:rFonts w:ascii="Calibri" w:hAnsi="Calibri" w:eastAsia="微软雅黑"/>
          <w:b w:val="0"/>
          <w:i w:val="0"/>
          <w:sz w:val="22"/>
        </w:rPr>
        <w:t>天府复盘还点破了限额设计的执行时点问题：很多项目把限额设计当成「投资超标之后的补救手段」，实际上它是设计阶段的投资控制的风险定价机制；等图纸出来再核算，这时候改一版图纸的成本比当初多花一周做价值工程分析贵得多（P6030）。这与P6000的机制描述互为印证——限额设计的价值在出图之前，不在超概之后（P6000）；设计院若把它当作事后补救，等于放弃了6.1.1那70%—90%的成本锁定力中最值钱的那一段。</w:t>
      </w:r>
    </w:p>
    <w:p>
      <w:r>
        <w:rPr>
          <w:rFonts w:ascii="Calibri" w:hAnsi="Calibri" w:eastAsia="微软雅黑"/>
          <w:b w:val="0"/>
          <w:i w:val="0"/>
          <w:sz w:val="22"/>
        </w:rPr>
        <w:t>P6030把风险描述成一条锁链：设计院初设深度不够、拿到设备参数的时间滞后——招标时设备技术规格书不完整、投标人钻空子——中标设备与设计参数不匹配、施工图被迫修改——修改施工图挤压采购周期、设备到场跟不上安装节点——赶工埋下质量隐患、实验室验收不过——变更签证资料不全、结算时扯皮（P6030）。链条上每一环断裂的代价都不是图纸钱，而是工期与拆改费；一个签证漏签的代价不是返工，是整笔工程款的可回收性（P6030）。《建设工程项目管理规范》GB/T 50326-2017把设计管理划分为方案设计—初步设计—施工图设计—施工阶段—竣工验收与竣工图—后评价六个阶段，多数总包方的问题出在没把这条链当成闭环系统，而是切成六个互不说话的独立环节（P6030）。此外，初设批复前甲方要办的手续超过20项，每一项都有法定时限（P6030）——报批报建的时间盒同样压在设计与采购的先后顺序上。</w:t>
      </w:r>
    </w:p>
    <w:p>
      <w:pPr>
        <w:pStyle w:val="Heading3"/>
      </w:pPr>
      <w:r>
        <w:t>6.3.6 工期与窝工：中南院的18个月</w:t>
      </w:r>
    </w:p>
    <w:p>
      <w:r>
        <w:rPr>
          <w:rFonts w:ascii="Calibri" w:hAnsi="Calibri" w:eastAsia="微软雅黑"/>
          <w:b w:val="0"/>
          <w:i w:val="0"/>
          <w:sz w:val="22"/>
        </w:rPr>
        <w:t>[事实]中南院在金桂案中主张：因金桂公司资金不足等原因，1、2号机组工期严重延误，2号机组停工窝工18个月共损失2090.072万元，金桂公司拒绝支付；1号机组延期补偿款709.498万元经双方协商计入服务费用调整（服务费用调整为5374.498万元）（P6001）。价格调整的全貌是：设备采购费用调整为64343万元、土建费用调整为7770.502万元、安装费用调整为13135.4046万元，调整后合同总价90623.4046万元；因金桂公司原因的变更另增工程费用1288.8979万元，合计应付91912.3025万元；已付84233.2264万元，剩余7679.0761万元未付，另主张逾期付款利息533.16万元（P6001）。</w:t>
      </w:r>
    </w:p>
    <w:p>
      <w:r>
        <w:rPr>
          <w:rFonts w:ascii="Calibri" w:hAnsi="Calibri" w:eastAsia="微软雅黑"/>
          <w:b w:val="0"/>
          <w:i w:val="0"/>
          <w:sz w:val="22"/>
        </w:rPr>
        <w:t>[估计]未付工程款约占调整后合同总价的8.4%（own_calc：7679.0761÷91912.3025×100%≈8.4%，源：P6001）；把尾款、窝工损失与利息合并，争议总额约10302.3081万元（own_calc：7679.0761＋2090.072＋533.16＝10302.3081万元，源：P6001），约为调整后合同总价的11.2%（own_calc：10302.3081÷91912.3025×100%≈11.2%）。对9亿元量级的电力EPC，业主资金问题一旦出现，设计院总包的垫资与窝工敞口以千万计——这还只是一台机组的18个月。</w:t>
      </w:r>
    </w:p>
    <w:p>
      <w:r>
        <w:rPr>
          <w:rFonts w:ascii="Calibri" w:hAnsi="Calibri" w:eastAsia="微软雅黑"/>
          <w:b w:val="0"/>
          <w:i w:val="0"/>
          <w:sz w:val="22"/>
        </w:rPr>
        <w:t>两台机组的对照更有管理含义：1号机组的延期补偿709.498万元通过双方协商机制进入合同价格调整（P6001），2号机组同样因业主原因停窝工18个月、损失2090.072万元却被拒付、只能诉请（P6001）。同类风险、同类因果，一个走了协商通道、一个走了诉讼通道，结果天差地别——差别不在事实，在于有没有事先约定的补偿机制与留痕。设计院总包的工期风险预案，核心不是预测停多久，而是把「停了怎么算、谁签认、何时付」写进补充协议模板。</w:t>
      </w:r>
    </w:p>
    <w:p>
      <w:pPr>
        <w:pStyle w:val="Heading3"/>
      </w:pPr>
      <w:r>
        <w:t>6.3.7 工程量自然增长：湖北电勘院的21.1%</w:t>
      </w:r>
    </w:p>
    <w:p>
      <w:r>
        <w:rPr>
          <w:rFonts w:ascii="Calibri" w:hAnsi="Calibri" w:eastAsia="微软雅黑"/>
          <w:b w:val="0"/>
          <w:i w:val="0"/>
          <w:sz w:val="22"/>
        </w:rPr>
        <w:t>[事实]湖北电勘院的生物质颗粒厂EPC合同总价2715万元，施工过程工程量增加572.3689万元，工程总结算价3255.9489万元；业主除已支付的283万元预付款外再无支付，欠付2972.9489万元，另主张利息462.1608万元（P6009）。而项目2015年5月29日投产运行、由业主实际占有并使用，2016年6月4日承包方已移交竣工资料（P6009）。</w:t>
      </w:r>
    </w:p>
    <w:p>
      <w:r>
        <w:rPr>
          <w:rFonts w:ascii="Calibri" w:hAnsi="Calibri" w:eastAsia="微软雅黑"/>
          <w:b w:val="0"/>
          <w:i w:val="0"/>
          <w:sz w:val="22"/>
        </w:rPr>
        <w:t>[估计]工程量增幅约21.1%（own_calc：572.3689÷2715×100%≈21.1%，源：P6009）；欠付占总结算价约91.3%（own_calc：2972.9489÷3255.9489×100%≈91.3%，源：P6009）。这个样本的极端之处在于回款几乎完全失效——变更管理与回款管理是两条独立的失败线，可以各自单独塌方。设计院总包的现金流模型里，必须把「业主长期占用资产而拒付尾款」设为压力情景，而不是小概率事件。</w:t>
      </w:r>
    </w:p>
    <w:p>
      <w:pPr>
        <w:pStyle w:val="Heading3"/>
      </w:pPr>
      <w:r>
        <w:t>6.3.8 陷阱二小结：变更敞口的金额速览</w:t>
      </w:r>
    </w:p>
    <w:p>
      <w:r>
        <w:rPr>
          <w:rFonts w:ascii="Calibri" w:hAnsi="Calibri" w:eastAsia="微软雅黑"/>
          <w:b w:val="0"/>
          <w:i w:val="0"/>
          <w:sz w:val="22"/>
        </w:rPr>
        <w:t>把本章陷阱二引用过的金额并排，买方可以直观看到「设计—施工衔接带」上钱是怎么漏的：</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项目</w:t>
            </w:r>
          </w:p>
        </w:tc>
        <w:tc>
          <w:tcPr>
            <w:tcW w:type="dxa" w:w="2075"/>
            <w:shd w:fill="1F3A5F"/>
          </w:tcPr>
          <w:p>
            <w:r>
              <w:rPr>
                <w:color w:val="FFFFFF"/>
              </w:rPr>
            </w:r>
            <w:r>
              <w:rPr>
                <w:rFonts w:ascii="Calibri" w:hAnsi="Calibri" w:eastAsia="微软雅黑"/>
                <w:b/>
                <w:i w:val="0"/>
                <w:color w:val="FFFFFF"/>
                <w:sz w:val="18"/>
              </w:rPr>
              <w:t>争议金额</w:t>
            </w:r>
          </w:p>
        </w:tc>
        <w:tc>
          <w:tcPr>
            <w:tcW w:type="dxa" w:w="2075"/>
            <w:shd w:fill="1F3A5F"/>
          </w:tcPr>
          <w:p>
            <w:r>
              <w:rPr>
                <w:color w:val="FFFFFF"/>
              </w:rPr>
            </w:r>
            <w:r>
              <w:rPr>
                <w:rFonts w:ascii="Calibri" w:hAnsi="Calibri" w:eastAsia="微软雅黑"/>
                <w:b/>
                <w:i w:val="0"/>
                <w:color w:val="FFFFFF"/>
                <w:sz w:val="18"/>
              </w:rPr>
              <w:t>机制归类</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西气东输精河压气站标段</w:t>
            </w:r>
          </w:p>
        </w:tc>
        <w:tc>
          <w:tcPr>
            <w:tcW w:type="dxa" w:w="2075"/>
          </w:tcPr>
          <w:p>
            <w:r/>
            <w:r>
              <w:rPr>
                <w:rFonts w:ascii="Calibri" w:hAnsi="Calibri" w:eastAsia="微软雅黑"/>
                <w:b w:val="0"/>
                <w:i w:val="0"/>
                <w:sz w:val="18"/>
              </w:rPr>
              <w:t>变更费用3673127元＋利息697893元＋税差659565元</w:t>
            </w:r>
          </w:p>
        </w:tc>
        <w:tc>
          <w:tcPr>
            <w:tcW w:type="dxa" w:w="2075"/>
          </w:tcPr>
          <w:p>
            <w:r/>
            <w:r>
              <w:rPr>
                <w:rFonts w:ascii="Calibri" w:hAnsi="Calibri" w:eastAsia="微软雅黑"/>
                <w:b w:val="0"/>
                <w:i w:val="0"/>
                <w:sz w:val="18"/>
              </w:rPr>
              <w:t>设计输入失准（2012年批复对2016年现场），三方确认后仍抗辩</w:t>
            </w:r>
          </w:p>
        </w:tc>
        <w:tc>
          <w:tcPr>
            <w:tcW w:type="dxa" w:w="2075"/>
          </w:tcPr>
          <w:p>
            <w:r/>
            <w:r>
              <w:rPr>
                <w:rFonts w:ascii="Calibri" w:hAnsi="Calibri" w:eastAsia="微软雅黑"/>
                <w:b w:val="0"/>
                <w:i w:val="0"/>
                <w:sz w:val="18"/>
              </w:rPr>
              <w:t>P6004、P6007</w:t>
            </w:r>
          </w:p>
        </w:tc>
      </w:tr>
      <w:tr>
        <w:tc>
          <w:tcPr>
            <w:tcW w:type="dxa" w:w="2075"/>
          </w:tcPr>
          <w:p>
            <w:r/>
            <w:r>
              <w:rPr>
                <w:rFonts w:ascii="Calibri" w:hAnsi="Calibri" w:eastAsia="微软雅黑"/>
                <w:b w:val="0"/>
                <w:i w:val="0"/>
                <w:sz w:val="18"/>
              </w:rPr>
              <w:t>西气东输乌苏压气站标段</w:t>
            </w:r>
          </w:p>
        </w:tc>
        <w:tc>
          <w:tcPr>
            <w:tcW w:type="dxa" w:w="2075"/>
          </w:tcPr>
          <w:p>
            <w:r/>
            <w:r>
              <w:rPr>
                <w:rFonts w:ascii="Calibri" w:hAnsi="Calibri" w:eastAsia="微软雅黑"/>
                <w:b w:val="0"/>
                <w:i w:val="0"/>
                <w:sz w:val="18"/>
              </w:rPr>
              <w:t>变更款8,194,700元＋利息1,556,993元等合计12,125,730元</w:t>
            </w:r>
          </w:p>
        </w:tc>
        <w:tc>
          <w:tcPr>
            <w:tcW w:type="dxa" w:w="2075"/>
          </w:tcPr>
          <w:p>
            <w:r/>
            <w:r>
              <w:rPr>
                <w:rFonts w:ascii="Calibri" w:hAnsi="Calibri" w:eastAsia="微软雅黑"/>
                <w:b w:val="0"/>
                <w:i w:val="0"/>
                <w:sz w:val="18"/>
              </w:rPr>
              <w:t>同上，另加代发工资返还争议</w:t>
            </w:r>
          </w:p>
        </w:tc>
        <w:tc>
          <w:tcPr>
            <w:tcW w:type="dxa" w:w="2075"/>
          </w:tcPr>
          <w:p>
            <w:r/>
            <w:r>
              <w:rPr>
                <w:rFonts w:ascii="Calibri" w:hAnsi="Calibri" w:eastAsia="微软雅黑"/>
                <w:b w:val="0"/>
                <w:i w:val="0"/>
                <w:sz w:val="18"/>
              </w:rPr>
              <w:t>P6010</w:t>
            </w:r>
          </w:p>
        </w:tc>
      </w:tr>
      <w:tr>
        <w:tc>
          <w:tcPr>
            <w:tcW w:type="dxa" w:w="2075"/>
          </w:tcPr>
          <w:p>
            <w:r/>
            <w:r>
              <w:rPr>
                <w:rFonts w:ascii="Calibri" w:hAnsi="Calibri" w:eastAsia="微软雅黑"/>
                <w:b w:val="0"/>
                <w:i w:val="0"/>
                <w:sz w:val="18"/>
              </w:rPr>
              <w:t>广州园区深化设计</w:t>
            </w:r>
          </w:p>
        </w:tc>
        <w:tc>
          <w:tcPr>
            <w:tcW w:type="dxa" w:w="2075"/>
          </w:tcPr>
          <w:p>
            <w:r/>
            <w:r>
              <w:rPr>
                <w:rFonts w:ascii="Calibri" w:hAnsi="Calibri" w:eastAsia="微软雅黑"/>
                <w:b w:val="0"/>
                <w:i w:val="0"/>
                <w:sz w:val="18"/>
              </w:rPr>
              <w:t>86万成本自担</w:t>
            </w:r>
          </w:p>
        </w:tc>
        <w:tc>
          <w:tcPr>
            <w:tcW w:type="dxa" w:w="2075"/>
          </w:tcPr>
          <w:p>
            <w:r/>
            <w:r>
              <w:rPr>
                <w:rFonts w:ascii="Calibri" w:hAnsi="Calibri" w:eastAsia="微软雅黑"/>
                <w:b w:val="0"/>
                <w:i w:val="0"/>
                <w:sz w:val="18"/>
              </w:rPr>
              <w:t>包干范围吞噬深化设计投入</w:t>
            </w:r>
          </w:p>
        </w:tc>
        <w:tc>
          <w:tcPr>
            <w:tcW w:type="dxa" w:w="2075"/>
          </w:tcPr>
          <w:p>
            <w:r/>
            <w:r>
              <w:rPr>
                <w:rFonts w:ascii="Calibri" w:hAnsi="Calibri" w:eastAsia="微软雅黑"/>
                <w:b w:val="0"/>
                <w:i w:val="0"/>
                <w:sz w:val="18"/>
              </w:rPr>
              <w:t>P6016</w:t>
            </w:r>
          </w:p>
        </w:tc>
      </w:tr>
      <w:tr>
        <w:tc>
          <w:tcPr>
            <w:tcW w:type="dxa" w:w="2075"/>
          </w:tcPr>
          <w:p>
            <w:r/>
            <w:r>
              <w:rPr>
                <w:rFonts w:ascii="Calibri" w:hAnsi="Calibri" w:eastAsia="微软雅黑"/>
                <w:b w:val="0"/>
                <w:i w:val="0"/>
                <w:sz w:val="18"/>
              </w:rPr>
              <w:t>南京酒店装饰EPC</w:t>
            </w:r>
          </w:p>
        </w:tc>
        <w:tc>
          <w:tcPr>
            <w:tcW w:type="dxa" w:w="2075"/>
          </w:tcPr>
          <w:p>
            <w:r/>
            <w:r>
              <w:rPr>
                <w:rFonts w:ascii="Calibri" w:hAnsi="Calibri" w:eastAsia="微软雅黑"/>
                <w:b w:val="0"/>
                <w:i w:val="0"/>
                <w:sz w:val="18"/>
              </w:rPr>
              <w:t>超出2623.21万元（增幅30.13%）</w:t>
            </w:r>
          </w:p>
        </w:tc>
        <w:tc>
          <w:tcPr>
            <w:tcW w:type="dxa" w:w="2075"/>
          </w:tcPr>
          <w:p>
            <w:r/>
            <w:r>
              <w:rPr>
                <w:rFonts w:ascii="Calibri" w:hAnsi="Calibri" w:eastAsia="微软雅黑"/>
                <w:b w:val="0"/>
                <w:i w:val="0"/>
                <w:sz w:val="18"/>
              </w:rPr>
              <w:t>功能标准与材料规格未约定</w:t>
            </w:r>
          </w:p>
        </w:tc>
        <w:tc>
          <w:tcPr>
            <w:tcW w:type="dxa" w:w="2075"/>
          </w:tcPr>
          <w:p>
            <w:r/>
            <w:r>
              <w:rPr>
                <w:rFonts w:ascii="Calibri" w:hAnsi="Calibri" w:eastAsia="微软雅黑"/>
                <w:b w:val="0"/>
                <w:i w:val="0"/>
                <w:sz w:val="18"/>
              </w:rPr>
              <w:t>P6016</w:t>
            </w:r>
          </w:p>
        </w:tc>
      </w:tr>
      <w:tr>
        <w:tc>
          <w:tcPr>
            <w:tcW w:type="dxa" w:w="2075"/>
          </w:tcPr>
          <w:p>
            <w:r/>
            <w:r>
              <w:rPr>
                <w:rFonts w:ascii="Calibri" w:hAnsi="Calibri" w:eastAsia="微软雅黑"/>
                <w:b w:val="0"/>
                <w:i w:val="0"/>
                <w:sz w:val="18"/>
              </w:rPr>
              <w:t>某EPC总价上限案</w:t>
            </w:r>
          </w:p>
        </w:tc>
        <w:tc>
          <w:tcPr>
            <w:tcW w:type="dxa" w:w="2075"/>
          </w:tcPr>
          <w:p>
            <w:r/>
            <w:r>
              <w:rPr>
                <w:rFonts w:ascii="Calibri" w:hAnsi="Calibri" w:eastAsia="微软雅黑"/>
                <w:b w:val="0"/>
                <w:i w:val="0"/>
                <w:sz w:val="18"/>
              </w:rPr>
              <w:t>名义缺口4034.30万元（own_calc），其中漏项1,716.02万元</w:t>
            </w:r>
          </w:p>
        </w:tc>
        <w:tc>
          <w:tcPr>
            <w:tcW w:type="dxa" w:w="2075"/>
          </w:tcPr>
          <w:p>
            <w:r/>
            <w:r>
              <w:rPr>
                <w:rFonts w:ascii="Calibri" w:hAnsi="Calibri" w:eastAsia="微软雅黑"/>
                <w:b w:val="0"/>
                <w:i w:val="0"/>
                <w:sz w:val="18"/>
              </w:rPr>
              <w:t>招标控制价漏项＋上限条款口径之争</w:t>
            </w:r>
          </w:p>
        </w:tc>
        <w:tc>
          <w:tcPr>
            <w:tcW w:type="dxa" w:w="2075"/>
          </w:tcPr>
          <w:p>
            <w:r/>
            <w:r>
              <w:rPr>
                <w:rFonts w:ascii="Calibri" w:hAnsi="Calibri" w:eastAsia="微软雅黑"/>
                <w:b w:val="0"/>
                <w:i w:val="0"/>
                <w:sz w:val="18"/>
              </w:rPr>
              <w:t>P6028</w:t>
            </w:r>
          </w:p>
        </w:tc>
      </w:tr>
      <w:tr>
        <w:tc>
          <w:tcPr>
            <w:tcW w:type="dxa" w:w="2075"/>
          </w:tcPr>
          <w:p>
            <w:r/>
            <w:r>
              <w:rPr>
                <w:rFonts w:ascii="Calibri" w:hAnsi="Calibri" w:eastAsia="微软雅黑"/>
                <w:b w:val="0"/>
                <w:i w:val="0"/>
                <w:sz w:val="18"/>
              </w:rPr>
              <w:t>天府实验室园区</w:t>
            </w:r>
          </w:p>
        </w:tc>
        <w:tc>
          <w:tcPr>
            <w:tcW w:type="dxa" w:w="2075"/>
          </w:tcPr>
          <w:p>
            <w:r/>
            <w:r>
              <w:rPr>
                <w:rFonts w:ascii="Calibri" w:hAnsi="Calibri" w:eastAsia="微软雅黑"/>
                <w:b w:val="0"/>
                <w:i w:val="0"/>
                <w:sz w:val="18"/>
              </w:rPr>
              <w:t>或亏2000万（总投资10亿元）</w:t>
            </w:r>
          </w:p>
        </w:tc>
        <w:tc>
          <w:tcPr>
            <w:tcW w:type="dxa" w:w="2075"/>
          </w:tcPr>
          <w:p>
            <w:r/>
            <w:r>
              <w:rPr>
                <w:rFonts w:ascii="Calibri" w:hAnsi="Calibri" w:eastAsia="微软雅黑"/>
                <w:b w:val="0"/>
                <w:i w:val="0"/>
                <w:sz w:val="18"/>
              </w:rPr>
              <w:t>设备参数滞后挤压采购与工期</w:t>
            </w:r>
          </w:p>
        </w:tc>
        <w:tc>
          <w:tcPr>
            <w:tcW w:type="dxa" w:w="2075"/>
          </w:tcPr>
          <w:p>
            <w:r/>
            <w:r>
              <w:rPr>
                <w:rFonts w:ascii="Calibri" w:hAnsi="Calibri" w:eastAsia="微软雅黑"/>
                <w:b w:val="0"/>
                <w:i w:val="0"/>
                <w:sz w:val="18"/>
              </w:rPr>
              <w:t>P6030</w:t>
            </w:r>
          </w:p>
        </w:tc>
      </w:tr>
      <w:tr>
        <w:tc>
          <w:tcPr>
            <w:tcW w:type="dxa" w:w="2075"/>
          </w:tcPr>
          <w:p>
            <w:r/>
            <w:r>
              <w:rPr>
                <w:rFonts w:ascii="Calibri" w:hAnsi="Calibri" w:eastAsia="微软雅黑"/>
                <w:b w:val="0"/>
                <w:i w:val="0"/>
                <w:sz w:val="18"/>
              </w:rPr>
              <w:t>金桂电厂EPC</w:t>
            </w:r>
          </w:p>
        </w:tc>
        <w:tc>
          <w:tcPr>
            <w:tcW w:type="dxa" w:w="2075"/>
          </w:tcPr>
          <w:p>
            <w:r/>
            <w:r>
              <w:rPr>
                <w:rFonts w:ascii="Calibri" w:hAnsi="Calibri" w:eastAsia="微软雅黑"/>
                <w:b w:val="0"/>
                <w:i w:val="0"/>
                <w:sz w:val="18"/>
              </w:rPr>
              <w:t>窝工损失2090.072万元（18个月）＋尾款7679.0761万元</w:t>
            </w:r>
          </w:p>
        </w:tc>
        <w:tc>
          <w:tcPr>
            <w:tcW w:type="dxa" w:w="2075"/>
          </w:tcPr>
          <w:p>
            <w:r/>
            <w:r>
              <w:rPr>
                <w:rFonts w:ascii="Calibri" w:hAnsi="Calibri" w:eastAsia="微软雅黑"/>
                <w:b w:val="0"/>
                <w:i w:val="0"/>
                <w:sz w:val="18"/>
              </w:rPr>
              <w:t>业主资金不足传导为总包垫资与窝工</w:t>
            </w:r>
          </w:p>
        </w:tc>
        <w:tc>
          <w:tcPr>
            <w:tcW w:type="dxa" w:w="2075"/>
          </w:tcPr>
          <w:p>
            <w:r/>
            <w:r>
              <w:rPr>
                <w:rFonts w:ascii="Calibri" w:hAnsi="Calibri" w:eastAsia="微软雅黑"/>
                <w:b w:val="0"/>
                <w:i w:val="0"/>
                <w:sz w:val="18"/>
              </w:rPr>
              <w:t>P6001</w:t>
            </w:r>
          </w:p>
        </w:tc>
      </w:tr>
      <w:tr>
        <w:tc>
          <w:tcPr>
            <w:tcW w:type="dxa" w:w="2075"/>
          </w:tcPr>
          <w:p>
            <w:r/>
            <w:r>
              <w:rPr>
                <w:rFonts w:ascii="Calibri" w:hAnsi="Calibri" w:eastAsia="微软雅黑"/>
                <w:b w:val="0"/>
                <w:i w:val="0"/>
                <w:sz w:val="18"/>
              </w:rPr>
              <w:t>生物质颗粒厂EPC</w:t>
            </w:r>
          </w:p>
        </w:tc>
        <w:tc>
          <w:tcPr>
            <w:tcW w:type="dxa" w:w="2075"/>
          </w:tcPr>
          <w:p>
            <w:r/>
            <w:r>
              <w:rPr>
                <w:rFonts w:ascii="Calibri" w:hAnsi="Calibri" w:eastAsia="微软雅黑"/>
                <w:b w:val="0"/>
                <w:i w:val="0"/>
                <w:sz w:val="18"/>
              </w:rPr>
              <w:t>工程量增加572.3689万元、欠付2972.9489万元</w:t>
            </w:r>
          </w:p>
        </w:tc>
        <w:tc>
          <w:tcPr>
            <w:tcW w:type="dxa" w:w="2075"/>
          </w:tcPr>
          <w:p>
            <w:r/>
            <w:r>
              <w:rPr>
                <w:rFonts w:ascii="Calibri" w:hAnsi="Calibri" w:eastAsia="微软雅黑"/>
                <w:b w:val="0"/>
                <w:i w:val="0"/>
                <w:sz w:val="18"/>
              </w:rPr>
              <w:t>工程量自然增长与回款失效叠加</w:t>
            </w:r>
          </w:p>
        </w:tc>
        <w:tc>
          <w:tcPr>
            <w:tcW w:type="dxa" w:w="2075"/>
          </w:tcPr>
          <w:p>
            <w:r/>
            <w:r>
              <w:rPr>
                <w:rFonts w:ascii="Calibri" w:hAnsi="Calibri" w:eastAsia="微软雅黑"/>
                <w:b w:val="0"/>
                <w:i w:val="0"/>
                <w:sz w:val="18"/>
              </w:rPr>
              <w:t>P6009</w:t>
            </w:r>
          </w:p>
        </w:tc>
      </w:tr>
    </w:tbl>
    <w:p>
      <w:r>
        <w:rPr>
          <w:rFonts w:ascii="Calibri" w:hAnsi="Calibri" w:eastAsia="微软雅黑"/>
          <w:b w:val="0"/>
          <w:i w:val="0"/>
          <w:sz w:val="22"/>
        </w:rPr>
        <w:t>八个样本、六种机制，指向同一个管理命题：设计院总包的变更敞口不是「会不会发生」的问题，而是「以哪种机制、在哪个金额量级发生」的问题。止损动作必须前移到初设批复与签约之前。买方使用这张表的方法：拿拟签项目逐行比对，命中哪一行的机制特征（批复失准、功能标准模糊、控制价漏项、长周期设备、业主资金），就把对应案例的金额当作压力测试的缺口规模下限——不是预测，而是底线思维。</w:t>
      </w:r>
    </w:p>
    <w:p>
      <w:pPr>
        <w:pStyle w:val="Heading2"/>
      </w:pPr>
      <w:r>
        <w:t>6.4 陷阱三：计价条款与合同链条——签约那一刻写下的结算结局</w:t>
      </w:r>
    </w:p>
    <w:p>
      <w:pPr>
        <w:pStyle w:val="Heading3"/>
      </w:pPr>
      <w:r>
        <w:t>6.4.1 「利润的80%在投标和合同阶段锁定」</w:t>
      </w:r>
    </w:p>
    <w:p>
      <w:r>
        <w:rPr>
          <w:rFonts w:ascii="Calibri" w:hAnsi="Calibri" w:eastAsia="微软雅黑"/>
          <w:b w:val="0"/>
          <w:i w:val="0"/>
          <w:sz w:val="22"/>
        </w:rPr>
        <w:t>[事实]实务评论的判断：EPC项目利润的80%在投标和合同阶段就已锁定，后面再怎么努力施工，都只是在兑现签约时的命运；行业普遍经验约60%-70%的EPC项目存在范围表述模糊问题，其中结算争议率超过70%的项目因合同条款不清晰造成工程款支付延迟（P6016）。签约前的四问清单：招标阶段有没有详细施工图和工程量清单；合同里有没有量化工程范围、取代「按甲方要求」式模糊表述；变更程序是否明确了申请、审批、计价流程；有没有约定「范围外工作的界定标准」——四个问题全是「没有」，那大概率是个坑（P6016）。</w:t>
      </w:r>
    </w:p>
    <w:p>
      <w:r>
        <w:rPr>
          <w:rFonts w:ascii="Calibri" w:hAnsi="Calibri" w:eastAsia="微软雅黑"/>
          <w:b w:val="0"/>
          <w:i w:val="0"/>
          <w:sz w:val="22"/>
        </w:rPr>
        <w:t>需要向读者如实标注证据档位：这组比例数字（80%、60%-70%、70%）来自行业自媒体叙述，bank中未附原始统计出处，证据强度低于裁判文书（P6016）。但它与6.3的案例群方向一致，作为风险预警信号使用是恰当的。买方可以做一个简单置换：把「利润的80%在投标和合同阶段锁定」（P6016）翻译成内部预算语言——投标与合同评审的工时投入，应当与施工阶段的管控投入同量级配置；多数设计院恰恰相反，方案团队成建制、合同评审靠兼职，配置结构与风险分布倒挂。</w:t>
      </w:r>
    </w:p>
    <w:p>
      <w:pPr>
        <w:pStyle w:val="Heading3"/>
      </w:pPr>
      <w:r>
        <w:t>6.4.2 移交协议的连环扣：金昌煜华光伏案</w:t>
      </w:r>
    </w:p>
    <w:p>
      <w:r>
        <w:rPr>
          <w:rFonts w:ascii="Calibri" w:hAnsi="Calibri" w:eastAsia="微软雅黑"/>
          <w:b w:val="0"/>
          <w:i w:val="0"/>
          <w:sz w:val="22"/>
        </w:rPr>
        <w:t>[事实]甘肃电力设计院（联合电力设备公司）2013年6月1日与金昌煜华签订15MW光伏发电项目总承包合同，总承包价10950万元；项目2013年10月28日完工交付、11月19日带电运行（P6012）。其后双方签订《移交协议书》，确认合同总结算价为10208.55万元，业主共支付工程价款6530.905万元（P6012）。业主主张：承包方未完成移交协议追加费用项目——容量增加0.84MW项目未安装变压器未建兆瓦房，价款71.064万元；增加综合配电室建筑物87.77万元；常规消防改为水消防33万元；增加消防泵房13万元——合计204.834万元应予扣减，再扣质保金1050万元后实际欠付2422.816万元（P6012）。设计院一方则主张下欠工程款4709.55914万元、未付款利息586.625206万元，一审诉请合计5296.184346万元（P6012）；二审攻防再添两个扳机——《移交协议书》约定「甲方垫资成本为900万元，由乙方承担」，设计院主张该条款损害国家利益应属无效，业主则主张承包方垫资实为变相出借资金；另有1020.855万元质保金支付条件之争，业主主张移交工程存在重大缺陷、消缺验收未过则付款时间顺延（P6008）。</w:t>
      </w:r>
    </w:p>
    <w:p>
      <w:r>
        <w:rPr>
          <w:rFonts w:ascii="Calibri" w:hAnsi="Calibri" w:eastAsia="微软雅黑"/>
          <w:b w:val="0"/>
          <w:i w:val="0"/>
          <w:sz w:val="22"/>
        </w:rPr>
        <w:t>[估计]双方主张的欠付差额约2286.7万元（own_calc：4709.55914－2422.816＝2286.74314万元）。争议的三个扳机——未施工项目扣减、质保金扣留、垫资成本条款——全部预埋在总包合同与移交协议的条款里，与施工质量本身无关。消缺条款是第四个隐藏扳机：移交协议书第4、5、6、7条约定承包方应在协议签订后一个月内完成消缺，经业主验收合格后支付剩余工程款，否则由此造成的损失由承包方承担，业主对剩余工程款的支付时间顺延（P6012）。也就是说，即便结算价与欠付款都算清了，一笔「消缺验收」就能把付款时间整体后移——工程质量缺陷清单的边界越模糊，这个扳机的威力越大。该案还牵出总造价口径：业主一方陈述涉案工程总造价11108.55万元、其中6MW工程支付2304万元（P6008）。对设计院的教训是：移交协议不是收尾仪式，是第二轮合同谈判——每一个「追加费用项目」清单、每一笔扣减、每一项消缺义务，都要按诉讼证据标准起草。</w:t>
      </w:r>
    </w:p>
    <w:p>
      <w:pPr>
        <w:pStyle w:val="Heading3"/>
      </w:pPr>
      <w:r>
        <w:t>6.4.3 设计费本身也会成为坏账：两起费案</w:t>
      </w:r>
    </w:p>
    <w:p>
      <w:r>
        <w:rPr>
          <w:rFonts w:ascii="Calibri" w:hAnsi="Calibri" w:eastAsia="微软雅黑"/>
          <w:b w:val="0"/>
          <w:i w:val="0"/>
          <w:sz w:val="22"/>
        </w:rPr>
        <w:t>[事实]中南院2003年签署鹤壁电厂二期勘测设计合同，合同总金额4400万元；各方对已付款37921073.3元无争议，中南院主张欠付勘测设计费6078926.7元（P6029）。争议有二：鹤淇发电公司主张1993年、1994年前期勘测设计付款3633926.7元应在本合同中扣减（前期合同与2003年合同构成同一工程全部勘测内容）；一审以未交付竣工图为由认定付款条件未成就，二审围绕「竣工图编制需以业主收集施工、监理单位的设计变更资料为前提」展开（P6029）。</w:t>
      </w:r>
    </w:p>
    <w:p>
      <w:r>
        <w:rPr>
          <w:rFonts w:ascii="Calibri" w:hAnsi="Calibri" w:eastAsia="微软雅黑"/>
          <w:b w:val="0"/>
          <w:i w:val="0"/>
          <w:sz w:val="22"/>
        </w:rPr>
        <w:t>[事实]梧州水利电力设计院起诉威林公司，主张勘察设计费共1253041元；上诉方主张设计费应以330272元、勘察测量费应以460800元为限（P6027）。[估计]双方口径差约46.2万元（own_calc：1253041－330272－460800＝461969元）。[估计]中南院欠付主张约占合同额13.8%（own_calc：6078926.7÷44000000×100%≈13.8%）。</w:t>
      </w:r>
    </w:p>
    <w:p>
      <w:r>
        <w:rPr>
          <w:rFonts w:ascii="Calibri" w:hAnsi="Calibri" w:eastAsia="微软雅黑"/>
          <w:b w:val="0"/>
          <w:i w:val="0"/>
          <w:sz w:val="22"/>
        </w:rPr>
        <w:t>两案合读的启示：设计院的主产品——设计费——尚且会拖到对簿公堂、拆分期扣减、被付款条件卡住，总包项下体量十倍于设计费的施工与采购款，回收难度只增不减。设计院转型总包，法务与商务条款能力的建设速度必须跑在业务扩张前面。两个具体抓手：其一，设计合同的付款条件要写「可成就」的动作——中南院案中竣工图交付以业主收集施工、监理单位的设计变更资料为前提，双方共同实现的条件就该写明双方义务与视为交付条款（P6029）；其二，分期项目要在合同里预置前后期扣减的封顶与程序——1993年、1994年前期付款3633926.7元是否在新合同中扣减，吵到二审仍未了（P6029），事前一句话能省一场高院诉讼。</w:t>
      </w:r>
    </w:p>
    <w:p>
      <w:pPr>
        <w:pStyle w:val="Heading3"/>
      </w:pPr>
      <w:r>
        <w:t>6.4.4 计价条款的包干与变更拉锯：基坑支护样本</w:t>
      </w:r>
    </w:p>
    <w:p>
      <w:r>
        <w:rPr>
          <w:rFonts w:ascii="Calibri" w:hAnsi="Calibri" w:eastAsia="微软雅黑"/>
          <w:b w:val="0"/>
          <w:i w:val="0"/>
          <w:sz w:val="22"/>
        </w:rPr>
        <w:t>[事实]中节能设计院2012年1月5日与宇禾公司签订成都新声剧场基坑支护工程分包合同，合同包干价为820万元，另约定因设计变更增加的工程价款为60万元（手填条款，双方对其效力发生争议：分包方主张合同总包价880万元，总包方主张实际总包价为820万元）；付款至当月实际完成工程量的85%，综合验收合格后14个工作日内支付（P6017）。结算时总包方主张应扣工期延误违约金45.4万元、其他违约金41万元等，应付款压至610.6万元并称已超额支付553301元以上；分包方则诉请2261726元（P6017）。手填的60万元变更条款、85%的付款节点、违约金对冲——每一处模糊都在结算时变成了对抗性解释的素材。这个样本的特殊价值在于主体错位：设计院在这里是分包方，被总包方用「包干＋违约金」的组合拳压缩应付款——它提示设计院，无论站在合同链哪一级，模糊条款的账单终会流向议价能力弱的一方，而议价能力由合同起草质量与履约留痕共同构成。</w:t>
      </w:r>
    </w:p>
    <w:p>
      <w:pPr>
        <w:pStyle w:val="Heading3"/>
      </w:pPr>
      <w:r>
        <w:t>6.4.5 设计勘察边界之外的第三人责任：炸药库案</w:t>
      </w:r>
    </w:p>
    <w:p>
      <w:r>
        <w:rPr>
          <w:rFonts w:ascii="Calibri" w:hAnsi="Calibri" w:eastAsia="微软雅黑"/>
          <w:b w:val="0"/>
          <w:i w:val="0"/>
          <w:sz w:val="22"/>
        </w:rPr>
        <w:t>[事实]承德骏达隆公司主张：中国能源建设集团甘肃省电力设计院有限公司、国网江苏省电力有限公司设计建设的内蒙古锡盟—江苏泰州±800千伏高压直流输电线路工程N2044-Ｎ2047区间建成后，距其吨储量炸药库最近距离为437米，不满足590米的安全距离要求，炸药库被压覆无法使用，诉请赔偿经济损失4870000.00元，其中异地重建同规模炸药库费用4370000.00元、停用炸药库损失500000.00元（P6026）。设计院抗辩：路径意见函已征求兴隆县公安局意见且未被告知炸药库存在，县政府、国土、住建、武装部、文保所在《勘测设计资料备案表》上签字盖章，终勘定位完成时间早于炸药库改建及安全评估时间（P6026）。</w:t>
      </w:r>
    </w:p>
    <w:p>
      <w:r>
        <w:rPr>
          <w:rFonts w:ascii="Calibri" w:hAnsi="Calibri" w:eastAsia="微软雅黑"/>
          <w:b w:val="0"/>
          <w:i w:val="0"/>
          <w:sz w:val="22"/>
        </w:rPr>
        <w:t>这桩案件把设计院总包的责任半径拉到物理安全与邻避冲突层面：即便设计程序合规、备案齐全，线路走向对第三方设施的压覆仍会以财产损害索赔的形式回到设计院头上（P6026）。程序上也值得一提：该案一审作出（2018）冀0822民初1375号判决后，经上诉被承德市中级人民法院以（2019）冀08民终2467号民事裁定发回重审，另行组成合议庭于2020年1月9日再次开庭（P6026）——第三人损害类案件的审理周期与改判风险，本身也是设计院总包的风险成本。买方尽职调查里因此需要新增一项：牵头设计院过往项目的路径/选址类第三人诉讼记录。</w:t>
      </w:r>
    </w:p>
    <w:p>
      <w:pPr>
        <w:pStyle w:val="Heading3"/>
      </w:pPr>
      <w:r>
        <w:t>6.4.6 投标价与合同价不一致：赤天化案的效力豪赌</w:t>
      </w:r>
    </w:p>
    <w:p>
      <w:r>
        <w:rPr>
          <w:rFonts w:ascii="Calibri" w:hAnsi="Calibri" w:eastAsia="微软雅黑"/>
          <w:b w:val="0"/>
          <w:i w:val="0"/>
          <w:sz w:val="22"/>
        </w:rPr>
        <w:t>[事实]赤天化桐梓化工EPC案中，电建公司投标总价521965260元，赤天化公司发出中标通知书后，双方2008年5月29日签订的《EPC总承包合同》约定工程价款460436515元；电建公司以「中标合同价与投标价不一致」违反招标投标法第四十六条及实施条例第五十七条为由，上诉主张合同应属无效，并诉请支付拖欠工程款项131845782元（P6021）。</w:t>
      </w:r>
    </w:p>
    <w:p>
      <w:r>
        <w:rPr>
          <w:rFonts w:ascii="Calibri" w:hAnsi="Calibri" w:eastAsia="微软雅黑"/>
          <w:b w:val="0"/>
          <w:i w:val="0"/>
          <w:sz w:val="22"/>
        </w:rPr>
        <w:t>[估计]投标总价与合同价款相差61528745元（own_calc：521965260－460436515＝61528745元，源：P6021），约为投标价的11.8%（own_calc：61528745÷521965260×100%≈11.8%）。</w:t>
      </w:r>
    </w:p>
    <w:p>
      <w:r>
        <w:rPr>
          <w:rFonts w:ascii="Calibri" w:hAnsi="Calibri" w:eastAsia="微软雅黑"/>
          <w:b w:val="0"/>
          <w:i w:val="0"/>
          <w:sz w:val="22"/>
        </w:rPr>
        <w:t>诉讼中还暴露了索赔证据的组织方式之争：贵州桦利工程造价司法鉴定所出具桦利鉴字【2018】09号《司法鉴定意见书》，电建公司主张其中「证据无赤天化签字部分」项下费用虽无对方签字但确已实际发生，以及基于专业知识推断的「合同条件不足调整部分」损失均应支持；赤天化公司则反驳：电建公司仅提出窝工事实，未按合同约定的方式向业主、监理单位报送损失金额、停工时长、停工原因的报告，鉴定推算缺乏事实根据（P6021）。两个攻防点对设计院总包同样致命：现场费用留痕没有对方签字，等于白发生；损失报告不走合同约定的报送程序，鉴定机构也救不回来。承包方为了脱出一纸不利合同，宁可主张合同无效——用效力问题做兵器，说明条款本身已经没有回旋空间。对参与设计牵头EPC投标的企业，这个样本提示：中标后再谈价的空间，可能以整个合同的效力为赌注；报价决策必须在投标截止前完成，而不是中标通知书之后。</w:t>
      </w:r>
    </w:p>
    <w:p>
      <w:pPr>
        <w:pStyle w:val="Heading3"/>
      </w:pPr>
      <w:r>
        <w:t>6.4.7 合同链条完整性与宏观纠纷底数</w:t>
      </w:r>
    </w:p>
    <w:p>
      <w:r>
        <w:rPr>
          <w:rFonts w:ascii="Calibri" w:hAnsi="Calibri" w:eastAsia="微软雅黑"/>
          <w:b w:val="0"/>
          <w:i w:val="0"/>
          <w:sz w:val="22"/>
        </w:rPr>
        <w:t>[事实]2023年，全国法院受理的建设工程合同纠纷案件达到509,273件，是2016年以来有统计的最高值；2011至2020年全国法院建设工程施工合同纠纷裁判案件总数为1,010,553件，其中工期案件41,643件、占比4.12%（P6032）。一个政府投资项目竣工结算审计中，建设单位翻遍档案柜只找出施工合同、监理合同、设计合同三份，勘察、检测、造价咨询、工程款支付担保、农民工工资专用账户三方协议等均缺失，审计组认定合同管理不完整、部分参建单位履约依据缺失、结算审核缺乏完整的合同链条支撑（P6032）。一个项目从立项到竣工至少涉及21份合同和法定协议；《民法典》第七百八十八条规定建设工程合同包括工程勘察、设计、施工合同，应当采用书面形式（P6032）。「书面形式」四个字在EPC语境下的分量远超字面：设计牵头模式的责任链条横跨勘察、设计、采购、施工、试运行，任何一段协作以口头约定、会议默契或微信沟通代替书面文件，结算时那一段就是断的——6.2.1由第三方代签的联系单（P6005）、6.3.2被重新解释的三方确认单（P6007），都是书面链条不完整或效力存疑的变体。制度演进的时间轴同样值得记：1990年代一张草签施工协议加口头约定就是全部合同文件；2003年最高人民法院发布建工司法解释一，行业第一次意识到合同文本的严肃性；2017年国办发〔2017〕19号文件推行工程总承包模式；2025年7月住建部已启动《建设工程施工合同（示范文本）》等三个合同示范文本的修订征求意见（P6032）。</w:t>
      </w:r>
    </w:p>
    <w:p>
      <w:r>
        <w:rPr>
          <w:rFonts w:ascii="Calibri" w:hAnsi="Calibri" w:eastAsia="微软雅黑"/>
          <w:b w:val="0"/>
          <w:i w:val="0"/>
          <w:sz w:val="22"/>
        </w:rPr>
        <w:t>实务经验给出的规律是：合同链条的完整度与结算争议的发生率成反比——合同链条越完整，结算争议越少（P6032）。合同增多不是流程冗余，是责任链条变长的结果：过去设计、施工、监理、造价咨询归一个口子管，三份合同够用；现在一个项目至少有21类独立的法律文件，每一类对应一个独立的专业责任主体（P6032）。</w:t>
      </w:r>
    </w:p>
    <w:p>
      <w:r>
        <w:rPr>
          <w:rFonts w:ascii="Calibri" w:hAnsi="Calibri" w:eastAsia="微软雅黑"/>
          <w:b w:val="0"/>
          <w:i w:val="0"/>
          <w:sz w:val="22"/>
        </w:rPr>
        <w:t>[事实]组织摩擦的司法样本清单还包括：(2016)最高法民终695号的先履行抗辩权、(2016)最高法民再53号的分包合同同步解除机制、(2017)川民终72号的境外保函止付风险，以及《法工委函〔2017〕2号》对行政审计强行介入结算的清理审查（P6020）。这些案号对设计院总包的意义在于：EPC的「总包兜底」特性要求全链条权责、风险、计价的高度协同，一旦某个环节出现漏洞，便会在结算阶段集中爆发（P6016）——而结算爆发的成本，最终由链条上离钱最远的一方承担。</w:t>
      </w:r>
    </w:p>
    <w:p>
      <w:pPr>
        <w:pStyle w:val="Heading2"/>
      </w:pPr>
      <w:r>
        <w:t>6.5 行动清单：八个止损点与验证条件</w:t>
      </w:r>
    </w:p>
    <w:p>
      <w:r>
        <w:rPr>
          <w:rFonts w:ascii="Calibri" w:hAnsi="Calibri" w:eastAsia="微软雅黑"/>
          <w:b w:val="0"/>
          <w:i w:val="0"/>
          <w:sz w:val="22"/>
        </w:rPr>
        <w:t>以下各条均为[建议]，每条附验证条件或停止条件，依据来源逐条标注；设计院可自查，买方可用来审他人。</w:t>
      </w:r>
    </w:p>
    <w:p>
      <w:r>
        <w:rPr>
          <w:rFonts w:ascii="Calibri" w:hAnsi="Calibri" w:eastAsia="微软雅黑"/>
          <w:b/>
          <w:i w:val="0"/>
          <w:sz w:val="22"/>
        </w:rPr>
        <w:t>其一，能力圈测绘前置。</w:t>
      </w:r>
      <w:r>
        <w:rPr>
          <w:rFonts w:ascii="Calibri" w:hAnsi="Calibri" w:eastAsia="微软雅黑"/>
          <w:b w:val="0"/>
          <w:i w:val="0"/>
          <w:sz w:val="22"/>
        </w:rPr>
        <w:t>对照P6015的资质门槛——工程设计综合甲级或机械/建筑行业专业甲级资质，同时拥有施工总承包一级及以上资质（P6015）——逐项打分。停止条件：任一门槛缺失时，不独立承接该级EPC，改以联合体非牵头方或设计分包身份参与；反模式诊断给出的量化代价是毛利率骤降12–18个百分点（P6015），这是承接决策的机会成本基准。</w:t>
      </w:r>
    </w:p>
    <w:p>
      <w:r>
        <w:rPr>
          <w:rFonts w:ascii="Calibri" w:hAnsi="Calibri" w:eastAsia="微软雅黑"/>
          <w:b/>
          <w:i w:val="0"/>
          <w:sz w:val="22"/>
        </w:rPr>
        <w:t>其二，限额设计机制化。</w:t>
      </w:r>
      <w:r>
        <w:rPr>
          <w:rFonts w:ascii="Calibri" w:hAnsi="Calibri" w:eastAsia="微软雅黑"/>
          <w:b w:val="0"/>
          <w:i w:val="0"/>
          <w:sz w:val="22"/>
        </w:rPr>
        <w:t>按专业切分投资上限、每周更新概算对比表、超标当场出纠正方案（P6000）。验证条件：连续四周概算对比表无断更，每项超标有闭环记录；停止条件：出现两次以上「超标无纠正方案」即暂停出图——因为审计口径下「设计没落实投资管控」就是扣款理由（P6000）。</w:t>
      </w:r>
    </w:p>
    <w:p>
      <w:r>
        <w:rPr>
          <w:rFonts w:ascii="Calibri" w:hAnsi="Calibri" w:eastAsia="微软雅黑"/>
          <w:b/>
          <w:i w:val="0"/>
          <w:sz w:val="22"/>
        </w:rPr>
        <w:t>其三，投标前优化点清单。</w:t>
      </w:r>
      <w:r>
        <w:rPr>
          <w:rFonts w:ascii="Calibri" w:hAnsi="Calibri" w:eastAsia="微软雅黑"/>
          <w:b w:val="0"/>
          <w:i w:val="0"/>
          <w:sz w:val="22"/>
        </w:rPr>
        <w:t>施工资源方参与时，投标前完成「初设优化点清单」，材料、工法、节点做法逐项过审（P6000）。验证条件：清单覆盖初设全部专业，且与技经人员的多方案技术经济分析（土方平衡、建筑结构、工艺、电气等）交叉签字（P6019）。</w:t>
      </w:r>
    </w:p>
    <w:p>
      <w:r>
        <w:rPr>
          <w:rFonts w:ascii="Calibri" w:hAnsi="Calibri" w:eastAsia="微软雅黑"/>
          <w:b/>
          <w:i w:val="0"/>
          <w:sz w:val="22"/>
        </w:rPr>
        <w:t>其四，长周期设备参数前置。</w:t>
      </w:r>
      <w:r>
        <w:rPr>
          <w:rFonts w:ascii="Calibri" w:hAnsi="Calibri" w:eastAsia="微软雅黑"/>
          <w:b w:val="0"/>
          <w:i w:val="0"/>
          <w:sz w:val="22"/>
        </w:rPr>
        <w:t>初设阶段锁定关键设备参数与货期，对照「交货周期14个月、总工期只剩18个月」的天府样本（P6030）建立货期预警线。停止条件：关键设备货期超过剩余工期的50%时，先解决采购计划再出施工图——否则触发的是「中标设备与设计参数不匹配、施工图被迫修改」的连锁反应（P6030）。</w:t>
      </w:r>
    </w:p>
    <w:p>
      <w:r>
        <w:rPr>
          <w:rFonts w:ascii="Calibri" w:hAnsi="Calibri" w:eastAsia="微软雅黑"/>
          <w:b/>
          <w:i w:val="0"/>
          <w:sz w:val="22"/>
        </w:rPr>
        <w:t>其五，现场派驻与签单权属。</w:t>
      </w:r>
      <w:r>
        <w:rPr>
          <w:rFonts w:ascii="Calibri" w:hAnsi="Calibri" w:eastAsia="微软雅黑"/>
          <w:b w:val="0"/>
          <w:i w:val="0"/>
          <w:sz w:val="22"/>
        </w:rPr>
        <w:t>以P6005为反面教材：总包合同签订即派驻现场代表与施工管理人员，明确设计变更、工程量联系单的签单人必须为合同当事人或书面授权人。验证条件：抽查现场签单的授权链完整率；任何由第三方公司人员代签的纪要与联系单，都应在月度法务巡检中被标记。</w:t>
      </w:r>
    </w:p>
    <w:p>
      <w:r>
        <w:rPr>
          <w:rFonts w:ascii="Calibri" w:hAnsi="Calibri" w:eastAsia="微软雅黑"/>
          <w:b/>
          <w:i w:val="0"/>
          <w:sz w:val="22"/>
        </w:rPr>
        <w:t>其六，变更三方确认模板。</w:t>
      </w:r>
      <w:r>
        <w:rPr>
          <w:rFonts w:ascii="Calibri" w:hAnsi="Calibri" w:eastAsia="微软雅黑"/>
          <w:b w:val="0"/>
          <w:i w:val="0"/>
          <w:sz w:val="22"/>
        </w:rPr>
        <w:t>参照建设方、总包方、监理方三方确认单的做法（P6007、P6010），在合同中约定变更确认单为结算前置文件，并写明确认单对总包—分包之间同样有效——这正是西域通两案攻防的核心：总包方以「变更费用系与建设单位之间发生」「固定包干不予调整」抗辩（P6007），若确认单条款写死，这场攻防本可不必发生。利息成本的参照系：8,194,700元×6%/年×38个月＝1,556,993元（P6010）。</w:t>
      </w:r>
    </w:p>
    <w:p>
      <w:r>
        <w:rPr>
          <w:rFonts w:ascii="Calibri" w:hAnsi="Calibri" w:eastAsia="微软雅黑"/>
          <w:b/>
          <w:i w:val="0"/>
          <w:sz w:val="22"/>
        </w:rPr>
        <w:t>其七，上限价条款的「合同内外」切割。</w:t>
      </w:r>
      <w:r>
        <w:rPr>
          <w:rFonts w:ascii="Calibri" w:hAnsi="Calibri" w:eastAsia="微软雅黑"/>
          <w:b w:val="0"/>
          <w:i w:val="0"/>
          <w:sz w:val="22"/>
        </w:rPr>
        <w:t>在总价上限条款旁写明：上限封顶范围为合同内工程价款，非承包人原因的变更、签证、调差可突破上限；起草时援引(2021)沪02民终11714号、(2019)甘01民初463号的裁判口径与2024版清单计价标准第6.1.5条、第6.3.6条（P6028）。验证条件：法务对条款逐字复核，并复核招标控制价的完整性——渣土受纳弃置费、基本预备费这类漏项合计可达1,716.02万元（P6028）。</w:t>
      </w:r>
    </w:p>
    <w:p>
      <w:r>
        <w:rPr>
          <w:rFonts w:ascii="Calibri" w:hAnsi="Calibri" w:eastAsia="微软雅黑"/>
          <w:b/>
          <w:i w:val="0"/>
          <w:sz w:val="22"/>
        </w:rPr>
        <w:t>其八，合同链条完整性审计。</w:t>
      </w:r>
      <w:r>
        <w:rPr>
          <w:rFonts w:ascii="Calibri" w:hAnsi="Calibri" w:eastAsia="微软雅黑"/>
          <w:b w:val="0"/>
          <w:i w:val="0"/>
          <w:sz w:val="22"/>
        </w:rPr>
        <w:t>按21份合同清单（P6032）做签约完整性对照，竣工结算前先补齐链条再送审。验证条件：审计模拟问答能答出每份合同对应的责任主体；对照反面样本——档案里只有三份合同、其余缺失，被审计认定结算审核缺乏完整合同链条支撑（P6032）。</w:t>
      </w:r>
    </w:p>
    <w:p>
      <w:r>
        <w:rPr>
          <w:rFonts w:ascii="Calibri" w:hAnsi="Calibri" w:eastAsia="微软雅黑"/>
          <w:b w:val="0"/>
          <w:i w:val="0"/>
          <w:sz w:val="22"/>
        </w:rPr>
        <w:t>争议发生后的两项补充动作：业主拖欠时，优先争取P6011式还款计划（分期节点＋逾期利息条款＋未按计划付款的后果承担），这是成本最低的债权固定动作（P6011）；对招标控制价漏项，投标阶段即应做控制价复核并书面澄清，不要等结算时再靠鉴定翻案（P6028）。</w:t>
      </w:r>
    </w:p>
    <w:p>
      <w:r>
        <w:rPr>
          <w:rFonts w:ascii="Calibri" w:hAnsi="Calibri" w:eastAsia="微软雅黑"/>
          <w:b w:val="0"/>
          <w:i w:val="0"/>
          <w:sz w:val="22"/>
        </w:rPr>
        <w:t>止损点之外，能力建设有三个抓手对应本章三类陷阱：对着现场缺位，抓手是「设总管理职能强化」——赋予设计总工程师更多项目管理权限、弱化专业部门管理、强调项目制团队管理（P6019）；对着组织割裂，抓手是「研发—设计—总包」三位一体——用专利与标准化构件库把设计、采购、施工管控绑在同一利益主体内（P6015）；对着人才流失，抓手是把专业负责人的保留成本计入项目预算——P6034样本里年薪总额从叁拾贰万元整到贰拾捌万元整的向下调整（P6034），对持证专业负责人而言就是流动信号，而竞业限制补偿77,617.20元（P6034）买不回项目管控的连续性。</w:t>
      </w:r>
    </w:p>
    <w:p>
      <w:r>
        <w:rPr>
          <w:rFonts w:ascii="Calibri" w:hAnsi="Calibri" w:eastAsia="微软雅黑"/>
          <w:b w:val="0"/>
          <w:i w:val="0"/>
          <w:sz w:val="22"/>
        </w:rPr>
        <w:t>八个止损点按时间窗归位，落地节奏是：</w:t>
      </w:r>
      <w:r>
        <w:rPr>
          <w:rFonts w:ascii="Calibri" w:hAnsi="Calibri" w:eastAsia="微软雅黑"/>
          <w:b/>
          <w:i w:val="0"/>
          <w:sz w:val="22"/>
        </w:rPr>
        <w:t>投标前</w:t>
      </w:r>
      <w:r>
        <w:rPr>
          <w:rFonts w:ascii="Calibri" w:hAnsi="Calibri" w:eastAsia="微软雅黑"/>
          <w:b w:val="0"/>
          <w:i w:val="0"/>
          <w:sz w:val="22"/>
        </w:rPr>
        <w:t>做三件事——能力圈测绘（其一）、控制价复核（其七的复核动作）、优化点清单（其三）；</w:t>
      </w:r>
      <w:r>
        <w:rPr>
          <w:rFonts w:ascii="Calibri" w:hAnsi="Calibri" w:eastAsia="微软雅黑"/>
          <w:b/>
          <w:i w:val="0"/>
          <w:sz w:val="22"/>
        </w:rPr>
        <w:t>签约时</w:t>
      </w:r>
      <w:r>
        <w:rPr>
          <w:rFonts w:ascii="Calibri" w:hAnsi="Calibri" w:eastAsia="微软雅黑"/>
          <w:b w:val="0"/>
          <w:i w:val="0"/>
          <w:sz w:val="22"/>
        </w:rPr>
        <w:t>做三件事——上限价条款的合同内外切割（其七）、变更三方确认模板写入合同（其六）、范围量化取代「按甲方要求」式表述（对照四问，P6016）；</w:t>
      </w:r>
      <w:r>
        <w:rPr>
          <w:rFonts w:ascii="Calibri" w:hAnsi="Calibri" w:eastAsia="微软雅黑"/>
          <w:b/>
          <w:i w:val="0"/>
          <w:sz w:val="22"/>
        </w:rPr>
        <w:t>履约中</w:t>
      </w:r>
      <w:r>
        <w:rPr>
          <w:rFonts w:ascii="Calibri" w:hAnsi="Calibri" w:eastAsia="微软雅黑"/>
          <w:b w:val="0"/>
          <w:i w:val="0"/>
          <w:sz w:val="22"/>
        </w:rPr>
        <w:t>常驻三件事——概算对比周报（其二）、现场派驻与签单授权链（其五）、长周期设备货期预警（其四）；</w:t>
      </w:r>
      <w:r>
        <w:rPr>
          <w:rFonts w:ascii="Calibri" w:hAnsi="Calibri" w:eastAsia="微软雅黑"/>
          <w:b/>
          <w:i w:val="0"/>
          <w:sz w:val="22"/>
        </w:rPr>
        <w:t>结算前</w:t>
      </w:r>
      <w:r>
        <w:rPr>
          <w:rFonts w:ascii="Calibri" w:hAnsi="Calibri" w:eastAsia="微软雅黑"/>
          <w:b w:val="0"/>
          <w:i w:val="0"/>
          <w:sz w:val="22"/>
        </w:rPr>
        <w:t>做两件事——合同链条完整性审计（其八）、不足额付款时以还款计划固定债权（P6011）。每件事都有验证或停止条件，不满足条件就暂停出图、暂停签约、暂停送审——止损点的价值不在清单本身，在于敢不敢执行停止条件。</w:t>
      </w:r>
    </w:p>
    <w:p>
      <w:pPr>
        <w:pStyle w:val="Heading2"/>
      </w:pPr>
      <w:r>
        <w:t>本章小结与盲区</w:t>
      </w:r>
    </w:p>
    <w:p>
      <w:r>
        <w:rPr>
          <w:rFonts w:ascii="Calibri" w:hAnsi="Calibri" w:eastAsia="微软雅黑"/>
          <w:b/>
          <w:i w:val="0"/>
          <w:sz w:val="22"/>
        </w:rPr>
        <w:t>小结六问</w:t>
      </w:r>
    </w:p>
    <w:p>
      <w:pPr>
        <w:pStyle w:val="ListBullet"/>
      </w:pPr>
      <w:r>
        <w:rPr>
          <w:rFonts w:ascii="Calibri" w:hAnsi="Calibri" w:eastAsia="微软雅黑"/>
          <w:b/>
          <w:i w:val="0"/>
          <w:sz w:val="22"/>
        </w:rPr>
        <w:t>证明了什么</w:t>
      </w:r>
      <w:r>
        <w:rPr>
          <w:rFonts w:ascii="Calibri" w:hAnsi="Calibri" w:eastAsia="微软雅黑"/>
          <w:b w:val="0"/>
          <w:i w:val="0"/>
          <w:sz w:val="22"/>
        </w:rPr>
        <w:t>：设计主导权的成本锁定力在三个独立来源中口径重叠（七到九成／70%以上／约85%，P6000、P6019、P6030），设计院做总包的优势有成本结构依据，且有4.193706亿元、12390.38万元、92000万元、2715万元等多个量级的订单证据（P6033、P6014、P6001、P6009）。同时，裁判文书显示优势变现需要现场管控、变更管理、计价条款三套体系同时在线：任何一套缺位，优势都会反转为账单——现场缺位反转成4234024元拖欠纠纷（P6005），变更确认反转成38个月的利息拉锯（P6010），计价条款反转成4034.30万元的名义缺口（own_calc：17,402.96－13,368.66，源：P6028）。</w:t>
      </w:r>
    </w:p>
    <w:p>
      <w:pPr>
        <w:pStyle w:val="ListBullet"/>
      </w:pPr>
      <w:r>
        <w:rPr>
          <w:rFonts w:ascii="Calibri" w:hAnsi="Calibri" w:eastAsia="微软雅黑"/>
          <w:b/>
          <w:i w:val="0"/>
          <w:sz w:val="22"/>
        </w:rPr>
        <w:t>输入在哪</w:t>
      </w:r>
      <w:r>
        <w:rPr>
          <w:rFonts w:ascii="Calibri" w:hAnsi="Calibri" w:eastAsia="微软雅黑"/>
          <w:b w:val="0"/>
          <w:i w:val="0"/>
          <w:sz w:val="22"/>
        </w:rPr>
        <w:t>：bank源编号覆盖P6000—P6034，本章实际调用其中过半：裁判文书类构成主体（P6001—P6005、P6007—P6014、P6017、P6021、P6026、P6027、P6029），行业RSS叙述类（P6000、P6016、P6028、P6030、P6032）、企业研究类（P6015、P6018、P6019、P6031、P6033）、劳动合同与检索佐证（P6034、P6019）为其余来源。未采用的源见盲区第4条。</w:t>
      </w:r>
    </w:p>
    <w:p>
      <w:pPr>
        <w:pStyle w:val="ListBullet"/>
      </w:pPr>
      <w:r>
        <w:rPr>
          <w:rFonts w:ascii="Calibri" w:hAnsi="Calibri" w:eastAsia="微软雅黑"/>
          <w:b/>
          <w:i w:val="0"/>
          <w:sz w:val="22"/>
        </w:rPr>
        <w:t>怎么算的</w:t>
      </w:r>
      <w:r>
        <w:rPr>
          <w:rFonts w:ascii="Calibri" w:hAnsi="Calibri" w:eastAsia="微软雅黑"/>
          <w:b w:val="0"/>
          <w:i w:val="0"/>
          <w:sz w:val="22"/>
        </w:rPr>
        <w:t>：所有金额逐字引用bank原文形态（逗号形保持逗号形，如51,487,623.82元，P6002；非逗号形保持非逗号形，如92000万元，P6001）；跨源聚合与比例换算共11处own_calc——三案本金合计69021480.48元；鲁班案三项本金5408126.66元；中南院未付比例8.4%、三项合计10302.3081万元及11.2%；湖北院增幅21.1%、欠付比例91.3%；金昌案差额2286.74314万元；梧州案差额461969元；中南院费案13.8%；赤天化差额61528745元及11.8%；上限缺口4034.30万元及漏项占比42.5%。</w:t>
      </w:r>
    </w:p>
    <w:p>
      <w:pPr>
        <w:pStyle w:val="ListBullet"/>
      </w:pPr>
      <w:r>
        <w:rPr>
          <w:rFonts w:ascii="Calibri" w:hAnsi="Calibri" w:eastAsia="微软雅黑"/>
          <w:b/>
          <w:i w:val="0"/>
          <w:sz w:val="22"/>
        </w:rPr>
        <w:t>依赖什么前提</w:t>
      </w:r>
      <w:r>
        <w:rPr>
          <w:rFonts w:ascii="Calibri" w:hAnsi="Calibri" w:eastAsia="微软雅黑"/>
          <w:b w:val="0"/>
          <w:i w:val="0"/>
          <w:sz w:val="22"/>
        </w:rPr>
        <w:t>：其一，裁判文书中的金额多为单方诉请或某一审级的认定，不等于终审结果与实际执行金额；其二，RSS源的行业比例数字（80%、60%-70%、70%）未附原始统计出处（P6016），已按证据档位降格处理；其三，样本来自检索命中而非随机抽样，电力行业项目体量大，金额的可比性有限。</w:t>
      </w:r>
    </w:p>
    <w:p>
      <w:pPr>
        <w:pStyle w:val="ListBullet"/>
      </w:pPr>
      <w:r>
        <w:rPr>
          <w:rFonts w:ascii="Calibri" w:hAnsi="Calibri" w:eastAsia="微软雅黑"/>
          <w:b/>
          <w:i w:val="0"/>
          <w:sz w:val="22"/>
        </w:rPr>
        <w:t>还有什么解释</w:t>
      </w:r>
      <w:r>
        <w:rPr>
          <w:rFonts w:ascii="Calibri" w:hAnsi="Calibri" w:eastAsia="微软雅黑"/>
          <w:b w:val="0"/>
          <w:i w:val="0"/>
          <w:sz w:val="22"/>
        </w:rPr>
        <w:t>：设计院涉诉多，也可能反映其法务与商务风格更倾向诉讼清算，而非管理更差；涉诉金额大，也可能与电力工程的项目体量相关（P6001、P6021）而非管控水平；6.2的新疆系列案集中于一家企业，可能是个案而非常态。</w:t>
      </w:r>
    </w:p>
    <w:p>
      <w:pPr>
        <w:pStyle w:val="ListBullet"/>
      </w:pPr>
      <w:r>
        <w:rPr>
          <w:rFonts w:ascii="Calibri" w:hAnsi="Calibri" w:eastAsia="微软雅黑"/>
          <w:b/>
          <w:i w:val="0"/>
          <w:sz w:val="22"/>
        </w:rPr>
        <w:t>什么证据会改变答案</w:t>
      </w:r>
      <w:r>
        <w:rPr>
          <w:rFonts w:ascii="Calibri" w:hAnsi="Calibri" w:eastAsia="微软雅黑"/>
          <w:b w:val="0"/>
          <w:i w:val="0"/>
          <w:sz w:val="22"/>
        </w:rPr>
        <w:t>：设计院总包项目的分母数据（项目总数、纠纷率、按期回款率）若可获得，且纠纷率低于施工企业牵头的EPC，本章「陷阱」的权重需要整体下调。</w:t>
      </w:r>
    </w:p>
    <w:p>
      <w:r>
        <w:rPr>
          <w:rFonts w:ascii="Calibri" w:hAnsi="Calibri" w:eastAsia="微软雅黑"/>
          <w:b/>
          <w:i w:val="0"/>
          <w:sz w:val="22"/>
        </w:rPr>
        <w:t>一句话收束</w:t>
      </w:r>
      <w:r>
        <w:rPr>
          <w:rFonts w:ascii="Calibri" w:hAnsi="Calibri" w:eastAsia="微软雅黑"/>
          <w:b w:val="0"/>
          <w:i w:val="0"/>
          <w:sz w:val="22"/>
        </w:rPr>
        <w:t>：设计院做总包，赢在别人改不动的图纸上，输在自己没管住的签字里——图纸锁定70%—90%的成本（P6000、P6019、P6030），签字决定结算时这些成本由谁承担（P6007、P6016、P6028）；优势与陷阱不是两个问题，是同一个能力问题的两张报表。</w:t>
      </w:r>
    </w:p>
    <w:p>
      <w:r>
        <w:rPr>
          <w:rFonts w:ascii="Calibri" w:hAnsi="Calibri" w:eastAsia="微软雅黑"/>
          <w:b/>
          <w:i w:val="0"/>
          <w:sz w:val="22"/>
        </w:rPr>
        <w:t>本章在全书中弧线中的位置</w:t>
      </w:r>
      <w:r>
        <w:rPr>
          <w:rFonts w:ascii="Calibri" w:hAnsi="Calibri" w:eastAsia="微软雅黑"/>
          <w:b w:val="0"/>
          <w:i w:val="0"/>
          <w:sz w:val="22"/>
        </w:rPr>
        <w:t>：全书沿「问题到修复」展开，本章处在问题侧的收束位置——前几章已展示设计施工「两张皮」的成因与代价，本章把镜头对准最有条件消灭「两张皮」的主体（设计院），检验它握住主导权之后究竟拿到了利润还是账单；结论是双面的：主导权真实，但变现依赖现场管控、变更管理、计价条款三套体系。后续章节讨论的修复方案（限额设计机制化、联合办公、AI清单核对等，P6000），都应对照本章的八类司法账单逐一检验，凡是账单里出现过的失效模式，方案里必须有对应的堵点。</w:t>
      </w:r>
    </w:p>
    <w:p>
      <w:r>
        <w:rPr>
          <w:rFonts w:ascii="Calibri" w:hAnsi="Calibri" w:eastAsia="微软雅黑"/>
          <w:b/>
          <w:i w:val="0"/>
          <w:sz w:val="22"/>
        </w:rPr>
        <w:t>反证三问</w:t>
      </w:r>
    </w:p>
    <w:p>
      <w:pPr>
        <w:pStyle w:val="ListBullet"/>
      </w:pPr>
      <w:r>
        <w:rPr>
          <w:rFonts w:ascii="Calibri" w:hAnsi="Calibri" w:eastAsia="微软雅黑"/>
          <w:b/>
          <w:i w:val="0"/>
          <w:sz w:val="22"/>
        </w:rPr>
        <w:t>什么事实会推翻本章判断</w:t>
      </w:r>
      <w:r>
        <w:rPr>
          <w:rFonts w:ascii="Calibri" w:hAnsi="Calibri" w:eastAsia="微软雅黑"/>
          <w:b w:val="0"/>
          <w:i w:val="0"/>
          <w:sz w:val="22"/>
        </w:rPr>
        <w:t>：大样本统计显示设计牵头EPC的结算争议率、超概、超限比例低于施工企业牵头EPC——则「设计院总包陷阱更重」的叙事被推翻，优势一节应当扩写、陷阱一节应当收缩；或者2025年9月1日分水岭之后（P6028），总价上限类争议的裁判整体转向承包人获调增，则6.3.4的风险描述过时。</w:t>
      </w:r>
    </w:p>
    <w:p>
      <w:pPr>
        <w:pStyle w:val="ListBullet"/>
      </w:pPr>
      <w:r>
        <w:rPr>
          <w:rFonts w:ascii="Calibri" w:hAnsi="Calibri" w:eastAsia="微软雅黑"/>
          <w:b/>
          <w:i w:val="0"/>
          <w:sz w:val="22"/>
        </w:rPr>
        <w:t>现有反证为何不足</w:t>
      </w:r>
      <w:r>
        <w:rPr>
          <w:rFonts w:ascii="Calibri" w:hAnsi="Calibri" w:eastAsia="微软雅黑"/>
          <w:b w:val="0"/>
          <w:i w:val="0"/>
          <w:sz w:val="22"/>
        </w:rPr>
        <w:t>：成功项目不进裁判文书，bank中没有设计院总包正常结算、按期回款的对照样本；P6019的检索明确显示，连一家特定设计院的EPC毛利率区间数据都无法在公开渠道确认——正面绩效数据整体缺失，反证无从组织，只能以盲区形式声明。</w:t>
      </w:r>
    </w:p>
    <w:p>
      <w:pPr>
        <w:pStyle w:val="ListBullet"/>
      </w:pPr>
      <w:r>
        <w:rPr>
          <w:rFonts w:ascii="Calibri" w:hAnsi="Calibri" w:eastAsia="微软雅黑"/>
          <w:b/>
          <w:i w:val="0"/>
          <w:sz w:val="22"/>
        </w:rPr>
        <w:t>哪个未知可能改变读者选择</w:t>
      </w:r>
      <w:r>
        <w:rPr>
          <w:rFonts w:ascii="Calibri" w:hAnsi="Calibri" w:eastAsia="微软雅黑"/>
          <w:b w:val="0"/>
          <w:i w:val="0"/>
          <w:sz w:val="22"/>
        </w:rPr>
        <w:t>：设计院联合体与设计院一体化法人两种模式的风险差（bank中金昌案以设计院＋设备公司联合体出现，P6008、P6012，但无对照组）；单价合同＋总价上限条款在新计价标准下的效力走向（P6028）；境外全分包背靠背条款的可执行性判例（P6031）。</w:t>
      </w:r>
    </w:p>
    <w:p>
      <w:r>
        <w:rPr>
          <w:rFonts w:ascii="Calibri" w:hAnsi="Calibri" w:eastAsia="微软雅黑"/>
          <w:b/>
          <w:i w:val="0"/>
          <w:sz w:val="22"/>
        </w:rPr>
        <w:t>盲区声明（证据未覆盖处，如实交代）</w:t>
      </w:r>
    </w:p>
    <w:p>
      <w:pPr>
        <w:pStyle w:val="ListNumber"/>
      </w:pPr>
      <w:r>
        <w:rPr>
          <w:rFonts w:ascii="Calibri" w:hAnsi="Calibri" w:eastAsia="微软雅黑"/>
          <w:b w:val="0"/>
          <w:i w:val="0"/>
          <w:sz w:val="22"/>
        </w:rPr>
        <w:t>本章没有设计院总包业务的行业级利润率、市场份额、纠纷率统计——P6019检索已明确该类数据不可得，相关判断只能落在案例层，不做总体外推。</w:t>
      </w:r>
    </w:p>
    <w:p>
      <w:pPr>
        <w:pStyle w:val="ListNumber"/>
      </w:pPr>
      <w:r>
        <w:rPr>
          <w:rFonts w:ascii="Calibri" w:hAnsi="Calibri" w:eastAsia="微软雅黑"/>
          <w:b w:val="0"/>
          <w:i w:val="0"/>
          <w:sz w:val="22"/>
        </w:rPr>
        <w:t>裁判文书存在幸存者偏差：bank中缺少按期结算、正常回款的项目样本；6.1的企业画像（P6018、P6033）不能对冲纠纷样本的负面权重，两者不可相互抵消地解读。</w:t>
      </w:r>
    </w:p>
    <w:p>
      <w:pPr>
        <w:pStyle w:val="ListNumber"/>
      </w:pPr>
      <w:r>
        <w:rPr>
          <w:rFonts w:ascii="Calibri" w:hAnsi="Calibri" w:eastAsia="微软雅黑"/>
          <w:b w:val="0"/>
          <w:i w:val="0"/>
          <w:sz w:val="22"/>
        </w:rPr>
        <w:t>境外设计院总包仅一条方法论来源（P6031），无金额案例，境外风险只能定性提示，无法定量。</w:t>
      </w:r>
    </w:p>
    <w:p>
      <w:pPr>
        <w:pStyle w:val="ListNumber"/>
      </w:pPr>
      <w:r>
        <w:rPr>
          <w:rFonts w:ascii="Calibri" w:hAnsi="Calibri" w:eastAsia="微软雅黑"/>
          <w:b w:val="0"/>
          <w:i w:val="0"/>
          <w:sz w:val="22"/>
        </w:rPr>
        <w:t>以下源因相关性弱或内容异常未采用：P6006（内容与标题错位，遥感素材混入）、P6022、P6023、P6024、P6025（施工企业间或公司治理纠纷，与设计院总包主题弱相关）；P6017仅作计价条款样本部分采用。读者不应把「未采用」理解为「无价值」，它们属于本章检索口径外的证据。</w:t>
      </w:r>
    </w:p>
    <w:p>
      <w:pPr>
        <w:pStyle w:val="ListNumber"/>
      </w:pPr>
      <w:r>
        <w:rPr>
          <w:rFonts w:ascii="Calibri" w:hAnsi="Calibri" w:eastAsia="微软雅黑"/>
          <w:b w:val="0"/>
          <w:i w:val="0"/>
          <w:sz w:val="22"/>
        </w:rPr>
        <w:t>RSS源的行业比例数字（P6016）与「分水岭2025年9月1日」的时间判断（P6028）均为自媒体口径，未附原始出处；若后续获得权威统计或新裁判口径，相关段落应率先修订。</w:t>
      </w:r>
    </w:p>
    <w:p>
      <w:r>
        <w:rPr>
          <w:rFonts w:ascii="Calibri" w:hAnsi="Calibri" w:eastAsia="微软雅黑"/>
          <w:b w:val="0"/>
          <w:i w:val="0"/>
          <w:sz w:val="22"/>
        </w:rPr>
        <w:t>---</w:t>
      </w:r>
    </w:p>
    <w:p>
      <w:pPr>
        <w:pStyle w:val="Heading1"/>
      </w:pPr>
      <w:r>
        <w:t>第7章 判例图谱：变更纠纷的败诉原因与高频风险</w:t>
      </w:r>
    </w:p>
    <w:p>
      <w:pPr>
        <w:ind w:left="454"/>
      </w:pPr>
      <w:r>
        <w:rPr>
          <w:rFonts w:ascii="Calibri" w:hAnsi="Calibri" w:eastAsia="微软雅黑"/>
          <w:b w:val="0"/>
          <w:i w:val="0"/>
          <w:color w:val="666666"/>
          <w:sz w:val="22"/>
        </w:rPr>
        <w:t>变更与索赔的胜负，常常不在工地上见分晓，而在函件、台账与合同条款里早已写定。本章把三十余份判例与风险实录拆成一张图谱：程序失权、计价失控、源头瑕疵、风险转移落空、主体欺诈——五类败诉原因反复上演。按图索骥，别人付过的学费可以变成你的防线。</w:t>
      </w:r>
    </w:p>
    <w:p>
      <w:r>
        <w:rPr>
          <w:rFonts w:ascii="Calibri" w:hAnsi="Calibri" w:eastAsia="微软雅黑"/>
          <w:b/>
          <w:i w:val="0"/>
          <w:sz w:val="22"/>
        </w:rPr>
        <w:t>adds：</w:t>
      </w:r>
      <w:r>
        <w:rPr>
          <w:rFonts w:ascii="Calibri" w:hAnsi="Calibri" w:eastAsia="微软雅黑"/>
          <w:b w:val="0"/>
          <w:i w:val="0"/>
          <w:sz w:val="22"/>
        </w:rPr>
        <w:t xml:space="preserve"> 读完本章，读者多知道三件事：变更纠纷在裁判实践中按什么规律判输赢；五类高频败诉原因各自缺的是什么证据形态；每一条防线配套的验证动作与停止条件。</w:t>
      </w:r>
    </w:p>
    <w:p>
      <w:pPr>
        <w:pStyle w:val="Heading2"/>
      </w:pPr>
      <w:r>
        <w:t>7.1 判例全景：三十余案收敛出的五类败诉原因</w:t>
      </w:r>
    </w:p>
    <w:p>
      <w:r>
        <w:rPr>
          <w:rFonts w:ascii="Calibri" w:hAnsi="Calibri" w:eastAsia="微软雅黑"/>
          <w:b w:val="0"/>
          <w:i w:val="0"/>
          <w:sz w:val="22"/>
        </w:rPr>
        <w:t>对工程企业的管理层与设计院的掌舵人而言，判例的价值不在于故事，而在于收敛规律。单个案子看是运气，三十个案子摆在一起看，就是结构。[事实] 本章检视的材料覆盖了从最高人民法院二审（P7007）、省高级人民法院一审（P7034）、中级法院再审（P7033）到跨境高等法院裁定（P7013）的完整层级，也覆盖了EPC总承包合同纠纷（P7007）、施工合同纠纷（P7008、P7009、P7032）、公司治理与结算程序交织的损害公司利益责任纠纷（P7011）以及合同诈骗刑事案件（P7031）。争点五花八门，败诉机理却高度重合。</w:t>
      </w:r>
    </w:p>
    <w:p>
      <w:r>
        <w:rPr>
          <w:rFonts w:ascii="Calibri" w:hAnsi="Calibri" w:eastAsia="微软雅黑"/>
          <w:b w:val="0"/>
          <w:i w:val="0"/>
          <w:sz w:val="22"/>
        </w:rPr>
        <w:t>把三十余案的败诉与高危风险点逐一归位，可以收敛为五类。这个分类不是理论推演，而是从bank所载每份文书的诉辩焦点里直接长出来的[事实]（P7004、P7007、P7008、P7009、P7011、P7013、P7022、P7023、P7024、P7028、P7031、P7032、P7033、P7034）。</w:t>
      </w:r>
    </w:p>
    <w:p>
      <w:r>
        <w:rPr>
          <w:rFonts w:ascii="Calibri" w:hAnsi="Calibri" w:eastAsia="微软雅黑"/>
          <w:b/>
          <w:i w:val="0"/>
          <w:sz w:val="22"/>
        </w:rPr>
        <w:t>第一类：程序失权。</w:t>
      </w:r>
      <w:r>
        <w:rPr>
          <w:rFonts w:ascii="Calibri" w:hAnsi="Calibri" w:eastAsia="微软雅黑"/>
          <w:b w:val="0"/>
          <w:i w:val="0"/>
          <w:sz w:val="22"/>
        </w:rPr>
        <w:t xml:space="preserve"> 活干了、钱花了、事实也存在，但索赔没按合同约定的形式与期限提出，权利在程序环节就被拦下。桐梓煤化工EPC案中，发包方逾期移交施工平台的事实双方均认可，但承包方的窝工主张仍被对方以「未按合同约定的方式向业主、监理单位报送损失金额、停工时长、停工原因的报告」抗辩（P7007）；FIDIC 2017版体系下，索赔通知一般要求在察觉或应察觉后28天内提出，逾期直接失权，详细索赔报告通常要求在通知后42天内提交（P7004）。</w:t>
      </w:r>
    </w:p>
    <w:p>
      <w:r>
        <w:rPr>
          <w:rFonts w:ascii="Calibri" w:hAnsi="Calibri" w:eastAsia="微软雅黑"/>
          <w:b/>
          <w:i w:val="0"/>
          <w:sz w:val="22"/>
        </w:rPr>
        <w:t>第二类：计价依据失控。</w:t>
      </w:r>
      <w:r>
        <w:rPr>
          <w:rFonts w:ascii="Calibri" w:hAnsi="Calibri" w:eastAsia="微软雅黑"/>
          <w:b w:val="0"/>
          <w:i w:val="0"/>
          <w:sz w:val="22"/>
        </w:rPr>
        <w:t xml:space="preserve"> 固定总价、以审计为准、超限超概三把锁同时落下时，变更签证明明签了，钱依然拿不回来。某央企EPC项目合同暂定总价46.65亿元，结算时报送65亿元，发包方以「未整改完成」为由拒绝结算，审计搁置两年多（P7023）；另一央企安置房项目概算3.2亿元、中标价2.8亿元，合同写明「最终结算价以政府审计结果为准」，竣工后审计拖延两年才出结果，按概算总额封顶，合理变更签证被「概算不足」为由否决（P7022）。</w:t>
      </w:r>
    </w:p>
    <w:p>
      <w:r>
        <w:rPr>
          <w:rFonts w:ascii="Calibri" w:hAnsi="Calibri" w:eastAsia="微软雅黑"/>
          <w:b/>
          <w:i w:val="0"/>
          <w:sz w:val="22"/>
        </w:rPr>
        <w:t>第三类：源头程序瑕疵。</w:t>
      </w:r>
      <w:r>
        <w:rPr>
          <w:rFonts w:ascii="Calibri" w:hAnsi="Calibri" w:eastAsia="微软雅黑"/>
          <w:b w:val="0"/>
          <w:i w:val="0"/>
          <w:sz w:val="22"/>
        </w:rPr>
        <w:t xml:space="preserve"> 招投标阶段的违法与失范，在结算阶段收账。某水电站EPC项目开标后、中标结果揭晓前，业主先后三次要求投标联营体降价，报价从194351955元一路压到174318000元才中标，联营体起诉主张中标无效（P7034）；桐梓案中承包方上诉主张投标总价521965260元、而EPC合同约定工程价款460436515元，两者不一致违反招标投标法及其实施条例，请求确认合同无效（P7007）。</w:t>
      </w:r>
    </w:p>
    <w:p>
      <w:r>
        <w:rPr>
          <w:rFonts w:ascii="Calibri" w:hAnsi="Calibri" w:eastAsia="微软雅黑"/>
          <w:b/>
          <w:i w:val="0"/>
          <w:sz w:val="22"/>
        </w:rPr>
        <w:t>第四类：风险转移落空。</w:t>
      </w:r>
      <w:r>
        <w:rPr>
          <w:rFonts w:ascii="Calibri" w:hAnsi="Calibri" w:eastAsia="微软雅黑"/>
          <w:b w:val="0"/>
          <w:i w:val="0"/>
          <w:sz w:val="22"/>
        </w:rPr>
        <w:t xml:space="preserve"> 设计院转型总承包后寄望于「背靠背」条款把风险推给下游，结果分包商履约能力不足造成工期延误、跨境合规责任传导不彻底由总包兜底、背靠背条款设计缺陷造成索赔无据（P7017）；海外项目中接口管理失当，研究表明接口问题可能使项目成本增加10-20%、进度延误超过30%（P7021）。</w:t>
      </w:r>
    </w:p>
    <w:p>
      <w:r>
        <w:rPr>
          <w:rFonts w:ascii="Calibri" w:hAnsi="Calibri" w:eastAsia="微软雅黑"/>
          <w:b/>
          <w:i w:val="0"/>
          <w:sz w:val="22"/>
        </w:rPr>
        <w:t>第五类：主体与真实性风险。</w:t>
      </w:r>
      <w:r>
        <w:rPr>
          <w:rFonts w:ascii="Calibri" w:hAnsi="Calibri" w:eastAsia="微软雅黑"/>
          <w:b w:val="0"/>
          <w:i w:val="0"/>
          <w:sz w:val="22"/>
        </w:rPr>
        <w:t xml:space="preserve"> 判例图谱里还有一类不体面却高发的风险：交易对手本身就是假的。西藏某光伏项目中，行为人谎称中国电建系总承包方，伪造公章、劳务总包合同、保证金收据乃至国家能源局红头文件，以收取保证金、业务拓展费名义骗取被害人共计人民币860万元，其中200万元未遂（P7031）。</w:t>
      </w:r>
    </w:p>
    <w:p>
      <w:pPr>
        <w:pStyle w:val="Heading3"/>
      </w:pPr>
      <w:r>
        <w:t>判例图谱总表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案例（审理法院/案号）</w:t>
            </w:r>
          </w:p>
        </w:tc>
        <w:tc>
          <w:tcPr>
            <w:tcW w:type="dxa" w:w="2075"/>
            <w:shd w:fill="1F3A5F"/>
          </w:tcPr>
          <w:p>
            <w:r>
              <w:rPr>
                <w:color w:val="FFFFFF"/>
              </w:rPr>
            </w:r>
            <w:r>
              <w:rPr>
                <w:rFonts w:ascii="Calibri" w:hAnsi="Calibri" w:eastAsia="微软雅黑"/>
                <w:b/>
                <w:i w:val="0"/>
                <w:color w:val="FFFFFF"/>
                <w:sz w:val="18"/>
              </w:rPr>
              <w:t>合同与争点</w:t>
            </w:r>
          </w:p>
        </w:tc>
        <w:tc>
          <w:tcPr>
            <w:tcW w:type="dxa" w:w="2075"/>
            <w:shd w:fill="1F3A5F"/>
          </w:tcPr>
          <w:p>
            <w:r>
              <w:rPr>
                <w:color w:val="FFFFFF"/>
              </w:rPr>
            </w:r>
            <w:r>
              <w:rPr>
                <w:rFonts w:ascii="Calibri" w:hAnsi="Calibri" w:eastAsia="微软雅黑"/>
                <w:b/>
                <w:i w:val="0"/>
                <w:color w:val="FFFFFF"/>
                <w:sz w:val="18"/>
              </w:rPr>
              <w:t>关键数字（bank原形）</w:t>
            </w:r>
          </w:p>
        </w:tc>
        <w:tc>
          <w:tcPr>
            <w:tcW w:type="dxa" w:w="2075"/>
            <w:shd w:fill="1F3A5F"/>
          </w:tcPr>
          <w:p>
            <w:r>
              <w:rPr>
                <w:color w:val="FFFFFF"/>
              </w:rPr>
            </w:r>
            <w:r>
              <w:rPr>
                <w:rFonts w:ascii="Calibri" w:hAnsi="Calibri" w:eastAsia="微软雅黑"/>
                <w:b/>
                <w:i w:val="0"/>
                <w:color w:val="FFFFFF"/>
                <w:sz w:val="18"/>
              </w:rPr>
              <w:t>败诉/风险点</w:t>
            </w:r>
          </w:p>
        </w:tc>
      </w:tr>
      <w:tr>
        <w:tc>
          <w:tcPr>
            <w:tcW w:type="dxa" w:w="2075"/>
          </w:tcPr>
          <w:p>
            <w:r/>
            <w:r>
              <w:rPr>
                <w:rFonts w:ascii="Calibri" w:hAnsi="Calibri" w:eastAsia="微软雅黑"/>
                <w:b w:val="0"/>
                <w:i w:val="0"/>
                <w:sz w:val="18"/>
              </w:rPr>
              <w:t>中国电建新能源（原贵州电建二公司）诉贵州赤天化桐梓化工，最高法（2019）民终1356号</w:t>
            </w:r>
          </w:p>
        </w:tc>
        <w:tc>
          <w:tcPr>
            <w:tcW w:type="dxa" w:w="2075"/>
          </w:tcPr>
          <w:p>
            <w:r/>
            <w:r>
              <w:rPr>
                <w:rFonts w:ascii="Calibri" w:hAnsi="Calibri" w:eastAsia="微软雅黑"/>
                <w:b w:val="0"/>
                <w:i w:val="0"/>
                <w:sz w:val="18"/>
              </w:rPr>
              <w:t>煤化工EPC总承包合同效力、窝工索赔、司法鉴定</w:t>
            </w:r>
          </w:p>
        </w:tc>
        <w:tc>
          <w:tcPr>
            <w:tcW w:type="dxa" w:w="2075"/>
          </w:tcPr>
          <w:p>
            <w:r/>
            <w:r>
              <w:rPr>
                <w:rFonts w:ascii="Calibri" w:hAnsi="Calibri" w:eastAsia="微软雅黑"/>
                <w:b w:val="0"/>
                <w:i w:val="0"/>
                <w:sz w:val="18"/>
              </w:rPr>
              <w:t>诉请欠付款131845782元；投标总价521965260元；合同价款460436515元（P7007）</w:t>
            </w:r>
          </w:p>
        </w:tc>
        <w:tc>
          <w:tcPr>
            <w:tcW w:type="dxa" w:w="2075"/>
          </w:tcPr>
          <w:p>
            <w:r/>
            <w:r>
              <w:rPr>
                <w:rFonts w:ascii="Calibri" w:hAnsi="Calibri" w:eastAsia="微软雅黑"/>
                <w:b w:val="0"/>
                <w:i w:val="0"/>
                <w:sz w:val="18"/>
              </w:rPr>
              <w:t>窝工仅提事实、未按约定报送损失报告；鉴定中「无签字部分」与推算金额原审未获支持（P7007）</w:t>
            </w:r>
          </w:p>
        </w:tc>
      </w:tr>
      <w:tr>
        <w:tc>
          <w:tcPr>
            <w:tcW w:type="dxa" w:w="2075"/>
          </w:tcPr>
          <w:p>
            <w:r/>
            <w:r>
              <w:rPr>
                <w:rFonts w:ascii="Calibri" w:hAnsi="Calibri" w:eastAsia="微软雅黑"/>
                <w:b w:val="0"/>
                <w:i w:val="0"/>
                <w:sz w:val="18"/>
              </w:rPr>
              <w:t>电建北京院+水电四局诉丽江五郎河水电，云南高院（2018）民初168号</w:t>
            </w:r>
          </w:p>
        </w:tc>
        <w:tc>
          <w:tcPr>
            <w:tcW w:type="dxa" w:w="2075"/>
          </w:tcPr>
          <w:p>
            <w:r/>
            <w:r>
              <w:rPr>
                <w:rFonts w:ascii="Calibri" w:hAnsi="Calibri" w:eastAsia="微软雅黑"/>
                <w:b w:val="0"/>
                <w:i w:val="0"/>
                <w:sz w:val="18"/>
              </w:rPr>
              <w:t>水电站EPC总承包、招投标程序违法与解除</w:t>
            </w:r>
          </w:p>
        </w:tc>
        <w:tc>
          <w:tcPr>
            <w:tcW w:type="dxa" w:w="2075"/>
          </w:tcPr>
          <w:p>
            <w:r/>
            <w:r>
              <w:rPr>
                <w:rFonts w:ascii="Calibri" w:hAnsi="Calibri" w:eastAsia="微软雅黑"/>
                <w:b w:val="0"/>
                <w:i w:val="0"/>
                <w:sz w:val="18"/>
              </w:rPr>
              <w:t>中标价174318000元；报价三次下行194351955→179173980→175318593→174318000元；诉请欠付38672952元、损失10610000元（P7034）</w:t>
            </w:r>
          </w:p>
        </w:tc>
        <w:tc>
          <w:tcPr>
            <w:tcW w:type="dxa" w:w="2075"/>
          </w:tcPr>
          <w:p>
            <w:r/>
            <w:r>
              <w:rPr>
                <w:rFonts w:ascii="Calibri" w:hAnsi="Calibri" w:eastAsia="微软雅黑"/>
                <w:b w:val="0"/>
                <w:i w:val="0"/>
                <w:sz w:val="18"/>
              </w:rPr>
              <w:t>中标前业主三次压价，联营体主张依招投标法第五十五条中标无效（P7034）</w:t>
            </w:r>
          </w:p>
        </w:tc>
      </w:tr>
      <w:tr>
        <w:tc>
          <w:tcPr>
            <w:tcW w:type="dxa" w:w="2075"/>
          </w:tcPr>
          <w:p>
            <w:r/>
            <w:r>
              <w:rPr>
                <w:rFonts w:ascii="Calibri" w:hAnsi="Calibri" w:eastAsia="微软雅黑"/>
                <w:b w:val="0"/>
                <w:i w:val="0"/>
                <w:sz w:val="18"/>
              </w:rPr>
              <w:t>四川电力设计咨询诉岳池送变电，阿坝中院（2019）再2号</w:t>
            </w:r>
          </w:p>
        </w:tc>
        <w:tc>
          <w:tcPr>
            <w:tcW w:type="dxa" w:w="2075"/>
          </w:tcPr>
          <w:p>
            <w:r/>
            <w:r>
              <w:rPr>
                <w:rFonts w:ascii="Calibri" w:hAnsi="Calibri" w:eastAsia="微软雅黑"/>
                <w:b w:val="0"/>
                <w:i w:val="0"/>
                <w:sz w:val="18"/>
              </w:rPr>
              <w:t>施工总承包固定总价、造价鉴定边界</w:t>
            </w:r>
          </w:p>
        </w:tc>
        <w:tc>
          <w:tcPr>
            <w:tcW w:type="dxa" w:w="2075"/>
          </w:tcPr>
          <w:p>
            <w:r/>
            <w:r>
              <w:rPr>
                <w:rFonts w:ascii="Calibri" w:hAnsi="Calibri" w:eastAsia="微软雅黑"/>
                <w:b w:val="0"/>
                <w:i w:val="0"/>
                <w:sz w:val="18"/>
              </w:rPr>
              <w:t>二次复测费用78066元（P7033）</w:t>
            </w:r>
          </w:p>
        </w:tc>
        <w:tc>
          <w:tcPr>
            <w:tcW w:type="dxa" w:w="2075"/>
          </w:tcPr>
          <w:p>
            <w:r/>
            <w:r>
              <w:rPr>
                <w:rFonts w:ascii="Calibri" w:hAnsi="Calibri" w:eastAsia="微软雅黑"/>
                <w:b w:val="0"/>
                <w:i w:val="0"/>
                <w:sz w:val="18"/>
              </w:rPr>
              <w:t>总价包干范围内是否允许鉴定；再审申请人指「未判先决，以鉴定代替审判」（P7033）</w:t>
            </w:r>
          </w:p>
        </w:tc>
      </w:tr>
      <w:tr>
        <w:tc>
          <w:tcPr>
            <w:tcW w:type="dxa" w:w="2075"/>
          </w:tcPr>
          <w:p>
            <w:r/>
            <w:r>
              <w:rPr>
                <w:rFonts w:ascii="Calibri" w:hAnsi="Calibri" w:eastAsia="微软雅黑"/>
                <w:b w:val="0"/>
                <w:i w:val="0"/>
                <w:sz w:val="18"/>
              </w:rPr>
              <w:t>重庆一品诉天王星，重庆一中院（2020）民终985号</w:t>
            </w:r>
          </w:p>
        </w:tc>
        <w:tc>
          <w:tcPr>
            <w:tcW w:type="dxa" w:w="2075"/>
          </w:tcPr>
          <w:p>
            <w:r/>
            <w:r>
              <w:rPr>
                <w:rFonts w:ascii="Calibri" w:hAnsi="Calibri" w:eastAsia="微软雅黑"/>
                <w:b w:val="0"/>
                <w:i w:val="0"/>
                <w:sz w:val="18"/>
              </w:rPr>
              <w:t>逾期付款违约金、价差补贴、质保金</w:t>
            </w:r>
          </w:p>
        </w:tc>
        <w:tc>
          <w:tcPr>
            <w:tcW w:type="dxa" w:w="2075"/>
          </w:tcPr>
          <w:p>
            <w:r/>
            <w:r>
              <w:rPr>
                <w:rFonts w:ascii="Calibri" w:hAnsi="Calibri" w:eastAsia="微软雅黑"/>
                <w:b w:val="0"/>
                <w:i w:val="0"/>
                <w:sz w:val="18"/>
              </w:rPr>
              <w:t>基数8576021.90元、年利率24%；进度款违约金3883273元；质保金2095908.72元；价差471274元+基础损失1565809.08元合计2037083.08元（P7008）</w:t>
            </w:r>
          </w:p>
        </w:tc>
        <w:tc>
          <w:tcPr>
            <w:tcW w:type="dxa" w:w="2075"/>
          </w:tcPr>
          <w:p>
            <w:r/>
            <w:r>
              <w:rPr>
                <w:rFonts w:ascii="Calibri" w:hAnsi="Calibri" w:eastAsia="微软雅黑"/>
                <w:b w:val="0"/>
                <w:i w:val="0"/>
                <w:sz w:val="18"/>
              </w:rPr>
              <w:t>价差与损失索赔须逐项举证；违约金主张口径繁杂（P7008）</w:t>
            </w:r>
          </w:p>
        </w:tc>
      </w:tr>
      <w:tr>
        <w:tc>
          <w:tcPr>
            <w:tcW w:type="dxa" w:w="2075"/>
          </w:tcPr>
          <w:p>
            <w:r/>
            <w:r>
              <w:rPr>
                <w:rFonts w:ascii="Calibri" w:hAnsi="Calibri" w:eastAsia="微软雅黑"/>
                <w:b w:val="0"/>
                <w:i w:val="0"/>
                <w:sz w:val="18"/>
              </w:rPr>
              <w:t>重庆建工诉南方嘉龙，贵州高院（2016）民初295号</w:t>
            </w:r>
          </w:p>
        </w:tc>
        <w:tc>
          <w:tcPr>
            <w:tcW w:type="dxa" w:w="2075"/>
          </w:tcPr>
          <w:p>
            <w:r/>
            <w:r>
              <w:rPr>
                <w:rFonts w:ascii="Calibri" w:hAnsi="Calibri" w:eastAsia="微软雅黑"/>
                <w:b w:val="0"/>
                <w:i w:val="0"/>
                <w:sz w:val="18"/>
              </w:rPr>
              <w:t>欠付工程款、进度款利息损失</w:t>
            </w:r>
          </w:p>
        </w:tc>
        <w:tc>
          <w:tcPr>
            <w:tcW w:type="dxa" w:w="2075"/>
          </w:tcPr>
          <w:p>
            <w:r/>
            <w:r>
              <w:rPr>
                <w:rFonts w:ascii="Calibri" w:hAnsi="Calibri" w:eastAsia="微软雅黑"/>
                <w:b w:val="0"/>
                <w:i w:val="0"/>
                <w:sz w:val="18"/>
              </w:rPr>
              <w:t>欠付款68136209.77元；每日万分之三；利息、损失共计人民币26794045（P7009）</w:t>
            </w:r>
          </w:p>
        </w:tc>
        <w:tc>
          <w:tcPr>
            <w:tcW w:type="dxa" w:w="2075"/>
          </w:tcPr>
          <w:p>
            <w:r/>
            <w:r>
              <w:rPr>
                <w:rFonts w:ascii="Calibri" w:hAnsi="Calibri" w:eastAsia="微软雅黑"/>
                <w:b w:val="0"/>
                <w:i w:val="0"/>
                <w:sz w:val="18"/>
              </w:rPr>
              <w:t>拖延支付进度款的息损按合同约定口径主张（P7009）</w:t>
            </w:r>
          </w:p>
        </w:tc>
      </w:tr>
      <w:tr>
        <w:tc>
          <w:tcPr>
            <w:tcW w:type="dxa" w:w="2075"/>
          </w:tcPr>
          <w:p>
            <w:r/>
            <w:r>
              <w:rPr>
                <w:rFonts w:ascii="Calibri" w:hAnsi="Calibri" w:eastAsia="微软雅黑"/>
                <w:b w:val="0"/>
                <w:i w:val="0"/>
                <w:sz w:val="18"/>
              </w:rPr>
              <w:t>苏中建设诉吴江沿湖开发，苏州中院（2015）民初字第00002号</w:t>
            </w:r>
          </w:p>
        </w:tc>
        <w:tc>
          <w:tcPr>
            <w:tcW w:type="dxa" w:w="2075"/>
          </w:tcPr>
          <w:p>
            <w:r/>
            <w:r>
              <w:rPr>
                <w:rFonts w:ascii="Calibri" w:hAnsi="Calibri" w:eastAsia="微软雅黑"/>
                <w:b w:val="0"/>
                <w:i w:val="0"/>
                <w:sz w:val="18"/>
              </w:rPr>
              <w:t>竣工后拖延结算</w:t>
            </w:r>
          </w:p>
        </w:tc>
        <w:tc>
          <w:tcPr>
            <w:tcW w:type="dxa" w:w="2075"/>
          </w:tcPr>
          <w:p>
            <w:r/>
            <w:r>
              <w:rPr>
                <w:rFonts w:ascii="Calibri" w:hAnsi="Calibri" w:eastAsia="微软雅黑"/>
                <w:b w:val="0"/>
                <w:i w:val="0"/>
                <w:sz w:val="18"/>
              </w:rPr>
              <w:t>诉请工程款31378570元、利息4911862.33元、违约金5116934.78元（P7032）</w:t>
            </w:r>
          </w:p>
        </w:tc>
        <w:tc>
          <w:tcPr>
            <w:tcW w:type="dxa" w:w="2075"/>
          </w:tcPr>
          <w:p>
            <w:r/>
            <w:r>
              <w:rPr>
                <w:rFonts w:ascii="Calibri" w:hAnsi="Calibri" w:eastAsia="微软雅黑"/>
                <w:b w:val="0"/>
                <w:i w:val="0"/>
                <w:sz w:val="18"/>
              </w:rPr>
              <w:t>完整结算资料移交后发包人拖延结算（P7032）</w:t>
            </w:r>
          </w:p>
        </w:tc>
      </w:tr>
      <w:tr>
        <w:tc>
          <w:tcPr>
            <w:tcW w:type="dxa" w:w="2075"/>
          </w:tcPr>
          <w:p>
            <w:r/>
            <w:r>
              <w:rPr>
                <w:rFonts w:ascii="Calibri" w:hAnsi="Calibri" w:eastAsia="微软雅黑"/>
                <w:b w:val="0"/>
                <w:i w:val="0"/>
                <w:sz w:val="18"/>
              </w:rPr>
              <w:t>苏南特种装备诉赵海花，苏州中院（2014）商终字第0164号</w:t>
            </w:r>
          </w:p>
        </w:tc>
        <w:tc>
          <w:tcPr>
            <w:tcW w:type="dxa" w:w="2075"/>
          </w:tcPr>
          <w:p>
            <w:r/>
            <w:r>
              <w:rPr>
                <w:rFonts w:ascii="Calibri" w:hAnsi="Calibri" w:eastAsia="微软雅黑"/>
                <w:b w:val="0"/>
                <w:i w:val="0"/>
                <w:sz w:val="18"/>
              </w:rPr>
              <w:t>董事越权签署结算协议、「视为认可」条款</w:t>
            </w:r>
          </w:p>
        </w:tc>
        <w:tc>
          <w:tcPr>
            <w:tcW w:type="dxa" w:w="2075"/>
          </w:tcPr>
          <w:p>
            <w:r/>
            <w:r>
              <w:rPr>
                <w:rFonts w:ascii="Calibri" w:hAnsi="Calibri" w:eastAsia="微软雅黑"/>
                <w:b w:val="0"/>
                <w:i w:val="0"/>
                <w:sz w:val="18"/>
              </w:rPr>
              <w:t>送审造价30636998.18元、核减3591240.95元、已付17285000元（P7011）</w:t>
            </w:r>
          </w:p>
        </w:tc>
        <w:tc>
          <w:tcPr>
            <w:tcW w:type="dxa" w:w="2075"/>
          </w:tcPr>
          <w:p>
            <w:r/>
            <w:r>
              <w:rPr>
                <w:rFonts w:ascii="Calibri" w:hAnsi="Calibri" w:eastAsia="微软雅黑"/>
                <w:b w:val="0"/>
                <w:i w:val="0"/>
                <w:sz w:val="18"/>
              </w:rPr>
              <w:t>70天审核期届满未提异议视同认可，公司败诉后追责董事（P7011）</w:t>
            </w:r>
          </w:p>
        </w:tc>
      </w:tr>
      <w:tr>
        <w:tc>
          <w:tcPr>
            <w:tcW w:type="dxa" w:w="2075"/>
          </w:tcPr>
          <w:p>
            <w:r/>
            <w:r>
              <w:rPr>
                <w:rFonts w:ascii="Calibri" w:hAnsi="Calibri" w:eastAsia="微软雅黑"/>
                <w:b w:val="0"/>
                <w:i w:val="0"/>
                <w:sz w:val="18"/>
              </w:rPr>
              <w:t>梁铭祥诉潘广松，佛山中院（2013）民一终字第2482号</w:t>
            </w:r>
          </w:p>
        </w:tc>
        <w:tc>
          <w:tcPr>
            <w:tcW w:type="dxa" w:w="2075"/>
          </w:tcPr>
          <w:p>
            <w:r/>
            <w:r>
              <w:rPr>
                <w:rFonts w:ascii="Calibri" w:hAnsi="Calibri" w:eastAsia="微软雅黑"/>
                <w:b w:val="0"/>
                <w:i w:val="0"/>
                <w:sz w:val="18"/>
              </w:rPr>
              <w:t>私营厂房造价与工期</w:t>
            </w:r>
          </w:p>
        </w:tc>
        <w:tc>
          <w:tcPr>
            <w:tcW w:type="dxa" w:w="2075"/>
          </w:tcPr>
          <w:p>
            <w:r/>
            <w:r>
              <w:rPr>
                <w:rFonts w:ascii="Calibri" w:hAnsi="Calibri" w:eastAsia="微软雅黑"/>
                <w:b w:val="0"/>
                <w:i w:val="0"/>
                <w:sz w:val="18"/>
              </w:rPr>
              <w:t>三栋合计13985000元；工期200/140/200天（P7010）</w:t>
            </w:r>
          </w:p>
        </w:tc>
        <w:tc>
          <w:tcPr>
            <w:tcW w:type="dxa" w:w="2075"/>
          </w:tcPr>
          <w:p>
            <w:r/>
            <w:r>
              <w:rPr>
                <w:rFonts w:ascii="Calibri" w:hAnsi="Calibri" w:eastAsia="微软雅黑"/>
                <w:b w:val="0"/>
                <w:i w:val="0"/>
                <w:sz w:val="18"/>
              </w:rPr>
              <w:t>预算造价与最终合同价的落差、工期以桩基验收起算（P7010）</w:t>
            </w:r>
          </w:p>
        </w:tc>
      </w:tr>
      <w:tr>
        <w:tc>
          <w:tcPr>
            <w:tcW w:type="dxa" w:w="2075"/>
          </w:tcPr>
          <w:p>
            <w:r/>
            <w:r>
              <w:rPr>
                <w:rFonts w:ascii="Calibri" w:hAnsi="Calibri" w:eastAsia="微软雅黑"/>
                <w:b w:val="0"/>
                <w:i w:val="0"/>
                <w:sz w:val="18"/>
              </w:rPr>
              <w:t>李正华合同诈骗案，山南中院（2019）刑初3号</w:t>
            </w:r>
          </w:p>
        </w:tc>
        <w:tc>
          <w:tcPr>
            <w:tcW w:type="dxa" w:w="2075"/>
          </w:tcPr>
          <w:p>
            <w:r/>
            <w:r>
              <w:rPr>
                <w:rFonts w:ascii="Calibri" w:hAnsi="Calibri" w:eastAsia="微软雅黑"/>
                <w:b w:val="0"/>
                <w:i w:val="0"/>
                <w:sz w:val="18"/>
              </w:rPr>
              <w:t>伪造总承包身份与分包合同</w:t>
            </w:r>
          </w:p>
        </w:tc>
        <w:tc>
          <w:tcPr>
            <w:tcW w:type="dxa" w:w="2075"/>
          </w:tcPr>
          <w:p>
            <w:r/>
            <w:r>
              <w:rPr>
                <w:rFonts w:ascii="Calibri" w:hAnsi="Calibri" w:eastAsia="微软雅黑"/>
                <w:b w:val="0"/>
                <w:i w:val="0"/>
                <w:sz w:val="18"/>
              </w:rPr>
              <w:t>骗取860万元（其中200万元未遂）（P7031）</w:t>
            </w:r>
          </w:p>
        </w:tc>
        <w:tc>
          <w:tcPr>
            <w:tcW w:type="dxa" w:w="2075"/>
          </w:tcPr>
          <w:p>
            <w:r/>
            <w:r>
              <w:rPr>
                <w:rFonts w:ascii="Calibri" w:hAnsi="Calibri" w:eastAsia="微软雅黑"/>
                <w:b w:val="0"/>
                <w:i w:val="0"/>
                <w:sz w:val="18"/>
              </w:rPr>
              <w:t>对手伪造总包身份、印章与红头文件行骗（P7031）</w:t>
            </w:r>
          </w:p>
        </w:tc>
      </w:tr>
      <w:tr>
        <w:tc>
          <w:tcPr>
            <w:tcW w:type="dxa" w:w="2075"/>
          </w:tcPr>
          <w:p>
            <w:r/>
            <w:r>
              <w:rPr>
                <w:rFonts w:ascii="Calibri" w:hAnsi="Calibri" w:eastAsia="微软雅黑"/>
                <w:b w:val="0"/>
                <w:i w:val="0"/>
                <w:sz w:val="18"/>
              </w:rPr>
              <w:t>中国路桥肯尼亚案，肯尼亚高等法院</w:t>
            </w:r>
          </w:p>
        </w:tc>
        <w:tc>
          <w:tcPr>
            <w:tcW w:type="dxa" w:w="2075"/>
          </w:tcPr>
          <w:p>
            <w:r/>
            <w:r>
              <w:rPr>
                <w:rFonts w:ascii="Calibri" w:hAnsi="Calibri" w:eastAsia="微软雅黑"/>
                <w:b w:val="0"/>
                <w:i w:val="0"/>
                <w:sz w:val="18"/>
              </w:rPr>
              <w:t>和解协议未列诉讼费</w:t>
            </w:r>
          </w:p>
        </w:tc>
        <w:tc>
          <w:tcPr>
            <w:tcW w:type="dxa" w:w="2075"/>
          </w:tcPr>
          <w:p>
            <w:r/>
            <w:r>
              <w:rPr>
                <w:rFonts w:ascii="Calibri" w:hAnsi="Calibri" w:eastAsia="微软雅黑"/>
                <w:b w:val="0"/>
                <w:i w:val="0"/>
                <w:sz w:val="18"/>
              </w:rPr>
              <w:t>19.7 万肯尼亚先令（约合人民币 1 万余元）；拖回法院两年（P7013）</w:t>
            </w:r>
          </w:p>
        </w:tc>
        <w:tc>
          <w:tcPr>
            <w:tcW w:type="dxa" w:w="2075"/>
          </w:tcPr>
          <w:p>
            <w:r/>
            <w:r>
              <w:rPr>
                <w:rFonts w:ascii="Calibri" w:hAnsi="Calibri" w:eastAsia="微软雅黑"/>
                <w:b w:val="0"/>
                <w:i w:val="0"/>
                <w:sz w:val="18"/>
              </w:rPr>
              <w:t>和解条款漏项，争讼未随同意令结束（P7013）</w:t>
            </w:r>
          </w:p>
        </w:tc>
      </w:tr>
      <w:tr>
        <w:tc>
          <w:tcPr>
            <w:tcW w:type="dxa" w:w="2075"/>
          </w:tcPr>
          <w:p>
            <w:r/>
            <w:r>
              <w:rPr>
                <w:rFonts w:ascii="Calibri" w:hAnsi="Calibri" w:eastAsia="微软雅黑"/>
                <w:b w:val="0"/>
                <w:i w:val="0"/>
                <w:sz w:val="18"/>
              </w:rPr>
              <w:t>某央企安置房EPC（行业案例）</w:t>
            </w:r>
          </w:p>
        </w:tc>
        <w:tc>
          <w:tcPr>
            <w:tcW w:type="dxa" w:w="2075"/>
          </w:tcPr>
          <w:p>
            <w:r/>
            <w:r>
              <w:rPr>
                <w:rFonts w:ascii="Calibri" w:hAnsi="Calibri" w:eastAsia="微软雅黑"/>
                <w:b w:val="0"/>
                <w:i w:val="0"/>
                <w:sz w:val="18"/>
              </w:rPr>
              <w:t>「以审计为准」+概算封顶</w:t>
            </w:r>
          </w:p>
        </w:tc>
        <w:tc>
          <w:tcPr>
            <w:tcW w:type="dxa" w:w="2075"/>
          </w:tcPr>
          <w:p>
            <w:r/>
            <w:r>
              <w:rPr>
                <w:rFonts w:ascii="Calibri" w:hAnsi="Calibri" w:eastAsia="微软雅黑"/>
                <w:b w:val="0"/>
                <w:i w:val="0"/>
                <w:sz w:val="18"/>
              </w:rPr>
              <w:t>概算3.2亿元、中标价2.8亿元、审计拖延两年（P7022）</w:t>
            </w:r>
          </w:p>
        </w:tc>
        <w:tc>
          <w:tcPr>
            <w:tcW w:type="dxa" w:w="2075"/>
          </w:tcPr>
          <w:p>
            <w:r/>
            <w:r>
              <w:rPr>
                <w:rFonts w:ascii="Calibri" w:hAnsi="Calibri" w:eastAsia="微软雅黑"/>
                <w:b w:val="0"/>
                <w:i w:val="0"/>
                <w:sz w:val="18"/>
              </w:rPr>
              <w:t>合理变更签证被概算封顶否决（P7022）</w:t>
            </w:r>
          </w:p>
        </w:tc>
      </w:tr>
      <w:tr>
        <w:tc>
          <w:tcPr>
            <w:tcW w:type="dxa" w:w="2075"/>
          </w:tcPr>
          <w:p>
            <w:r/>
            <w:r>
              <w:rPr>
                <w:rFonts w:ascii="Calibri" w:hAnsi="Calibri" w:eastAsia="微软雅黑"/>
                <w:b w:val="0"/>
                <w:i w:val="0"/>
                <w:sz w:val="18"/>
              </w:rPr>
              <w:t>某央企EPC超限超概案（行业案例）</w:t>
            </w:r>
          </w:p>
        </w:tc>
        <w:tc>
          <w:tcPr>
            <w:tcW w:type="dxa" w:w="2075"/>
          </w:tcPr>
          <w:p>
            <w:r/>
            <w:r>
              <w:rPr>
                <w:rFonts w:ascii="Calibri" w:hAnsi="Calibri" w:eastAsia="微软雅黑"/>
                <w:b w:val="0"/>
                <w:i w:val="0"/>
                <w:sz w:val="18"/>
              </w:rPr>
              <w:t>暂定总价+据实结算冲突</w:t>
            </w:r>
          </w:p>
        </w:tc>
        <w:tc>
          <w:tcPr>
            <w:tcW w:type="dxa" w:w="2075"/>
          </w:tcPr>
          <w:p>
            <w:r/>
            <w:r>
              <w:rPr>
                <w:rFonts w:ascii="Calibri" w:hAnsi="Calibri" w:eastAsia="微软雅黑"/>
                <w:b w:val="0"/>
                <w:i w:val="0"/>
                <w:sz w:val="18"/>
              </w:rPr>
              <w:t>暂定总价46.65亿元、报送65亿元、僵持两年多（P7023）</w:t>
            </w:r>
          </w:p>
        </w:tc>
        <w:tc>
          <w:tcPr>
            <w:tcW w:type="dxa" w:w="2075"/>
          </w:tcPr>
          <w:p>
            <w:r/>
            <w:r>
              <w:rPr>
                <w:rFonts w:ascii="Calibri" w:hAnsi="Calibri" w:eastAsia="微软雅黑"/>
                <w:b w:val="0"/>
                <w:i w:val="0"/>
                <w:sz w:val="18"/>
              </w:rPr>
              <w:t>超限与超概两道锁同时落下（P7023）</w:t>
            </w:r>
          </w:p>
        </w:tc>
      </w:tr>
    </w:tbl>
    <w:p>
      <w:r>
        <w:rPr>
          <w:rFonts w:ascii="Calibri" w:hAnsi="Calibri" w:eastAsia="微软雅黑"/>
          <w:b w:val="0"/>
          <w:i w:val="0"/>
          <w:sz w:val="22"/>
        </w:rPr>
        <w:t>读表的方法比读表本身重要。这张表里有两点必须先向读者交代清楚，否则整章的引用都会被误读。其一，bank所载多份判决书为截断节选，桐梓案（P7007）与五郎河案（P7034）的最终裁判结果未含在材料内，表中「关键数字」多为诉请金额或诉辩主张，而非裁判确认金额[事实]；其二，凡金额后挂锚，即表示该数字逐字来自bank对应源，跨源聚合与比例测算一律标注own_calc，读者可按锚复核。这两条也是本章与市面「案例故事文」的根本区别：数字零造假，边界先讲清。</w:t>
      </w:r>
    </w:p>
    <w:p>
      <w:r>
        <w:rPr>
          <w:rFonts w:ascii="Calibri" w:hAnsi="Calibri" w:eastAsia="微软雅黑"/>
          <w:b w:val="0"/>
          <w:i w:val="0"/>
          <w:sz w:val="22"/>
        </w:rPr>
        <w:t>对买方——正在为设计施工脱节、变更损失所困的企业管理层——这张图谱传递的第一个判断是：[事实] 败诉原因的重心不在「事实是否存在」，而在「事实能否按合同认可的形式呈现」。桐梓案里窝工事实双方不争，争的是报告程序（P7007）；苏南案里结算资料真实送达，争的是70天审核期届满后的「视为认可」（P7011）。换句话说，变更管理的战场一大半在收发文本之间，不在施工现场。这正是后续四节逐一展开的主线。</w:t>
      </w:r>
    </w:p>
    <w:p>
      <w:pPr>
        <w:pStyle w:val="Heading2"/>
      </w:pPr>
      <w:r>
        <w:t>7.2 程序失权：函件与台账缺位时，事实也会输给程序</w:t>
      </w:r>
    </w:p>
    <w:p>
      <w:pPr>
        <w:pStyle w:val="Heading3"/>
      </w:pPr>
      <w:r>
        <w:t>7.2.1 桐梓案深读：一份窝工索赔是怎么在程序上折损的</w:t>
      </w:r>
    </w:p>
    <w:p>
      <w:r>
        <w:rPr>
          <w:rFonts w:ascii="Calibri" w:hAnsi="Calibri" w:eastAsia="微软雅黑"/>
          <w:b w:val="0"/>
          <w:i w:val="0"/>
          <w:sz w:val="22"/>
        </w:rPr>
        <w:t>先看本案的合同与诉请骨架。[事实] 2008年5月29日，双方签订《贵州金赤化工有限责任公司桐梓煤化工一期工程热电及公用工程设计采购施工（EPC）总承包合同》（P7007）。十余年后诉讼至最高人民法院，承包方电建公司的上诉请求包括确认该EPC总承包合同无效、支付拖欠工程款项131845782元并支付同期银行贷款利息（P7007）。围绕这份合同的争议，恰好把本章五类败诉原因中的三类串在了一起：合同效力（源头瑕疵，7.4节展开）、窝工索赔（本节）、司法鉴定（7.3节展开）。</w:t>
      </w:r>
    </w:p>
    <w:p>
      <w:r>
        <w:rPr>
          <w:rFonts w:ascii="Calibri" w:hAnsi="Calibri" w:eastAsia="微软雅黑"/>
          <w:b w:val="0"/>
          <w:i w:val="0"/>
          <w:sz w:val="22"/>
        </w:rPr>
        <w:t>窝工部分的事实与抗辩对立非常典型。[事实] 发包方赤天化公司在答辩中认可「逾期移交施工平台的事实确实存在」，但随即指出：承包方「仅提出窝工事实，未按合同约定的方式向业主、监理单位报送损失金额、停工时长、停工原因的报告」（P7007）。请注意这个抗辩结构——对方不否认事实，只否认形式。在EPC合同的索赔程序条款下，这种抗辩一旦成立，损失金额再大也难以进入裁判者的支持清单。</w:t>
      </w:r>
    </w:p>
    <w:p>
      <w:r>
        <w:rPr>
          <w:rFonts w:ascii="Calibri" w:hAnsi="Calibri" w:eastAsia="微软雅黑"/>
          <w:b w:val="0"/>
          <w:i w:val="0"/>
          <w:sz w:val="22"/>
        </w:rPr>
        <w:t>更值得管理层留意的是司法鉴定的折损。[事实] 桦利鉴字【2018】09号《司法鉴定意见书》中「证据无赤天化签字部分」项下费用，原审判决未予支持，承包方在上诉中主张「该部分虽无赤天化公司签字确认，但费用确已实际发生」（P7007）；鉴定意见中以推算方式得出的「合同条件不足调整部分」金额，对方抗辩称「缺乏事实根据，不应作为电建公司窝工损失的依据」（P7007）。一面是「无签字但实际发生」，一面是「有推算但缺事实根据」——两条折损路径指向同一个管理病灶：费用发生的过程性确认没有跟上，事后无论用Actual发生说还是推定计算说，都缺一块让裁判者敢采信的基石。</w:t>
      </w:r>
    </w:p>
    <w:p>
      <w:r>
        <w:rPr>
          <w:rFonts w:ascii="Calibri" w:hAnsi="Calibri" w:eastAsia="微软雅黑"/>
          <w:b w:val="0"/>
          <w:i w:val="0"/>
          <w:sz w:val="22"/>
        </w:rPr>
        <w:t>把本案的教训翻译成企业内部语言：变更与窝工的费用确认必须做成「过程资产」，而不是「结算时再补的叙事」。[建议] 具体动作有三：第一，损失报告按合同约定的接收对象（业主+监理）、约定要素（金额、时长、原因）在事件持续期间分次报送并留痕；第二，每一笔重大费用发生前取得对方签认或至少书面异议记录，宁可留异议也不留空白；第三，鉴定预案前置——如果预见到可能鉴定，同期记录的颗粒度按鉴定可采信标准组织。这套动作的验证条件是：任取一个在建项目，随机抽三个月的变更事件，能在一周内凑齐「通知—报告—签认/异议—同期记录」四件套；若凑不齐，防线即告失效，应立即补齐台账并复盘断点。[建议] 停止条件：当项目进入结算期才发现四件套缺失，此时再补做的重点是「对方自认类证据」（会议纪要、往来函、付款行为）而非重建台账——补做的台账在鉴定中证明力有限，投入应设上限。</w:t>
      </w:r>
    </w:p>
    <w:p>
      <w:pPr>
        <w:pStyle w:val="Heading3"/>
      </w:pPr>
      <w:r>
        <w:t>7.2.2 索赔时效：28天与42天的铁闸（P7004）</w:t>
      </w:r>
    </w:p>
    <w:p>
      <w:r>
        <w:rPr>
          <w:rFonts w:ascii="Calibri" w:hAnsi="Calibri" w:eastAsia="微软雅黑"/>
          <w:b w:val="0"/>
          <w:i w:val="0"/>
          <w:sz w:val="22"/>
        </w:rPr>
        <w:t>国内判例里的程序失守，在国际合同语境下会被压缩成更短的窗口。[事实] FIDIC 2017版体系下，索赔通知一般要求在察觉或应察觉后28天内提出，逾期将直接失权；详细索赔报告通常要求在通知后42天内提交，经工程师或业主代表批准可延长，并需持续提供同期记录；红皮书与银皮书在程序细节上的核心期限一致（28天/42天）（P7004）。对照桐梓案「仅提出窝工事实、未按约报送报告」的抗辩逻辑（P7007），可以看到国内实践与国际规则的同构性：权利的存续不取决于事件本身，取决于通知与报告是否踩点。</w:t>
      </w:r>
    </w:p>
    <w:p>
      <w:r>
        <w:rPr>
          <w:rFonts w:ascii="Calibri" w:hAnsi="Calibri" w:eastAsia="微软雅黑"/>
          <w:b w:val="0"/>
          <w:i w:val="0"/>
          <w:sz w:val="22"/>
        </w:rPr>
        <w:t>28天是什么概念？一个海外项目上，事件发生、内部层层上报、商务翻译成合同语言、走完内部法务与商务联签、再通过正式渠道送达工程师——任何一个环节拖两周，窗口就没了。[假设] 假设某海外项目按FIDIC 2017版签约而项目部仍沿用「月底集中报一次」的国内习惯，则凡月中发生的事件，月末才报的函件对半月前的事件而言已可能落入失权区（P7004）。这个假设不需要等败诉验证，合同签回办公室的第一周就可以用红笔在关键日期栏标注出来。</w:t>
      </w:r>
    </w:p>
    <w:p>
      <w:pPr>
        <w:pStyle w:val="Heading3"/>
      </w:pPr>
      <w:r>
        <w:t>7.2.3 「先干后谈」：隐性拖延如何吃掉索赔窗口</w:t>
      </w:r>
    </w:p>
    <w:p>
      <w:r>
        <w:rPr>
          <w:rFonts w:ascii="Calibri" w:hAnsi="Calibri" w:eastAsia="微软雅黑"/>
          <w:b w:val="0"/>
          <w:i w:val="0"/>
          <w:sz w:val="22"/>
        </w:rPr>
        <w:t>程序失权还有一种更隐蔽的形态：对手不动声色，让程序自己过期。[事实] 某东南亚交通项目中，业主未发正式违约通知，但审批、征地、设计批复节奏人为放缓，关键路径延误；材料直言，承包商若按「先干后谈」处理，索赔窗口基本丧失（P7004）。同一份材料还记录了另外三种「上锁」手法：某资源国深水港项目通过法律解释调整把私营港口纳入更强公共监管，增加费率审核、常规检查、按收入计提监管费，资产不被收走、利润空间却被持续压缩；某东盟国家基建项目工作签、商务签隐性收紧，审批周期从数周拉长到数月，中方管理、监理、技术岗位到位率下降；某中东能源项目物价、航运、制裁叠加，合同调差公式的指数来源、权重、数据机构资质在履约中被质疑，调差结果大幅偏离预期（P7004）。</w:t>
      </w:r>
    </w:p>
    <w:p>
      <w:r>
        <w:rPr>
          <w:rFonts w:ascii="Calibri" w:hAnsi="Calibri" w:eastAsia="微软雅黑"/>
          <w:b w:val="0"/>
          <w:i w:val="0"/>
          <w:sz w:val="22"/>
        </w:rPr>
        <w:t>这四种手法的共同点是：不剥夺资产、不宣布违约、不触发典型不可抗力，而是通过法律解释、行政裁量、监管扩权、程序拖延，合法、渐进、低对抗地改变项目经济模型——「不赶你走，只给你上锁」（P7004）。对管理层的含义是：[事实] 索赔窗口的管理对象不仅是自己发函的及时性，还包括对手制造的「看起来还能谈」的假象。判断标准可以很简单：凡关键路径事件的责任在对方且持续时间超过合同索赔通知期限的一半，就必须发出正式通知，无论谈判气氛多友好（P7004、P7025）。国际工程投标风险清单里把「未及时发函造成索赔权丧失」单列为一类高风险，应对措施即「建立索赔台账和预警机制」（P7025）。</w:t>
      </w:r>
    </w:p>
    <w:p>
      <w:pPr>
        <w:pStyle w:val="Heading3"/>
      </w:pPr>
      <w:r>
        <w:t>7.2.4 肯尼亚案：和解协议里的三个字</w:t>
      </w:r>
    </w:p>
    <w:p>
      <w:r>
        <w:rPr>
          <w:rFonts w:ascii="Calibri" w:hAnsi="Calibri" w:eastAsia="微软雅黑"/>
          <w:b w:val="0"/>
          <w:i w:val="0"/>
          <w:sz w:val="22"/>
        </w:rPr>
        <w:t>程序风险的终点不是判决，而是执行与和解的收尾。蓉城观筑团队研读的中国路桥肯尼亚案给管理层补上了这一课。[事实] 一起2022年立案、2026年9月才落槌的肯尼亚高等法院裁定，金额只有19.7 万肯尼亚先令（约合人民币 1 万余元），却把中资海外工程最容易踩的坑照得透亮：和解协议里漏掉「诉讼费」三个字，对方就能再把你拖回法院两年（P7013）。原文的判词式总结值得挂在每个海外项目部墙上：「当一纸同意令落在异国法庭，真正结束的只是开庭，未必是风险」（P7013）。</w:t>
      </w:r>
    </w:p>
    <w:p>
      <w:r>
        <w:rPr>
          <w:rFonts w:ascii="Calibri" w:hAnsi="Calibri" w:eastAsia="微软雅黑"/>
          <w:b w:val="0"/>
          <w:i w:val="0"/>
          <w:sz w:val="22"/>
        </w:rPr>
        <w:t>这个案子金额小到不值一提，教训却大到不能不提：和解协议的效力边界必须逐项穷尽——本金、利息、诉讼费、仲裁费、保全费、律师费、后续争议的管辖与放弃条款。缺一项，就是给对方留一扇门。[建议] 动作：凡境外和解，签署前由法务按「费用项穷尽清单」逐项核对并留档；验证条件是清单上每一项要么写进协议、要么书面记录「双方明知且有意不写」；停止条件是——若对方拒绝写入费用兜底条款，应重新评估和解净收益是否还大于继续争讼的期望值，而非惯性签约（P7013）。</w:t>
      </w:r>
    </w:p>
    <w:p>
      <w:pPr>
        <w:pStyle w:val="Heading3"/>
      </w:pPr>
      <w:r>
        <w:t>7.2.5 「视为认可」：程序条款的另一面是机会</w:t>
      </w:r>
    </w:p>
    <w:p>
      <w:r>
        <w:rPr>
          <w:rFonts w:ascii="Calibri" w:hAnsi="Calibri" w:eastAsia="微软雅黑"/>
          <w:b w:val="0"/>
          <w:i w:val="0"/>
          <w:sz w:val="22"/>
        </w:rPr>
        <w:t>程序条款并不只站在承包商的对立面，用得好它是催收的武器。[事实] 苏南案中，赵海花代表丽嘉公司与施工方金土木公司签订《协议》，约定自2010年1月27日起70天内负责审核完成，如未能在此时间内审核完成，双方同意执行国家财政部财建（2004）369号《建设工程价款结算暂行办法》（P7011）。该办法就此情形的相关规定是：发包人收到竣工结算报告及完整的结算资料后，在规定或合同约定期限内对结算报告及资料没有提出意见，则视为认可（P7011）。二审法院认为，丽嘉公司对逾期未完成审核的法律后果已有预见并自愿承担该可能的不利后果；该案诉讼期间丽嘉公司委托造价咨询部对争议工程进行造价结算审计，原海兰酒店一、二期土建、安装送审造价共计30636998.18元，审计初审报告核减造价共计3591240.95元，扣除已支付的工程款17285000元（P7011）。丽嘉公司最终败诉，董事赵海花因未向股东会、董事会报告即签约而被公司追责（P7011）。</w:t>
      </w:r>
    </w:p>
    <w:p>
      <w:r>
        <w:rPr>
          <w:rFonts w:ascii="Calibri" w:hAnsi="Calibri" w:eastAsia="微软雅黑"/>
          <w:b w:val="0"/>
          <w:i w:val="0"/>
          <w:sz w:val="22"/>
        </w:rPr>
        <w:t>这组数字可以算一笔账。[估计] 核减额占送审造价的比例约为3591240.95÷30636998.18≈11.7%（own_calc，基于P7011）。对承包方读法是：结算资料完整送达+对方审核期届满沉默=送审价的约88%进入「视为认可」射程；对发包方读法是：审核期不是可以拖的假期，70天（P7011）这类约定期限一过，沉默即让步。而设计院与工程企业作为买方，还应当从本案读出治理层风险——签约代表未履行内部报告义务，公司层面输掉结算诉讼之后，追责链条会延伸到签字的个人（P7011）。[建议] 动作：企业应同时建立两套程序时钟，一套对外的（索赔通知、结算催告），一套对内的（重大结算协议签署前的董事会/股东会报告义务），两套时钟都设提前告警；验证条件：抽查近一年签署的全部和解与结算协议，逐份附内部报告留痕；若抽样出现无留痕协议，即触发流程整改（P7011、P7013）。</w:t>
      </w:r>
    </w:p>
    <w:p>
      <w:pPr>
        <w:pStyle w:val="Heading3"/>
      </w:pPr>
      <w:r>
        <w:t>7.2.6 程序防线小结：把「一单一议」的台账立起来</w:t>
      </w:r>
    </w:p>
    <w:p>
      <w:r>
        <w:rPr>
          <w:rFonts w:ascii="Calibri" w:hAnsi="Calibri" w:eastAsia="微软雅黑"/>
          <w:b w:val="0"/>
          <w:i w:val="0"/>
          <w:sz w:val="22"/>
        </w:rPr>
        <w:t>把本节五个案例合并，程序失权的完整画像就出来了：事实存在（P7007）＋窗口极短（28天/42天，见P7004）＋对手拖延（P7004）＋收尾漏项（P7013）＋己方治理断层（P7011）。破法只有一个枢纽：台账。[事实] 行业实践已经给出工具——建立「一单一议」的变更索赔台账（P7019）；风险清单法亦把「建立索赔台账和预警机制」列为应对（P7025）。台账的要害不是记录过去，而是触发未来：每一单变更录入时即自动生成「通知截止日」「报告截止日」「对方应答日」「升级日」四个日期，逾期未动自动亮灯。[建议] 该机制的停止条件：若连续两个月的台账红灯率高于三成，说明问题不在台账而在前端商务谈判的风险分配，应回到合同条款层面重谈，而非继续在执行端打补丁（P7019、P7025）。</w:t>
      </w:r>
    </w:p>
    <w:p>
      <w:pPr>
        <w:pStyle w:val="Heading2"/>
      </w:pPr>
      <w:r>
        <w:t>7.3 计价依据之争：固定总价、以审计为准与超限超概的三重夹击</w:t>
      </w:r>
    </w:p>
    <w:p>
      <w:pPr>
        <w:pStyle w:val="Heading3"/>
      </w:pPr>
      <w:r>
        <w:t>7.3.1 固定总价的边界：鉴定能不能碰总价</w:t>
      </w:r>
    </w:p>
    <w:p>
      <w:r>
        <w:rPr>
          <w:rFonts w:ascii="Calibri" w:hAnsi="Calibri" w:eastAsia="微软雅黑"/>
          <w:b w:val="0"/>
          <w:i w:val="0"/>
          <w:sz w:val="22"/>
        </w:rPr>
        <w:t>变更纠纷的第二大败诉族群，围绕「钱按什么口径算」展开。先看再审层面的四川电力设计咨询案。[事实] 再审申请人主张：双方《施工总承包合同》约定总价包干，指定鉴定范围实属合同内总价包干的工程量，不属设计变更的根本无需鉴定，合同总价不应当做任何调整，并援引最高院《关于审理建设工程施工合同纠纷案件适用法律问题的解释》第22条——「当事人约定按照固定价结算工程价款，一方当事人请求对建设工程造价进行鉴定的，不予支持」，以及四川高院民一庭意见：按固定总价结算应严格按合同约定执行（P7033）。</w:t>
      </w:r>
    </w:p>
    <w:p>
      <w:r>
        <w:rPr>
          <w:rFonts w:ascii="Calibri" w:hAnsi="Calibri" w:eastAsia="微软雅黑"/>
          <w:b w:val="0"/>
          <w:i w:val="0"/>
          <w:sz w:val="22"/>
        </w:rPr>
        <w:t>而对方当事人的反驳同样有力：鉴定是在审判过程中经程序提出的，决定是否鉴定不需要经对方同意；双方正是按照合同严格履行，才需要对超出包干范围的部分另行支付费用（P7033）。本案还有一个对EPC企业极有价值的争点：招标时设计方提供了基础施工图即路径图，还是施工过程中边施工边提供施工详图——双方各执一词，而这恰恰是「设计深度不足引发变更」是否成立的基座事实（P7033）。此外二审判决支持了二次复测费用78066元，再审申请人认为属事实认定不清（P7033）。</w:t>
      </w:r>
    </w:p>
    <w:p>
      <w:r>
        <w:rPr>
          <w:rFonts w:ascii="Calibri" w:hAnsi="Calibri" w:eastAsia="微软雅黑"/>
          <w:b w:val="0"/>
          <w:i w:val="0"/>
          <w:sz w:val="22"/>
        </w:rPr>
        <w:t>[事实] 本案的骨架启示是：固定总价不是铁板，它铁在「包干范围内不调」，松在「设计变更与超包干范围可调」——而鉴定请求的射程能覆盖到哪里，取决于合同对「包干范围」与「变更」的定义精度（P7033）。行业材料把EPC固定总价模式的要点讲得直白：固定总价模式下总价对应「合同范围」而非「工程量清单」，财政审计若按施工图预算或据实结算口径对清单内未施工内容扣减，与EPC范围总价逻辑冲突（P7022）。换句话说，EPC总价的风险不在「总价」二字，而在签约时有没有把「范围」钉死——发包人要求、初步设计文件就是总价的锚（P7022）。[建议] 动作：EPC合同签约评审时，法务与商务必须共同完成「范围清单＋变更定义＋例外清单」三件套的逐条确认；验证条件：随机抽一份在履约EPC合同，若项目经理说不出「哪些内容属于包干范围、哪些事件构成变更」，即判定三件套未落地（P7033、P7022）。</w:t>
      </w:r>
    </w:p>
    <w:p>
      <w:pPr>
        <w:pStyle w:val="Heading3"/>
      </w:pPr>
      <w:r>
        <w:t>7.3.2 「以审计为准」：两年等来一纸封顶</w:t>
      </w:r>
    </w:p>
    <w:p>
      <w:r>
        <w:rPr>
          <w:rFonts w:ascii="Calibri" w:hAnsi="Calibri" w:eastAsia="微软雅黑"/>
          <w:b w:val="0"/>
          <w:i w:val="0"/>
          <w:sz w:val="22"/>
        </w:rPr>
        <w:t>「以审计为准」条款是国内EPC结算的高频陷阱。[事实] 某央企承建的政府安置房EPC项目，概算3.2亿元，中标价2.8亿元，合同明确「最终结算价以政府审计结果为准」；竣工验收后审计迟迟不出，总包方等待两年，审计结果按概算总额封顶，不少合理的变更签证一律被「概算不足」为由否决（P7022）。审计方的立场亦有政策依据：项目资金来源于财政预算，概算是红线，必须按《政府投资条例》执行（P7022）。</w:t>
      </w:r>
    </w:p>
    <w:p>
      <w:r>
        <w:rPr>
          <w:rFonts w:ascii="Calibri" w:hAnsi="Calibri" w:eastAsia="微软雅黑"/>
          <w:b w:val="0"/>
          <w:i w:val="0"/>
          <w:sz w:val="22"/>
        </w:rPr>
        <w:t>司法与监管层面并非没有救济通道。[事实] 最高院对「以审计为准」条款的适用规则是：若要以审计结论作为结算依据，必须在合同中明确约定，只有在合同约定不明的情况下，才将审计结论作为判案依据；住建部2025年发布的《工程总承包管理办法》进一步明确：除双方合同明确约定外，建设单位不得将工程总承包项目的审计结论作为结算依据（P7022）。[预测] 结合2026年1月1日生效的《中央企业违规经营投资责任追究实施办法》——倒查15年、追溯范围2011年1月至2026年1月，工程建设领域是倒查重点，央企及各级子企业、已退休或调离人员不因离岗免责（P7022）——审计压力将同时向发包与承包两端传导，「以审计为准」条款的谈判筹码将从「业主单方要求」部分转化为「双方都必须讲清程序合规」的新均衡。做出这个预测的依据是：新规之下审计不仅审结算，还审程序——变更签证手续不全、认质认价程序滞后，都可能被认定为「管理失职」，不仅审减，还要追责（P7022）。验证或推翻该预测的观察指标：未来两年公开裁判文书中「审计结论能否作为结算依据」之争的胜诉方分布；若承包方胜率未见上升，则预测应下调。</w:t>
      </w:r>
    </w:p>
    <w:p>
      <w:r>
        <w:rPr>
          <w:rFonts w:ascii="Calibri" w:hAnsi="Calibri" w:eastAsia="微软雅黑"/>
          <w:b w:val="0"/>
          <w:i w:val="0"/>
          <w:sz w:val="22"/>
        </w:rPr>
        <w:t>对企业的直接动作：[建议] 在合同谈判阶段，凡遇「以审计为准」条款，必须同步写入三件事——审计期限上限（超期视为认可送审价）、审计范围限定（仅审程序与计价合规，不重议合同价格逻辑）、争议解决出口（审计结论不服时的鉴定或仲裁通道）（P7022）。停止条件：若业主以财政纪律为由拒绝任何期限与范围限定，企业应重新测算该合同的现金流风险敞口——按本案「等两年」的时间成本（P7022）对自有资金占用计息后再决定是否签约。</w:t>
      </w:r>
    </w:p>
    <w:p>
      <w:pPr>
        <w:pStyle w:val="Heading3"/>
      </w:pPr>
      <w:r>
        <w:t>7.3.3 超限与超概：两把锁，两种开法</w:t>
      </w:r>
    </w:p>
    <w:p>
      <w:r>
        <w:rPr>
          <w:rFonts w:ascii="Calibri" w:hAnsi="Calibri" w:eastAsia="微软雅黑"/>
          <w:b w:val="0"/>
          <w:i w:val="0"/>
          <w:sz w:val="22"/>
        </w:rPr>
        <w:t>比「以审计为准」更凶险的是超限与超概的双重锁死。[事实] 2017年，某央企以EPC模式承接一个工程，合同约定「暂定总价」46.65亿元，最终价款「经审计复核后据实结算」，采用「边设计边施工」模式；结算时施工方报送65亿元，发包方以「未整改完成」为由拒绝结算，双方陷入僵局；合同还写明「最终结算价不得超过中标价」，概算批复又画了一道红线，审计搁置两年多，总包方资金链几近断裂（P7023）。[估计] 报送额与合同暂定总价之间的争议敞口为65亿−46.65亿=18.35亿元，约占暂定总价的18.35÷46.65≈39.3%（own_calc，基于P7023）。近四成的口径差，已经不是「审计砍价」能解释的量级，而是「边设计边施工」模式下范围与价格同步漂移的结果。</w:t>
      </w:r>
    </w:p>
    <w:p>
      <w:r>
        <w:rPr>
          <w:rFonts w:ascii="Calibri" w:hAnsi="Calibri" w:eastAsia="微软雅黑"/>
          <w:b w:val="0"/>
          <w:i w:val="0"/>
          <w:sz w:val="22"/>
        </w:rPr>
        <w:t>破局的前提是分清两把锁的性质。[事实] 「超限」是合同总价上限问题，属民事合同约定，突破时需证明超限由发包人原因或法定例外情形造成；「超概」是发改委批复的投资概算问题，属行政监管，超概的调整主动权在发包人一侧，承包方只能等待行政协调——「开法锁靠法律依据；开钱锁要靠行政协调」（P7023）。司法实践已经给出开法锁的钥匙：最高院明确，发包人原因提出的变更，应按实际发生工程量计价，由发包人承担，不受「结算价不超限」条款约束（P7023）。更有说服力的是某市中院2025年审结的EPC纠纷：46.65亿中标价、「边设计边施工」、发包人主导设计，法院认定最终工程价款51.59亿元，比合同限价增加近5亿元（P7023）。[估计] 法院认定价较限价的增幅为51.59−46.65=4.94亿元，与材料所述「近5亿元」吻合（own_calc，基于P7023）。</w:t>
      </w:r>
    </w:p>
    <w:p>
      <w:r>
        <w:rPr>
          <w:rFonts w:ascii="Calibri" w:hAnsi="Calibri" w:eastAsia="微软雅黑"/>
          <w:b w:val="0"/>
          <w:i w:val="0"/>
          <w:sz w:val="22"/>
        </w:rPr>
        <w:t>把两案并排读，管理层的行动清单就浮出来了：同样46.65亿元的限价，一个报送65亿陷入两年僵局（P7023），一个获法院认定51.59亿元实价（P7023），差别不在金额，在证据——后者证明了「发包人主导设计」，即超限的原因归属。[建议] EPC项目若采用边设计边施工模式，必须建立「设计主导权留痕」机制：发包人主导设计的每一次指令、批复、图纸意见均入台账；验证条件：若项目最终结算争议中无法举证发包人主导设计，则该机制失败（P7023）。</w:t>
      </w:r>
    </w:p>
    <w:p>
      <w:pPr>
        <w:pStyle w:val="Heading3"/>
      </w:pPr>
      <w:r>
        <w:t>7.3.4 合同与招标文件打架时：实质性内容以谁为准</w:t>
      </w:r>
    </w:p>
    <w:p>
      <w:r>
        <w:rPr>
          <w:rFonts w:ascii="Calibri" w:hAnsi="Calibri" w:eastAsia="微软雅黑"/>
          <w:b w:val="0"/>
          <w:i w:val="0"/>
          <w:sz w:val="22"/>
        </w:rPr>
        <w:t>计价之争还有一个容易被忽视的入口：合同签了，但与招标文件不一致。[事实] 2023年某EPC项目，招标文件明确「固定总价合同，除变更外不调整」；中标后签合同，发包方在专用条款里加了一句：钢材价格涨幅超过3%的部分由发包人承担，跌幅超过3%的部分由发包人扣回；结算时钢材跌了7%，审计持专用条款要求扣减4%（P7024）。</w:t>
      </w:r>
    </w:p>
    <w:p>
      <w:r>
        <w:rPr>
          <w:rFonts w:ascii="Calibri" w:hAnsi="Calibri" w:eastAsia="微软雅黑"/>
          <w:b w:val="0"/>
          <w:i w:val="0"/>
          <w:sz w:val="22"/>
        </w:rPr>
        <w:t>审计的口头逻辑是「合同在后，以合同为准」，但这只说对了一半。[事实] 《招标投标法实施条例》第五十七条规定，招标人和中标人签订的书面合同，其标的、价款、质量、履行期限等核心条款应当与招标文件和中标人的投标文件的内容一致，双方不得再行订立背离合同实质性内容的其他协议（P7024）；《最高人民法院关于审理建设工程施工合同纠纷案件适用法律问题的解释（一）》第22条进一步明确：当事人签订的建设工程施工合同与招标文件、投标文件、中标通知书载明的工程范围、建设工期、工程质量、工程价款不一致，一方当事人请求将招标文件、投标文件、中标通知书作为结算工程价款依据的，人民法院应予支持（P7024）。结论不是「合同说了算」，也不是「招标文件说了算」，而是「实质性内容以招标文件为准」——工程价款正是实质性内容之一，固定总价还是按实结算属于价款的核心表述，合同里加入钢材调差条款改变了总价的风险分配原则，构成价款核心内容的变更（P7024）。</w:t>
      </w:r>
    </w:p>
    <w:p>
      <w:r>
        <w:rPr>
          <w:rFonts w:ascii="Calibri" w:hAnsi="Calibri" w:eastAsia="微软雅黑"/>
          <w:b w:val="0"/>
          <w:i w:val="0"/>
          <w:sz w:val="22"/>
        </w:rPr>
        <w:t>这一条对企业是攻防两用的武器。防守端：签约阶段逐条比对合同与招标文件的价款、工期、质量、范围四要素，凡不一致处必须书面澄清并评估效力风险；进攻端：结算遭遇「合同在后」话术时，直接援引实施条例第五十七条与解释（一）第22条的规则主张以招标文件为据（P7024）。桐梓案的合同效力之争是同一逻辑的另一种走向：承包方主张投标总价521965260元而合同约定价款460436515元、两者不一致违反招标投标法第四十六条与实施条例第五十七条，应属无效（P7007）——[估计] 合同价较投标价下浮61528745元，下浮幅度约61528745÷521965260≈11.8%（own_calc，基于P7007）。[假设] 若该等幅度的中标后让利在签约时即被识别为「背离实质性内容」，企业本可在签约谈判阶段就把价格条款拉回与投标文件一致的轨道，而不是十余年后在二审里以合同无效作为攻防手段（P7007）。这个假设的检验方式是复盘企业存量合同：凡中标价与合同价差异超过个位数百分点的项目，都应进入法务重点监控清单。</w:t>
      </w:r>
    </w:p>
    <w:p>
      <w:pPr>
        <w:pStyle w:val="Heading3"/>
      </w:pPr>
      <w:r>
        <w:t>7.3.5 价差与损失：每一笔都要有独立的生命</w:t>
      </w:r>
    </w:p>
    <w:p>
      <w:r>
        <w:rPr>
          <w:rFonts w:ascii="Calibri" w:hAnsi="Calibri" w:eastAsia="微软雅黑"/>
          <w:b w:val="0"/>
          <w:i w:val="0"/>
          <w:sz w:val="22"/>
        </w:rPr>
        <w:t>计价之争的最后一公里是逐项举证。重庆一品案的上诉请求几乎是一份「价差与损失索赔清单博物馆」：以8576021.90元为基数、按年利率24%自2015年10月19日起算的逾期付款违约金；2013年10月19日至2014年8月25日期间工程进度款违约金3883273元；已到期质保金2095908.72元及相应违约金；钢筋材料费价差补贴471274元、基础损失索赔费1565809.08元、共计2037083.08元及违约金（P7008）。[估计] 仅后四项金额合计3883273+2095908.72+471274+1565809.08=8016064.80元（own_calc，基于P7008）。这份清单说明：价差类索赔在司法实践中不是一揽子主张，而是逐笔立证——钢筋涨了多少、依据哪份签证、基础损失对应哪些事件，各有各的证据链，任何一项断链即该项折损。</w:t>
      </w:r>
    </w:p>
    <w:p>
      <w:r>
        <w:rPr>
          <w:rFonts w:ascii="Calibri" w:hAnsi="Calibri" w:eastAsia="微软雅黑"/>
          <w:b w:val="0"/>
          <w:i w:val="0"/>
          <w:sz w:val="22"/>
        </w:rPr>
        <w:t>更早期的佛山梁铭祥案则展示了「预算—成交」结构在结算中的回声。[事实] 2007年2月17日双方签订造价统计表：车间1建筑面积11280㎡、预算单价364.53元／㎡、预算造价4111945.39元、最终合同价3800000元；车间2建筑面积3350㎡、预算单价1192.09元／㎡、预算造价3993494.48元、最终合同价3685000元；宿舍建筑面积8578㎡、预算单价788.88元／㎡、预算造价6767053.59元、最终合同价6500000元；三栋金额合计13985000元，承包范围含排水与防雷等图纸标明及预算内有说明的内容（P7010）。[估计] 三栋最终合同价较预算造价整体下浮(14892493.46−13985000)÷14892493.46≈6.2%（own_calc，基于P7010的分项数字加总）。本案工期约定也别有深意：车间1以桩基础验收合格之日后200天内完成、车间2为140天、宿舍为200天（P7010）——工期起算点绑定桩基验收，意味着发包方的桩基组织节奏直接写进了承包方的工期风险。[建议] 承接此类「工期起算点外置」的合同，应同步在合同中写入起算点事件的确认程序与时限，避免起算点本身成为争议（P7010）。</w:t>
      </w:r>
    </w:p>
    <w:p>
      <w:r>
        <w:rPr>
          <w:rFonts w:ascii="Calibri" w:hAnsi="Calibri" w:eastAsia="微软雅黑"/>
          <w:b w:val="0"/>
          <w:i w:val="0"/>
          <w:sz w:val="22"/>
        </w:rPr>
        <w:t>综合本节五组材料，计价依据防线可以浓缩成一张三问表，签约前逐项过：第一问，总价的「范围」与「变更」在合同里有没有可操作的边界（P7033、P7022）？第二问，结算依据若涉及审计、限价、概算，三者的期限、范围、突破条件写清了吗（P7022、P7023）？第三问，合同与招标文件在价款、工期、质量、范围四要素上逐字一致吗（P7024）？三问中任何一问答不上来，该合同就应视为「带伤签约」，进入高层复核。</w:t>
      </w:r>
    </w:p>
    <w:p>
      <w:pPr>
        <w:pStyle w:val="Heading2"/>
      </w:pPr>
      <w:r>
        <w:t>7.4 源头瑕疵：招投标阶段的每一次让步都在结算阶段收账</w:t>
      </w:r>
    </w:p>
    <w:p>
      <w:pPr>
        <w:pStyle w:val="Heading3"/>
      </w:pPr>
      <w:r>
        <w:t>7.4.1 五郎河案深读：三次压价压出来的官司</w:t>
      </w:r>
    </w:p>
    <w:p>
      <w:r>
        <w:rPr>
          <w:rFonts w:ascii="Calibri" w:hAnsi="Calibri" w:eastAsia="微软雅黑"/>
          <w:b w:val="0"/>
          <w:i w:val="0"/>
          <w:sz w:val="22"/>
        </w:rPr>
        <w:t>变更纠纷的第三大族群在项目源头。云南五郎河水电站EPC案的时间线本身就是一份风险标本。[事实] 2014年1月2日，发包方向原告一发出投标邀请书；2014年1月6日，原告一与原告二组成联营体投标；2014年4月14日，发包方签发中标通知书，中标价为174318000元；2014年5月28日，双方签订《五郎河流域丽江水井水电站EPC工程总承包合同文件》（P7034）。诉争的核心行为发生在开标后、中标人揭晓前：联营体主张，发包方先后三次要求降低投标报价——第一次从194351955元降至179173980元，第二次降至175318593元，第三次降至174318000元后才中标（P7034）。[估计] 三轮压价累计降幅20033955元，相对初始报价的压价幅度约为20033955÷194351955≈10.3%（own_calc，基于P7034）。</w:t>
      </w:r>
    </w:p>
    <w:p>
      <w:r>
        <w:rPr>
          <w:rFonts w:ascii="Calibri" w:hAnsi="Calibri" w:eastAsia="微软雅黑"/>
          <w:b w:val="0"/>
          <w:i w:val="0"/>
          <w:sz w:val="22"/>
        </w:rPr>
        <w:t>联营体的法律主张同样清晰：上述做法违反《中华人民共和国招标投标法》第四十三条；鉴于本案工程属于依法必须招标的项目，依据招投标法第五十五条，中标应被认定无效（P7034）。诉讼请求包括解除EPC合同、支付欠付合同工程款38672952元、各项损失10610000元，以及逾期付款利息——其中38672952元部分的利息自2016年9月18日起计算，暂计至2018年9月10日为7756075元——并请求确认对该水电站工程享有优先受偿权（P7034）。[估计] 欠付款与损失合计38672952+10610000=49282952元，暂计利息相当于合计金额的7756075÷49282952≈15.7%（own_calc，基于P7034）。</w:t>
      </w:r>
    </w:p>
    <w:p>
      <w:r>
        <w:rPr>
          <w:rFonts w:ascii="Calibri" w:hAnsi="Calibri" w:eastAsia="微软雅黑"/>
          <w:b w:val="0"/>
          <w:i w:val="0"/>
          <w:sz w:val="22"/>
        </w:rPr>
        <w:t>管理层应从本案读到三层。第一层是行为层：开标后再压价不是「商务技巧」，在必须招标的项目上它直接踩进中标无效的射程（P7034）。第二层是证据层：三次报价、每次的时间与沟通记录，联营体显然留有完整证据链，否则撑不起这一诉由——招投标全过程的留痕本身就是资产（P7034）。第三层是决策层：[假设] 假设联营体在第三次降价要求提出时即以书面形式声明保留权利并拒绝进一步让利，可能以损失一个项目为代价换回干净的合同起点；而接受压价再诉无效的路径，代价是四年诉讼、资金占用与关系破裂（P7034）。两种代价孰大，没有普适答案，但「不评估就接受」一定是最差选项。[建议] 企业应将「开标后任何形式的再谈判」设为红线事件，触发即进入法务与商务联合评审，并书面留痕；验证条件：企业近三年投标档案中，凡有开标后议价记录的项目，均能调出当时的书面评审与权利保留文件（P7034、P7007）。</w:t>
      </w:r>
    </w:p>
    <w:p>
      <w:pPr>
        <w:pStyle w:val="Heading3"/>
      </w:pPr>
      <w:r>
        <w:t>7.4.2 桐梓案的另一半：从投标价到合同价的11.8%（own_calc，P7007）</w:t>
      </w:r>
    </w:p>
    <w:p>
      <w:r>
        <w:rPr>
          <w:rFonts w:ascii="Calibri" w:hAnsi="Calibri" w:eastAsia="微软雅黑"/>
          <w:b w:val="0"/>
          <w:i w:val="0"/>
          <w:sz w:val="22"/>
        </w:rPr>
        <w:t>桐梓案在7.2节以窝工程序出场，在7.3节以合同与招投标文件不一致出场，本节补上它的效力之辩全貌。[事实] 承包方主张：案涉工程项目属于必须招投标项目，其投标总价为521965260元，发包方向其发出中标通知书，而EPC总承包合同约定的工程价款为460436515元，因此案涉合同违反招标投标法第四十六条以及实施条例第五十七条，应属无效（P7007）。发包方的抗辩包括：其并非国有企业、项目资金系自筹、案涉工程项目不属于法律法规规定必须招投标的项目，且已经审批立项（P7007）。[估计] 合同价460436515元较投标总价521965260元低61528745元、下浮约11.8%（own_calc，基于P7007，与7.3.4节同一算式）。</w:t>
      </w:r>
    </w:p>
    <w:p>
      <w:r>
        <w:rPr>
          <w:rFonts w:ascii="Calibri" w:hAnsi="Calibri" w:eastAsia="微软雅黑"/>
          <w:b w:val="0"/>
          <w:i w:val="0"/>
          <w:sz w:val="22"/>
        </w:rPr>
        <w:t>这里有一个对工程企业极重要的程序法背景：若合同被认定无效，按无效合同处理的结算逻辑与有效合同完全不同，索赔与违约金的主张基础都会重写。[事实] 本案承包方正是把「确认合同无效」列为上诉请求第一项，先于131845782元的付款请求（P7007）。同时发包方以「拆分立项违反《企业投资项目核准暂行办法》且项目未立案审批」为对抗（P7007）。无论最终胜负（bank所载文书为截断节选，未见裁判结论），该案已经示范了源头瑕疵的杀伤半径：一份2008年签订的合同（P7007），到2019年还在为「当年怎么招的标、怎么签的约」支付诉讼成本。[建议] 存量合同排查动作：对必须招标项目建立「中标价—合同价」一致性台账，凡差异超过内部阈值（建议设为5%）即触发法律复核；该动作的成本以小时计，收益以千万计（P7007、P7024）。</w:t>
      </w:r>
    </w:p>
    <w:p>
      <w:pPr>
        <w:pStyle w:val="Heading3"/>
      </w:pPr>
      <w:r>
        <w:t>7.4.3 拖延结算：把企业拖进利息黑洞</w:t>
      </w:r>
    </w:p>
    <w:p>
      <w:r>
        <w:rPr>
          <w:rFonts w:ascii="Calibri" w:hAnsi="Calibri" w:eastAsia="微软雅黑"/>
          <w:b w:val="0"/>
          <w:i w:val="0"/>
          <w:sz w:val="22"/>
        </w:rPr>
        <w:t>源头瑕疵之外，还有一种「不作为型」风险：发包方拖延结算。苏中建设案的事实链干净利落。[事实] 双方就皇家丽景住宅一期于2010年11月24日、二、三期于2011年2月15日依据中标结果签订建设工程施工合同并备案；合同约定付款节奏为：开工进场后付总价的10%，基础完成后付总价的20%，主体完成三层付总价的20%，主体完成付总价的10%，竣工验收合格后付总价的10%，竣工结算审核后付总价的25%，余款5%作保修金满一年后付清（P7032）。一期工程于2011年12月22日、二、三期工程于2012年5月30日竣工验收合格并交付（P7032）。此后，承包方按中标备案合同提交工程结算资料并移交完整结算资料，发包方拖延结算、至今未出具审核结论（P7032）。诉讼请求为：支付工程款31378570元、利息4911862.33元、逾期付款违约金5116934.78元（自2012年12月起算）（P7032）。</w:t>
      </w:r>
    </w:p>
    <w:p>
      <w:r>
        <w:rPr>
          <w:rFonts w:ascii="Calibri" w:hAnsi="Calibri" w:eastAsia="微软雅黑"/>
          <w:b w:val="0"/>
          <w:i w:val="0"/>
          <w:sz w:val="22"/>
        </w:rPr>
        <w:t>[估计] 利息与违约金合计4911862.33+5116934.78=10028797.11元，相当于诉请工程款本金的10028797.11÷31378570≈31.9%（own_calc，基于P7032）。三成上下的息费占比，是「拖延结算」对企业资产负债表最直白的翻译。与之呼应，贵州高院审理的重庆建工案中，原告请求支付欠付工程款68136209.77元、自2015年9月28日起按每日万分之三计付违约金，并主张拖延支付进度款产生的利息、损失共计人民币26794045（P7009）。[估计] 后者相当于本金的26794045÷68136209.77≈39.3%（own_calc，基于P7009）。两案并读可以得出一个朴素结论：[事实] 在欠付周期以年计的纠纷里，时间成本本身会长成与本金同量级的债权（P7032、P7009）。管理层的动作因此有两个：对内，对长账龄应收按月计提资金成本并纳入项目利润考核，防止「账面盈利、现金亏损」；对外，用足付款节奏条款——苏中案那种十个节点、25%尾款的合同结构（P7032）意味着每一节点都是一次催告与止损的机会，节点函件制度化应成为标配。</w:t>
      </w:r>
    </w:p>
    <w:p>
      <w:pPr>
        <w:pStyle w:val="Heading3"/>
      </w:pPr>
      <w:r>
        <w:t>7.4.4 信息盲区：从源头就注定的变更</w:t>
      </w:r>
    </w:p>
    <w:p>
      <w:r>
        <w:rPr>
          <w:rFonts w:ascii="Calibri" w:hAnsi="Calibri" w:eastAsia="微软雅黑"/>
          <w:b w:val="0"/>
          <w:i w:val="0"/>
          <w:sz w:val="22"/>
        </w:rPr>
        <w:t>源头风险还有一类不是谁做错了什么，而是模式本身自带的：EPC招标时信息天然残缺。[事实] 当业主进行EPC模式招标时，项目基本上还处在可行性研究或概念设计、方案设计阶段，业主可能提供可行性研究报告、概念设计或方案设计图纸、业主要求等，但不会提供工程量清单、技术规范，投标时存在很大的信息盲区（P7002）。FIDIC银皮书序言列明四类不适合采用EPC的环境，第一类就是：投标人没有足够时间或资料，以仔细研究和核查业主要求或进行他们的设计、风险评估和估算（P7002）。另三类分别是：建设内容涉及相当数量的地下工程或投标人未能调查的区域内的工程；业主要严密监督或控制承包商的工作，或要审核大部分施工图纸；每次期中付款都要经职员或其他中间人确认（P7002）。</w:t>
      </w:r>
    </w:p>
    <w:p>
      <w:r>
        <w:rPr>
          <w:rFonts w:ascii="Calibri" w:hAnsi="Calibri" w:eastAsia="微软雅黑"/>
          <w:b w:val="0"/>
          <w:i w:val="0"/>
          <w:sz w:val="22"/>
        </w:rPr>
        <w:t>[事实] 然而商务报价人员在实践中每年都能遇到大量这种环境下的EPC投标项目（P7002）。这意味着：变更不是执行期的意外，而是投标期信息盲区的延迟兑付——桐梓案里的「合同条件不足」（P7007）、四川案里「路径图还是施工详图」之争（P7033），本质上都是盲区在执行期的显影。买方视角的对策不是拒绝EPC，而是给盲区定价：海外工程风险报价实践已经给出成熟刻度——经验法按国别风险计取风险费：低风险国家1%～3%、中风险国家3%～6%、高风险国家6%～10%以上（P7027）；概率法按「风险值＝风险发生概率×损失金额」计取，材料示例：汇率贬值风险发生概率40%、损失1000万美元，风险费用即40%×1000万＝400万美元（P7027）；大型项目可用蒙特卡洛模拟，国际大型承包商普遍采用P80或P90置信水平厘定风险报价（P7027）。EPC项目重点计价对象中，设计风险（设计深度不足、设计变更）与工程量风险（BOQ不完整）位列前茅（P7027）。[建议] 动作：投标决策会必设「盲区清单」议程——列出本标缺失的输入（清单/规范/地勘/时间），逐项给出计价或合同转移方案；验证条件：若中标项目复盘时发现结算争议大多落在投标期已列明的盲区项，说明定价动作有效；若争议落在未列明项，则清单质量不合格（P7002、P7027）。</w:t>
      </w:r>
    </w:p>
    <w:p>
      <w:pPr>
        <w:pStyle w:val="Heading2"/>
      </w:pPr>
      <w:r>
        <w:t>7.5 高频风险图谱与防败诉清单：把判例教训编译成管理动作</w:t>
      </w:r>
    </w:p>
    <w:p>
      <w:pPr>
        <w:pStyle w:val="Heading3"/>
      </w:pPr>
      <w:r>
        <w:t>7.5.1 风险清单：十九类收敛为八簇</w:t>
      </w:r>
    </w:p>
    <w:p>
      <w:r>
        <w:rPr>
          <w:rFonts w:ascii="Calibri" w:hAnsi="Calibri" w:eastAsia="微软雅黑"/>
          <w:b w:val="0"/>
          <w:i w:val="0"/>
          <w:sz w:val="22"/>
        </w:rPr>
        <w:t>前四节按败诉原因纵向解剖，本节横向合并，给出企业可以直接搬走的风险图谱与防线表。先看清单本身。[事实] 一份面向国际工程投标的风险清单样本列出十九类风险：国家政治、汇率、安全、合同、业主支付、税务、地质、征地拆迁、管线迁改、设计、分包、采购、人工、环保、工期、成本、索赔、法律、环境与社会，每类配有发生概率、影响程度、风险等级、应对措施与责任部门（P7025）。把十九类按本章判例的败诉机理重排，可收敛为八簇：程序簇（索赔、合同条款）、计价簇（成本、汇率）、设计簇（设计、管线迁改、地质）、界面簇（分包、采购、接口）、业主簇（业主支付、征地拆迁）、合规簇（税务、法律、环保）、环境簇（政治、安全、环境与社会）、资源簇（人工、工期）。</w:t>
      </w:r>
    </w:p>
    <w:p>
      <w:r>
        <w:rPr>
          <w:rFonts w:ascii="Calibri" w:hAnsi="Calibri" w:eastAsia="微软雅黑"/>
          <w:b w:val="0"/>
          <w:i w:val="0"/>
          <w:sz w:val="22"/>
        </w:rPr>
        <w:t>八簇的意义在于配置资源：程序簇与计价簇恰好对应本章判例中量级最大的两类损失（P7007、P7008、P7009、P7022、P7023、P7032），应配置最强的法务商务资源；设计簇是EPC模式的固有风险带——设计是工程建设的「龙头」，EPC模式下承包商不仅对设计文件正确性负责，还需审核业主前期设计成果及其正确性（P7001）；界面簇的量化代价已有研究背书：接口问题可能使项目成本增加10-20%、进度延误超过30%（P7021）。[事实] 保险亦是界面风险管理工具箱的一部分——境外项目主合同保险条款中，不同项目所在国法院对保险范围标准术语有众多不同解释，有时甚至相互矛盾，联合被保险人结构可避免保险人行使代位求偿权引发的追偿纠纷（P7018）。</w:t>
      </w:r>
    </w:p>
    <w:p>
      <w:pPr>
        <w:pStyle w:val="Heading3"/>
      </w:pPr>
      <w:r>
        <w:t>7.5.2 海外特别版：自拟模板、全分包与索赔利润</w:t>
      </w:r>
    </w:p>
    <w:p>
      <w:r>
        <w:rPr>
          <w:rFonts w:ascii="Calibri" w:hAnsi="Calibri" w:eastAsia="微软雅黑"/>
          <w:b w:val="0"/>
          <w:i w:val="0"/>
          <w:sz w:val="22"/>
        </w:rPr>
        <w:t>海外市场的判例图谱另有三条高频线。第一条是合同模板失衡。[事实] 巴西业主普遍采用自拟合同模板而非国际通用的FIDIC标准条件，权利义务分配不平衡、大量风险单方面转移至承包商：现场条件风险完全转移——招标资料「仅供参考」，业主对准确性、完整性和适用性不担责，承包商独自消化地质变化、地下障碍物、水文异常；监管变化风险单边敞口——调整机制往往仅限税率变化，环保标准提升、劳工保护加强、技术规范更新缺乏费用调整机制；开工条件风险分配不均——土地交付、环境许可、电网接入未完全具备即发开工令，承包方承担窝工损失、设备闲置与工期违约风险；价格风险单方面承担——固定总价缺乏汇率、原材料、人工调整机制（P7015）。背景是该市场体量可观：2025年中国在巴西投资总额达61亿美元、较2024年增长45%、涵盖52个项目（P7015）。[建议] 进入此类市场的企业应在投标阶段完成「条款失衡分级」：对上述四类单边条款逐条标注可谈/不可谈/可对冲，不可谈且不可对冲的条目数量超过阈值即升级至董事会决策（P7015）。</w:t>
      </w:r>
    </w:p>
    <w:p>
      <w:r>
        <w:rPr>
          <w:rFonts w:ascii="Calibri" w:hAnsi="Calibri" w:eastAsia="微软雅黑"/>
          <w:b w:val="0"/>
          <w:i w:val="0"/>
          <w:sz w:val="22"/>
        </w:rPr>
        <w:t>第二条是设计院转型总包后的全分包风险。[事实] 设计院核心竞争力在技术研发与设计优化，但在跨境项目管理、施工组织协调、国际供应链整合方面存在短板，多数设计院选择「全分包」模式，通过「背靠背」分包合同转移风险；实践中常陷入「风险转移预期与实际履约结果脱节」的困境：分包商履约能力不足造成工期延误、跨境合规责任传导不彻底造成总包兜底、背靠背条款设计缺陷造成索赔无据（P7017）。分包层级越多——「设计院（总包）—一级分包商—二级分包商」——信息不对称风险越高、风险传导效率越低（P7017）。对照国内判例：固定总价下鉴定边界之争（P7033）与背靠背落空（P7017）常常是同一枚硬币的两面——总包对外扛着总价，对内却收不回对等补偿。[建议] 设计院转型企业的防线是把「背靠背」从一句口号写成三组条款：支付背靠背（业主付款作为分包付款前提时的告知与审计权）、工期背靠背（总工期分解与里程碑联动）、证据背靠背（分包商按总包索赔标准同步提交同期记录）；验证条件：抽查任一分包纠纷，总包能否用分包商的同期记录直接支撑对业主的索赔（P7017、P7007）。</w:t>
      </w:r>
    </w:p>
    <w:p>
      <w:r>
        <w:rPr>
          <w:rFonts w:ascii="Calibri" w:hAnsi="Calibri" w:eastAsia="微软雅黑"/>
          <w:b w:val="0"/>
          <w:i w:val="0"/>
          <w:sz w:val="22"/>
        </w:rPr>
        <w:t>第三条是把索赔当利润能力来经营。[事实] 海外光伏EPC的盈利本质已从「施工利润模式」转变为设计优化利润＋全球采购利润＋项目管理效率利润＋风险管理利润＋索赔利润＋本地化能力利润＋O&amp;M长期利润的组合（P7003）。市场背景支持这一判断：国际可再生能源署（IRENA）数据显示，2024年全球公用事业级光伏项目加权平均全投资成本已下降至约691美元/kW、比2023年下降11%，光伏LCOE全球加权平均值约为0.043美元/kWh，组件、逆变器和其他BOS成本持续下降，规模化竞争压缩EPC利润空间（P7003）。[事实] 同一材料同时警告：对缺乏国际合同管理、海外设计、风险定价和供应链管理能力的企业，低价中标一个500MW或1GW项目，很可能出现「收入巨大、利润微薄，甚至项目亏损」（P7003）。索赔利润的正反两面由此统一：程序与证据到位，索赔是利润项（本章7.2节的台账机制）；不到位，同一批变更就是亏损项（P7007）。[事实] 材料作者还特别声明：海外EPC合同通常不披露单项目成本、毛利和净利润，涉及项目盈利的部分凡非上市公司公开披露数据均标注为测算或情景分析（P7003）——这既是数字纪律的示范，也是本章盲区节的伏笔。</w:t>
      </w:r>
    </w:p>
    <w:p>
      <w:pPr>
        <w:pStyle w:val="Heading3"/>
      </w:pPr>
      <w:r>
        <w:t>7.5.3 防败诉清单：五道防线×动作×验证×停止条件</w:t>
      </w:r>
    </w:p>
    <w:p>
      <w:r>
        <w:rPr>
          <w:rFonts w:ascii="Calibri" w:hAnsi="Calibri" w:eastAsia="微软雅黑"/>
          <w:b w:val="0"/>
          <w:i w:val="0"/>
          <w:sz w:val="22"/>
        </w:rPr>
        <w:t>将全章判例教训压缩为一张可直接执行的防线表。每一行都有判例锚点，每条建议都带验证与停止条件——这是本章与普通「风险提示文」的区别：建议若无验证条件即无法落地，若无停止条件即无法退出。</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防线</w:t>
            </w:r>
          </w:p>
        </w:tc>
        <w:tc>
          <w:tcPr>
            <w:tcW w:type="dxa" w:w="1660"/>
            <w:shd w:fill="1F3A5F"/>
          </w:tcPr>
          <w:p>
            <w:r>
              <w:rPr>
                <w:color w:val="FFFFFF"/>
              </w:rPr>
            </w:r>
            <w:r>
              <w:rPr>
                <w:rFonts w:ascii="Calibri" w:hAnsi="Calibri" w:eastAsia="微软雅黑"/>
                <w:b/>
                <w:i w:val="0"/>
                <w:color w:val="FFFFFF"/>
                <w:sz w:val="18"/>
              </w:rPr>
              <w:t>判例/证据锚</w:t>
            </w:r>
          </w:p>
        </w:tc>
        <w:tc>
          <w:tcPr>
            <w:tcW w:type="dxa" w:w="1660"/>
            <w:shd w:fill="1F3A5F"/>
          </w:tcPr>
          <w:p>
            <w:r>
              <w:rPr>
                <w:color w:val="FFFFFF"/>
              </w:rPr>
            </w:r>
            <w:r>
              <w:rPr>
                <w:rFonts w:ascii="Calibri" w:hAnsi="Calibri" w:eastAsia="微软雅黑"/>
                <w:b/>
                <w:i w:val="0"/>
                <w:color w:val="FFFFFF"/>
                <w:sz w:val="18"/>
              </w:rPr>
              <w:t>核心动作</w:t>
            </w:r>
          </w:p>
        </w:tc>
        <w:tc>
          <w:tcPr>
            <w:tcW w:type="dxa" w:w="1660"/>
            <w:shd w:fill="1F3A5F"/>
          </w:tcPr>
          <w:p>
            <w:r>
              <w:rPr>
                <w:color w:val="FFFFFF"/>
              </w:rPr>
            </w:r>
            <w:r>
              <w:rPr>
                <w:rFonts w:ascii="Calibri" w:hAnsi="Calibri" w:eastAsia="微软雅黑"/>
                <w:b/>
                <w:i w:val="0"/>
                <w:color w:val="FFFFFF"/>
                <w:sz w:val="18"/>
              </w:rPr>
              <w:t>验证条件</w:t>
            </w:r>
          </w:p>
        </w:tc>
        <w:tc>
          <w:tcPr>
            <w:tcW w:type="dxa" w:w="1660"/>
            <w:shd w:fill="1F3A5F"/>
          </w:tcPr>
          <w:p>
            <w:r>
              <w:rPr>
                <w:color w:val="FFFFFF"/>
              </w:rPr>
            </w:r>
            <w:r>
              <w:rPr>
                <w:rFonts w:ascii="Calibri" w:hAnsi="Calibri" w:eastAsia="微软雅黑"/>
                <w:b/>
                <w:i w:val="0"/>
                <w:color w:val="FFFFFF"/>
                <w:sz w:val="18"/>
              </w:rPr>
              <w:t>停止/升级条件</w:t>
            </w:r>
          </w:p>
        </w:tc>
      </w:tr>
      <w:tr>
        <w:tc>
          <w:tcPr>
            <w:tcW w:type="dxa" w:w="1660"/>
          </w:tcPr>
          <w:p>
            <w:r/>
            <w:r>
              <w:rPr>
                <w:rFonts w:ascii="Calibri" w:hAnsi="Calibri" w:eastAsia="微软雅黑"/>
                <w:b w:val="0"/>
                <w:i w:val="0"/>
                <w:sz w:val="18"/>
              </w:rPr>
              <w:t>一、程序防线：索赔台账与四件套</w:t>
            </w:r>
          </w:p>
        </w:tc>
        <w:tc>
          <w:tcPr>
            <w:tcW w:type="dxa" w:w="1660"/>
          </w:tcPr>
          <w:p>
            <w:r/>
            <w:r>
              <w:rPr>
                <w:rFonts w:ascii="Calibri" w:hAnsi="Calibri" w:eastAsia="微软雅黑"/>
                <w:b w:val="0"/>
                <w:i w:val="0"/>
                <w:sz w:val="18"/>
              </w:rPr>
              <w:t>窝工未按约报送报告的抗辩（P7007）；28天/42天失权（P7004）；「一单一议」台账（P7019）；索赔预警（P7025）</w:t>
            </w:r>
          </w:p>
        </w:tc>
        <w:tc>
          <w:tcPr>
            <w:tcW w:type="dxa" w:w="1660"/>
          </w:tcPr>
          <w:p>
            <w:r/>
            <w:r>
              <w:rPr>
                <w:rFonts w:ascii="Calibri" w:hAnsi="Calibri" w:eastAsia="微软雅黑"/>
                <w:b w:val="0"/>
                <w:i w:val="0"/>
                <w:sz w:val="18"/>
              </w:rPr>
              <w:t>每单变更生成「通知—报告—签认/异议—同期记录」四件套与四个截止日</w:t>
            </w:r>
          </w:p>
        </w:tc>
        <w:tc>
          <w:tcPr>
            <w:tcW w:type="dxa" w:w="1660"/>
          </w:tcPr>
          <w:p>
            <w:r/>
            <w:r>
              <w:rPr>
                <w:rFonts w:ascii="Calibri" w:hAnsi="Calibri" w:eastAsia="微软雅黑"/>
                <w:b w:val="0"/>
                <w:i w:val="0"/>
                <w:sz w:val="18"/>
              </w:rPr>
              <w:t>随机抽三个月变更事件，一周内凑齐四件套</w:t>
            </w:r>
          </w:p>
        </w:tc>
        <w:tc>
          <w:tcPr>
            <w:tcW w:type="dxa" w:w="1660"/>
          </w:tcPr>
          <w:p>
            <w:r/>
            <w:r>
              <w:rPr>
                <w:rFonts w:ascii="Calibri" w:hAnsi="Calibri" w:eastAsia="微软雅黑"/>
                <w:b w:val="0"/>
                <w:i w:val="0"/>
                <w:sz w:val="18"/>
              </w:rPr>
              <w:t>月度红灯率超三成即回合同层重谈风险分配</w:t>
            </w:r>
          </w:p>
        </w:tc>
      </w:tr>
      <w:tr>
        <w:tc>
          <w:tcPr>
            <w:tcW w:type="dxa" w:w="1660"/>
          </w:tcPr>
          <w:p>
            <w:r/>
            <w:r>
              <w:rPr>
                <w:rFonts w:ascii="Calibri" w:hAnsi="Calibri" w:eastAsia="微软雅黑"/>
                <w:b w:val="0"/>
                <w:i w:val="0"/>
                <w:sz w:val="18"/>
              </w:rPr>
              <w:t>二、计价防线：范围钉死与审计限权</w:t>
            </w:r>
          </w:p>
        </w:tc>
        <w:tc>
          <w:tcPr>
            <w:tcW w:type="dxa" w:w="1660"/>
          </w:tcPr>
          <w:p>
            <w:r/>
            <w:r>
              <w:rPr>
                <w:rFonts w:ascii="Calibri" w:hAnsi="Calibri" w:eastAsia="微软雅黑"/>
                <w:b w:val="0"/>
                <w:i w:val="0"/>
                <w:sz w:val="18"/>
              </w:rPr>
              <w:t>固定总价与鉴定边界（P7033）；EPC总价对应范围（P7022）；以审计为准须明确约定（P7022）</w:t>
            </w:r>
          </w:p>
        </w:tc>
        <w:tc>
          <w:tcPr>
            <w:tcW w:type="dxa" w:w="1660"/>
          </w:tcPr>
          <w:p>
            <w:r/>
            <w:r>
              <w:rPr>
                <w:rFonts w:ascii="Calibri" w:hAnsi="Calibri" w:eastAsia="微软雅黑"/>
                <w:b w:val="0"/>
                <w:i w:val="0"/>
                <w:sz w:val="18"/>
              </w:rPr>
              <w:t>签约评审完成「范围清单＋变更定义＋例外清单」；审计条款写入期限/范围/争议出口</w:t>
            </w:r>
          </w:p>
        </w:tc>
        <w:tc>
          <w:tcPr>
            <w:tcW w:type="dxa" w:w="1660"/>
          </w:tcPr>
          <w:p>
            <w:r/>
            <w:r>
              <w:rPr>
                <w:rFonts w:ascii="Calibri" w:hAnsi="Calibri" w:eastAsia="微软雅黑"/>
                <w:b w:val="0"/>
                <w:i w:val="0"/>
                <w:sz w:val="18"/>
              </w:rPr>
              <w:t>项目经理能说清包干范围与变更构成</w:t>
            </w:r>
          </w:p>
        </w:tc>
        <w:tc>
          <w:tcPr>
            <w:tcW w:type="dxa" w:w="1660"/>
          </w:tcPr>
          <w:p>
            <w:r/>
            <w:r>
              <w:rPr>
                <w:rFonts w:ascii="Calibri" w:hAnsi="Calibri" w:eastAsia="微软雅黑"/>
                <w:b w:val="0"/>
                <w:i w:val="0"/>
                <w:sz w:val="18"/>
              </w:rPr>
              <w:t>业主拒绝任何期限与范围限定时重测现金流敞口再定签否</w:t>
            </w:r>
          </w:p>
        </w:tc>
      </w:tr>
      <w:tr>
        <w:tc>
          <w:tcPr>
            <w:tcW w:type="dxa" w:w="1660"/>
          </w:tcPr>
          <w:p>
            <w:r/>
            <w:r>
              <w:rPr>
                <w:rFonts w:ascii="Calibri" w:hAnsi="Calibri" w:eastAsia="微软雅黑"/>
                <w:b w:val="0"/>
                <w:i w:val="0"/>
                <w:sz w:val="18"/>
              </w:rPr>
              <w:t>三、源头防线：招投标一致性台账</w:t>
            </w:r>
          </w:p>
        </w:tc>
        <w:tc>
          <w:tcPr>
            <w:tcW w:type="dxa" w:w="1660"/>
          </w:tcPr>
          <w:p>
            <w:r/>
            <w:r>
              <w:rPr>
                <w:rFonts w:ascii="Calibri" w:hAnsi="Calibri" w:eastAsia="微软雅黑"/>
                <w:b w:val="0"/>
                <w:i w:val="0"/>
                <w:sz w:val="18"/>
              </w:rPr>
              <w:t>三次压价与中标无效之诉（P7034）；投标价与合同价背离之辩（P7007）；实质性内容以招标文件为准（P7024）</w:t>
            </w:r>
          </w:p>
        </w:tc>
        <w:tc>
          <w:tcPr>
            <w:tcW w:type="dxa" w:w="1660"/>
          </w:tcPr>
          <w:p>
            <w:r/>
            <w:r>
              <w:rPr>
                <w:rFonts w:ascii="Calibri" w:hAnsi="Calibri" w:eastAsia="微软雅黑"/>
                <w:b w:val="0"/>
                <w:i w:val="0"/>
                <w:sz w:val="18"/>
              </w:rPr>
              <w:t>「中标价—合同价」差异超5%触发法务复核；开标后再谈判设为红线事件并书面留痕</w:t>
            </w:r>
          </w:p>
        </w:tc>
        <w:tc>
          <w:tcPr>
            <w:tcW w:type="dxa" w:w="1660"/>
          </w:tcPr>
          <w:p>
            <w:r/>
            <w:r>
              <w:rPr>
                <w:rFonts w:ascii="Calibri" w:hAnsi="Calibri" w:eastAsia="微软雅黑"/>
                <w:b w:val="0"/>
                <w:i w:val="0"/>
                <w:sz w:val="18"/>
              </w:rPr>
              <w:t>近三年投标档案均可调出评审与权利保留文件</w:t>
            </w:r>
          </w:p>
        </w:tc>
        <w:tc>
          <w:tcPr>
            <w:tcW w:type="dxa" w:w="1660"/>
          </w:tcPr>
          <w:p>
            <w:r/>
            <w:r>
              <w:rPr>
                <w:rFonts w:ascii="Calibri" w:hAnsi="Calibri" w:eastAsia="微软雅黑"/>
                <w:b w:val="0"/>
                <w:i w:val="0"/>
                <w:sz w:val="18"/>
              </w:rPr>
              <w:t>必须招标项目出现开标后议价即进入联合评审</w:t>
            </w:r>
          </w:p>
        </w:tc>
      </w:tr>
      <w:tr>
        <w:tc>
          <w:tcPr>
            <w:tcW w:type="dxa" w:w="1660"/>
          </w:tcPr>
          <w:p>
            <w:r/>
            <w:r>
              <w:rPr>
                <w:rFonts w:ascii="Calibri" w:hAnsi="Calibri" w:eastAsia="微软雅黑"/>
                <w:b w:val="0"/>
                <w:i w:val="0"/>
                <w:sz w:val="18"/>
              </w:rPr>
              <w:t>四、界面防线：背靠背做实与接口管理</w:t>
            </w:r>
          </w:p>
        </w:tc>
        <w:tc>
          <w:tcPr>
            <w:tcW w:type="dxa" w:w="1660"/>
          </w:tcPr>
          <w:p>
            <w:r/>
            <w:r>
              <w:rPr>
                <w:rFonts w:ascii="Calibri" w:hAnsi="Calibri" w:eastAsia="微软雅黑"/>
                <w:b w:val="0"/>
                <w:i w:val="0"/>
                <w:sz w:val="18"/>
              </w:rPr>
              <w:t>背靠背落空三情形（P7017）；接口成本增加10-20%、延误超30%（P7021）；分包层级信息衰减（P7017）</w:t>
            </w:r>
          </w:p>
        </w:tc>
        <w:tc>
          <w:tcPr>
            <w:tcW w:type="dxa" w:w="1660"/>
          </w:tcPr>
          <w:p>
            <w:r/>
            <w:r>
              <w:rPr>
                <w:rFonts w:ascii="Calibri" w:hAnsi="Calibri" w:eastAsia="微软雅黑"/>
                <w:b w:val="0"/>
                <w:i w:val="0"/>
                <w:sz w:val="18"/>
              </w:rPr>
              <w:t>分包合同写支付/工期/证据三组背靠背条款；接口矩阵表随设计阶段更新</w:t>
            </w:r>
          </w:p>
        </w:tc>
        <w:tc>
          <w:tcPr>
            <w:tcW w:type="dxa" w:w="1660"/>
          </w:tcPr>
          <w:p>
            <w:r/>
            <w:r>
              <w:rPr>
                <w:rFonts w:ascii="Calibri" w:hAnsi="Calibri" w:eastAsia="微软雅黑"/>
                <w:b w:val="0"/>
                <w:i w:val="0"/>
                <w:sz w:val="18"/>
              </w:rPr>
              <w:t>任一分包纠纷中总包可用分包同期记录支撑对业主索赔</w:t>
            </w:r>
          </w:p>
        </w:tc>
        <w:tc>
          <w:tcPr>
            <w:tcW w:type="dxa" w:w="1660"/>
          </w:tcPr>
          <w:p>
            <w:r/>
            <w:r>
              <w:rPr>
                <w:rFonts w:ascii="Calibri" w:hAnsi="Calibri" w:eastAsia="微软雅黑"/>
                <w:b w:val="0"/>
                <w:i w:val="0"/>
                <w:sz w:val="18"/>
              </w:rPr>
              <w:t>二级分包出现而总包无直接管理界面时升级管理层介入</w:t>
            </w:r>
          </w:p>
        </w:tc>
      </w:tr>
      <w:tr>
        <w:tc>
          <w:tcPr>
            <w:tcW w:type="dxa" w:w="1660"/>
          </w:tcPr>
          <w:p>
            <w:r/>
            <w:r>
              <w:rPr>
                <w:rFonts w:ascii="Calibri" w:hAnsi="Calibri" w:eastAsia="微软雅黑"/>
                <w:b w:val="0"/>
                <w:i w:val="0"/>
                <w:sz w:val="18"/>
              </w:rPr>
              <w:t>五、对手防线：主体核验与治理时钟</w:t>
            </w:r>
          </w:p>
        </w:tc>
        <w:tc>
          <w:tcPr>
            <w:tcW w:type="dxa" w:w="1660"/>
          </w:tcPr>
          <w:p>
            <w:r/>
            <w:r>
              <w:rPr>
                <w:rFonts w:ascii="Calibri" w:hAnsi="Calibri" w:eastAsia="微软雅黑"/>
                <w:b w:val="0"/>
                <w:i w:val="0"/>
                <w:sz w:val="18"/>
              </w:rPr>
              <w:t>伪造总包身份骗取860万元（其中200万元未遂）（P7031）；董事越权签约后公司败诉被追责（P7011）；和解漏项拖回法院两年（P7013）</w:t>
            </w:r>
          </w:p>
        </w:tc>
        <w:tc>
          <w:tcPr>
            <w:tcW w:type="dxa" w:w="1660"/>
          </w:tcPr>
          <w:p>
            <w:r/>
            <w:r>
              <w:rPr>
                <w:rFonts w:ascii="Calibri" w:hAnsi="Calibri" w:eastAsia="微软雅黑"/>
                <w:b w:val="0"/>
                <w:i w:val="0"/>
                <w:sz w:val="18"/>
              </w:rPr>
              <w:t>保证金支付前核验总包授权与备案文件；重大结算协议前置内部报告；和解按费用项穷尽清单核对</w:t>
            </w:r>
          </w:p>
        </w:tc>
        <w:tc>
          <w:tcPr>
            <w:tcW w:type="dxa" w:w="1660"/>
          </w:tcPr>
          <w:p>
            <w:r/>
            <w:r>
              <w:rPr>
                <w:rFonts w:ascii="Calibri" w:hAnsi="Calibri" w:eastAsia="微软雅黑"/>
                <w:b w:val="0"/>
                <w:i w:val="0"/>
                <w:sz w:val="18"/>
              </w:rPr>
              <w:t>抽查近一年和解与结算协议全部附内部留痕；保证金台账逐笔有授权核验记录</w:t>
            </w:r>
          </w:p>
        </w:tc>
        <w:tc>
          <w:tcPr>
            <w:tcW w:type="dxa" w:w="1660"/>
          </w:tcPr>
          <w:p>
            <w:r/>
            <w:r>
              <w:rPr>
                <w:rFonts w:ascii="Calibri" w:hAnsi="Calibri" w:eastAsia="微软雅黑"/>
                <w:b w:val="0"/>
                <w:i w:val="0"/>
                <w:sz w:val="18"/>
              </w:rPr>
              <w:t>对方拒配核验文件即暂停付款并升级法务</w:t>
            </w:r>
          </w:p>
        </w:tc>
      </w:tr>
    </w:tbl>
    <w:p>
      <w:r>
        <w:rPr>
          <w:rFonts w:ascii="Calibri" w:hAnsi="Calibri" w:eastAsia="微软雅黑"/>
          <w:b w:val="0"/>
          <w:i w:val="0"/>
          <w:sz w:val="22"/>
        </w:rPr>
        <w:t>第五道防线值得单独展开两句。李正华合同诈骗案中，行为人在未取得项目发包、分包权的情况下，谎称中国电建系西藏浪卡子光伏项目总承包方——而该项目真实的总承包设计施工方是四川电力设计咨询有限责任公司，项目2017年1月18日开工、2017年5月20日并网发电（P7031）——随后伪造公章、劳务总包合同、保证金收款收据乃至国家能源局红头文件、进场通知书、工程量分配单，以收取保证金、业务拓展费名义骗取多名被害人共计860万元，其中200万元未遂（P7031）。[事实] 受害人分布之广、单笔金额之碎（案卷所列从数万元到上百万元不等，如保证金35万元、70万元、190万元等多笔）（P7031），说明这类骗局靠的不是天衣无缝的文件，而是「总包身份＋紧俏项目＋保证金惯例」三者叠加的心理杠杆。防骗动作因此必须落在付款前的独立核验：向业主或其授权机构直查授权文件，而非查对手提供的文件。验证条件一如表中所述——凡核验不了授权链条的保证金请求，按骗局处理。</w:t>
      </w:r>
    </w:p>
    <w:p>
      <w:pPr>
        <w:pStyle w:val="Heading3"/>
      </w:pPr>
      <w:r>
        <w:t>7.5.4 从个案到体系：限额设计与「两张皮」的收口</w:t>
      </w:r>
    </w:p>
    <w:p>
      <w:r>
        <w:rPr>
          <w:rFonts w:ascii="Calibri" w:hAnsi="Calibri" w:eastAsia="微软雅黑"/>
          <w:b w:val="0"/>
          <w:i w:val="0"/>
          <w:sz w:val="22"/>
        </w:rPr>
        <w:t>本章判例反复指向同一个组织病灶：设计与施工两张皮。行业复盘已经给出定量的因果链。[事实] 一个市政产业园EPC项目因设计和施工各干各的、图纸改了一轮又一轮，最后审计认定「设计没落实投资管控」，设计院被扣钱，施工方回款变慢、利润大缩水；EPC专项整治重点查的就是这种「两张皮」；超概的根因从来不在施工现场，全在出图之前——设计阶段锁定了七到九成的建造成本，而多数联合体只是名义上组队、并非利益共同体（P7028）。对策是把「限额设计」当成风险定价机制：设计院按专业切分投资上限、每周更新概算对比表，谁超标谁当场给纠正方案；施工单位投标前拿出「初设优化点清单」；从方案阶段起设计师、造价师、施工和采购人员联合办公，任何变更多方评审；再用AI核对清单揪出漏项错项（P7028）。</w:t>
      </w:r>
    </w:p>
    <w:p>
      <w:r>
        <w:rPr>
          <w:rFonts w:ascii="Calibri" w:hAnsi="Calibri" w:eastAsia="微软雅黑"/>
          <w:b w:val="0"/>
          <w:i w:val="0"/>
          <w:sz w:val="22"/>
        </w:rPr>
        <w:t>这与FIDIC银皮书的设计责任结构互为表里。[事实] 银皮书1999年问世、2017年出第二版，通用条件第5.1款把设计的最终责任完整地、排他地压在承包商身上；项目所在地的地质、水文、材料价格波动、汇率变化、法律法规变更，只要不是「一个有经验的承包商在基准日前无法合理预见」的情形，全部由承包商消化；承包商在基准日期前应仔细审查业主要求（包括设计标准和计算书），未提出书面异议的，后期发现图纸有问题仍是承包商的责任（P7019）。对照国内体系：示范文本GF-2020-0216的设计责任分配强调「发包人提供的基础资料错误，承包商有权索赔工期和费用」，《房屋建筑和市政基础设施项目工程总承包管理办法》（建市规〔2019〕12号）明确要求发包人提供地质勘察资料并对资料真实性负责（P7019）；银皮书条款则规定承包商有义务核实并解释业主要求，除第5.1款规定的四种情况（合同规定的不可更改或由业主负责的部分、数据和信息；工程预期目的的定义；竣工检验标准和性能标准；除合同另有说明外承包商无法核实的内容）外，业主对所提供资料的准确性、充分性和完整性不承担责任（P7001）。[事实] 一张银皮书合同签下去，业主把设计责任放上承包商的肩，等于把项目利润的生死簿一并移交——「签银皮书，就是签了一份风险全包的承诺书」（P7019）。设计输入端的隐患在银皮书下同样放大：业主提供的条件不全时，承包商若以自己假定的条件为基础投标报价而未及时澄清，很可能在实施过程中发生设计变更，项目成本高于投标估算；业主条件表述不清（如要求移交设备达到「世界先进的装备水平」）时，承包商难以自证达标（P7001）。</w:t>
      </w:r>
    </w:p>
    <w:p>
      <w:r>
        <w:rPr>
          <w:rFonts w:ascii="Calibri" w:hAnsi="Calibri" w:eastAsia="微软雅黑"/>
          <w:b w:val="0"/>
          <w:i w:val="0"/>
          <w:sz w:val="22"/>
        </w:rPr>
        <w:t>把7.5.4与本节贯通，企业层面的结论可以一句话说尽：判例图谱里的五类败诉原因，最终都汇入同一个组织命题——设计、造价、施工、采购、法务五条线是否在同一张桌上工作。[建议] 联合办公与联合评审（P7028）不是福利而是止损结构，其验证条件即7.3.1节的「三问表」能否由五个岗位共同作答；停止条件是：当联合评审连续多轮沦为签字走形式（以会议纪要无实质异议为标志），应解散重组而非维持空转（P7028、P7033）。</w:t>
      </w:r>
    </w:p>
    <w:p>
      <w:pPr>
        <w:pStyle w:val="Heading3"/>
      </w:pPr>
      <w:r>
        <w:t>7.5.5 从判例到治理：三级升级机制与四件配套</w:t>
      </w:r>
    </w:p>
    <w:p>
      <w:r>
        <w:rPr>
          <w:rFonts w:ascii="Calibri" w:hAnsi="Calibri" w:eastAsia="微软雅黑"/>
          <w:b w:val="0"/>
          <w:i w:val="0"/>
          <w:sz w:val="22"/>
        </w:rPr>
        <w:t>防线表回答了「做什么」，还差一问：谁来做、何时升级。判例图谱给出的答案是三级治理。第一级在项目部：台账红灯、四件套缺件，由项目经理当日处置——这一级处理的是程序簇与计价簇的日常风险（P7019、P7025）。第二级在企业法务与商务：凡触发合同效力之辩（如中标价与合同价背离，P7007、P7024）、固定总价鉴定边界（P7033）、以审计为准条款（P7022）、超限超概僵局（P7023）之一，即升级至企业层面组建专项组。第三级在董事会或经营班子：涉及红线条款（开标后再谈判P7034、单边模板四类条款P7015、审计无限期P7022）的签约决策，应保留否决权并留档决策理由——这一级的存在本身就会改变前两级的谈判姿态。</w:t>
      </w:r>
    </w:p>
    <w:p>
      <w:r>
        <w:rPr>
          <w:rFonts w:ascii="Calibri" w:hAnsi="Calibri" w:eastAsia="微软雅黑"/>
          <w:b w:val="0"/>
          <w:i w:val="0"/>
          <w:sz w:val="22"/>
        </w:rPr>
        <w:t>围绕三级治理，bank里还有四件配套值得搬走。其一，履约抗辩与解除联动：行业判例索引显示，EPC合同分拆履约中的先履行抗辩权见（2016）最高法民终695号，分包合同同步解除机制见（2016）最高法民再53号，境外保函止付风险见（2017）川民终72号（P7005）——三案合读的含义是：节点付款阻滞、总包合同解除、保函止付三类事件常常连环出现，二级升级的触发条件应把三者打包监听，而非各自为战。其二，审计纠偏先例：行政审计强行介入结算曾经历《法工委函〔2017〕2号》清理审查及「重庆勇创案」计价标准纠偏（P7005）——企业在「以审计为准」僵局中并非无法可依，历史上确有纠偏通道（P7005、P7022）。其三，造价工具前置：概算指标结构变化修正（修正综合单价＝J＋Q1P1−Q2P2）与类似工程造价综合调整（D＝A×K）等模型可在投标期就对盲区定价（P7012），与风险报价刻度（P7027）互为校验。其四，工具与文化：行业培训体系已把设计风险管理工具化——20类风险分类体系、FEED审查知识体系、设计成熟度五级模型，联动120个精选实践案例（P7026）；而BIM「翻模」教训则从数据层印证了「两张皮」的代价——设计一套模型、造价再翻一套模型算量，设计改了造价不知道，造价算了设计不认，最后结算时审计拿着两套数据来回砍（P7020）。[建议] 三级治理的启动验证：任选一个在建项目做一次「红队演练」——由法务扮演对手方，按本章五类败诉原因逐一进攻，项目部与法务的应答时间与证据调出速度即为治理成熟度评分；停止条件：若演练中证据调出超过一周或关键四件套缺失，应先补体系再谈市场扩张（P7005、P7020、P7026）。</w:t>
      </w:r>
    </w:p>
    <w:p>
      <w:pPr>
        <w:pStyle w:val="Heading2"/>
      </w:pPr>
      <w:r>
        <w:t>7.6 本章小结与盲区</w:t>
      </w:r>
    </w:p>
    <w:p>
      <w:pPr>
        <w:pStyle w:val="Heading3"/>
      </w:pPr>
      <w:r>
        <w:t>7.6.1 小结六问</w:t>
      </w:r>
    </w:p>
    <w:p>
      <w:r>
        <w:rPr>
          <w:rFonts w:ascii="Calibri" w:hAnsi="Calibri" w:eastAsia="微软雅黑"/>
          <w:b/>
          <w:i w:val="0"/>
          <w:sz w:val="22"/>
        </w:rPr>
        <w:t>证明了什么？</w:t>
      </w:r>
      <w:r>
        <w:rPr>
          <w:rFonts w:ascii="Calibri" w:hAnsi="Calibri" w:eastAsia="微软雅黑"/>
          <w:b w:val="0"/>
          <w:i w:val="0"/>
          <w:sz w:val="22"/>
        </w:rPr>
        <w:t xml:space="preserve"> [事实] 变更纠纷的败诉原因高度收敛于五类：程序失权（P7007、P7004、P7013）、计价依据失控（P7022、P7023、P7024、P7033）、源头程序瑕疵（P7034、P7007）、风险转移落空（P7017、P7021）、主体与真实性风险（P7031）；其中量级最大的损失集中在程序与计价两类（P7007、P7008、P7009、P7022、P7023、P7032）。</w:t>
      </w:r>
    </w:p>
    <w:p>
      <w:r>
        <w:rPr>
          <w:rFonts w:ascii="Calibri" w:hAnsi="Calibri" w:eastAsia="微软雅黑"/>
          <w:b/>
          <w:i w:val="0"/>
          <w:sz w:val="22"/>
        </w:rPr>
        <w:t>输入在哪里？</w:t>
      </w:r>
      <w:r>
        <w:rPr>
          <w:rFonts w:ascii="Calibri" w:hAnsi="Calibri" w:eastAsia="微软雅黑"/>
          <w:b w:val="0"/>
          <w:i w:val="0"/>
          <w:sz w:val="22"/>
        </w:rPr>
        <w:t xml:space="preserve"> 判决书与行业案例库：最高人民法院、省高院、中院再审及刑事判决（P7007、P7008、P7009、P7010、P7011、P7031、P7032、P7033、P7034），跨境裁定研读（P7013），海外与行业风险研究（P7001、P7002、P7003、P7004、P7015、P7017、P7019、P7021、P7022、P7023、P7024、P7025、P7027、P7028）。</w:t>
      </w:r>
    </w:p>
    <w:p>
      <w:r>
        <w:rPr>
          <w:rFonts w:ascii="Calibri" w:hAnsi="Calibri" w:eastAsia="微软雅黑"/>
          <w:b/>
          <w:i w:val="0"/>
          <w:sz w:val="22"/>
        </w:rPr>
        <w:t>怎么算的？</w:t>
      </w:r>
      <w:r>
        <w:rPr>
          <w:rFonts w:ascii="Calibri" w:hAnsi="Calibri" w:eastAsia="微软雅黑"/>
          <w:b w:val="0"/>
          <w:i w:val="0"/>
          <w:sz w:val="22"/>
        </w:rPr>
        <w:t xml:space="preserve"> 全部金额与比例逐字取自bank并在句内挂锚；跨源聚合与比例测算均标own_calc并列出算式，如三次压价幅度20033955÷194351955≈10.3%（P7034）、合同价较投标价下浮约11.8%（P7007）、报送65亿对暂定总价46.65亿的争议敞口约39.3%（P7023）、核减率约11.7%（P7011）、息费占本金约31.9%（P7032）。</w:t>
      </w:r>
    </w:p>
    <w:p>
      <w:r>
        <w:rPr>
          <w:rFonts w:ascii="Calibri" w:hAnsi="Calibri" w:eastAsia="微软雅黑"/>
          <w:b/>
          <w:i w:val="0"/>
          <w:sz w:val="22"/>
        </w:rPr>
        <w:t>依赖什么前提？</w:t>
      </w:r>
      <w:r>
        <w:rPr>
          <w:rFonts w:ascii="Calibri" w:hAnsi="Calibri" w:eastAsia="微软雅黑"/>
          <w:b w:val="0"/>
          <w:i w:val="0"/>
          <w:sz w:val="22"/>
        </w:rPr>
        <w:t xml:space="preserve"> 判例的代表性前提：bank样本以中国裁判文书与公开行业案例为主，且多份文书为截断节选、仅含诉辩主张（P7007、P7008、P7009、P7034）；「败诉原因」的归纳以bank可见的抗辩与争点为据，不预设最终裁判结果。</w:t>
      </w:r>
    </w:p>
    <w:p>
      <w:r>
        <w:rPr>
          <w:rFonts w:ascii="Calibri" w:hAnsi="Calibri" w:eastAsia="微软雅黑"/>
          <w:b/>
          <w:i w:val="0"/>
          <w:sz w:val="22"/>
        </w:rPr>
        <w:t>还有什么解释？</w:t>
      </w:r>
      <w:r>
        <w:rPr>
          <w:rFonts w:ascii="Calibri" w:hAnsi="Calibri" w:eastAsia="微软雅黑"/>
          <w:b w:val="0"/>
          <w:i w:val="0"/>
          <w:sz w:val="22"/>
        </w:rPr>
        <w:t xml:space="preserve"> 同一批案例也可以读出另一种叙事——企业败诉不是因为不懂规则，而是商务优先级压倒了程序纪律（如开标后接受压价P7034、签约接受以审计为准P7022）；在此叙事下，解决方案不是培训而是治理：把程序红线写进授权体系，让「接受瑕疵条款」的决策成本内部化到签字人。</w:t>
      </w:r>
    </w:p>
    <w:p>
      <w:r>
        <w:rPr>
          <w:rFonts w:ascii="Calibri" w:hAnsi="Calibri" w:eastAsia="微软雅黑"/>
          <w:b/>
          <w:i w:val="0"/>
          <w:sz w:val="22"/>
        </w:rPr>
        <w:t>什么证据会改变答案？</w:t>
      </w:r>
      <w:r>
        <w:rPr>
          <w:rFonts w:ascii="Calibri" w:hAnsi="Calibri" w:eastAsia="微软雅黑"/>
          <w:b w:val="0"/>
          <w:i w:val="0"/>
          <w:sz w:val="22"/>
        </w:rPr>
        <w:t xml:space="preserve"> 若后续能取得bank所截断判决的裁判结果全文（P7007、P7034），五类原因的权重排序可能调整；若出现大样本司法大数据统计（本章无此数据），「高频」一词将从定性判断升级为定量结论。</w:t>
      </w:r>
    </w:p>
    <w:p>
      <w:pPr>
        <w:pStyle w:val="Heading3"/>
      </w:pPr>
      <w:r>
        <w:t>7.6.2 反证三问</w:t>
      </w:r>
    </w:p>
    <w:p>
      <w:r>
        <w:rPr>
          <w:rFonts w:ascii="Calibri" w:hAnsi="Calibri" w:eastAsia="微软雅黑"/>
          <w:b/>
          <w:i w:val="0"/>
          <w:sz w:val="22"/>
        </w:rPr>
        <w:t>什么事实会推翻本章判断？</w:t>
      </w:r>
      <w:r>
        <w:rPr>
          <w:rFonts w:ascii="Calibri" w:hAnsi="Calibri" w:eastAsia="微软雅黑"/>
          <w:b w:val="0"/>
          <w:i w:val="0"/>
          <w:sz w:val="22"/>
        </w:rPr>
        <w:t xml:space="preserve"> 若有系统性数据显示变更纠纷的败诉原因中程序与计价两类占比并不突出，或者大量承包商在无台账、无报告的情况下仍胜诉，则本章「台账与四件套优先」的结论需重写；若2026年起施行的倒查15年追责办法（P7022）在实践中未改变审计口径的松紧，「以审计为准须明确约定+期限限定」的谈判建议价值将下降。</w:t>
      </w:r>
    </w:p>
    <w:p>
      <w:r>
        <w:rPr>
          <w:rFonts w:ascii="Calibri" w:hAnsi="Calibri" w:eastAsia="微软雅黑"/>
          <w:b/>
          <w:i w:val="0"/>
          <w:sz w:val="22"/>
        </w:rPr>
        <w:t>现有反证为何不足？</w:t>
      </w:r>
      <w:r>
        <w:rPr>
          <w:rFonts w:ascii="Calibri" w:hAnsi="Calibri" w:eastAsia="微软雅黑"/>
          <w:b w:val="0"/>
          <w:i w:val="0"/>
          <w:sz w:val="22"/>
        </w:rPr>
        <w:t xml:space="preserve"> 反方向迹象确实存在——五郎河案联营体以程序违法为由主张权利（P7034）、桐梓案承包方以合同无效为上诉先手（P7007），说明程序武器对承包商同样可用；但这些恰是「程序决定成败」这枚硬币的另一面，不足以否定程序防线本身的价值。至于bank中两份针对「首钢国际EPC项目履约风险管控是否优于同业普遍水平」的检索均明确回答「无法确认」，理由是搜索结果中未出现该企业履约数据、内部风险管理档案或行业对标分析，也无行业标准基准值（P7029、P7030）——这不是反证，而是证据空白，它提醒读者：本章所有「高频」判断均基于案例收敛，而非同业横向统计。</w:t>
      </w:r>
    </w:p>
    <w:p>
      <w:r>
        <w:rPr>
          <w:rFonts w:ascii="Calibri" w:hAnsi="Calibri" w:eastAsia="微软雅黑"/>
          <w:b/>
          <w:i w:val="0"/>
          <w:sz w:val="22"/>
        </w:rPr>
        <w:t>哪个未知可能改变读者选择？</w:t>
      </w:r>
      <w:r>
        <w:rPr>
          <w:rFonts w:ascii="Calibri" w:hAnsi="Calibri" w:eastAsia="微软雅黑"/>
          <w:b w:val="0"/>
          <w:i w:val="0"/>
          <w:sz w:val="22"/>
        </w:rPr>
        <w:t xml:space="preserve"> 三个未知最关键：其一，bank所截断判决的最终胜负（P7007、P7034）——若桐梓案合同无效之辩成立，将对「必须招标项目中标后让价签约」的存量合同产生连锁影响；其二，海外仲裁的保密裁决——bank明确海外EPC合同通常不披露单项目成本、毛利与净利润（P7003），国际工程实践中可观察到的判例只是可见样本，看不见的样本可能呈现不同的败诉结构；其三，追责新规的执行尺度（P7022）——「审计不仅审结算、还审程序」若严格执行，变更签证的留痕标准将从「商务建议」升格为「合规刚需」，届时本章第一道防线（P7019、P7025）的优先级还将上升。</w:t>
      </w:r>
    </w:p>
    <w:p>
      <w:pPr>
        <w:pStyle w:val="Heading3"/>
      </w:pPr>
      <w:r>
        <w:t>7.6.3 证据未覆盖处（如实声明）</w:t>
      </w:r>
    </w:p>
    <w:p>
      <w:r>
        <w:rPr>
          <w:rFonts w:ascii="Calibri" w:hAnsi="Calibri" w:eastAsia="微软雅黑"/>
          <w:b w:val="0"/>
          <w:i w:val="0"/>
          <w:sz w:val="22"/>
        </w:rPr>
        <w:t>以下各点为本章证据未能覆盖之处，如实列示，不作掩饰：</w:t>
      </w:r>
    </w:p>
    <w:p>
      <w:r>
        <w:rPr>
          <w:rFonts w:ascii="Calibri" w:hAnsi="Calibri" w:eastAsia="微软雅黑"/>
          <w:b w:val="0"/>
          <w:i w:val="0"/>
          <w:sz w:val="22"/>
        </w:rPr>
        <w:t>一、裁判结果缺失。bank所载多份判决书为截断节选（P7007、P7008、P7009、P7034），文中引用的金额多为诉请金额或一方主张金额，未见最终裁判确认值与胜败结论；读者引用本章案例时应回查原判决全文，本章不对这些案件的最终结果作任何断言。</w:t>
      </w:r>
    </w:p>
    <w:p>
      <w:r>
        <w:rPr>
          <w:rFonts w:ascii="Calibri" w:hAnsi="Calibri" w:eastAsia="微软雅黑"/>
          <w:b w:val="0"/>
          <w:i w:val="0"/>
          <w:sz w:val="22"/>
        </w:rPr>
        <w:t>二、样本可见性偏差。国际工程争议大量进入保密仲裁，海外EPC项目连成本、毛利、净利润都不披露（P7003）；本章判例图谱以中国公开裁判文书与公开行业案例为底，海外败诉结构的代表性无法核验。</w:t>
      </w:r>
    </w:p>
    <w:p>
      <w:r>
        <w:rPr>
          <w:rFonts w:ascii="Calibri" w:hAnsi="Calibri" w:eastAsia="微软雅黑"/>
          <w:b w:val="0"/>
          <w:i w:val="0"/>
          <w:sz w:val="22"/>
        </w:rPr>
        <w:t>三、同业基准空白。现有材料中不存在EPC变更纠纷败诉率、审减率、索赔成功率的行业基准值（P7029、P7030）；因此本章所有「高频」「量级最大」均为基于样本收敛的定性判断，不构成统计结论。</w:t>
      </w:r>
    </w:p>
    <w:p>
      <w:r>
        <w:rPr>
          <w:rFonts w:ascii="Calibri" w:hAnsi="Calibri" w:eastAsia="微软雅黑"/>
          <w:b w:val="0"/>
          <w:i w:val="0"/>
          <w:sz w:val="22"/>
        </w:rPr>
        <w:t>四、单一企业对标不可得。针对特定企业（如首钢国际）风控水平与同业比较的检索结果为「无法确认」（P7029、P7030），本章防线表的有效性需各企业按7.5.3节的验证条件自行试点校准，无法引用现成对标数据背书。</w:t>
      </w:r>
    </w:p>
    <w:p>
      <w:r>
        <w:rPr>
          <w:rFonts w:ascii="Calibri" w:hAnsi="Calibri" w:eastAsia="微软雅黑"/>
          <w:b w:val="0"/>
          <w:i w:val="0"/>
          <w:sz w:val="22"/>
        </w:rPr>
        <w:t>五、刑事与民事样本不均衡。主体风险一节仅一件刑事判决支撑（P7031），其手法特征（伪造总包身份+保证金惯例）能否外推为普遍模式，缺乏更多同类案件的交叉验证。</w:t>
      </w:r>
    </w:p>
    <w:p>
      <w:r>
        <w:rPr>
          <w:rFonts w:ascii="Calibri" w:hAnsi="Calibri" w:eastAsia="微软雅黑"/>
          <w:b w:val="0"/>
          <w:i w:val="0"/>
          <w:sz w:val="22"/>
        </w:rPr>
        <w:t>（全章数字均逐字取自bank并挂P锚，跨源聚合与比例测算以own_calc标示；判例引用以bank所载文书文字为限，未作任何扩写。）</w:t>
      </w:r>
    </w:p>
    <w:p>
      <w:r>
        <w:rPr>
          <w:rFonts w:ascii="Calibri" w:hAnsi="Calibri" w:eastAsia="微软雅黑"/>
          <w:b w:val="0"/>
          <w:i w:val="0"/>
          <w:sz w:val="22"/>
        </w:rPr>
        <w:t>---</w:t>
      </w:r>
    </w:p>
    <w:p>
      <w:pPr>
        <w:pStyle w:val="Heading1"/>
      </w:pPr>
      <w:r>
        <w:t>第8章 联合体场景：设计施工协同的责任边界</w:t>
      </w:r>
    </w:p>
    <w:p>
      <w:pPr>
        <w:ind w:left="454"/>
      </w:pPr>
      <w:r>
        <w:rPr>
          <w:rFonts w:ascii="Calibri" w:hAnsi="Calibri" w:eastAsia="微软雅黑"/>
          <w:b w:val="0"/>
          <w:i w:val="0"/>
          <w:color w:val="666666"/>
          <w:sz w:val="22"/>
        </w:rPr>
        <w:t>设计与施工坐在同一条船上，不等于责任自动对齐。当设计院站上总包位置、施工方承接分包界面、两个出资人共用一个甲方名义时，每道接缝都是利润泄漏点。本章用三十五份裁判文本加一份界面管理指南，拆解责任边界的形状与固化方法。</w:t>
      </w:r>
    </w:p>
    <w:p>
      <w:r>
        <w:rPr>
          <w:rFonts w:ascii="Calibri" w:hAnsi="Calibri" w:eastAsia="微软雅黑"/>
          <w:b w:val="0"/>
          <w:i w:val="0"/>
          <w:sz w:val="22"/>
        </w:rPr>
        <w:t>adds: 读者读完本章，能识别设计施工协同的四种合同形态及其责任放大机制，掌握图纸供给、变更签证、链条追责三类高危接缝的裁判证据规则，并把界面管理的六件工具迁移进自己的总包与分包合同。</w:t>
      </w:r>
    </w:p>
    <w:p>
      <w:pPr>
        <w:pStyle w:val="Heading2"/>
      </w:pPr>
      <w:r>
        <w:t>8.1 形态识别：站上总包位置的四型样本与三张责任网</w:t>
      </w:r>
    </w:p>
    <w:p>
      <w:r>
        <w:rPr>
          <w:rFonts w:ascii="Calibri" w:hAnsi="Calibri" w:eastAsia="微软雅黑"/>
          <w:b w:val="0"/>
          <w:i w:val="0"/>
          <w:sz w:val="22"/>
        </w:rPr>
        <w:t>设计与施工的协同，在合同层面首先表现为一个问题：谁站在总承包的位置上，谁与它共用这个位置。本章弹药库的三十五份文本给出了四种清晰可辨的形态，它们的责任结构彼此不同，利润受冲击的位置也各自不同。买方在进入后文的责任规则之前，应当先把自己的项目放进这四种形态之一，否则套用错了责任网，管理动作就会全部落空。</w:t>
      </w:r>
    </w:p>
    <w:p>
      <w:r>
        <w:rPr>
          <w:rFonts w:ascii="Calibri" w:hAnsi="Calibri" w:eastAsia="微软雅黑"/>
          <w:b/>
          <w:i w:val="0"/>
          <w:sz w:val="22"/>
        </w:rPr>
        <w:t>形态一：设计院以总承包法人身份整体承接，对业主「交钥匙」。</w:t>
      </w:r>
      <w:r>
        <w:rPr>
          <w:rFonts w:ascii="Calibri" w:hAnsi="Calibri" w:eastAsia="微软雅黑"/>
          <w:b w:val="0"/>
          <w:i w:val="0"/>
          <w:sz w:val="22"/>
        </w:rPr>
        <w:t xml:space="preserve"> [事实] 2011年1月，霍州煤电集团作为招标人，对中峪矿井110KV输变电工程设计施工总承包项目组织国内公开招标，长治供电勘测设计院经竞标后中标，2011年5月29日收到的《国内招标中标通知书》载明：工期达标投产，质量承诺244个日历日，中标金额RMB12390.38万元（P8031）。同年6月10日，发包人与长治设计院订立合同，工程内容涵盖可研、设计、设备材料采购、工程施工（土建施工、电器设备安装、调试、竣工验收移交等）并取得验收投用手续，判决书以「交钥匙工程」概括其性质，合同固定价款为12390.38万元（P8031）。设计院在这一形态里不再是图纸供应商，而是工期、质量、采购、验收手续的全链条责任主体。[估计] 按固定价款与总日历天数折算，该项目每一日历日对应的合同价款约为507802.46元（own_calc：123903800÷244≈507802.46，其中12390.38万元按1万元＝10000元折算为123903800元），时间责任的密度由此可见。[事实] 值得设计出身的管理者特别留意的是该合同的文件构成条款：组成合同文件的包括合同协议书、中标通知书、招标文件、投标文件及其附件、专用条款与通用条款、标准规范及有关技术文件、图纸、与中标价一致的工程概算书与中标价工程报价单（P8031）——概算书与报价单被写进合同文件清单，意味着设计牵头方的造价文件不再只是内部管控工具，而是与图纸同级的合同意思表示，概算的每一个口径都可能在争议时被逐条解释。这为8.5节的界面工具提供了国内总包合同的接口：概算边界完全可以像图纸一样作为合同附件被锁定。</w:t>
      </w:r>
    </w:p>
    <w:p>
      <w:r>
        <w:rPr>
          <w:rFonts w:ascii="Calibri" w:hAnsi="Calibri" w:eastAsia="微软雅黑"/>
          <w:b w:val="0"/>
          <w:i w:val="0"/>
          <w:sz w:val="22"/>
        </w:rPr>
        <w:t>同一形态的另一个样本来自冶炼行业。[事实] 中国瑞林工程技术有限公司承包广西有色再生金属有限公司年产30万吨再生铜冶炼工程，双方于2010年10月28日签订总承包合同；瑞林公司成为总承包人后，以招标人的名义对外发出招标文件，2010年12月16日与广西建工集团第一建筑工程有限责任公司签订四标段（厂前区）建安施工合同，合同暂定价29788000元（P8022）。设计牵头方在此形态下握有两把钥匙：对业主的交钥匙承诺，与对下行的分包招标权——后者正是责任边界的第一个书写位置。[事实] 该案的链条还向下多伸了一层：合同签订后，一建公司依承包合同进行施工，后将其未完成的部分交由一审第三人广西壮族自治区冶金建设公司完工（P8022）——设计牵头总包、一级施工分包、二级完工接手，三层结构同案并存，结算争议爆发在第一层与第二层之间，第三层以第三人身份等待结果。</w:t>
      </w:r>
    </w:p>
    <w:p>
      <w:r>
        <w:rPr>
          <w:rFonts w:ascii="Calibri" w:hAnsi="Calibri" w:eastAsia="微软雅黑"/>
          <w:b/>
          <w:i w:val="0"/>
          <w:sz w:val="22"/>
        </w:rPr>
        <w:t>形态二：设计咨询公司作为发包人，直接站在施工合同甲方位置。</w:t>
      </w:r>
      <w:r>
        <w:rPr>
          <w:rFonts w:ascii="Calibri" w:hAnsi="Calibri" w:eastAsia="微软雅黑"/>
          <w:b w:val="0"/>
          <w:i w:val="0"/>
          <w:sz w:val="22"/>
        </w:rPr>
        <w:t xml:space="preserve"> [事实] 四川电力设计咨询有限责任公司与四川省岳池送变电工程公司签订《施工总承包合同》，约定案涉工程总价包干，双方就合同内工程量是否应当进入造价鉴定、二次复测费用78066元的负担、逾期违约金反诉等发生争议，案件经一审、二审后进入再审（P8000）。[事实] 无锡市百田建筑设计咨询有限责任公司就「石田建筑设计研究中心」工程采用邀请招标，五家投标单位参加投标，招标文件载明总建筑面积19400平方米（另有地下车库建筑面积3016平方米，未计算在上述面积之内），工程工期210天，合同形式为固定总价合同，投标保证金为1万元（P8028）。设计咨询公司在此形态下脱离了传统的「设计人」角色，直接以发包人身份承受施工合同的全部甲方风险：结算、质量、工期签证、付款节奏，一样都不少。</w:t>
      </w:r>
    </w:p>
    <w:p>
      <w:r>
        <w:rPr>
          <w:rFonts w:ascii="Calibri" w:hAnsi="Calibri" w:eastAsia="微软雅黑"/>
          <w:b/>
          <w:i w:val="0"/>
          <w:sz w:val="22"/>
        </w:rPr>
        <w:t>形态三：施工企业牵头承做EPC，设计环节内化或外协，设计院以第三人身份进入诉讼。</w:t>
      </w:r>
      <w:r>
        <w:rPr>
          <w:rFonts w:ascii="Calibri" w:hAnsi="Calibri" w:eastAsia="微软雅黑"/>
          <w:b w:val="0"/>
          <w:i w:val="0"/>
          <w:sz w:val="22"/>
        </w:rPr>
        <w:t xml:space="preserve"> [事实] 中国电建集团新能源电力有限公司（原贵州电力建设第二工程公司）与贵州赤天化桐梓化工有限公司于2008年5月29日签订桐梓煤化工一期工程热电及公用工程设计采购施工（EPC）总承包合同，约定的工程价款为460436515元，而电建公司的投标总价为521965260元（P8034）。[估计] 两个数值之间的差额为61528745元，约占投标总价的11.79%（own_calc：521965260−460436515＝61528745；61528745÷521965260≈11.79%），中标价与合同价的不一致成为该案合同效力争点的核心事实（P8034）。[事实] 在贵州建工集团第二建筑工程有限责任公司与国电织金发电有限公司的施工合同纠纷中，中国电力工程顾问集团中南电力设计院有限公司以一审第三人身份参加诉讼，与河南立新监理咨询有限公司并列成为案件的两名第三人（P8018）——设计院与监理同庭受质，是施工方把设计原因责任外部化的典型程序动作。</w:t>
      </w:r>
    </w:p>
    <w:p>
      <w:r>
        <w:rPr>
          <w:rFonts w:ascii="Calibri" w:hAnsi="Calibri" w:eastAsia="微软雅黑"/>
          <w:b/>
          <w:i w:val="0"/>
          <w:sz w:val="22"/>
        </w:rPr>
        <w:t>形态四：共同发包与联合开发——两个出资人共用一个甲方位置。</w:t>
      </w:r>
      <w:r>
        <w:rPr>
          <w:rFonts w:ascii="Calibri" w:hAnsi="Calibri" w:eastAsia="微软雅黑"/>
          <w:b w:val="0"/>
          <w:i w:val="0"/>
          <w:sz w:val="22"/>
        </w:rPr>
        <w:t xml:space="preserve"> [事实] 佘敦洋案中，安徽省芜湖市恒升建筑有限责任公司与繁昌县周行华物资有限责任公司约定共同建造升华大厦AB楼工程，两被告作为发包人（建设方）将该建筑工程发包给恒升建筑公司承建，2011年3月6日签订《建筑工程施工承包合同》，承包范围为土建和水电；此后恒升建筑公司又与佘敦洋签订《工程施工承包合同》，将工程全部转交原告承包施工（P8017）。[事实] 工程结束后，两被告指定原告委托芜湖春谷工程建设咨询有限公司进行造价计算，2012年6月5日出具的《建筑工程造价计算书》载明升华大厦AB楼工程造价为14271229.36元；两被告陆续支付工程款993万元，除10%质保金外余款2914106.42元经多次催要未付，原告并请求两被告承担工程造价审计费35000元（P8017）。施工方把两个共同发包人一并列为被告，说明「共同建造」结构下的付款责任究竟由谁承担、如何分担，合同文本若不写清，就只能到法庭上拆。</w:t>
      </w:r>
    </w:p>
    <w:p>
      <w:r>
        <w:rPr>
          <w:rFonts w:ascii="Calibri" w:hAnsi="Calibri" w:eastAsia="微软雅黑"/>
          <w:b w:val="0"/>
          <w:i w:val="0"/>
          <w:sz w:val="22"/>
        </w:rPr>
        <w:t>联建形态的资金结构更绕一层。[事实] 军安公司与锦泽公司2006年1月25日签订《开发建设军安小区房地产项目总承包合同书》：甲方将「军安小区」项目按现状整体移交并全权委托乙方实施项目总承包开发建设；乙方借支垫付1200万元给甲方处理项目原有遗留问题；项目融资和售楼所得款项由乙方收取掌握，首先用于保证完善项目建设的需要和归还乙方借支垫付的1200万元，其次支付乙方按每平方米100元计收的投资报酬；鉴于项目在合作过程中不更名转户，甲方授权乙方以甲方名义展开项目管理与经营，并及时为乙方提供印鉴、签署等方便（P8006）。[事实] 该合同还写有一条排他条款：合同签订后，甲方不再独立与他方签订任何与本项目有关的合同、协议、承诺，否则视为无效（P8006）——联建结构用排他条款锁住对外口子，等于承认「多口对外」是这个结构的天然病灶。[事实] 2006年5月，军安公司作为发包人与茂功公司签订《建设工程施工合同》，工程为15个单体、总建筑面积47873.7平方米，合同价款31751200元，价款采用可调价格，按实际完成工程量（含设计单位及发包人认可的设计变更、发包人确认的工程签证、发包人另行委托工程等）进行结算（P8006）。[事实] 自2006年8月8日至2007年1月28日，军安公司和锦泽公司陆续向茂功公司支付工程款分别为26753140元和14685666元，合计41438806元；其中截至2006年9月5日，茂功公司共收到两公司支付的工程款23384877元（P8006）。[估计] 两公司付款合计已达施工合同价款的130.51%（own_calc：41438806÷31751200≈1.3051）——联建资金池对着同一份施工合同放水，放水量超过合同价三成时，联建双方内部的分摊规则若没有同步于施工合同，付款越多、将来的对账战场越大。[假设] 共同发包与联合体共享同一个软肋：对外名义人与实际资金方分离时，施工方面对的是「一份合同、两个钱包」，签证权限与付款义务若未在联合文件中绑定到同一主体，协同的每一道指令都带着「另一方可否认」的尾巴。这一假设在bank内无直接裁判验证，读者应作为签约检查项而非结论。</w:t>
      </w:r>
    </w:p>
    <w:p>
      <w:r>
        <w:rPr>
          <w:rFonts w:ascii="Calibri" w:hAnsi="Calibri" w:eastAsia="微软雅黑"/>
          <w:b w:val="0"/>
          <w:i w:val="0"/>
          <w:sz w:val="22"/>
        </w:rPr>
        <w:t>[估计] 仅就弹药库内四个设计单位站上总包或发包位置的样本作规模加总：新疆电力设计院项目的结算审定价282,962,209元（P8001）、长治设计院项目固定价款折算123903800元（P8031）、新疆电力设计院风电土建合同价20889778元（P8003）、瑞林公司分包合同暂定价29788000元（P8022），四项合计457543787元（own_calc：282,962,209＋20889778＋29788000＋123903800＝457543787）。这一合计只描述样本本身，不外推任何总体水平——但它足以说明，设计牵头场景下的资金盘子以数亿元计，责任边界的每一个模糊点都对应着量级可观的争议金额。</w:t>
      </w:r>
    </w:p>
    <w:p>
      <w:r>
        <w:rPr>
          <w:rFonts w:ascii="Calibri" w:hAnsi="Calibri" w:eastAsia="微软雅黑"/>
          <w:b w:val="0"/>
          <w:i w:val="0"/>
          <w:sz w:val="22"/>
        </w:rPr>
        <w:t>四种形态对应三张责任网。第一张网对业主：总承包人以单一法人身份吸收设计、采购、施工的全部接口风险，业主只看交付结果（P8031的「交钥匙」约定即为明证）。第二张网对分包：总承包人转身成为发包人，把界面责任、付款责任、签证责任下传给施工方（P8022、P8003）。第三张网对内：设计环节自身的深度与变更管控能力，决定前两张网的松紧——概算编制的精度就是这张网的线径。[假设] 若设计环节深度不足，第一张网上的压力会以变更与签证的形式灌入第二张网，最终由分包结算争议埋单；本章8.3节的签证类案件为这一假设提供了方向性支持，但弹药库未提供完整闭环数据，读者应将其作为待验证的工作假设。</w:t>
      </w:r>
    </w:p>
    <w:p>
      <w:r>
        <w:rPr>
          <w:rFonts w:ascii="Calibri" w:hAnsi="Calibri" w:eastAsia="微软雅黑"/>
          <w:b w:val="0"/>
          <w:i w:val="0"/>
          <w:sz w:val="22"/>
        </w:rPr>
        <w:t>还需要如实说明一个检索事实。[事实] 本章弹药库三十五份源文本的正文中，「联合体」一词在裁判文书里零命中——该词仅出现在弹药库标题与检索词行内。严格意义上的「联合体协议内部份额划分、牵头方与成员方相互追偿」的直接判例，本章证据并未覆盖。本章以「设计牵头总承包」「总分包界面」「共同发包联建」三组相邻场景逼近联合体问题：它们共享同一个核心难题——两个以上责任主体在同一交付物上的边界切割——但法律结构不同，联合体的对外连带与对内按份规则不能从本章样本直接类推。这一限制将在章尾盲区中再次申明。</w:t>
      </w:r>
    </w:p>
    <w:p>
      <w:pPr>
        <w:pStyle w:val="Heading2"/>
      </w:pPr>
      <w:r>
        <w:t>8.2 设计牵头的责任放大效应：从图签者到兜底者</w:t>
      </w:r>
    </w:p>
    <w:p>
      <w:r>
        <w:rPr>
          <w:rFonts w:ascii="Calibri" w:hAnsi="Calibri" w:eastAsia="微软雅黑"/>
          <w:b w:val="0"/>
          <w:i w:val="0"/>
          <w:sz w:val="22"/>
        </w:rPr>
        <w:t>设计院承接总承包后，最容易被低估的变化不是工作量，而是责任的形状。传统模式下，设计院对图纸错误承担责任，责任沿图纸单线传导；总承包模式下，设计院对工期、质量、付款、采购、验收手续承担整体责任，责任从一条线变成一张网。买方若只按「设计费放大若干倍」理解总承包业务，就会系统性低估这张网的维护成本。</w:t>
      </w:r>
    </w:p>
    <w:p>
      <w:r>
        <w:rPr>
          <w:rFonts w:ascii="Calibri" w:hAnsi="Calibri" w:eastAsia="微软雅黑"/>
          <w:b/>
          <w:i w:val="0"/>
          <w:sz w:val="22"/>
        </w:rPr>
        <w:t>责任放大的第一个面向：付款责任。</w:t>
      </w:r>
      <w:r>
        <w:rPr>
          <w:rFonts w:ascii="Calibri" w:hAnsi="Calibri" w:eastAsia="微软雅黑"/>
          <w:b w:val="0"/>
          <w:i w:val="0"/>
          <w:sz w:val="22"/>
        </w:rPr>
        <w:t xml:space="preserve"> [事实] 新疆生产建设兵团建设工程（集团）有限责任公司诉中国能源建设集团新疆电力设计院有限公司及伊犁川宁生物技术有限公司一案中，兵建公司请求判令二被告连带支付工程款51,487,623.82元，其算式为「工程结算审定价282,962,209元−已付款231,474,585.18元」，并请求按银行同期存款利率支付自2015年6月1日起的利息6,569,761.96元（以51,487,623.82元为基数，按年利率2.75%计算，54个月）（P8001）。[估计] 按上述审定价与欠款数计算，欠付比例约为18.19%（own_calc：51,487,623.82÷282,962,209≈18.19%），已付比例约为81.81%（own_calc：231,474,585.18÷282,962,209≈81.81%）。这组数字对设计牵头方的含义是：即使项目已竣工验收、结算已由第三方审定，付款链条仍可能拖出五千万元级的欠付与数百万元级的利息主张。[事实] 该案的结算机制本身值得细读：三方签订《合同补充附件》，共同委托具有甲级资质的造价咨询公司进行工程结算，三方一致同意该咨询公司的审定结果并以此作为三方确定承包人实际工程量或工程总造价的唯一标准（此处「唯一标准」为判决书援引的合同原文措辞），且约定「三方一致同意，咨询公司的最终结算总价一经告知立即生效，任何一方拒绝接受的表示或行为均不影响该结果生效」（P8001）。[事实] 造价咨询机构2014年1月15日出具的《竣工结算书》在只计入部分设计变更及经济签证的基础上载明结算金额为278,204,693元，2017年8月17日又出具结算意见，载明工程结算审定价为282,962,209元（P8001）。「只计入部分设计变更及经济签证」这句话值得停顿——设计变更与经济签证正是协同接缝的产物，接缝部分的证据是否齐整，直接决定审定数字的口径与节奏。[事实] 该案时间线本身协同教科书：2011年10月签《土建施工合同》，2013年11月工程已达到验收条件，2014年1月15日出《竣工结算书》，涉案整体工程2015年通过竣工验收，2015年12月1日双方对账确认累计支付231,474,585.18元、尚欠51,487,623.82元，2017年8月17日咨询公司再出结算意见，2017年9月26日三方及昆仑公司签署《工程联系单》就结算造价282,962,209元进行确认（P8001）。从竣工到结算终确认历时四年，中间隔着对账、欠款固化与二次审定——设计牵头方若只按「竣工即结算」排布现金流，这四年就是资金成本的失速区。</w:t>
      </w:r>
    </w:p>
    <w:p>
      <w:r>
        <w:rPr>
          <w:rFonts w:ascii="Calibri" w:hAnsi="Calibri" w:eastAsia="微软雅黑"/>
          <w:b/>
          <w:i w:val="0"/>
          <w:sz w:val="22"/>
        </w:rPr>
        <w:t>责任放大的第二个面向：范围管理责任。</w:t>
      </w:r>
      <w:r>
        <w:rPr>
          <w:rFonts w:ascii="Calibri" w:hAnsi="Calibri" w:eastAsia="微软雅黑"/>
          <w:b w:val="0"/>
          <w:i w:val="0"/>
          <w:sz w:val="22"/>
        </w:rPr>
        <w:t xml:space="preserve"> [事实] 湖北鄂州鲁班（集团）建筑开发有限责任公司与中国能源建设集团新疆电力设计院有限公司2013年7月10日签订《新华巴里坤三塘湖风电场一期49.5MW风电项目土建施工合同》，合同总价为20889778元，合同约定工程范围为110kV升压站、35kV集电线路、110kV线路及其附属工程建筑施工（P8003）。[事实] 电力设计院在该案中抗辩：鲁班公司实际仅完成了110kV升压站的土建工程施工及其附属工程建筑施工的工作，合同范围内的110kV升压站的电气安装、35kV集电线路、110kV线路工程未完成（P8023所引抗辩见P8003）。合同范围与实际完成范围之间的错位，把「干了多少」从事实问题升格为生存问题。[事实] 该合同对资金沉淀的安排同样密集：合同签订15日内支付合同总价30%预付款（其中扣除10%为履约保证金）；工程竣工验收支付至合同总额90%；结算文件审核无误后15日内支付至95%；工程质保金为合同总额的5%，质保期2年，质保期届满30日内退还；履约保证金应于竣工验收合格之日起7日内退还（P8003）。[事实] 鲁班公司诉请支付剩余工程款2014804.24元【（20889778＋985735.31）×95%−18766933.4】、支付质保金1093775.66元、退还履约保证金及税金合计2299546.76元（P8003）。[估计] 仅质保金与履约保证金及税金两项诉请合计3393322.42元，约占合同总价的16.24%（own_calc：1093775.66＋2299546.76＝3393322.42；3393322.42÷20889778≈16.24%）——施工方在合同价之外被甲方压住的现金，超过合同额一成半，这对任何一方的现金流管理都是实质压力。[事实] 需要向读者如实提示：该判决文本在诉讼请求算式中使用增量985735.31元，而在事实与理由部分写明「施工过程中发生增量985135.31元」，两处数字在原文中并存（P8003），本文引用保持原形，不作取舍，也不以其中任何一个作为衍生计算基数。增量口径连诉讼文书自身都未能统一——这个细节本身就是协同场景的缩影。</w:t>
      </w:r>
    </w:p>
    <w:p>
      <w:r>
        <w:rPr>
          <w:rFonts w:ascii="Calibri" w:hAnsi="Calibri" w:eastAsia="微软雅黑"/>
          <w:b/>
          <w:i w:val="0"/>
          <w:sz w:val="22"/>
        </w:rPr>
        <w:t>责任放大的第三个面向：程序与时间责任。</w:t>
      </w:r>
      <w:r>
        <w:rPr>
          <w:rFonts w:ascii="Calibri" w:hAnsi="Calibri" w:eastAsia="微软雅黑"/>
          <w:b w:val="0"/>
          <w:i w:val="0"/>
          <w:sz w:val="22"/>
        </w:rPr>
        <w:t xml:space="preserve"> [事实] 长治设计院案合同约定：「工程预付款预付时间应不迟于约定的开工的日期前7天，发包人不按约定预付，承包人在约定的预付时间7天后向发包人发出要求预付的通知，发包人收到通知后仍不能按要求预付，承包人可在发出通知后7天停止施工，发包人应从约定应付之日起向承包人支付应付款的贷款利息，并承担违约责任。发包人不按合同约定支付工程款（进度款），双方又未达成延期付款协议，导致施工无法进行，承包人可停止施工，由发包人承担违约责任」（引号内为合同原文，P8031）。时间在这里成了双向的责任标的：发包人的付款时点、验收时点与承包人的停工权、利息请求权互相咬合。[事实] 同一合同还约定发包人收到竣工验收报告后28天内组织有关单位验收，并在验收后14天内给予认可或提出修改意见（P8031）。设计牵头方由此面对的是自己不熟悉的家伙事——施工合同的时间机器，它的每一个齿轮（预付款7天、通知7天、停工7天、验收28天、认可14天，P8031）都能咬出利息与违约金。</w:t>
      </w:r>
    </w:p>
    <w:p>
      <w:r>
        <w:rPr>
          <w:rFonts w:ascii="Calibri" w:hAnsi="Calibri" w:eastAsia="微软雅黑"/>
          <w:b/>
          <w:i w:val="0"/>
          <w:sz w:val="22"/>
        </w:rPr>
        <w:t>责任放大的第四个面向：质量归责的对质化。</w:t>
      </w:r>
      <w:r>
        <w:rPr>
          <w:rFonts w:ascii="Calibri" w:hAnsi="Calibri" w:eastAsia="微软雅黑"/>
          <w:b w:val="0"/>
          <w:i w:val="0"/>
          <w:sz w:val="22"/>
        </w:rPr>
        <w:t xml:space="preserve"> [事实] 贵州织金案中，建工公司上诉主张：在因国电公司行为造成案涉工程无法进行质量鉴定的前提下，一审法院认定案涉工程质量不合格并判令上诉人承担质量不合格的主责，不符合事实与法律依据；本案第三人与案件审理结果以及国电公司之间具有利害关系，且并非工程质量的专业鉴定机构，其陈述不能认定上诉人工程存在质量问题（P8018）。[事实] 该案上诉理由还包括一条资金账：上诉人于2015年5月28日就将案涉工程全部交付国电公司，国电公司至今未按约支付工程款，客观上造成了资金占用损失，依法应当承担相应利息（P8018）。交付在2015年、纠纷缠讼到2021年二审（该案判决日期为2021年3月10日，P8018）——质量之辩与利息之账在同一份上诉状里互相缠绕，正是牵头方与施工方互不信任后的标准局面。当设计院与监理同庭（P8018），质量责任的归属从「施工方自证清白」变成三方对质——设计变更、监理指令、施工工艺在同一个法庭里争夺责任份额。设计牵头方若以为质量责任天然压在施工分包身上，这纸上诉状就是提醒：第三人的一句话也可以成为压向施工方的证据，反过来，牵头方自己的设计文件同样会被摆上被告席。</w:t>
      </w:r>
    </w:p>
    <w:p>
      <w:r>
        <w:rPr>
          <w:rFonts w:ascii="Calibri" w:hAnsi="Calibri" w:eastAsia="微软雅黑"/>
          <w:b/>
          <w:i w:val="0"/>
          <w:sz w:val="22"/>
        </w:rPr>
        <w:t>责任放大的对冲工具：造价自控与概算边界。</w:t>
      </w:r>
      <w:r>
        <w:rPr>
          <w:rFonts w:ascii="Calibri" w:hAnsi="Calibri" w:eastAsia="微软雅黑"/>
          <w:b w:val="0"/>
          <w:i w:val="0"/>
          <w:sz w:val="22"/>
        </w:rPr>
        <w:t xml:space="preserve"> [事实] 弹药库中一份关于中石化南京工程有限公司EPC业务的深度研究报告提出，「双源合一」股权治理在EPC交付中的本质，是通过设计能力与施工能力的法人级深度重构，打破组织壁垒，实现组织交付基因与设计概算全过程控制的高度统一；该报告并整理了初步设计概算编制三法——概算定额法、概算指标法（修正公式J修正＝J＋Q1P1−Q2P2）与类似工程预算法（D＝A×K）——作为设计主导型EPC的造价控制工具（P8032）。[事实] 同一报告还索引了总包履约抗辩的三个裁判坐标：(2016)最高法民终695号的先履行抗辩权、(2016)最高法民再53号的分包合同同步解除机制、(2017)川民终72号的境外保函止付风险（P8032）。对设计院出身的总包而言，概算是它的母语，抗辩权与解除机制是它的新功课；两者缺一，责任放大就只剩账单没有护栏。</w:t>
      </w:r>
    </w:p>
    <w:p>
      <w:r>
        <w:rPr>
          <w:rFonts w:ascii="Calibri" w:hAnsi="Calibri" w:eastAsia="微软雅黑"/>
          <w:b w:val="0"/>
          <w:i w:val="0"/>
          <w:sz w:val="22"/>
        </w:rPr>
        <w:t>最后回到最大的那个案子。[事实] 最高法民终1356号案件中，电建公司除主张EPC总承包合同无效外，还请求赤天化公司支付拖欠的工程款项131845782元及同期银行贷款利息，并请求确认对其承建的桐梓煤化工一期工程热电及公用工程享有优先受偿权（P8034）。[估计] 以合同价款为基数粗算，该欠款主张约占合同价款的28.63%（own_calc：131845782÷460436515≈28.63%）。[事实] 诉讼的另一面同样值得细读：赤天化公司承认逾期移交施工平台的事实确实存在，但抗辩称电建公司仅提出窝工事实，未按合同约定的方式向业主、监理单位报送损失金额、停工时长、停工原因的报告；其并主张桦利鉴定所作出的「合同条件不足调整部分」推算金额缺乏事实根据，不应作为窝工损失的依据（P8034）。[事实] 该案还牵出采购界面的细节：三大主机虽由赤天化公司负责采购，但相关设备材料的催交、催运直至运抵现场等工作均由承包人一方承担（P8034）——业主出钱买设备、总包跑腿催交催运，采购接缝上的时滞成本最后落在谁的账上，正是协同责任边界问题的又一种问法。在接近三亿元的欠款与窝工博弈里，一个「没有按约定格式报报告」的程序瑕疵，就可能让实际发生的损失拿不到裁判支持。[建议] 设计施工任何一方在主张协同损失前，先核对合同约定的报告义务（对象、时限、内容要素），凡合同未写明报告格式的，在履约初期以工程联系单形式补齐格式并双方签认——验证方式是抽查近三个月的损失类函件是否逐项满足合同要素；停止条件是对方书面拒绝签认格式，此时应转入证据保全路径而非继续发函。</w:t>
      </w:r>
    </w:p>
    <w:p>
      <w:pPr>
        <w:pStyle w:val="Heading2"/>
      </w:pPr>
      <w:r>
        <w:t>8.3 图纸供给节奏与变更签证：协同断裂的三道高危接缝</w:t>
      </w:r>
    </w:p>
    <w:p>
      <w:r>
        <w:rPr>
          <w:rFonts w:ascii="Calibri" w:hAnsi="Calibri" w:eastAsia="微软雅黑"/>
          <w:b w:val="0"/>
          <w:i w:val="0"/>
          <w:sz w:val="22"/>
        </w:rPr>
        <w:t>设计施工协同的断裂，在裁判文本里反复出现在三道接缝上：图纸什么时候给、变更费用谁出、签证长什么样。这三道接缝不是抽象的管理概念，每一道上面都挂着具体金额的诉讼争点。</w:t>
      </w:r>
    </w:p>
    <w:p>
      <w:r>
        <w:rPr>
          <w:rFonts w:ascii="Calibri" w:hAnsi="Calibri" w:eastAsia="微软雅黑"/>
          <w:b/>
          <w:i w:val="0"/>
          <w:sz w:val="22"/>
        </w:rPr>
        <w:t>接缝一：施工图的供给节奏。</w:t>
      </w:r>
      <w:r>
        <w:rPr>
          <w:rFonts w:ascii="Calibri" w:hAnsi="Calibri" w:eastAsia="微软雅黑"/>
          <w:b w:val="0"/>
          <w:i w:val="0"/>
          <w:sz w:val="22"/>
        </w:rPr>
        <w:t xml:space="preserve"> [事实] 四川电力设计咨询有限责任公司再审案中，二审法院认定「在工程招标时，四川电力公司并未提供施工图，是在施工过程中边施工边提供施工详图」，再审申请人则主张该认定属于事实认定错误，辩称在案涉工程招标时，设计咨询公司已提供基础施工图即路径图（P8000）。「边施工边供图」五个字背后，是总价包干合同的一个要害问题：施工方按图施工的「图」若滞后于施工面，工程量差异究竟属于包干范围内的风险，还是包干外的增加？[事实] 四川电力公司的再审理由正是围绕这一点展开：双方《施工总承包合同》约定的指定鉴定范围实际上属于合同内总价包干的工程量，不属于设计变更的情况下根本无需鉴定，合同总价不应当做任何调整；一审法院未判先决、以鉴定代替审判（P8000）。[事实] 其援引的规范依据包括最高院《关于审理建设工程施工合同纠纷案件适用法律问题的解释》第22条：「当事人约定按照固定价结算工程价款，一方当事人请求对建设工程造价进行鉴定的，不予支持」（P8000）。买方应从这道接缝读出的规则是：固定总价与图纸供给节奏必须同时锁定——图纸晚到而合同沉默，价差之争在该案中确实走向了「鉴定许可与否」的拉锯（P8000），两家公司在再审程序里为78066元的二次复测费纠缠不休（P8000），正是小接缝拖成大程序的样本。[事实] 同案还贡献了一条鉴定方法论的抗辩原文：四川电力公司主张，即使要鉴定，也应当依照工程竣工图对全工程造价进行司法鉴定，然后判断施工图工程量与竣工图工程量之间是否存在差异，才符合司法鉴定的客观性和公正性（P8000）。施工图工程量与竣工图工程量的差异比对，本质上是把「边施工边供图」期间的图纸变更显性化——对任何总价包干项目，保存全套施工图供图时点记录（图纸收发登记、会审纪要），就是在为将来的差异比对预置证据坐标。</w:t>
      </w:r>
    </w:p>
    <w:p>
      <w:r>
        <w:rPr>
          <w:rFonts w:ascii="Calibri" w:hAnsi="Calibri" w:eastAsia="微软雅黑"/>
          <w:b/>
          <w:i w:val="0"/>
          <w:sz w:val="22"/>
        </w:rPr>
        <w:t>接缝二：设计变更的费用归属。</w:t>
      </w:r>
      <w:r>
        <w:rPr>
          <w:rFonts w:ascii="Calibri" w:hAnsi="Calibri" w:eastAsia="微软雅黑"/>
          <w:b w:val="0"/>
          <w:i w:val="0"/>
          <w:sz w:val="22"/>
        </w:rPr>
        <w:t xml:space="preserve"> [事实] 贵州织金案中，上诉人建工公司主张国电公司向案外人中铁五局支付的1311930元工程款与本案无关联性，且该款项「正好证明了上诉人所主张的135根600m桩基工程合格，该工程的施工是因国电公司设计变更所造成」，一审法院认定该费用应由建工公司承担，上诉人认为明显错误（P8018）。135根600m桩基（P8018）——设计变更一旦落在桩基这类隐蔽工程上，返工与责任归属的金额立即以百万计，而且「谁付过钱给谁」本身就成了归属之争的证据。[事实] 红卫农场案给出了变更归属的三段式合同范本：甲方签发的合理变更设计，是对设计文件的完善和补充，乙方不得拒绝，因此引起的费用增减将按国家有关部门的规定调整合同总价；属于设计原因以外的，经甲方批准的变更设计，所发生的费用由提出变更设计一方负责；凡变更设计超出原设计标准或规定时，须经原设计批准单位审批同意后，双方办理签证方可施工；甲方委派驻工地监理人员，签证必须经甲方签署同意后方有效（P8019）。三段话切分了三种变更：设计原因的调总价、非设计原因的由提出方付钱、超标准变更设双重门槛（原设计批准单位审批＋双方签证）。[事实] 该合同约定工程总承包总金额为6,858,553.00元，其中含不可预见费按5%计算为326,597.76元，工程规模8.251公里，技术标准四级白色路面；违约责任为工期每延误一天按合同金额的1‰、质量不合格按合同金额的5%（P8019）。[估计] 由此可反推不可预见费以外的中标基价约为6531955.20元（own_calc：6,858,553.00−326,597.76＝6,531,955.20）。把不可预见费单列在合同价内、把变更费用归属写成三段式，两笔写在同一份合同里，说明发包方在签约时就把变更接缝当成核心风险在管理——这正是买方应当复制的动作。</w:t>
      </w:r>
    </w:p>
    <w:p>
      <w:r>
        <w:rPr>
          <w:rFonts w:ascii="Calibri" w:hAnsi="Calibri" w:eastAsia="微软雅黑"/>
          <w:b/>
          <w:i w:val="0"/>
          <w:sz w:val="22"/>
        </w:rPr>
        <w:t>接缝三：签证的证据门槛。</w:t>
      </w:r>
      <w:r>
        <w:rPr>
          <w:rFonts w:ascii="Calibri" w:hAnsi="Calibri" w:eastAsia="微软雅黑"/>
          <w:b w:val="0"/>
          <w:i w:val="0"/>
          <w:sz w:val="22"/>
        </w:rPr>
        <w:t xml:space="preserve"> 无签证的增量，在两个甘肃案件中遭到同款抵抗。[事实] 泰丰公司上诉主张：案涉工程面积的增加是昊德公司单方面行为，没有任何设计变更和甲方签证，不符合建筑规范；一审认定的面积没有经过法定部门的实际测量，认可测量面积的魏建武无资质、亦非泰丰公司委派人员，不能代表泰丰公司（P8026）。[事实] 同系列另一案中，上诉人主张合同约定了固定面积9420.84平方米、合同价款15073344元（1600元/m2），一审判决确认的合同外及增量工程款没有变更签证和计价依据；并援引司法解释第十六条「当事人对建设工程的计价标准或者计价方法有约定的按照约定」与第十九条「工程量按照施工过程中形成的签证等书面文件确认」作为规范基础（P8030）。两案并读，签证门槛的三个要件浮出水面：书面形式、有权签认人、计价依据。缺任何一项，增量就悬空；多出一个人签的字而无权签认，增量照样悬空。[事实] 泰丰公司案上诉理由把这层逻辑说得直白：面积是否增加应审查是否存在签证，若无设计变更和甲方变更签证，就应该按照合同约定的面积计算工程款；一审通过对增加变更项目进行鉴定和根据实际建筑面积来认定工程款，没有法律依据（P8026）。也就是说，在「固定面积＋固定单价」的合同里，鉴定的角色被当事人主张压到最小——合同约定优先，签证是打开鉴定之门的第一把钥匙。</w:t>
      </w:r>
    </w:p>
    <w:p>
      <w:r>
        <w:rPr>
          <w:rFonts w:ascii="Calibri" w:hAnsi="Calibri" w:eastAsia="微软雅黑"/>
          <w:b w:val="0"/>
          <w:i w:val="0"/>
          <w:sz w:val="22"/>
        </w:rPr>
        <w:t>签证缺失与范围烂尾的代价可以量化。[事实] 泰丰公司案中，上诉人主张对未施工、未完工和更换材料项目总造价4604618.62元应从工程款中扣除，另主张扣减窗户制作安装费1667596.8元、水电安装（电料）323565.7元、垫支工资59100元，主张已付工程款33499382.38元（其中一审认定815243.3元未实际支付），合同则为固定面积21202平方米、固定价款37103500元（1750元/平方米）（P8026）。[估计] 仅未施工未完工更换材料一项，其主张扣减额约占固定价款的12.41%（own_calc：4604618.62÷37103500≈12.41%）。[事实] 天发西山矿业案呈现了范围烂尾的另一种形态：顺意公司承建西山煤矿基础设施工程、黄泥灌浆站工程、洗煤厂工程、发电机房工程四项工程，原审依据《招标投标法》第三条认定黄泥灌浆站及发电机房两份合同无效，但并未对剩余两项工程施工合同法律关系的效力进行认定，工程尚未完工、未经竣工验收，天发公司以上诉主张无法证实已完工程合格为由抵抗4111521元的判付（P8016）。结算端的漏项之争同样典型：[事实] 广西建工一建案中，金属公司委托的苏州诚信基建造价咨询事务所审定工程款27003568.35元、让利后金额为24253271.79元，一建公司2012年5月8日将结算资料交给瑞林公司，随后对审定结果复函提出五项调整——结算总价遗漏建筑材料超运距补差费用、遗漏人工补差费用、所核养老保险费用尚欠约80万元未予核定、模板方木等周转材料的补偿办法有待落实等（P8022）。[估计] 让利后金额较合同暂定价低5534728.21元、约低18.58%（own_calc：29788000−24253271.79＝5534728.21；5534728.21÷29788000≈18.58%）——分包结算较暂定价缩水近两成，缩水的每一分都要在「是否漏项、是否该让利」的拉锯里找回来。超运距、人工补差、养老保险、周转材料——没有一项是「大变更」，全是协同接缝上的碎屑；碎屑加起来，足以拖垮一个分包关系的结算。</w:t>
      </w:r>
    </w:p>
    <w:p>
      <w:r>
        <w:rPr>
          <w:rFonts w:ascii="Calibri" w:hAnsi="Calibri" w:eastAsia="微软雅黑"/>
          <w:b w:val="0"/>
          <w:i w:val="0"/>
          <w:sz w:val="22"/>
        </w:rPr>
        <w:t>计价公式与节点对账单，是接缝的两种固化工具。[事实] 安徽宝业案合同约定「工程决算价＝合同价＋设计变更＋经济签证＋材差调整（设计变更及经济签证部分按实计入结算）」，水电安装补充协议另约定总造价330万元、总价包死（含税）不予调价（P8010）。[事实] 该案2012年9月19日《协议书》确认：主体结构完成应支付总款75%即24178174元，实际支付19260000元（其中200万元为项目负责人个人借款、由永成房产公司支付利息），此差额自2012年8月1日起按银行贷款利率的二倍支付利息；并约定竣工验收备案后按总工程量90%支付，不能足额则自第二个月起按银行贷款四倍利率计息（P8010）。[估计] 仅75%节点的差额即达4918174元（own_calc：24178174−19260000＝4918174）——节点对账单把「该付多少、付了多少、差额利息几时起算」压进一页纸，是界面证据链的脊柱。[事实] 山鹰案合同则约定合同价款71820498.8元为固定价方式（除设计变更、工程变更、签证、政策性调整等），工期250天，每月进度款付至70%（承兑汇票50%）（P8023）。这两份合同把「包死什么、放开什么」写成了算式与例外清单，比「总价包干」四个字的安全边际高出一个量级。[事实] 山鹰案同时提示开工环节的接缝：约定开工时间2013年4月8日、竣工时间2013年12月13日，而1#成品库2013年4月19日开工、2#库2013年12月5日开工、3#库2013年12月15日开工，施工方据此主张延期开工损失747934.29元；工程2014年6月完工后，原告2014年7月1日递交竣工报告，被告拒绝竣工验收并于2014年7月实际使用1、2、3#成品库（P8023）。同一份合同下三个库的开工日拖出八个月落差，竣工环节又遇上「拒验先用」——协同节奏的失守从第一天开始记账，直到结算日一并清算。</w:t>
      </w:r>
    </w:p>
    <w:p>
      <w:r>
        <w:rPr>
          <w:rFonts w:ascii="Calibri" w:hAnsi="Calibri" w:eastAsia="微软雅黑"/>
          <w:b w:val="0"/>
          <w:i w:val="0"/>
          <w:sz w:val="22"/>
        </w:rPr>
        <w:t>证据断裂之后还有补救窗口，但要自己写进协议。[事实] 安丘恒大案2011年11月13日《协议书》约定：经恒大公司要求，宝山建筑公司同意更换现场主管人员，另行选派王桂红进场作为主管人员，「王桂红是项目后续施工过程中的经济和工程质量责任人及安全责任人，其责任由恒大置业公司提供担保」；恒大公司按人工费合同代付1#楼（五层至九层）、2#楼（四层至八层）农民工工资；自2010年12月18日开工至2011年11月12日止的主体土建等工程款确定为14759833.46元，另原缴纳的工程保证金壹佰万元转为工程款，两项合计15759833.46元（该款包括宝山公司已垫资的850万元及利息150万元）；尤为关键的一条是——「此前施工过程中，建设方、施工方及监理方没有及时签署的相关施工资料及经济签证，本协议签订后，甲方负责在一周内办理完毕」（P8008）。一条专为补签证而写的条款，加上更换主管并引入发包人担保、代付工资、中间结算四件事同纸签署，说明有经验的一方在履约中途就会主动做「证据修复」，而不是等到结算时翻旧账。[建议] 补签协议应设定完成时限与未完成的替代结算口径；验证方式是补签后一个月内抽查补签件是否闭合到结算台账；停止条件是对方逾期未办理，此时按协议约定的替代口径进入计价并书面通知，而非无限等待。</w:t>
      </w:r>
    </w:p>
    <w:p>
      <w:r>
        <w:rPr>
          <w:rFonts w:ascii="Calibri" w:hAnsi="Calibri" w:eastAsia="微软雅黑"/>
          <w:b w:val="0"/>
          <w:i w:val="0"/>
          <w:sz w:val="22"/>
        </w:rPr>
        <w:t>界面可以小到一栋雷达站机房，规则不变。[事实] 花园公司与茂森公司《工程劳务分包合同》约定：将民航重庆空管分局天气雷达土建及配套工程中的土建、水电、消防、安装、装饰、环境劳务分包给茂森公司，建筑面积暂计600平方米、包干单价456元／平方米；茂森公司2010年11月18日进场，工期70天，每延误一天按500元／天缴纳罚款；合同第二条「工程承包范围」以「发包人提供施工图、设计交底图纸会审纪要、设计变更通知（或技术核定单）为准」，工作清单从土建基础、主体结构一路列到「关门插锁、扫地出门，一次性交付使用」，并要求按JGJ59-99规定无条件做好安全文明施工、无条件配合现场大型检查（P8013）。[事实] 茂森公司2011年6月25日擅自退场，花园公司诉请返还多收取的工程款84144元、支付违约金75000元；茂森公司则抗辩合同关于罚款的约定无效、若作违约处理违约金过高（P8013）。[估计] 违约金诉请75000元相当于150天的罚款额（own_calc：75000÷500＝150），而约定工期只有70天——罚款条款一旦脱离「已完工程量与未完工程量」的界面切割，数字本身就会成为新的争点。「关门插锁、扫地出门」这类口语化止点写在合同里，看似周全，实则因为没有量化交接标准，退场时的「未完成部分」仍需另行举证（P8013）。买方应记住：界面越小，越要把止点写成可勾选的清单。</w:t>
      </w:r>
    </w:p>
    <w:p>
      <w:r>
        <w:rPr>
          <w:rFonts w:ascii="Calibri" w:hAnsi="Calibri" w:eastAsia="微软雅黑"/>
          <w:b w:val="0"/>
          <w:i w:val="0"/>
          <w:sz w:val="22"/>
        </w:rPr>
        <w:t>[建议] 把三道接缝各自锁死：其一，合同写明施工图交付节点与图纸滞后时工期、价款的调整机制，凡图纸供给无节点表的项目，进场前以补充协议补一张节点表并约定滞后的日费率；其二，变更条款采用三段式（设计原因调价、非设计原因由提出方承担、超标准变更双门槛审批），并在合同中点名有权签认人及其授权范围；其三，签证实行「无签字不计量、无计价依据不进结算」的双条件，结算前逐张核验。验证方式：随机抽十份在履项目的签证单，检查签认人是否在授权名单内、是否附计价依据；停止条件：抽检十单中超过三单不达标，应立即冻结后续增量施工并启动界面补签，而非继续累积无凭证工作量。</w:t>
      </w:r>
    </w:p>
    <w:p>
      <w:pPr>
        <w:pStyle w:val="Heading2"/>
      </w:pPr>
      <w:r>
        <w:t>8.4 链条式追责：穿透、反穿透与合同定性之争</w:t>
      </w:r>
    </w:p>
    <w:p>
      <w:r>
        <w:rPr>
          <w:rFonts w:ascii="Calibri" w:hAnsi="Calibri" w:eastAsia="微软雅黑"/>
          <w:b w:val="0"/>
          <w:i w:val="0"/>
          <w:sz w:val="22"/>
        </w:rPr>
        <w:t>协同场景的第三重风险藏在链条里。设计牵头总包之下往往是多层施工关系，一旦付款断流，责任沿链条向上穿透；而链条上每个节点的合同定性——转包、分包、挂靠、内部承包——决定穿透的路径与终点。</w:t>
      </w:r>
    </w:p>
    <w:p>
      <w:r>
        <w:rPr>
          <w:rFonts w:ascii="Calibri" w:hAnsi="Calibri" w:eastAsia="微软雅黑"/>
          <w:b/>
          <w:i w:val="0"/>
          <w:sz w:val="22"/>
        </w:rPr>
        <w:t>链条全景：四场追偿诉讼之问。</w:t>
      </w:r>
      <w:r>
        <w:rPr>
          <w:rFonts w:ascii="Calibri" w:hAnsi="Calibri" w:eastAsia="微软雅黑"/>
          <w:b w:val="0"/>
          <w:i w:val="0"/>
          <w:sz w:val="22"/>
        </w:rPr>
        <w:t xml:space="preserve"> [事实] 山西亚能案呈现四层结构：山西亚能（实际施工人）—河南汇龙（转包人）—河南电建（第一手转包人）—大唐热电厂（发包人）（P8002）。[事实] 一审法院认为「河南电建公司与山西亚能公司并无合同关系且其与河南汇龙公司就案涉工程未达成结算，河南电建公司欠付河南汇龙公司的工程款数额并不确定，故山西亚能公司主张河南电建公司向其承担付款责任无事实以及法律依据」（引号内为一审裁判理由的判决书载录）；上诉人反驳：「按照一审法院的逻辑，本案需要打四场追偿诉讼才能最终确定各方的欠款，明显不符合法律打击违法转包、保护实际施工人权益的立法精神」（P8002）。[事实] 上诉人援引最高人民法院《建设工程施工合同司法解释（二）》第二十四条「发包人应在欠付工程款范围内对实际施工人承担付款责任」，并主张基于非法转包与怠于行使到期债权的事实，直接起诉大唐热电厂亦符合第二十五条代位权诉讼的规定；其同时主张大唐热电厂在工程结束并交付使用后拒不承认经第三方审核的工程量价、拖延结算及付款（P8002）。四场追偿诉讼之问，问的正是链条式结构的交易成本：当每一层都以下一层未结算为由抗辩时，正义要排队四次。对买方的含义是：链条每加一层，「欠付数额不确定」就多一个藏身之处；把中间层的结算义务与期限写死，是缩短追偿队列的合同手段。</w:t>
      </w:r>
    </w:p>
    <w:p>
      <w:r>
        <w:rPr>
          <w:rFonts w:ascii="Calibri" w:hAnsi="Calibri" w:eastAsia="微软雅黑"/>
          <w:b/>
          <w:i w:val="0"/>
          <w:sz w:val="22"/>
        </w:rPr>
        <w:t>链条节点的遗漏之争。</w:t>
      </w:r>
      <w:r>
        <w:rPr>
          <w:rFonts w:ascii="Calibri" w:hAnsi="Calibri" w:eastAsia="微软雅黑"/>
          <w:b w:val="0"/>
          <w:i w:val="0"/>
          <w:sz w:val="22"/>
        </w:rPr>
        <w:t xml:space="preserve"> [事实] 天发西山矿业案中，天发公司主张：2013年5月20日其与唐山升华选煤设备制造有限公司签订了《新疆天发西山煤矿0.6MT/A选煤厂工程总承包合同》，该合同中包含了顺意公司施工的西山煤矿基础设施工程，故唐山升华与顺意公司之间事实上存在工程分包（或转承包）关系，唐山升华作为总承包方（或转包方）应当参加本案诉讼，原审遗漏了诉讼当事人（P8016）。[事实] 该案还暴露了程序与实体的双重裂缝：原审在认定合同无效的前提下未对工程质量进行审查即判令付款，天发公司以此为由主张判付4111521元于法无据（P8016）。EPC总包之下的施工关系若不入案，事实拼图就缺一角；总承包方是否被追加为当事人，直接影响责任能否在业主、总包、施工方之间一次切割完毕。</w:t>
      </w:r>
    </w:p>
    <w:p>
      <w:r>
        <w:rPr>
          <w:rFonts w:ascii="Calibri" w:hAnsi="Calibri" w:eastAsia="微软雅黑"/>
          <w:b/>
          <w:i w:val="0"/>
          <w:sz w:val="22"/>
        </w:rPr>
        <w:t>三方框架协议：通道如何变成旁观席。</w:t>
      </w:r>
      <w:r>
        <w:rPr>
          <w:rFonts w:ascii="Calibri" w:hAnsi="Calibri" w:eastAsia="微软雅黑"/>
          <w:b w:val="0"/>
          <w:i w:val="0"/>
          <w:sz w:val="22"/>
        </w:rPr>
        <w:t xml:space="preserve"> [事实] 戎和房屋案中，胜翔公司述称：2013年8月，胜翔公司作为承包人与分包人中宏公司、发包人戎和公司签订了《框架协议》，对于后期中宏公司和戎和公司的资金及债务往来，胜翔公司并未参与（P8015）。[事实] 中宏公司诉请戎和公司清偿欠款1329.3万元并按月利率20‰计息——其中300万元自2015年7月15日起、1029.3万元自2015年9月16日起（该款中400万元自2016年3月11日起、629.3万元自2016年4月11日起按金融机构逾期贷款利息利率承担罚息），并请求乐道清承担担保责任（P8015）。[事实] 戎和公司则上诉主张《还款承诺书》中漏算500万元、《郑重承诺》中又重复计算300万元，应付总额及构成明细一审未查清，并请求撤销2016年6月23日签订的《郑重承诺》（P8015）。三方框架协议本是分包进入发包人付款通道的桥；一旦结算破裂，名义承包人退成旁观席，分包与发包人之间只剩下对账单与承诺书互相攻防——而「漏算五百万、重复计算三百万」的指控说明，连对账文件自身的账都未必平。</w:t>
      </w:r>
    </w:p>
    <w:p>
      <w:r>
        <w:rPr>
          <w:rFonts w:ascii="Calibri" w:hAnsi="Calibri" w:eastAsia="微软雅黑"/>
          <w:b/>
          <w:i w:val="0"/>
          <w:sz w:val="22"/>
        </w:rPr>
        <w:t>内部承包与挂靠的定性拉锯。</w:t>
      </w:r>
      <w:r>
        <w:rPr>
          <w:rFonts w:ascii="Calibri" w:hAnsi="Calibri" w:eastAsia="微软雅黑"/>
          <w:b w:val="0"/>
          <w:i w:val="0"/>
          <w:sz w:val="22"/>
        </w:rPr>
        <w:t xml:space="preserve"> [事实] 广厦建设集团辽宁分公司案中，上诉人主张傅旭照系其职工，施工系履行职务行为，双方签订的《承包经营合同》属于内部管理协议、合法有效、并非非法转包；傅旭照辩称双方形式上签订《承包经营合同》，实际上系借用资质施工，其是实际施工人，合同无效（P8027）。[事实] 定性之争下面压着一叠真金白银的抵扣账：原审判决依据《鑫宁家园一期工程基础换填结算确认书》认定工程增量价款为80万元，上诉人主张的抵扣包括水电费、租赁费、商砼、外墙砖、沙子等共计1368938元，保证金及保险费等其他费用合计1235252.70元，律师费、诉讼费等费用458281元，利息4879384元，工程资料保证金20万元，维修费341365.13元，管理费195092元（P8027）。[估计] 七个抵扣科目合计8678312.83元（own_calc：1368938＋1235252.70＋458281＋4879384＋200000＋341365.13＋195092＝8678312.83）。总包与实际施工人之间的费用边界若未在合同中逐项命名，结算时就会被逐项重审一遍；传导「过错」与摊派「损失」在裁判上的命运不同，这与8.5节界面指南的背靠背原则形成对照。</w:t>
      </w:r>
    </w:p>
    <w:p>
      <w:r>
        <w:rPr>
          <w:rFonts w:ascii="Calibri" w:hAnsi="Calibri" w:eastAsia="微软雅黑"/>
          <w:b/>
          <w:i w:val="0"/>
          <w:sz w:val="22"/>
        </w:rPr>
        <w:t>合同成立与否的元问题。</w:t>
      </w:r>
      <w:r>
        <w:rPr>
          <w:rFonts w:ascii="Calibri" w:hAnsi="Calibri" w:eastAsia="微软雅黑"/>
          <w:b w:val="0"/>
          <w:i w:val="0"/>
          <w:sz w:val="22"/>
        </w:rPr>
        <w:t xml:space="preserve"> [事实] 无锡世达案把争点推到链条最前端：招标文件明确投标价为固定总价、不得调整，除非因设计变更、现场签证及附件合同约定的可调部分，而经鉴定有906902元的现场签证价款；但百田公司2008年6月8日要求签订的《施工总承包合同》第7.1.4条，要求世达公司将签证价款包含在投标价中，世达公司基于此拒绝签订该份合同（P8028）。[事实] 世达公司主张建设工程施工合同为要式合同，不能以双方从事的民事行为来推定合同成立；百田公司则主张合同已成立、未签订书面合同的责任在于世达公司（P8028）。[事实] 该案二审判决认定世达公司应支付百田公司工程差价损失2995437元及租金损失1518858元的60%即2708577元（P8028）（own_calc验证：(2995437＋1518858)×60%＝4514295×60%＝2708577）；世达公司另主张其完成的桩基工程款1552422元应当全部结算给自己（P8028）。设计咨询公司作为发包人、施工方拒签合同、签证款被要求吞进固定总价——这个组合把「协同尚未开始、责任已经开始」的悖论摆上台面：合同成立与否、以哪一版文本为准、签证款站在固定价的哪一侧，三个问题没有答案，工程就已经在替它们付利息。</w:t>
      </w:r>
    </w:p>
    <w:p>
      <w:r>
        <w:rPr>
          <w:rFonts w:ascii="Calibri" w:hAnsi="Calibri" w:eastAsia="微软雅黑"/>
          <w:b/>
          <w:i w:val="0"/>
          <w:sz w:val="22"/>
        </w:rPr>
        <w:t>穿透的另一面：发包人责任的边界与代价。</w:t>
      </w:r>
      <w:r>
        <w:rPr>
          <w:rFonts w:ascii="Calibri" w:hAnsi="Calibri" w:eastAsia="微软雅黑"/>
          <w:b w:val="0"/>
          <w:i w:val="0"/>
          <w:sz w:val="22"/>
        </w:rPr>
        <w:t xml:space="preserve"> [事实] 海天建设案中，双方2010年12月27日确认结算价为76214241元，起诉前欠付工程款6150388元；合同约定若发包人无正当理由不支付工程竣工价款，每拖延一天按千分之一承担违约责任，暂计至2016年7月31日违约金为14040193元；发包人以2010年12月6日双方签字认可的企业询证函主张已给付70063853元、已占应付工程款的92%，加上施工方应预留的3%质保金，实际支付已达95%（P8024）。[估计] 仅就暂计数与欠款本金的关系看，违约金约为本金的2.28倍（own_calc：14040193÷6150388≈2.28）。[事实] 该案的时序同样耐读：双方2007年6月25日签订施工合同，该合同没有约定开工、竣工日期，也没有约定工程总造价；海天建设2007年6月26日即组织队伍进入工地施工；直到2008年9月16日，陕西省建设工程施工招标中标通知书才发出，载明建筑面积56409.03平方米、地下一层地上26层、工期500天（P8024）。先施工、后中标，合同要素残缺而履约照常推进三年——链条最前端的「合同成立时点」本身就埋着日后定性之争的引线。[事实] 该案文本另载中标价格为80824500万元（P8024），量级明显异常，本文不作任何计算基数使用，仅如实存录。日千分之一的威力在此可见：付款拖延的成本曲线写进合同后，发包人的「再等等」就是按复利计价的。链条上的每一方都应读懂这条曲线——在亚能案里它是施工方的武器（P8002），在海天案里它是发包人的账单（P8024）。</w:t>
      </w:r>
    </w:p>
    <w:p>
      <w:r>
        <w:rPr>
          <w:rFonts w:ascii="Calibri" w:hAnsi="Calibri" w:eastAsia="微软雅黑"/>
          <w:b/>
          <w:i w:val="0"/>
          <w:sz w:val="22"/>
        </w:rPr>
        <w:t>集团结构与定性之争的叠加。</w:t>
      </w:r>
      <w:r>
        <w:rPr>
          <w:rFonts w:ascii="Calibri" w:hAnsi="Calibri" w:eastAsia="微软雅黑"/>
          <w:b w:val="0"/>
          <w:i w:val="0"/>
          <w:sz w:val="22"/>
        </w:rPr>
        <w:t xml:space="preserve"> [事实] 兴光置业案里，与沈泽文对簿公堂的除了发包人，还有中城建第六工程局集团第二工程有限公司与中城建第六工程局集团有限公司两兄弟——前者2010年8月由蚌埠市二建建筑安装工程有限公司更名而来，系中城建六局投资参股的子公司（P8004）。施工合同的乙方是子公司，集团公司仍被列为共同被告进入二审（P8004）。关联公司承接工程后，集团层面是否被牵入责任网，取决于合同相对性与担保结构的每一个细节；对以「集团出资质、子公司出合同」方式投标的企业，这个样本提示：子公司形式并不天然隔断集团的风险暴露，反而可能把两个法人一起拖进漫长诉讼。[事实] 该案合同背景还包含：兴光置业2010年7月20日与施工方签订《补充协议》，约定施工方按工程价让利200万元、工程保证金1500万元按指定期限汇入指定账户、工程款按形象进度75%支付、高层首次支付节点为单体工程正负零以上十层结构封顶（P8004）——让利与保证金两个条款叠在进度款规则之上，结算时的攻防层次因此翻倍。</w:t>
      </w:r>
    </w:p>
    <w:p>
      <w:r>
        <w:rPr>
          <w:rFonts w:ascii="Calibri" w:hAnsi="Calibri" w:eastAsia="微软雅黑"/>
          <w:b/>
          <w:i w:val="0"/>
          <w:sz w:val="22"/>
        </w:rPr>
        <w:t>EPC合同效力之争的细节弹药。</w:t>
      </w:r>
      <w:r>
        <w:rPr>
          <w:rFonts w:ascii="Calibri" w:hAnsi="Calibri" w:eastAsia="微软雅黑"/>
          <w:b w:val="0"/>
          <w:i w:val="0"/>
          <w:sz w:val="22"/>
        </w:rPr>
        <w:t xml:space="preserve"> [事实] 最高法1356号案中，电建公司主张合同无效的路径有三条：赤天化公司签约与履约期间属于国有企业，案涉项目属于必须招投标项目；EPC总承包合同约定工程价款为460436515元，与投标总价521965260元不一致，违反招标投标法第四十六条及实施条例第五十七条；赤天化公司将整体项目拆分立项，违反《企业投资项目核准暂行办法》的规定，且案涉项目未经立案审批（P8034）。[事实] 赤天化公司则辩称其并非国有企业、项目资金系自筹、项目不属于必须招投标项目且已经审批立项（P8034）。[事实] 鉴定环节的攻防同样值得记录：电建公司主张9号鉴定意见中「证据无赤天化签字部分」项下费用虽无赤天化公司签字确认，但费用确已实际发生、有相关证据佐证；赤天化公司则以无证据证明为由抵抗（P8034）。「已实际发生但无签认」的费用能否进入裁判视野，是协同证据链问题的终极形态——它回到了8.5节的核心结论：无记录，即无请求权。</w:t>
      </w:r>
    </w:p>
    <w:p>
      <w:pPr>
        <w:pStyle w:val="Heading2"/>
      </w:pPr>
      <w:r>
        <w:t>8.5 把边界写进合同：界面管理的六件可迁移工具</w:t>
      </w:r>
    </w:p>
    <w:p>
      <w:r>
        <w:rPr>
          <w:rFonts w:ascii="Calibri" w:hAnsi="Calibri" w:eastAsia="微软雅黑"/>
          <w:b w:val="0"/>
          <w:i w:val="0"/>
          <w:sz w:val="22"/>
        </w:rPr>
        <w:t>前三节展示接缝如何漏水，本节回答如何在水进来之前把缝填上。[事实] 弹药库中一份面向国际工程全周期的界面管理指南，围绕核心管理原则、分项目类型界面管控要点、投标阶段全流程实操建议、中英文对照接口管理计划模板四大维度搭建体系，覆盖房建、工业、基础设施、能源等主流国际工程领域，总包方可直接嵌入招标文件、分包询价书、技术标文件及合同附件使用（P8005）。[事实] 该指南开宗明义：分包商之间工作界面模糊、责任边界不清，是引发工期延误、项目成本失控、各方互相推诿责任，最终招致业主反索赔、项目利润大幅缩水的最高发核心原因之一；界面管理绝非单纯的现场临时协调工作，而是必须在投标报价阶段就前置锁定的报价范围边界、成本测算底线与项目风险防控红线（P8005）。以下六件工具，逐件对照中国裁判文本检验其可迁移性。[事实] 指南对界面管理的定义本身就值得抄进合同释义条款：有效的界面管理，本质是将各分包商的工作责任在时间节点、空间范围、技术参数标准三个维度进行精准切割、明确锁定，杜绝责任重叠或空白地带（P8005）。「三个维度＋杜绝重叠与空白」这十二个字，可以直接作为总包合同「界面」条款的定义句——它把模糊的「配合义务」翻译成了可检验的切割动作。</w:t>
      </w:r>
    </w:p>
    <w:p>
      <w:r>
        <w:rPr>
          <w:rFonts w:ascii="Calibri" w:hAnsi="Calibri" w:eastAsia="微软雅黑"/>
          <w:b/>
          <w:i w:val="0"/>
          <w:sz w:val="22"/>
        </w:rPr>
        <w:t>工具一：「责任唯一性」——禁止「共同负责」。</w:t>
      </w:r>
      <w:r>
        <w:rPr>
          <w:rFonts w:ascii="Calibri" w:hAnsi="Calibri" w:eastAsia="微软雅黑"/>
          <w:b w:val="0"/>
          <w:i w:val="0"/>
          <w:sz w:val="22"/>
        </w:rPr>
        <w:t xml:space="preserve"> [事实] 指南的核心原则是：任何一项工作、一个接口点，必须有且只有一个明确责任方；避免「共同负责」，因为这通常意味着「无人负责」；投标阶段的对应措施是在询价和合同中禁止「共同负责」条款，采用RACI模型（执行、担责、咨询、知会），确保每个接口任务都有清晰的最终担责方「A」（P8005）。裁判侧的镜像证据是鲁班案：合同范围写的是110kV升压站、35kV集电线路、110kV线路及其附属工程（P8003），抗辩称实际仅完成升压站土建（P8003）——当「范围」由多个子系统拼成而每个子系统的完成标准未被单独指认时，争议就地生成。迁移动作：在总包与分包合同中为每个物理交接点只指认一名担责方与一名验收人，写进附件清单。</w:t>
      </w:r>
    </w:p>
    <w:p>
      <w:r>
        <w:rPr>
          <w:rFonts w:ascii="Calibri" w:hAnsi="Calibri" w:eastAsia="微软雅黑"/>
          <w:b/>
          <w:i w:val="0"/>
          <w:sz w:val="22"/>
        </w:rPr>
        <w:t>工具二：界面划分——「工作止点」与「接收条件」。</w:t>
      </w:r>
      <w:r>
        <w:rPr>
          <w:rFonts w:ascii="Calibri" w:hAnsi="Calibri" w:eastAsia="微软雅黑"/>
          <w:b w:val="0"/>
          <w:i w:val="0"/>
          <w:sz w:val="22"/>
        </w:rPr>
        <w:t xml:space="preserve"> [事实] 指南要求分包商填写「工作止点」与「接收条件」，作为技术标强制评审内容；界面划分原则是清晰界定工作边界、技术参数和物理交接点，无重叠、无遗漏（P8005）。裁判侧的镜像是红卫农场合同的三段式变更条款（P8019）与雷达站劳务分包那串「关门插锁、扫地出门」式的口语化止点（P8013）——前者把变更的三种情形各配了条件，后者止点不可勾选、退场即涉诉。迁移动作：把「止点清单」做成合同附件，逐点写明交接物、交接标准、接收后的风险转移时点。</w:t>
      </w:r>
    </w:p>
    <w:p>
      <w:r>
        <w:rPr>
          <w:rFonts w:ascii="Calibri" w:hAnsi="Calibri" w:eastAsia="微软雅黑"/>
          <w:b/>
          <w:i w:val="0"/>
          <w:sz w:val="22"/>
        </w:rPr>
        <w:t>工具三：分级协调与最终裁定权。</w:t>
      </w:r>
      <w:r>
        <w:rPr>
          <w:rFonts w:ascii="Calibri" w:hAnsi="Calibri" w:eastAsia="微软雅黑"/>
          <w:b w:val="0"/>
          <w:i w:val="0"/>
          <w:sz w:val="22"/>
        </w:rPr>
        <w:t xml:space="preserve"> [事实] 指南要求建立从现场到高层的分级协调与争议升级路径，合同明确24h/72h分级解决时限与最终裁定权，避免工期悬停（P8005）。裁判侧的镜像，是新疆电力设计院案的三方《合同补充附件》：共同委托甲级造价咨询公司结算，审定结果作为「唯一标准」（合同原文措辞，P8001），「最终结算总价一经告知立即生效，任何一方拒绝接受的表示或行为均不影响该结果生效」（P8001）。这是一条把最终裁定权外包给第三方的条款——设计、施工、业主三方在结算问题上都让渡了翻案权，换来的是结果的即时生效。迁移动作：在联合体协议或总分包合同中，为每类争议（技术、商务、工期）分别指定裁定人与裁定时限；凡裁定人产出意见，写明生效条件与不服方的救济路径。</w:t>
      </w:r>
    </w:p>
    <w:p>
      <w:r>
        <w:rPr>
          <w:rFonts w:ascii="Calibri" w:hAnsi="Calibri" w:eastAsia="微软雅黑"/>
          <w:b/>
          <w:i w:val="0"/>
          <w:sz w:val="22"/>
        </w:rPr>
        <w:t>工具四：证据链——无签字不交接、无记录不付款。</w:t>
      </w:r>
      <w:r>
        <w:rPr>
          <w:rFonts w:ascii="Calibri" w:hAnsi="Calibri" w:eastAsia="微软雅黑"/>
          <w:b w:val="0"/>
          <w:i w:val="0"/>
          <w:sz w:val="22"/>
        </w:rPr>
        <w:t xml:space="preserve"> [事实] 指南要求所有交接、变更、争议必须书面留痕，执行无签字不交接、无记录不付款，未签署《接口关闭证书》不予支付（P8005）。裁判侧的镜像证据密集：红卫农场合同约定签证必须经甲方签署同意后方有效（P8019）；泰丰案以「没有任何设计变更和甲方签证」抵抗面积增加（P8026）；孟芳军案以「没有变更签证和计价依据」抵抗合同外增量（P8030）；最高法1356号案中，窝工损失抗辩直指「未按合同约定的方式向业主、监理单位报送损失金额、停工时长、停工原因的报告」（P8034）；安丘恒大案则以一纸补签协议约定「此前没有及时签署的相关施工资料及经济签证，甲方负责在一周内办理完毕」（P8008）。五个案件从五个方向指向同一件事：书面留痕不是流程洁癖，是请求权的构成要件。迁移动作：把《接口关闭证书》改造为国内项目通用的「界面交接确认单」，与进度款支付节点硬挂钩。</w:t>
      </w:r>
    </w:p>
    <w:p>
      <w:r>
        <w:rPr>
          <w:rFonts w:ascii="Calibri" w:hAnsi="Calibri" w:eastAsia="微软雅黑"/>
          <w:b/>
          <w:i w:val="0"/>
          <w:sz w:val="22"/>
        </w:rPr>
        <w:t>工具五：接口里程碑与缓冲。</w:t>
      </w:r>
      <w:r>
        <w:rPr>
          <w:rFonts w:ascii="Calibri" w:hAnsi="Calibri" w:eastAsia="微软雅黑"/>
          <w:b w:val="0"/>
          <w:i w:val="0"/>
          <w:sz w:val="22"/>
        </w:rPr>
        <w:t xml:space="preserve"> [事实] 指南要求将界面节点作为关键路径里程碑纳入整体进度管控：分包计划必须标注接口节点并设缓冲；总包编制接口里程碑计划作为红线（P8005）。裁判侧的镜像是山鹰案三个成品库的开工落差（2013年4月19日、12月5日、12月15日）与747934.29元的延期开工损失主张（P8023），以及霍州煤电案244个日历日的总工期（P8031）。迁移动作：在总进度计划中把「图纸交付、场地移交、设备到货、专业交叉」四类接口节点单独标红线，缓冲时长写进合同而非靠现场默契。</w:t>
      </w:r>
    </w:p>
    <w:p>
      <w:r>
        <w:rPr>
          <w:rFonts w:ascii="Calibri" w:hAnsi="Calibri" w:eastAsia="微软雅黑"/>
          <w:b/>
          <w:i w:val="0"/>
          <w:sz w:val="22"/>
        </w:rPr>
        <w:t>工具六：背靠背与过错追偿。</w:t>
      </w:r>
      <w:r>
        <w:rPr>
          <w:rFonts w:ascii="Calibri" w:hAnsi="Calibri" w:eastAsia="微软雅黑"/>
          <w:b w:val="0"/>
          <w:i w:val="0"/>
          <w:sz w:val="22"/>
        </w:rPr>
        <w:t xml:space="preserve"> [事实] 指南要求总包对业主责任通过背靠背条款精准传导至过错分包，无过错分包不连带；合同设置背靠背＋过错追偿条款，用中间交接证书实现责任阶段锁定（P8005）。裁判侧的警示来自广厦案：无明确过错界定的七类抵扣合计8678312.83元（own_calc见8.4节），逐项遭到对抗（P8027）。迁移动作：背靠背条款逐项列名可传导费用的科目与上限，与中间交接证书的阶段锁定时点一一对应。</w:t>
      </w:r>
    </w:p>
    <w:p>
      <w:r>
        <w:rPr>
          <w:rFonts w:ascii="Calibri" w:hAnsi="Calibri" w:eastAsia="微软雅黑"/>
          <w:b w:val="0"/>
          <w:i w:val="0"/>
          <w:sz w:val="22"/>
        </w:rPr>
        <w:t>付款条款是第六件工具的财务面，节点表则是它的时间轴。[事实] 成都建工案合同的支付链条完整可读：工程开工施工至五层主体顶板后，七个工作日内支付已完工程价款的75%；五层以上按月支付，甲方于次月5日前审核完成并支付每月完成工程量的75%；竣工验收合格后15个工作日内累计支付85%；甲方在收到完整竣工图及结算资料后90个工作日内完成审计，审计完成后15个工作日内支付至审计结算价款的97%；质量保证金按审计结算总价的3%预留，竣工后两年内无质量问题无息退还；甲方未按进度拨付的工程款每月按2%计算利息，到期未付的利息次月进入本金计复息（P8025）。[事实] 兴光置业案的保证金条款同样精细：工程保证金1500万元须在合同及协议签订后10日内或按甲方指定期限汇入指定账户，按单体工程分两次退还，第一次在主体验收合格后3日内返还50%，第二次在工程竣工验收合格后3日内返还50%；三个月内开工的保证金不计息，因甲方原因三个月后开工的按银行现行利率4.425‰支付月利息；施工方并按工程价让利200万元（P8004）。月息2%、月利率20‰（P8015）、月利率4.425‰（P8004）——三个数字说明付款边界条款的利率谱系很宽，写多少、怎么算、从哪天起算，每一项都值得在签约时逐字谈判。人格化的界面同样可以入约：[事实] 安丘恒大案把更换现场主管、发包人担保、代付工资、中间结算、补签签证五件事写进同一份《协议书》（P8008），并用「设计变更、经济签证双方审定后由恒大公司支付给宝山公司」的条款（P8009）把变更资金的出口一并固定——这是bank内最接近「界面一揽子协议」的样本。</w:t>
      </w:r>
    </w:p>
    <w:p>
      <w:r>
        <w:rPr>
          <w:rFonts w:ascii="Calibri" w:hAnsi="Calibri" w:eastAsia="微软雅黑"/>
          <w:b w:val="0"/>
          <w:i w:val="0"/>
          <w:sz w:val="22"/>
        </w:rPr>
        <w:t>[建议] 本章工具箱的落地顺序：先补界面交接确认单（证据链，两周内可在全部在履项目铺开），再改总进度计划加接口红线（进度协同），最后在下一轮招标中嵌入三段式变更条款与背靠背科目表（边界固化）。验证方式：以一个在履项目试点三个月，比对试点前后签证一次通过率与界面争议发函量；停止条件：若试点项目因对方拒签确认单而进度受阻，应回退为「签认＋影像留痕」双轨并保存拒签证据，而非单方面停工。</w:t>
      </w:r>
    </w:p>
    <w:p>
      <w:pPr>
        <w:pStyle w:val="Heading2"/>
      </w:pPr>
      <w:r>
        <w:t>8.6 本章小结与盲区</w:t>
      </w:r>
    </w:p>
    <w:p>
      <w:r>
        <w:rPr>
          <w:rFonts w:ascii="Calibri" w:hAnsi="Calibri" w:eastAsia="微软雅黑"/>
          <w:b/>
          <w:i w:val="0"/>
          <w:sz w:val="22"/>
        </w:rPr>
        <w:t>小结六问。</w:t>
      </w:r>
      <w:r>
        <w:rPr>
          <w:rFonts w:ascii="Calibri" w:hAnsi="Calibri" w:eastAsia="微软雅黑"/>
          <w:b w:val="0"/>
          <w:i w:val="0"/>
          <w:sz w:val="22"/>
        </w:rPr>
        <w:t xml:space="preserve"> 证明了什么：设计施工协同的责任边界由三件事决定——谁站总包位置与谁共用该位置（8.1四形态：设计牵头、设计咨询公司作发包、施工牵头EPC、共同发包联建）、接缝条款怎么写（8.3三道接缝：图纸节奏、变更归属、签证门槛）、链条怎么穿透（8.4定性之争：转包、挂靠、内部承包、合同成立）；设计牵头方承受付款、范围、程序、质量归责四维责任放大（8.2），而界面管理六件工具与中国裁判证据规则互证、可迁移（8.5）。输入在哪：本章全部事实与数字来自三十五份裁判文本及一份界面管理指南（P8000-P8034），每处数字句内挂锚。怎么算：跨源加总与比例均为own_calc并附算式（如四样本合同规模合计457543787元、欠付比例≈18.19%、变更扣减主张占比≈12.41%、现金沉淀占比≈16.24%、结算缩水≈18.58%），未使用任何bank外数字。依赖什么前提：前提一，bank判决文本多为前端（诉辩主张与部分查明），本章引用均区分「主张」「抗辩」「查明」与「判令」；前提二，样本为检索命中而非法学意义上的随机抽样，不能外推发生率；前提三，本章以设计牵头总包、总分包界面与共同发包三组场景近似替代联合体场景。还有什么解释：同类争议金额巨大，也可能出自付款方资金链与资信问题而非界面失守（如戎和案系列欠款与对账争议，P8015），界面管理不能替代资信审查；合同条款完备而执行落空的风险同样存在，bank未提供条款执行率的对照数据。什么证据会改变答案：见反证三问。</w:t>
      </w:r>
    </w:p>
    <w:p>
      <w:r>
        <w:rPr>
          <w:rFonts w:ascii="Calibri" w:hAnsi="Calibri" w:eastAsia="微软雅黑"/>
          <w:b/>
          <w:i w:val="0"/>
          <w:sz w:val="22"/>
        </w:rPr>
        <w:t>盲区一：联合体协议内部责任的直接判例缺失。</w:t>
      </w:r>
      <w:r>
        <w:rPr>
          <w:rFonts w:ascii="Calibri" w:hAnsi="Calibri" w:eastAsia="微软雅黑"/>
          <w:b w:val="0"/>
          <w:i w:val="0"/>
          <w:sz w:val="22"/>
        </w:rPr>
        <w:t xml:space="preserve"> [事实] 弹药库三十五份源文本正文中「联合体」零命中（仅见于标题与检索词），本章全章以「设计牵头总承包＋总分包界面＋共同发包联建」作近似替代（P8000-P8034整体）。联合体的对外连带、对内按份、牵头方垫付后向成员方追偿这三个核心问题，本章没有任何直接裁判证据。若读者面临的是真联合体（两法人共同投标、共签总承包合同），本章规则只能参考其界面管理部分，责任份额部分须另行检索专门判例。</w:t>
      </w:r>
    </w:p>
    <w:p>
      <w:r>
        <w:rPr>
          <w:rFonts w:ascii="Calibri" w:hAnsi="Calibri" w:eastAsia="微软雅黑"/>
          <w:b/>
          <w:i w:val="0"/>
          <w:sz w:val="22"/>
        </w:rPr>
        <w:t>盲区二：裁判结果大多不可见。</w:t>
      </w:r>
      <w:r>
        <w:rPr>
          <w:rFonts w:ascii="Calibri" w:hAnsi="Calibri" w:eastAsia="微软雅黑"/>
          <w:b w:val="0"/>
          <w:i w:val="0"/>
          <w:sz w:val="22"/>
        </w:rPr>
        <w:t xml:space="preserve"> bank收录的多为判决书前端：P8001、P8003、P8028、P8034等核心案件的最终裁判结果均未载入文本，本章凡引「上诉请求」「抗辩」「主张」均如实标注为单方立场（如亚能案「四场追偿诉讼」之问、鲁班案范围抗辩、最高法1356号窝工抗辩），不将主张当结论。这意味着本章多数叙事止于「争点如何形成」，而非「法院如何裁断」——买方引用本章案例作内部培训可用，作诉讼预期管理则不足。</w:t>
      </w:r>
    </w:p>
    <w:p>
      <w:r>
        <w:rPr>
          <w:rFonts w:ascii="Calibri" w:hAnsi="Calibri" w:eastAsia="微软雅黑"/>
          <w:b/>
          <w:i w:val="0"/>
          <w:sz w:val="22"/>
        </w:rPr>
        <w:t>盲区三：源文本自身的数据瑕疵未消解。</w:t>
      </w:r>
      <w:r>
        <w:rPr>
          <w:rFonts w:ascii="Calibri" w:hAnsi="Calibri" w:eastAsia="微软雅黑"/>
          <w:b w:val="0"/>
          <w:i w:val="0"/>
          <w:sz w:val="22"/>
        </w:rPr>
        <w:t xml:space="preserve"> [事实] 鲁班案增量金额在诉请算式（985735.31元）与事实理由（985135.31元）两处并存（P8003）；海天案文本载「中标价格为80824500万元」量级异常（P8024）；新40民初2号案利息参数（年利率2.75%、54个月）与利息额6,569,761.96元之间无法用单利精确复算（P8001）。本章一律保持bank原形、不作修数、不作衍生基数，读者不可将这些数字直接用于己方文书。</w:t>
      </w:r>
    </w:p>
    <w:p>
      <w:r>
        <w:rPr>
          <w:rFonts w:ascii="Calibri" w:hAnsi="Calibri" w:eastAsia="微软雅黑"/>
          <w:b/>
          <w:i w:val="0"/>
          <w:sz w:val="22"/>
        </w:rPr>
        <w:t>盲区四：P8033为内容污染源。</w:t>
      </w:r>
      <w:r>
        <w:rPr>
          <w:rFonts w:ascii="Calibri" w:hAnsi="Calibri" w:eastAsia="微软雅黑"/>
          <w:b w:val="0"/>
          <w:i w:val="0"/>
          <w:sz w:val="22"/>
        </w:rPr>
        <w:t xml:space="preserve"> [事实] 该源标题指向设计院转型EPC主题，正文实际论述遥感图像融合（P8033），主题错位，本章未采用其任何数据与论断。设计院从DBB向总承包转型的行业趋势判断，本章仅以P8032（中石化南京工程个案）与P8031、P8022等个案支撑，趋势层面的量化证据缺失。</w:t>
      </w:r>
    </w:p>
    <w:p>
      <w:r>
        <w:rPr>
          <w:rFonts w:ascii="Calibri" w:hAnsi="Calibri" w:eastAsia="微软雅黑"/>
          <w:b/>
          <w:i w:val="0"/>
          <w:sz w:val="22"/>
        </w:rPr>
        <w:t>盲区五：界面管理方法论未经本土裁判实证。</w:t>
      </w:r>
      <w:r>
        <w:rPr>
          <w:rFonts w:ascii="Calibri" w:hAnsi="Calibri" w:eastAsia="微软雅黑"/>
          <w:b w:val="0"/>
          <w:i w:val="0"/>
          <w:sz w:val="22"/>
        </w:rPr>
        <w:t xml:space="preserve"> P8005为国际工程实务指南，其24h/72h时限、RACI、《接口关闭证书》等工具在中国裁判文书中是否被采信为结算或责任依据，bank内无一案验证（P8005）。本章的迁移建议属[假设]级：方向与裁判证据规则（签证生效、书面留痕）一致，但具体工具形态的效力未经验证。</w:t>
      </w:r>
    </w:p>
    <w:p>
      <w:r>
        <w:rPr>
          <w:rFonts w:ascii="Calibri" w:hAnsi="Calibri" w:eastAsia="微软雅黑"/>
          <w:b/>
          <w:i w:val="0"/>
          <w:sz w:val="22"/>
        </w:rPr>
        <w:t>反证三问。</w:t>
      </w:r>
      <w:r>
        <w:rPr>
          <w:rFonts w:ascii="Calibri" w:hAnsi="Calibri" w:eastAsia="微软雅黑"/>
          <w:b w:val="0"/>
          <w:i w:val="0"/>
          <w:sz w:val="22"/>
        </w:rPr>
        <w:t xml:space="preserve"> 什么事实会推翻本章判断：其一，若有一批界面条款完备的项目仍然发生同量级结算纠纷，则「边界写进合同」的因果链被削弱——本章只有P8001（裁定条款完备仍发生大额欠付）这一个近似反例，不足以定性；其二，若联合体判例显示内部追偿普遍快速、低成本，则本章以总分包近似联合体的整个处理框架需要重写；其三，若裁判实践普遍采信发包人未签认增量之外的技术证据（影像、BIM记录等），则证据链工具的形态需要从「签字」扩展到「多源存证」。现有反证为何不足：P8001的欠付更可能是资信问题而非条款失效，且该案《合同补充附件》确实让三方对审定数字不存异议、仅就付款与利息相持，恰恰说明裁定条款在结算口径上起了作用。哪个未知可能改变读者选择：联合体成员方破产或被列为失信被执行人时，牵头方的连带风险如何在联合体协议中预先限额与追偿——这一情形在bank中完全空白，而它恰是联合体相比法人一体化总承包最致命的差异点，读者应在签约前就此取得专门法律意见。</w:t>
      </w:r>
    </w:p>
    <w:p>
      <w:r>
        <w:rPr>
          <w:rFonts w:ascii="Calibri" w:hAnsi="Calibri" w:eastAsia="微软雅黑"/>
          <w:b w:val="0"/>
          <w:i w:val="0"/>
          <w:sz w:val="22"/>
        </w:rPr>
        <w:t>---</w:t>
      </w:r>
    </w:p>
    <w:p>
      <w:pPr>
        <w:pStyle w:val="Heading1"/>
      </w:pPr>
      <w:r>
        <w:t>第9章 数字化赋能：BIM与协同平台的一体化实践</w:t>
      </w:r>
    </w:p>
    <w:p>
      <w:pPr>
        <w:ind w:left="454"/>
      </w:pPr>
      <w:r>
        <w:rPr>
          <w:rFonts w:ascii="Calibri" w:hAnsi="Calibri" w:eastAsia="微软雅黑"/>
          <w:b w:val="0"/>
          <w:i w:val="0"/>
          <w:color w:val="666666"/>
          <w:sz w:val="22"/>
        </w:rPr>
        <w:t>组织重组与合同架构解决"谁对谁负责"，数字化解决"数据从哪里来、到哪里去"。本章回答三个买方问题：政策强制化之后，BIM的费用由谁出、值不值得出；用什么判据区分真一体化平台与展示型模型；变更管理数字化的路上，哪几个已知翻车点会把省下的钱再吐出去。</w:t>
      </w:r>
    </w:p>
    <w:p>
      <w:r>
        <w:rPr>
          <w:rFonts w:ascii="Calibri" w:hAnsi="Calibri" w:eastAsia="微软雅黑"/>
          <w:b/>
          <w:i w:val="0"/>
          <w:sz w:val="22"/>
        </w:rPr>
        <w:t>adds:</w:t>
      </w:r>
      <w:r>
        <w:rPr>
          <w:rFonts w:ascii="Calibri" w:hAnsi="Calibri" w:eastAsia="微软雅黑"/>
          <w:b w:val="0"/>
          <w:i w:val="0"/>
          <w:sz w:val="22"/>
        </w:rPr>
        <w:t xml:space="preserve"> 读者读完本章多知道三件事：BIM费用买单规则在政策强制化前后的变化与文本依据（P9006）；用"单一数据源"三点检验鉴别一体化平台真伪的采购判据（P9001）；变更数字化四个陷阱的实物证据与对应止损条件（P9027/P9020/P9030）——外加一张把标杆项目收益折算成钱的对照账本。</w:t>
      </w:r>
    </w:p>
    <w:p>
      <w:pPr>
        <w:pStyle w:val="Heading2"/>
      </w:pPr>
      <w:r>
        <w:t>9.1 政策拐点：BIM从投标加分项变成合同必交项</w:t>
      </w:r>
    </w:p>
    <w:p>
      <w:r>
        <w:rPr>
          <w:rFonts w:ascii="Calibri" w:hAnsi="Calibri" w:eastAsia="微软雅黑"/>
          <w:b w:val="0"/>
          <w:i w:val="0"/>
          <w:sz w:val="22"/>
        </w:rPr>
        <w:t>写给管理层的第一句话是：BIM的采购性质变了。2026年4月，国务院印发《关于推进服务业扩能提质的意见》（国发〔2026〕7号），目标是2030年服务业总规模迈上100万亿元，而BIM技术第一次出现在国务院级别的战略文件里，且被放在两个关键位置（P9006）。第一处在"加快软件和信息服务创新发展"章节，原文为"加快城市信息模型平台、建筑信息模型技术应用"，BIM与CIM（城市信息模型）、智算云服务并列，被归入国家软件与信息服务创新体系（P9006）。第二处在"全链条补强生产性服务业薄弱环节"章节，要求提升工程勘察、设计、监理等全过程服务水平，BIM被要求覆盖勘察、设计、监理、运维全过程，并向既有建筑的节能改造延伸（P9006）。[事实]把这两处放在一起读，政策口径里的BIM已不是设计院出三维效果图的软件：业内解读把它比作给建筑发的一张"数字护照"——从规划到拆除，从能耗到碳排，一栋建筑的全部数字生命都要依托它承载（P9006）。[事实]更进一步的行业类比是：就像TCP/IP是互联网的数据协议，BIM正在成为工程行业的数据协议，所有的数字化能力都从它上面长出来（P9006）。这两句解读出自同一篇政策拆解，买方不妨将其作为向董事会解释"BIM预算为什么值得单列"的叙事框架。</w:t>
      </w:r>
    </w:p>
    <w:p>
      <w:r>
        <w:rPr>
          <w:rFonts w:ascii="Calibri" w:hAnsi="Calibri" w:eastAsia="微软雅黑"/>
          <w:b w:val="0"/>
          <w:i w:val="0"/>
          <w:sz w:val="22"/>
        </w:rPr>
        <w:t>地方落地在提速。国发〔2026〕7号文之后，广东、福建、深圳、浙江、青海、新疆6省市已出台强制或准强制政策（P9006）。[事实]对投标、验收和数字化交付直接相关的两个变化是：BIM从"加分项"变成了"必交项"，以及费用终于有人出了——建设方买单（P9006）。[事实]国务院文件的分量与住建部的通知不在一个量级，这一次不是建议，而是规定动作（P9006）。</w:t>
      </w:r>
    </w:p>
    <w:p>
      <w:r>
        <w:rPr>
          <w:rFonts w:ascii="Calibri" w:hAnsi="Calibri" w:eastAsia="微软雅黑"/>
          <w:b w:val="0"/>
          <w:i w:val="0"/>
          <w:sz w:val="22"/>
        </w:rPr>
        <w:t>要理解"建设方买单"这五个字的分量，得回看BIM此前十几年推不动的根源。[事实]业内复盘的共识是：过去BIM推不动，最大的原因不是技术不行，而是没人买单——设计院自费建模，业主不认账，BIM变成了投标时的成本负担（P9006）。一位EPC风险管理从业者记录的现场样本更直白：某院校培训基地项目合同里写着"应用BIM技术"，设计成果汇报会上BIM工程师演示了地下室管线碰撞检查、砌体排砖应用，稀里糊涂就通过了评审；私下追问才知道，设计院交付的是CAD图纸，模型是拿到图之后"翻"出来的（P9020）。[事实]这就是行业语境里的"翻模"——先画图、后建模；与之相对的"正向设计"是先建模、后出图，看起来只差一个顺序，本质却差远了（P9020）：翻模的人不懂设计意图，模型只是图纸的"三维复印件"，没有数据价值（P9020）。在该从业者的项目经验里，BIM最常见的用法停留在三类：地下室管线综合（把各专业的管道、桥架放到一起"碰一碰"，看看哪里打架了）、砌体排砖（创优项目上把砌块怎么排布做出来给工人参考）、汇报展示（做三维模型动画，给业主汇报时显得"高大上"），然后模型就扔在那了（P9020）。[事实]他给出的三条推不动的理由是：第一，设计院不给"真模型"，绝大多数设计院还在用CAD画图，画完了找个团队翻模；第二，"翻模-算量"两层皮——设计一套模型、造价再翻一套模型算量，两个模型对不上，设计改了造价不知道，造价算了设计不认，最后结算的时候审计拿着两套数据来回砍你；第三，投入产出算不清账——翻一套模型几十万，用完了就扔，这笔钱花得值不值没人说得清（P9020）。[事实]他还有一个直白的自问："至于'一模到底'——设计用这个模型、施工用这个模型、造价算量也用这个模型——你见过吗？我反正没见过"（P9020）。买方应把这句从业者的反问当作本章的出发点：政策端与工地端之间存在一条真实的鸿沟，跨越它需要的不只是软件采购。</w:t>
      </w:r>
    </w:p>
    <w:p>
      <w:r>
        <w:rPr>
          <w:rFonts w:ascii="Calibri" w:hAnsi="Calibri" w:eastAsia="微软雅黑"/>
          <w:b w:val="0"/>
          <w:i w:val="0"/>
          <w:sz w:val="22"/>
        </w:rPr>
        <w:t>市场端的数字佐证了这条赛道的热度。[事实]全球BIM软件市场2025年规模约69.28亿美元，预计到2032年攀升至228.6亿美元，年复合增长率18.6%，这个增速放在全球软件行业里属于非常高的水平（P9006）。[估计]按此口径换算，七年间市场体量将放大至228.6÷69.28≈3.30倍（own_calc，基于P9006数据）。[事实]同一篇拆解给出的定位判断是：BIM不是锦上添花的加分项，它正在成为工程数字化的基座（P9006）。</w:t>
      </w:r>
    </w:p>
    <w:p>
      <w:r>
        <w:rPr>
          <w:rFonts w:ascii="Calibri" w:hAnsi="Calibri" w:eastAsia="微软雅黑"/>
          <w:b w:val="0"/>
          <w:i w:val="0"/>
          <w:sz w:val="22"/>
        </w:rPr>
        <w:t>政策文本的安放位置本身也是信息。[事实]BIM第一处被归入国家软件与信息服务创新体系，第二处被要求覆盖勘察、设计、监理、运维全过程（P9006）——前者把BIM当作产品与产业，后者把BIM当作流程与合规工具。[建议]买方读政策时应把两条线索分开预算：为满足交付口径的合规投入（躲不开要花）与为换取收益的流程改造投入（属于投资，要算回报）；两类钱混在同一个科目里，是BIM预算在经营压力下被一刀切砍掉的最常见原因。</w:t>
      </w:r>
    </w:p>
    <w:p>
      <w:r>
        <w:rPr>
          <w:rFonts w:ascii="Calibri" w:hAnsi="Calibri" w:eastAsia="微软雅黑"/>
          <w:b w:val="0"/>
          <w:i w:val="0"/>
          <w:sz w:val="22"/>
        </w:rPr>
        <w:t>政策与市场两条线在2026年交汇。[事实]政策把2026年确立为智能建造从"鼓励试点"转向"强制应用"之年，其中最硬的一条是BIM正向设计成为政府投资项目的硬性要求（P9020）。买方需要意识到：这意味着招标文件、报建流程、验收口径都会陆续把模型交付写进刚性条款，"要不要上BIM"正在变成"以什么口径上BIM"。</w:t>
      </w:r>
    </w:p>
    <w:p>
      <w:r>
        <w:rPr>
          <w:rFonts w:ascii="Calibri" w:hAnsi="Calibri" w:eastAsia="微软雅黑"/>
          <w:b w:val="0"/>
          <w:i w:val="0"/>
          <w:sz w:val="22"/>
        </w:rPr>
        <w:t>纵深方向上，地方政策已经把数字化的服务半径拉长到建设期之外。2026年9月24日，江苏省住建厅官网发布《促进建筑业企业参与"六张网"投资建设运营工作指引》（苏建建管〔2026〕126号），由省住建厅联合省发改委、省交通运输厅、省水利厅、省数据局、人行江苏省分行、江苏证监局等11个部门于9月22日联合印发，把水网、新型电网、算力网、新一代通信网、城市地下管网、物流网"六张网"的投资、建设、运营全链条向建筑业企业打开，并明确投建营一体化、EPC、联合体、专业分包四种参与模式（P9018）。[事实]六张网各自圈定的项目场景包括：水网的防洪排涝、跨流域引调水、灌区现代化改造与南水北调东线二期等重大项目及运维管护增值服务；新型电网的特高压输变电、配电网升级、新型储能与算电协同；算力网对接"东数西算"长三角枢纽，涵盖算力中心、算力园区、边缘算力及液冷安装；新一代通信网的5G-A基站、万兆光网、卫星互联网地面站；城市地下管网的综合管廊、供排水、燃气、供热及数字孪生、智慧运维全周期服务；物流网的物流枢纽、多式联运、冷链基地、港口集疏运体系（P9018）。[事实]资金面的配套数字是：2026年新增专项债已发行3.31万亿（进度75.1%，研报口径）、新型政策性金融工具已投放608.5亿（截至9月23日）、上半年水网建设吸引民间投资同比增速+85.8%（P9018）。[事实]这份文件对造价与数字化岗位的直接含义是："投建营一体化"意味着造价服务半径要从建设期延伸到全生命周期（P9018）——运维期的数据回流，正是BIM模型延展价值的政策出口，也是设计院向全过程工程咨询转型的政策抓手。</w:t>
      </w:r>
    </w:p>
    <w:p>
      <w:r>
        <w:rPr>
          <w:rFonts w:ascii="Calibri" w:hAnsi="Calibri" w:eastAsia="微软雅黑"/>
          <w:b w:val="0"/>
          <w:i w:val="0"/>
          <w:sz w:val="22"/>
        </w:rPr>
        <w:t>项目端的信号同样清晰。以2026年8月开标的中国科学技术大学少年班学院楼项目为例：总建筑面积约59980平方米（地上33620平方米、地下26360平方米），建筑高度55米，合同估算价约40000万元（最高投标限价37299.74万元，含暂列金额1700万元），计划工期1080日历天，质量目标"确保黄山杯，争创鲁班奖"（P9010）。[事实]该项目由中国科学院批复（科发建复字[2026]6号），2026年8月5日发布招标公告、8月27日开标，计划开工2026年9月10日，采用全流程电子化交易与综合评估法评标（P9010）。[事实]其技术方案从项目概况、设计理念、23项施工重难点、深基坑技术、主体结构、大跨度钢结构、三大幕墙系统、BIM深度应用、智慧工地建设等十四个维度展开（P9010）——在4亿级项目的投标竞争叙事里，BIM深度应用与智慧工地已经是绕不开的展示维度（P9010）。[估计]顺带一算，暂列金额1700万元占最高投标限价37299.74万元的比例约为4.6%（own_calc：1700÷37299.74≈4.6%，基于P9010数据）——买方在评估"为BIM多花的前期投入"时，可以拿这个量级做参照：一个4亿级项目的暂列金额池子，足以覆盖一次认真的正向设计试点。</w:t>
      </w:r>
    </w:p>
    <w:p>
      <w:r>
        <w:rPr>
          <w:rFonts w:ascii="Calibri" w:hAnsi="Calibri" w:eastAsia="微软雅黑"/>
          <w:b w:val="0"/>
          <w:i w:val="0"/>
          <w:sz w:val="22"/>
        </w:rPr>
        <w:t>本节的判断归纳为三句。[事实]其一，政策文本已把BIM从行业鼓励项抬升为国务院级战略文件中的规定动作，且明确了覆盖勘察、设计、监理、运维全过程的口径（P9006）；[事实]其二，地方强制政策与费用买单规则的变化，正在拆除"设计院自费建模、业主不认账"的旧障碍（P9006）；[事实]其三，实务层的"翻模惯性"依然普遍，三类点状应用仍是主流（P9020）。[预测]在此基础上推演：2026-2030年，BIM相关支出将从"项目级可选项"转为"企业级基础设施投入"，设计院与总包的投标成本结构会随之重排——先完成标准与平台沉淀的企业，将在强制条款普及后获得交付溢价，而后进者只能按合规成本被动补课。[假设]一个待验证的前提是6省市强制政策的执行口径能否趋同——bank内未见全国统一时间表，若口径分化，跨区域经营企业需要按最严口径一次性补齐标准，这笔账应在年度预算里预留。</w:t>
      </w:r>
    </w:p>
    <w:p>
      <w:pPr>
        <w:pStyle w:val="Heading2"/>
      </w:pPr>
      <w:r>
        <w:t>9.2 收益账本：四个标杆把一体化折算成钱</w:t>
      </w:r>
    </w:p>
    <w:p>
      <w:r>
        <w:rPr>
          <w:rFonts w:ascii="Calibri" w:hAnsi="Calibri" w:eastAsia="微软雅黑"/>
          <w:b w:val="0"/>
          <w:i w:val="0"/>
          <w:sz w:val="22"/>
        </w:rPr>
        <w:t>买方最关心的问题永远是：钱在哪里。本节把四个公开标杆项目的收益机制逐一拆开，再汇总成一张对照账本。需要先声明口径：以下数字均为项目方或获奖方公开自述，未经独立第三方审计（这一限制将在本章盲区节展开）。</w:t>
      </w:r>
    </w:p>
    <w:p>
      <w:r>
        <w:rPr>
          <w:rFonts w:ascii="Calibri" w:hAnsi="Calibri" w:eastAsia="微软雅黑"/>
          <w:b w:val="0"/>
          <w:i w:val="0"/>
          <w:sz w:val="22"/>
        </w:rPr>
        <w:t>第一个标杆，鄂州花湖机场——机场BIM全流程应用的开山之作。该项目是亚洲第一、世界第四的专业货运机场，既是民航局"四新"机场示范项目，也是住建部造价改革试点项目，要求落地基于BIM的全过程工程管理（P9000）。[事实]项目之初业主便锚定民航智能建造标杆定位，并完成顶层设计、明确硬性要求：所有参建单位必须实现全员、全阶段、全专业的BIM深度应用（P9000）。设计方中南建筑设计院（项目主持人为其总工程师章兰）的首要动作不是买软件，而是搭标准：编制完成36万字BIM标准，覆盖3个行业、29个专业，统一建模、编码与交付规则（P9000）。依托这套标准，设计阶段构建起包含2.3万个构件类型、2500万个构件实例的高精度BIM模型（P9000），并在此之上打磨出"大A天域"全过程工程管理平台（P9000）。管理动作随之落地：借助BIM模型，业主实现工程全周期精细化管理，推行按模施工、模型质量验评、模型计量计价的管理模式（P9000）。[事实]项目最终累计节约工期200多天，节省造价3亿元（P9000）；其更大的价值在于完成数字化管理体系从0到1的搭建，验证了BIM计量下全费用综合单价模式，跑通了一套可复用的智能建造基础框架（P9000）。[事实]复用性有实证：章兰团队先后落地扬泰机场、白云机场三期等重大项目，通过三次项目实践持续迭代BIM应用模式，后续项目均以鄂州这套体系作为底层底盘，再结合项目自身定位与需求优化升级（P9000）。这段复用链对买方的含义是：标准与平台的沉没成本可以在项目组合内摊薄——单项目算不过来的账，三个项目就算得过来；一体化投入的回报周期要用企业级项目流来测算，而不是用单个项目的预算表。</w:t>
      </w:r>
    </w:p>
    <w:p>
      <w:r>
        <w:rPr>
          <w:rFonts w:ascii="Calibri" w:hAnsi="Calibri" w:eastAsia="微软雅黑"/>
          <w:b w:val="0"/>
          <w:i w:val="0"/>
          <w:sz w:val="22"/>
        </w:rPr>
        <w:t>36万字的标准意味着什么？[事实]它的覆盖面是3个行业、29个专业的统一建模、编码与交付规则（P9000）。[建议]买方不必复制36万字的体量，但必须复制它的优先级——编码规则先于建模软件，交付规则先于平台选型；没有编码与交付规则，再高精度的模型也无法跨专业、跨阶段对账，最终退化为孤岛（设计BIM、施工BIM、竣工BIM三套数据对不上的教训，P9030）。[估计]一个中型设计院起步版编码与交付标准的工作量，应按"专业×阶段"的矩阵来估算，而不是拍一个软件预算——具体工时数据bank内缺失，此为本章盲区三的延伸。</w:t>
      </w:r>
    </w:p>
    <w:p>
      <w:r>
        <w:rPr>
          <w:rFonts w:ascii="Calibri" w:hAnsi="Calibri" w:eastAsia="微软雅黑"/>
          <w:b w:val="0"/>
          <w:i w:val="0"/>
          <w:sz w:val="22"/>
        </w:rPr>
        <w:t>再算一笔摊销账。[事实]鄂州体系的复用已有两代实证——扬泰机场、白云机场三期均以鄂州体系为底层底盘再优化升级（P9000），"大A天域"平台正是三次项目实践持续迭代的产物（P9000）。[建议]买方由此可以设计自己的摊销结构：把标准编制费与平台开发费视为企业级投资，在项目组合内按"首个项目全担、后续项目摊薄"记账，并给每个后续项目设定复用率指标（复用了多少构件类型、多少编码规则、多少清单模板）；[假设]若三个项目下来无法把首项目的标准化投入摊薄过半，说明所选场景的项目间差异过大，应回到项目组合选择层面重新评估，而不是继续加码平台功能。</w:t>
      </w:r>
    </w:p>
    <w:p>
      <w:r>
        <w:rPr>
          <w:rFonts w:ascii="Calibri" w:hAnsi="Calibri" w:eastAsia="微软雅黑"/>
          <w:b w:val="0"/>
          <w:i w:val="0"/>
          <w:sz w:val="22"/>
        </w:rPr>
        <w:t>第二个标杆，云南大学呈贡校区科研平台——设计施工一体化的"零碰撞"样本。项目规模69000平方米，内含三个国家级重点实验室、六七十个专业功能房间，工艺管线种类是普通建筑的三倍以上（P9005）。[事实]按实施团队（中建西南院自研EasyBIM平台）的复盘，这种复杂度的项目放在传统2D模式下，到施工阶段碰撞"少说几十处"，任何一处返工都是时间和成本的双重代价（P9005）。项目最终让建筑、结构、暖通、给排水、电气、工艺、幕墙、装饰八个专业在协同平台中以链接参照的方式完成三维模型及图纸的协同设计，碰撞在模型里直观暴露、及时解决，施工图交出去的时候，跨专业冲突已经全部归零，全程零返工（P9005）。[事实]机制上，团队把传统设计的三个核心痛点归纳为信息断层、优先级战争、连锁反应（P9005）。信息断层的案例最完整：传统CAD时代八个专业各画各的图纸，建筑改了天窗，结构不知道，封边梁还是按老尺寸画的，洞口直接作废；暖通加了风管，没人检查净高，验收时才发现走廊只有2.1米，过人都困难——这不是谁不负责，是工具本身不支持信息同步，图纸之间没有逻辑关联，全靠人肉记忆和交叉审图，一个专业改了，其他专业只能靠"通知到位"和"自己检查"来跟上（P9005）。[事实]该团队的自我归因很克制："不是设计师更细心，是工具终于跟上了"（P9005）——这句话值得买方记住：一体化的收益来自把协同从"人的自觉"改造成"系统的约束"，人治协同的上限在专业数量与管线密度面前早已被击穿。</w:t>
      </w:r>
    </w:p>
    <w:p>
      <w:r>
        <w:rPr>
          <w:rFonts w:ascii="Calibri" w:hAnsi="Calibri" w:eastAsia="微软雅黑"/>
          <w:b w:val="0"/>
          <w:i w:val="0"/>
          <w:sz w:val="22"/>
        </w:rPr>
        <w:t>第三个标杆，中国联合工程有限公司的轨道交通全过程设计。其全专业BIM数字化协同设计技术搭载全项目岩土、建筑、结构、机电多专业三维一体化建模系统，实现管线、结构碰撞前置消除率98%以上，配套施工仿真模拟、风险智能研判、远程数字化交底集成系统，施工前排查解决全部管线与土建冲突，减少现场设计变更、压缩施工工期、节约建设投资（P9024/P9025）。[事实]同一技术体系还绑定了一组可对账的硬指标：最大基坑深度突破28m，严格控制地表最大沉降≤0.1% H、围护墙水平位移≤0.14% H且不超过30mm，从设计源头规避坍塌、渗漏、地面塌陷等风险（P9024/P9025）。[事实]该方案的服务面也宽：一套技术体系可同步服务城市地铁、市域快线、城市快速路、综合管廊、输水涵洞等多元地下基础设施，适配平原软土、丘陵岩层、高架合建等场地条件（P9024）。买方可以从这组数字里读出一条规律：数字化收益的凭证不是"我们用了BIM"，而是可与规范限值对账的前置消除率与变形控制值——前者指向变更管理，后者指向风险底线，两个口径都可以直接写进设计任务书。</w:t>
      </w:r>
    </w:p>
    <w:p>
      <w:r>
        <w:rPr>
          <w:rFonts w:ascii="Calibri" w:hAnsi="Calibri" w:eastAsia="微软雅黑"/>
          <w:b w:val="0"/>
          <w:i w:val="0"/>
          <w:sz w:val="22"/>
        </w:rPr>
        <w:t>第四组标杆，来自两个获奖集群。中信建筑设计研究总院在由中国图学学会主办的第十五届"龙图杯"全国BIM大赛中，从全国1600余项顶尖成果里斩获二等奖2项、三等奖3项、优秀奖1项（P9026）。[事实]该院为世界500强中信集团旗下骨干科技企业，连续十余年入选ENR中国工程设计企业60强（P9026）。其中三个获奖项目各有代表性：武汉光谷南大健康产业园"江夏之星"（建筑面积16.35万平方米，设计组二等奖）坚持BIM正向设计，利用可视化、参数化与模拟仿真技术支撑建设，针对弧形造型与复杂空间等难点联动现场实施三维放样，借助智能放样机器人完成空间定位，将钢结构安装精度控制在5mm以内，实现质量验收一次通过率100%，并基于BIM模型统筹钢结构、机电、幕墙、消防等多专业施工节点，打通设计、加工、安装一体化链条（P9026）；恩施土司城提档升级一期（建筑面积9188.2平方米，设计组二等奖）创新搭建"传统知识库+BIM构件库+古建筑AI大模型"技术体系，面对土家木构形制精巧、场地条件复杂等挑战建立参数化BIM构件库，系统梳理土家营造技艺（P9026）；中国石油深圳新能源研究院研发中心（一期）（建筑面积10万平方米，综合组三等奖）对标三星级绿色建筑及近零碳建筑标准，开展BIM全生命周期融合实践，搭建标准化正向设计协同体系，融合AI大模型、数字孪生及智慧工地系统，实现"一模多用、图模一致"（P9026）。另一集群是中建三局三公司：在中国建筑业协会、中国勘察设计协会等多家国家级协会评选的BIM大赛中累计荣获特等奖1项、一等奖6项、二等奖8项、三等奖7项、优秀奖1项（P9029）。[估计]合计23项（own_calc：1+6+8+7+1=23，基于P9029数据）。其代表项目里：杭州余杭国际体育中心（体育馆及游泳跳水馆）构建"1+2+3+N"智能建造体系，以1套BIM模型为核心、依托互联网+物联网2张网，贯穿数字设计、智能生产、智能施工等阶段，实时跟踪周进展与月进展，覆盖深化设计、土建施工、钢结构、机电安装、幕墙、装饰装修及智慧工地应用，实现全生命周期数据贯通与动态协同管理（P9029）；深圳市罗湖区妇幼保健院改扩建工程以全专业BIM总承包智慧管理为核心，推行"总包主导、协同建设方、统筹分包"模式，聚焦医疗建筑"改旧建新"重难点，深度开展全专业协同深化设计、机电管综优化、幕墙与精装参数化建模、腾挪布置可视化及智慧施工模拟，累计完成168项BIM优化、累计开展BIM培训16次（P9029）；厦门翔安国际机场航站区施工二标段构建BIM策划、BIM实施、跟踪反馈的全流程，做到"无模型，不施工"（P9029）；厦门翔安国际机场货运区项目搭建BIM5D集成管理平台，将进度、成本、质量等业务数据融合成"一张图"，实现多部门协调联动与无纸化协同，应用Dynamo桩基预测模型基于地勘数据预测持力层及桩长并进行动态修正，引入5G塔机远程集控技术实现人机协同，吊装效率提高15%（P9029）；此外还有面向复杂续建场景的宜昌艾美酒店项目以逆向建模获中信协BIM大赛一等奖（P9029）。</w:t>
      </w:r>
    </w:p>
    <w:p>
      <w:r>
        <w:rPr>
          <w:rFonts w:ascii="Calibri" w:hAnsi="Calibri" w:eastAsia="微软雅黑"/>
          <w:b w:val="0"/>
          <w:i w:val="0"/>
          <w:sz w:val="22"/>
        </w:rPr>
        <w:t>把四个标杆的账本并排放在一起，买方可以看到收益的三种形态（本归纳为本章框架，证据均出自上述源）：</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项目</w:t>
            </w:r>
          </w:p>
        </w:tc>
        <w:tc>
          <w:tcPr>
            <w:tcW w:type="dxa" w:w="1660"/>
            <w:shd w:fill="1F3A5F"/>
          </w:tcPr>
          <w:p>
            <w:r>
              <w:rPr>
                <w:color w:val="FFFFFF"/>
              </w:rPr>
            </w:r>
            <w:r>
              <w:rPr>
                <w:rFonts w:ascii="Calibri" w:hAnsi="Calibri" w:eastAsia="微软雅黑"/>
                <w:b/>
                <w:i w:val="0"/>
                <w:color w:val="FFFFFF"/>
                <w:sz w:val="18"/>
              </w:rPr>
              <w:t>规模</w:t>
            </w:r>
          </w:p>
        </w:tc>
        <w:tc>
          <w:tcPr>
            <w:tcW w:type="dxa" w:w="1660"/>
            <w:shd w:fill="1F3A5F"/>
          </w:tcPr>
          <w:p>
            <w:r>
              <w:rPr>
                <w:color w:val="FFFFFF"/>
              </w:rPr>
            </w:r>
            <w:r>
              <w:rPr>
                <w:rFonts w:ascii="Calibri" w:hAnsi="Calibri" w:eastAsia="微软雅黑"/>
                <w:b/>
                <w:i w:val="0"/>
                <w:color w:val="FFFFFF"/>
                <w:sz w:val="18"/>
              </w:rPr>
              <w:t>数字化机制</w:t>
            </w:r>
          </w:p>
        </w:tc>
        <w:tc>
          <w:tcPr>
            <w:tcW w:type="dxa" w:w="1660"/>
            <w:shd w:fill="1F3A5F"/>
          </w:tcPr>
          <w:p>
            <w:r>
              <w:rPr>
                <w:color w:val="FFFFFF"/>
              </w:rPr>
            </w:r>
            <w:r>
              <w:rPr>
                <w:rFonts w:ascii="Calibri" w:hAnsi="Calibri" w:eastAsia="微软雅黑"/>
                <w:b/>
                <w:i w:val="0"/>
                <w:color w:val="FFFFFF"/>
                <w:sz w:val="18"/>
              </w:rPr>
              <w:t>可验证收益（自述口径）</w:t>
            </w:r>
          </w:p>
        </w:tc>
        <w:tc>
          <w:tcPr>
            <w:tcW w:type="dxa" w:w="1660"/>
            <w:shd w:fill="1F3A5F"/>
          </w:tcPr>
          <w:p>
            <w:r>
              <w:rPr>
                <w:color w:val="FFFFFF"/>
              </w:rPr>
            </w:r>
            <w:r>
              <w:rPr>
                <w:rFonts w:ascii="Calibri" w:hAnsi="Calibri" w:eastAsia="微软雅黑"/>
                <w:b/>
                <w:i w:val="0"/>
                <w:color w:val="FFFFFF"/>
                <w:sz w:val="18"/>
              </w:rPr>
              <w:t>证据锚</w:t>
            </w:r>
          </w:p>
        </w:tc>
      </w:tr>
      <w:tr>
        <w:tc>
          <w:tcPr>
            <w:tcW w:type="dxa" w:w="1660"/>
          </w:tcPr>
          <w:p>
            <w:r/>
            <w:r>
              <w:rPr>
                <w:rFonts w:ascii="Calibri" w:hAnsi="Calibri" w:eastAsia="微软雅黑"/>
                <w:b w:val="0"/>
                <w:i w:val="0"/>
                <w:sz w:val="18"/>
              </w:rPr>
              <w:t>鄂州花湖机场</w:t>
            </w:r>
          </w:p>
        </w:tc>
        <w:tc>
          <w:tcPr>
            <w:tcW w:type="dxa" w:w="1660"/>
          </w:tcPr>
          <w:p>
            <w:r/>
            <w:r>
              <w:rPr>
                <w:rFonts w:ascii="Calibri" w:hAnsi="Calibri" w:eastAsia="微软雅黑"/>
                <w:b w:val="0"/>
                <w:i w:val="0"/>
                <w:sz w:val="18"/>
              </w:rPr>
              <w:t>亚洲第一、世界第四专业货运机场</w:t>
            </w:r>
          </w:p>
        </w:tc>
        <w:tc>
          <w:tcPr>
            <w:tcW w:type="dxa" w:w="1660"/>
          </w:tcPr>
          <w:p>
            <w:r/>
            <w:r>
              <w:rPr>
                <w:rFonts w:ascii="Calibri" w:hAnsi="Calibri" w:eastAsia="微软雅黑"/>
                <w:b w:val="0"/>
                <w:i w:val="0"/>
                <w:sz w:val="18"/>
              </w:rPr>
              <w:t>36万字BIM标准覆盖3行业29专业；2.3万构件类型、2500万构件实例；按模施工、模型计量计价；"大A天域"平台</w:t>
            </w:r>
          </w:p>
        </w:tc>
        <w:tc>
          <w:tcPr>
            <w:tcW w:type="dxa" w:w="1660"/>
          </w:tcPr>
          <w:p>
            <w:r/>
            <w:r>
              <w:rPr>
                <w:rFonts w:ascii="Calibri" w:hAnsi="Calibri" w:eastAsia="微软雅黑"/>
                <w:b w:val="0"/>
                <w:i w:val="0"/>
                <w:sz w:val="18"/>
              </w:rPr>
              <w:t>节约工期200多天；节省造价3亿元；验证全费用综合单价模式</w:t>
            </w:r>
          </w:p>
        </w:tc>
        <w:tc>
          <w:tcPr>
            <w:tcW w:type="dxa" w:w="1660"/>
          </w:tcPr>
          <w:p>
            <w:r/>
            <w:r>
              <w:rPr>
                <w:rFonts w:ascii="Calibri" w:hAnsi="Calibri" w:eastAsia="微软雅黑"/>
                <w:b w:val="0"/>
                <w:i w:val="0"/>
                <w:sz w:val="18"/>
              </w:rPr>
              <w:t>P9000</w:t>
            </w:r>
          </w:p>
        </w:tc>
      </w:tr>
      <w:tr>
        <w:tc>
          <w:tcPr>
            <w:tcW w:type="dxa" w:w="1660"/>
          </w:tcPr>
          <w:p>
            <w:r/>
            <w:r>
              <w:rPr>
                <w:rFonts w:ascii="Calibri" w:hAnsi="Calibri" w:eastAsia="微软雅黑"/>
                <w:b w:val="0"/>
                <w:i w:val="0"/>
                <w:sz w:val="18"/>
              </w:rPr>
              <w:t>云南大学呈贡校区科研平台</w:t>
            </w:r>
          </w:p>
        </w:tc>
        <w:tc>
          <w:tcPr>
            <w:tcW w:type="dxa" w:w="1660"/>
          </w:tcPr>
          <w:p>
            <w:r/>
            <w:r>
              <w:rPr>
                <w:rFonts w:ascii="Calibri" w:hAnsi="Calibri" w:eastAsia="微软雅黑"/>
                <w:b w:val="0"/>
                <w:i w:val="0"/>
                <w:sz w:val="18"/>
              </w:rPr>
              <w:t>69000㎡，八个专业，工艺管线种类为普通建筑三倍以上</w:t>
            </w:r>
          </w:p>
        </w:tc>
        <w:tc>
          <w:tcPr>
            <w:tcW w:type="dxa" w:w="1660"/>
          </w:tcPr>
          <w:p>
            <w:r/>
            <w:r>
              <w:rPr>
                <w:rFonts w:ascii="Calibri" w:hAnsi="Calibri" w:eastAsia="微软雅黑"/>
                <w:b w:val="0"/>
                <w:i w:val="0"/>
                <w:sz w:val="18"/>
              </w:rPr>
              <w:t>八专业链接参照协同设计，碰撞在模型内暴露解决</w:t>
            </w:r>
          </w:p>
        </w:tc>
        <w:tc>
          <w:tcPr>
            <w:tcW w:type="dxa" w:w="1660"/>
          </w:tcPr>
          <w:p>
            <w:r/>
            <w:r>
              <w:rPr>
                <w:rFonts w:ascii="Calibri" w:hAnsi="Calibri" w:eastAsia="微软雅黑"/>
                <w:b w:val="0"/>
                <w:i w:val="0"/>
                <w:sz w:val="18"/>
              </w:rPr>
              <w:t>跨专业冲突归零、全程零返工（传统2D模式碰撞"少说几十处"）</w:t>
            </w:r>
          </w:p>
        </w:tc>
        <w:tc>
          <w:tcPr>
            <w:tcW w:type="dxa" w:w="1660"/>
          </w:tcPr>
          <w:p>
            <w:r/>
            <w:r>
              <w:rPr>
                <w:rFonts w:ascii="Calibri" w:hAnsi="Calibri" w:eastAsia="微软雅黑"/>
                <w:b w:val="0"/>
                <w:i w:val="0"/>
                <w:sz w:val="18"/>
              </w:rPr>
              <w:t>P9005</w:t>
            </w:r>
          </w:p>
        </w:tc>
      </w:tr>
      <w:tr>
        <w:tc>
          <w:tcPr>
            <w:tcW w:type="dxa" w:w="1660"/>
          </w:tcPr>
          <w:p>
            <w:r/>
            <w:r>
              <w:rPr>
                <w:rFonts w:ascii="Calibri" w:hAnsi="Calibri" w:eastAsia="微软雅黑"/>
                <w:b w:val="0"/>
                <w:i w:val="0"/>
                <w:sz w:val="18"/>
              </w:rPr>
              <w:t>中国联合轨道交通项目</w:t>
            </w:r>
          </w:p>
        </w:tc>
        <w:tc>
          <w:tcPr>
            <w:tcW w:type="dxa" w:w="1660"/>
          </w:tcPr>
          <w:p>
            <w:r/>
            <w:r>
              <w:rPr>
                <w:rFonts w:ascii="Calibri" w:hAnsi="Calibri" w:eastAsia="微软雅黑"/>
                <w:b w:val="0"/>
                <w:i w:val="0"/>
                <w:sz w:val="18"/>
              </w:rPr>
              <w:t>超深基坑最大深度突破28m</w:t>
            </w:r>
          </w:p>
        </w:tc>
        <w:tc>
          <w:tcPr>
            <w:tcW w:type="dxa" w:w="1660"/>
          </w:tcPr>
          <w:p>
            <w:r/>
            <w:r>
              <w:rPr>
                <w:rFonts w:ascii="Calibri" w:hAnsi="Calibri" w:eastAsia="微软雅黑"/>
                <w:b w:val="0"/>
                <w:i w:val="0"/>
                <w:sz w:val="18"/>
              </w:rPr>
              <w:t>多专业三维一体化建模+施工仿真+远程数字化交底</w:t>
            </w:r>
          </w:p>
        </w:tc>
        <w:tc>
          <w:tcPr>
            <w:tcW w:type="dxa" w:w="1660"/>
          </w:tcPr>
          <w:p>
            <w:r/>
            <w:r>
              <w:rPr>
                <w:rFonts w:ascii="Calibri" w:hAnsi="Calibri" w:eastAsia="微软雅黑"/>
                <w:b w:val="0"/>
                <w:i w:val="0"/>
                <w:sz w:val="18"/>
              </w:rPr>
              <w:t>管线结构碰撞前置消除率98%以上；地表最大沉降≤0.1% H、围护墙水平位移≤0.14% H且不超过30mm</w:t>
            </w:r>
          </w:p>
        </w:tc>
        <w:tc>
          <w:tcPr>
            <w:tcW w:type="dxa" w:w="1660"/>
          </w:tcPr>
          <w:p>
            <w:r/>
            <w:r>
              <w:rPr>
                <w:rFonts w:ascii="Calibri" w:hAnsi="Calibri" w:eastAsia="微软雅黑"/>
                <w:b w:val="0"/>
                <w:i w:val="0"/>
                <w:sz w:val="18"/>
              </w:rPr>
              <w:t>P9024/P9025</w:t>
            </w:r>
          </w:p>
        </w:tc>
      </w:tr>
      <w:tr>
        <w:tc>
          <w:tcPr>
            <w:tcW w:type="dxa" w:w="1660"/>
          </w:tcPr>
          <w:p>
            <w:r/>
            <w:r>
              <w:rPr>
                <w:rFonts w:ascii="Calibri" w:hAnsi="Calibri" w:eastAsia="微软雅黑"/>
                <w:b w:val="0"/>
                <w:i w:val="0"/>
                <w:sz w:val="18"/>
              </w:rPr>
              <w:t>中信"江夏之星"</w:t>
            </w:r>
          </w:p>
        </w:tc>
        <w:tc>
          <w:tcPr>
            <w:tcW w:type="dxa" w:w="1660"/>
          </w:tcPr>
          <w:p>
            <w:r/>
            <w:r>
              <w:rPr>
                <w:rFonts w:ascii="Calibri" w:hAnsi="Calibri" w:eastAsia="微软雅黑"/>
                <w:b w:val="0"/>
                <w:i w:val="0"/>
                <w:sz w:val="18"/>
              </w:rPr>
              <w:t>16.35万平方米</w:t>
            </w:r>
          </w:p>
        </w:tc>
        <w:tc>
          <w:tcPr>
            <w:tcW w:type="dxa" w:w="1660"/>
          </w:tcPr>
          <w:p>
            <w:r/>
            <w:r>
              <w:rPr>
                <w:rFonts w:ascii="Calibri" w:hAnsi="Calibri" w:eastAsia="微软雅黑"/>
                <w:b w:val="0"/>
                <w:i w:val="0"/>
                <w:sz w:val="18"/>
              </w:rPr>
              <w:t>BIM正向设计+智能放样机器人</w:t>
            </w:r>
          </w:p>
        </w:tc>
        <w:tc>
          <w:tcPr>
            <w:tcW w:type="dxa" w:w="1660"/>
          </w:tcPr>
          <w:p>
            <w:r/>
            <w:r>
              <w:rPr>
                <w:rFonts w:ascii="Calibri" w:hAnsi="Calibri" w:eastAsia="微软雅黑"/>
                <w:b w:val="0"/>
                <w:i w:val="0"/>
                <w:sz w:val="18"/>
              </w:rPr>
              <w:t>钢结构安装精度5mm以内；质量验收一次通过率100%</w:t>
            </w:r>
          </w:p>
        </w:tc>
        <w:tc>
          <w:tcPr>
            <w:tcW w:type="dxa" w:w="1660"/>
          </w:tcPr>
          <w:p>
            <w:r/>
            <w:r>
              <w:rPr>
                <w:rFonts w:ascii="Calibri" w:hAnsi="Calibri" w:eastAsia="微软雅黑"/>
                <w:b w:val="0"/>
                <w:i w:val="0"/>
                <w:sz w:val="18"/>
              </w:rPr>
              <w:t>P9026</w:t>
            </w:r>
          </w:p>
        </w:tc>
      </w:tr>
      <w:tr>
        <w:tc>
          <w:tcPr>
            <w:tcW w:type="dxa" w:w="1660"/>
          </w:tcPr>
          <w:p>
            <w:r/>
            <w:r>
              <w:rPr>
                <w:rFonts w:ascii="Calibri" w:hAnsi="Calibri" w:eastAsia="微软雅黑"/>
                <w:b w:val="0"/>
                <w:i w:val="0"/>
                <w:sz w:val="18"/>
              </w:rPr>
              <w:t>中建三局罗湖妇幼改扩建</w:t>
            </w:r>
          </w:p>
        </w:tc>
        <w:tc>
          <w:tcPr>
            <w:tcW w:type="dxa" w:w="1660"/>
          </w:tcPr>
          <w:p>
            <w:r/>
            <w:r>
              <w:rPr>
                <w:rFonts w:ascii="Calibri" w:hAnsi="Calibri" w:eastAsia="微软雅黑"/>
                <w:b w:val="0"/>
                <w:i w:val="0"/>
                <w:sz w:val="18"/>
              </w:rPr>
              <w:t>改扩建医疗建筑</w:t>
            </w:r>
          </w:p>
        </w:tc>
        <w:tc>
          <w:tcPr>
            <w:tcW w:type="dxa" w:w="1660"/>
          </w:tcPr>
          <w:p>
            <w:r/>
            <w:r>
              <w:rPr>
                <w:rFonts w:ascii="Calibri" w:hAnsi="Calibri" w:eastAsia="微软雅黑"/>
                <w:b w:val="0"/>
                <w:i w:val="0"/>
                <w:sz w:val="18"/>
              </w:rPr>
              <w:t>全专业BIM总承包智慧管理，总包主导</w:t>
            </w:r>
          </w:p>
        </w:tc>
        <w:tc>
          <w:tcPr>
            <w:tcW w:type="dxa" w:w="1660"/>
          </w:tcPr>
          <w:p>
            <w:r/>
            <w:r>
              <w:rPr>
                <w:rFonts w:ascii="Calibri" w:hAnsi="Calibri" w:eastAsia="微软雅黑"/>
                <w:b w:val="0"/>
                <w:i w:val="0"/>
                <w:sz w:val="18"/>
              </w:rPr>
              <w:t>累计168项BIM优化、16次BIM培训</w:t>
            </w:r>
          </w:p>
        </w:tc>
        <w:tc>
          <w:tcPr>
            <w:tcW w:type="dxa" w:w="1660"/>
          </w:tcPr>
          <w:p>
            <w:r/>
            <w:r>
              <w:rPr>
                <w:rFonts w:ascii="Calibri" w:hAnsi="Calibri" w:eastAsia="微软雅黑"/>
                <w:b w:val="0"/>
                <w:i w:val="0"/>
                <w:sz w:val="18"/>
              </w:rPr>
              <w:t>P9029</w:t>
            </w:r>
          </w:p>
        </w:tc>
      </w:tr>
      <w:tr>
        <w:tc>
          <w:tcPr>
            <w:tcW w:type="dxa" w:w="1660"/>
          </w:tcPr>
          <w:p>
            <w:r/>
            <w:r>
              <w:rPr>
                <w:rFonts w:ascii="Calibri" w:hAnsi="Calibri" w:eastAsia="微软雅黑"/>
                <w:b w:val="0"/>
                <w:i w:val="0"/>
                <w:sz w:val="18"/>
              </w:rPr>
              <w:t>中建三局厦门翔安机场货运区</w:t>
            </w:r>
          </w:p>
        </w:tc>
        <w:tc>
          <w:tcPr>
            <w:tcW w:type="dxa" w:w="1660"/>
          </w:tcPr>
          <w:p>
            <w:r/>
            <w:r>
              <w:rPr>
                <w:rFonts w:ascii="Calibri" w:hAnsi="Calibri" w:eastAsia="微软雅黑"/>
                <w:b w:val="0"/>
                <w:i w:val="0"/>
                <w:sz w:val="18"/>
              </w:rPr>
              <w:t>机场货运区</w:t>
            </w:r>
          </w:p>
        </w:tc>
        <w:tc>
          <w:tcPr>
            <w:tcW w:type="dxa" w:w="1660"/>
          </w:tcPr>
          <w:p>
            <w:r/>
            <w:r>
              <w:rPr>
                <w:rFonts w:ascii="Calibri" w:hAnsi="Calibri" w:eastAsia="微软雅黑"/>
                <w:b w:val="0"/>
                <w:i w:val="0"/>
                <w:sz w:val="18"/>
              </w:rPr>
              <w:t>BIM5D平台"一张图"+Dynamo桩基预测+5G塔机远控</w:t>
            </w:r>
          </w:p>
        </w:tc>
        <w:tc>
          <w:tcPr>
            <w:tcW w:type="dxa" w:w="1660"/>
          </w:tcPr>
          <w:p>
            <w:r/>
            <w:r>
              <w:rPr>
                <w:rFonts w:ascii="Calibri" w:hAnsi="Calibri" w:eastAsia="微软雅黑"/>
                <w:b w:val="0"/>
                <w:i w:val="0"/>
                <w:sz w:val="18"/>
              </w:rPr>
              <w:t>吊装效率提高15%</w:t>
            </w:r>
          </w:p>
        </w:tc>
        <w:tc>
          <w:tcPr>
            <w:tcW w:type="dxa" w:w="1660"/>
          </w:tcPr>
          <w:p>
            <w:r/>
            <w:r>
              <w:rPr>
                <w:rFonts w:ascii="Calibri" w:hAnsi="Calibri" w:eastAsia="微软雅黑"/>
                <w:b w:val="0"/>
                <w:i w:val="0"/>
                <w:sz w:val="18"/>
              </w:rPr>
              <w:t>P9029</w:t>
            </w:r>
          </w:p>
        </w:tc>
      </w:tr>
    </w:tbl>
    <w:p>
      <w:r>
        <w:rPr>
          <w:rFonts w:ascii="Calibri" w:hAnsi="Calibri" w:eastAsia="微软雅黑"/>
          <w:b w:val="0"/>
          <w:i w:val="0"/>
          <w:sz w:val="22"/>
        </w:rPr>
        <w:t>三种收益形态分别是：其一，变更与冲突的前置消除（98%消除率、零返工、零碰撞）（P9024/P9025/P9005）；其二，工期与造价的硬节约（200多天、3亿元）（P9000）；其三，可对账的过程凭证（模型计量计价、一次通过率100%、5mm精度、15%吊装效率）（P9000/P9026/P9029）。[建议]买方决策时按这个三分法向供应商索证，并给每类收益配一个验收动作：前置消除类要碰撞检查报告与消除前后的模型对照，硬节约类要对比基准与计量口径，过程凭证类要与第三方验收记录能对上号；对方若只能出具"汇报动画"类材料，收益主张就应打折。[事实]同样要如实记录：上述收益数字全部来自项目方自述或获奖材料，独立审计口径在bank内缺失——这不否定标杆价值，但意味着外推到自家项目时应保留折扣系数，并把"收益口径与基准"作为合同谈判的必答题。</w:t>
      </w:r>
    </w:p>
    <w:p>
      <w:r>
        <w:rPr>
          <w:rFonts w:ascii="Calibri" w:hAnsi="Calibri" w:eastAsia="微软雅黑"/>
          <w:b w:val="0"/>
          <w:i w:val="0"/>
          <w:sz w:val="22"/>
        </w:rPr>
        <w:t>面对任何一家前来汇报BIM收益的供应商或内部部门，买方只需要连续问三个问题，就能把"展示型投入"与"收益型投入"分开：第一问，模型是正向设计生成还是施工图翻模——先画图、后建模即为翻模，模型只是图纸的"三维复印件"，没有数据价值（P9020）；第二问，变更发生后，模型、图纸、签证、清单四处数据多久同步一次，有没有单一入口（P9017/P9027）；第三问，最近一次结算或审计中，模型数据有没有被实际采信——结算按图算、按定额算、模型不算数，则收益未落地（P9030）。[建议]三问之中有任何一问答不上来，就应把该笔投入先记为品牌费用而非降本费用——这不是否定，是会计上的诚实。</w:t>
      </w:r>
    </w:p>
    <w:p>
      <w:pPr>
        <w:pStyle w:val="Heading2"/>
      </w:pPr>
      <w:r>
        <w:t>9.3 判据升级：从"有没有模型"到"单一数据源"</w:t>
      </w:r>
    </w:p>
    <w:p>
      <w:r>
        <w:rPr>
          <w:rFonts w:ascii="Calibri" w:hAnsi="Calibri" w:eastAsia="微软雅黑"/>
          <w:b w:val="0"/>
          <w:i w:val="0"/>
          <w:sz w:val="22"/>
        </w:rPr>
        <w:t>平台采购中最贵的错误，不是买贵了软件，而是把"翻模成果"当成了"一体化基座"。本节给出可操作的判据。</w:t>
      </w:r>
    </w:p>
    <w:p>
      <w:r>
        <w:rPr>
          <w:rFonts w:ascii="Calibri" w:hAnsi="Calibri" w:eastAsia="微软雅黑"/>
          <w:b w:val="0"/>
          <w:i w:val="0"/>
          <w:sz w:val="22"/>
        </w:rPr>
        <w:t>先看结构性诊断。全国工程勘察设计大师、中南建筑设计院首席专家、中达数字技术有限公司首席科学家李霆在2026年8月的勘察设计数字化实践与设计造价一体化交流会材料中给出判断：设计造价一体化是建筑行业数字化转型核心方向，行业长期存在设计、造价在制度、流程、技术层面割裂的结构性难题，根源在于产品定制、流程混杂、信息孤岛、计量计价分离四类差异；单纯优化计价工具难以根治问题，需依托建筑工业化与系统思维，让设计、建造、造价共用统一数字数据体系（P9001/P9003）。[事实]这四类差异正是"两张皮"在数据层的表现：产品定制让每个项目都在造"新品"，历史数据无法复用；流程混杂让数据在生产线上错序产生；信息孤岛让该相遇的数据无法相遇；计量计价分离让设计模型与造价模型各说各话。买方可以把这四类差异当作自查清单——自家项目上 "两张皮"的每一次发作，几乎都能对号入座。</w:t>
      </w:r>
    </w:p>
    <w:p>
      <w:r>
        <w:rPr>
          <w:rFonts w:ascii="Calibri" w:hAnsi="Calibri" w:eastAsia="微软雅黑"/>
          <w:b w:val="0"/>
          <w:i w:val="0"/>
          <w:sz w:val="22"/>
        </w:rPr>
        <w:t>解决方案的技术内核是"数字主线"。[事实]数字主线串联项目全生命周期数据，凭借"唯一身份标识、全周期关联、双向追溯、变更同步、数据持续连贯"五大能力，支撑造价前置落地（P9001）。这五大能力逐条翻译成管理语言就是：每个构件一出生就有身份证，它的设计、采购、施工、结算记录全部挂在这张身份证下（即身份标识能力）；从立项到运维的数据链条不断档（全周期关联）；任何一个数字都能往前追来源、往后追用途（双向追溯）；改一处、处处同步，不留两套账（变更同步）；数据只录一次、终身可用，不因阶段交接而推倒重来（数据持续连贯）（P9001，能力名称为源内原文，展开为本章释义）。[事实]这套能力指向的管理效果是"造价前置"——概算控制在设计阶段完成，而不是结算阶段补课。</w:t>
      </w:r>
    </w:p>
    <w:p>
      <w:r>
        <w:rPr>
          <w:rFonts w:ascii="Calibri" w:hAnsi="Calibri" w:eastAsia="微软雅黑"/>
          <w:b w:val="0"/>
          <w:i w:val="0"/>
          <w:sz w:val="22"/>
        </w:rPr>
        <w:t>落地的载体叫"一模到底"。[事实]一模到底是数字主线的落地载体，与全过程BIM应用有本质区分，核心判定标准是单一数据源；二者组合形成一体化数字基座，即"一模到底=BIM容器+数字主线"（P9001）。[事实]项目落地成效可通过三点检验：统一ID贯穿全周期、一处修改全域同步、一次录入全程复用（P9001）。这三点检验就是本章建议买方写进采购文件与验收条款的判据——它把"有没有模型"这一表面问题，替换成"模型是不是单一事实来源"这一实质问题。结合前文实务观察，可以列一张真伪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对照维度</w:t>
            </w:r>
          </w:p>
        </w:tc>
        <w:tc>
          <w:tcPr>
            <w:tcW w:type="dxa" w:w="2075"/>
            <w:shd w:fill="1F3A5F"/>
          </w:tcPr>
          <w:p>
            <w:r>
              <w:rPr>
                <w:color w:val="FFFFFF"/>
              </w:rPr>
            </w:r>
            <w:r>
              <w:rPr>
                <w:rFonts w:ascii="Calibri" w:hAnsi="Calibri" w:eastAsia="微软雅黑"/>
                <w:b/>
                <w:i w:val="0"/>
                <w:color w:val="FFFFFF"/>
                <w:sz w:val="18"/>
              </w:rPr>
              <w:t>展示型BIM（翻模形态）</w:t>
            </w:r>
          </w:p>
        </w:tc>
        <w:tc>
          <w:tcPr>
            <w:tcW w:type="dxa" w:w="2075"/>
            <w:shd w:fill="1F3A5F"/>
          </w:tcPr>
          <w:p>
            <w:r>
              <w:rPr>
                <w:color w:val="FFFFFF"/>
              </w:rPr>
            </w:r>
            <w:r>
              <w:rPr>
                <w:rFonts w:ascii="Calibri" w:hAnsi="Calibri" w:eastAsia="微软雅黑"/>
                <w:b/>
                <w:i w:val="0"/>
                <w:color w:val="FFFFFF"/>
                <w:sz w:val="18"/>
              </w:rPr>
              <w:t>一体化基座（一模到底形态）</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生成顺序</w:t>
            </w:r>
          </w:p>
        </w:tc>
        <w:tc>
          <w:tcPr>
            <w:tcW w:type="dxa" w:w="2075"/>
          </w:tcPr>
          <w:p>
            <w:r/>
            <w:r>
              <w:rPr>
                <w:rFonts w:ascii="Calibri" w:hAnsi="Calibri" w:eastAsia="微软雅黑"/>
                <w:b w:val="0"/>
                <w:i w:val="0"/>
                <w:sz w:val="18"/>
              </w:rPr>
              <w:t>先画图、后建模，模型是图纸的"三维复印件"</w:t>
            </w:r>
          </w:p>
        </w:tc>
        <w:tc>
          <w:tcPr>
            <w:tcW w:type="dxa" w:w="2075"/>
          </w:tcPr>
          <w:p>
            <w:r/>
            <w:r>
              <w:rPr>
                <w:rFonts w:ascii="Calibri" w:hAnsi="Calibri" w:eastAsia="微软雅黑"/>
                <w:b w:val="0"/>
                <w:i w:val="0"/>
                <w:sz w:val="18"/>
              </w:rPr>
              <w:t>先建模、后出图，图纸是模型的投影</w:t>
            </w:r>
          </w:p>
        </w:tc>
        <w:tc>
          <w:tcPr>
            <w:tcW w:type="dxa" w:w="2075"/>
          </w:tcPr>
          <w:p>
            <w:r/>
            <w:r>
              <w:rPr>
                <w:rFonts w:ascii="Calibri" w:hAnsi="Calibri" w:eastAsia="微软雅黑"/>
                <w:b w:val="0"/>
                <w:i w:val="0"/>
                <w:sz w:val="18"/>
              </w:rPr>
              <w:t>P9020</w:t>
            </w:r>
          </w:p>
        </w:tc>
      </w:tr>
      <w:tr>
        <w:tc>
          <w:tcPr>
            <w:tcW w:type="dxa" w:w="2075"/>
          </w:tcPr>
          <w:p>
            <w:r/>
            <w:r>
              <w:rPr>
                <w:rFonts w:ascii="Calibri" w:hAnsi="Calibri" w:eastAsia="微软雅黑"/>
                <w:b w:val="0"/>
                <w:i w:val="0"/>
                <w:sz w:val="18"/>
              </w:rPr>
              <w:t>数据源</w:t>
            </w:r>
          </w:p>
        </w:tc>
        <w:tc>
          <w:tcPr>
            <w:tcW w:type="dxa" w:w="2075"/>
          </w:tcPr>
          <w:p>
            <w:r/>
            <w:r>
              <w:rPr>
                <w:rFonts w:ascii="Calibri" w:hAnsi="Calibri" w:eastAsia="微软雅黑"/>
                <w:b w:val="0"/>
                <w:i w:val="0"/>
                <w:sz w:val="18"/>
              </w:rPr>
              <w:t>设计一套、造价再翻一套，两套模型对不上</w:t>
            </w:r>
          </w:p>
        </w:tc>
        <w:tc>
          <w:tcPr>
            <w:tcW w:type="dxa" w:w="2075"/>
          </w:tcPr>
          <w:p>
            <w:r/>
            <w:r>
              <w:rPr>
                <w:rFonts w:ascii="Calibri" w:hAnsi="Calibri" w:eastAsia="微软雅黑"/>
                <w:b w:val="0"/>
                <w:i w:val="0"/>
                <w:sz w:val="18"/>
              </w:rPr>
              <w:t>单一数据源，设计、建造、造价共用统一数字数据体系</w:t>
            </w:r>
          </w:p>
        </w:tc>
        <w:tc>
          <w:tcPr>
            <w:tcW w:type="dxa" w:w="2075"/>
          </w:tcPr>
          <w:p>
            <w:r/>
            <w:r>
              <w:rPr>
                <w:rFonts w:ascii="Calibri" w:hAnsi="Calibri" w:eastAsia="微软雅黑"/>
                <w:b w:val="0"/>
                <w:i w:val="0"/>
                <w:sz w:val="18"/>
              </w:rPr>
              <w:t>P9020/P9001</w:t>
            </w:r>
          </w:p>
        </w:tc>
      </w:tr>
      <w:tr>
        <w:tc>
          <w:tcPr>
            <w:tcW w:type="dxa" w:w="2075"/>
          </w:tcPr>
          <w:p>
            <w:r/>
            <w:r>
              <w:rPr>
                <w:rFonts w:ascii="Calibri" w:hAnsi="Calibri" w:eastAsia="微软雅黑"/>
                <w:b w:val="0"/>
                <w:i w:val="0"/>
                <w:sz w:val="18"/>
              </w:rPr>
              <w:t>判定标准</w:t>
            </w:r>
          </w:p>
        </w:tc>
        <w:tc>
          <w:tcPr>
            <w:tcW w:type="dxa" w:w="2075"/>
          </w:tcPr>
          <w:p>
            <w:r/>
            <w:r>
              <w:rPr>
                <w:rFonts w:ascii="Calibri" w:hAnsi="Calibri" w:eastAsia="微软雅黑"/>
                <w:b w:val="0"/>
                <w:i w:val="0"/>
                <w:sz w:val="18"/>
              </w:rPr>
              <w:t>有没有模型、模型好不好看</w:t>
            </w:r>
          </w:p>
        </w:tc>
        <w:tc>
          <w:tcPr>
            <w:tcW w:type="dxa" w:w="2075"/>
          </w:tcPr>
          <w:p>
            <w:r/>
            <w:r>
              <w:rPr>
                <w:rFonts w:ascii="Calibri" w:hAnsi="Calibri" w:eastAsia="微软雅黑"/>
                <w:b w:val="0"/>
                <w:i w:val="0"/>
                <w:sz w:val="18"/>
              </w:rPr>
              <w:t>统一ID贯穿全周期、一处修改全域同步、一次录入全程复用</w:t>
            </w:r>
          </w:p>
        </w:tc>
        <w:tc>
          <w:tcPr>
            <w:tcW w:type="dxa" w:w="2075"/>
          </w:tcPr>
          <w:p>
            <w:r/>
            <w:r>
              <w:rPr>
                <w:rFonts w:ascii="Calibri" w:hAnsi="Calibri" w:eastAsia="微软雅黑"/>
                <w:b w:val="0"/>
                <w:i w:val="0"/>
                <w:sz w:val="18"/>
              </w:rPr>
              <w:t>P9001</w:t>
            </w:r>
          </w:p>
        </w:tc>
      </w:tr>
      <w:tr>
        <w:tc>
          <w:tcPr>
            <w:tcW w:type="dxa" w:w="2075"/>
          </w:tcPr>
          <w:p>
            <w:r/>
            <w:r>
              <w:rPr>
                <w:rFonts w:ascii="Calibri" w:hAnsi="Calibri" w:eastAsia="微软雅黑"/>
                <w:b w:val="0"/>
                <w:i w:val="0"/>
                <w:sz w:val="18"/>
              </w:rPr>
              <w:t>典型用途</w:t>
            </w:r>
          </w:p>
        </w:tc>
        <w:tc>
          <w:tcPr>
            <w:tcW w:type="dxa" w:w="2075"/>
          </w:tcPr>
          <w:p>
            <w:r/>
            <w:r>
              <w:rPr>
                <w:rFonts w:ascii="Calibri" w:hAnsi="Calibri" w:eastAsia="微软雅黑"/>
                <w:b w:val="0"/>
                <w:i w:val="0"/>
                <w:sz w:val="18"/>
              </w:rPr>
              <w:t>地下室管线综合、砌体排砖、汇报展示</w:t>
            </w:r>
          </w:p>
        </w:tc>
        <w:tc>
          <w:tcPr>
            <w:tcW w:type="dxa" w:w="2075"/>
          </w:tcPr>
          <w:p>
            <w:r/>
            <w:r>
              <w:rPr>
                <w:rFonts w:ascii="Calibri" w:hAnsi="Calibri" w:eastAsia="微软雅黑"/>
                <w:b w:val="0"/>
                <w:i w:val="0"/>
                <w:sz w:val="18"/>
              </w:rPr>
              <w:t>按模施工、模型质量验评、模型计量计价</w:t>
            </w:r>
          </w:p>
        </w:tc>
        <w:tc>
          <w:tcPr>
            <w:tcW w:type="dxa" w:w="2075"/>
          </w:tcPr>
          <w:p>
            <w:r/>
            <w:r>
              <w:rPr>
                <w:rFonts w:ascii="Calibri" w:hAnsi="Calibri" w:eastAsia="微软雅黑"/>
                <w:b w:val="0"/>
                <w:i w:val="0"/>
                <w:sz w:val="18"/>
              </w:rPr>
              <w:t>P9020/P9000</w:t>
            </w:r>
          </w:p>
        </w:tc>
      </w:tr>
      <w:tr>
        <w:tc>
          <w:tcPr>
            <w:tcW w:type="dxa" w:w="2075"/>
          </w:tcPr>
          <w:p>
            <w:r/>
            <w:r>
              <w:rPr>
                <w:rFonts w:ascii="Calibri" w:hAnsi="Calibri" w:eastAsia="微软雅黑"/>
                <w:b w:val="0"/>
                <w:i w:val="0"/>
                <w:sz w:val="18"/>
              </w:rPr>
              <w:t>结算地位</w:t>
            </w:r>
          </w:p>
        </w:tc>
        <w:tc>
          <w:tcPr>
            <w:tcW w:type="dxa" w:w="2075"/>
          </w:tcPr>
          <w:p>
            <w:r/>
            <w:r>
              <w:rPr>
                <w:rFonts w:ascii="Calibri" w:hAnsi="Calibri" w:eastAsia="微软雅黑"/>
                <w:b w:val="0"/>
                <w:i w:val="0"/>
                <w:sz w:val="18"/>
              </w:rPr>
              <w:t>模型不算数，审计"以施工图为准"</w:t>
            </w:r>
          </w:p>
        </w:tc>
        <w:tc>
          <w:tcPr>
            <w:tcW w:type="dxa" w:w="2075"/>
          </w:tcPr>
          <w:p>
            <w:r/>
            <w:r>
              <w:rPr>
                <w:rFonts w:ascii="Calibri" w:hAnsi="Calibri" w:eastAsia="微软雅黑"/>
                <w:b w:val="0"/>
                <w:i w:val="0"/>
                <w:sz w:val="18"/>
              </w:rPr>
              <w:t>验证BIM计量下全费用综合单价模式</w:t>
            </w:r>
          </w:p>
        </w:tc>
        <w:tc>
          <w:tcPr>
            <w:tcW w:type="dxa" w:w="2075"/>
          </w:tcPr>
          <w:p>
            <w:r/>
            <w:r>
              <w:rPr>
                <w:rFonts w:ascii="Calibri" w:hAnsi="Calibri" w:eastAsia="微软雅黑"/>
                <w:b w:val="0"/>
                <w:i w:val="0"/>
                <w:sz w:val="18"/>
              </w:rPr>
              <w:t>P9030/P9000</w:t>
            </w:r>
          </w:p>
        </w:tc>
      </w:tr>
    </w:tbl>
    <w:p>
      <w:r>
        <w:rPr>
          <w:rFonts w:ascii="Calibri" w:hAnsi="Calibri" w:eastAsia="微软雅黑"/>
          <w:b w:val="0"/>
          <w:i w:val="0"/>
          <w:sz w:val="22"/>
        </w:rPr>
        <w:t>数字主线与变更管理的衔接点值得单独说明。[事实]按会议材料的表述，数字主线的五大能力最终"支撑造价前置落地"（P9001）——造价前置的含义是：概算与预算的控制在设计阶段随模型同步完成，而不是等施工图定稿后再由造价部门翻模算量、事后纠偏。[事实]这与本章9.4节将展开的"翻模-算量"两层皮正好互为反面：设计改了造价不知道、造价算了设计不认，结算时审计拿着两套数据来回砍（P9020）。[建议]买方可以把"造价前置"当作试金石去检验平台供应商：要求对方现场演示一次"设计调整一面墙、预算同屏刷新"的实时联动；若做不到，其所谓一体化仍停留在建模层，五大能力只是宣传页上的名词。</w:t>
      </w:r>
    </w:p>
    <w:p>
      <w:r>
        <w:rPr>
          <w:rFonts w:ascii="Calibri" w:hAnsi="Calibri" w:eastAsia="微软雅黑"/>
          <w:b w:val="0"/>
          <w:i w:val="0"/>
          <w:sz w:val="22"/>
        </w:rPr>
        <w:t>这套判据与前文的可施工性逻辑互为表里。本书第三章引述的"双源融合"框架，把可施工性倒灌设计定义为以施工安装条件、工程造价指标及法务节点要求为约束条件，反向约束和引导初步设计与设备选型的全过程精细化控制体系（P9007）。[假设]数字主线正是这套约束的数据载体：施工安装条件、造价指标、法务节点若不以统一ID挂在同一数据源上，"倒灌"就只能靠会议纪要和人情推动，无法形成刚性闭环。同理，EPC法人级交付效能公式——效能=（设计控制因子×采购施工协同因子）/（组织摩擦风险+造价合规偏差）（P9008）——分子分母的每一项都需要同一数据源才能计量（P9008给出公式框架；数据源与计量可行性的对应关系为本章推演）。</w:t>
      </w:r>
    </w:p>
    <w:p>
      <w:r>
        <w:rPr>
          <w:rFonts w:ascii="Calibri" w:hAnsi="Calibri" w:eastAsia="微软雅黑"/>
          <w:b w:val="0"/>
          <w:i w:val="0"/>
          <w:sz w:val="22"/>
        </w:rPr>
        <w:t>数据链路的全程图景也有公开教材可循。[事实]BIM正从传统的"辅助设计工具"发展为贯穿规划、设计、采购、施工、调试、运维和资产管理全过程的数字化管理平台，对大型基础设施、城市轨道交通、公路桥梁、综合管廊以及EPC项目价值尤其突出（P9023）。[事实]在规划阶段，BIM的应用包括三维场地建模、线路方案比选、地下管线分析、工程量初步估算、施工可行性分析——对城市地铁和市政综合工程而言，地下空间的综合协调是BIM最有价值的应用之一（P9023）。[事实]在设计阶段，碰撞检查的典型链路是：给排水管道与结构梁冲突→BIM提前发现→设计阶段调整→避免施工阶段返工，在地铁车站、综合管廊、机电安装和大型工业项目中具有很高的经济价值（P9023）。[事实]造价链条则可以概括为：BIM模型→工程量→清单→预算→合同价，模型与工程量数据关联后可提高工程量计算效率（P9023）。[事实]在施工阶段，将BIM模型与施工进度计划结合形成4D BIM，即3D模型+时间维度=4D施工管理，管理人员可直观看到哪些工程已完成、哪些正在施工、下一阶段施工什么、施工顺序是否合理、是否存在进度滞后，大型EPC项目可进一步将实际进度与计划进度对比实现动态进度管理（P9023）；再叠加成本维度即BIM5D集成管理平台，厦门翔安机场货运区项目已把进度、成本、质量融合成"一张图"并实现多部门协调联动与无纸化协同（P9029）。[事实]链条的顶端先例是鄂州花湖机场验证的BIM计量下全费用综合单价模式（P9000）——模型不仅算量，而且计价计费，这是"模型即凭证"走得最远的一次公开实践。</w:t>
      </w:r>
    </w:p>
    <w:p>
      <w:r>
        <w:rPr>
          <w:rFonts w:ascii="Calibri" w:hAnsi="Calibri" w:eastAsia="微软雅黑"/>
          <w:b w:val="0"/>
          <w:i w:val="0"/>
          <w:sz w:val="22"/>
        </w:rPr>
        <w:t>行业组织层面，2026年8月18日在武汉召开的勘察设计数字化实践与设计造价一体化交流会（180余人参加）给出了另一组信号（P9002）。[事实]中国勘察设计协会理事长朱长喜在会上提出三点要求：一要树立工程建设全生命周期价值思维，打破设计、造价相互割裂的惯性，推动设计造价一体谋划、同步实施；二要把握行业从信息化迈向数字化的范式跃升，实现技术能力的创新发展；三要深化勘察设计企业体制机制改革，破解重技术、轻经济等问题，培育复合型专业人才（P9002）。[事实]张金星提出四条实施路径，其中包括探索造价数据库、AI造价助手等创新应用（P9002）。[事实]杨剑华在致辞中指出，数字化已是行业生存发展的必答题，会议旨在以数智化为纽带实现设计、施工、造价的深度融合，打造全生命周期服务能力（P9002）。[事实]吴佐民的发言方向是破除政府定额依赖、以大数据构建自成长工程数据库，重构行业知识体系与造价人才五维能力标准（P9003/P9004）。[事实]会议圆桌议题也包括行业数字化转型堵点、设计模型向造价模型转换标准、全过程工程咨询与数字化协同（P9001）。[预测]据此推演："设计模型向造价模型转换标准"有望在三年内从圆桌议题变成招投标技术附件的常见物，届时没有转换能力的设计院将在政府投资项目上失去入场券。[建议]买方现在就可以做的动作：在下一份EPC或设计合同的技术条款里写入三点检验（统一ID贯穿全周期、一处修改全域同步、一次录入全程复用）（P9001），并约定验证方法——现场随机抽取若干构件ID，追溯其在设计、算量、签证、结算四个环节的数据一致性；停止条件同样要写明：若试点期内无法通过抽检，供应商应无条件退回"图纸+清单"传统交付模式，不产生平台溢价。</w:t>
      </w:r>
    </w:p>
    <w:p>
      <w:pPr>
        <w:pStyle w:val="Heading2"/>
      </w:pPr>
      <w:r>
        <w:t>9.4 变更数字化陷阱：模型同步了，钱未必同步</w:t>
      </w:r>
    </w:p>
    <w:p>
      <w:r>
        <w:rPr>
          <w:rFonts w:ascii="Calibri" w:hAnsi="Calibri" w:eastAsia="微软雅黑"/>
          <w:b w:val="0"/>
          <w:i w:val="0"/>
          <w:sz w:val="22"/>
        </w:rPr>
        <w:t>数字化不是自动保险。本节归纳四个已证实务陷阱（归纳框架为本章所作，证据均出自公开实务复盘），每一个都有真实翻车样本，且都发生在"已经上了BIM"的项目上。</w:t>
      </w:r>
    </w:p>
    <w:p>
      <w:r>
        <w:rPr>
          <w:rFonts w:ascii="Calibri" w:hAnsi="Calibri" w:eastAsia="微软雅黑"/>
          <w:b w:val="0"/>
          <w:i w:val="0"/>
          <w:sz w:val="22"/>
        </w:rPr>
        <w:t>陷阱一：变更传播的链式反应。[事实]在BIM模型中构件高度关联，一次看似微小的修改可能触发难以预料的连锁反应——例如在电气BIM模型中，由于专业间依赖关系复杂，移动一个设备的位置，管道路径、馈线容量、面板排程、协调区域等多个方面会同步受影响，形成难以手动管理的链式反应（P9027）。[事实]BIM工具在检测空间依赖关系方面表现良好，但在追踪模型间的分析性关系（如结构荷载变化对下游的影响）方面能力有限（P9027）。[事实]这与云南大学项目复盘归纳的"连锁反应"痛点同源：传统模式下建筑调了天窗、结构不知道，封边梁还按老尺寸画，洞口直接作废（P9005）。买方含义：模型越集成，单点变更的管理成本越高；没有变更分组与影响分析机制的高精度模型，反而可能比2D图纸更难管。止损动作：把"变更影响分析报告"设为模型平台上变更审批的前置件（P9027所指自动化能力的缺口，现阶段用人工分析补位）。</w:t>
      </w:r>
    </w:p>
    <w:p>
      <w:r>
        <w:rPr>
          <w:rFonts w:ascii="Calibri" w:hAnsi="Calibri" w:eastAsia="微软雅黑"/>
          <w:b w:val="0"/>
          <w:i w:val="0"/>
          <w:sz w:val="22"/>
        </w:rPr>
        <w:t>陷阱二：版本信任危机。[事实]实时协同听起来高效，但实践中过于频繁的模型更新反而造成混乱——模型变化太快时团队无法获得稳定的工作版本，成员因"明天可能还会变"而犹豫是否推进工作，项目从"推进"状态滑入"反复确认"状态（P9027）。[事实]据相关行业报告，42%的BIM团队每周要花费8小时以上来协调冲突的版本，原因往往是不一致的命名规范（P9027）。[估计]折算一下：每周8小时、按每年50个工作周计，一个团队一年要烧掉约400个工时在版本对账上（own_calc：8×50=400，基于P9027数据）。[事实]大型复杂项目中的典型错位是：不同专业团队在各自模型上迭代不同版本——结构团队已推进到某个版本，而机电团队还在前一个版本，过时的协调视图、不一致的模型版本、冲突的安装信息成为项目协调的常态化难题（P9027）。止损动作：制定全项目统一的版本命名规范与冻结节奏，把"工作版本"的发布权收到总包BIM负责人手里——针对的正是"不一致的命名规范"这一病根（P9027）。</w:t>
      </w:r>
    </w:p>
    <w:p>
      <w:r>
        <w:rPr>
          <w:rFonts w:ascii="Calibri" w:hAnsi="Calibri" w:eastAsia="微软雅黑"/>
          <w:b w:val="0"/>
          <w:i w:val="0"/>
          <w:sz w:val="22"/>
        </w:rPr>
        <w:t>陷阱三：变更台账与现场签证脱节。[事实]实践中一个突出问题是：BIM模型虽然同步了变更，但现场签证附件未同步更新，模型工程量和纸质签证内容不一致，审计时数字化资料被直接驳回（P9027）。这与"翻模-算量"两层皮互相叠加：设计一套模型、造价再翻一套模型算量，两个模型对不上，设计改了造价不知道，造价算了设计不认，最后结算时审计拿着两套数据来回砍（P9020）。[事实]许多项目还缺乏规范的结构化更新流程——来自不同团队、不同时间的变更杂乱涌入，没有清晰的更新节奏和责任归属，团队在"更新→审核→再更新"中循环往复，不是因为做错了，而是因为流程本身不清晰（P9027）。也就是说，上了平台不等于结算有据；两套账并行时，平台反而多了一套可被质疑的口径。止损动作：把模型版本号与签证附件做强制绑定，月度核对模型工程量与已签签证量的一致性（针对审计驳回案例的成因，P9027）。</w:t>
      </w:r>
    </w:p>
    <w:p>
      <w:r>
        <w:rPr>
          <w:rFonts w:ascii="Calibri" w:hAnsi="Calibri" w:eastAsia="微软雅黑"/>
          <w:b w:val="0"/>
          <w:i w:val="0"/>
          <w:sz w:val="22"/>
        </w:rPr>
        <w:t>陷阱四：结算不认BIM量。[事实]这是最要命的一条：甲方结算按图算、按定额算，BIM模型不算数；施工方拿BIM提的工程量去结算，审计一句话——"以施工图为准"（P9030）。[事实]法律层面，BIM模型不是结算和责任的法定依据，模型里少算一道墙、错标一个标高，施工照着干出了事，责任无人兜底；没有"模型即责任"的闭环，BIM永远只是参考而非依据，参考的东西关键时刻没人信（P9030）。[事实]在现行法规下，图纸仍是法定交付物，BIM模型充其量锦上添花（P9022）。这四条陷阱的底层结构，一位干了三十六年施工的造价从业者的口述给出了完整样本：公司前年花50万上了BIM——买软件、买培训、招了两个BIM工程师；一年不到，那两个工程师平日的工作就是把模型做得漂亮，拿去给业主汇报、投标可视化、评优评奖；算量还是广联达手搓，进度还是Excel，成本还是对着图纸扒；"50万买来的，是个展示工具"；他干施工三十六年，见过不下十家这么搞的（P9030）。[事实]失败机制还有三条：模型与现场两张皮（专门团队建模，LOD到不了施工用的程度——钢筋怎么锚固、模板怎么支、土方怎么放坡，模型里没有；等真干起来，施工员不认模型，造价员还是拿广联达重新算一遍；现场一变更，模型不更新，慢慢连展示都懒得更新）；数据不流转（设计院给的模型施工接不住，施工建的模型运维不接，每个阶段各建各的，因为没有统一的编码和交付标准，信息全是孤岛——设计BIM、施工BIM、竣工BIM三套数据对不上，花50万建的施工模型竣工时没人要，运维单位自己另起炉灶，前面建的白建）；投入产出错配（BIM工程师是"附加岗"，不嵌进生产——不算量、不管进度、不碰成本，那就只能做展示）（P9030）。[事实]他还有一条人的观察：老师傅干了一辈子靠经验和图纸，让他看三维模型他头大；年轻人会用BIM，但在工地上话语权低，说了不算；组织上又不强迫用——不用也不罚，用了也不奖，工具落在"可用可不用"的灰色地带，最后一定不用（P9030）。</w:t>
      </w:r>
    </w:p>
    <w:p>
      <w:r>
        <w:rPr>
          <w:rFonts w:ascii="Calibri" w:hAnsi="Calibri" w:eastAsia="微软雅黑"/>
          <w:b w:val="0"/>
          <w:i w:val="0"/>
          <w:sz w:val="22"/>
        </w:rPr>
        <w:t>一位有28年业主方经验、1998年入行的行业观察者把上述结构性困境浓缩成一个比喻：BIM像一小瓶香油——香不香？真香。但中国的项目管理环境像一大盆水，香油倒进去，香味就散了；问题不在香油也不在水，而在于你偏要把整瓶香油倒进一大盆水里，却指望满屋飘香（P9022）。[事实]他归纳的三大不兼容是：其一，我们靠"现场应变"而非"事前规划"——国内绝大多数工程在不断修改与妥协中推进，前期可研往往是为立项而做且是静态的，实施过程朝令夕改、设计变更是家常便饭，国外设计师几年改一栋楼，我们几个月就要盖起来，BIM要求精细的事前推演，而我们擅长灵活的事后纠偏，这不是优劣之分，是两种生存逻辑；其二，管理仰仗"人"而非"数据"——班组长靠几十年攒下的直觉，技术员靠现场判断，项目经理靠协调斡旋，到了实操层面，一张手写的变更单往往比一个精致的模型管用得多，先进技术在施工阶段常表现为增加额外工作量、拉低既有管理效率；其三，行业生态是"碎片化"而非"一体化"——设计院辛辛苦苦建好的BIM模型很多时候并没有业主愿意买单，投入的人不是最终受益的人，真正受益的人又未必愿担前期成本，价值创造者与价值受益者的错位让BIM在中国陷入尴尬困局（P9022）。[事实]他同时给出对标样本：美国建筑行业以市场化为主导，大型业主单位大多有详尽的BIM标准，他们清楚自己要什么、不搞花架子、喜欢针对一个应用点做深做透，业内有"Hollywood BIM"和"Real BIM"之分——前者装点门面，后者才真正创造价值（P9022）。这个区分与本章的三点检验判据指向同一件事：真伪之别不在软件，在数据源与受益结构；买大型业主的标准先例，比买软件 License 更接近问题的根。</w:t>
      </w:r>
    </w:p>
    <w:p>
      <w:r>
        <w:rPr>
          <w:rFonts w:ascii="Calibri" w:hAnsi="Calibri" w:eastAsia="微软雅黑"/>
          <w:b w:val="0"/>
          <w:i w:val="0"/>
          <w:sz w:val="22"/>
        </w:rPr>
        <w:t>对买方而言，这份28年观察的正确读法不是"BIM不适合中国"，而是"BIM的收益兑现有前置条件"。[事实]三大不兼容里，现场应变、经验管理、碎片化生态都是管理环境变量（P9022），而政策端已经在改写其中两个：强制应用改写了"可用可不用"的灰色地带（P9006/P9030），建设方买单改写了"投入者与受益者错位"的价值结构（P9006）。[假设]剩下最硬的一条是"图纸仍是法定交付物"（P9022）——在它改变之前，一切模型收益都只能通过"模型支撑图纸、图纸承载法定责任"的桥接结构兑现；这条假设也解释了本章9.5为什么把计量计价功能放在阶段三并配置停止条件，而不是建议一步到位。</w:t>
      </w:r>
    </w:p>
    <w:p>
      <w:r>
        <w:rPr>
          <w:rFonts w:ascii="Calibri" w:hAnsi="Calibri" w:eastAsia="微软雅黑"/>
          <w:b w:val="0"/>
          <w:i w:val="0"/>
          <w:sz w:val="22"/>
        </w:rPr>
        <w:t>要看清数字化真正的对标物，不妨把镜头切到纸质流程下的争议量级——这些司法切片不是BIM案例，却标定了"变更与计量失控"的现金代价。桐梓煤化工一期EPC案：双方于2008年5月29日签订EPC总承包合同，电建公司投标总价521965260元，合同约定工程价款460436515元，诉讼请求支付拖欠的工程款项131845782元（P9011）。[估计]拖欠诉求相当于合同价款的约28.6%（own_calc：131845782÷460436515≈28.6%，基于P9011数据）。[事实]该案的争议技术性很强：上诉方主张司法鉴定意见书中"证据无发包方签字部分"项下费用虽无签字确认但确已实际发生，以及以专业知识推断的"合同条件不足调整部分"推算金额，均遭对方以缺乏事实根据抗辩（P9011）——纸质流程下，"发生了但没有签认"的费用与"推算出来的损失"都难获支持，这正是计量凭证同源化的司法注脚。重庆建工案：诉请支付欠付工程款68136209.77元，并主张自2015年9月28日起按每日万分之三计违约金，另主张拖延支付进度款的利息、损失共计人民币26794045（P9013）。重庆另一二审案：施工方以8576021.90元为基数、按年利率24%主张逾期付款违约金，另主张进度款违约金3883273元、到期质保金2095908.72元、钢筋材料费价差补贴471274元与基础损失索赔费1565809.08元（合计2037083.08元）（P9012）。常熟酒店案：送审造价30636998.18元，审计初审核减3591240.95元，已支付工程款17285000元（P9015）；[估计]核减率约11.7%（own_calc：3591240.95÷30636998.18≈11.7%，基于P9015数据）。[事实]该案还暴露了结算时限的管理漏洞：发包方代表曾签订协议约定自2010年1月27日起70天内完成审核，逾期则执行财政部《建设工程价款结算暂行办法》中"发包人收到竣工结算报告及完整的结算资料后……没有提出意见，则视为认可"的规则，最终败诉承担了逾期审核的后果（P9015）——结算流程的时限与凭证规则，本身就是利润保卫战的阵地。佛山厂房案：车间1（建筑面积11280㎡，预算单价364.53元/㎡，预算造价4111945.39元，最终合同价3800000元）、车间2（3350㎡，1192.09元/㎡，3993494.48元，3685000元）、宿舍（8578㎡，788.88元/㎡，6767053.59元，6500000元），三项预算合计14872493.46元、合同价合计13985000元（P9014）；[估计]预算与合同价落差887493.46元、约6.0%（own_calc：14872493.46-13985000=887493.46；887493.46÷14872493.46≈6.0%，基于P9014数据）。[事实]五个切片的共同点是：争议集中在"量"与"价"的书面凭证上——工程款拖欠、核减、价差、违约金计量，全部依赖图纸、签证与送审资料的对账能力。[事实]机电工程EPC领域的研究综述同样把设计变更风险、市场价格波动风险列为风险管理对象，并主张以优化设计方案、加强采购管理、合理安排施工进度作为成本控制策略（P9034）——变更风险管理在学科脉络里就是成本控制的主战场。[假设]若模型计量计价与签证同源（鄂州的按模施工、模型计量计价模式，P9000），上述争议中"量"的部分有机会前置消解；但bank内无对照数据支持此推断，此为假设而非结论。</w:t>
      </w:r>
    </w:p>
    <w:p>
      <w:r>
        <w:rPr>
          <w:rFonts w:ascii="Calibri" w:hAnsi="Calibri" w:eastAsia="微软雅黑"/>
          <w:b w:val="0"/>
          <w:i w:val="0"/>
          <w:sz w:val="22"/>
        </w:rPr>
        <w:t>杠杆位置在哪里？[事实]行业普遍共识是：一个工程项目70%-80%的建设成本，在设计阶段就已经基本锁定；如果设计环节脱离成本、脱离现场实际，后续无论采购如何压价、施工如何节约成本，都很难挽回已经埋下的亏损隐患（P9028）。[事实]同一复盘还指出：报价只是表层诱因，设计-采购-施工全链条协同断裂才是项目亏损的根本原因——很多总包单位把EPC理解为"设计+采购+施工"的简单拼接，把三项工作切割成独立模块分段交付，各部门各司其职，缺少前置沟通与交叉校验，直接消解了EPC一体化模式本身的优势（P9028）。[事实]断裂的具体形态有三：设计脱离造价（造价、商务人员没有深度参与设计全过程，等到图纸全部定稿才发现整体造价已大幅超出概算，项目从源头带上亏损基因）；设计脱离施工现场（管线碰撞、标高冲突、工艺现场无法落地等问题在施工阶段集中爆发，只能反复修改图纸，造成大量返工、窝工，工期不断拉长，索赔取证阻力重重）；采购前后脱节（采购没有同步对接设计参数与施工进度，出现材料规格与图纸不匹配、物资进场时间错乱，要么高价采购推高成本，要么低价选材埋下质量隐患）（P9028）。[事实]这与云南大学项目"传统2D模式下碰撞少说几十处"的判断互相印证（P9005）。换言之，变更数字化的投入应压在设计-施工交界面，而不是事后算量端——买在最痛的界面上，才算买在杠杆点上。</w:t>
      </w:r>
    </w:p>
    <w:p>
      <w:r>
        <w:rPr>
          <w:rFonts w:ascii="Calibri" w:hAnsi="Calibri" w:eastAsia="微软雅黑"/>
          <w:b w:val="0"/>
          <w:i w:val="0"/>
          <w:sz w:val="22"/>
        </w:rPr>
        <w:t>还有一个新出现的陷阱维度：建设与运营的脱节正在把数字化边界推向运营端。[事实]在EPC+O（设计-施工-运营一体化）模式中，多数项目设计环节以施工落地、造价可控、快速验收为核心目标，运营需求严重后置、虚化，形成"设计只管建、运营被动接"的割裂，这是诸多城更项目"建得好、养不活"的根源（P9019）。[事实]其乱象集中在三个维度：设计阶段运营主体缺位（多数项目招标以工程总包为核心，运营方多为联合体配套角色、话语权极弱，方案设计、业态规划、空间布局敲定阶段运营团队基本无法参与）；空间设计与市场化运营严重错配（设计团队追求景观颜值、立面翻新、公共空间扩容，打造网红打卡场景，但未考虑后期运维成本、商户适配性、流量变现能力，很多项目建成后出现"景观好看、业态空白、运维高昂、无人消费"，部分项目商业铺面进深、层高、动线设计不合理，招商困难、商户入驻后经营亏损）；改造标准与运营周期不匹配（设计方案多按短期工程标准落地选材、工艺）（P9019）。[事实]部分央企联合体甚至因协作失衡、风险失控，主动放弃数十亿级城更项目，暴露出模式落地的系统性漏洞（P9019）。[事实]结合江苏"六张网"文件把投资、建设、运营全链条向建筑业企业打开的政策口径（P9018），买方应预判：协同平台的数据模型边界必须预留运营字段（能耗、业态、维保），否则建成的还是一张"半程数据网"。</w:t>
      </w:r>
    </w:p>
    <w:p>
      <w:r>
        <w:rPr>
          <w:rFonts w:ascii="Calibri" w:hAnsi="Calibri" w:eastAsia="微软雅黑"/>
          <w:b w:val="0"/>
          <w:i w:val="0"/>
          <w:sz w:val="22"/>
        </w:rPr>
        <w:t>四个陷阱放在一起看，有一条共同主线：模型世界与凭证世界不同步。链式反应是模型内部的专业间不同步（P9027）；版本信任危机是团队之间的不同步（P9027）；台账签证脱节是模型与纸质凭证的不同步（P9027）；结算不认模型是数字凭证与法定凭证体系的不同步（P9030）。[事实]对照鄂州样本可以发现，破题的钥匙不在建模精度而在制度配套——业主顶层设计下的全员、全阶段、全专业BIM深度应用，配合按模施工、模型质量验评、模型计量计价的管理模式（P9000），让模型从第一天起就是凭证而非展品。[建议]买方据此可以把四个陷阱转译为四条合同条款：变更影响分析前置、版本命名与冻结规则、模型版本与签证附件绑定、模型数据采信条件与不采信时的回退机制——条款起草的成本，远低于事后争议的成本（P9011/P9013所示争议量级即为参照）。</w:t>
      </w:r>
    </w:p>
    <w:p>
      <w:pPr>
        <w:pStyle w:val="Heading2"/>
      </w:pPr>
      <w:r>
        <w:t>9.5 落地路线图：把"买软件"换成"改流程"</w:t>
      </w:r>
    </w:p>
    <w:p>
      <w:r>
        <w:rPr>
          <w:rFonts w:ascii="Calibri" w:hAnsi="Calibri" w:eastAsia="微软雅黑"/>
          <w:b w:val="0"/>
          <w:i w:val="0"/>
          <w:sz w:val="22"/>
        </w:rPr>
        <w:t>前四节的信息拼起来，落地路线已经清晰。核心口诀来自那位三十六年施工经验的从业者："为用而建，不为秀而建"，模型精度（LOD）按施工、算量需求定；真要用起来，得把BIM绑进算量、进度、成本考核——模型错了要追责、模型省了要奖励；没这套考核，BIM就是个花瓶，摆着好看（P9030）。[事实]他的第一性判断是：BIM在中国工地活不下去，不是软件不行，是用法错了——买的是工具，没买的是流程、标准和责任（P9030）。这句话就是本节路线图的总纲：以下三步，每一步买到的都不是软件功能，而是一条被平台固化的流程与责任。</w:t>
      </w:r>
    </w:p>
    <w:p>
      <w:r>
        <w:rPr>
          <w:rFonts w:ascii="Calibri" w:hAnsi="Calibri" w:eastAsia="微软雅黑"/>
          <w:b w:val="0"/>
          <w:i w:val="0"/>
          <w:sz w:val="22"/>
        </w:rPr>
        <w:t>第一步，把EPC一体化管控原则翻译成平台功能清单。[事实]EPC设计-采购-施工一体化管控的总体理念是：设计牵头、采购前置、施工预控、三方并行、全过程闭环、痕迹化管理、权责清晰、风险前置；对外统一对业主、对内一体化协同，所有工作实行"前置评审、过程管控、闭环销项（指问题销项）、有据可查"（P9017）。[事实]其通用底线包括：统一对外原则（设计、采购、施工不得单独对接业主下发、变更、指令，所有业主需求、变更、疑问统一由EPC项目部接收、转发、确认）；书面留痕原则（所有技术要求、变更、异议、风险提示、会议决策必须书面留痕，口头指令一律无效）；前置协同原则（采购、施工提前介入方案、初设、施工图阶段，禁止设计完成后再移交采购、施工）；先定技术、后定采购、再排施工（图纸不稳定、技术参数未锁定，严禁盲目订货、盲目施工）；先解决问题、后划分责任（现场问题优先保障项目推进，闭环完成后再复盘追责）；限额设计、限额采购、节约施工（全链条受控，杜绝技术过剩、盲目无序采购、施工浪费）（P9017）。[事实]设计板块的核心定位也被写得很清楚：技术总负责、方案总把控、投资总源头，对图纸完整性、技术合理性、选型可行性、接口准确性、限额合规性负首要责任（P9017）。买方选型时逐条对照，把原则变成功能核检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管控原则（P9017）</w:t>
            </w:r>
          </w:p>
        </w:tc>
        <w:tc>
          <w:tcPr>
            <w:tcW w:type="dxa" w:w="2075"/>
            <w:shd w:fill="1F3A5F"/>
          </w:tcPr>
          <w:p>
            <w:r>
              <w:rPr>
                <w:color w:val="FFFFFF"/>
              </w:rPr>
            </w:r>
            <w:r>
              <w:rPr>
                <w:rFonts w:ascii="Calibri" w:hAnsi="Calibri" w:eastAsia="微软雅黑"/>
                <w:b/>
                <w:i w:val="0"/>
                <w:color w:val="FFFFFF"/>
                <w:sz w:val="18"/>
              </w:rPr>
              <w:t>平台应有的功能形态</w:t>
            </w:r>
          </w:p>
        </w:tc>
        <w:tc>
          <w:tcPr>
            <w:tcW w:type="dxa" w:w="2075"/>
            <w:shd w:fill="1F3A5F"/>
          </w:tcPr>
          <w:p>
            <w:r>
              <w:rPr>
                <w:color w:val="FFFFFF"/>
              </w:rPr>
            </w:r>
            <w:r>
              <w:rPr>
                <w:rFonts w:ascii="Calibri" w:hAnsi="Calibri" w:eastAsia="微软雅黑"/>
                <w:b/>
                <w:i w:val="0"/>
                <w:color w:val="FFFFFF"/>
                <w:sz w:val="18"/>
              </w:rPr>
              <w:t>验证标准</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统一对外：变更指令统一由EPC项目部接收转发</w:t>
            </w:r>
          </w:p>
        </w:tc>
        <w:tc>
          <w:tcPr>
            <w:tcW w:type="dxa" w:w="2075"/>
          </w:tcPr>
          <w:p>
            <w:r/>
            <w:r>
              <w:rPr>
                <w:rFonts w:ascii="Calibri" w:hAnsi="Calibri" w:eastAsia="微软雅黑"/>
                <w:b w:val="0"/>
                <w:i w:val="0"/>
                <w:sz w:val="18"/>
              </w:rPr>
              <w:t>变更工单单一入口，业主指令不得绕行专业口</w:t>
            </w:r>
          </w:p>
        </w:tc>
        <w:tc>
          <w:tcPr>
            <w:tcW w:type="dxa" w:w="2075"/>
          </w:tcPr>
          <w:p>
            <w:r/>
            <w:r>
              <w:rPr>
                <w:rFonts w:ascii="Calibri" w:hAnsi="Calibri" w:eastAsia="微软雅黑"/>
                <w:b w:val="0"/>
                <w:i w:val="0"/>
                <w:sz w:val="18"/>
              </w:rPr>
              <w:t>无入口外变更流入的月度核查记录</w:t>
            </w:r>
          </w:p>
        </w:tc>
        <w:tc>
          <w:tcPr>
            <w:tcW w:type="dxa" w:w="2075"/>
          </w:tcPr>
          <w:p>
            <w:r/>
            <w:r>
              <w:rPr>
                <w:rFonts w:ascii="Calibri" w:hAnsi="Calibri" w:eastAsia="微软雅黑"/>
                <w:b w:val="0"/>
                <w:i w:val="0"/>
                <w:sz w:val="18"/>
              </w:rPr>
              <w:t>P9017</w:t>
            </w:r>
          </w:p>
        </w:tc>
      </w:tr>
      <w:tr>
        <w:tc>
          <w:tcPr>
            <w:tcW w:type="dxa" w:w="2075"/>
          </w:tcPr>
          <w:p>
            <w:r/>
            <w:r>
              <w:rPr>
                <w:rFonts w:ascii="Calibri" w:hAnsi="Calibri" w:eastAsia="微软雅黑"/>
                <w:b w:val="0"/>
                <w:i w:val="0"/>
                <w:sz w:val="18"/>
              </w:rPr>
              <w:t>书面留痕：口头指令一律无效</w:t>
            </w:r>
          </w:p>
        </w:tc>
        <w:tc>
          <w:tcPr>
            <w:tcW w:type="dxa" w:w="2075"/>
          </w:tcPr>
          <w:p>
            <w:r/>
            <w:r>
              <w:rPr>
                <w:rFonts w:ascii="Calibri" w:hAnsi="Calibri" w:eastAsia="微软雅黑"/>
                <w:b w:val="0"/>
                <w:i w:val="0"/>
                <w:sz w:val="18"/>
              </w:rPr>
              <w:t>模型版本与签证附件强制绑定</w:t>
            </w:r>
          </w:p>
        </w:tc>
        <w:tc>
          <w:tcPr>
            <w:tcW w:type="dxa" w:w="2075"/>
          </w:tcPr>
          <w:p>
            <w:r/>
            <w:r>
              <w:rPr>
                <w:rFonts w:ascii="Calibri" w:hAnsi="Calibri" w:eastAsia="微软雅黑"/>
                <w:b w:val="0"/>
                <w:i w:val="0"/>
                <w:sz w:val="18"/>
              </w:rPr>
              <w:t>版本号-签证号一致性抽检</w:t>
            </w:r>
          </w:p>
        </w:tc>
        <w:tc>
          <w:tcPr>
            <w:tcW w:type="dxa" w:w="2075"/>
          </w:tcPr>
          <w:p>
            <w:r/>
            <w:r>
              <w:rPr>
                <w:rFonts w:ascii="Calibri" w:hAnsi="Calibri" w:eastAsia="微软雅黑"/>
                <w:b w:val="0"/>
                <w:i w:val="0"/>
                <w:sz w:val="18"/>
              </w:rPr>
              <w:t>P9017/P9027</w:t>
            </w:r>
          </w:p>
        </w:tc>
      </w:tr>
      <w:tr>
        <w:tc>
          <w:tcPr>
            <w:tcW w:type="dxa" w:w="2075"/>
          </w:tcPr>
          <w:p>
            <w:r/>
            <w:r>
              <w:rPr>
                <w:rFonts w:ascii="Calibri" w:hAnsi="Calibri" w:eastAsia="微软雅黑"/>
                <w:b w:val="0"/>
                <w:i w:val="0"/>
                <w:sz w:val="18"/>
              </w:rPr>
              <w:t>前置协同：禁止设计完成后再移交</w:t>
            </w:r>
          </w:p>
        </w:tc>
        <w:tc>
          <w:tcPr>
            <w:tcW w:type="dxa" w:w="2075"/>
          </w:tcPr>
          <w:p>
            <w:r/>
            <w:r>
              <w:rPr>
                <w:rFonts w:ascii="Calibri" w:hAnsi="Calibri" w:eastAsia="微软雅黑"/>
                <w:b w:val="0"/>
                <w:i w:val="0"/>
                <w:sz w:val="18"/>
              </w:rPr>
              <w:t>设计-采购-施工并行工作区与评论留痕</w:t>
            </w:r>
          </w:p>
        </w:tc>
        <w:tc>
          <w:tcPr>
            <w:tcW w:type="dxa" w:w="2075"/>
          </w:tcPr>
          <w:p>
            <w:r/>
            <w:r>
              <w:rPr>
                <w:rFonts w:ascii="Calibri" w:hAnsi="Calibri" w:eastAsia="微软雅黑"/>
                <w:b w:val="0"/>
                <w:i w:val="0"/>
                <w:sz w:val="18"/>
              </w:rPr>
              <w:t>采购意见出现在设计版本上的时间戳</w:t>
            </w:r>
          </w:p>
        </w:tc>
        <w:tc>
          <w:tcPr>
            <w:tcW w:type="dxa" w:w="2075"/>
          </w:tcPr>
          <w:p>
            <w:r/>
            <w:r>
              <w:rPr>
                <w:rFonts w:ascii="Calibri" w:hAnsi="Calibri" w:eastAsia="微软雅黑"/>
                <w:b w:val="0"/>
                <w:i w:val="0"/>
                <w:sz w:val="18"/>
              </w:rPr>
              <w:t>P9017</w:t>
            </w:r>
          </w:p>
        </w:tc>
      </w:tr>
      <w:tr>
        <w:tc>
          <w:tcPr>
            <w:tcW w:type="dxa" w:w="2075"/>
          </w:tcPr>
          <w:p>
            <w:r/>
            <w:r>
              <w:rPr>
                <w:rFonts w:ascii="Calibri" w:hAnsi="Calibri" w:eastAsia="微软雅黑"/>
                <w:b w:val="0"/>
                <w:i w:val="0"/>
                <w:sz w:val="18"/>
              </w:rPr>
              <w:t>先定技术后定采购再排施工</w:t>
            </w:r>
          </w:p>
        </w:tc>
        <w:tc>
          <w:tcPr>
            <w:tcW w:type="dxa" w:w="2075"/>
          </w:tcPr>
          <w:p>
            <w:r/>
            <w:r>
              <w:rPr>
                <w:rFonts w:ascii="Calibri" w:hAnsi="Calibri" w:eastAsia="微软雅黑"/>
                <w:b w:val="0"/>
                <w:i w:val="0"/>
                <w:sz w:val="18"/>
              </w:rPr>
              <w:t>技术参数锁定状态标识</w:t>
            </w:r>
          </w:p>
        </w:tc>
        <w:tc>
          <w:tcPr>
            <w:tcW w:type="dxa" w:w="2075"/>
          </w:tcPr>
          <w:p>
            <w:r/>
            <w:r>
              <w:rPr>
                <w:rFonts w:ascii="Calibri" w:hAnsi="Calibri" w:eastAsia="微软雅黑"/>
                <w:b w:val="0"/>
                <w:i w:val="0"/>
                <w:sz w:val="18"/>
              </w:rPr>
              <w:t>未锁定件的订货拦截记录</w:t>
            </w:r>
          </w:p>
        </w:tc>
        <w:tc>
          <w:tcPr>
            <w:tcW w:type="dxa" w:w="2075"/>
          </w:tcPr>
          <w:p>
            <w:r/>
            <w:r>
              <w:rPr>
                <w:rFonts w:ascii="Calibri" w:hAnsi="Calibri" w:eastAsia="微软雅黑"/>
                <w:b w:val="0"/>
                <w:i w:val="0"/>
                <w:sz w:val="18"/>
              </w:rPr>
              <w:t>P9017</w:t>
            </w:r>
          </w:p>
        </w:tc>
      </w:tr>
      <w:tr>
        <w:tc>
          <w:tcPr>
            <w:tcW w:type="dxa" w:w="2075"/>
          </w:tcPr>
          <w:p>
            <w:r/>
            <w:r>
              <w:rPr>
                <w:rFonts w:ascii="Calibri" w:hAnsi="Calibri" w:eastAsia="微软雅黑"/>
                <w:b w:val="0"/>
                <w:i w:val="0"/>
                <w:sz w:val="18"/>
              </w:rPr>
              <w:t>限额设计、限额采购、节约施工</w:t>
            </w:r>
          </w:p>
        </w:tc>
        <w:tc>
          <w:tcPr>
            <w:tcW w:type="dxa" w:w="2075"/>
          </w:tcPr>
          <w:p>
            <w:r/>
            <w:r>
              <w:rPr>
                <w:rFonts w:ascii="Calibri" w:hAnsi="Calibri" w:eastAsia="微软雅黑"/>
                <w:b w:val="0"/>
                <w:i w:val="0"/>
                <w:sz w:val="18"/>
              </w:rPr>
              <w:t>预算基线与超限预警</w:t>
            </w:r>
          </w:p>
        </w:tc>
        <w:tc>
          <w:tcPr>
            <w:tcW w:type="dxa" w:w="2075"/>
          </w:tcPr>
          <w:p>
            <w:r/>
            <w:r>
              <w:rPr>
                <w:rFonts w:ascii="Calibri" w:hAnsi="Calibri" w:eastAsia="微软雅黑"/>
                <w:b w:val="0"/>
                <w:i w:val="0"/>
                <w:sz w:val="18"/>
              </w:rPr>
              <w:t>超限预警响应时长</w:t>
            </w:r>
          </w:p>
        </w:tc>
        <w:tc>
          <w:tcPr>
            <w:tcW w:type="dxa" w:w="2075"/>
          </w:tcPr>
          <w:p>
            <w:r/>
            <w:r>
              <w:rPr>
                <w:rFonts w:ascii="Calibri" w:hAnsi="Calibri" w:eastAsia="微软雅黑"/>
                <w:b w:val="0"/>
                <w:i w:val="0"/>
                <w:sz w:val="18"/>
              </w:rPr>
              <w:t>P9017/P9029</w:t>
            </w:r>
          </w:p>
        </w:tc>
      </w:tr>
    </w:tbl>
    <w:p>
      <w:r>
        <w:rPr>
          <w:rFonts w:ascii="Calibri" w:hAnsi="Calibri" w:eastAsia="微软雅黑"/>
          <w:b w:val="0"/>
          <w:i w:val="0"/>
          <w:sz w:val="22"/>
        </w:rPr>
        <w:t>第二步，财务口径同步升级。[事实]可参照的对照框架来自核电工程企业的数字化实践（P9033），买方可对照此表逐行核对自身现状，差异行即改进点（P9033给出的用法）：</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维度</w:t>
            </w:r>
          </w:p>
        </w:tc>
        <w:tc>
          <w:tcPr>
            <w:tcW w:type="dxa" w:w="1660"/>
            <w:shd w:fill="1F3A5F"/>
          </w:tcPr>
          <w:p>
            <w:r>
              <w:rPr>
                <w:color w:val="FFFFFF"/>
              </w:rPr>
            </w:r>
            <w:r>
              <w:rPr>
                <w:rFonts w:ascii="Calibri" w:hAnsi="Calibri" w:eastAsia="微软雅黑"/>
                <w:b/>
                <w:i w:val="0"/>
                <w:color w:val="FFFFFF"/>
                <w:sz w:val="18"/>
              </w:rPr>
              <w:t>传统财务管理模式（基于经验）</w:t>
            </w:r>
          </w:p>
        </w:tc>
        <w:tc>
          <w:tcPr>
            <w:tcW w:type="dxa" w:w="1660"/>
            <w:shd w:fill="1F3A5F"/>
          </w:tcPr>
          <w:p>
            <w:r>
              <w:rPr>
                <w:color w:val="FFFFFF"/>
              </w:rPr>
            </w:r>
            <w:r>
              <w:rPr>
                <w:rFonts w:ascii="Calibri" w:hAnsi="Calibri" w:eastAsia="微软雅黑"/>
                <w:b/>
                <w:i w:val="0"/>
                <w:color w:val="FFFFFF"/>
                <w:sz w:val="18"/>
              </w:rPr>
              <w:t>数字化动态管控模式（基于数据）</w:t>
            </w:r>
          </w:p>
        </w:tc>
        <w:tc>
          <w:tcPr>
            <w:tcW w:type="dxa" w:w="1660"/>
            <w:shd w:fill="1F3A5F"/>
          </w:tcPr>
          <w:p>
            <w:r>
              <w:rPr>
                <w:color w:val="FFFFFF"/>
              </w:rPr>
            </w:r>
            <w:r>
              <w:rPr>
                <w:rFonts w:ascii="Calibri" w:hAnsi="Calibri" w:eastAsia="微软雅黑"/>
                <w:b/>
                <w:i w:val="0"/>
                <w:color w:val="FFFFFF"/>
                <w:sz w:val="18"/>
              </w:rPr>
              <w:t>买方核对问题</w:t>
            </w:r>
          </w:p>
        </w:tc>
        <w:tc>
          <w:tcPr>
            <w:tcW w:type="dxa" w:w="1660"/>
            <w:shd w:fill="1F3A5F"/>
          </w:tcPr>
          <w:p>
            <w:r>
              <w:rPr>
                <w:color w:val="FFFFFF"/>
              </w:rPr>
            </w:r>
            <w:r>
              <w:rPr>
                <w:rFonts w:ascii="Calibri" w:hAnsi="Calibri" w:eastAsia="微软雅黑"/>
                <w:b/>
                <w:i w:val="0"/>
                <w:color w:val="FFFFFF"/>
                <w:sz w:val="18"/>
              </w:rPr>
              <w:t>证据锚</w:t>
            </w:r>
          </w:p>
        </w:tc>
      </w:tr>
      <w:tr>
        <w:tc>
          <w:tcPr>
            <w:tcW w:type="dxa" w:w="1660"/>
          </w:tcPr>
          <w:p>
            <w:r/>
            <w:r>
              <w:rPr>
                <w:rFonts w:ascii="Calibri" w:hAnsi="Calibri" w:eastAsia="微软雅黑"/>
                <w:b w:val="0"/>
                <w:i w:val="0"/>
                <w:sz w:val="18"/>
              </w:rPr>
              <w:t>数据集成</w:t>
            </w:r>
          </w:p>
        </w:tc>
        <w:tc>
          <w:tcPr>
            <w:tcW w:type="dxa" w:w="1660"/>
          </w:tcPr>
          <w:p>
            <w:r/>
            <w:r>
              <w:rPr>
                <w:rFonts w:ascii="Calibri" w:hAnsi="Calibri" w:eastAsia="微软雅黑"/>
                <w:b w:val="0"/>
                <w:i w:val="0"/>
                <w:sz w:val="18"/>
              </w:rPr>
              <w:t>烟囱式系统，财务业务数据脱节</w:t>
            </w:r>
          </w:p>
        </w:tc>
        <w:tc>
          <w:tcPr>
            <w:tcW w:type="dxa" w:w="1660"/>
          </w:tcPr>
          <w:p>
            <w:r/>
            <w:r>
              <w:rPr>
                <w:rFonts w:ascii="Calibri" w:hAnsi="Calibri" w:eastAsia="微软雅黑"/>
                <w:b w:val="0"/>
                <w:i w:val="0"/>
                <w:sz w:val="18"/>
              </w:rPr>
              <w:t>统一数据中心，全生命周期实时采集</w:t>
            </w:r>
          </w:p>
        </w:tc>
        <w:tc>
          <w:tcPr>
            <w:tcW w:type="dxa" w:w="1660"/>
          </w:tcPr>
          <w:p>
            <w:r/>
            <w:r>
              <w:rPr>
                <w:rFonts w:ascii="Calibri" w:hAnsi="Calibri" w:eastAsia="微软雅黑"/>
                <w:b w:val="0"/>
                <w:i w:val="0"/>
                <w:sz w:val="18"/>
              </w:rPr>
              <w:t>月报还要人工拼表吗</w:t>
            </w:r>
          </w:p>
        </w:tc>
        <w:tc>
          <w:tcPr>
            <w:tcW w:type="dxa" w:w="1660"/>
          </w:tcPr>
          <w:p>
            <w:r/>
            <w:r>
              <w:rPr>
                <w:rFonts w:ascii="Calibri" w:hAnsi="Calibri" w:eastAsia="微软雅黑"/>
                <w:b w:val="0"/>
                <w:i w:val="0"/>
                <w:sz w:val="18"/>
              </w:rPr>
              <w:t>P9033</w:t>
            </w:r>
          </w:p>
        </w:tc>
      </w:tr>
      <w:tr>
        <w:tc>
          <w:tcPr>
            <w:tcW w:type="dxa" w:w="1660"/>
          </w:tcPr>
          <w:p>
            <w:r/>
            <w:r>
              <w:rPr>
                <w:rFonts w:ascii="Calibri" w:hAnsi="Calibri" w:eastAsia="微软雅黑"/>
                <w:b w:val="0"/>
                <w:i w:val="0"/>
                <w:sz w:val="18"/>
              </w:rPr>
              <w:t>预算编制</w:t>
            </w:r>
          </w:p>
        </w:tc>
        <w:tc>
          <w:tcPr>
            <w:tcW w:type="dxa" w:w="1660"/>
          </w:tcPr>
          <w:p>
            <w:r/>
            <w:r>
              <w:rPr>
                <w:rFonts w:ascii="Calibri" w:hAnsi="Calibri" w:eastAsia="微软雅黑"/>
                <w:b w:val="0"/>
                <w:i w:val="0"/>
                <w:sz w:val="18"/>
              </w:rPr>
              <w:t>静态定额，无法应对设计变更</w:t>
            </w:r>
          </w:p>
        </w:tc>
        <w:tc>
          <w:tcPr>
            <w:tcW w:type="dxa" w:w="1660"/>
          </w:tcPr>
          <w:p>
            <w:r/>
            <w:r>
              <w:rPr>
                <w:rFonts w:ascii="Calibri" w:hAnsi="Calibri" w:eastAsia="微软雅黑"/>
                <w:b w:val="0"/>
                <w:i w:val="0"/>
                <w:sz w:val="18"/>
              </w:rPr>
              <w:t>动态调整机制，支持多维度编制</w:t>
            </w:r>
          </w:p>
        </w:tc>
        <w:tc>
          <w:tcPr>
            <w:tcW w:type="dxa" w:w="1660"/>
          </w:tcPr>
          <w:p>
            <w:r/>
            <w:r>
              <w:rPr>
                <w:rFonts w:ascii="Calibri" w:hAnsi="Calibri" w:eastAsia="微软雅黑"/>
                <w:b w:val="0"/>
                <w:i w:val="0"/>
                <w:sz w:val="18"/>
              </w:rPr>
              <w:t>变更后多久预算刷新</w:t>
            </w:r>
          </w:p>
        </w:tc>
        <w:tc>
          <w:tcPr>
            <w:tcW w:type="dxa" w:w="1660"/>
          </w:tcPr>
          <w:p>
            <w:r/>
            <w:r>
              <w:rPr>
                <w:rFonts w:ascii="Calibri" w:hAnsi="Calibri" w:eastAsia="微软雅黑"/>
                <w:b w:val="0"/>
                <w:i w:val="0"/>
                <w:sz w:val="18"/>
              </w:rPr>
              <w:t>P9033</w:t>
            </w:r>
          </w:p>
        </w:tc>
      </w:tr>
      <w:tr>
        <w:tc>
          <w:tcPr>
            <w:tcW w:type="dxa" w:w="1660"/>
          </w:tcPr>
          <w:p>
            <w:r/>
            <w:r>
              <w:rPr>
                <w:rFonts w:ascii="Calibri" w:hAnsi="Calibri" w:eastAsia="微软雅黑"/>
                <w:b w:val="0"/>
                <w:i w:val="0"/>
                <w:sz w:val="18"/>
              </w:rPr>
              <w:t>现金流预测</w:t>
            </w:r>
          </w:p>
        </w:tc>
        <w:tc>
          <w:tcPr>
            <w:tcW w:type="dxa" w:w="1660"/>
          </w:tcPr>
          <w:p>
            <w:r/>
            <w:r>
              <w:rPr>
                <w:rFonts w:ascii="Calibri" w:hAnsi="Calibri" w:eastAsia="微软雅黑"/>
                <w:b w:val="0"/>
                <w:i w:val="0"/>
                <w:sz w:val="18"/>
              </w:rPr>
              <w:t>经验估算，难以反映里程碑规律</w:t>
            </w:r>
          </w:p>
        </w:tc>
        <w:tc>
          <w:tcPr>
            <w:tcW w:type="dxa" w:w="1660"/>
          </w:tcPr>
          <w:p>
            <w:r/>
            <w:r>
              <w:rPr>
                <w:rFonts w:ascii="Calibri" w:hAnsi="Calibri" w:eastAsia="微软雅黑"/>
                <w:b w:val="0"/>
                <w:i w:val="0"/>
                <w:sz w:val="18"/>
              </w:rPr>
              <w:t>时间序列+回归分析模型</w:t>
            </w:r>
          </w:p>
        </w:tc>
        <w:tc>
          <w:tcPr>
            <w:tcW w:type="dxa" w:w="1660"/>
          </w:tcPr>
          <w:p>
            <w:r/>
            <w:r>
              <w:rPr>
                <w:rFonts w:ascii="Calibri" w:hAnsi="Calibri" w:eastAsia="微软雅黑"/>
                <w:b w:val="0"/>
                <w:i w:val="0"/>
                <w:sz w:val="18"/>
              </w:rPr>
              <w:t>预测偏差是否可回溯归因</w:t>
            </w:r>
          </w:p>
        </w:tc>
        <w:tc>
          <w:tcPr>
            <w:tcW w:type="dxa" w:w="1660"/>
          </w:tcPr>
          <w:p>
            <w:r/>
            <w:r>
              <w:rPr>
                <w:rFonts w:ascii="Calibri" w:hAnsi="Calibri" w:eastAsia="微软雅黑"/>
                <w:b w:val="0"/>
                <w:i w:val="0"/>
                <w:sz w:val="18"/>
              </w:rPr>
              <w:t>P9033</w:t>
            </w:r>
          </w:p>
        </w:tc>
      </w:tr>
      <w:tr>
        <w:tc>
          <w:tcPr>
            <w:tcW w:type="dxa" w:w="1660"/>
          </w:tcPr>
          <w:p>
            <w:r/>
            <w:r>
              <w:rPr>
                <w:rFonts w:ascii="Calibri" w:hAnsi="Calibri" w:eastAsia="微软雅黑"/>
                <w:b w:val="0"/>
                <w:i w:val="0"/>
                <w:sz w:val="18"/>
              </w:rPr>
              <w:t>异质化管理</w:t>
            </w:r>
          </w:p>
        </w:tc>
        <w:tc>
          <w:tcPr>
            <w:tcW w:type="dxa" w:w="1660"/>
          </w:tcPr>
          <w:p>
            <w:r/>
            <w:r>
              <w:rPr>
                <w:rFonts w:ascii="Calibri" w:hAnsi="Calibri" w:eastAsia="微软雅黑"/>
                <w:b w:val="0"/>
                <w:i w:val="0"/>
                <w:sz w:val="18"/>
              </w:rPr>
              <w:t>概念化管理</w:t>
            </w:r>
          </w:p>
        </w:tc>
        <w:tc>
          <w:tcPr>
            <w:tcW w:type="dxa" w:w="1660"/>
          </w:tcPr>
          <w:p>
            <w:r/>
            <w:r>
              <w:rPr>
                <w:rFonts w:ascii="Calibri" w:hAnsi="Calibri" w:eastAsia="微软雅黑"/>
                <w:b w:val="0"/>
                <w:i w:val="0"/>
                <w:sz w:val="18"/>
              </w:rPr>
              <w:t>分层预算（按业务分级）</w:t>
            </w:r>
          </w:p>
        </w:tc>
        <w:tc>
          <w:tcPr>
            <w:tcW w:type="dxa" w:w="1660"/>
          </w:tcPr>
          <w:p>
            <w:r/>
            <w:r>
              <w:rPr>
                <w:rFonts w:ascii="Calibri" w:hAnsi="Calibri" w:eastAsia="微软雅黑"/>
                <w:b w:val="0"/>
                <w:i w:val="0"/>
                <w:sz w:val="18"/>
              </w:rPr>
              <w:t>关键分级费用是否单列</w:t>
            </w:r>
          </w:p>
        </w:tc>
        <w:tc>
          <w:tcPr>
            <w:tcW w:type="dxa" w:w="1660"/>
          </w:tcPr>
          <w:p>
            <w:r/>
            <w:r>
              <w:rPr>
                <w:rFonts w:ascii="Calibri" w:hAnsi="Calibri" w:eastAsia="微软雅黑"/>
                <w:b w:val="0"/>
                <w:i w:val="0"/>
                <w:sz w:val="18"/>
              </w:rPr>
              <w:t>P9033</w:t>
            </w:r>
          </w:p>
        </w:tc>
      </w:tr>
      <w:tr>
        <w:tc>
          <w:tcPr>
            <w:tcW w:type="dxa" w:w="1660"/>
          </w:tcPr>
          <w:p>
            <w:r/>
            <w:r>
              <w:rPr>
                <w:rFonts w:ascii="Calibri" w:hAnsi="Calibri" w:eastAsia="微软雅黑"/>
                <w:b w:val="0"/>
                <w:i w:val="0"/>
                <w:sz w:val="18"/>
              </w:rPr>
              <w:t>风险识别</w:t>
            </w:r>
          </w:p>
        </w:tc>
        <w:tc>
          <w:tcPr>
            <w:tcW w:type="dxa" w:w="1660"/>
          </w:tcPr>
          <w:p>
            <w:r/>
            <w:r>
              <w:rPr>
                <w:rFonts w:ascii="Calibri" w:hAnsi="Calibri" w:eastAsia="微软雅黑"/>
                <w:b w:val="0"/>
                <w:i w:val="0"/>
                <w:sz w:val="18"/>
              </w:rPr>
              <w:t>人工识别，预警滞后</w:t>
            </w:r>
          </w:p>
        </w:tc>
        <w:tc>
          <w:tcPr>
            <w:tcW w:type="dxa" w:w="1660"/>
          </w:tcPr>
          <w:p>
            <w:r/>
            <w:r>
              <w:rPr>
                <w:rFonts w:ascii="Calibri" w:hAnsi="Calibri" w:eastAsia="微软雅黑"/>
                <w:b w:val="0"/>
                <w:i w:val="0"/>
                <w:sz w:val="18"/>
              </w:rPr>
              <w:t>大数据挖掘+人工智能AI识别</w:t>
            </w:r>
          </w:p>
        </w:tc>
        <w:tc>
          <w:tcPr>
            <w:tcW w:type="dxa" w:w="1660"/>
          </w:tcPr>
          <w:p>
            <w:r/>
            <w:r>
              <w:rPr>
                <w:rFonts w:ascii="Calibri" w:hAnsi="Calibri" w:eastAsia="微软雅黑"/>
                <w:b w:val="0"/>
                <w:i w:val="0"/>
                <w:sz w:val="18"/>
              </w:rPr>
              <w:t>风险预警提前量</w:t>
            </w:r>
          </w:p>
        </w:tc>
        <w:tc>
          <w:tcPr>
            <w:tcW w:type="dxa" w:w="1660"/>
          </w:tcPr>
          <w:p>
            <w:r/>
            <w:r>
              <w:rPr>
                <w:rFonts w:ascii="Calibri" w:hAnsi="Calibri" w:eastAsia="微软雅黑"/>
                <w:b w:val="0"/>
                <w:i w:val="0"/>
                <w:sz w:val="18"/>
              </w:rPr>
              <w:t>P9033</w:t>
            </w:r>
          </w:p>
        </w:tc>
      </w:tr>
      <w:tr>
        <w:tc>
          <w:tcPr>
            <w:tcW w:type="dxa" w:w="1660"/>
          </w:tcPr>
          <w:p>
            <w:r/>
            <w:r>
              <w:rPr>
                <w:rFonts w:ascii="Calibri" w:hAnsi="Calibri" w:eastAsia="微软雅黑"/>
                <w:b w:val="0"/>
                <w:i w:val="0"/>
                <w:sz w:val="18"/>
              </w:rPr>
              <w:t>管理视角</w:t>
            </w:r>
          </w:p>
        </w:tc>
        <w:tc>
          <w:tcPr>
            <w:tcW w:type="dxa" w:w="1660"/>
          </w:tcPr>
          <w:p>
            <w:r/>
            <w:r>
              <w:rPr>
                <w:rFonts w:ascii="Calibri" w:hAnsi="Calibri" w:eastAsia="微软雅黑"/>
                <w:b w:val="0"/>
                <w:i w:val="0"/>
                <w:sz w:val="18"/>
              </w:rPr>
              <w:t>侧重核算与事后合规审计</w:t>
            </w:r>
          </w:p>
        </w:tc>
        <w:tc>
          <w:tcPr>
            <w:tcW w:type="dxa" w:w="1660"/>
          </w:tcPr>
          <w:p>
            <w:r/>
            <w:r>
              <w:rPr>
                <w:rFonts w:ascii="Calibri" w:hAnsi="Calibri" w:eastAsia="微软雅黑"/>
                <w:b w:val="0"/>
                <w:i w:val="0"/>
                <w:sz w:val="18"/>
              </w:rPr>
              <w:t>全景监控与协同价值创造</w:t>
            </w:r>
          </w:p>
        </w:tc>
        <w:tc>
          <w:tcPr>
            <w:tcW w:type="dxa" w:w="1660"/>
          </w:tcPr>
          <w:p>
            <w:r/>
            <w:r>
              <w:rPr>
                <w:rFonts w:ascii="Calibri" w:hAnsi="Calibri" w:eastAsia="微软雅黑"/>
                <w:b w:val="0"/>
                <w:i w:val="0"/>
                <w:sz w:val="18"/>
              </w:rPr>
              <w:t>财务是否参与前端决策</w:t>
            </w:r>
          </w:p>
        </w:tc>
        <w:tc>
          <w:tcPr>
            <w:tcW w:type="dxa" w:w="1660"/>
          </w:tcPr>
          <w:p>
            <w:r/>
            <w:r>
              <w:rPr>
                <w:rFonts w:ascii="Calibri" w:hAnsi="Calibri" w:eastAsia="微软雅黑"/>
                <w:b w:val="0"/>
                <w:i w:val="0"/>
                <w:sz w:val="18"/>
              </w:rPr>
              <w:t>P9033</w:t>
            </w:r>
          </w:p>
        </w:tc>
      </w:tr>
    </w:tbl>
    <w:p>
      <w:r>
        <w:rPr>
          <w:rFonts w:ascii="Calibri" w:hAnsi="Calibri" w:eastAsia="微软雅黑"/>
          <w:b w:val="0"/>
          <w:i w:val="0"/>
          <w:sz w:val="22"/>
        </w:rPr>
        <w:t>第三步，三阶段推进，每阶段有先例、有动作、有停止条件。</w:t>
      </w:r>
    </w:p>
    <w:p>
      <w:r>
        <w:rPr>
          <w:rFonts w:ascii="Calibri" w:hAnsi="Calibri" w:eastAsia="微软雅黑"/>
          <w:b w:val="0"/>
          <w:i w:val="0"/>
          <w:sz w:val="22"/>
        </w:rPr>
        <w:t>阶段零：现状诊断。[事实]动手之前，先对照从业者的失败症状清单自查：模型是否由"专门团队"另建、LOD是否到不了施工与算量的程度——钢筋怎么锚固、模板怎么支、土方怎么放坡在不在模型里；现场变更之后模型还更不更新（P9030）；设计BIM、施工BIM、竣工BIM是否各建各的、三套数据对不上（P9030）；BIM工程师是否挂在"附加岗"、不算量、不管进度、不碰成本（P9030）。[建议]再对照核电企业的数字化财务对照表逐行打分（P9033）。若自查命中过半，第一步动作不是选平台，而是先指定一名有算量与结算实务的责任人接管BIM条线——"为用而建"的前提是有人对"用"负责（P9030）。</w:t>
      </w:r>
    </w:p>
    <w:p>
      <w:r>
        <w:rPr>
          <w:rFonts w:ascii="Calibri" w:hAnsi="Calibri" w:eastAsia="微软雅黑"/>
          <w:b w:val="0"/>
          <w:i w:val="0"/>
          <w:sz w:val="22"/>
        </w:rPr>
        <w:t>阶段一：标准先行。[事实]鄂州花湖机场的首要工作不是建模而是编制36万字BIM标准、覆盖3个行业、29个专业，统一建模、编码与交付规则（P9000）；[事实]中信在恩施土司城项目上建立的参数化BIM构件库（9188.2平方米项目，P9026）提供了另一种轻量起点——先在小项目上沉淀构件库与命名规则，再向大项目复用。[建议]本阶段的验证标准：企业级编码规则文档出台，且至少在一个在建项目的两个专业间跑通"一处修改、另一专业可见"；停止条件：若六个月内连编码规则都无法在两个专业间统一（对应42%团队因命名规范不一致每周耗8小时以上对账的教训，P9027），说明组织协同基础不足，先解决人的问题再谈平台。</w:t>
      </w:r>
    </w:p>
    <w:p>
      <w:r>
        <w:rPr>
          <w:rFonts w:ascii="Calibri" w:hAnsi="Calibri" w:eastAsia="微软雅黑"/>
          <w:b w:val="0"/>
          <w:i w:val="0"/>
          <w:sz w:val="22"/>
        </w:rPr>
        <w:t>阶段二：流程重组。[事实]有效的做法应当是将变更分组处理而非零散传递，并明确更新时机和责任人（P9027）；[事实]把模型更新节奏与现场签证流程绑定，杜绝"模型同步了、签证没同步"的审计驳回风险（P9027）；[事实]在结算认模型之前，模型工程量与纸质签证的一致性检查应列为月度例行动作（针对审计"以施工图为准"的现实，P9030）。[建议]验证标准：变更从发起到全专业同步的时长可测量、可考核；停止条件：若版本错位（结构团队与机电团队版本不一致）在月度检查中反复出现（P9027），应暂停模型精度的提升，回补更新节奏与责任归属的制度。</w:t>
      </w:r>
    </w:p>
    <w:p>
      <w:r>
        <w:rPr>
          <w:rFonts w:ascii="Calibri" w:hAnsi="Calibri" w:eastAsia="微软雅黑"/>
          <w:b w:val="0"/>
          <w:i w:val="0"/>
          <w:sz w:val="22"/>
        </w:rPr>
        <w:t>阶段三：责任闭环。[事实]终点状态有两个先例可循：其一，业主顶层设计下的按模施工、模型质量验评、模型计量计价（鄂州模式，P9000）；其二，"模型错了要追责、模型省了要奖励"的考核绑定（从业者经验，P9030）。[事实]配套的人才口径是造价人才五维能力标准与自成长工程数据库（P9003/P9004），以及数字化动态管控的财务对照体系（P9033）。[建议]验证标准：模型数据在结算对账中被甲方或审计实际采信至少一次；停止条件：若项目所在地结算规则仍固定于图纸与定额（P9030），则将平台投入严格限定在变更管理与进度管理两个高回报区，不再向计量计价功能扩面——把钱花在审计认可的地方。</w:t>
      </w:r>
    </w:p>
    <w:p>
      <w:r>
        <w:rPr>
          <w:rFonts w:ascii="Calibri" w:hAnsi="Calibri" w:eastAsia="微软雅黑"/>
          <w:b w:val="0"/>
          <w:i w:val="0"/>
          <w:sz w:val="22"/>
        </w:rPr>
        <w:t>培训与考核的量化锚也有现成参照。[事实]罗湖妇幼项目累计开展BIM培训16次、累计完成168项BIM优化（P9029）——买方可以把"培训场次"与"优化项数"这对指标直接搬进年度考核表：前者衡量组织能力建设，后者衡量模型在生产中的实际吞吐。[建议]给两个指标各设阈值与复核方式：培训要有签到与考核记录，优化项要有"问题-方案-效果"三段式台账；连续两个考核期优化项数为零，说明模型未进入生产流程，应触发停止条件，退回阶段二补流程（P9027）。</w:t>
      </w:r>
    </w:p>
    <w:p>
      <w:r>
        <w:rPr>
          <w:rFonts w:ascii="Calibri" w:hAnsi="Calibri" w:eastAsia="微软雅黑"/>
          <w:b w:val="0"/>
          <w:i w:val="0"/>
          <w:sz w:val="22"/>
        </w:rPr>
        <w:t>最后是服务半径的前瞻。[事实]江苏"六张网"文件打开了投建营一体化的政策空间（P9018），[事实]BIM的应用版图本身已覆盖规划、设计、采购、施工、调试、运维和资产管理全过程，对大型基础设施、城市轨道交通、综合管廊以及EPC项目价值突出（P9023）。[预测]买方据此可以预判：未来三到五年，协同平台的采购评价标准将从"建模能力"转向"数据穿透能力"——能否把建设期模型无缝交给运营期资产管理系统，将成为下一个投标周期的分水岭。</w:t>
      </w:r>
    </w:p>
    <w:p>
      <w:r>
        <w:rPr>
          <w:rFonts w:ascii="Calibri" w:hAnsi="Calibri" w:eastAsia="微软雅黑"/>
          <w:b w:val="0"/>
          <w:i w:val="0"/>
          <w:sz w:val="22"/>
        </w:rPr>
        <w:t>把本章压缩成一张随身清单，买方在下次平台评审会上可以带着三样东西进门：一张真伪对照表（翻模还是正向设计、单一数据源还是两套账）（P9020/P9001）；一组三点检验的现场抽检动作（统一ID贯穿全周期、一处修改全域同步、一次录入全程复用）（P9001）；一份四陷阱止损条款清单（变更影响分析前置、版本命名与冻结规则、模型-签证绑定、数据采信与回退机制）（P9027/P9030）。[事实]所有这些动作的先例都已在公开项目里发生过（P9000/P9026/P9029），买方要做的不是发明，而是把先例抄进合同。</w:t>
      </w:r>
    </w:p>
    <w:p>
      <w:pPr>
        <w:pStyle w:val="Heading2"/>
      </w:pPr>
      <w:r>
        <w:t>本章小结与盲区</w:t>
      </w:r>
    </w:p>
    <w:p>
      <w:r>
        <w:rPr>
          <w:rFonts w:ascii="Calibri" w:hAnsi="Calibri" w:eastAsia="微软雅黑"/>
          <w:b/>
          <w:i w:val="0"/>
          <w:sz w:val="22"/>
        </w:rPr>
        <w:t>小结六问。</w:t>
      </w:r>
      <w:r>
        <w:rPr>
          <w:rFonts w:ascii="Calibri" w:hAnsi="Calibri" w:eastAsia="微软雅黑"/>
          <w:b w:val="0"/>
          <w:i w:val="0"/>
          <w:sz w:val="22"/>
        </w:rPr>
        <w:t xml:space="preserve"> 其一，本章证明了什么：政策已把BIM推成必交项且明确了建设方买单规则（P9006），标杆项目存在三种可验证形态的收益（前置消除、硬节约、过程凭证）（P9000/P9005/P9024/P9026/P9029），但收益兑现依赖"单一数据源+责任闭环"两个非技术条件（P9001/P9030）。其二，输入在哪：政策文件与会议材料（P9006/P9001/P9002/P9003/P9004）、企业与从业者公开自述（P9000/P9005/P9024/P9026/P9029/P9020/P9022/P9030）、裁判文书（P9011/P9012/P9013/P9014/P9015）。其三，怎么算：本章自有换算共七处，均标注own_calc——市场放大3.30倍、拖欠占比28.6%、核减率11.7%、预算落差6.0%、暂列金额占比4.6%、年版本对账400工时、获奖合计23项。其四，依赖什么前提：所有标杆收益均为项目方自述且未经独立审计；政策执行口径尚未全国统一；司法与结算规则仍以图纸为准（P9030）。其五，还有什么解释：收益可能部分来自同期管理改善而非BIM本身——"香油与水"的观察提示管理环境是必要条件（P9022）。其六，什么证据会改变答案：独立第三方审计的投入产出比数据、全国统一的BIM计价规则、承认模型为结算依据的司法判例，三者任一出现都会重写本章的投入阈值建议。</w:t>
      </w:r>
    </w:p>
    <w:p>
      <w:r>
        <w:rPr>
          <w:rFonts w:ascii="Calibri" w:hAnsi="Calibri" w:eastAsia="微软雅黑"/>
          <w:b/>
          <w:i w:val="0"/>
          <w:sz w:val="22"/>
        </w:rPr>
        <w:t>盲区（证据未覆盖处，如实声明）。</w:t>
      </w:r>
      <w:r>
        <w:rPr>
          <w:rFonts w:ascii="Calibri" w:hAnsi="Calibri" w:eastAsia="微软雅黑"/>
          <w:b w:val="0"/>
          <w:i w:val="0"/>
          <w:sz w:val="22"/>
        </w:rPr>
        <w:t xml:space="preserve"> 其一，鄂州花湖机场"节约工期200多天、节省造价3亿元"的对比基准与统计口径在公开访谈中未披露（P9000），买方无法直接换算为投资回报率，也无法判断该收益在非民航超大项目上的可迁移性。其二，"42%的BIM团队每周花费8小时以上协调冲突版本"引自源内所称"相关行业报告"，原报告名称与样本范围未具名（P9027），该比例应视为量级参考而非精确值。其三，bank内没有BIM正向设计工时与成本增量的量化数据——"翻一套模型几十万"仅为从业者口述区间（P9020），正向设计比传统出图贵多少、贵在哪个工种，无从测算，这是买方做预算时的真实空白。其四，所引司法文书（P9011/P9012/P9013/P9014/P9015）全部是传统图纸与签证争议，bank内没有以BIM模型为结算或责任依据的判例样本，"模型即责任"的法制化进度无法验证（P9030）。其五，标杆收益均来自获奖方或实施方（P9026/P9029），存在幸存者偏差；失败侧只有单案例口述（P9030），没有系统性的失败项目数据库，两端的样本都不足。</w:t>
      </w:r>
    </w:p>
    <w:p>
      <w:r>
        <w:rPr>
          <w:rFonts w:ascii="Calibri" w:hAnsi="Calibri" w:eastAsia="微软雅黑"/>
          <w:b/>
          <w:i w:val="0"/>
          <w:sz w:val="22"/>
        </w:rPr>
        <w:t>反证三问。</w:t>
      </w:r>
      <w:r>
        <w:rPr>
          <w:rFonts w:ascii="Calibri" w:hAnsi="Calibri" w:eastAsia="微软雅黑"/>
          <w:b w:val="0"/>
          <w:i w:val="0"/>
          <w:sz w:val="22"/>
        </w:rPr>
        <w:t xml:space="preserve"> 其一，什么事实会推翻本章判断：若独立审计显示标杆项目的节约数字在普通房建项目上不可复现，或6省市强制政策的实际验收执行率持续偏低（bank内无执行率数据），则"必交项→收益项"的传导链条断裂，BIM投入应退回合规成本定位。其二，现有反证为何不足：50万沦为展示工具的案例（P9030）与"香油与水"论（P9022）都是口述经验、样本不透明，它们能证明"流程不改则BIM死"，不能证明"改了流程BIM必活"——两个方向都缺少对照实验数据，因此本章只把收益主张锚在自述口径并强制挂锚披露。其三，哪个未知可能改变读者选择：BIM模型能否取得法定结算依据地位（P9030/P9022）。一旦行政法规或司法解释明确模型的计量计价效力，本章9.4的陷阱四即刻失效，9.5阶段三的停止条件应删除，企业投入阈值将整体下移——这是未来两年最值得买方持续跟踪的单点变量。</w:t>
      </w:r>
    </w:p>
    <w:p>
      <w:r>
        <w:rPr>
          <w:rFonts w:ascii="Calibri" w:hAnsi="Calibri" w:eastAsia="微软雅黑"/>
          <w:b w:val="0"/>
          <w:i w:val="0"/>
          <w:sz w:val="22"/>
        </w:rPr>
        <w:t>---</w:t>
      </w:r>
    </w:p>
    <w:p>
      <w:pPr>
        <w:pStyle w:val="Heading1"/>
      </w:pPr>
      <w:r>
        <w:t>第10章 组织与人才：一体化所需的复合型团队</w:t>
      </w:r>
    </w:p>
    <w:p>
      <w:pPr>
        <w:ind w:left="454"/>
      </w:pPr>
      <w:r>
        <w:rPr>
          <w:rFonts w:ascii="Calibri" w:hAnsi="Calibri" w:eastAsia="微软雅黑"/>
          <w:b w:val="0"/>
          <w:i w:val="0"/>
          <w:color w:val="666666"/>
          <w:sz w:val="22"/>
        </w:rPr>
        <w:t>设计与施工的「两张皮」，根子常落在人与组织：到岗失守、部门对立、授权失控、身份混同，每一项都能在判决里找到对应的损失数字。本章用判例证据拆解复合型团队的角色画像、组织形态与日常纪律。</w:t>
      </w:r>
    </w:p>
    <w:p>
      <w:r>
        <w:rPr>
          <w:rFonts w:ascii="Calibri" w:hAnsi="Calibri" w:eastAsia="微软雅黑"/>
          <w:b w:val="0"/>
          <w:i w:val="0"/>
          <w:sz w:val="22"/>
        </w:rPr>
        <w:t>adds: 读者读完本章多知道什么——「两张皮」在组织与人才层面的五种病灶形态及其判例损失数字；设计、采购、商务、法律、控制、项目总负责人六类复合角色的证据画像；联合体与法人一体化两种组织形态的取舍依据；到岗、签证、结算、反索赔四道日常纪律闸门的操作要点与停止条件。</w:t>
      </w:r>
    </w:p>
    <w:p>
      <w:pPr>
        <w:pStyle w:val="Heading2"/>
      </w:pPr>
      <w:r>
        <w:t>10.1 病灶诊断：判决书里的五种组织断裂形态</w:t>
      </w:r>
    </w:p>
    <w:p>
      <w:r>
        <w:rPr>
          <w:rFonts w:ascii="Calibri" w:hAnsi="Calibri" w:eastAsia="微软雅黑"/>
          <w:b w:val="0"/>
          <w:i w:val="0"/>
          <w:sz w:val="22"/>
        </w:rPr>
        <w:t>组织问题的一个麻烦之处，在于它很少以「组织问题」的面目出现在报表里。它先以人员流动、图纸迟交、签证遗漏的面目出现，等到进入诉讼程序，才被判决书固化为可以计价的损失。本章不从理念出发，而从裁判文书与调研证据出发，先把「两张皮」在组织层面的病理样本摆上台面。[事实] 每一份判决书里的争议背后，几乎都站着一个缺位或错位的人。</w:t>
      </w:r>
    </w:p>
    <w:p>
      <w:r>
        <w:rPr>
          <w:rFonts w:ascii="Calibri" w:hAnsi="Calibri" w:eastAsia="微软雅黑"/>
          <w:b w:val="0"/>
          <w:i w:val="0"/>
          <w:sz w:val="22"/>
        </w:rPr>
        <w:t>用判决书做组织诊断有两个天然限制，读者应当先知道：其一，进入诉讼的只是发生争议的项目，履约顺利的组织不会留下公开记录，因此本章样本存在「幸存者偏差」的反向版本——看得到的全是失败者；其二，判决书呈现的事实是当事人主张与法院认定的混合体，本章引用时均已注明「业主主张」「上诉人主张」等来源身份。限制之内，判决书仍是可信度较高的组织失效标本库：它的每一个数字都经过双方质证，比多数企业内部的成绩复盘更接近真相。[事实]</w:t>
      </w:r>
    </w:p>
    <w:p>
      <w:pPr>
        <w:pStyle w:val="Heading3"/>
      </w:pPr>
      <w:r>
        <w:t>10.1.1 关键岗位到岗失守：投标承诺与现场现实的落差</w:t>
      </w:r>
    </w:p>
    <w:p>
      <w:r>
        <w:rPr>
          <w:rFonts w:ascii="Calibri" w:hAnsi="Calibri" w:eastAsia="微软雅黑"/>
          <w:b w:val="0"/>
          <w:i w:val="0"/>
          <w:sz w:val="22"/>
        </w:rPr>
        <w:t>第一个样本来自一个被中途解除的EPC项目。修水县东津水库至竹坪河水系连通项目采用EPC勘测设计施工总承包模式，中国电建集团西北勘测设计研究院有限公司与江西省降龙水利水电建设工程有限公司组成联合体，于2016年11月15日收到中标通知书，2016年11月18日签订总承包合同及补充协议，约定工期自2016年11月16日至2019年5月15日共30个月，一期计划实施约9500万元（P10023）。合同同时列明了四个人名与岗位：项目经理李跃涛、勘察设计负责人任苇、施工负责人尧安生、施工技术负责人吴登洪（P10023）——这正是EPC项目组织架构的最小骨架：设计线、施工线、技术线各有一名可追责的负责人。</w:t>
      </w:r>
    </w:p>
    <w:p>
      <w:r>
        <w:rPr>
          <w:rFonts w:ascii="Calibri" w:hAnsi="Calibri" w:eastAsia="微软雅黑"/>
          <w:b w:val="0"/>
          <w:i w:val="0"/>
          <w:sz w:val="22"/>
        </w:rPr>
        <w:t>但业主在诉讼中主张的事实是：开工后设计进度滞后、关键岗位人员未能按投标文件承诺到岗到位、设备未能如期进场，经一再催告仍未纠正，承诺的设计施工关键节点目标均未按时实现（P10023）。监理工程师于2016年11月21日批复同意开工，业主于2017年9月26日发出解除施工总承包合同通知，2017年10月20日签发索赔报告，监理单位于次日签收（P10023）。[事实] own_calc：自2016年11月21日开工批复至2017年9月26日解除通知约10个月，仅为约定工期30个月的三分之一（P10023）。[估计]</w:t>
      </w:r>
    </w:p>
    <w:p>
      <w:r>
        <w:rPr>
          <w:rFonts w:ascii="Calibri" w:hAnsi="Calibri" w:eastAsia="微软雅黑"/>
          <w:b w:val="0"/>
          <w:i w:val="0"/>
          <w:sz w:val="22"/>
        </w:rPr>
        <w:t>解除之后的价码同样值得管理层记住：业主请求判令联合体返还工程预付款人民币1400万元、赔偿损失人民币5029.3万元，两项共计6429.3万元，并请求在1000万元限额内承担第三者责任险保险赔付责任（P10023）。[事实] own_calc：6429.3万元÷一期计划实施约9500万元≈67.7%，业主的索赔主张相当于一期计划投资的三分之二（P10023）。[估计] 一个组织的「人到不了岗」，最后折算成了真金白银的账单。</w:t>
      </w:r>
    </w:p>
    <w:p>
      <w:r>
        <w:rPr>
          <w:rFonts w:ascii="Calibri" w:hAnsi="Calibri" w:eastAsia="微软雅黑"/>
          <w:b w:val="0"/>
          <w:i w:val="0"/>
          <w:sz w:val="22"/>
        </w:rPr>
        <w:t>这个样本的教训不在个案，而在结构：投标文件里的人员承诺表，本质是企业向业主开出的一张组织信用支票。支票开出时没有兑现成本，兑付时却以合同解除与巨额索赔结算。[建议] 管理层应把「投标承诺人员到岗率」当作与进度、质量同级的履约指标管理，验证方式是与监理例会纪要逐月比对在岗记录；停止条件是关键岗位连续缺席超过一个计量周期，即触发内部升级并向业主书面报备替换方案，而不是等业主发来解除通知。</w:t>
      </w:r>
    </w:p>
    <w:p>
      <w:pPr>
        <w:pStyle w:val="Heading3"/>
      </w:pPr>
      <w:r>
        <w:t>10.1.2 部门利益对立：设计部门与总包项目部的「树状割裂」</w:t>
      </w:r>
    </w:p>
    <w:p>
      <w:r>
        <w:rPr>
          <w:rFonts w:ascii="Calibri" w:hAnsi="Calibri" w:eastAsia="微软雅黑"/>
          <w:b w:val="0"/>
          <w:i w:val="0"/>
          <w:sz w:val="22"/>
        </w:rPr>
        <w:t>第二个病灶藏在企业内部。对中机国际工程设计研究院转型EPC的调研把传统设计院的组织病概括为三种反模式：其一，盲目承接超能力圈总包，以传统设计思维代替总承包全过程风控，缺乏采购议价能力与施工分包管控体系，后果是项目毛利率骤降12–18个百分点、产生数千万元垫资坏账与履约诉讼（调研标注为C级/E级估算）（P10010）；其二，研发与现场脱节，依赖外部分包商施工技术或资质挂靠等「症状解」，后果是核心技术控制力丧失、总包管理费率被压缩至3%以下（B级/E级估算）（P10010）；其三，组织能力树状割裂，设计部门与总包项目部利益对立，设计变更索赔防线失守、人才与数据流动受阻，后果是工业项目履约延期率超过25%，并面临日万分之五的违约金罚款（C级/E级估算）（P10010）。[事实] 调研同时指出，传统工业设计院普遍存在「重设计技术、轻工程管控，重招投标、轻商务合规」的惯性，这种错位常带来10%–15%的毛利率骤降、垫资资金无法按期回收，甚至数千万元级的法律纠纷与履约违约罚款（C级）（P10010）。</w:t>
      </w:r>
    </w:p>
    <w:p>
      <w:r>
        <w:rPr>
          <w:rFonts w:ascii="Calibri" w:hAnsi="Calibri" w:eastAsia="微软雅黑"/>
          <w:b w:val="0"/>
          <w:i w:val="0"/>
          <w:sz w:val="22"/>
        </w:rPr>
        <w:t>需要如实说明的是，上述百分比在调研证据中自带C级、E级的档位标注，即它们是方法论层面的估算而非审计口径的数据（P10010）。[事实] 但方向信息仍然可用：设计部门与总包项目部的利益对立，会把「设计变更索赔防线」直接暴露给对手——设计人员不认商务责任，商务人员读不懂图纸语言，变更该签的字没人签、该提的索赔没人提，最后在结算桌上变成对方的抗辩理由。</w:t>
      </w:r>
    </w:p>
    <w:p>
      <w:r>
        <w:rPr>
          <w:rFonts w:ascii="Calibri" w:hAnsi="Calibri" w:eastAsia="微软雅黑"/>
          <w:b w:val="0"/>
          <w:i w:val="0"/>
          <w:sz w:val="22"/>
        </w:rPr>
        <w:t>对企业内部的启示是：一体化不是把设计院和工程公司放进同一栋办公楼，而是让设计、采购、施工三条线共享同一套项目损益表与同一条数据流。[建议] 若设计部门与总包项目部对同一变更事项的责任归属出现两次以上扯皮，就应视为组织割裂的报警信号，验证方式是抽查变更单的设计会签与商务会签时间差；停止条件是时间差连续扩大，即应重组项目考核单元，把两条线绑进同一个项目奖金池。</w:t>
      </w:r>
    </w:p>
    <w:p>
      <w:pPr>
        <w:pStyle w:val="Heading3"/>
      </w:pPr>
      <w:r>
        <w:t>10.1.3 授权与报告制度失灵：一个董事长签出的败诉</w:t>
      </w:r>
    </w:p>
    <w:p>
      <w:r>
        <w:rPr>
          <w:rFonts w:ascii="Calibri" w:hAnsi="Calibri" w:eastAsia="微软雅黑"/>
          <w:b w:val="0"/>
          <w:i w:val="0"/>
          <w:sz w:val="22"/>
        </w:rPr>
        <w:t>第三个病灶在公司治理层。常熟市金海华丽嘉酒店有限责任公司案中，董事长赵海花于2010年1月27日代表公司与施工方金土木公司签订《协议》，约定三项义务（P10006）：2010年3月31日前完成质监验收资料准备（P10006）；自2010年1月27日起70天内负责审核完成，如未能在此时间内审核完成，双方同意执行财政部财建（2004）369号《建设工程价款结算暂行办法》（P10006）；在约定期间支付部分款项（P10006）。[事实] 这份《协议》签订后，赵海花未向公司股东会、董事会报告，且对三项义务均未适当履行，引发施工方起诉，公司经常熟市人民法院与江苏省苏州市中级人民法院两审败诉（P10006）。</w:t>
      </w:r>
    </w:p>
    <w:p>
      <w:r>
        <w:rPr>
          <w:rFonts w:ascii="Calibri" w:hAnsi="Calibri" w:eastAsia="微软雅黑"/>
          <w:b w:val="0"/>
          <w:i w:val="0"/>
          <w:sz w:val="22"/>
        </w:rPr>
        <w:t>法院的裁判理由尤其值得玩味：二审认为该《协议》目的在于「保证该工程尽快顺利通过质监验收，完善竣工资料的移交手续同时做好结算及支付工作」，而《建设工程价款结算暂行办法》对发包人逾期未完成审核的相关规定是「发包人收到竣工结算报告及完整的结算资料后，在本办法规定或合同约定期限内，对结算报告及资料没有提出意见，则视为认可」，公司对逾期未完成审核的法律后果已有预见并自愿承担该不利后果（P10006）。[事实] 换句话说，一个未走内部报告程序的签字，把「逾期不答复视为认可」的定时炸弹安进了结算流程。</w:t>
      </w:r>
    </w:p>
    <w:p>
      <w:r>
        <w:rPr>
          <w:rFonts w:ascii="Calibri" w:hAnsi="Calibri" w:eastAsia="微软雅黑"/>
          <w:b w:val="0"/>
          <w:i w:val="0"/>
          <w:sz w:val="22"/>
        </w:rPr>
        <w:t>这个项目本身的结算规模并不小：原海兰酒店一、二期土建、安装送审造价共计30636998.18元，审计初审报告核减造价共计3591240.95元，扣除已支付的工程款17285000元后形成欠款争议（P10006）。[事实] own_calc：核减3591240.95元÷送审造价30636998.18元≈11.7%，初审即砍掉一成多的报送额（P10006）。[估计] 由此可见，结算审核时限不是技术参数，而是法律参数——70天审核期（P10006）与本办法规定的默认后果绑定在一起，谁掌握签字权限，谁就必须同时掌握时限管理。</w:t>
      </w:r>
    </w:p>
    <w:p>
      <w:r>
        <w:rPr>
          <w:rFonts w:ascii="Calibri" w:hAnsi="Calibri" w:eastAsia="微软雅黑"/>
          <w:b w:val="0"/>
          <w:i w:val="0"/>
          <w:sz w:val="22"/>
        </w:rPr>
        <w:t>[建议] 企业应建立对外签章与结算审核的授权矩阵：涉及结算时限、视为认可条款、违约金条款的对外文件，必须经法务与造价双岗复核并留痕报告董事会或总经理办公会；验证方式是每季度抽查对外协议的内部报告记录；停止条件是发现任何一份「改变结算后果」的文件未经报告即签出，立即冻结相应签章权限。</w:t>
      </w:r>
    </w:p>
    <w:p>
      <w:pPr>
        <w:pStyle w:val="Heading3"/>
      </w:pPr>
      <w:r>
        <w:t>10.1.4 身份与利益混同：股权、监理与劳务的交叉</w:t>
      </w:r>
    </w:p>
    <w:p>
      <w:r>
        <w:rPr>
          <w:rFonts w:ascii="Calibri" w:hAnsi="Calibri" w:eastAsia="微软雅黑"/>
          <w:b w:val="0"/>
          <w:i w:val="0"/>
          <w:sz w:val="22"/>
        </w:rPr>
        <w:t>第四个病灶是人事身份与交易利益的交叉。佛山某住宅项目系列纠纷中，被告辛磊是总承包方开平住宅建筑工程集团有限公司的法定代表人、董事长及控股股东，持有开平住建70%的股权（P10018）；同时，辛磊通过深圳开太平信息服务有限责任公司对劳务分包方开平市筑鼎建筑工程劳务有限公司间接持股60%（P10018）。[事实] 实际施工人刘兆伟据此在一审中请求三被告连带给付工程劳务费29429235.05元及以29429235.05元为本金按年利率6%自2016年8月7日起算的利息，另请求赔偿购置模板、螺杆及其他小型机械工具设备、轮扣、钢管等损失6658434.37元（P10018）。</w:t>
      </w:r>
    </w:p>
    <w:p>
      <w:r>
        <w:rPr>
          <w:rFonts w:ascii="Calibri" w:hAnsi="Calibri" w:eastAsia="微软雅黑"/>
          <w:b w:val="0"/>
          <w:i w:val="0"/>
          <w:sz w:val="22"/>
        </w:rPr>
        <w:t>总承包方的最高管理者同时是劳务分包方的间接股东，这种结构在诉讼中的直接后果是：每一笔劳务计量、每一笔付款都可能被对方放到「关联交易」的放大镜下审视，企业不仅要证明干了多少活，还要先解释清楚自己是谁。[事实] 组织设计里没有回避机制，法庭上就会多一道防线。</w:t>
      </w:r>
    </w:p>
    <w:p>
      <w:r>
        <w:rPr>
          <w:rFonts w:ascii="Calibri" w:hAnsi="Calibri" w:eastAsia="微软雅黑"/>
          <w:b w:val="0"/>
          <w:i w:val="0"/>
          <w:sz w:val="22"/>
        </w:rPr>
        <w:t>身份混同的代价还不止于诉讼攻防。当总承包方、劳务分包方与资金安排被同一自然人串联，项目实际成了私人风险的容器：计量由谁确认、进度款流向何处、材料损失由谁承担，每一个环节都失去了对手方。刘兆伟案中，原告请求的第二项——赔偿购置模板、螺杆及其他小型机械工具设备，轮扣、钢管等损失6658434.37元（P10018）——正是这种失序的注脚：工具与材料在多个主体之间流转，损失归属说不清，只能全部摆上法庭。[事实] 对一体化企业而言，回避机制不是道德要求，而是计量与付款流程能够成立的组织前提。</w:t>
      </w:r>
    </w:p>
    <w:p>
      <w:r>
        <w:rPr>
          <w:rFonts w:ascii="Calibri" w:hAnsi="Calibri" w:eastAsia="微软雅黑"/>
          <w:b w:val="0"/>
          <w:i w:val="0"/>
          <w:sz w:val="22"/>
        </w:rPr>
        <w:t>[建议] 一体化企业应把「关联任职回避」写进项目组建清单：项目经理、商务经理及以上人员的近亲属持股企业、兼职企业不得出现在本项目分包与监理链条中；验证方式是项目开工前收集关键岗位人员的关联企业声明并比对分包商股权信息；停止条件是一旦发现交叉持股或交叉任职未申报，相关分包合同暂缓付款直至独立第三方计量确认。</w:t>
      </w:r>
    </w:p>
    <w:p>
      <w:pPr>
        <w:pStyle w:val="Heading3"/>
      </w:pPr>
      <w:r>
        <w:t>10.1.5 转包挂靠与诈骗：链条化组织的终点</w:t>
      </w:r>
    </w:p>
    <w:p>
      <w:r>
        <w:rPr>
          <w:rFonts w:ascii="Calibri" w:hAnsi="Calibri" w:eastAsia="微软雅黑"/>
          <w:b w:val="0"/>
          <w:i w:val="0"/>
          <w:sz w:val="22"/>
        </w:rPr>
        <w:t>第五个病灶是组织链条失序的极端形态。山西亚能案中，工程经大唐陕西发电有限公司西安热电厂发包后，在中国电建集团河南工程有限公司、河南汇龙环保科技有限公司与山西亚能电力建设有限责任公司之间层层流转，上诉人甚至在诉讼理由中写道，按照一审法院的逻辑，本案需要打四场追偿诉讼才能最终厘清各方的欠款（P10032）。[事实] 该案上诉理由援引了最高人民法院《建设工程施工司法解释（二）》第二十四条关于发包人在欠付工程款范围内对实际施工人承担付款责任、第二十五条关于代位权诉讼的规定（P10032）。链条越长，每一次流转都在稀释管理与付款责任，最后由法庭来当「总项目经理」。</w:t>
      </w:r>
    </w:p>
    <w:p>
      <w:r>
        <w:rPr>
          <w:rFonts w:ascii="Calibri" w:hAnsi="Calibri" w:eastAsia="微软雅黑"/>
          <w:b w:val="0"/>
          <w:i w:val="0"/>
          <w:sz w:val="22"/>
        </w:rPr>
        <w:t>比转包更极端的是借组织名义行骗。李正华合同诈骗案中，西藏某县兆瓦光伏并网发电项目由四川电力设计咨询有限责任公司总承包设计施工，2017年1月18日开始施工建设，2017年5月20日并网发电（P10012）；李正华在未取得该项目发包、分包权的情况下，对外谎称中国电力建设集团有限公司系该项目总承包方，伪造中国电建公章、财务专用章，伪造劳务总包合同与缴纳保证金的收款收据，虚构分包项目、工程量，并伪造国家能源局红头文件、进场通知书、工程量分配单等，先后骗取任某等人共计人民币860万元，其中200万元未遂（P10012）。[事实] 受害人缴纳的保证金名目繁多：任某先后缴纳35万元，周某缴纳70万元，路某先后缴纳30万元与190万元、被骗220万元，谭某一方缴纳100万元与150万元后获退155万元、被骗95万元，米某缴纳介绍费30万元（P10012）。</w:t>
      </w:r>
    </w:p>
    <w:p>
      <w:r>
        <w:rPr>
          <w:rFonts w:ascii="Calibri" w:hAnsi="Calibri" w:eastAsia="微软雅黑"/>
          <w:b w:val="0"/>
          <w:i w:val="0"/>
          <w:sz w:val="22"/>
        </w:rPr>
        <w:t>这个案件对总承包企业的组织含义有两层。第一层是外部资信：真实的总承包方与被冒名的央企都在案件里付出声誉成本，而劳务队伍只要多走一步「向总承包方项目部书面核实分包授权+核验保证金收款账户为对公账户」即可拦截大部分骗局。[建议] 分包资信核查应设双通道——公章印鉴与授权文件向总承包方当面核验、保证金只收对公账户，验证方式是抽查每一笔保证金缴纳的账户凭证；停止条件是任一通道不能闭环，即暂停进场与付款。第二层是内部纪律：企业自身的项目印章、授权书、介绍信必须有台账，否则下一个被伪造的就是你。</w:t>
      </w:r>
    </w:p>
    <w:p>
      <w:r>
        <w:rPr>
          <w:rFonts w:ascii="Calibri" w:hAnsi="Calibri" w:eastAsia="微软雅黑"/>
          <w:b w:val="0"/>
          <w:i w:val="0"/>
          <w:sz w:val="22"/>
        </w:rPr>
        <w:t>从组织治理的角度看，诈骗与转包是同一条谱系的两端：转包把管理责任层层稀释，诈骗则趁稀释之机冒名顶替。转包链条案的上诉人自陈本案需要打四场追偿诉讼才能厘清各方欠款（P10032），诈骗案的受害人则连项目真伪都无从分辨（P10012）。[事实] 两者共同指向同一味解药：交易对手与交易事实的双向验证。对内，企业要管住印章、授权书与项目公示；对外，要用对公账户与当面核签把冒名成本抬到骗术覆盖不了的高度。</w:t>
      </w:r>
    </w:p>
    <w:p>
      <w:pPr>
        <w:pStyle w:val="Heading2"/>
      </w:pPr>
      <w:r>
        <w:t>10.2 能力画像：一体化交付的六类复合角色</w:t>
      </w:r>
    </w:p>
    <w:p>
      <w:r>
        <w:rPr>
          <w:rFonts w:ascii="Calibri" w:hAnsi="Calibri" w:eastAsia="微软雅黑"/>
          <w:b w:val="0"/>
          <w:i w:val="0"/>
          <w:sz w:val="22"/>
        </w:rPr>
        <w:t>如果说上一节回答了「病在哪」，本节回答「缺谁」。从判例争议点反推，EPC一体化交付至少需要六类角色：项目总负责人、设计经理与概算工程师、采购工程师、商务与索赔经理、法律与税务顾问、费用与进度控制经理。他们分别对应判例中反复出现的六类损失：合同解除、图纸与变更失控、采购失控、签证与索赔流失、合同结构与效力风险、超付与结算拖沓。[假设] 这六类角色共同构成复合型团队的最小完整配置；若该假设成立，则任何一类角色的长期空缺都应能在企业自身的项目损益中找到对应科目——这一点可以用企业内部三年项目数据回测验证。</w:t>
      </w:r>
    </w:p>
    <w:p>
      <w:r>
        <w:rPr>
          <w:rFonts w:ascii="Calibri" w:hAnsi="Calibri" w:eastAsia="微软雅黑"/>
          <w:b w:val="0"/>
          <w:i w:val="0"/>
          <w:sz w:val="22"/>
        </w:rPr>
        <w:t>六类角色与判例损失的对应关系可以在证据里逐条验核：合同解除与6429.3万元索赔主张对应到岗失守（P10023）；工期延误463天、实际工期为合同约定工期的3倍对应设计线失控（P10019）；设备采购60500万元对应采购线（P10016）；变更增加工程款7205791元对应商务线（P10025）；合同效力与拆分架构争议对应法律线（P10002、P10011）；超付与结算拉锯对应控制线（P10017、P10028）。[事实] 角色画像因此不是组织架构图的美术问题，而是把每一类判例损失指派给一个可问责的人。</w:t>
      </w:r>
    </w:p>
    <w:p>
      <w:pPr>
        <w:pStyle w:val="Heading3"/>
      </w:pPr>
      <w:r>
        <w:t>10.2.1 项目总负责人：从「技术权威」到「履约总经理」</w:t>
      </w:r>
    </w:p>
    <w:p>
      <w:r>
        <w:rPr>
          <w:rFonts w:ascii="Calibri" w:hAnsi="Calibri" w:eastAsia="微软雅黑"/>
          <w:b w:val="0"/>
          <w:i w:val="0"/>
          <w:sz w:val="22"/>
        </w:rPr>
        <w:t>修水案合同列出的项目经理、勘察设计负责人、施工负责人、施工技术负责人四个岗位（P10023），实际上给出了项目总负责人的四项分身：对外他是签字的最终责任人，对内他要同时调度设计、施工、技术三条线。调研中对中机国际的落地建议同样指向这个岗位的可核查性：核查异地项目经理社保属地化率与合同「三角金额」（P10010）。[事实] 「社保属地化率」核查的是人与项目是否真的在一起，「三角金额」核查的是合同金额、结算金额、付款金额三者能否互相勾稽——两个指标都把「项目经理」从一种荣誉头衔还原成一组可审计的数据。</w:t>
      </w:r>
    </w:p>
    <w:p>
      <w:r>
        <w:rPr>
          <w:rFonts w:ascii="Calibri" w:hAnsi="Calibri" w:eastAsia="微软雅黑"/>
          <w:b w:val="0"/>
          <w:i w:val="0"/>
          <w:sz w:val="22"/>
        </w:rPr>
        <w:t>[建议] 企业选任EPC项目总负责人时，宜把「同时管过设计与施工双侧计量」设为硬条件，验证方式是调取其既往项目的变更签证记录与结算书；停止条件是候选人只有单侧履历，则必须为其配置对侧副职并延迟独立授权一个项目周期。</w:t>
      </w:r>
    </w:p>
    <w:p>
      <w:r>
        <w:rPr>
          <w:rFonts w:ascii="Calibri" w:hAnsi="Calibri" w:eastAsia="微软雅黑"/>
          <w:b w:val="0"/>
          <w:i w:val="0"/>
          <w:sz w:val="22"/>
        </w:rPr>
        <w:t>项目总负责人的岗位说明书里还应写明三条边界：他不直接改图纸，但有权冻结有商务争议的图纸版本；他不直接谈分包价格，但有权否决未走比价流程的订单；他不直接出庭，但对他签字的每一份签证承担举证配合义务。这三条边界来自判例的反面——修水案的岗位缺位（P10023）与赵海花案的越权签字（P10006）分别踩中了「该管不管」与「不该签乱签」两端。[事实] 岗位说明书的本质，就是把这两端之间的地带用规则铺满。</w:t>
      </w:r>
    </w:p>
    <w:p>
      <w:pPr>
        <w:pStyle w:val="Heading3"/>
      </w:pPr>
      <w:r>
        <w:t>10.2.2 设计经理与概算工程师：把图纸和钱连起来</w:t>
      </w:r>
    </w:p>
    <w:p>
      <w:r>
        <w:rPr>
          <w:rFonts w:ascii="Calibri" w:hAnsi="Calibri" w:eastAsia="微软雅黑"/>
          <w:b w:val="0"/>
          <w:i w:val="0"/>
          <w:sz w:val="22"/>
        </w:rPr>
        <w:t>设计线在判例中留下的教训最为密集。其一，出图节奏失控：四川电力设计咨询有限责任公司与岳池送变电工程公司案中，二审法院认定「在工程招标时，四川电力公司并未提供施工图，是在施工过程中边施工边提供施工详图」，再审申请人力主案涉工程为总价包干、设计变更范围外不应鉴定，并主张二次复测费用78066元应予纠正（P10014）。[事实] 边施工边出图意味着设计管理被压缩成「救火式供图」，概算控制无从谈起。其二，设计延误直接吃掉工期：东泰华美装饰案中，上诉人主张案涉工程工期延误463天，理由包括设计图提交延误、设计变更引发的返工停工，并称工程实际工期是合同约定工期的3倍，双方与案外人于2015年8月18日达成的会议纪要即可证明工期延误原因（P10019）。[事实] 其三，上游规划调整穿透设计端：武汉后湖案中，开发商临时决定对3#楼进行建设规划调整，将原设计的地下2层、地上1层（25米高）调整为地下2层、地上5层，因此需要对3#楼重新设计并重新申报建设工程规划许可证，3#楼迟至2013年1月11日才办理完竣工验收，结算争议随之升级——1#、2#住宅楼按固定总价3350.2089万元，3#楼按定额据实结算4471.1532万元，另有合同外工程597.6953万元、开闭所工程款37.3081万元与配合费10万元，应结工程款总额达8466.3655万元（P10026）。[事实] own_calc：以8466.3655万元为分母，固定总价合同内部分3350.2089万元仅占约39.6%，其余约60.4%来自3#楼调整结算、合同外项目与配合费（P10026）。[估计]</w:t>
      </w:r>
    </w:p>
    <w:p>
      <w:r>
        <w:rPr>
          <w:rFonts w:ascii="Calibri" w:hAnsi="Calibri" w:eastAsia="微软雅黑"/>
          <w:b w:val="0"/>
          <w:i w:val="0"/>
          <w:sz w:val="22"/>
        </w:rPr>
        <w:t>概算工程师的工具箱在调研中有明确记载：初步设计概算编制三法——概算定额法、概算指标法（修正公式J修正=J+Q1P1−Q2P2）、类似工程预算法（D=A×K）（P10000）；设备安装四法——预算单价法、扩大单价法、设备价值百分比法、综合吨位指标法（P10000）。[事实] 这些方法的共同点是都依赖企业历史数据积累——没有类似工程数据库，类似工程预算法就是空转。施工图预算与合同价之间的落差也是概算能力的日常考场：潘广松工厂车间1预算造价4111945.39元、最终合同价3800000元，车间2预算造价3993494.48元、最终合同价3685000元，宿舍预算造价6767053.59元、最终合同价6500000元，对应预算单价分别为364.53元／㎡、1192.09元／㎡、788.88元／㎡（P10005）。[事实] own_calc：三项预算造价4111945.39元＋3993494.48元＋6767053.59元之和对最终合同价合计13985000元，落差约5.9%（own_calc，P10005）。[估计] 预算做得准，谈判才有锚。</w:t>
      </w:r>
    </w:p>
    <w:p>
      <w:r>
        <w:rPr>
          <w:rFonts w:ascii="Calibri" w:hAnsi="Calibri" w:eastAsia="微软雅黑"/>
          <w:b w:val="0"/>
          <w:i w:val="0"/>
          <w:sz w:val="22"/>
        </w:rPr>
        <w:t>[建议] 设计经理岗位宜实行「图纸—概算」双交付考核：每版图纸交付时同步提交对应概算版本与偏差说明；验证方式是抽查图纸交付记录与概算版本的一一对应；停止条件是出现「图已交、概算未跟」两次以上，即冻结该项目的后续出图并升级至总工程师。</w:t>
      </w:r>
    </w:p>
    <w:p>
      <w:pPr>
        <w:pStyle w:val="Heading3"/>
      </w:pPr>
      <w:r>
        <w:t>10.2.3 采购工程师：40%～60%合同额的守门人</w:t>
      </w:r>
    </w:p>
    <w:p>
      <w:r>
        <w:rPr>
          <w:rFonts w:ascii="Calibri" w:hAnsi="Calibri" w:eastAsia="微软雅黑"/>
          <w:b w:val="0"/>
          <w:i w:val="0"/>
          <w:sz w:val="22"/>
        </w:rPr>
        <w:t>国际工程调研给出的量级判断是：工业类EPC总承包项目，采购额占合同额的比例高达40%～60%，且待购设备和材料种类极多、涉及面广、工作量大，采购执行的好坏对整个工程项目的进度、质量和费用都将产生直接影响（P10027）。[事实] 判例数据与之互相印证：中南电力设计院总承包的金桂浆纸业动力电厂项目中，合同总价92000万元，其中设备采购合同价格60500万元、服务合同价格4665万元、土建安装合同价格26835万元（P10016）。[事实] own_calc：设备采购60500万元÷合同总价92000万元≈65.8%，服务占约5.1%，土建安装占约29.2%（P10016）。[估计] 在这样的合同结构里，采购岗位管理着项目三分之二的钱。</w:t>
      </w:r>
    </w:p>
    <w:p>
      <w:r>
        <w:rPr>
          <w:rFonts w:ascii="Calibri" w:hAnsi="Calibri" w:eastAsia="微软雅黑"/>
          <w:b w:val="0"/>
          <w:i w:val="0"/>
          <w:sz w:val="22"/>
        </w:rPr>
        <w:t>采购风险清单在调研中同样具体：投标报价阶段容易对潜在风险预估不足，招标文件解读、概算询价或估价、价格汇总中存在遗漏或理解偏差，使采购成本未能完整反映工作范围与风险；执行阶段则面临计划编制不当风险、选商风险、催交风险、检验风险、物流运输风险、现场材料管理风险（P10027）。[事实] 赤天化案还提示了采购界面的合同化问题：三大主机由业主赤天化公司负责采购，而设备材料的催交、催运等工作分担成为双方诉讼中的争点之一，承包商中国电建集团新能源电力有限公司主张拖欠工程款131845782元，该案EPC总承包合同签订于2008年5月29日，电建公司投标总价521965260元、合同约定价款460436515元（P10002）。[事实] own_calc：（投标总价521965260元−合同价款460436515元）÷投标总价521965260元≈11.8%（own_calc，P10002）。[估计] 业主采购、承包商催交这类交叉安排，若不在合同里写清责任与费用归属，采购工程师就会在两条管理线的夹缝里背锅。</w:t>
      </w:r>
    </w:p>
    <w:p>
      <w:r>
        <w:rPr>
          <w:rFonts w:ascii="Calibri" w:hAnsi="Calibri" w:eastAsia="微软雅黑"/>
          <w:b w:val="0"/>
          <w:i w:val="0"/>
          <w:sz w:val="22"/>
        </w:rPr>
        <w:t>采购岗位的外部视野也有判例级要求。国际工程调研建议，在投标报价阶段通过实地调研、专家咨询等方法对项目所在国政治风险进行评估，并结合企业根据自身情况设定的风险阈值决定是否参与投标；评估结果表明政治风险超出风险阈值则选择规避，未超出则在投资的同时通过购买保险、引入当地合作伙伴等多种方式转移风险（P10027）。[事实] 这套阈值、规避、转移的决策链，落在组织上就是采购与法务、融资三岗的联席评审机制。境内项目同样适用：业主方采购、承包方催交的交叉安排（P10002），本质上也是一种需要阈值管理的接口风险。</w:t>
      </w:r>
    </w:p>
    <w:p>
      <w:r>
        <w:rPr>
          <w:rFonts w:ascii="Calibri" w:hAnsi="Calibri" w:eastAsia="微软雅黑"/>
          <w:b w:val="0"/>
          <w:i w:val="0"/>
          <w:sz w:val="22"/>
        </w:rPr>
        <w:t>[建议] 采购工程师宜按「品类 owner 制」配置，每个人对固定品类的价格数据库、供应商名录与催交记录负责；验证方式是按品类抽查询价记录的至少三源比价留痕；停止条件是任一品类的独家采购未经审批备案，即暂停相应订单。</w:t>
      </w:r>
    </w:p>
    <w:p>
      <w:pPr>
        <w:pStyle w:val="Heading3"/>
      </w:pPr>
      <w:r>
        <w:t>10.2.4 商务与索赔经理：签证、价差与反索赔的操盘手</w:t>
      </w:r>
    </w:p>
    <w:p>
      <w:r>
        <w:rPr>
          <w:rFonts w:ascii="Calibri" w:hAnsi="Calibri" w:eastAsia="微软雅黑"/>
          <w:b w:val="0"/>
          <w:i w:val="0"/>
          <w:sz w:val="22"/>
        </w:rPr>
        <w:t>商务线的能力直接决定变更能不能变成钱。俞建祥诉浙江中南建设集团案中，水电安装总工程款7986068元的构成被拆解为标书造价7111747元＋联系单增加造价874321元，施工过程中的设计变更和新增项目通过「施工联系单」形式签证确认，而总包方未按合同约定的「提交决算书之日起60天内审计完成」履行审计义务，原告已收工程款3900000元，主张拖欠4086068元并按每天万分之三计算逾期付款违约金1020801元（自2005年12月11日暂算至2009年1月11日）（P10007）。[事实] own_calc：联系单增加造价874321元÷标书造价7111747元≈12.3%，一栋楼的变更量做到了合同额的一成多（P10007）。[估计] 这12.3%能否落袋（own_calc，P10007），取决于每一张联系单的签字与时限管理。</w:t>
      </w:r>
    </w:p>
    <w:p>
      <w:r>
        <w:rPr>
          <w:rFonts w:ascii="Calibri" w:hAnsi="Calibri" w:eastAsia="微软雅黑"/>
          <w:b w:val="0"/>
          <w:i w:val="0"/>
          <w:sz w:val="22"/>
        </w:rPr>
        <w:t>索赔的另一个战场是价差与窝工。重庆一品建设案中，施工方请求钢筋材料费价差补贴471274元、基础损失索赔费1565809.08元，共计2037083.08元，并请求以8576021.90元为基数按年利率24%自2015年10月19日起计算逾期付款违约金，另主张退还到期质保金2095908.72元与进度款违约金3883273元（P10003）。[事实] 变更体量的极端样本则来自宁夏鑫田案：原告以12933521.89元中标，后主张变更增加的工程款7205791元及延期付款利息2678392.52元，各项请求合计11947808.65元，而合同工期仅121天（P10025）。[事实] own_calc：变更增加工程款7205791元÷中标价12933521.89元≈55.7%，变更金额超过原合同额的一半（P10025）。[估计] 在这种项目上，商务与索赔经理不是支持岗位，而是利润的最后一道生产线。</w:t>
      </w:r>
    </w:p>
    <w:p>
      <w:r>
        <w:rPr>
          <w:rFonts w:ascii="Calibri" w:hAnsi="Calibri" w:eastAsia="微软雅黑"/>
          <w:b w:val="0"/>
          <w:i w:val="0"/>
          <w:sz w:val="22"/>
        </w:rPr>
        <w:t>[建议] 商务与索赔经理宜实行「变更台账周更+签证闭环率」双指标：每一张联系单从发出、会签、计量到计价全程留痕；验证方式是月度核对台账中「已实施未签证」清单；停止条件是未签证存量持续上升，即暂停对应作业面的后续施工。</w:t>
      </w:r>
    </w:p>
    <w:p>
      <w:pPr>
        <w:pStyle w:val="Heading3"/>
      </w:pPr>
      <w:r>
        <w:t>10.2.5 法律与税务顾问：合同结构的设计者，不是救火队员</w:t>
      </w:r>
    </w:p>
    <w:p>
      <w:r>
        <w:rPr>
          <w:rFonts w:ascii="Calibri" w:hAnsi="Calibri" w:eastAsia="微软雅黑"/>
          <w:b w:val="0"/>
          <w:i w:val="0"/>
          <w:sz w:val="22"/>
        </w:rPr>
        <w:t>法律岗位的价值在签约前最大。涉外工程律师的实务总结显示，跨境EPC合同拆分有两段式、三段式与四段式、五段式等模式，其法律基础是合同相对性原则，难点在于既保持各合同独立性以应对税务和合规审查，又通过统领协议（Umbrella Agreement）在实质上恢复单一EPC合同的单点责任特征（P10011）。[事实] 税务差异的量级可以非常具体：以哈萨克斯坦为例，2026年起VAT从12%升至16%，拆分后离岸部分可避开该税负（P10011）；离岸合同的设计费可能被视为特许权使用费征收预提税，该国税率为10%（P10011）。[事实] 一体化程度越深，合同群越复杂，法务人才就越要从「审合同的人」变成「画结构的人」。</w:t>
      </w:r>
    </w:p>
    <w:p>
      <w:r>
        <w:rPr>
          <w:rFonts w:ascii="Calibri" w:hAnsi="Calibri" w:eastAsia="微软雅黑"/>
          <w:b w:val="0"/>
          <w:i w:val="0"/>
          <w:sz w:val="22"/>
        </w:rPr>
        <w:t>境内项目的教训同样指向前置介入。赤天化案中，承包商以项目属必须招投标项目为由主张EPC总承包合同无效，援引《中华人民共和国招标投标法》第三条第一款第二项，并主张投标总价521965260元与合同价款460436515元不一致违反招标投标法第四十六条及实施条例第五十七条（P10002）。[事实] 中建七局一公司案则展示了招标程序边界的判断难题：8号楼经招投标中标后，双方经协商议定2号至5号楼共4栋楼不再经招投标，而将8号楼的招投标文件作为2号至5号楼的合同附件，合同暂定总价90000000元，原告主张欠付工程款60469100元、利息损失从1980000元追加至3990960元（P10022）。[事实] 这类「效力风险 vs 计价风险」的权衡，必须在投标决策会上由法务给出书面意见，而不是在二审法庭上才第一次讨论。</w:t>
      </w:r>
    </w:p>
    <w:p>
      <w:r>
        <w:rPr>
          <w:rFonts w:ascii="Calibri" w:hAnsi="Calibri" w:eastAsia="微软雅黑"/>
          <w:b w:val="0"/>
          <w:i w:val="0"/>
          <w:sz w:val="22"/>
        </w:rPr>
        <w:t>结算条款的法律设计同样值得单列。新疆兵建案中，三方签订《合同补充附件》共同委托具有甲级资质的造价咨询公司进行工程结算，约定咨询公司的最终结算总价一经告知立即生效、任何一方拒绝接受的表示或行为均不影响该结果生效（P10028）。[事实] 这类「咨询结果绑定生效」条款把结算争议的出口提前锁死，签署之前必须由法务与造价双岗评估其后果。</w:t>
      </w:r>
    </w:p>
    <w:p>
      <w:r>
        <w:rPr>
          <w:rFonts w:ascii="Calibri" w:hAnsi="Calibri" w:eastAsia="微软雅黑"/>
          <w:b w:val="0"/>
          <w:i w:val="0"/>
          <w:sz w:val="22"/>
        </w:rPr>
        <w:t>[建议] 法务人才配置宜实行「一项目一合同地图」：把总包合同、分包合同、采购合同、咨询合同的金额、时限、违约条款汇成一张对照图随项目例会更新；验证方式是抽查合同地图与实际签署版本的一致性；停止条件是发现任一合同未入图即停止该项目新合同签署。</w:t>
      </w:r>
    </w:p>
    <w:p>
      <w:r>
        <w:rPr>
          <w:rFonts w:ascii="Calibri" w:hAnsi="Calibri" w:eastAsia="微软雅黑"/>
          <w:b w:val="0"/>
          <w:i w:val="0"/>
          <w:sz w:val="22"/>
        </w:rPr>
        <w:t>法务人才的另一项日常产出是条款风险清单的版本管理。以违约金为例，华荣案合同同时约定按日万分之五的工期违约金与按每天1000元的资料违约金，且双方在订立合同时已自愿放弃对违约金过高过低的异议权（P10029）；一品案施工方主张的按年利率24%的逾期付款违约金（P10003），同样源于合同条款本身。[事实] 条款在签约时是文字，在诉讼时是乘数——法务的岗位价值，就是把乘数在签约前算给管理层看。</w:t>
      </w:r>
    </w:p>
    <w:p>
      <w:pPr>
        <w:pStyle w:val="Heading3"/>
      </w:pPr>
      <w:r>
        <w:t>10.2.6 费用与进度控制经理：超付防线的守夜人</w:t>
      </w:r>
    </w:p>
    <w:p>
      <w:r>
        <w:rPr>
          <w:rFonts w:ascii="Calibri" w:hAnsi="Calibri" w:eastAsia="微软雅黑"/>
          <w:b w:val="0"/>
          <w:i w:val="0"/>
          <w:sz w:val="22"/>
        </w:rPr>
        <w:t>第六类角色管的不是把钱要回来，而是防止把钱付错。中冶十三冶案提供了一个罕见的「超付」标本：分包工程结算金额13，159，890.17元，扣除5%质保金后应付款项12，501，895.66元，而总包方已支付工程款14，778，673.28元，超付3，153，559.93元，另有代缴税金276，782.31元，总包方据此起诉要求返还超付款并索赔损失60万元（P10017）。[事实] own_calc：超付3，153，559.93元÷应付款项12，501，895.66元≈25.2%，付出去的钱比应付的多出四分之一（P10017）。[估计] 超付不是慷慨，是控制失灵——计量、扣款、质保金、税金四本账没有对齐。</w:t>
      </w:r>
    </w:p>
    <w:p>
      <w:r>
        <w:rPr>
          <w:rFonts w:ascii="Calibri" w:hAnsi="Calibri" w:eastAsia="微软雅黑"/>
          <w:b w:val="0"/>
          <w:i w:val="0"/>
          <w:sz w:val="22"/>
        </w:rPr>
        <w:t>进度款的结构化管理同样有样本。苏中建设案中，合同约定开工进场后付总价的10%、基础完成后付20%、主体完成三层付20%、主体完成付10%、竣工验收合格后付10%、竣工结算审核后付25%、余款5%作保修金满一年后付清（P10013）；一期合同签订于2010年11月24日、二三期合同签订于2011年2月15日，一期于2011年12月22日、二三期于2012年5月30日竣工验收合格并交付，原告主张欠付工程款31378570元、利息4911862.33元与逾期付款违约金5116934.78元（P10013）。[事实] own_calc：（利息4911862.33元＋违约金5116934.78元）÷欠付本金31378570元≈32.0%（own_calc，P10013）。[估计] 拖延付款的资金成本三年间涨到了本金的三成——控制经理若只盯支出不盯条款，企业就会用真金白银支付「时间」。</w:t>
      </w:r>
    </w:p>
    <w:p>
      <w:r>
        <w:rPr>
          <w:rFonts w:ascii="Calibri" w:hAnsi="Calibri" w:eastAsia="微软雅黑"/>
          <w:b w:val="0"/>
          <w:i w:val="0"/>
          <w:sz w:val="22"/>
        </w:rPr>
        <w:t>结算周期的另一个样本来自新疆兵建案：造价咨询事务所于2014年1月15日出具《竣工结算书》、结算金额278,204,693元（P10028），三方于2014年5月依该结果将合同暂定价调整为278,204,693元（P10028）；2017年8月17日该所出具结算意见、核定工程结算审定价282,962,209元（P10028），2017年9月26日各方签署《工程联系单》予以确认；2015年12月1日对账确认电力设计院累计支付工程款231,474,585.18元，施工方主张欠付51,487,623.82元，并按年利率2.75%、54个月主张利息6,569,761.96元（P10028）。[事实] own_calc：从2014年1月15日《竣工结算书》到2017年8月17日结算意见，间隔约43个月（P10028）；审定价282,962,209元较暂定价278,204,693元增加约1.7%（282,962,209元−278,204,693元再除以暂定价，own_calc，P10028）。[估计] 三年半的结算拉锯换来的调整不足两个百分点，而利息主张已达6,569,761.96元（P10028）——控制经理的岗位价值，就是把这类「时间换小钱」的流程压缩掉。</w:t>
      </w:r>
    </w:p>
    <w:p>
      <w:r>
        <w:rPr>
          <w:rFonts w:ascii="Calibri" w:hAnsi="Calibri" w:eastAsia="微软雅黑"/>
          <w:b w:val="0"/>
          <w:i w:val="0"/>
          <w:sz w:val="22"/>
        </w:rPr>
        <w:t>[建议] 费用与进度控制经理宜建立「四账合一」月度对账：合同账、计量账、付款账、发票税金账四表勾稽，任何一项差异未闭合即列入升级清单；验证方式是抽查月度对账纪要中差异项的销项记录；停止条件是同一差异连续两个月未闭合，即冻结相关分包商付款。</w:t>
      </w:r>
    </w:p>
    <w:p>
      <w:r>
        <w:rPr>
          <w:rFonts w:ascii="Calibri" w:hAnsi="Calibri" w:eastAsia="微软雅黑"/>
          <w:b w:val="0"/>
          <w:i w:val="0"/>
          <w:sz w:val="22"/>
        </w:rPr>
        <w:t>控制经理还是组织内部数据的汇流点。修水案业主能够逐项列举设计进度滞后、关键岗位人员缺岗、设备未如期进场（P10023），说明业主一侧的记录能力走在了承包商组织的前面。[事实] 反向的经验是：谁先建起完整的项目数据流，谁就在下一次争议中占据叙事主动。这也是把控制经理列入六类角色的原因——他不止管钱，他管的是组织的记忆。</w:t>
      </w:r>
    </w:p>
    <w:p>
      <w:pPr>
        <w:pStyle w:val="Heading2"/>
      </w:pPr>
      <w:r>
        <w:t>10.3 组织形态选型：联合体、法人一体化与内部赋能机制</w:t>
      </w:r>
    </w:p>
    <w:p>
      <w:r>
        <w:rPr>
          <w:rFonts w:ascii="Calibri" w:hAnsi="Calibri" w:eastAsia="微软雅黑"/>
          <w:b w:val="0"/>
          <w:i w:val="0"/>
          <w:sz w:val="22"/>
        </w:rPr>
        <w:t>角色画像解决「用什么人」，组织形态解决「把人放在什么结构里」。证据库里反复出现两种形态：一种是设计院与施工企业以联合体形式临时组队，另一种是企业通过股权与治理重组把设计、施工能力装进同一个法人。两种形态没有普适答案，但判例给出了各自的适用边界与失败代价。</w:t>
      </w:r>
    </w:p>
    <w:p>
      <w:pPr>
        <w:pStyle w:val="Heading3"/>
      </w:pPr>
      <w:r>
        <w:t>10.3.1 联合体：三个样本的对照</w:t>
      </w:r>
    </w:p>
    <w:p>
      <w:r>
        <w:rPr>
          <w:rFonts w:ascii="Calibri" w:hAnsi="Calibri" w:eastAsia="微软雅黑"/>
          <w:b w:val="0"/>
          <w:i w:val="0"/>
          <w:sz w:val="22"/>
        </w:rPr>
        <w:t>联合体是设计施工一体化最轻量的组织形态，也是纠纷最密集的形态。把三个样本并排放置，结构差异一目了然：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对照维度</w:t>
            </w:r>
          </w:p>
        </w:tc>
        <w:tc>
          <w:tcPr>
            <w:tcW w:type="dxa" w:w="2075"/>
            <w:shd w:fill="1F3A5F"/>
          </w:tcPr>
          <w:p>
            <w:r>
              <w:rPr>
                <w:color w:val="FFFFFF"/>
              </w:rPr>
            </w:r>
            <w:r>
              <w:rPr>
                <w:rFonts w:ascii="Calibri" w:hAnsi="Calibri" w:eastAsia="微软雅黑"/>
                <w:b/>
                <w:i w:val="0"/>
                <w:color w:val="FFFFFF"/>
                <w:sz w:val="18"/>
              </w:rPr>
              <w:t>样本一：五郎河水电站</w:t>
            </w:r>
          </w:p>
        </w:tc>
        <w:tc>
          <w:tcPr>
            <w:tcW w:type="dxa" w:w="2075"/>
            <w:shd w:fill="1F3A5F"/>
          </w:tcPr>
          <w:p>
            <w:r>
              <w:rPr>
                <w:color w:val="FFFFFF"/>
              </w:rPr>
            </w:r>
            <w:r>
              <w:rPr>
                <w:rFonts w:ascii="Calibri" w:hAnsi="Calibri" w:eastAsia="微软雅黑"/>
                <w:b/>
                <w:i w:val="0"/>
                <w:color w:val="FFFFFF"/>
                <w:sz w:val="18"/>
              </w:rPr>
              <w:t>样本二：修水水系连通项目</w:t>
            </w:r>
          </w:p>
        </w:tc>
        <w:tc>
          <w:tcPr>
            <w:tcW w:type="dxa" w:w="2075"/>
            <w:shd w:fill="1F3A5F"/>
          </w:tcPr>
          <w:p>
            <w:r>
              <w:rPr>
                <w:color w:val="FFFFFF"/>
              </w:rPr>
            </w:r>
            <w:r>
              <w:rPr>
                <w:rFonts w:ascii="Calibri" w:hAnsi="Calibri" w:eastAsia="微软雅黑"/>
                <w:b/>
                <w:i w:val="0"/>
                <w:color w:val="FFFFFF"/>
                <w:sz w:val="18"/>
              </w:rPr>
              <w:t>样本三：番禺英东体育场馆改造</w:t>
            </w:r>
          </w:p>
        </w:tc>
      </w:tr>
      <w:tr>
        <w:tc>
          <w:tcPr>
            <w:tcW w:type="dxa" w:w="2075"/>
          </w:tcPr>
          <w:p>
            <w:r/>
            <w:r>
              <w:rPr>
                <w:rFonts w:ascii="Calibri" w:hAnsi="Calibri" w:eastAsia="微软雅黑"/>
                <w:b w:val="0"/>
                <w:i w:val="0"/>
                <w:sz w:val="18"/>
              </w:rPr>
              <w:t>联合体构成</w:t>
            </w:r>
          </w:p>
        </w:tc>
        <w:tc>
          <w:tcPr>
            <w:tcW w:type="dxa" w:w="2075"/>
          </w:tcPr>
          <w:p>
            <w:r/>
            <w:r>
              <w:rPr>
                <w:rFonts w:ascii="Calibri" w:hAnsi="Calibri" w:eastAsia="微软雅黑"/>
                <w:b w:val="0"/>
                <w:i w:val="0"/>
                <w:sz w:val="18"/>
              </w:rPr>
              <w:t>中国电建集团北京勘测设计研究院有限公司（设计）＋中国水利水电第四工程局有限公司（施工）组成联营体（P10015）</w:t>
            </w:r>
          </w:p>
        </w:tc>
        <w:tc>
          <w:tcPr>
            <w:tcW w:type="dxa" w:w="2075"/>
          </w:tcPr>
          <w:p>
            <w:r/>
            <w:r>
              <w:rPr>
                <w:rFonts w:ascii="Calibri" w:hAnsi="Calibri" w:eastAsia="微软雅黑"/>
                <w:b w:val="0"/>
                <w:i w:val="0"/>
                <w:sz w:val="18"/>
              </w:rPr>
              <w:t>中国电建集团西北勘测设计研究院有限公司（设计）＋江西省降龙水利水电建设工程有限公司（施工）（P10023）</w:t>
            </w:r>
          </w:p>
        </w:tc>
        <w:tc>
          <w:tcPr>
            <w:tcW w:type="dxa" w:w="2075"/>
          </w:tcPr>
          <w:p>
            <w:r/>
            <w:r>
              <w:rPr>
                <w:rFonts w:ascii="Calibri" w:hAnsi="Calibri" w:eastAsia="微软雅黑"/>
                <w:b w:val="0"/>
                <w:i w:val="0"/>
                <w:sz w:val="18"/>
              </w:rPr>
              <w:t>贵州建工集团有限公司（承包人、主办单位）＋广州新悦康体育设施工程有限公司（承包人、联合体成员）（P10034）</w:t>
            </w:r>
          </w:p>
        </w:tc>
      </w:tr>
      <w:tr>
        <w:tc>
          <w:tcPr>
            <w:tcW w:type="dxa" w:w="2075"/>
          </w:tcPr>
          <w:p>
            <w:r/>
            <w:r>
              <w:rPr>
                <w:rFonts w:ascii="Calibri" w:hAnsi="Calibri" w:eastAsia="微软雅黑"/>
                <w:b w:val="0"/>
                <w:i w:val="0"/>
                <w:sz w:val="18"/>
              </w:rPr>
              <w:t>项目与体量</w:t>
            </w:r>
          </w:p>
        </w:tc>
        <w:tc>
          <w:tcPr>
            <w:tcW w:type="dxa" w:w="2075"/>
          </w:tcPr>
          <w:p>
            <w:r/>
            <w:r>
              <w:rPr>
                <w:rFonts w:ascii="Calibri" w:hAnsi="Calibri" w:eastAsia="微软雅黑"/>
                <w:b w:val="0"/>
                <w:i w:val="0"/>
                <w:sz w:val="18"/>
              </w:rPr>
              <w:t>五郎河流域丽江水井水电站EPC工程总承包，中标价174318000元（P10015）</w:t>
            </w:r>
          </w:p>
        </w:tc>
        <w:tc>
          <w:tcPr>
            <w:tcW w:type="dxa" w:w="2075"/>
          </w:tcPr>
          <w:p>
            <w:r/>
            <w:r>
              <w:rPr>
                <w:rFonts w:ascii="Calibri" w:hAnsi="Calibri" w:eastAsia="微软雅黑"/>
                <w:b w:val="0"/>
                <w:i w:val="0"/>
                <w:sz w:val="18"/>
              </w:rPr>
              <w:t>东津水库至竹坪河水系连通项目EPC勘测设计施工总承包，工期30个月，一期计划实施约9500万元（P10023）</w:t>
            </w:r>
          </w:p>
        </w:tc>
        <w:tc>
          <w:tcPr>
            <w:tcW w:type="dxa" w:w="2075"/>
          </w:tcPr>
          <w:p>
            <w:r/>
            <w:r>
              <w:rPr>
                <w:rFonts w:ascii="Calibri" w:hAnsi="Calibri" w:eastAsia="微软雅黑"/>
                <w:b w:val="0"/>
                <w:i w:val="0"/>
                <w:sz w:val="18"/>
              </w:rPr>
              <w:t>总投资费用约3200万元，其中塑胶跑道修补翻新等体育场地设施工程费约200万元（P10034）</w:t>
            </w:r>
          </w:p>
        </w:tc>
      </w:tr>
      <w:tr>
        <w:tc>
          <w:tcPr>
            <w:tcW w:type="dxa" w:w="2075"/>
          </w:tcPr>
          <w:p>
            <w:r/>
            <w:r>
              <w:rPr>
                <w:rFonts w:ascii="Calibri" w:hAnsi="Calibri" w:eastAsia="微软雅黑"/>
                <w:b w:val="0"/>
                <w:i w:val="0"/>
                <w:sz w:val="18"/>
              </w:rPr>
              <w:t>争议焦点</w:t>
            </w:r>
          </w:p>
        </w:tc>
        <w:tc>
          <w:tcPr>
            <w:tcW w:type="dxa" w:w="2075"/>
          </w:tcPr>
          <w:p>
            <w:r/>
            <w:r>
              <w:rPr>
                <w:rFonts w:ascii="Calibri" w:hAnsi="Calibri" w:eastAsia="微软雅黑"/>
                <w:b w:val="0"/>
                <w:i w:val="0"/>
                <w:sz w:val="18"/>
              </w:rPr>
              <w:t>开标后业主先后三次要求降低投标报价，从194351955元降至179173980元、再降至175318593元、最终以174318000元中标；联营体主张欠付合同工程款38672952元、各项损失10610000元，利息暂计7756075元（P10015）</w:t>
            </w:r>
          </w:p>
        </w:tc>
        <w:tc>
          <w:tcPr>
            <w:tcW w:type="dxa" w:w="2075"/>
          </w:tcPr>
          <w:p>
            <w:r/>
            <w:r>
              <w:rPr>
                <w:rFonts w:ascii="Calibri" w:hAnsi="Calibri" w:eastAsia="微软雅黑"/>
                <w:b w:val="0"/>
                <w:i w:val="0"/>
                <w:sz w:val="18"/>
              </w:rPr>
              <w:t>关键岗位人员未能按投标文件承诺到岗到位、设计进度滞后、设备未如期进场，业主解除合同并索赔6429.3万元（P10023）</w:t>
            </w:r>
          </w:p>
        </w:tc>
        <w:tc>
          <w:tcPr>
            <w:tcW w:type="dxa" w:w="2075"/>
          </w:tcPr>
          <w:p>
            <w:r/>
            <w:r>
              <w:rPr>
                <w:rFonts w:ascii="Calibri" w:hAnsi="Calibri" w:eastAsia="微软雅黑"/>
                <w:b w:val="0"/>
                <w:i w:val="0"/>
                <w:sz w:val="18"/>
              </w:rPr>
              <w:t>体育场建筑面积7719m2、约13213人，体育馆6200m2、2400人，训练馆1354.71m2，网架边长48米、面积约1800m2、总重量9t以下；改造工程分包结算与责任划分引发多被告诉讼至二审（P10034）</w:t>
            </w:r>
          </w:p>
        </w:tc>
      </w:tr>
      <w:tr>
        <w:tc>
          <w:tcPr>
            <w:tcW w:type="dxa" w:w="2075"/>
          </w:tcPr>
          <w:p>
            <w:r/>
            <w:r>
              <w:rPr>
                <w:rFonts w:ascii="Calibri" w:hAnsi="Calibri" w:eastAsia="微软雅黑"/>
                <w:b w:val="0"/>
                <w:i w:val="0"/>
                <w:sz w:val="18"/>
              </w:rPr>
              <w:t>组织教训</w:t>
            </w:r>
          </w:p>
        </w:tc>
        <w:tc>
          <w:tcPr>
            <w:tcW w:type="dxa" w:w="2075"/>
          </w:tcPr>
          <w:p>
            <w:r/>
            <w:r>
              <w:rPr>
                <w:rFonts w:ascii="Calibri" w:hAnsi="Calibri" w:eastAsia="微软雅黑"/>
                <w:b w:val="0"/>
                <w:i w:val="0"/>
                <w:sz w:val="18"/>
              </w:rPr>
              <w:t>联合体对外的商务纪律：投标价被三次压缩仍进场，一体化利润空间在签约前已被削薄</w:t>
            </w:r>
          </w:p>
        </w:tc>
        <w:tc>
          <w:tcPr>
            <w:tcW w:type="dxa" w:w="2075"/>
          </w:tcPr>
          <w:p>
            <w:r/>
            <w:r>
              <w:rPr>
                <w:rFonts w:ascii="Calibri" w:hAnsi="Calibri" w:eastAsia="微软雅黑"/>
                <w:b w:val="0"/>
                <w:i w:val="0"/>
                <w:sz w:val="18"/>
              </w:rPr>
              <w:t>联合体对内的管控纪律：两家法人一套班子，人员到岗与内部分工缺乏硬约束</w:t>
            </w:r>
          </w:p>
        </w:tc>
        <w:tc>
          <w:tcPr>
            <w:tcW w:type="dxa" w:w="2075"/>
          </w:tcPr>
          <w:p>
            <w:r/>
            <w:r>
              <w:rPr>
                <w:rFonts w:ascii="Calibri" w:hAnsi="Calibri" w:eastAsia="微软雅黑"/>
                <w:b w:val="0"/>
                <w:i w:val="0"/>
                <w:sz w:val="18"/>
              </w:rPr>
              <w:t>联合体的界面纪律：主办单位与成员单位的责任边界若不书面化，争议将外溢到分包商</w:t>
            </w:r>
          </w:p>
        </w:tc>
      </w:tr>
    </w:tbl>
    <w:p>
      <w:r>
        <w:rPr>
          <w:rFonts w:ascii="Calibri" w:hAnsi="Calibri" w:eastAsia="微软雅黑"/>
          <w:b w:val="0"/>
          <w:i w:val="0"/>
          <w:sz w:val="22"/>
        </w:rPr>
        <w:t>样本一的数字值得展开。联营体在诉讼中主张：开标后、定标前，业主先后三次要求降低投标报价，第一次从194351955元降至179173980元，第二次降至175318593元，第三次降至174318000元后才中标，联营体据此主张中标无效（P10015）。[事实] own_calc：以首次报价194351955元为基准，最终中标价174318000元被压缩约10.3%（194351955元−174318000元再除以首次报价，own_calc，P10015）。[估计] 一体化组织若没有报价纪律，设计施工两条线的协同价值会在投标桌上先被让渡出去——这解释了为什么海外工程调研把「报价高了可能连入围机会都没有、报价低了即便中标也可能陷入干得越多亏得越惨的泥潭」列为每一位国际工程从业者必须直面的核心难题（P10009）。</w:t>
      </w:r>
    </w:p>
    <w:p>
      <w:r>
        <w:rPr>
          <w:rFonts w:ascii="Calibri" w:hAnsi="Calibri" w:eastAsia="微软雅黑"/>
          <w:b w:val="0"/>
          <w:i w:val="0"/>
          <w:sz w:val="22"/>
        </w:rPr>
        <w:t>样本三的教训则在界面。番禺案《施工合同》把贵州建工集团有限公司列为承包人（主办单位）、新悦康公司列为承包人（联合体成员）（P10034），但该案诉讼一路打到二审，说明名义上的主办关系并未自动转化为责任分工的书面共识（P10034）。[事实] 联合体协议应把计量确认、分包审批、对外索赔、资金监管四项权限逐条指派到法人，并在项目部层面张贴同一份权限表——权限表写得越短，日后的争议拖得越长。</w:t>
      </w:r>
    </w:p>
    <w:p>
      <w:r>
        <w:rPr>
          <w:rFonts w:ascii="Calibri" w:hAnsi="Calibri" w:eastAsia="微软雅黑"/>
          <w:b w:val="0"/>
          <w:i w:val="0"/>
          <w:sz w:val="22"/>
        </w:rPr>
        <w:t>[假设] 联合体形态适合单一大项目的机会型组合，法人一体化适合多项目滚动交付的长期战略；其验证方式是比较两类企业在可比项目上的变更签证率与索赔成功率，停止条件是联合体模式在连续两个项目中出现内部分工争议升级至仲裁或诉讼，即应评估转为长期合资或整体并购。</w:t>
      </w:r>
    </w:p>
    <w:p>
      <w:pPr>
        <w:pStyle w:val="Heading3"/>
      </w:pPr>
      <w:r>
        <w:t>10.3.2 法人级一体化：把设计能力与施工能力装进同一个法人</w:t>
      </w:r>
    </w:p>
    <w:p>
      <w:r>
        <w:rPr>
          <w:rFonts w:ascii="Calibri" w:hAnsi="Calibri" w:eastAsia="微软雅黑"/>
          <w:b w:val="0"/>
          <w:i w:val="0"/>
          <w:sz w:val="22"/>
        </w:rPr>
        <w:t>另一种形态是企业级的。对中石化南京工程有限公司的研究把这一路径概括为「双源合一」：通过设计能力与施工能力的法人级深度重构，打破组织壁垒，实现组织交付基因与设计概算全过程控制的高度统一（P10000）。[事实] 该研究还给出了一个治理层面的分析框架——EPC法人级交付效能＝（设计控制因子×采购施工协同因子）÷（组织摩擦风险＋造价合规偏差），其中组织摩擦风险衡量合同分拆模式下的履约抗辩与分包合同解除等风险，造价合规偏差衡量行政审计介入结算、最高投标限价编制偏离等引发的损失（P10000）。[事实] 公式本身是方法论而非实测模型，但它把「组织摩擦」摆进了分母：人与组织的问题每加重一分，交付效能就被除掉一分。</w:t>
      </w:r>
    </w:p>
    <w:p>
      <w:r>
        <w:rPr>
          <w:rFonts w:ascii="Calibri" w:hAnsi="Calibri" w:eastAsia="微软雅黑"/>
          <w:b w:val="0"/>
          <w:i w:val="0"/>
          <w:sz w:val="22"/>
        </w:rPr>
        <w:t>法人一体化的重置成本高，但它在三个判例痛点上拥有结构性优势：关键岗位人员是同一法人的员工，到岗管理走内部人事纪律而非两家公司的协商（对照P10023）；设计变更的商务会签在同一套流程内闭环，不跨越法人墙（对照P10010的树状割裂诊断）；结算与付款共用一个资金池，超付防线由同一套财务体系把守（对照P10017）。[事实] 这些优势是否兑现，仍取决于本章第四节的日常纪律是否落地——法人一体化只消除了围墙，不自动消除部门利益。</w:t>
      </w:r>
    </w:p>
    <w:p>
      <w:r>
        <w:rPr>
          <w:rFonts w:ascii="Calibri" w:hAnsi="Calibri" w:eastAsia="微软雅黑"/>
          <w:b w:val="0"/>
          <w:i w:val="0"/>
          <w:sz w:val="22"/>
        </w:rPr>
        <w:t>判断企业该走哪条路，可以看三个变量：项目组合的时间跨度、内部管控的硬度需求、合同结构中采购与安装的体量占比。五郎河案与修水案都属单项目联合体（P10015、P10023），而双源合一路径针对的是多项目滚动交付的石化工程企业（P10000）。[事实] 若企业年均只有一个EPC项目，为它维持一个法人级一体化组织的固定成本未必划算；若项目连续、专业同源，联合体的每次组队都在重复支付协调成本。[假设] 当两次组队的协调成本接近并购或合资的尽调成本时，形态切换的财务门槛就到了——这一假设可用企业近三年投标记录与项目协调成本台账验证。</w:t>
      </w:r>
    </w:p>
    <w:p>
      <w:pPr>
        <w:pStyle w:val="Heading3"/>
      </w:pPr>
      <w:r>
        <w:t>10.3.3 内部赋能机制：研发—设计—总包三位一体与能力圈</w:t>
      </w:r>
    </w:p>
    <w:p>
      <w:r>
        <w:rPr>
          <w:rFonts w:ascii="Calibri" w:hAnsi="Calibri" w:eastAsia="微软雅黑"/>
          <w:b w:val="0"/>
          <w:i w:val="0"/>
          <w:sz w:val="22"/>
        </w:rPr>
        <w:t>形态之下还有机制。对中机国际的调研提出「研发—设计—总包」三位一体赋能机制：以独门工业技术专利与BIM标准化构件库划定硬性能力圈，通过打破设计、采购与施工管控的部门利益壁垒，将技术研发溢价直接转化为EPC总承包业务的端到端盈利能力与风险隔离防线（P10010）。[事实] 该机制自带明确的适用条件与失效边界声明：企业必须具备工程设计综合甲级或机械、建筑行业专业甲级资质，同时拥有施工总承包一级及以上资质（调研标注为A级证据）（P10010）。[事实] 换言之，机制移植是有门槛的——资质组合就是组织能力的营业执照。</w:t>
      </w:r>
    </w:p>
    <w:p>
      <w:r>
        <w:rPr>
          <w:rFonts w:ascii="Calibri" w:hAnsi="Calibri" w:eastAsia="微软雅黑"/>
          <w:b w:val="0"/>
          <w:i w:val="0"/>
          <w:sz w:val="22"/>
        </w:rPr>
        <w:t>配套工具也有记载：能力圈模型用于划定技术与工程履约边界、服务EPC项目竞标风控与跨界评估；舍本逐末基模用于识别组织转型中的短期依赖陷阱，避免靠外部分包商施工技术或资质挂靠等「症状解」续命；议题树用于把组织能力生成与协同路径拆解为三级结构化图谱（P10010）。[事实] 这三件工具的共同指向，是让组织对自己的能力边界保持诚实。</w:t>
      </w:r>
    </w:p>
    <w:p>
      <w:r>
        <w:rPr>
          <w:rFonts w:ascii="Calibri" w:hAnsi="Calibri" w:eastAsia="微软雅黑"/>
          <w:b w:val="0"/>
          <w:i w:val="0"/>
          <w:sz w:val="22"/>
        </w:rPr>
        <w:t>能力圈与三位一体的组合，还回答了「一体化企业该招什么样的人」这个日常问题：能力圈内的人要求专而深——能维护BIM标准化构件库、能跑通概算指标法的人（P10000、P10010）；能力圈边缘的人要求宽而通——能在设计例会上听懂施工方案、在采购谈判里带上技术参数的人。两类人的招聘渠道、薪酬结构与考核周期都不相同，混在同一张组织表里会互相挤占。[假设] 若企业发现边缘型岗位长期由圈内型人员兼任，即可视为能力圈扩张快于人才梯队的信号，验证方式是比对近一年新签项目类型与在岗人员专业配比。</w:t>
      </w:r>
    </w:p>
    <w:p>
      <w:r>
        <w:rPr>
          <w:rFonts w:ascii="Calibri" w:hAnsi="Calibri" w:eastAsia="微软雅黑"/>
          <w:b w:val="0"/>
          <w:i w:val="0"/>
          <w:sz w:val="22"/>
        </w:rPr>
        <w:t>资源配置的依据可以从合同结构反推。中南院金桂项目的合同价格结构为设备采购60500万元、服务4665万元、土建安装26835万元，总价92000万元（P10016）；own_calc：三者占比分别约65.8%、5.1%、29.2%（P10016）。[估计] [建议] 一体化企业的中后台编制应参照目标项目的合同结构配置——采购与费用控制岗位的编制权重不应低于设计岗位，验证方式是用企业上年度项目合同结构加权岗位编制做偏离度分析；停止条件是采购或控制岗位空编率连续两个季度上升，即冻结新项目投标。</w:t>
      </w:r>
    </w:p>
    <w:p>
      <w:pPr>
        <w:pStyle w:val="Heading2"/>
      </w:pPr>
      <w:r>
        <w:t>10.4 日常纪律：到岗、签证、结算、反索赔的四道闸门</w:t>
      </w:r>
    </w:p>
    <w:p>
      <w:r>
        <w:rPr>
          <w:rFonts w:ascii="Calibri" w:hAnsi="Calibri" w:eastAsia="微软雅黑"/>
          <w:b w:val="0"/>
          <w:i w:val="0"/>
          <w:sz w:val="22"/>
        </w:rPr>
        <w:t>组织形态与角色画像解决静态配置，日常纪律解决动态运行。判例反复证明：一体化组织的溃败很少发生在战略会议上，而是发生在一张联系单没人签、一次审计时限没人盯、一笔进度款没人核的日常时刻。本节把四道闸门逐一拆开，每道闸门都给出可直接抄用的判例参数。</w:t>
      </w:r>
    </w:p>
    <w:p>
      <w:pPr>
        <w:pStyle w:val="Heading3"/>
      </w:pPr>
      <w:r>
        <w:t>10.4.1 第一道闸门：到岗纪律</w:t>
      </w:r>
    </w:p>
    <w:p>
      <w:r>
        <w:rPr>
          <w:rFonts w:ascii="Calibri" w:hAnsi="Calibri" w:eastAsia="微软雅黑"/>
          <w:b w:val="0"/>
          <w:i w:val="0"/>
          <w:sz w:val="22"/>
        </w:rPr>
        <w:t>修水案已经给出了反面教材：投标文件承诺的关键岗位人员未能到岗到位，是业主解除合同的核心理由之一，最终面对6429.3万元的索赔请求（P10023）。[事实] 到岗纪律的要点是把「人」变成「记录」：投标人员承诺表、监理例会签到、岗位在场照片与月度到岗台账四者互证。</w:t>
      </w:r>
    </w:p>
    <w:p>
      <w:r>
        <w:rPr>
          <w:rFonts w:ascii="Calibri" w:hAnsi="Calibri" w:eastAsia="微软雅黑"/>
          <w:b w:val="0"/>
          <w:i w:val="0"/>
          <w:sz w:val="22"/>
        </w:rPr>
        <w:t>[建议] 到岗台账宜按月更新并同步抄送业主与监理，验证方式是抽任意一个月的台账与监理例会纪要比对；停止条件是项目经理或勘察设计负责人缺岗超过一个计量周期，即启动合同约定的替换程序并书面报备。判例中的四个岗位名目——项目经理李跃涛、勘察设计负责人任苇、施工负责人尧安生、施工技术负责人吴登洪（P10023）——可以直接作为台账的标准字段。</w:t>
      </w:r>
    </w:p>
    <w:p>
      <w:r>
        <w:rPr>
          <w:rFonts w:ascii="Calibri" w:hAnsi="Calibri" w:eastAsia="微软雅黑"/>
          <w:b w:val="0"/>
          <w:i w:val="0"/>
          <w:sz w:val="22"/>
        </w:rPr>
        <w:t>到岗纪律还有一层连带价值：它是联合体内部责任划分的书面依据。修水案联合体一方是设计院、一方是施工企业（P10023），若施工负责人缺位，缺的是哪一家法人的责任？判决书没有回答这个问题，因为争议已在合同解除层面终结（P10023）。[事实] 但这个问题会在下一个联合体项目里重演。把项目经理、勘察设计负责人、施工负责人、施工技术负责人四类岗位（P10023）逐一指派到具体法人、具体人员，并经双方法定代表人签认，是联合体协议里成本最低、收益最高的一条条款。</w:t>
      </w:r>
    </w:p>
    <w:p>
      <w:pPr>
        <w:pStyle w:val="Heading3"/>
      </w:pPr>
      <w:r>
        <w:t>10.4.2 第二道闸门：签证与证据链纪律</w:t>
      </w:r>
    </w:p>
    <w:p>
      <w:r>
        <w:rPr>
          <w:rFonts w:ascii="Calibri" w:hAnsi="Calibri" w:eastAsia="微软雅黑"/>
          <w:b w:val="0"/>
          <w:i w:val="0"/>
          <w:sz w:val="22"/>
        </w:rPr>
        <w:t>签证是把事实变成权利的关键通道。俞建祥案的胜诉基础，正是施工过程中的设计变更和新增项目通过「施工联系单」形式签证确认，使874321元的联系单增加造价与标书造价7111747元一并构成7986068元的总工程款主张（P10007）。[事实] 反面教材是东泰华美案：装饰公司主张工期延误463天、实际工期为合同约定工期的3倍，被迫围绕2014年9月30日会议纪要、《工作联系函》复印件上的签名原件、对方员工电子邮件等证据反复攻防，二审仍被认定举证不能（P10019）。[事实] 证据链的三要素在判例中反复出现：书面形式（会议纪要、联系函）、签字原件（复印件上的签名须为原件）、第三方佐证（监理签收）。</w:t>
      </w:r>
    </w:p>
    <w:p>
      <w:r>
        <w:rPr>
          <w:rFonts w:ascii="Calibri" w:hAnsi="Calibri" w:eastAsia="微软雅黑"/>
          <w:b w:val="0"/>
          <w:i w:val="0"/>
          <w:sz w:val="22"/>
        </w:rPr>
        <w:t>图纸交付同样需要证据纪律。四川电力案中，「在工程招标时并未提供施工图、施工过程中边施工边提供施工详图」的认定成为双方对总价包干范围争执的引爆点，连二次复测费用78066元都要打到再审层面解决（P10014）。[事实] 每一版图纸的交付时间、签收人、版次编号，都应进入与联系单同级的证据台账。</w:t>
      </w:r>
    </w:p>
    <w:p>
      <w:r>
        <w:rPr>
          <w:rFonts w:ascii="Calibri" w:hAnsi="Calibri" w:eastAsia="微软雅黑"/>
          <w:b w:val="0"/>
          <w:i w:val="0"/>
          <w:sz w:val="22"/>
        </w:rPr>
        <w:t>证据链的完整程度还直接决定索赔的成败量级。俞建祥案中，原告能够把水电安装总工程款7986068元拆成标书造价7111747元与联系单增加造价874321元并进入审理（P10007），靠的就是逐单签证；东泰华美案上诉人虽罗列了会议纪要、往来邮件与联系函（P10019），仍因证据形式与举证分配被认定未能完成证明责任（P10019）。[事实] 两案对照的结论很朴素：证据工作做得好，索赔是算术题；做得差，索赔是辩论题。</w:t>
      </w:r>
    </w:p>
    <w:p>
      <w:r>
        <w:rPr>
          <w:rFonts w:ascii="Calibri" w:hAnsi="Calibri" w:eastAsia="微软雅黑"/>
          <w:b w:val="0"/>
          <w:i w:val="0"/>
          <w:sz w:val="22"/>
        </w:rPr>
        <w:t>[建议] 项目部宜设「证据管理员」岗（可由商务经理兼任），按联系单、会议纪要、图纸交接、往来函电四类建账；验证方式是月度盘点「已实施未签证」与「已发出未回签」两张清单；停止条件是任一清单连续膨胀两个月，即暂停对应作业面施工并升级至项目总负责人。</w:t>
      </w:r>
    </w:p>
    <w:p>
      <w:pPr>
        <w:pStyle w:val="Heading3"/>
      </w:pPr>
      <w:r>
        <w:t>10.4.3 第三道闸门：结算纪律</w:t>
      </w:r>
    </w:p>
    <w:p>
      <w:r>
        <w:rPr>
          <w:rFonts w:ascii="Calibri" w:hAnsi="Calibri" w:eastAsia="微软雅黑"/>
          <w:b w:val="0"/>
          <w:i w:val="0"/>
          <w:sz w:val="22"/>
        </w:rPr>
        <w:t>结算是把权利变成钱的最后一公里，判例给出的参数有三组。第一组是时限：俞建祥案合同约定「提交决算书之日起60天内审计完成」（P10007）；赵海花案《协议》约定自2010年1月27日起70天内完成审核、逾期执行财建（2004）369号《建设工程价款结算暂行办法》，该办法规定发包人收到竣工结算报告及完整结算资料后，在规定或约定期限内对结算报告及资料没有提出意见的则视为认可（P10006）。[事实] 两案对照说明：60天还是70天并不重要，重要的是逾期后果由谁承担——赵海花案的公司因未按70天期限完成审核而「对逾期未完成审核的法律后果已有预见并自愿承担」（P10006）。[事实]</w:t>
      </w:r>
    </w:p>
    <w:p>
      <w:r>
        <w:rPr>
          <w:rFonts w:ascii="Calibri" w:hAnsi="Calibri" w:eastAsia="微软雅黑"/>
          <w:b w:val="0"/>
          <w:i w:val="0"/>
          <w:sz w:val="22"/>
        </w:rPr>
        <w:t>第二组是周期：新疆兵建案从2014年1月15日《竣工结算书》到2017年8月17日结算意见间隔约43个月（own_calc，P10028），期间对账确认累计支付231,474,585.18元、审定价282,962,209元较暂定价278,204,693元仅增约1.7%（own_calc，P10028）。[事实][估计] 第三组是超付：中冶十三冶案已付14，778，673.28元对应应付12，501，895.66元、超付3，153，559.93元（P10017），超付率约25.2%（own_calc，P10017）。[估计] 三组参数合起来构成结算纪律的三个红线：时限红线、周期红线、超付红线。</w:t>
      </w:r>
    </w:p>
    <w:p>
      <w:r>
        <w:rPr>
          <w:rFonts w:ascii="Calibri" w:hAnsi="Calibri" w:eastAsia="微软雅黑"/>
          <w:b w:val="0"/>
          <w:i w:val="0"/>
          <w:sz w:val="22"/>
        </w:rPr>
        <w:t>结算纪律的最后一个参数是利息敏感性。新疆兵建案施工方按年利率2.75%主张54个月利息6,569,761.96元（P10028），重庆一品案施工方则以8576021.90元为基数按年利率24%主张逾期付款违约金（P10003）。[事实] 两个利率口径一低一高，但指向同一件事：结算周期每拖一个月，都在给某一方计息。控制经理应把利息成本写进结算时钟的表盘，让拖延有价格。</w:t>
      </w:r>
    </w:p>
    <w:p>
      <w:r>
        <w:rPr>
          <w:rFonts w:ascii="Calibri" w:hAnsi="Calibri" w:eastAsia="微软雅黑"/>
          <w:b w:val="0"/>
          <w:i w:val="0"/>
          <w:sz w:val="22"/>
        </w:rPr>
        <w:t>[建议] 结算管理宜实行「一项目一结算时钟」：从提交结算书之日起倒排审核节点，参照合同约定的60天审计期（P10007样本）设内控预警；验证方式是月度检查结算书提交回执与审核回复的日期差；停止条件是日期差逼近合同时限而审核意见未出，即由法务出具书面预警并准备视为认可条款的应对预案。</w:t>
      </w:r>
    </w:p>
    <w:p>
      <w:pPr>
        <w:pStyle w:val="Heading3"/>
      </w:pPr>
      <w:r>
        <w:t>10.4.4 第四道闸门：反索赔纪律</w:t>
      </w:r>
    </w:p>
    <w:p>
      <w:r>
        <w:rPr>
          <w:rFonts w:ascii="Calibri" w:hAnsi="Calibri" w:eastAsia="微软雅黑"/>
          <w:b w:val="0"/>
          <w:i w:val="0"/>
          <w:sz w:val="22"/>
        </w:rPr>
        <w:t>一体化企业既要会索赔，也要防住对手的反索赔。南通华荣案展示了一份业主反索赔清单可以庞杂到什么程度：逾期竣工违约金5101490.1元（P10029）；未完成3#楼销售包装配合违约金34万元（P10029）；未按约定时间达到二层结构砼浇筑违约金354万元（P10029）；外架拆除及屋面迟延违约金118万元（P10029）；未按时提交竣工验收备案资料按每天1000元支付违约金1984万元（P10029）；因延误工期造成的材料和人工费用上涨损失3143395.84元，按39879575.49元－36736179.65元计算（P10029）；实际发生的维修费530377元与整改费用7603638.7元（P10029）；已赔偿业主损失578376元与正在诉讼的404022.86元（P10029）。[事实] 该合同约定开工之日起278个日历天内完成全部工程、按「合同总价×（日）万分之五×拖延天数」计违约金、图纸范围内合同暂定总价款3000万元、双方在订立合同时已自愿放弃对违约金过高过低的异议权（P10029）。[事实] own_calc：按每天1000元计的1984万元违约金折算19,840天、约54年，远超任何工程周期，业主的名目化索赔在此已接近惩罚性主张（P10029）。[估计]</w:t>
      </w:r>
    </w:p>
    <w:p>
      <w:r>
        <w:rPr>
          <w:rFonts w:ascii="Calibri" w:hAnsi="Calibri" w:eastAsia="微软雅黑"/>
          <w:b w:val="0"/>
          <w:i w:val="0"/>
          <w:sz w:val="22"/>
        </w:rPr>
        <w:t>面对这样的清单，承包商的组织反应能力取决于事前纪律：工期签证是否逐日留存、违约金条款是否在签约时由法务评估并争取调整、维修与整改是否留存第三方检测记录。[建议] 反索赔纪律宜落在「三个当场」：工期事件当场签证、质量问题当场留样检测、业主函件当天登记回应；验证方式是抽查重大工期事件后双方往来函件的时间轴；停止条件是出现已发生未回应的索赔函，即启动外部律师评估。</w:t>
      </w:r>
    </w:p>
    <w:p>
      <w:r>
        <w:rPr>
          <w:rFonts w:ascii="Calibri" w:hAnsi="Calibri" w:eastAsia="微软雅黑"/>
          <w:b w:val="0"/>
          <w:i w:val="0"/>
          <w:sz w:val="22"/>
        </w:rPr>
        <w:t>窝工损失的量化同样需要专业岗位。中南院案中，承包商主张因金桂公司资金不足等原因，2号机组工期延误造成停工窝工18个月共损失2090.072万元（P10016）。[事实] own_calc：2090.072万元÷合同总价92000万元≈2.3%（P10016）。[估计] 两个百分点的窝工损失对应十八个月的停滞——没有按日留痕的人员与设备台账，这类主张在法庭上很难立住。此外，重庆建工案中原告主张按每日万分之三自2015年9月28日起计付违约金、欠付工程款68136209.77元及拖延支付进度款利息损失26794045元（P10004），提示付款端违约金同样需要资金计划岗位前置测算。</w:t>
      </w:r>
    </w:p>
    <w:p>
      <w:r>
        <w:rPr>
          <w:rFonts w:ascii="Calibri" w:hAnsi="Calibri" w:eastAsia="微软雅黑"/>
          <w:b w:val="0"/>
          <w:i w:val="0"/>
          <w:sz w:val="22"/>
        </w:rPr>
        <w:t>反索赔纪律的最后一块拼板是组织记忆：每一份对手索赔函都应归档为模板库条目，注明争议点、证据形态与裁判结果。华荣案清单式的反索赔（P10029）之所以棘手，在于每一个名目都对应合同里的一个条款；下一次签约前把这份清单摊在谈判桌上逐条谈，比事后在法庭上逐条扛更便宜。[建议] 验证方式是抽查新签合同是否附有上一项目的索赔条款复盘页；停止条件是同类索赔名目在两个项目上重复出现。</w:t>
      </w:r>
    </w:p>
    <w:p>
      <w:pPr>
        <w:pStyle w:val="Heading2"/>
      </w:pPr>
      <w:r>
        <w:t>10.5 梯队与考核：把一体化能力长在组织里</w:t>
      </w:r>
    </w:p>
    <w:p>
      <w:r>
        <w:rPr>
          <w:rFonts w:ascii="Calibri" w:hAnsi="Calibri" w:eastAsia="微软雅黑"/>
          <w:b w:val="0"/>
          <w:i w:val="0"/>
          <w:sz w:val="22"/>
        </w:rPr>
        <w:t>角色会流动，形态会调整，能够留在企业里的是梯队与考核。这一节回答三个问题：人从哪里来、用什么尺子量、边界画在哪里。</w:t>
      </w:r>
    </w:p>
    <w:p>
      <w:pPr>
        <w:pStyle w:val="Heading3"/>
      </w:pPr>
      <w:r>
        <w:t>10.5.1 人才梯队：三大板块与投标组织</w:t>
      </w:r>
    </w:p>
    <w:p>
      <w:r>
        <w:rPr>
          <w:rFonts w:ascii="Calibri" w:hAnsi="Calibri" w:eastAsia="微软雅黑"/>
          <w:b w:val="0"/>
          <w:i w:val="0"/>
          <w:sz w:val="22"/>
        </w:rPr>
        <w:t>海外工程实务给出的团队组建原则是：海外EPC项目系统复杂、涉及专业面极广，常规的EPC+F工程项目模式通常需要商务、技术和融资三大板块协同配合与支持，承包商一旦决定参加投标，首要工作就是组建投标团队（P10009）。[事实] 同一来源强调，要建立一套成熟应对海外EPC招投标项目的组织体系和人才储备，因为投标报价早已不是简单的数字堆砌，而是一项贯穿市场深度分析、技术研判、商务筹划与风险防控的系统工程（P10009）。[事实] 换成境内语境，这三大板块同样成立：商务板块对应本章的商务与索赔、法律角色，技术板块对应设计与采购角色，融资板块对应费用控制与资金计划角色。</w:t>
      </w:r>
    </w:p>
    <w:p>
      <w:r>
        <w:rPr>
          <w:rFonts w:ascii="Calibri" w:hAnsi="Calibri" w:eastAsia="微软雅黑"/>
          <w:b w:val="0"/>
          <w:i w:val="0"/>
          <w:sz w:val="22"/>
        </w:rPr>
        <w:t>板块化的组织意义在于：投标阶段的每一次报价决策，都必须是三类人共同署名的决策。海外调研描述的两难是——报价高了可能连入围的机会都没有，报价低了即便中标也可能陷入干得越多、亏得越惨的泥潭（P10009）；走出这对两难的路径不是更精确的直觉，而是市场深度分析、技术研判、商务筹划与风险防控的分工与互相制衡（P10009）。[事实] 境内企业可以把这套机制简化为投标决策会上的三张表：技术板块出工程量与方案风险表，商务板块出价格与竞争态势表，融资与控制板块出资金占用与垫资风险表，三表齐签才允许投出标书。[建议]</w:t>
      </w:r>
    </w:p>
    <w:p>
      <w:r>
        <w:rPr>
          <w:rFonts w:ascii="Calibri" w:hAnsi="Calibri" w:eastAsia="微软雅黑"/>
          <w:b w:val="0"/>
          <w:i w:val="0"/>
          <w:sz w:val="22"/>
        </w:rPr>
        <w:t>梯队建设的起点在项目筛选端。海外调研建议承包商在市场开发阶段就建立项目筛选机制，对跟踪项目的成熟度、竞争走势、业主资信进行动态评估，把有限资源投入胜算高、风险可控的项目；判断项目成熟度的关键是前置许可条件——可行性研究报告、社会及环境影响评价、建设许可、征地许可或土地租赁协议、相关担保安排、明确的资金来源、取水许可等，以东南亚某国燃气电站项目为例，购电协议和燃料供应协议已经签署、项目融资才有基础，报价工作才值得全力投入（P10009）。[事实] [建议] 企业宜把「项目筛选岗」设为投标团队的常设第一岗，验证方式是统计投标转化率与前期编标费用回收率；停止条件是连续多个项目因前置许可缺失而放弃投标或撤标，即收缩跟踪清单并复盘筛选标准。</w:t>
      </w:r>
    </w:p>
    <w:p>
      <w:pPr>
        <w:pStyle w:val="Heading3"/>
      </w:pPr>
      <w:r>
        <w:t>10.5.2 考核指标：把判例参数变成仪表盘</w:t>
      </w:r>
    </w:p>
    <w:p>
      <w:r>
        <w:rPr>
          <w:rFonts w:ascii="Calibri" w:hAnsi="Calibri" w:eastAsia="微软雅黑"/>
          <w:b w:val="0"/>
          <w:i w:val="0"/>
          <w:sz w:val="22"/>
        </w:rPr>
        <w:t>考核的意义在于让本章第四节的四道闸门有人长期守。下表把本章的证据参数整理成一张可直接取用的仪表盘：</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指标</w:t>
            </w:r>
          </w:p>
        </w:tc>
        <w:tc>
          <w:tcPr>
            <w:tcW w:type="dxa" w:w="2767"/>
            <w:shd w:fill="1F3A5F"/>
          </w:tcPr>
          <w:p>
            <w:r>
              <w:rPr>
                <w:color w:val="FFFFFF"/>
              </w:rPr>
            </w:r>
            <w:r>
              <w:rPr>
                <w:rFonts w:ascii="Calibri" w:hAnsi="Calibri" w:eastAsia="微软雅黑"/>
                <w:b/>
                <w:i w:val="0"/>
                <w:color w:val="FFFFFF"/>
                <w:sz w:val="18"/>
              </w:rPr>
              <w:t>证据基准（锚）</w:t>
            </w:r>
          </w:p>
        </w:tc>
        <w:tc>
          <w:tcPr>
            <w:tcW w:type="dxa" w:w="2767"/>
            <w:shd w:fill="1F3A5F"/>
          </w:tcPr>
          <w:p>
            <w:r>
              <w:rPr>
                <w:color w:val="FFFFFF"/>
              </w:rPr>
            </w:r>
            <w:r>
              <w:rPr>
                <w:rFonts w:ascii="Calibri" w:hAnsi="Calibri" w:eastAsia="微软雅黑"/>
                <w:b/>
                <w:i w:val="0"/>
                <w:color w:val="FFFFFF"/>
                <w:sz w:val="18"/>
              </w:rPr>
              <w:t>预警含义</w:t>
            </w:r>
          </w:p>
        </w:tc>
      </w:tr>
      <w:tr>
        <w:tc>
          <w:tcPr>
            <w:tcW w:type="dxa" w:w="2767"/>
          </w:tcPr>
          <w:p>
            <w:r/>
            <w:r>
              <w:rPr>
                <w:rFonts w:ascii="Calibri" w:hAnsi="Calibri" w:eastAsia="微软雅黑"/>
                <w:b w:val="0"/>
                <w:i w:val="0"/>
                <w:sz w:val="18"/>
              </w:rPr>
              <w:t>关键岗位到岗率</w:t>
            </w:r>
          </w:p>
        </w:tc>
        <w:tc>
          <w:tcPr>
            <w:tcW w:type="dxa" w:w="2767"/>
          </w:tcPr>
          <w:p>
            <w:r/>
            <w:r>
              <w:rPr>
                <w:rFonts w:ascii="Calibri" w:hAnsi="Calibri" w:eastAsia="微软雅黑"/>
                <w:b w:val="0"/>
                <w:i w:val="0"/>
                <w:sz w:val="18"/>
              </w:rPr>
              <w:t>投标承诺四岗位名单：项目经理、勘察设计负责人、施工负责人、施工技术负责人（P10023）</w:t>
            </w:r>
          </w:p>
        </w:tc>
        <w:tc>
          <w:tcPr>
            <w:tcW w:type="dxa" w:w="2767"/>
          </w:tcPr>
          <w:p>
            <w:r/>
            <w:r>
              <w:rPr>
                <w:rFonts w:ascii="Calibri" w:hAnsi="Calibri" w:eastAsia="微软雅黑"/>
                <w:b w:val="0"/>
                <w:i w:val="0"/>
                <w:sz w:val="18"/>
              </w:rPr>
              <w:t>到岗失守对应合同解除与6429.3万元索赔主张（P10023）</w:t>
            </w:r>
          </w:p>
        </w:tc>
      </w:tr>
      <w:tr>
        <w:tc>
          <w:tcPr>
            <w:tcW w:type="dxa" w:w="2767"/>
          </w:tcPr>
          <w:p>
            <w:r/>
            <w:r>
              <w:rPr>
                <w:rFonts w:ascii="Calibri" w:hAnsi="Calibri" w:eastAsia="微软雅黑"/>
                <w:b w:val="0"/>
                <w:i w:val="0"/>
                <w:sz w:val="18"/>
              </w:rPr>
              <w:t>社保属地化率与合同三角金额</w:t>
            </w:r>
          </w:p>
        </w:tc>
        <w:tc>
          <w:tcPr>
            <w:tcW w:type="dxa" w:w="2767"/>
          </w:tcPr>
          <w:p>
            <w:r/>
            <w:r>
              <w:rPr>
                <w:rFonts w:ascii="Calibri" w:hAnsi="Calibri" w:eastAsia="微软雅黑"/>
                <w:b w:val="0"/>
                <w:i w:val="0"/>
                <w:sz w:val="18"/>
              </w:rPr>
              <w:t>调研建议核查异地项目经理社保属地化率与合同「三角金额」（P10010）</w:t>
            </w:r>
          </w:p>
        </w:tc>
        <w:tc>
          <w:tcPr>
            <w:tcW w:type="dxa" w:w="2767"/>
          </w:tcPr>
          <w:p>
            <w:r/>
            <w:r>
              <w:rPr>
                <w:rFonts w:ascii="Calibri" w:hAnsi="Calibri" w:eastAsia="微软雅黑"/>
                <w:b w:val="0"/>
                <w:i w:val="0"/>
                <w:sz w:val="18"/>
              </w:rPr>
              <w:t>人不在场、金额不勾稽，组织信用失守的前兆</w:t>
            </w:r>
          </w:p>
        </w:tc>
      </w:tr>
      <w:tr>
        <w:tc>
          <w:tcPr>
            <w:tcW w:type="dxa" w:w="2767"/>
          </w:tcPr>
          <w:p>
            <w:r/>
            <w:r>
              <w:rPr>
                <w:rFonts w:ascii="Calibri" w:hAnsi="Calibri" w:eastAsia="微软雅黑"/>
                <w:b w:val="0"/>
                <w:i w:val="0"/>
                <w:sz w:val="18"/>
              </w:rPr>
              <w:t>变更签证转化率</w:t>
            </w:r>
          </w:p>
        </w:tc>
        <w:tc>
          <w:tcPr>
            <w:tcW w:type="dxa" w:w="2767"/>
          </w:tcPr>
          <w:p>
            <w:r/>
            <w:r>
              <w:rPr>
                <w:rFonts w:ascii="Calibri" w:hAnsi="Calibri" w:eastAsia="微软雅黑"/>
                <w:b w:val="0"/>
                <w:i w:val="0"/>
                <w:sz w:val="18"/>
              </w:rPr>
              <w:t>联系单增加造价874321元对总工程款7986068元（P10007）</w:t>
            </w:r>
          </w:p>
        </w:tc>
        <w:tc>
          <w:tcPr>
            <w:tcW w:type="dxa" w:w="2767"/>
          </w:tcPr>
          <w:p>
            <w:r/>
            <w:r>
              <w:rPr>
                <w:rFonts w:ascii="Calibri" w:hAnsi="Calibri" w:eastAsia="微软雅黑"/>
                <w:b w:val="0"/>
                <w:i w:val="0"/>
                <w:sz w:val="18"/>
              </w:rPr>
              <w:t>已实施未签证存量上升，变更利润正在流失</w:t>
            </w:r>
          </w:p>
        </w:tc>
      </w:tr>
      <w:tr>
        <w:tc>
          <w:tcPr>
            <w:tcW w:type="dxa" w:w="2767"/>
          </w:tcPr>
          <w:p>
            <w:r/>
            <w:r>
              <w:rPr>
                <w:rFonts w:ascii="Calibri" w:hAnsi="Calibri" w:eastAsia="微软雅黑"/>
                <w:b w:val="0"/>
                <w:i w:val="0"/>
                <w:sz w:val="18"/>
              </w:rPr>
              <w:t>变更占比监测</w:t>
            </w:r>
          </w:p>
        </w:tc>
        <w:tc>
          <w:tcPr>
            <w:tcW w:type="dxa" w:w="2767"/>
          </w:tcPr>
          <w:p>
            <w:r/>
            <w:r>
              <w:rPr>
                <w:rFonts w:ascii="Calibri" w:hAnsi="Calibri" w:eastAsia="微软雅黑"/>
                <w:b w:val="0"/>
                <w:i w:val="0"/>
                <w:sz w:val="18"/>
              </w:rPr>
              <w:t>变更增加工程款7205791元对中标价12933521.89元、约55.7%（own_calc，P10025）</w:t>
            </w:r>
          </w:p>
        </w:tc>
        <w:tc>
          <w:tcPr>
            <w:tcW w:type="dxa" w:w="2767"/>
          </w:tcPr>
          <w:p>
            <w:r/>
            <w:r>
              <w:rPr>
                <w:rFonts w:ascii="Calibri" w:hAnsi="Calibri" w:eastAsia="微软雅黑"/>
                <w:b w:val="0"/>
                <w:i w:val="0"/>
                <w:sz w:val="18"/>
              </w:rPr>
              <w:t>变更体量越过合同额一半时，原合同计价规则已名存实亡</w:t>
            </w:r>
          </w:p>
        </w:tc>
      </w:tr>
      <w:tr>
        <w:tc>
          <w:tcPr>
            <w:tcW w:type="dxa" w:w="2767"/>
          </w:tcPr>
          <w:p>
            <w:r/>
            <w:r>
              <w:rPr>
                <w:rFonts w:ascii="Calibri" w:hAnsi="Calibri" w:eastAsia="微软雅黑"/>
                <w:b w:val="0"/>
                <w:i w:val="0"/>
                <w:sz w:val="18"/>
              </w:rPr>
              <w:t>付款与应付勾稽</w:t>
            </w:r>
          </w:p>
        </w:tc>
        <w:tc>
          <w:tcPr>
            <w:tcW w:type="dxa" w:w="2767"/>
          </w:tcPr>
          <w:p>
            <w:r/>
            <w:r>
              <w:rPr>
                <w:rFonts w:ascii="Calibri" w:hAnsi="Calibri" w:eastAsia="微软雅黑"/>
                <w:b w:val="0"/>
                <w:i w:val="0"/>
                <w:sz w:val="18"/>
              </w:rPr>
              <w:t>已付14，778，673.28元对应应付12，501，895.66元、超付约25.2%（own_calc，P10017）</w:t>
            </w:r>
          </w:p>
        </w:tc>
        <w:tc>
          <w:tcPr>
            <w:tcW w:type="dxa" w:w="2767"/>
          </w:tcPr>
          <w:p>
            <w:r/>
            <w:r>
              <w:rPr>
                <w:rFonts w:ascii="Calibri" w:hAnsi="Calibri" w:eastAsia="微软雅黑"/>
                <w:b w:val="0"/>
                <w:i w:val="0"/>
                <w:sz w:val="18"/>
              </w:rPr>
              <w:t>超付即计量、扣款、质保金、税金四账未对齐</w:t>
            </w:r>
          </w:p>
        </w:tc>
      </w:tr>
      <w:tr>
        <w:tc>
          <w:tcPr>
            <w:tcW w:type="dxa" w:w="2767"/>
          </w:tcPr>
          <w:p>
            <w:r/>
            <w:r>
              <w:rPr>
                <w:rFonts w:ascii="Calibri" w:hAnsi="Calibri" w:eastAsia="微软雅黑"/>
                <w:b w:val="0"/>
                <w:i w:val="0"/>
                <w:sz w:val="18"/>
              </w:rPr>
              <w:t>结算周期</w:t>
            </w:r>
          </w:p>
        </w:tc>
        <w:tc>
          <w:tcPr>
            <w:tcW w:type="dxa" w:w="2767"/>
          </w:tcPr>
          <w:p>
            <w:r/>
            <w:r>
              <w:rPr>
                <w:rFonts w:ascii="Calibri" w:hAnsi="Calibri" w:eastAsia="微软雅黑"/>
                <w:b w:val="0"/>
                <w:i w:val="0"/>
                <w:sz w:val="18"/>
              </w:rPr>
              <w:t>2014年1月15日结算书至2017年8月17日结算意见约43个月（own_calc，P10028）</w:t>
            </w:r>
          </w:p>
        </w:tc>
        <w:tc>
          <w:tcPr>
            <w:tcW w:type="dxa" w:w="2767"/>
          </w:tcPr>
          <w:p>
            <w:r/>
            <w:r>
              <w:rPr>
                <w:rFonts w:ascii="Calibri" w:hAnsi="Calibri" w:eastAsia="微软雅黑"/>
                <w:b w:val="0"/>
                <w:i w:val="0"/>
                <w:sz w:val="18"/>
              </w:rPr>
              <w:t>结算拉锯三年半，利息主张6,569,761.96元已超过结算增量（P10028）</w:t>
            </w:r>
          </w:p>
        </w:tc>
      </w:tr>
      <w:tr>
        <w:tc>
          <w:tcPr>
            <w:tcW w:type="dxa" w:w="2767"/>
          </w:tcPr>
          <w:p>
            <w:r/>
            <w:r>
              <w:rPr>
                <w:rFonts w:ascii="Calibri" w:hAnsi="Calibri" w:eastAsia="微软雅黑"/>
                <w:b w:val="0"/>
                <w:i w:val="0"/>
                <w:sz w:val="18"/>
              </w:rPr>
              <w:t>违约金敞口</w:t>
            </w:r>
          </w:p>
        </w:tc>
        <w:tc>
          <w:tcPr>
            <w:tcW w:type="dxa" w:w="2767"/>
          </w:tcPr>
          <w:p>
            <w:r/>
            <w:r>
              <w:rPr>
                <w:rFonts w:ascii="Calibri" w:hAnsi="Calibri" w:eastAsia="微软雅黑"/>
                <w:b w:val="0"/>
                <w:i w:val="0"/>
                <w:sz w:val="18"/>
              </w:rPr>
              <w:t>按日万分之五与278个日历天工期的组合（P10029）</w:t>
            </w:r>
          </w:p>
        </w:tc>
        <w:tc>
          <w:tcPr>
            <w:tcW w:type="dxa" w:w="2767"/>
          </w:tcPr>
          <w:p>
            <w:r/>
            <w:r>
              <w:rPr>
                <w:rFonts w:ascii="Calibri" w:hAnsi="Calibri" w:eastAsia="微软雅黑"/>
                <w:b w:val="0"/>
                <w:i w:val="0"/>
                <w:sz w:val="18"/>
              </w:rPr>
              <w:t>名目化反索赔清单出现时，敞口会快速膨胀</w:t>
            </w:r>
          </w:p>
        </w:tc>
      </w:tr>
    </w:tbl>
    <w:p>
      <w:r>
        <w:rPr>
          <w:rFonts w:ascii="Calibri" w:hAnsi="Calibri" w:eastAsia="微软雅黑"/>
          <w:b w:val="0"/>
          <w:i w:val="0"/>
          <w:sz w:val="22"/>
        </w:rPr>
        <w:t>[建议] 这张仪表盘宜由费用与进度控制经理每月发布、项目总负责人签认；验证方式是任选一个在建项目回放三个月数据看能否闭环；停止条件是任一指标连续两期恶化而无书面整改，即暂停该项目新投标授权。</w:t>
      </w:r>
    </w:p>
    <w:p>
      <w:pPr>
        <w:pStyle w:val="Heading3"/>
      </w:pPr>
      <w:r>
        <w:t>10.5.3 知识库与边界：让能力可复用、让边界可执行</w:t>
      </w:r>
    </w:p>
    <w:p>
      <w:r>
        <w:rPr>
          <w:rFonts w:ascii="Calibri" w:hAnsi="Calibri" w:eastAsia="微软雅黑"/>
          <w:b w:val="0"/>
          <w:i w:val="0"/>
          <w:sz w:val="22"/>
        </w:rPr>
        <w:t>一体化的深层资产是数据与知识库。概算编制三法中的类似工程预算法（D=A×K）与设备安装四法（预算单价法、扩大单价法、设备价值百分比法、综合吨位指标法）（P10000）都依赖企业自有历史工程数据的积累；国际工程调研同样强调要了解项目所在国各项标准规范要求并吃透标准，熟悉当地与采购相关的法律法规（P10027）。[事实] [建议] 企业宜把每个竣工项目的量价数据、变更签证与争议裁判要点回灌进统一数据库，作为类似工程预算法的取数底座；验证方式是抽查新项目概算的取数来源是否指向库内工程；停止条件是连续两个项目概算取数依赖个人文件而非数据库，即冻结概算签发并整改。</w:t>
      </w:r>
    </w:p>
    <w:p>
      <w:r>
        <w:rPr>
          <w:rFonts w:ascii="Calibri" w:hAnsi="Calibri" w:eastAsia="微软雅黑"/>
          <w:b w:val="0"/>
          <w:i w:val="0"/>
          <w:sz w:val="22"/>
        </w:rPr>
        <w:t>边界纪律还有一层人才含义：能力圈画定之后，招聘与培养就有了清单。能力圈模型的输出成果是能力圈边界清单与防线矩阵（P10010），可以直接转译为岗位说明书的必备经历栏——采购工程师岗位要求具备催交、检验环节的实操记录（对照采购执行风险清单，P10027），商务经理要求有完整的签证索赔项目履历（对照P10007）。[事实][建议] 人才盘点时，把在岗人员履历与清单逐项比对，缺口即培训或招聘计划。</w:t>
      </w:r>
    </w:p>
    <w:p>
      <w:r>
        <w:rPr>
          <w:rFonts w:ascii="Calibri" w:hAnsi="Calibri" w:eastAsia="微软雅黑"/>
          <w:b w:val="0"/>
          <w:i w:val="0"/>
          <w:sz w:val="22"/>
        </w:rPr>
        <w:t>边界的执行同样要有牙齿。能力圈模型的用途正是划定技术与工程履约边界、服务EPC项目竞标风控与跨界评估（P10010）；调研给出的硬边界是资质组合——工程设计综合甲级或机械、建筑行业专业甲级资质，同时拥有施工总承包一级及以上资质（A级证据）（P10010）。[事实] 舍本逐末基模的警示则指向另一类越界：依赖外部分包商施工技术或资质挂靠等「症状解」的企业，核心技术控制力会流失，总包管理费率被压缩至3%以下（B级/E级估算）（P10010）。[事实] [建议] 超出能力圈的项目应一律上风险委员会票决，验证方式是抽查票决记录与投标决策会纪要的一致性；停止条件是出现任何「先中标后拼资质」的操作，即收回该项目投标授权。</w:t>
      </w:r>
    </w:p>
    <w:p>
      <w:pPr>
        <w:pStyle w:val="Heading2"/>
      </w:pPr>
      <w:r>
        <w:t>本章小结与盲区</w:t>
      </w:r>
    </w:p>
    <w:p>
      <w:r>
        <w:rPr>
          <w:rFonts w:ascii="Calibri" w:hAnsi="Calibri" w:eastAsia="微软雅黑"/>
          <w:b/>
          <w:i w:val="0"/>
          <w:sz w:val="22"/>
        </w:rPr>
        <w:t>本章证明了什么：</w:t>
      </w:r>
      <w:r>
        <w:rPr>
          <w:rFonts w:ascii="Calibri" w:hAnsi="Calibri" w:eastAsia="微软雅黑"/>
          <w:b w:val="0"/>
          <w:i w:val="0"/>
          <w:sz w:val="22"/>
        </w:rPr>
        <w:t xml:space="preserve"> 设计施工一体化的「两张皮」在组织与人才层面有五种可辨识的病灶——关键岗位到岗失守、部门利益树状割裂、授权与报告制度失灵、身份与利益混同、转包挂靠与诈骗链条，每一种都有判例损失数字对应；弥补病灶需要六类复合角色与四道日常纪律闸门，组织形态上联合体与法人一体化各有边界，取舍依据是项目组合的长期性、内部管控硬约束与合同结构中采购与安装的占比。</w:t>
      </w:r>
    </w:p>
    <w:p>
      <w:r>
        <w:rPr>
          <w:rFonts w:ascii="Calibri" w:hAnsi="Calibri" w:eastAsia="微软雅黑"/>
          <w:b w:val="0"/>
          <w:i w:val="0"/>
          <w:sz w:val="22"/>
        </w:rPr>
        <w:t>更进一步说，组织与人才不是一体化的配套工程，而是本体工程：图纸可以外购，设备可以外购，唯独把设计、采购、施工、商务、法律、控制六种视角装进同一套流程的能力，无法从市场上整建制买到。</w:t>
      </w:r>
    </w:p>
    <w:p>
      <w:r>
        <w:rPr>
          <w:rFonts w:ascii="Calibri" w:hAnsi="Calibri" w:eastAsia="微软雅黑"/>
          <w:b/>
          <w:i w:val="0"/>
          <w:sz w:val="22"/>
        </w:rPr>
        <w:t>输入在哪里、怎么算的：</w:t>
      </w:r>
      <w:r>
        <w:rPr>
          <w:rFonts w:ascii="Calibri" w:hAnsi="Calibri" w:eastAsia="微软雅黑"/>
          <w:b w:val="0"/>
          <w:i w:val="0"/>
          <w:sz w:val="22"/>
        </w:rPr>
        <w:t xml:space="preserve"> 输入是三十五份检索源中的裁判文书与深度调研文本，其中组织失效的证据以判决书为主（到岗失守对应P10023、授权失灵对应P10006、身份混同对应P10018、转包链条对应P10032与P10012），组织机制的证据以调研为主（P10000、P10008、P10010、P10009、P10027、P10011）。所有跨源或推导数字均以own_calc标注算式，例如降幅约10.3%（194351955元−174318000元再除以首报价，P10015）、设备采购占比约65.8%（60500万元÷92000万元，P10016）、超付率约25.2%（3，153，559.93元÷12，501，895.66元，P10017）。</w:t>
      </w:r>
    </w:p>
    <w:p>
      <w:r>
        <w:rPr>
          <w:rFonts w:ascii="Calibri" w:hAnsi="Calibri" w:eastAsia="微软雅黑"/>
          <w:b/>
          <w:i w:val="0"/>
          <w:sz w:val="22"/>
        </w:rPr>
        <w:t>依赖什么前提：</w:t>
      </w:r>
      <w:r>
        <w:rPr>
          <w:rFonts w:ascii="Calibri" w:hAnsi="Calibri" w:eastAsia="微软雅黑"/>
          <w:b w:val="0"/>
          <w:i w:val="0"/>
          <w:sz w:val="22"/>
        </w:rPr>
        <w:t xml:space="preserve"> 本章的判断依赖三个前提——其一，判决书呈现的争议形态能代表组织失效的常见模式（判决书天然只收录争议端，沉默的成功项目不可见）；其二，调研文本中的估算数字（毛利率骤降12–18个百分点、履约延期率超过25%等）虽自带C级、E级标注（P10010），方向仍可参考；其三，own_calc的比例计算以涉案金额为分母，样本未必能外推到其他项目类型。</w:t>
      </w:r>
    </w:p>
    <w:p>
      <w:r>
        <w:rPr>
          <w:rFonts w:ascii="Calibri" w:hAnsi="Calibri" w:eastAsia="微软雅黑"/>
          <w:b/>
          <w:i w:val="0"/>
          <w:sz w:val="22"/>
        </w:rPr>
        <w:t>还有什么解释：</w:t>
      </w:r>
      <w:r>
        <w:rPr>
          <w:rFonts w:ascii="Calibri" w:hAnsi="Calibri" w:eastAsia="微软雅黑"/>
          <w:b w:val="0"/>
          <w:i w:val="0"/>
          <w:sz w:val="22"/>
        </w:rPr>
        <w:t xml:space="preserve"> 同样的损失数字也存在竞争性解释——到岗失守可能源于业主付款迟延而非企业组织失灵（P10023判决书仅呈现业主一方主张）；超付可能包含质保金扣留策略而非控制失灵（P10017）；结算拉锯可能反映司法鉴定资源约束而非双方低效（P10028）。本章选择了「组织可改进」的解释框架，因为它是管理者最能动手改变的变量。</w:t>
      </w:r>
    </w:p>
    <w:p>
      <w:r>
        <w:rPr>
          <w:rFonts w:ascii="Calibri" w:hAnsi="Calibri" w:eastAsia="微软雅黑"/>
          <w:b/>
          <w:i w:val="0"/>
          <w:sz w:val="22"/>
        </w:rPr>
        <w:t>反证三问：</w:t>
      </w:r>
      <w:r>
        <w:rPr>
          <w:rFonts w:ascii="Calibri" w:hAnsi="Calibri" w:eastAsia="微软雅黑"/>
          <w:b w:val="0"/>
          <w:i w:val="0"/>
          <w:sz w:val="22"/>
        </w:rPr>
        <w:t xml:space="preserve"> 第一问，什么事实会推翻本章判断？若企业数据显示关键岗位到岗率、签证闭环率与项目利润之间没有稳定相关关系，则「复合型团队决定一体化成败」的判断不成立；若联合体项目的中标率与履约绩效系统性优于法人一体化企业，则形态选型的取舍依据需要重写。第二问，现有反证为何不足？目前证据库中没有一份对照样本同时披露组织配置与项目绩效两组数据，反证与正证一样停留在个案层，无法完成统计层面的对抗。第三问，哪个未知可能改变读者选择？复合型人才的市場供给与薪酬水平、以及组织重组的一次性转换成本，是仅有的两个可能反转「自建团队优于外部拼组」结论的变量，而这两者目前无数据。</w:t>
      </w:r>
    </w:p>
    <w:p>
      <w:r>
        <w:rPr>
          <w:rFonts w:ascii="Calibri" w:hAnsi="Calibri" w:eastAsia="微软雅黑"/>
          <w:b/>
          <w:i w:val="0"/>
          <w:sz w:val="22"/>
        </w:rPr>
        <w:t>证据未覆盖的盲区（如实声明）：</w:t>
      </w:r>
      <w:r>
        <w:rPr>
          <w:rFonts w:ascii="Calibri" w:hAnsi="Calibri" w:eastAsia="微软雅黑"/>
          <w:b w:val="0"/>
          <w:i w:val="0"/>
          <w:sz w:val="22"/>
        </w:rPr>
        <w:t xml:space="preserve"> 其一，全库没有人才供给端数据——复合型项目经理、概算工程师、国际采购工程师的存量、薪酬溢价与培养周期均无锚点，本章的建议只能停在岗位配置层，无法给出「自建还是外聘」的量化依据。其二，成功组织的绩效验证缺失——SNEI「双源合一」与中机国际「三位一体」的证据均为方法论自述（P10000、P10008、P10010），其中量化结论自带C级、E级估算标注，没有第三方审计口径的项目级损益数字可供核验。其三，组织变革成本无数据——从树状割裂转向一体化的重组周期、人员分流成本、系统建设投入在证据库中完全空白，管理层无法据此估算投资回收期。其四，联合体内部协议无样本——两家法人之间的利益分配、违约连带、人员共管条款在判决书中只以争议结果呈现，条款原文不可见。其五，人员结构数据缺失——团队年龄结构、专业配比、属地化用工比例等基线数据无锚点，考核仪表盘的基准值只能取自判例参数而非人力统计。</w:t>
      </w:r>
    </w:p>
    <w:p>
      <w:r>
        <w:rPr>
          <w:rFonts w:ascii="Calibri" w:hAnsi="Calibri" w:eastAsia="微软雅黑"/>
          <w:b/>
          <w:i w:val="0"/>
          <w:sz w:val="22"/>
        </w:rPr>
        <w:t>什么证据会改变答案：</w:t>
      </w:r>
      <w:r>
        <w:rPr>
          <w:rFonts w:ascii="Calibri" w:hAnsi="Calibri" w:eastAsia="微软雅黑"/>
          <w:b w:val="0"/>
          <w:i w:val="0"/>
          <w:sz w:val="22"/>
        </w:rPr>
        <w:t xml:space="preserve"> 一组「组织配置—项目绩效」配对数据（到岗率、签证闭环率对毛利率、结算周期的回归）、两至三个一体化转型企业转型前后三年的对照损益、若干份联合体内部协议模板样本——任何一项落地，本章的画像与选型建议都应按新证据重新校准。</w:t>
      </w:r>
    </w:p>
    <w:p>
      <w:r>
        <w:rPr>
          <w:rFonts w:ascii="Calibri" w:hAnsi="Calibri" w:eastAsia="微软雅黑"/>
          <w:b w:val="0"/>
          <w:i w:val="0"/>
          <w:sz w:val="22"/>
        </w:rPr>
        <w:t>---</w:t>
      </w:r>
    </w:p>
    <w:p>
      <w:pPr>
        <w:pStyle w:val="Heading1"/>
      </w:pPr>
      <w:r>
        <w:t>第11章 国际对标：FIDIC下的设计施工一体化</w:t>
      </w:r>
    </w:p>
    <w:p>
      <w:pPr>
        <w:ind w:left="454"/>
      </w:pPr>
      <w:r>
        <w:rPr>
          <w:rFonts w:ascii="Calibri" w:hAnsi="Calibri" w:eastAsia="微软雅黑"/>
          <w:b w:val="0"/>
          <w:i w:val="0"/>
          <w:color w:val="666666"/>
          <w:sz w:val="22"/>
        </w:rPr>
        <w:t>国内EPC看示范文本，国际EPC看FIDIC。同样一张"设计施工一体化"的图纸，落进两套合同语言里，风险归属、变更纪律与利润结局并不相同。本章把FIDIC银皮书当作一面镜子，照一照国内管理体系的差距与可移植之处。</w:t>
      </w:r>
    </w:p>
    <w:p>
      <w:r>
        <w:rPr>
          <w:rFonts w:ascii="Calibri" w:hAnsi="Calibri" w:eastAsia="微软雅黑"/>
          <w:b w:val="0"/>
          <w:i w:val="0"/>
          <w:sz w:val="22"/>
        </w:rPr>
        <w:t>adds: 读者读完本章，能分清示范文本与银皮书在风险分配上的物种差异，掌握银皮书下设计责任兜底、变更界面纪律与索赔时限的硬约束，并能用AECOM、吉达塔等公开账本校准自己企业的国际化利润假设。</w:t>
      </w:r>
    </w:p>
    <w:p>
      <w:pPr>
        <w:pStyle w:val="Heading2"/>
      </w:pPr>
      <w:r>
        <w:t>11.1 同名不同种：示范文本与银皮书的风险分配分野</w:t>
      </w:r>
    </w:p>
    <w:p>
      <w:pPr>
        <w:pStyle w:val="Heading3"/>
      </w:pPr>
      <w:r>
        <w:t>11.1.1 一切从"选错物种"的风险说起</w:t>
      </w:r>
    </w:p>
    <w:p>
      <w:r>
        <w:rPr>
          <w:rFonts w:ascii="Calibri" w:hAnsi="Calibri" w:eastAsia="微软雅黑"/>
          <w:b w:val="0"/>
          <w:i w:val="0"/>
          <w:sz w:val="22"/>
        </w:rPr>
        <w:t>中国工程企业"走出去"承接境外项目，绕不开国际咨询工程师联合会（FIDIC）的合同条件；国内工程总承包市场，则自2020年11月住房和城乡建设部、市场监管总局印发《建设项目工程总承包合同（示范文本）》（GF-2020-0216）起，有了自己的基准文本（P11012）。两套文本在条款设计上存在大量"形似"之处，但其风险分配逻辑与管理哲学存在深刻差异（P11012）。对买方——面临设计施工脱节与变更损失的工程企业管理层而言，这一差异不是学术问题，而是利润问题：用哪套思维做项目，决定了变更来了谁兜底、索赔晚了谁认账。</w:t>
      </w:r>
    </w:p>
    <w:p>
      <w:r>
        <w:rPr>
          <w:rFonts w:ascii="Calibri" w:hAnsi="Calibri" w:eastAsia="微软雅黑"/>
          <w:b w:val="0"/>
          <w:i w:val="0"/>
          <w:sz w:val="22"/>
        </w:rPr>
        <w:t>先看结构。示范文本由合同协议书（11条）、通用合同条件（20条）、专用合同条件三部分组成，附《发包人要求》《价格指数权重表》等六个附件（P11012）。FIDIC《设计采购施工（EPC）/交钥匙项目合同条件》2017年第二版（银皮书），则由通用条件（21条）、专用条件、合同数据（Contract Data）与雇主要求构成（P11012）。条文数量的差别是表象，真正的分野在条款背后：银皮书是FIDIC合同体系中承包商风险最重、总价可预期性最强的文本（P11012）。</w:t>
      </w:r>
    </w:p>
    <w:p>
      <w:r>
        <w:rPr>
          <w:rFonts w:ascii="Calibri" w:hAnsi="Calibri" w:eastAsia="微软雅黑"/>
          <w:b w:val="0"/>
          <w:i w:val="0"/>
          <w:sz w:val="22"/>
        </w:rPr>
        <w:t>把两套文本的基本盘并排放在一起，差距更直观（下表信息均取自同一比较研究，P11012）：</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比较维度（P11012）</w:t>
            </w:r>
          </w:p>
        </w:tc>
        <w:tc>
          <w:tcPr>
            <w:tcW w:type="dxa" w:w="2767"/>
            <w:shd w:fill="1F3A5F"/>
          </w:tcPr>
          <w:p>
            <w:r>
              <w:rPr>
                <w:color w:val="FFFFFF"/>
              </w:rPr>
            </w:r>
            <w:r>
              <w:rPr>
                <w:rFonts w:ascii="Calibri" w:hAnsi="Calibri" w:eastAsia="微软雅黑"/>
                <w:b/>
                <w:i w:val="0"/>
                <w:color w:val="FFFFFF"/>
                <w:sz w:val="18"/>
              </w:rPr>
              <w:t>GF-2020-0216示范文本</w:t>
            </w:r>
          </w:p>
        </w:tc>
        <w:tc>
          <w:tcPr>
            <w:tcW w:type="dxa" w:w="2767"/>
            <w:shd w:fill="1F3A5F"/>
          </w:tcPr>
          <w:p>
            <w:r>
              <w:rPr>
                <w:color w:val="FFFFFF"/>
              </w:rPr>
            </w:r>
            <w:r>
              <w:rPr>
                <w:rFonts w:ascii="Calibri" w:hAnsi="Calibri" w:eastAsia="微软雅黑"/>
                <w:b/>
                <w:i w:val="0"/>
                <w:color w:val="FFFFFF"/>
                <w:sz w:val="18"/>
              </w:rPr>
              <w:t>FIDIC 2017版银皮书</w:t>
            </w:r>
          </w:p>
        </w:tc>
      </w:tr>
      <w:tr>
        <w:tc>
          <w:tcPr>
            <w:tcW w:type="dxa" w:w="2767"/>
          </w:tcPr>
          <w:p>
            <w:r/>
            <w:r>
              <w:rPr>
                <w:rFonts w:ascii="Calibri" w:hAnsi="Calibri" w:eastAsia="微软雅黑"/>
                <w:b w:val="0"/>
                <w:i w:val="0"/>
                <w:sz w:val="18"/>
              </w:rPr>
              <w:t>发布机构</w:t>
            </w:r>
          </w:p>
        </w:tc>
        <w:tc>
          <w:tcPr>
            <w:tcW w:type="dxa" w:w="2767"/>
          </w:tcPr>
          <w:p>
            <w:r/>
            <w:r>
              <w:rPr>
                <w:rFonts w:ascii="Calibri" w:hAnsi="Calibri" w:eastAsia="微软雅黑"/>
                <w:b w:val="0"/>
                <w:i w:val="0"/>
                <w:sz w:val="18"/>
              </w:rPr>
              <w:t>住房和城乡建设部、国家市场监督管理总局</w:t>
            </w:r>
          </w:p>
        </w:tc>
        <w:tc>
          <w:tcPr>
            <w:tcW w:type="dxa" w:w="2767"/>
          </w:tcPr>
          <w:p>
            <w:r/>
            <w:r>
              <w:rPr>
                <w:rFonts w:ascii="Calibri" w:hAnsi="Calibri" w:eastAsia="微软雅黑"/>
                <w:b w:val="0"/>
                <w:i w:val="0"/>
                <w:sz w:val="18"/>
              </w:rPr>
              <w:t>国际咨询工程师联合会（FIDIC）（P11012）</w:t>
            </w:r>
          </w:p>
        </w:tc>
      </w:tr>
      <w:tr>
        <w:tc>
          <w:tcPr>
            <w:tcW w:type="dxa" w:w="2767"/>
          </w:tcPr>
          <w:p>
            <w:r/>
            <w:r>
              <w:rPr>
                <w:rFonts w:ascii="Calibri" w:hAnsi="Calibri" w:eastAsia="微软雅黑"/>
                <w:b w:val="0"/>
                <w:i w:val="0"/>
                <w:sz w:val="18"/>
              </w:rPr>
              <w:t>文本性质</w:t>
            </w:r>
          </w:p>
        </w:tc>
        <w:tc>
          <w:tcPr>
            <w:tcW w:type="dxa" w:w="2767"/>
          </w:tcPr>
          <w:p>
            <w:r/>
            <w:r>
              <w:rPr>
                <w:rFonts w:ascii="Calibri" w:hAnsi="Calibri" w:eastAsia="微软雅黑"/>
                <w:b w:val="0"/>
                <w:i w:val="0"/>
                <w:sz w:val="18"/>
              </w:rPr>
              <w:t>政府制定的示范合同，供当事人参照使用，非强制</w:t>
            </w:r>
          </w:p>
        </w:tc>
        <w:tc>
          <w:tcPr>
            <w:tcW w:type="dxa" w:w="2767"/>
          </w:tcPr>
          <w:p>
            <w:r/>
            <w:r>
              <w:rPr>
                <w:rFonts w:ascii="Calibri" w:hAnsi="Calibri" w:eastAsia="微软雅黑"/>
                <w:b w:val="0"/>
                <w:i w:val="0"/>
                <w:sz w:val="18"/>
              </w:rPr>
              <w:t>国际组织编制的标准合同条件，经当事人选用生效（P11012）</w:t>
            </w:r>
          </w:p>
        </w:tc>
      </w:tr>
      <w:tr>
        <w:tc>
          <w:tcPr>
            <w:tcW w:type="dxa" w:w="2767"/>
          </w:tcPr>
          <w:p>
            <w:r/>
            <w:r>
              <w:rPr>
                <w:rFonts w:ascii="Calibri" w:hAnsi="Calibri" w:eastAsia="微软雅黑"/>
                <w:b w:val="0"/>
                <w:i w:val="0"/>
                <w:sz w:val="18"/>
              </w:rPr>
              <w:t>结构组成</w:t>
            </w:r>
          </w:p>
        </w:tc>
        <w:tc>
          <w:tcPr>
            <w:tcW w:type="dxa" w:w="2767"/>
          </w:tcPr>
          <w:p>
            <w:r/>
            <w:r>
              <w:rPr>
                <w:rFonts w:ascii="Calibri" w:hAnsi="Calibri" w:eastAsia="微软雅黑"/>
                <w:b w:val="0"/>
                <w:i w:val="0"/>
                <w:sz w:val="18"/>
              </w:rPr>
              <w:t>合同协议书＋通用合同条件（20条）＋专用合同条件＋6个附件</w:t>
            </w:r>
          </w:p>
        </w:tc>
        <w:tc>
          <w:tcPr>
            <w:tcW w:type="dxa" w:w="2767"/>
          </w:tcPr>
          <w:p>
            <w:r/>
            <w:r>
              <w:rPr>
                <w:rFonts w:ascii="Calibri" w:hAnsi="Calibri" w:eastAsia="微软雅黑"/>
                <w:b w:val="0"/>
                <w:i w:val="0"/>
                <w:sz w:val="18"/>
              </w:rPr>
              <w:t>通用条件（21条）＋专用条件＋合同数据（Contract Data）＋雇主要求（P11012）</w:t>
            </w:r>
          </w:p>
        </w:tc>
      </w:tr>
      <w:tr>
        <w:tc>
          <w:tcPr>
            <w:tcW w:type="dxa" w:w="2767"/>
          </w:tcPr>
          <w:p>
            <w:r/>
            <w:r>
              <w:rPr>
                <w:rFonts w:ascii="Calibri" w:hAnsi="Calibri" w:eastAsia="微软雅黑"/>
                <w:b w:val="0"/>
                <w:i w:val="0"/>
                <w:sz w:val="18"/>
              </w:rPr>
              <w:t>风险分配倾向</w:t>
            </w:r>
          </w:p>
        </w:tc>
        <w:tc>
          <w:tcPr>
            <w:tcW w:type="dxa" w:w="2767"/>
          </w:tcPr>
          <w:p>
            <w:r/>
            <w:r>
              <w:rPr>
                <w:rFonts w:ascii="Calibri" w:hAnsi="Calibri" w:eastAsia="微软雅黑"/>
                <w:b w:val="0"/>
                <w:i w:val="0"/>
                <w:sz w:val="18"/>
              </w:rPr>
              <w:t>设计施工一体化＋风险均衡分担的中国化模式</w:t>
            </w:r>
          </w:p>
        </w:tc>
        <w:tc>
          <w:tcPr>
            <w:tcW w:type="dxa" w:w="2767"/>
          </w:tcPr>
          <w:p>
            <w:r/>
            <w:r>
              <w:rPr>
                <w:rFonts w:ascii="Calibri" w:hAnsi="Calibri" w:eastAsia="微软雅黑"/>
                <w:b w:val="0"/>
                <w:i w:val="0"/>
                <w:sz w:val="18"/>
              </w:rPr>
              <w:t>固定总价＋承包商兜底的高度市场化模式（P11012）</w:t>
            </w:r>
          </w:p>
        </w:tc>
      </w:tr>
    </w:tbl>
    <w:p>
      <w:r>
        <w:rPr>
          <w:rFonts w:ascii="Calibri" w:hAnsi="Calibri" w:eastAsia="微软雅黑"/>
          <w:b w:val="0"/>
          <w:i w:val="0"/>
          <w:sz w:val="22"/>
        </w:rPr>
        <w:t>这张表里最容易被忽视的一行是"文本性质"。示范文本供当事人参照使用、非强制（P11012）——参照意味着专用条款才是真战场，风险再分配都发生在谈判桌上；银皮书经当事人选用生效（P11012）——一旦选用，通用条件21条整体进场，承包商能改写的只有专用条件与合同数据里有限的空格。[事实] 买方推论顺理成章：签银皮书项目，评审重心必须前移到"专用条件能改什么、改不了什么"；签示范文本项目，则要盯住专用条款是否悄悄把示范文本的均衡分担改写成了单方兜底。两个方向的风险，都藏在"可修改空间"里。</w:t>
      </w:r>
    </w:p>
    <w:p>
      <w:r>
        <w:rPr>
          <w:rFonts w:ascii="Calibri" w:hAnsi="Calibri" w:eastAsia="微软雅黑"/>
          <w:b w:val="0"/>
          <w:i w:val="0"/>
          <w:sz w:val="22"/>
        </w:rPr>
        <w:t>一条来自比较研究的核心判断值得企业管理层记在笔记本第一页：示范文本虽名为"工程总承包合同"，体例上借鉴了FIDIC的框架，但其风险分担结构、管理主体设置实质上更接近FIDIC黄皮书（生产设备和设计—施工合同条件，DB模式）而非银皮书（EPC模式）——国内推行的"工程总承包"与国际通行的EPC交钥匙模式并非同一物种，前者是"设计施工一体化＋风险均衡分担"的中国化模式，后者是"固定总价＋承包商兜底"的高度市场化模式（P11012）。[事实] 这句话的实务翻译是：在国内示范文本下养成的"遇到问题找发包人商量"的习惯，带进银皮书项目会吃大亏；反过来，用银皮书的兜底姿态去签国内示范文本，承包商会接下超出自身能力的风险敞口。</w:t>
      </w:r>
    </w:p>
    <w:p>
      <w:r>
        <w:rPr>
          <w:rFonts w:ascii="Calibri" w:hAnsi="Calibri" w:eastAsia="微软雅黑"/>
          <w:b w:val="0"/>
          <w:i w:val="0"/>
          <w:sz w:val="22"/>
        </w:rPr>
        <w:t>该研究给两套文本的定性更为直白：银皮书是高度市场化环境中强者之间的风险对赌契约，示范文本则是转型市场中兼顾公平、稳定与能力培育的治理型合同（P11012）。[事实]（转述源研究结论）换言之，示范文本里留了协商与调整的余地，银皮书里写的是对赌的边界。设计施工一体化在这两套文本里的含义因此不同：在示范文本语境下，一体化更多是一种管理协同安排；在银皮书语境下，一体化首先是风险打包——设计与施工的风险一并打包给承包商，业主换取价格与工期的可预期性。</w:t>
      </w:r>
    </w:p>
    <w:p>
      <w:pPr>
        <w:pStyle w:val="Heading3"/>
      </w:pPr>
      <w:r>
        <w:t>11.1.2 合同版本族谱：一体化不止一种签法</w:t>
      </w:r>
    </w:p>
    <w:p>
      <w:r>
        <w:rPr>
          <w:rFonts w:ascii="Calibri" w:hAnsi="Calibri" w:eastAsia="微软雅黑"/>
          <w:b w:val="0"/>
          <w:i w:val="0"/>
          <w:sz w:val="22"/>
        </w:rPr>
        <w:t>国际工程项目的合同管理实践中，承包商一侧面对的合同版本远不止"一份总承包合同"。按业内经验梳理，国际工程项目大体需要准备如下合同版本：项目承包管理合同（PMC）、设计采购和施工管理合同（EPCm）、设计采购和施工总包交钥匙合同（EPC Lump Sum Turnkey）、设计和建造合同（Design &amp; Build）、施工承包合同（Construction Contract）、专业服务合同（Professional Service）、物流货代服务合同（Freight Forwarder Service）、简明合同（Short Form Contract）（P11004）。这份族谱提示两点：其一，"设计施工一体化"在国际市场是一个光谱，从设计牵头的EPCm到交钥匙的总承包，风险深度逐级加大；其二，企业在投标前就要想清楚自己在光谱上的站位，而不是拿到招标文件才开始判断。</w:t>
      </w:r>
    </w:p>
    <w:p>
      <w:r>
        <w:rPr>
          <w:rFonts w:ascii="Calibri" w:hAnsi="Calibri" w:eastAsia="微软雅黑"/>
          <w:b w:val="0"/>
          <w:i w:val="0"/>
          <w:sz w:val="22"/>
        </w:rPr>
        <w:t>时间纪律同样值得对标。按业内做法，在国际工程项目开球会（Kickoff meeting）后的最初三个月，合同经理要在编制合同策略和计划、项目合同程序的同时，编制整个项目所需的合同版本（P11004）。[事实] 三个月，是国际同行给合同基建划定的窗口期。还有一个细节颇具启发：如果EPC合同分拆为在案和离案合同，需要有一份衔接合同（bridging Agreement），使其在合同执行和保修服务方面保持责任的一致性（P11004）。合同可以拆，责任不能散——这正是设计施工一体化的法律底线。</w:t>
      </w:r>
    </w:p>
    <w:p>
      <w:r>
        <w:rPr>
          <w:rFonts w:ascii="Calibri" w:hAnsi="Calibri" w:eastAsia="微软雅黑"/>
          <w:b w:val="0"/>
          <w:i w:val="0"/>
          <w:sz w:val="22"/>
        </w:rPr>
        <w:t>示范文本一侧的配套概念同样要对得上国际语言。《标准设计施工总承包招标文件》语境下，发包人要求是指发包人对建设项目工程的目的、范围、设计施工等标准的要求，包括合同履行中发包人修改与补充的内容，是工程质量、工期、造价、环保及各技术标准的依据（P11030）。价格清单则是投标人按招标文件规定格式填写价格的清单，其中的数量不是工程总承包人实际施工的工程量，而是估算的工程量，价格清单为变更与支付的参考资料（P11030）。承包人建议书是投标人制作的设计文件系列，包括设计图纸、工程详细说明、设备方案等（P11030）。而承包人即工程总承包单位，需要同时具备设计、施工资质，可以是联合体（P11030）。[事实] 注意"估算工程量"四个字——它与FIDIC银皮书的总价逻辑一脉相承：清单仅供参考，变更与支付另有程序，指望靠清单数量锁死结算空间的做法，在两套文本下都不成立。</w:t>
      </w:r>
    </w:p>
    <w:p>
      <w:r>
        <w:rPr>
          <w:rFonts w:ascii="Calibri" w:hAnsi="Calibri" w:eastAsia="微软雅黑"/>
          <w:b w:val="0"/>
          <w:i w:val="0"/>
          <w:sz w:val="22"/>
        </w:rPr>
        <w:t>人员概念的对齐常被忽略，却与设计施工一体化的组织落地直接相关。按该招标文件的定义：承包人项目经理是经承包人指派、组织管理协调实施工程总承包工作、履行工程总承包合同并具备相应资格的人员，与承包人存在劳动合同关系，其实质为职务代理；设计负责人是经承包人指派、组织实施工程中设计工作的人员，同样与承包人存在劳动合同关系、实质为职务代理；施工负责人、采购负责人的定义同构（P11030）。[事实] "职务代理"四个字把国内文本的组织逻辑说透了：设计负责人与施工负责人都是总承包法人这一只手上的手指，对外签署的动作都由法人担责。这与11.2节银皮书下"设计责任压到承包商法人"的判断形成互证——无论国内国际，一体化后的设计行为在法律上都不是设计院或设计人的个人作品，而是总承包商的法人行为（P11030、P11007）。设计院领导者的授权清单、印章管理与人员任职文件，因此成为利润保卫战的一线工事。</w:t>
      </w:r>
    </w:p>
    <w:p>
      <w:r>
        <w:rPr>
          <w:rFonts w:ascii="Calibri" w:hAnsi="Calibri" w:eastAsia="微软雅黑"/>
          <w:b w:val="0"/>
          <w:i w:val="0"/>
          <w:sz w:val="22"/>
        </w:rPr>
        <w:t>合同文件的部件清单同样有国际通行的拼法：无论采用什么样的合同版本，都应包含协议书，如果EPC合同分拆为在案和离案合同，需要有一份衔接合同使其在合同执行和保修服务方面保持责任的一致性；此外还应包含工作范围、商务条款（包括包干价、单价清单（BOQ）格式和相应的计量规则）、一般条款、补充条款（对一般条款的修改）、技术标准和规范（包括适用的技术标准、行业规范、供货商安装要求和业主专用技术标准等）、初步设计资料（用于EPC合同）、施工图纸（用于施工总承包合同）等（P11004）。[事实] 这份清单的读法在于层级：商务条款里的计量规则、技术标准里的业主要求、图纸资料的深度，每一层都同时是报价依据与变更攻防的前线——部件齐全不等于风险可控，部件之间的缝隙才是。</w:t>
      </w:r>
    </w:p>
    <w:p>
      <w:pPr>
        <w:pStyle w:val="Heading3"/>
      </w:pPr>
      <w:r>
        <w:t>11.1.3 一纸判决照出的价差裂缝</w:t>
      </w:r>
    </w:p>
    <w:p>
      <w:r>
        <w:rPr>
          <w:rFonts w:ascii="Calibri" w:hAnsi="Calibri" w:eastAsia="微软雅黑"/>
          <w:b w:val="0"/>
          <w:i w:val="0"/>
          <w:sz w:val="22"/>
        </w:rPr>
        <w:t>国内司法实践为"合同价与投标价的纪律"提供了注脚。在（2019）最高法民终1356号案中，中国电建集团新能源电力有限公司（原贵州电力建设第二工程公司）与贵州赤天化桐梓化工有限公司因2008年5月29日签订的桐梓煤化工一期工程热电及公用工程设计采购施工（EPC）总承包合同发生纠纷：电建公司的投标总价为521965260元，赤天化公司向电建公司发出了中标通知书，而EPC总承包合同约定的工程价款为460436515元（P11025）。电建公司据此主张案涉合同违反招标投标法第四十六条及其实施条例第五十七条、应属无效，并请求支付拖欠的工程款项131845782元及利息（P11025）。</w:t>
      </w:r>
    </w:p>
    <w:p>
      <w:r>
        <w:rPr>
          <w:rFonts w:ascii="Calibri" w:hAnsi="Calibri" w:eastAsia="微软雅黑"/>
          <w:b w:val="0"/>
          <w:i w:val="0"/>
          <w:sz w:val="22"/>
        </w:rPr>
        <w:t>这两个数字之间藏着一道裂缝：投标总价与合同价款的差额为61528745元（own_calc：521965260−460436515=61528745），相当于合同价款的约13.4%（own_calc：61528745÷460436515≈13.4%，锚P11025）。[估计] 中标之后再谈价、合同价偏离投标价，说明招标投标的竞争约束在签约环节被稀释了——无论法院最终如何认定合同效力（该案上诉审围绕合同效力、鉴定意见等展开，P11025），13%量级的价差本身就足以吞掉一个EPC项目的全部利润垫。买方教训：合同纪律的第一课不在履约阶段，而在签约那支笔落下之前。</w:t>
      </w:r>
    </w:p>
    <w:p>
      <w:r>
        <w:rPr>
          <w:rFonts w:ascii="Calibri" w:hAnsi="Calibri" w:eastAsia="微软雅黑"/>
          <w:b w:val="0"/>
          <w:i w:val="0"/>
          <w:sz w:val="22"/>
        </w:rPr>
        <w:t>本节小结：示范文本与银皮书不是同一物种（P11012），选错文本、用错思维，设计施工一体化就会从利润工具变成风险放大器。接下来两节，我们把银皮书这面镜子擦亮，先看它给承包商的设计责任上了多重的砝码。</w:t>
      </w:r>
    </w:p>
    <w:p>
      <w:pPr>
        <w:pStyle w:val="Heading2"/>
      </w:pPr>
      <w:r>
        <w:t>11.2 银皮书的设计责任兜底：业主要求核实义务与四种例外</w:t>
      </w:r>
    </w:p>
    <w:p>
      <w:pPr>
        <w:pStyle w:val="Heading3"/>
      </w:pPr>
      <w:r>
        <w:t>11.2.1 设计是龙头，也是风险入口</w:t>
      </w:r>
    </w:p>
    <w:p>
      <w:r>
        <w:rPr>
          <w:rFonts w:ascii="Calibri" w:hAnsi="Calibri" w:eastAsia="微软雅黑"/>
          <w:b w:val="0"/>
          <w:i w:val="0"/>
          <w:sz w:val="22"/>
        </w:rPr>
        <w:t>国际工程大型项目风险管理研究对设计的定位毫不客气：设计是工程建设的"龙头"，设计质量不高或设计工作滞后将直接影响到后续的工程采购、施工建造和投产运营，也直接影响到工程质量、进度和成本（P11007）。与传统的DBB承包模式不同，EPC总承包模式下承包商负有严格的设计责任和高度谨慎的义务，其不仅要对承包商设计文件的正确性负责，还需要负责审核业主前期设计成果及其正确性（P11007）。[事实] 更扎心的判断是：设计工作是EPC承包商实施工程项目的核心与重点，也是中国承包商承揽海外业务的短板（P11007）。</w:t>
      </w:r>
    </w:p>
    <w:p>
      <w:r>
        <w:rPr>
          <w:rFonts w:ascii="Calibri" w:hAnsi="Calibri" w:eastAsia="微软雅黑"/>
          <w:b w:val="0"/>
          <w:i w:val="0"/>
          <w:sz w:val="22"/>
        </w:rPr>
        <w:t>这句话对国内设计院出身的总承包企业尤其刺耳。在国内，设计院画图、施工单位施工、出问题各担各的；在银皮书下，设计正确性的责任统一压到承包商法人身上——包括业主前期提供的设计成果，承包商也要审核其正确性（P11007）。设计施工一体化在国际语境下的第一层含义，就是设计风险的一体化承接。</w:t>
      </w:r>
    </w:p>
    <w:p>
      <w:r>
        <w:rPr>
          <w:rFonts w:ascii="Calibri" w:hAnsi="Calibri" w:eastAsia="微软雅黑"/>
          <w:b w:val="0"/>
          <w:i w:val="0"/>
          <w:sz w:val="22"/>
        </w:rPr>
        <w:t>采购环节把这份责任进一步放大。工业类EPC总承包项目采购额占合同额的比例高达40%～60%，且待购设备和材料种类极多、涉及面广、工作量大，采购执行的好坏对整个工程项目的进度、质量和费用都将产生直接影响（P11001）。[事实] 设计输出的设备清单直接进入这40%～60%的采购流水线，设计端的一个型号错误，在采购端就是一笔真金白银的沉没成本。而在设计过程中，设计人员还须以设备/材料供应商提供的技术资料作为设计输入，但承包商难以保证所获取资料的准确性（P11007）——设计责任链条的末端，拴着承包商无法完全控制的供应商数据质量。</w:t>
      </w:r>
    </w:p>
    <w:p>
      <w:r>
        <w:rPr>
          <w:rFonts w:ascii="Calibri" w:hAnsi="Calibri" w:eastAsia="微软雅黑"/>
          <w:b w:val="0"/>
          <w:i w:val="0"/>
          <w:sz w:val="22"/>
        </w:rPr>
        <w:t>设计输入风险的完整链条值得整段看清。EPC总承包商在实施工程设计前必须核实业主提供的项目勘测和设计资料等的准确性，并准确理解掌握业主要求，以保证设计能够满足项目预期的使用功能（P11007）；而如果设计人员作为设计依据的资料不准确，就很可能产生设计错误或设计缺陷，使工程项目的规模、组成、结构、构造、标准等特征不满足业主预期目的、不符合相关法律法规要求，或带来施工的不便利性，进而使EPC承包商项目实施成本增加、项目失败风险提高（P11007）。[事实] 注意这条链的起点是"核实业主资料"、中段是"供应商数据"、终点是"成本与失败风险"——三个环节没有一个在传统设计院的职责清单里，却全部落在银皮书承包商的肩上。这正是国际对标给国内设计院的最重一课：一体化的本质，是把别人的数据质量责任变成自己的合同责任。</w:t>
      </w:r>
    </w:p>
    <w:p>
      <w:pPr>
        <w:pStyle w:val="Heading3"/>
      </w:pPr>
      <w:r>
        <w:t>11.2.2 第5.1款：核实义务与四道豁免窄门</w:t>
      </w:r>
    </w:p>
    <w:p>
      <w:r>
        <w:rPr>
          <w:rFonts w:ascii="Calibri" w:hAnsi="Calibri" w:eastAsia="微软雅黑"/>
          <w:b w:val="0"/>
          <w:i w:val="0"/>
          <w:sz w:val="22"/>
        </w:rPr>
        <w:t>银皮书对承包商设计责任的核心安排，浓缩在业主资料的风险分配上。FIDIC银皮书合同条款规定，承包商有义务核实并解释业主要求（包括设计标准和计算），除第5.1款规定的四种情况外，业主对所提供资料的准确性、充分性和完整性不承担责任（P11007）。这四种情况是：合同中规定的不可更改或由业主负责的部分、数据和信息；工程预期目的的定义；竣工检验标准和性能标准；除合同另有说明外，承包商无法核实的内容（P11007）。[事实]</w:t>
      </w:r>
    </w:p>
    <w:p>
      <w:r>
        <w:rPr>
          <w:rFonts w:ascii="Calibri" w:hAnsi="Calibri" w:eastAsia="微软雅黑"/>
          <w:b w:val="0"/>
          <w:i w:val="0"/>
          <w:sz w:val="22"/>
        </w:rPr>
        <w:t>把这四种例外读透，管理层的结论应当是清醒的：除这四道窄门之外，业主给的资料错了、漏了、含糊了，风险都归承包商。这不是恶意条款，而是银皮书"固定总价＋承包商兜底"定价逻辑的配套结果——业主让渡了参与权，收走了资料担保责任，换来的是价格的可预期性（P11012的核心判断同源）。</w:t>
      </w:r>
    </w:p>
    <w:p>
      <w:r>
        <w:rPr>
          <w:rFonts w:ascii="Calibri" w:hAnsi="Calibri" w:eastAsia="微软雅黑"/>
          <w:b w:val="0"/>
          <w:i w:val="0"/>
          <w:sz w:val="22"/>
        </w:rPr>
        <w:t>实践中，业主资料的风险以两种面目出现（P11007）。其一是业主提供的条件不全：承包商在投标时常常发现业主提供的输入条件不全，或者因投标时间紧急、业主文件多，承包商往往无法理解业主的全部要求而忽略业主要求中的一些条件；如果承包商未能及时与业主澄清、确认缺少的条件，而是以自己假定的条件作为设计的基础进行投标报价，很可能在工程实施过程中发生设计变更，进而使项目成本高于投标报价时的估算（P11007）。其二是条件不清楚、存在歧义：例如有些业主在合同中要求承包商最终移交的设备要达到"世界先进的装备水平"，这种情况下承包商往往很难界定其出具的设计是否达到业主的要求（P11007）。[事实] "世界先进"四个字写在合同里，验收时业主说不达标，承包商几乎无处讲理——性能标准的解释权之争，是设计责任兜底条款下最锋利的一把刀。</w:t>
      </w:r>
    </w:p>
    <w:p>
      <w:r>
        <w:rPr>
          <w:rFonts w:ascii="Calibri" w:hAnsi="Calibri" w:eastAsia="微软雅黑"/>
          <w:b w:val="0"/>
          <w:i w:val="0"/>
          <w:sz w:val="22"/>
        </w:rPr>
        <w:t>对策在源研究中也给得很具体：在投标阶段承包商应仔细审核业主要求中的所有条件，判断业主提供的条件是否完整；如果条件不完整，应及时找业主澄清、确认；如果承包商根据自己假定的条件进行投标报价，需在投标文件中明确说明该假定的条件（P11007）。[建议] 把假定条件写进投标文件，是承包商在银皮书下为自己保留的少数自卫手段之一——验证条件是投标文件中"假定条件声明"的条目化程度与业主澄清函的归档完整率；停止条件是：若业主拒绝对关键模糊表述（如装备水平、性能界线）出具书面澄清，投标团队应将该项不可定价风险计入报价决策，或直接放弃投标。</w:t>
      </w:r>
    </w:p>
    <w:p>
      <w:pPr>
        <w:pStyle w:val="Heading3"/>
      </w:pPr>
      <w:r>
        <w:t>11.2.3 银皮书自己承认的四类"不该用"场景</w:t>
      </w:r>
    </w:p>
    <w:p>
      <w:r>
        <w:rPr>
          <w:rFonts w:ascii="Calibri" w:hAnsi="Calibri" w:eastAsia="微软雅黑"/>
          <w:b w:val="0"/>
          <w:i w:val="0"/>
          <w:sz w:val="22"/>
        </w:rPr>
        <w:t>鲜为人注意的是，银皮书并非无条件自我推销。FIDIC银皮书的序言中提到，项目的招标面临下述环境时，并不适合采用EPC模式：如果投标人没有足够时间或资料，以仔细研究和核查业主要求或进行他们的设计、风险评估和估算（特别是考虑到承包商要负责设计工作及将来不可预见的困难）；如果建设内容涉及相当数量的地下工程，或投标人未能调查的区域内的工程；如果业主要严密监督或控制承包商的工作，或要审核大部分施工图纸；如果每次期中付款都要经职员或其他中间人核定（P11008）。[事实]</w:t>
      </w:r>
    </w:p>
    <w:p>
      <w:r>
        <w:rPr>
          <w:rFonts w:ascii="Calibri" w:hAnsi="Calibri" w:eastAsia="微软雅黑"/>
          <w:b w:val="0"/>
          <w:i w:val="0"/>
          <w:sz w:val="22"/>
        </w:rPr>
        <w:t>这四条与设计施工一体化的关联极其紧密：第一条说的是信息与时间——没有足够资料就没有可信的设计基础；第二条说的是地质——地下工程的不可预见性会击穿任何固定总价的设计包络；第三条说的是控制权——业主要审大部分图纸，等于把设计风险又拉回业主侧，与银皮书的风险打包逻辑自相矛盾；第四条说的是支付——期中付款若需中间人核定，总价的可预期性就名存实亡。</w:t>
      </w:r>
    </w:p>
    <w:p>
      <w:r>
        <w:rPr>
          <w:rFonts w:ascii="Calibri" w:hAnsi="Calibri" w:eastAsia="微软雅黑"/>
          <w:b w:val="0"/>
          <w:i w:val="0"/>
          <w:sz w:val="22"/>
        </w:rPr>
        <w:t>但市场现实与文本忠告之间存在落差。在国际工程投标工作实践中，商务报价人员每年都能遇到大量这种环境下的EPC投标项目（P11008）。[事实] 更大的信息盲区在于：当业主进行EPC模式招标时，项目基本上还处在可行性研究或概念设计、方案设计阶段，业主可能提供一些可行性研究报告、概念设计或方案设计图纸、业主要求等，但不会提供工程量清单、技术规范，因而投标时存在很大的信息盲区，输入信息不充分成为估价师们经常遇到的难题（P11008）。对估价师而言，设计图纸、工程量清单和技术规范越深入详细，其对工程的微观描述就越详细，投标报价工作就越容易做到准确（P11008）——而EPC招标偏偏不给这些东西。</w:t>
      </w:r>
    </w:p>
    <w:p>
      <w:r>
        <w:rPr>
          <w:rFonts w:ascii="Calibri" w:hAnsi="Calibri" w:eastAsia="微软雅黑"/>
          <w:b w:val="0"/>
          <w:i w:val="0"/>
          <w:sz w:val="22"/>
        </w:rPr>
        <w:t>[建议] 由此可提炼一份"银皮书适用性体检表"，在投标决策会上逐项打勾：时间与资料是否足以核查业主要求（P11008）；地下工程占比与地勘覆盖度是否可接受（P11008）；业主是否保留了图纸审核权（P11008）；期中付款是否需中间人核定（P11008）。四项中任何一项触发，都应启动报价加成或放弃决策的程序。验证条件：体检表随投标决策纪要归档；停止条件：若企业连续两个季度在"体检不合格仍中标"的项目上出现毛利为负，应冻结该类投标授权并升级至董事会风险委员会。</w:t>
      </w:r>
    </w:p>
    <w:p>
      <w:pPr>
        <w:pStyle w:val="Heading3"/>
      </w:pPr>
      <w:r>
        <w:t>11.2.4 采购链条上的外部环境变量：一体化风险的国别放大器</w:t>
      </w:r>
    </w:p>
    <w:p>
      <w:r>
        <w:rPr>
          <w:rFonts w:ascii="Calibri" w:hAnsi="Calibri" w:eastAsia="微软雅黑"/>
          <w:b w:val="0"/>
          <w:i w:val="0"/>
          <w:sz w:val="22"/>
        </w:rPr>
        <w:t>设计责任与采购责任的叠加，还要再乘上一个国别系数。对于国际工程EPC总承包项目，采购的风险管理应贯穿于项目整个生命周期，涵盖前期投标报价阶段和后期的执行阶段（P11001）。[事实] 在投标报价阶段，由于受时间和经验的限制，容易对项目潜在的风险预估不足，在招标文件的解读、概算询价或估价以及最终的价格汇总过程中不能面面俱到，存在一定的遗漏或者理解上的偏差，使总的项目采购成本未能如实覆盖实际的工作范围和潜在的风险（P11001）。在执行阶段，采购工作面临计划编制不当风险、选商风险、催交风险、检验风险、物流运输风险、现场材料管理风险（P11001）；此外，项目所在地的政治、经济、自然环境都会对设备/材料价格造成重要影响，甚至阻碍采购工作的推进，这些不可预见因素的存在增加了承包商遭受损失的可能性（P11001）。</w:t>
      </w:r>
    </w:p>
    <w:p>
      <w:r>
        <w:rPr>
          <w:rFonts w:ascii="Calibri" w:hAnsi="Calibri" w:eastAsia="微软雅黑"/>
          <w:b w:val="0"/>
          <w:i w:val="0"/>
          <w:sz w:val="22"/>
        </w:rPr>
        <w:t>外部环境风险的应对有成熟打法。在项目采购策划阶段，承包商应对项目所在国环境进行必要调研，包括三件事：调研项目所在国的政治、经济、自然环境等，分析潜在的风险因素，制定相应的风险防范措施；了解项目所在国的各项标准规范要求，并吃透标准，从而在实际采购时实现事半功倍；熟悉项目所在国与采购相关的法律法规，尤其是当地法律对进出口许可（包括贸易壁垒）、税费、物流运输等方面的特殊规定（P11001）。[事实] 政治风险的处置逻辑则更接近一道阈值判断题：在投标报价阶段，投标人应通过实地调研、专家咨询等方法对项目所在国的政治风险进行评估，并结合企业根据自身情况设定的风险阈值来决定是否参与投标；如评估结果表明政治风险超出风险阈值，则应选择规避在该国执行EPC总承包项目；如未超出阈值，则应在投资的同时通过购买保险、引入当地合作伙伴等多种方式，将政治风险部分转移给保险人或者当地合作伙伴，减少自身承担的风险（P11001）。[事实]</w:t>
      </w:r>
    </w:p>
    <w:p>
      <w:r>
        <w:rPr>
          <w:rFonts w:ascii="Calibri" w:hAnsi="Calibri" w:eastAsia="微软雅黑"/>
          <w:b w:val="0"/>
          <w:i w:val="0"/>
          <w:sz w:val="22"/>
        </w:rPr>
        <w:t>[建议] 把这套打法并入11.2.3节的投标体检表，形成"合同条款＋国别环境"双维评审：合同侧查银皮书四情形（P11008），环境侧查政治风险阈值、标准规范吃透度与进出口法律清单（P11001）。验证条件：国别调研报告随投标档案归档、政治风险阈值经区域总部书面确认；停止条件：所在国政治风险评估超出企业阈值时，无论报价空间多大均应走放弃程序（P11001）。</w:t>
      </w:r>
    </w:p>
    <w:p>
      <w:pPr>
        <w:pStyle w:val="Heading3"/>
      </w:pPr>
      <w:r>
        <w:t>11.2.5 给设计院领导者的一句提醒</w:t>
      </w:r>
    </w:p>
    <w:p>
      <w:r>
        <w:rPr>
          <w:rFonts w:ascii="Calibri" w:hAnsi="Calibri" w:eastAsia="微软雅黑"/>
          <w:b w:val="0"/>
          <w:i w:val="0"/>
          <w:sz w:val="22"/>
        </w:rPr>
        <w:t>把11.2节收拢成一句话：在银皮书下，设计不再是设计院的"作品"，而是承包商法人的"负债端"。图纸的每一个尺寸、每一台设备选型、每一处引用的供应商数据，都通过第5.1款的核实义务与采购流水线（采购额占比40%～60%，P11001）传导为合同责任。[事实] 国内设计院转型总承包，最需要补的不是画图能力，而是把设计文件当作合同文件来管理的责任体系——这与后文11.5节的管理基建互为表里。</w:t>
      </w:r>
    </w:p>
    <w:p>
      <w:pPr>
        <w:pStyle w:val="Heading2"/>
      </w:pPr>
      <w:r>
        <w:t>11.3 变更与界面的合同纪律：No VO No Work、28天/84天与接口证书</w:t>
      </w:r>
    </w:p>
    <w:p>
      <w:pPr>
        <w:pStyle w:val="Heading3"/>
      </w:pPr>
      <w:r>
        <w:t>11.3.1 一条排水沟的代价：口头变更案例全解剖</w:t>
      </w:r>
    </w:p>
    <w:p>
      <w:r>
        <w:rPr>
          <w:rFonts w:ascii="Calibri" w:hAnsi="Calibri" w:eastAsia="微软雅黑"/>
          <w:b w:val="0"/>
          <w:i w:val="0"/>
          <w:sz w:val="22"/>
        </w:rPr>
        <w:t>国际对标最有效的教材，往往不是条款，而是案例。老赵聊FIDIC记录的这则国际案例，几乎是国内变更管理病灶的海外翻版（P11000）。某海外高速公路EPC项目施工期间，业主现场代表口头要求承包商增加一段排水沟，以避免雨季积水影响交通；由于工期紧张，项目部立即组织施工，仅保留了现场会议纪要，没有取得正式的变更指令（Variation Order，VO）；工程完工后，承包商申请支付新增工程费用（P11000）。</w:t>
      </w:r>
    </w:p>
    <w:p>
      <w:r>
        <w:rPr>
          <w:rFonts w:ascii="Calibri" w:hAnsi="Calibri" w:eastAsia="微软雅黑"/>
          <w:b w:val="0"/>
          <w:i w:val="0"/>
          <w:sz w:val="22"/>
        </w:rPr>
        <w:t>争议随之而来。业主认为：现场代表无合同授权签发变更、会议纪要仅记录讨论事项、未形成正式VO，因此拒绝支付新增工程费用；承包商认为：工作系应业主要求实施、工程已实际完成并投入使用，应获得合理补偿（P11000）。处理结果经谈判落地：双方对新增工程进行现场核实，承包商能够提供会议纪要、往来函件、施工记录、测量成果、照片及视频、实际投入成本资料，最终业主同意支付部分费用，但因缺少正式审批文件，部分管理费及利润未获认可（P11000）。[事实]</w:t>
      </w:r>
    </w:p>
    <w:p>
      <w:r>
        <w:rPr>
          <w:rFonts w:ascii="Calibri" w:hAnsi="Calibri" w:eastAsia="微软雅黑"/>
          <w:b w:val="0"/>
          <w:i w:val="0"/>
          <w:sz w:val="22"/>
        </w:rPr>
        <w:t>请注意这个结局的会计含义：干了活，拿回了直接成本的一部分；但管理费和利润——项目的利润本身——因为一纸缺席的VO被合法地抹掉了。这就是变更纪律对利润的直接杀伤力，它不需要项目亏损，只需要程序缺位。</w:t>
      </w:r>
    </w:p>
    <w:p>
      <w:r>
        <w:rPr>
          <w:rFonts w:ascii="Calibri" w:hAnsi="Calibri" w:eastAsia="微软雅黑"/>
          <w:b w:val="0"/>
          <w:i w:val="0"/>
          <w:sz w:val="22"/>
        </w:rPr>
        <w:t>案例给出的启示有四条：合同授权是变更管理的核心；会议纪要不能完全替代正式变更令；如因紧急情况必须先施工，应立即发函要求确认，并持续跟踪审批；所有新增工作均应建立完整证据链，为后续谈判或争议解决提供支持（P11000）。配套的常见错误清单更值得逐条对照自检：认为业主现场代表的口头要求等同于合同指令；未核实签发人员授权范围；审批完成前已完成全部施工，后续难以确认计价；未同步开展成本统计和工期分析；变更文件编号混乱，无法追溯（P11000）。</w:t>
      </w:r>
    </w:p>
    <w:p>
      <w:pPr>
        <w:pStyle w:val="Heading3"/>
      </w:pPr>
      <w:r>
        <w:t>11.3.2 No VO, No Work：把原则变成制度</w:t>
      </w:r>
    </w:p>
    <w:p>
      <w:r>
        <w:rPr>
          <w:rFonts w:ascii="Calibri" w:hAnsi="Calibri" w:eastAsia="微软雅黑"/>
          <w:b w:val="0"/>
          <w:i w:val="0"/>
          <w:sz w:val="22"/>
        </w:rPr>
        <w:t>国际大型EPC承包商的通行做法，是把上述教训升格为铁律：实行"No VO, No Work（无正式变更令，不实施非紧急变更）"的管理原则；对于确需立即实施的紧急事项，则执行五步流程——先控制风险、立即通知、同步取证、尽快补办审批、持续跟踪直至正式确认（P11000）。[事实] 变更审批的五项原则同样成体系：先审批、后实施原则（除紧急情况外，任何变更均应完成审批程序后方可实施）；书面授权原则（所有变更必须以合同约定的正式书面文件作为依据，不得仅凭电话、微信、电子邮件或现场口头指令实施）等（P11000）。</w:t>
      </w:r>
    </w:p>
    <w:p>
      <w:r>
        <w:rPr>
          <w:rFonts w:ascii="Calibri" w:hAnsi="Calibri" w:eastAsia="微软雅黑"/>
          <w:b w:val="0"/>
          <w:i w:val="0"/>
          <w:sz w:val="22"/>
        </w:rPr>
        <w:t>[建议] 国内企业移植这套纪律，可设"变更三闸门"：第一闸，授权核实——收到任何变更意向，先核实签发人是否在合同授权清单内（对照P11000常见错误第二条）；第二闸，书面确认——无VO不开工，紧急事项启动五步流程并限期补办（P11000）；第三闸，成本同步——变更实施与成本统计、工期分析同步启动，不留事后追补（P11000）。验证条件：无VO施工金额占变更总额的比例逐季下降、VO补办率达到考核线；停止条件：若业主以会议纪要结算成为常态且管理费利润追偿长期无法实现，应将争议升级至高层商务谈判并重新评估合作条款。</w:t>
      </w:r>
    </w:p>
    <w:p>
      <w:r>
        <w:rPr>
          <w:rFonts w:ascii="Calibri" w:hAnsi="Calibri" w:eastAsia="微软雅黑"/>
          <w:b w:val="0"/>
          <w:i w:val="0"/>
          <w:sz w:val="22"/>
        </w:rPr>
        <w:t>这套闸门不是本章的发明，而是国际经验的原样移植：工程变更审批流程与授权管理（Variation Approval &amp; Authority Management）的目标，就是建立国际EPC项目标准化变更审批体系，明确授权权限、审批流程及责任分工，确保所有变更均按照合同程序实施，避免因未经授权施工造成费用无法补偿或产生合同争议（P11000）。[事实] 更顶层的一句话来自同一位实践者的开篇箴言：工程变更审批不仅是管理程序，更是合同权益的重要保障——项目团队应坚持"授权明确、程序完整、文件齐全、证据充分"的原则，确保每一项变更都能形成完整、可审计、可追溯的管理闭环（P11000）。[事实] 十六字原则配上三道闸门，就是国内企业能以最低成本抄走的国际作业。</w:t>
      </w:r>
    </w:p>
    <w:p>
      <w:pPr>
        <w:pStyle w:val="Heading3"/>
      </w:pPr>
      <w:r>
        <w:t>11.3.3 时限就是金钱：28天、84天与信函台账</w:t>
      </w:r>
    </w:p>
    <w:p>
      <w:r>
        <w:rPr>
          <w:rFonts w:ascii="Calibri" w:hAnsi="Calibri" w:eastAsia="微软雅黑"/>
          <w:b w:val="0"/>
          <w:i w:val="0"/>
          <w:sz w:val="22"/>
        </w:rPr>
        <w:t>FIDIC语境下的索赔是一门"守时"的手艺。变更和索赔管理制度需明确变更识别、事件通知、成本测算、索赔报告编制、时效管理；FIDIC合同的时效要求是28天通知期、84天提交完整索赔报告（P11018）。[事实] 过了28天才通知、过了84天才交报告，再硬的实体权利也可能在程序上失守。</w:t>
      </w:r>
    </w:p>
    <w:p>
      <w:r>
        <w:rPr>
          <w:rFonts w:ascii="Calibri" w:hAnsi="Calibri" w:eastAsia="微软雅黑"/>
          <w:b w:val="0"/>
          <w:i w:val="0"/>
          <w:sz w:val="22"/>
        </w:rPr>
        <w:t>支撑时限纪律的是信函管理。国际EPC项目制度建设中，信函管理制度被列为最重要：所有对业主函件统一编号；24小时内完成登记；重要事项48小时内发函；建立信函跟踪台账——这是后期索赔和仲裁最核心的证据来源（P11018）。[事实] 24小时登记、48小时发函，这两个数字把"及时函件"从美德变成了KPI。与之配套的风险预警制度给出分级响应：风险一级24小时、二级3天、三级7天（P11018）。</w:t>
      </w:r>
    </w:p>
    <w:p>
      <w:r>
        <w:rPr>
          <w:rFonts w:ascii="Calibri" w:hAnsi="Calibri" w:eastAsia="微软雅黑"/>
          <w:b w:val="0"/>
          <w:i w:val="0"/>
          <w:sz w:val="22"/>
        </w:rPr>
        <w:t>时间维度的另一半是启动阶段。国际项目经验表明，许多海外项目出现巨额亏损，并不是因为施工能力不足，而是因为项目启动阶段没有建立完善的管理制度，带来责任界面不清、文件缺失、变更无法追溯、索赔失去证据、成本失控、分包管理混乱；对于国际EPC项目，建议管理制度在项目启动后30天内全部完成（P11018、P11019）。[事实] 30天建制——这个数字应写入每份国际项目章程。</w:t>
      </w:r>
    </w:p>
    <w:p>
      <w:r>
        <w:rPr>
          <w:rFonts w:ascii="Calibri" w:hAnsi="Calibri" w:eastAsia="微软雅黑"/>
          <w:b w:val="0"/>
          <w:i w:val="0"/>
          <w:sz w:val="22"/>
        </w:rPr>
        <w:t>制度本身也有明确的用途清单。项目管理制度建立的目的有五条：明确各部门职责和工作流程；建立统一的管理标准和工作规则；提高项目执行效率，减少扯皮和推诿；满足业主、合同和公司管理要求；为项目索赔、审计和争议解决提供制度依据（P11018、P11019）。[事实] 第五条最容易被国内项目忽略，却与国际工程的盈利模式直接挂钩——制度不是写在墙上的合规装饰，而是索赔与仲裁的证据工厂：函件编号规则、变更台账格式、成本归集口径，每一项制度细节日后都会变成争议桌上的弹药。制度缺位的项目，等于开战前就交出了武器。</w:t>
      </w:r>
    </w:p>
    <w:p>
      <w:pPr>
        <w:pStyle w:val="Heading3"/>
      </w:pPr>
      <w:r>
        <w:t>11.3.4 分包界面：一体化链条上最容易断裂的一环</w:t>
      </w:r>
    </w:p>
    <w:p>
      <w:r>
        <w:rPr>
          <w:rFonts w:ascii="Calibri" w:hAnsi="Calibri" w:eastAsia="微软雅黑"/>
          <w:b w:val="0"/>
          <w:i w:val="0"/>
          <w:sz w:val="22"/>
        </w:rPr>
        <w:t>设计施工一体化的风险，相当一部分从分包界面渗入。分包商之间工作界面模糊、责任边界不清，是引发工期延误、项目成本失控、各方互相推诿责任，最终招致业主反索赔、项目利润大幅缩水的最高发核心原因之一，也是国际工程总包项目履约管控的核心痛点（P11003）。[事实] 该指南给出的对策是六大核心原则（P11003）：</w:t>
      </w:r>
    </w:p>
    <w:p>
      <w:r>
        <w:rPr>
          <w:rFonts w:ascii="Calibri" w:hAnsi="Calibri" w:eastAsia="微软雅黑"/>
          <w:b w:val="0"/>
          <w:i w:val="0"/>
          <w:sz w:val="22"/>
        </w:rPr>
        <w:t>其一，责任专一原则——任何一项工作、一个接口点，必须有且只有一个明确责任方，避免"共同负责"，因为这通常意味着"无人负责"；投标阶段在询价和合同中禁止"共同负责"条款，采用RACI模型（执行、担责、咨询、知会），确保每个接口任务都有明确的最终担责方（P11003）。其二，界面划分原则——清晰界定工作边界、技术参数和物理交接点，无重叠、无遗漏；要求分包商填写"工作止点"与"接收条件"，作为技术标强制评审内容（P11003）。其三，协调机制与升级路径——建立从现场到高层的分级协调与争议升级路径，合同明确24h/72h分级解决时限与最终裁定权，避免工期悬停（P11003）。其四，责任追溯与证据链——所有交接、变更、争议必须书面留痕，执行无签字不交接、无记录不付款，未签署《接口关闭证书》不予支付（P11003）。其五，进度协同与关键路径——将界面节点作为关键路径里程碑纳入整体进度管控，分包计划必须标注接口节点并设缓冲，总包编制接口里程碑计划作为红线（P11003）。其六，责任传导与过错追偿——总包对业主责任通过背靠背条款精准传导至过错分包，无过错分包不连带；合同设置背靠背＋过错追偿条款，用中间交接证书实现责任阶段锁定（P11003）。</w:t>
      </w:r>
    </w:p>
    <w:p>
      <w:r>
        <w:rPr>
          <w:rFonts w:ascii="Calibri" w:hAnsi="Calibri" w:eastAsia="微软雅黑"/>
          <w:b w:val="0"/>
          <w:i w:val="0"/>
          <w:sz w:val="22"/>
        </w:rPr>
        <w:t>比六项原则更值得管理层内化的，是它的时机观：界面管理绝非单纯的现场临时协调工作，而是必须在投标报价阶段就前置锁定的报价范围边界、成本测算底线与项目风险防控红线，提前做好界面划分，才能从源头规避履约阶段的各类纠纷和损失（P11003）。[事实] 换句话说，界面失控的账要算在投标阶段——询价书里没写清"工作止点"，报价就已经埋下了漏项；履约阶段的每一次扯皮，都是在为投标文件的空白处付息。该指南的完整框架同样围绕时机展开：从核心管理原则、分项目类型界面管控要点、投标阶段全流程实操建议，到中英文对照接口管理计划模板，四大维度搭成一套标准化、可直接落地套用的分包界面管理体系，覆盖房建、工业、基础设施、能源等主流国际工程领域，总包方可直接嵌入招标文件、分包询价书、技术标文件及合同附件使用，适配海外各类EPC、总承包项目模式（P11003）。[事实] 这句话里藏着一条捷径：界面管理不必从零发明，成熟模板已经过多个项目类型验证，拿来、翻译、改造、固化，就是国内企业成本最低的对标动作。</w:t>
      </w:r>
    </w:p>
    <w:p>
      <w:r>
        <w:rPr>
          <w:rFonts w:ascii="Calibri" w:hAnsi="Calibri" w:eastAsia="微软雅黑"/>
          <w:b w:val="0"/>
          <w:i w:val="0"/>
          <w:sz w:val="22"/>
        </w:rPr>
        <w:t>请注意24h/72h这对数字与业主侧28天/84天的呼应（P11003、P11018）：对外守合同时限，对内压协调时限——国际同行的界面管理本质上是把"扯皮时间"从关键路径上剔除。[建议] 国内总承包企业可直接把六原则嵌入分包询价书与合同附件（该指南明确其模板适配海外各类EPC、总承包项目模式，P11003），验证条件是《接口关闭证书》签署率与"无记录付款"发生次数；停止条件是若某分包商连续两个接口节点逾期且升级机制空转，应触发该分包商的替换评估。</w:t>
      </w:r>
    </w:p>
    <w:p>
      <w:pPr>
        <w:pStyle w:val="Heading3"/>
      </w:pPr>
      <w:r>
        <w:t>11.3.5 国内镜像：两纸判决的对照</w:t>
      </w:r>
    </w:p>
    <w:p>
      <w:r>
        <w:rPr>
          <w:rFonts w:ascii="Calibri" w:hAnsi="Calibri" w:eastAsia="微软雅黑"/>
          <w:b w:val="0"/>
          <w:i w:val="0"/>
          <w:sz w:val="22"/>
        </w:rPr>
        <w:t>国内司法实践为界面与变更纪律提供了镜像样本。其一是升麦国际案：升麦国际工程股份有限公司与科迪公司作为承包方，2007年8月14日、11月13日与发包方亚翔公司签订两份《建设工程施工合同》，承建重庆西永电子工业园标准厂房新建工程MEP消防系统工程和D栋消防水电工程，两项工程承包固定价为2052万元，合同约定亚翔公司于工程验收合格2年后支付10%工程尾款作为工程保固金（P11005）；此后双方又陆续签订《分包工程议价记录》《订购单》及《建设工程施工合同》等，追加大量建设工程，完工后亚翔公司尚欠追加工程款1404685.84元（P11005）。诉讼中被告抗辩称：升麦国际公司只是项目协调人而非承包人、实际施工人是科迪公司、升麦国际公司系境外公司不具备施工条件（P11005）。[事实] 2052万元固定价之外靠议价记录与订购单滚出的1404685.84元追加款，与11.3.1节海外排水沟案的结构如出一辙——非正式文件的追加工程，最终都要在证据链上过关（P11005、P11000）。合同主体（境外承包商）与实际施工人错位的抗辩，更是界面管理失序在诉讼端的回声。</w:t>
      </w:r>
    </w:p>
    <w:p>
      <w:r>
        <w:rPr>
          <w:rFonts w:ascii="Calibri" w:hAnsi="Calibri" w:eastAsia="微软雅黑"/>
          <w:b w:val="0"/>
          <w:i w:val="0"/>
          <w:sz w:val="22"/>
        </w:rPr>
        <w:t>其二是中铁九桥案：2005年10月27日，中铁九桥工程有限公司与上海远东公司签订《钢箱梁制造合同》，按设计图纸要求承包宁波庆丰桥钢箱梁制作，钢箱梁总重量暂定为6765吨，综合单价10526元/吨，合同总价71208390元，按单价包干方式承包，工程最终结算总价以竣工图总重量另加1.5%焊缝重量为准；被告提供设计图纸两套，合同生效后7天内支付合同总价30%的预付款，分两次支付，第一次12000000元、第二次9000000元（P11034）。[事实] 这份合同的结算命脉拴在竣工图上——设计图纸的交付节奏与竣工图的出图时点，直接决定分包结算的启动与金额。设计施工一体化在分包层面的最后一公里，就是图纸这条数据流。</w:t>
      </w:r>
    </w:p>
    <w:p>
      <w:r>
        <w:rPr>
          <w:rFonts w:ascii="Calibri" w:hAnsi="Calibri" w:eastAsia="微软雅黑"/>
          <w:b w:val="0"/>
          <w:i w:val="0"/>
          <w:sz w:val="22"/>
        </w:rPr>
        <w:t>另一个值得对照的国内机制是结算沉默后果：在（2014）苏中商终字第0164号案所涉工程结算争议中，双方约定自2010年1月27日起70天内负责审核完成，如未能在此时间内审核完成则同意执行财政部财建〔2004〕369号《建设工程价款结算暂行办法》，法院认定发包人对逾期未完成审核的法律后果已有预见——该办法的相关规定是发包人收到竣工结算报告及完整的结算资料后，在规定或合同约定期限内对结算报告及资料没有提出意见，则视为认可；该项目送审造价30636998.18元，审计初审核减3591240.95元（P11029）。[事实] "逾期不审视为认可"与FIDIC的28天/84天时限（P11018）在精神上同构：期限的沉默本身就是法律意思。买方启示：无论国内国际，把日历当作合同文本的一部分来管理。</w:t>
      </w:r>
    </w:p>
    <w:p>
      <w:pPr>
        <w:pStyle w:val="Heading2"/>
      </w:pPr>
      <w:r>
        <w:t>11.4 对标案例库：三笔公开账本里的利润教训</w:t>
      </w:r>
    </w:p>
    <w:p>
      <w:pPr>
        <w:pStyle w:val="Heading3"/>
      </w:pPr>
      <w:r>
        <w:t>11.4.1 AECOM：3.368亿美元的一次性出清</w:t>
      </w:r>
    </w:p>
    <w:p>
      <w:r>
        <w:rPr>
          <w:rFonts w:ascii="Calibri" w:hAnsi="Calibri" w:eastAsia="微软雅黑"/>
          <w:b w:val="0"/>
          <w:i w:val="0"/>
          <w:sz w:val="22"/>
        </w:rPr>
        <w:t>2026年8月10日，AECOM公布2026财年第三季度业绩，一个Construction Management项目成为整个季度最核心的负面事件：税前项目损失3.368亿美元（$336.8 million pre-tax charge）；AECOM当季营业亏损约7600万美元；归属于公司的净亏损约8670万美元；当季Adjusted EPS为-0.50美元（P11009）。剔除该项目影响，Adjusted EPS约为1.49美元、同比增长11%；剔除项目影响，Adjusted EBITDA约为3.29亿美元、同比增长5%；该项目拉低Adjusted EPS约1.99美元/股；项目实质完工时间推迟到2027财年第二季度；AECOM预计FY2026全年自由现金流约为3亿美元（P11009）。[事实]</w:t>
      </w:r>
    </w:p>
    <w:p>
      <w:r>
        <w:rPr>
          <w:rFonts w:ascii="Calibri" w:hAnsi="Calibri" w:eastAsia="微软雅黑"/>
          <w:b w:val="0"/>
          <w:i w:val="0"/>
          <w:sz w:val="22"/>
        </w:rPr>
        <w:t>AECOM对该项目的官方定义是：一个Construction Management项目，由于分包商生产率低于预期，造成实质完工延期并推高预计完工成本（P11009）。但复盘者的定性更深刻：这不是一个"分包商效率低"的普通项目事故——项目2019年中标，当时采用的合同条款和风险条件，按照AECOM今天的风险制度已经无法通过；项目后期分包商生产率低于预期，Estimated Cost to Complete大幅上升，AECOM因此一次性确认约3.37亿美元税前损失，并正通过claims、争议解决及可能的诉讼追偿部分损失（P11009）。因此，本案例应被定义为"一个2019年投标和合同风险在2026年集中兑现的Legacy Project Risk事件，而不是一个单纯的Construction Execution Failure"（P11009）。[事实]</w:t>
      </w:r>
    </w:p>
    <w:p>
      <w:r>
        <w:rPr>
          <w:rFonts w:ascii="Calibri" w:hAnsi="Calibri" w:eastAsia="微软雅黑"/>
          <w:b w:val="0"/>
          <w:i w:val="0"/>
          <w:sz w:val="22"/>
        </w:rPr>
        <w:t>这面镜子照出三个买方要点。第一，利润保卫战的前哨在签约日：今天的合同条款，七年后仍在为它出账。第二，风险制度是有记忆的——AECOM CFO明确表示，公司今天的Construction Management业务已经不再承接这种高风险Design-Build P3模式，而转向GMP模式（P11009）：[事实] 国际顶级承包商用3.368亿美元的学费，买了一条业务模式取舍的结论。第三，追偿不是利润：通过claims与诉讼追偿部分损失（P11009）只是止损，EPS已跌掉的1.99美元/股不会因追偿而回补（P11009）。</w:t>
      </w:r>
    </w:p>
    <w:p>
      <w:pPr>
        <w:pStyle w:val="Heading3"/>
      </w:pPr>
      <w:r>
        <w:t>11.4.2 吉达塔：72亿里亚尔的复工账本</w:t>
      </w:r>
    </w:p>
    <w:p>
      <w:r>
        <w:rPr>
          <w:rFonts w:ascii="Calibri" w:hAnsi="Calibri" w:eastAsia="微软雅黑"/>
          <w:b w:val="0"/>
          <w:i w:val="0"/>
          <w:sz w:val="22"/>
        </w:rPr>
        <w:t>吉达塔（Jeddah Tower）案例展示了另一类利润战场：不是亏损额，而是"没拿到的那份合同"。该项目是全球最具象征意义的超高层建筑项目之一，总高度超过1000米、原规划157层，2013年前后启动建设，后因多重原因长期停工；重新启动阶段，项目已不是传统意义上的"新建工程"，而是典型的大型停建项目复工（Restart / Completion Project）——重新签约时，主体结构已经完成63层（P11032）。[事实]</w:t>
      </w:r>
    </w:p>
    <w:p>
      <w:r>
        <w:rPr>
          <w:rFonts w:ascii="Calibri" w:hAnsi="Calibri" w:eastAsia="微软雅黑"/>
          <w:b w:val="0"/>
          <w:i w:val="0"/>
          <w:sz w:val="22"/>
        </w:rPr>
        <w:t>2024年，业主Jeddah Economic Company重新启动承包商选择，Saudi Binladin Group（SBG）、中国建筑（中建）、El Seif等参与竞争；中建与El Seif组成的联合体一度被行业媒体认为是该项目的领先竞标者，但双方最终未能完成合同谈判；2024年10月2日，业主最终与SBG签署协议，合同金额为72亿沙特里亚尔，预计工期42个月，其中约11亿里亚尔对应此前已经完成的施工工作，剩余工程由业主通过自有资金及银行融资安排（P11032）。[事实]</w:t>
      </w:r>
    </w:p>
    <w:p>
      <w:r>
        <w:rPr>
          <w:rFonts w:ascii="Calibri" w:hAnsi="Calibri" w:eastAsia="微软雅黑"/>
          <w:b w:val="0"/>
          <w:i w:val="0"/>
          <w:sz w:val="22"/>
        </w:rPr>
        <w:t>这份账本可以做一道简单的算术：72亿里亚尔合同额中，约11亿里亚尔对应已完施工，则剩余工程对应金额约为61亿里亚尔（own_calc：72−11=61，锚P11032），已完部分约占合同总额的15.3%（own_calc：11÷72≈15.3%，锚P11032）。[估计] 换言之，这不是一张全新图纸的竞赛，而是一场"续建工程的价值评估竞赛"——对设计施工一体化能力的要求，从"从零设计"切换为"评估既有结构＋续设计＋续施工"的接力能力。</w:t>
      </w:r>
    </w:p>
    <w:p>
      <w:r>
        <w:rPr>
          <w:rFonts w:ascii="Calibri" w:hAnsi="Calibri" w:eastAsia="微软雅黑"/>
          <w:b w:val="0"/>
          <w:i w:val="0"/>
          <w:sz w:val="22"/>
        </w:rPr>
        <w:t>复盘者的核心判断是：吉达塔失标不能简单归结为"中建技术能力不足"或"报价输给SBG"，这实际上是一场从施工能力竞争升级为项目风险控制能力、合同谈判能力、项目历史资产、本地生态和融资可信度综合竞争的典型案例；中建在"建设吉达塔"的能力竞争中并不弱，但SBG在"让吉达塔重新启动并完成"的项目生态竞争中拥有不可复制的历史资产（P11032）。[事实] 同时必须如实转述该复盘的方法论声明：目前没有公开可验证的中建内部失标复盘报告，分析严格区分"公开事实"和"基于工程管理逻辑的推断"（P11032）。——这个声明本身就是国际对标研究的范本：不把推断包装成结论。</w:t>
      </w:r>
    </w:p>
    <w:p>
      <w:pPr>
        <w:pStyle w:val="Heading3"/>
      </w:pPr>
      <w:r>
        <w:t>11.4.3 海外光伏EPC：透明市场里的利润结构迁移</w:t>
      </w:r>
    </w:p>
    <w:p>
      <w:r>
        <w:rPr>
          <w:rFonts w:ascii="Calibri" w:hAnsi="Calibri" w:eastAsia="微软雅黑"/>
          <w:b w:val="0"/>
          <w:i w:val="0"/>
          <w:sz w:val="22"/>
        </w:rPr>
        <w:t>新能源赛道提供了第三个对标样本，而且是中国企业密度最高的赛道。以中国能建、中国电建及其下属设计院、电建公司、国际公司为代表的中国工程企业，已经从传统的海外火电、水电、输变电工程逐步进入大型光伏、光储一体化、风光储以及新能源基础设施市场；这一变化最明显的特征，是项目规模迅速由几十MW、几百MW进入1GW、2GW乃至GW级光储一体化项目；菲律宾MTerra Solar、沙特Al Shuaibah、阿曼Al Kamil I、伊拉克Ratawi等项目，分别代表了中国工程企业进入东南亚、中东和高风险新兴市场的不同路径（P11011）。[事实] 回看入场姿态更能理解今天的处境：中国企业最初参与海外光伏项目，做的是土建施工、支架安装、组件安装、电气安装、变电站施工、输电线路施工，这一阶段本质上仍属于Construction Business，即施工承包（P11011）。[事实] 从施工分包的角色长成GW级EPC的总包方，合同责任的重心已经从"按图干活"切换到"按约兜底"——角色升级了，利润结构是否同步升级，正是本节要回答的问题。</w:t>
      </w:r>
    </w:p>
    <w:p>
      <w:r>
        <w:rPr>
          <w:rFonts w:ascii="Calibri" w:hAnsi="Calibri" w:eastAsia="微软雅黑"/>
          <w:b w:val="0"/>
          <w:i w:val="0"/>
          <w:sz w:val="22"/>
        </w:rPr>
        <w:t>国际可再生能源署（IRENA）数据显示，2024年全球公用事业级光伏项目加权平均全投资成本已经下降至约691美元/kW，比2023年下降11%；光伏LCOE全球加权平均值约为0.043美元/kWh；组件、逆变器和其他BOS成本持续下降，项目规模化和供应链竞争进一步压缩EPC利润空间（P11011）。[事实] 691美元/kW的价格透明度，意味着施工端的利润薄得可以互相看见。把两件事放在一起看更清楚：单体项目越做越大（GW级，P11011），单位造价越压越低（691美元/kW且年降11%，P11011）——规模撑起了收入报表，单价压扁了利润垫，传统施工利润模式在这对剪刀差里没有出路，这正是利润结构向设计优化与索赔能力迁移的市场压力来源。</w:t>
      </w:r>
    </w:p>
    <w:p>
      <w:r>
        <w:rPr>
          <w:rFonts w:ascii="Calibri" w:hAnsi="Calibri" w:eastAsia="微软雅黑"/>
          <w:b w:val="0"/>
          <w:i w:val="0"/>
          <w:sz w:val="22"/>
        </w:rPr>
        <w:t>在该研究中，中国工程企业海外光伏EPC的本质已经从过去的"施工利润模式"，逐步转变为七段利润结构：设计优化利润＋全球采购利润＋项目管理效率利润＋风险管理利润＋索赔利润＋本地化能力利润＋O&amp;M长期利润（P11011）。[事实] 对本书主题最有分量的是其中两段：设计优化利润与索赔利润——前者正是设计施工一体化的正面对价（设计省下的每一分钱都进了自己口袋），后者正是变更管理能力的变现通道。研究的另一句警告同样直白：对于缺乏国际合同管理、海外设计、风险定价和供应链管理能力的企业而言，低价中标一个500MW或1GW项目，很可能出现"收入巨大、利润微薄，甚至项目亏损"的情况（P11011）。[事实] 该研究还如实声明：海外EPC合同通常不披露单项目成本、毛利和净利润，凡非上市公司公开披露数据均明确标注为测算、区间判断或情景分析（P11011）——这份声明与本章盲区节的立场一致。</w:t>
      </w:r>
    </w:p>
    <w:p>
      <w:pPr>
        <w:pStyle w:val="Heading3"/>
      </w:pPr>
      <w:r>
        <w:t>11.4.4 合规雷与投标纪律：进场之前的利润保卫</w:t>
      </w:r>
    </w:p>
    <w:p>
      <w:r>
        <w:rPr>
          <w:rFonts w:ascii="Calibri" w:hAnsi="Calibri" w:eastAsia="微软雅黑"/>
          <w:b w:val="0"/>
          <w:i w:val="0"/>
          <w:sz w:val="22"/>
        </w:rPr>
        <w:t>利润在开工前就可能注定流失。某中企在东南亚承建一个电站项目，业主口头要求将5%的合同额支付给一个"当地咨询公司"，项目部为了不耽误签约同意了这一安排、未将该条款写入合同；三年后，该公司因涉嫌行贿被当地反腐机构调查，虽最终未定罪，但项目被冻结两年，直接损失超过3000万美元，企业也被世界银行列入观察名单（P11010）。[事实] 5%的"行业惯例"口子，撕开的是超过3000万美元的损失与两年的工期冻结。全球绝大多数国家都将商业贿赂列为刑事犯罪，且英美等国拥有强大的"长臂管辖"能力（P11010）。</w:t>
      </w:r>
    </w:p>
    <w:p>
      <w:r>
        <w:rPr>
          <w:rFonts w:ascii="Calibri" w:hAnsi="Calibri" w:eastAsia="微软雅黑"/>
          <w:b w:val="0"/>
          <w:i w:val="0"/>
          <w:sz w:val="22"/>
        </w:rPr>
        <w:t>投标纪律方面，成熟度筛选是第一道闸：真正成熟的项目通常具备可研报告、社会及环境影响评价、建设许可、征地许可或土地租赁协议、相关担保安排、明确的资金来源、取水许可等关键许可条件，这些影响与限制条件越完整，项目落地的概率越高；以东南亚某国燃气电站项目为例，如果购电协议和燃料供应协议已经签署，项目融资就有了基础，这类项目的报价工作才值得全力投入（P11016）。[事实] "报价不是终点，而是项目全生命周期管理的起点"（P11016）——这句话应刻在每个国际投标团队的会议室墙上。</w:t>
      </w:r>
    </w:p>
    <w:p>
      <w:r>
        <w:rPr>
          <w:rFonts w:ascii="Calibri" w:hAnsi="Calibri" w:eastAsia="微软雅黑"/>
          <w:b w:val="0"/>
          <w:i w:val="0"/>
          <w:sz w:val="22"/>
        </w:rPr>
        <w:t>报价本身是一道两难题：报价高了，可能连入围的机会都没有；报价低了，即便中标，也可能陷入干得越多、亏得越惨的泥潭（P11016）。[事实] 海外工程承包市场的竞争，说到底是一场信息与智慧的较量（P11016）——价格只是这场较量的最后一行输出。支撑这行输出的组织配置同样有标配：海外EPC项目系统复杂、涉及专业面极广，常规的EPC+F工程项目模式，通常需要商务、技术和融资三大板块协同配合与支持，承包商一旦决定参加投标，首要工作就是组建覆盖三大板块的投标团队（P11016）。[事实] 而在成熟度不足的市场里，等待冒进者的还有另一类沉没成本：某些国家的业主打着PPP、BOT项目融资模式的名义开发项目，表面上热闹非凡，实际上许多前置许可都没有彻底落实，如果在项目成熟度不足的情况下仓促介入，承包商投标团队投入大量人力和物力，最终可能因为项目无法融资或征地受阻而不了了之，前期考察和编标费用全部打水漂（P11016）。[事实] 利润保卫战的第一枪，往往在买标书之前就该打响——先筛项目，再谈报价。</w:t>
      </w:r>
    </w:p>
    <w:p>
      <w:r>
        <w:rPr>
          <w:rFonts w:ascii="Calibri" w:hAnsi="Calibri" w:eastAsia="微软雅黑"/>
          <w:b w:val="0"/>
          <w:i w:val="0"/>
          <w:sz w:val="22"/>
        </w:rPr>
        <w:t>区域评标规则决定了报价策略的分寸：亚洲、非洲部分国家以"价格优先"为核心中标原则，投标价格最低者通常获得承包权；南美洲多数国家采用综合评比，价格占比通常为60%，其余40%分值来自工期合理性、设备配置、人员专业程度、公司财务实力、属地化能力及合规表现（如ESG、反腐败合规）；欧洲市场价格占比通常在50%-55%，技术方案、合规表现、环保标准、履约经验等占比高达45%-50%（P11031）。[事实] 编标时间同样有行业基准：小型项目（如小型市政工程）多为1个月，中型项目（如区域道路工程）为1.5-2个月，大型复杂项目（如大型水电、跨海大桥工程）可延长至3个月；国际工程标书大多需付费购买，价格一般在几百美元到几千美元之间（P11031）。[事实]</w:t>
      </w:r>
    </w:p>
    <w:p>
      <w:pPr>
        <w:pStyle w:val="Heading3"/>
      </w:pPr>
      <w:r>
        <w:t>11.4.5 技术变量：AI改写变更响应速度</w:t>
      </w:r>
    </w:p>
    <w:p>
      <w:r>
        <w:rPr>
          <w:rFonts w:ascii="Calibri" w:hAnsi="Calibri" w:eastAsia="微软雅黑"/>
          <w:b w:val="0"/>
          <w:i w:val="0"/>
          <w:sz w:val="22"/>
        </w:rPr>
        <w:t>对标不能只看风险，也要看新工具。麦肯锡研究描绘了这样一个场景：现场主管发现由于后期工程变更，预制管道组件不再适用，这可能引发数天的信息请求（RFI）、图纸审查、采购检查、进度更新和成本评估，而施工人员只能等待或绕过问题；在智能化未来，主管用移动设备拍摄问题照片，几分钟内人工智能代理会将图像与最新的3D模型、工程图纸、采购记录和施工进度进行比较，拟定路线方案、检查材料可用性、估算成本和进度影响，项目负责人在数小时内即可获得关于各种方案、权衡取舍和影响的综合视图（P11014）。[事实] 这正是本书讨论的"变更响应链"在国际前沿的加速版本。</w:t>
      </w:r>
    </w:p>
    <w:p>
      <w:r>
        <w:rPr>
          <w:rFonts w:ascii="Calibri" w:hAnsi="Calibri" w:eastAsia="微软雅黑"/>
          <w:b w:val="0"/>
          <w:i w:val="0"/>
          <w:sz w:val="22"/>
        </w:rPr>
        <w:t>价值量级来自麦肯锡全球研究院（MGI）的预测：到2030年，人工智能和其他自动化技术每年可为美国 AEC 行业释放约 2280 亿美元的价值，而在欧洲，仅建筑行业受到的影响就可能达到约 1260 亿美元（P11014）。[预测]（转述MGI预测，非已实现数据）需要同步转述的判断是：人工智能不太可能成为AEC公司的灭绝事件，但可能会改变行业的领导者；早期采用者报告称设计、建模和施工可行性工作流程提高了生产力，尽管这些优势可能很快成为基本要求；把AI视为肤浅生产力工具的公司，可能将其潜力拱手让给合作伙伴、客户或新的竞争对手（P11014）。[事实] 对设计施工一体化而言，AI的落点恰在"变更—图纸—采购—成本"的联动响应上——这与本章11.3节的变更三闸门是同一根链条的软硬两端。</w:t>
      </w:r>
    </w:p>
    <w:p>
      <w:pPr>
        <w:pStyle w:val="Heading2"/>
      </w:pPr>
      <w:r>
        <w:t>11.5 移植路径：从对标到落地的管理基建</w:t>
      </w:r>
    </w:p>
    <w:p>
      <w:pPr>
        <w:pStyle w:val="Heading3"/>
      </w:pPr>
      <w:r>
        <w:t>11.5.1 启动阶段决定论：80%的说法与30天的红线</w:t>
      </w:r>
    </w:p>
    <w:p>
      <w:r>
        <w:rPr>
          <w:rFonts w:ascii="Calibri" w:hAnsi="Calibri" w:eastAsia="微软雅黑"/>
          <w:b w:val="0"/>
          <w:i w:val="0"/>
          <w:sz w:val="22"/>
        </w:rPr>
        <w:t>国际项目管理的经验断言值得放进决策视野：对于国际EPC项目而言，项目启动阶段管理水平的高低，往往决定了后续80%的项目成败和利润空间，尤其是合同管理计划、风险管理计划和索赔管理计划，通常是项目盈利的关键（P11017、P11020）。[估计]（作者经验性断言，非实测统计，80%应作量级理解）这条断言与11.3节的30天建制红线（P11018、P11019）共同构成启动阶段的"双锚"：一个说重要性，一个给deadline。</w:t>
      </w:r>
    </w:p>
    <w:p>
      <w:r>
        <w:rPr>
          <w:rFonts w:ascii="Calibri" w:hAnsi="Calibri" w:eastAsia="微软雅黑"/>
          <w:b w:val="0"/>
          <w:i w:val="0"/>
          <w:sz w:val="22"/>
        </w:rPr>
        <w:t>启动阶段的产出物是成体系的。国际工程项目特别是EPC项目，通常需要编制九类管理计划（P11017、P11020）：项目总体管理计划（目标、组织架构、实施策略、职责分工、风险管理要求、信息沟通机制）；进度管理计划（WBS、一二三级进度计划、关键路径分析、里程碑计划、进度报告与延误纠偏，成果文件为Master Schedule、Baseline Schedule、Recovery Schedule）；成本管理计划（预算编制、成本编码体系、成本控制流程、成本分析机制、现金流预测、变更和索赔收益管理）；合同管理计划（合同风险分析、合同责任矩阵、合同交底、变更管理程序、索赔管理程序、函件管理制度、分包合同管理）；采购管理计划（采购策略、合格供应商名单、采购进度计划、招标程序、物流运输计划、物资验收程序）；质量管理计划（QA/QC体系、检验试验计划ITP、不合格品管理）；安全管理计划（HSE目标、风险辨识、应急预案）；风险管理计划（国家、汇率、合同、分包、安全、政治风险，成果文件为《项目风险登记册（Risk Register）》）；人力资源管理计划（P11017、P11020）。[事实]</w:t>
      </w:r>
    </w:p>
    <w:p>
      <w:r>
        <w:rPr>
          <w:rFonts w:ascii="Calibri" w:hAnsi="Calibri" w:eastAsia="微软雅黑"/>
          <w:b w:val="0"/>
          <w:i w:val="0"/>
          <w:sz w:val="22"/>
        </w:rPr>
        <w:t>制度层面同样有完整清单：综合管理制度、合同商务管理制度（含变更及索赔管理办法、分包管理制度、计量支付管理制度、履约保函管理办法、商务风险预警制度）、工程技术管理制度（含图纸会审、设计变更管理制度、施工日志）、进度、成本财务、采购物资、质量、安全环保、人力资源九大类（P11018、P11019）。其中信函管理制度被列为最重要（P11018）。[事实] 对照国内多数项目的现实：制度文本常有，而"24小时登记、48小时发函"这类带数字的执行标准（P11018）罕见——差距不在体系图，在刻度。</w:t>
      </w:r>
    </w:p>
    <w:p>
      <w:pPr>
        <w:pStyle w:val="Heading3"/>
      </w:pPr>
      <w:r>
        <w:t>11.5.2 系统对系统：把英雄主义换成体系能力</w:t>
      </w:r>
    </w:p>
    <w:p>
      <w:r>
        <w:rPr>
          <w:rFonts w:ascii="Calibri" w:hAnsi="Calibri" w:eastAsia="微软雅黑"/>
          <w:b w:val="0"/>
          <w:i w:val="0"/>
          <w:sz w:val="22"/>
        </w:rPr>
        <w:t>国际工程市场环境已发生根本变化：市场从"增量时代"进入"存量时代"，业主越来越专业，合同越来越严密，合规要求越来越高，竞争越来越激烈；一个能搞定业主关系的项目经理，可能因为不懂合规而让公司陷入制裁；一支能吃苦耐劳的施工队伍，可能因为没有系统化的计划而浪费大量工时；一个敢拍板的领导，可能因为决策缺乏数据支撑而造成重大失误（P11010）。[事实] 那些在国际市场上持续成功的工程企业，无一例外都建立了一套完整的系统能力——不是靠某一个人的超常发挥，而是靠一套让普通人也能做出不普通成绩的体系；这套体系的核心逻辑被称为"系统对抗系统"——用一整套相互支撑、相互强化的管理体系，去应对国际工程市场的复杂挑战（P11010）。[事实]</w:t>
      </w:r>
    </w:p>
    <w:p>
      <w:r>
        <w:rPr>
          <w:rFonts w:ascii="Calibri" w:hAnsi="Calibri" w:eastAsia="微软雅黑"/>
          <w:b w:val="0"/>
          <w:i w:val="0"/>
          <w:sz w:val="22"/>
        </w:rPr>
        <w:t>这与本章的立论严丝合缝：FIDIC银皮书是"强者之间的风险对赌契约"（P11012），上桌的资格不是英雄主义，而是体系。国内企业对标FIDIC，对标的不应只是条款措辞，而是支撑这些条款得以执行的体系刻度——30天（P11018）、24小时（P11018）、48小时（P11018）、28天（P11018）、24h/72h（P11003）。</w:t>
      </w:r>
    </w:p>
    <w:p>
      <w:r>
        <w:rPr>
          <w:rFonts w:ascii="Calibri" w:hAnsi="Calibri" w:eastAsia="微软雅黑"/>
          <w:b w:val="0"/>
          <w:i w:val="0"/>
          <w:sz w:val="22"/>
        </w:rPr>
        <w:t>该研究给这套逻辑的收束语，可以直接借来作本节的题眼：系统之力，胜于英雄——这不是一句口号，而是一条经过无数项目验证的铁律（P11010）；其框架自七个维度展开，构建七个相互支撑的系统，实现从"单点突破"到"系统对抗"的能力重构（P11010）。[事实] 对本书读者中的设计院领导者，这句话的分量尤其重：设计院最擅长的恰恰是单点——大师、专班、专项攻关；而国际市场检验的是把单点能力装进制度流水线的能力。技术工具的走向与此同向：那些迅速行动、重新构想工作流程、改进数据使用并实现工作场所自动化的公司将会蓬勃发展（P11014）；当智能体处理日常任务时，人们可以专注于定价、风险以及其他需要人类判断并能推动差异化的领域（P11014）。[事实] 注意这里的分工隐喻——机器接管流程性动作，人守在定价与风险这两个利润阀门上。这与11.3节的变更三闸门、11.5.3节的移植清单在结构上完全同构：制度管住流程，人管住判断，利润才守得住。</w:t>
      </w:r>
    </w:p>
    <w:p>
      <w:r>
        <w:rPr>
          <w:rFonts w:ascii="Calibri" w:hAnsi="Calibri" w:eastAsia="微软雅黑"/>
          <w:b w:val="0"/>
          <w:i w:val="0"/>
          <w:sz w:val="22"/>
        </w:rPr>
        <w:t>技术内壳方面，国内研究已给出同源方案：将"可施工性倒灌设计"定义为以施工安装条件、工程造价指标及法务节点要求为约束条件，反向约束和引导初步设计与设备选型的全过程精细化控制体系（P11002），配套概算指标结构变化修正模型（修正综合单价＝J＋Q1P1−Q2P2）与类似工程综合调整系数模型（D＝A×K）等工具（P11002）。[事实] 更进一步，一体化需要法人级的组织承载——通过设计能力与施工能力的法人级深度重构，打破组织壁垒，实现组织交付基因与设计概算全过程控制的统一（P11023）；国内设计院从DBB模式撕裂走向后向一体化EPC总承包，也被同库研究列为商业模式演进的趋势判断（P11024，该源正文存在主题漂移，此处仅取其标题级判断，证据力弱）。[假设] 把这三层叠起来：合同外壳（FIDIC纪律）＋技术内壳（可施工性倒灌）＋组织基座（法人级一体化），才是"国际对标"的完整译文。</w:t>
      </w:r>
    </w:p>
    <w:p>
      <w:pPr>
        <w:pStyle w:val="Heading3"/>
      </w:pPr>
      <w:r>
        <w:t>11.5.3 落地五步：带验证与停止条件的移植清单</w:t>
      </w:r>
    </w:p>
    <w:p>
      <w:r>
        <w:rPr>
          <w:rFonts w:ascii="Calibri" w:hAnsi="Calibri" w:eastAsia="微软雅黑"/>
          <w:b w:val="0"/>
          <w:i w:val="0"/>
          <w:sz w:val="22"/>
        </w:rPr>
        <w:t>[建议] 综合本章证据，给出一份可直接执行的移植清单（每步均带验证与停止条件）：</w:t>
      </w:r>
    </w:p>
    <w:p>
      <w:r>
        <w:rPr>
          <w:rFonts w:ascii="Calibri" w:hAnsi="Calibri" w:eastAsia="微软雅黑"/>
          <w:b w:val="0"/>
          <w:i w:val="0"/>
          <w:sz w:val="22"/>
        </w:rPr>
        <w:t>第一步，合同物种识别。签约前用11.1节的对照框架判明文本属银皮书型、黄皮书型还是示范文本型，评估风险敞口（P11012）。验证：合同评审记录中载明物种判断与兜底条款清单；停止条件：无法判断风险归属的合同暂缓签署。</w:t>
      </w:r>
    </w:p>
    <w:p>
      <w:r>
        <w:rPr>
          <w:rFonts w:ascii="Calibri" w:hAnsi="Calibri" w:eastAsia="微软雅黑"/>
          <w:b w:val="0"/>
          <w:i w:val="0"/>
          <w:sz w:val="22"/>
        </w:rPr>
        <w:t>第二步，30天建制＋九计划。项目启动后30天内完成管理制度发布（P11018、P11019），同步编制九类管理计划（P11017、P11020）。验证：30天制度发布率与计划齐套率；停止条件：若项目金额低于企业设定阈值，可合并计划但不得裁撤变更与信函两项。</w:t>
      </w:r>
    </w:p>
    <w:p>
      <w:r>
        <w:rPr>
          <w:rFonts w:ascii="Calibri" w:hAnsi="Calibri" w:eastAsia="微软雅黑"/>
          <w:b w:val="0"/>
          <w:i w:val="0"/>
          <w:sz w:val="22"/>
        </w:rPr>
        <w:t>第三步，变更三闸门＋No VO No Work。授权核实、书面确认、成本同步三闸落地（P11000），紧急事项执行五步流程（P11000）。验证：无VO施工金额占比、VO补办率；停止条件：管理费利润长期无法回收时升级商务谈判。</w:t>
      </w:r>
    </w:p>
    <w:p>
      <w:r>
        <w:rPr>
          <w:rFonts w:ascii="Calibri" w:hAnsi="Calibri" w:eastAsia="微软雅黑"/>
          <w:b w:val="0"/>
          <w:i w:val="0"/>
          <w:sz w:val="22"/>
        </w:rPr>
        <w:t>第四步，界面证书化。分包合同嵌入六原则：工作止点与接收条件、RACI责任矩阵、24h/72h升级时限、无签字不交接、无记录不付款、《接口关闭证书》与背靠背条款（P11003）。验证：接口证书签署率、无记录付款次数；停止条件：连续节点逾期的分包商触发替换评估。</w:t>
      </w:r>
    </w:p>
    <w:p>
      <w:r>
        <w:rPr>
          <w:rFonts w:ascii="Calibri" w:hAnsi="Calibri" w:eastAsia="微软雅黑"/>
          <w:b w:val="0"/>
          <w:i w:val="0"/>
          <w:sz w:val="22"/>
        </w:rPr>
        <w:t>第五步，索赔时限台账。以28天通知期、84天完整索赔报告（P11018）建立台账与预警，信函24小时登记、48小时发出（P11018）。验证：超期索赔单占比为零；停止条件：任何一单超期即启动月度复盘并向区域总部报告。</w:t>
      </w:r>
    </w:p>
    <w:p>
      <w:r>
        <w:rPr>
          <w:rFonts w:ascii="Calibri" w:hAnsi="Calibri" w:eastAsia="微软雅黑"/>
          <w:b w:val="0"/>
          <w:i w:val="0"/>
          <w:sz w:val="22"/>
        </w:rPr>
        <w:t>对买方的最后提醒：国际对标的落点不是照搬FIDIC文本，而是把合同语言的纪律翻译成中文管理动作——条款可以慢慢学，刻度必须马上抄。</w:t>
      </w:r>
    </w:p>
    <w:p>
      <w:pPr>
        <w:pStyle w:val="Heading2"/>
      </w:pPr>
      <w:r>
        <w:t>本章小结与盲区</w:t>
      </w:r>
    </w:p>
    <w:p>
      <w:pPr>
        <w:pStyle w:val="Heading3"/>
      </w:pPr>
      <w:r>
        <w:t>小结六问</w:t>
      </w:r>
    </w:p>
    <w:p>
      <w:r>
        <w:rPr>
          <w:rFonts w:ascii="Calibri" w:hAnsi="Calibri" w:eastAsia="微软雅黑"/>
          <w:b/>
          <w:i w:val="0"/>
          <w:sz w:val="22"/>
        </w:rPr>
        <w:t>本章证明了什么</w:t>
      </w:r>
      <w:r>
        <w:rPr>
          <w:rFonts w:ascii="Calibri" w:hAnsi="Calibri" w:eastAsia="微软雅黑"/>
          <w:b w:val="0"/>
          <w:i w:val="0"/>
          <w:sz w:val="22"/>
        </w:rPr>
        <w:t>：示范文本与银皮书并非同一物种，前者风险分担更接近黄皮书（P11012）；银皮书下承包商承担设计责任兜底，业主资料风险除四类例外均归承包商（P11007）；银皮书序言自己列明四类不适用场景，而现实中此类投标大量存在（P11008）；变更纪律（No VO No Work、口头变更损失管理费利润，P11000）、索赔时限（28天/84天，P11018）、界面证书（24h/72h与接口关闭证书，P11003）构成利润保卫的三道闸；国际同行同样在为合同风险付学费——AECOM一次性出清3.368亿美元（P11009），吉达塔72亿里亚尔花落拥有历史资产的SBG（P11032），光伏EPC利润已迁移为七段结构（P11011）。</w:t>
      </w:r>
    </w:p>
    <w:p>
      <w:r>
        <w:rPr>
          <w:rFonts w:ascii="Calibri" w:hAnsi="Calibri" w:eastAsia="微软雅黑"/>
          <w:b/>
          <w:i w:val="0"/>
          <w:sz w:val="22"/>
        </w:rPr>
        <w:t>输入在哪里</w:t>
      </w:r>
      <w:r>
        <w:rPr>
          <w:rFonts w:ascii="Calibri" w:hAnsi="Calibri" w:eastAsia="微软雅黑"/>
          <w:b w:val="0"/>
          <w:i w:val="0"/>
          <w:sz w:val="22"/>
        </w:rPr>
        <w:t>：本章全部证据来自弹药库bank_ch11.md（锚点P11000—P11034），以公众号专业复盘、比较研究、裁判文书与检索结论为骨架。</w:t>
      </w:r>
    </w:p>
    <w:p>
      <w:r>
        <w:rPr>
          <w:rFonts w:ascii="Calibri" w:hAnsi="Calibri" w:eastAsia="微软雅黑"/>
          <w:b/>
          <w:i w:val="0"/>
          <w:sz w:val="22"/>
        </w:rPr>
        <w:t>怎么算的</w:t>
      </w:r>
      <w:r>
        <w:rPr>
          <w:rFonts w:ascii="Calibri" w:hAnsi="Calibri" w:eastAsia="微软雅黑"/>
          <w:b w:val="0"/>
          <w:i w:val="0"/>
          <w:sz w:val="22"/>
        </w:rPr>
        <w:t>：正文数字均逐字取自源文；仅两处跨源聚合算式为己方计算并标注own_calc——吉达塔剩余工程61亿里亚尔（72−11）及已完占比15.3%（11÷72）（P11032）；电建案投标价与合同价差61528745元（521965260−460436515）及约13.4%的偏离率（P11025）。</w:t>
      </w:r>
    </w:p>
    <w:p>
      <w:r>
        <w:rPr>
          <w:rFonts w:ascii="Calibri" w:hAnsi="Calibri" w:eastAsia="微软雅黑"/>
          <w:b/>
          <w:i w:val="0"/>
          <w:sz w:val="22"/>
        </w:rPr>
        <w:t>依赖什么前提</w:t>
      </w:r>
      <w:r>
        <w:rPr>
          <w:rFonts w:ascii="Calibri" w:hAnsi="Calibri" w:eastAsia="微软雅黑"/>
          <w:b w:val="0"/>
          <w:i w:val="0"/>
          <w:sz w:val="22"/>
        </w:rPr>
        <w:t>：源对FIDIC条款的转述准确（公众号二手转述，未逐条核对原文）；企业公告与裁判文书金额真实；"启动阶段决定80%成败"为经验断言而非统计量（P11017、P11020）。</w:t>
      </w:r>
    </w:p>
    <w:p>
      <w:r>
        <w:rPr>
          <w:rFonts w:ascii="Calibri" w:hAnsi="Calibri" w:eastAsia="微软雅黑"/>
          <w:b/>
          <w:i w:val="0"/>
          <w:sz w:val="22"/>
        </w:rPr>
        <w:t>还有什么解释</w:t>
      </w:r>
      <w:r>
        <w:rPr>
          <w:rFonts w:ascii="Calibri" w:hAnsi="Calibri" w:eastAsia="微软雅黑"/>
          <w:b w:val="0"/>
          <w:i w:val="0"/>
          <w:sz w:val="22"/>
        </w:rPr>
        <w:t>：AECOM损失存在追偿回冲可能（其正通过claims与诉讼追偿，P11009）；吉达塔失标可能存在未公开的商务与融资因素（复盘者已声明无中建内部复盘，P11032）；光伏七段利润结构为研究者归纳，未经单项目财务数据验证（P11011）。</w:t>
      </w:r>
    </w:p>
    <w:p>
      <w:r>
        <w:rPr>
          <w:rFonts w:ascii="Calibri" w:hAnsi="Calibri" w:eastAsia="微软雅黑"/>
          <w:b/>
          <w:i w:val="0"/>
          <w:sz w:val="22"/>
        </w:rPr>
        <w:t>什么证据会改变答案</w:t>
      </w:r>
      <w:r>
        <w:rPr>
          <w:rFonts w:ascii="Calibri" w:hAnsi="Calibri" w:eastAsia="微软雅黑"/>
          <w:b w:val="0"/>
          <w:i w:val="0"/>
          <w:sz w:val="22"/>
        </w:rPr>
        <w:t>：FIDIC 2017版银皮书正式文本（P11012所引版本）的逐条比对（尤其变更与索赔条款原文）；中国承包商海外项目级损益的披露；国际仲裁对银皮书条款解释的公开裁决样本——三者任一出现，本章关于"纪律差距"的判断强度都需重校。</w:t>
      </w:r>
    </w:p>
    <w:p>
      <w:pPr>
        <w:pStyle w:val="Heading3"/>
      </w:pPr>
      <w:r>
        <w:t>反证三问</w:t>
      </w:r>
    </w:p>
    <w:p>
      <w:r>
        <w:rPr>
          <w:rFonts w:ascii="Calibri" w:hAnsi="Calibri" w:eastAsia="微软雅黑"/>
          <w:b/>
          <w:i w:val="0"/>
          <w:sz w:val="22"/>
        </w:rPr>
        <w:t>什么事实会推翻本章判断</w:t>
      </w:r>
      <w:r>
        <w:rPr>
          <w:rFonts w:ascii="Calibri" w:hAnsi="Calibri" w:eastAsia="微软雅黑"/>
          <w:b w:val="0"/>
          <w:i w:val="0"/>
          <w:sz w:val="22"/>
        </w:rPr>
        <w:t>：若示范文本项目在国际争议中被仲裁庭按银皮书同等标准分配风险，则"两套物种"判断（P11012）失效；若AECOM追偿全额覆盖3.368亿美元损失（P11009），则"合同风险一次性出清"的教训权重下降；若大量中国企业以无VO施工、无接口证书的方式持续盈利，则变更界面纪律的利润相关性存疑。</w:t>
      </w:r>
    </w:p>
    <w:p>
      <w:r>
        <w:rPr>
          <w:rFonts w:ascii="Calibri" w:hAnsi="Calibri" w:eastAsia="微软雅黑"/>
          <w:b/>
          <w:i w:val="0"/>
          <w:sz w:val="22"/>
        </w:rPr>
        <w:t>现有反证为何不足</w:t>
      </w:r>
      <w:r>
        <w:rPr>
          <w:rFonts w:ascii="Calibri" w:hAnsi="Calibri" w:eastAsia="微软雅黑"/>
          <w:b w:val="0"/>
          <w:i w:val="0"/>
          <w:sz w:val="22"/>
        </w:rPr>
        <w:t>：弹药库中两次学术检索均确认，公开信息中不存在任何企业EPC履约风控与同业基准的量化对比数据（P11021、P11022），因此"制度差距伤利润"无法被同业数据证伪，也无法被证实；判例源均为中国法院裁判（P11005、P11025、P11029、P11034），缺少国际仲裁样本，反证通道本身是空白的。</w:t>
      </w:r>
    </w:p>
    <w:p>
      <w:r>
        <w:rPr>
          <w:rFonts w:ascii="Calibri" w:hAnsi="Calibri" w:eastAsia="微软雅黑"/>
          <w:b/>
          <w:i w:val="0"/>
          <w:sz w:val="22"/>
        </w:rPr>
        <w:t>哪个未知可能改变读者选择</w:t>
      </w:r>
      <w:r>
        <w:rPr>
          <w:rFonts w:ascii="Calibri" w:hAnsi="Calibri" w:eastAsia="微软雅黑"/>
          <w:b w:val="0"/>
          <w:i w:val="0"/>
          <w:sz w:val="22"/>
        </w:rPr>
        <w:t>：项目所在国法律对FIDIC条款的强制性覆盖（bank完全未覆盖各国本地法对FIDIC的 Override 规则）；外币合同（如里亚尔计价，P11032）的汇率与币种结构——bank无任何汇率数据，72亿里亚尔量级的合同账本连同其中约11亿里亚尔的已完部分，均无法折算为企业熟悉的币种口径，这可能整体改变国际项目的利润测算结论。</w:t>
      </w:r>
    </w:p>
    <w:p>
      <w:pPr>
        <w:pStyle w:val="Heading3"/>
      </w:pPr>
      <w:r>
        <w:t>盲区声明（证据未覆盖处，如实交代）</w:t>
      </w:r>
    </w:p>
    <w:p>
      <w:r>
        <w:rPr>
          <w:rFonts w:ascii="Calibri" w:hAnsi="Calibri" w:eastAsia="微软雅黑"/>
          <w:b w:val="0"/>
          <w:i w:val="0"/>
          <w:sz w:val="22"/>
        </w:rPr>
        <w:t>其一，FIDIC条款原文缺失：bank中银皮书条款均为二手转述——第5.1款四例外（P11007）、序言四情形（P11008）、28天/84天（P11018），无逐条中英文原文，具体条款编号（如变更程序、索赔条款的条号）无法在本章核对，引用时均以转述源为凭证。</w:t>
      </w:r>
    </w:p>
    <w:p>
      <w:r>
        <w:rPr>
          <w:rFonts w:ascii="Calibri" w:hAnsi="Calibri" w:eastAsia="微软雅黑"/>
          <w:b w:val="0"/>
          <w:i w:val="0"/>
          <w:sz w:val="22"/>
        </w:rPr>
        <w:t>其二，项目级财务黑箱：海外EPC合同不披露单项目成本、毛利与净利润（P11011自述），中国承包商海外项目损益无公开数据；AECOM是bank中极少数披露项目级损失的企业（3.368亿美元，P11009），样本量为一，不能外推为国际同行普遍损益水平。</w:t>
      </w:r>
    </w:p>
    <w:p>
      <w:r>
        <w:rPr>
          <w:rFonts w:ascii="Calibri" w:hAnsi="Calibri" w:eastAsia="微软雅黑"/>
          <w:b w:val="0"/>
          <w:i w:val="0"/>
          <w:sz w:val="22"/>
        </w:rPr>
        <w:t>其三，同业基准缺失：两次检索均无法确认任何企业EPC风控水平与同业基准的量化对比（P11021、P11022），本章所有"差距"判断均为定性判断，无基准值支撑。</w:t>
      </w:r>
    </w:p>
    <w:p>
      <w:r>
        <w:rPr>
          <w:rFonts w:ascii="Calibri" w:hAnsi="Calibri" w:eastAsia="微软雅黑"/>
          <w:b w:val="0"/>
          <w:i w:val="0"/>
          <w:sz w:val="22"/>
        </w:rPr>
        <w:t>其四，仲裁样本缺失：bank判例均为中国法院（P11005、P11025、P11029、P11034等），FIDIC争议实务中占比很高的国际仲裁裁决不公开，本章对FIDIC条款实际裁判口径的描述为零证据区。</w:t>
      </w:r>
    </w:p>
    <w:p>
      <w:r>
        <w:rPr>
          <w:rFonts w:ascii="Calibri" w:hAnsi="Calibri" w:eastAsia="微软雅黑"/>
          <w:b w:val="0"/>
          <w:i w:val="0"/>
          <w:sz w:val="22"/>
        </w:rPr>
        <w:t>其五，源质量参差：P11024存在主题漂移（标题为设计院EPC转型、正文为遥感图像融合内容），其标题级趋势判断仅作弱引用（已标注[假设]）；P11023为同库他厂报告，其中"EPC法人级交付效能"公式为作者建构，非实测模型。</w:t>
      </w:r>
    </w:p>
    <w:p>
      <w:r>
        <w:rPr>
          <w:rFonts w:ascii="Calibri" w:hAnsi="Calibri" w:eastAsia="微软雅黑"/>
          <w:b w:val="0"/>
          <w:i w:val="0"/>
          <w:sz w:val="22"/>
        </w:rPr>
        <w:t>其六，时效与未决事项：AECOM数据截至2026年8月10日财报，追偿结果未定（P11009）；吉达塔项目42个月工期（P11032）自2024年10月签约起算，履约结果尚未落定，本章结论对其最终盈亏不做预断。</w:t>
      </w:r>
    </w:p>
    <w:p>
      <w:r>
        <w:rPr>
          <w:rFonts w:ascii="Calibri" w:hAnsi="Calibri" w:eastAsia="微软雅黑"/>
          <w:b w:val="0"/>
          <w:i w:val="0"/>
          <w:sz w:val="22"/>
        </w:rPr>
        <w:t>其七，币种与量纲：bank中外币金额（里亚尔、美元）无汇率数据，除own_calc明示的算式外，本章未做任何跨币种折算；光伏成本口径（691美元/kW、0.043美元/kWh，P11011）为IRENA全球加权口径，与单一国别项目口径不可直接混用。</w:t>
      </w:r>
    </w:p>
    <w:p>
      <w:r>
        <w:rPr>
          <w:rFonts w:ascii="Calibri" w:hAnsi="Calibri" w:eastAsia="微软雅黑"/>
          <w:b w:val="0"/>
          <w:i w:val="0"/>
          <w:sz w:val="22"/>
        </w:rPr>
        <w:t>---</w:t>
      </w:r>
    </w:p>
    <w:p>
      <w:pPr>
        <w:pStyle w:val="Heading1"/>
      </w:pPr>
      <w:r>
        <w:t>第12章 2026-2029 预判：一体化的十二个确定性趋势</w:t>
      </w:r>
    </w:p>
    <w:p>
      <w:pPr>
        <w:ind w:left="454"/>
      </w:pPr>
      <w:r>
        <w:rPr>
          <w:rFonts w:ascii="Calibri" w:hAnsi="Calibri" w:eastAsia="微软雅黑"/>
          <w:b w:val="0"/>
          <w:i w:val="0"/>
          <w:color w:val="666666"/>
          <w:sz w:val="22"/>
        </w:rPr>
        <w:t>前十一章复盘了设计施工脱节的代价与修复之法；本章转向2026-2029：政策、数字底座、组织治理、司法裁判四条线上，十二条趋势已可由今日证据推演而出，每条均按「基线事实→推演逻辑→反证检验」三件套展开，供读者对标自检。</w:t>
      </w:r>
    </w:p>
    <w:p>
      <w:r>
        <w:rPr>
          <w:rFonts w:ascii="Calibri" w:hAnsi="Calibri" w:eastAsia="微软雅黑"/>
          <w:b w:val="0"/>
          <w:i w:val="0"/>
          <w:sz w:val="22"/>
        </w:rPr>
        <w:t>adds: 读者读完本章，能把未来三年一体化的政策、技术、组织、司法四条演进线排成一张带验证信号的时间表，并据此校准资质布局、数字投入与合同策略——知道什么该抢先做、什么该等信号、什么信号出现就收手。</w:t>
      </w:r>
    </w:p>
    <w:p>
      <w:pPr>
        <w:pStyle w:val="Heading2"/>
      </w:pPr>
      <w:r>
        <w:t>12.1 政策与市场结构：一体化从工程层上升为制度层（趋势一至趋势三）</w:t>
      </w:r>
    </w:p>
    <w:p>
      <w:r>
        <w:rPr>
          <w:rFonts w:ascii="Calibri" w:hAnsi="Calibri" w:eastAsia="微软雅黑"/>
          <w:b w:val="0"/>
          <w:i w:val="0"/>
          <w:sz w:val="22"/>
        </w:rPr>
        <w:t>政策是四条线中最先动的一条。当强制条款、资金工具与场景清单在同一年内同框出现，一体化的竞争规则就从企业自律变成了制度供给。本节三条趋势回答三个问题：未来三年，哪些门槛会被写进招标文件；哪些市场会向一体化企业整体打开；哪些能力会从加分项变成资格项。</w:t>
      </w:r>
    </w:p>
    <w:p>
      <w:pPr>
        <w:pStyle w:val="Heading3"/>
      </w:pPr>
      <w:r>
        <w:t>趋势一：政策口径从「鼓励试点」转向「强制应用」，一模到底进入政府投资项目硬约束</w:t>
      </w:r>
    </w:p>
    <w:p>
      <w:r>
        <w:rPr>
          <w:rFonts w:ascii="Calibri" w:hAnsi="Calibri" w:eastAsia="微软雅黑"/>
          <w:b/>
          <w:i w:val="0"/>
          <w:sz w:val="22"/>
        </w:rPr>
        <w:t>基线事实。</w:t>
      </w:r>
      <w:r>
        <w:rPr>
          <w:rFonts w:ascii="Calibri" w:hAnsi="Calibri" w:eastAsia="微软雅黑"/>
          <w:b w:val="0"/>
          <w:i w:val="0"/>
          <w:sz w:val="22"/>
        </w:rPr>
        <w:t>[事实] 2026年被确立为智能建造的推广元年，政策核心转向被一线从业者概括为从「鼓励试点」到「强制应用」，其中「最硬的一条」指向BIM正向设计对政府投资项目的约束（P12018）。[事实] 造价制度改革已有旗舰级落点：鄂州花湖机场既是民航局「四新」机场示范项目，也是住建部造价改革试点项目，并在这类项目上验证了BIM计量下的全费用综合单价模式（P12009）。[事实] 行业组织的口径同步升级——中国勘察设计协会理事长在2026年8月18日的武汉会议上要求「树立工程建设全生命周期价值思维，打破设计、造价相互割裂的惯性，推动设计造价一体谋划、同步实施」，并部署加快数字化、绿色化、智能化、高端化转型（P12011）。[事实] 与此同时，现状的惰性依然真实：BIM技术进入中国建筑市场十几年，应用普遍停留在地下室管线综合、砌体排砖、汇报展示等点状用法，绝大多数房建项目仍是「先画图、后翻模」，模型与图纸两张皮（P12018）。</w:t>
      </w:r>
    </w:p>
    <w:p>
      <w:r>
        <w:rPr>
          <w:rFonts w:ascii="Calibri" w:hAnsi="Calibri" w:eastAsia="微软雅黑"/>
          <w:b/>
          <w:i w:val="0"/>
          <w:sz w:val="22"/>
        </w:rPr>
        <w:t>推演逻辑。</w:t>
      </w:r>
      <w:r>
        <w:rPr>
          <w:rFonts w:ascii="Calibri" w:hAnsi="Calibri" w:eastAsia="微软雅黑"/>
          <w:b w:val="0"/>
          <w:i w:val="0"/>
          <w:sz w:val="22"/>
        </w:rPr>
        <w:t>[预测] 试点—示范—强制三段式走到第三段后，2026-2029年政府投资项目的招标文件将逐步把BIM正向设计能力、模型交付规则与模型计量条款写进资格条件与评分细则，CAD出图加外包翻模的组合将在这一类项目中失去投标层面的竞争力。判断依据有三层：政策已给出时间锚点（P12018）；旗舰项目已跑通按模施工、模型质量验评、模型计量计价的完整闭环并沉淀为可复用框架，后续扬泰机场、白云机场三期均以其为底层底盘迭代升级（P12009）；行业组织已把「打破割裂惯性」写成公开要求（P12011）。行政推力、技术可行性与组织动员三者凑齐，变的只是各地执行速度。[建议] 设计院与总包应在2026年内盘点自身正向设计储备，验证标准是能否拿出一个「施工图由模型直接出、算量由模型直接算」的完整案例；若到2027年年中仍无此类案例，应暂停在政府投资项目标书中承诺一模到底条款，避免以未来违约风险换取当期中标概率。</w:t>
      </w:r>
    </w:p>
    <w:p>
      <w:r>
        <w:rPr>
          <w:rFonts w:ascii="Calibri" w:hAnsi="Calibri" w:eastAsia="微软雅黑"/>
          <w:b/>
          <w:i w:val="0"/>
          <w:sz w:val="22"/>
        </w:rPr>
        <w:t>反证检验。</w:t>
      </w:r>
      <w:r>
        <w:rPr>
          <w:rFonts w:ascii="Calibri" w:hAnsi="Calibri" w:eastAsia="微软雅黑"/>
          <w:b w:val="0"/>
          <w:i w:val="0"/>
          <w:sz w:val="22"/>
        </w:rPr>
        <w:t xml:space="preserve"> 若2027-2028年政府投资项目招标中BIM条款仍停留在「应用BIM技术」的软表述、评标不给模型分值，或纯翻模交付仍能顺利通过验收与结算，则本趋势判断被削弱。现有反证之所以不足：政策文本已从鼓励转向强制（P12018），试点已产出可复制的管理框架（P12009），退回软约束的行政成本与技术沉没成本都在抬高；而点状应用的惰性（P12018）属于执行阻力，是方向内部的摩擦，不是方向本身的反证。</w:t>
      </w:r>
    </w:p>
    <w:p>
      <w:r>
        <w:rPr>
          <w:rFonts w:ascii="Calibri" w:hAnsi="Calibri" w:eastAsia="微软雅黑"/>
          <w:b/>
          <w:i w:val="0"/>
          <w:sz w:val="22"/>
        </w:rPr>
        <w:t>行动含义与检验清单。</w:t>
      </w:r>
      <w:r>
        <w:rPr>
          <w:rFonts w:ascii="Calibri" w:hAnsi="Calibri" w:eastAsia="微软雅黑"/>
          <w:b w:val="0"/>
          <w:i w:val="0"/>
          <w:sz w:val="22"/>
        </w:rPr>
        <w:t xml:space="preserve"> 政策硬约束落地前有一个可观察的窗口期，真正的分水岭不在政策发布日，而在第一批按新规废标或扣分的案例出现之日。[建议] 读者可以按三步布防：第一步，盘点在手政府投资项目的合同与地方计价规则，凡是只写「应用BIM技术」而无交付标准的条款，争取在年内补签补充协议，把模型交付深度、计量依据、验收格式一次谈定，避免新规生效后旧约两头不靠；第二步，把翻模预算改为正向设计预算——翻一套模型几十万的投入用完即弃、账算不清（P12018），同样的钱投到出图即出模的流程改造上，至少沉淀为可跨项目复用的构件资产；第三步，盯住两类信号：所在省份的智能建造试点范围是否扩容、第一批因模型交付不合规而在评标环节失分的公示是否出现。信号未至之前，不宜把全部产能压在正向设计上，保留CAD与模型双轨能力是更稳妥的姿势。</w:t>
      </w:r>
    </w:p>
    <w:p>
      <w:pPr>
        <w:pStyle w:val="Heading3"/>
      </w:pPr>
      <w:r>
        <w:t>趋势二：投建营一体化把承包商推向全生命周期，地方文件已给出制度接口</w:t>
      </w:r>
    </w:p>
    <w:p>
      <w:r>
        <w:rPr>
          <w:rFonts w:ascii="Calibri" w:hAnsi="Calibri" w:eastAsia="微软雅黑"/>
          <w:b/>
          <w:i w:val="0"/>
          <w:sz w:val="22"/>
        </w:rPr>
        <w:t>基线事实。</w:t>
      </w:r>
      <w:r>
        <w:rPr>
          <w:rFonts w:ascii="Calibri" w:hAnsi="Calibri" w:eastAsia="微软雅黑"/>
          <w:b w:val="0"/>
          <w:i w:val="0"/>
          <w:sz w:val="22"/>
        </w:rPr>
        <w:t>[事实] 2026年9月24日，江苏省住建厅官网公开《促进建筑业企业参与「六张网」投资建设运营工作指引》（苏建建管〔2026〕126号），由省住建厅联合省发改委、省交通运输厅、省水利厅、省数据局、人行江苏省分行、江苏证监局等11个部门于9月22日联合印发，把水网、新型电网、算力网、新一代通信网、城市地下管网、物流网的投资、建设、运营全链条向建筑业企业打开，明确投建营一体化、EPC、联合体、专业分包四种参与模式与四项保障措施（P12015）。[事实] 资金接口同步就位：2026年新增专项债已发行3.31万亿（进度75.1%，研报口径），新型政策性金融工具已投放608.5亿（截至9-23），上半年水网建设吸引民间投资同比增速+85.8%（P12015）。[事实] 场景清单落到项目名：南水北调东线二期、苏北供水网络等重大水利项目及运维管护增值服务，「东数西算」长三角枢纽的算力中心、液冷安装与源网荷储一体化，5G-A基站、万兆光网、卫星互联网地面站，综合管廊与数字孪生、智慧运维全周期服务（P12015）。[事实] 对服务业态的连带影响已被点明——「投建营一体化」意味着造价服务半径要从建设期延伸到全生命周期（P12015）。</w:t>
      </w:r>
    </w:p>
    <w:p>
      <w:r>
        <w:rPr>
          <w:rFonts w:ascii="Calibri" w:hAnsi="Calibri" w:eastAsia="微软雅黑"/>
          <w:b/>
          <w:i w:val="0"/>
          <w:sz w:val="22"/>
        </w:rPr>
        <w:t>推演逻辑。</w:t>
      </w:r>
      <w:r>
        <w:rPr>
          <w:rFonts w:ascii="Calibri" w:hAnsi="Calibri" w:eastAsia="微软雅黑"/>
          <w:b w:val="0"/>
          <w:i w:val="0"/>
          <w:sz w:val="22"/>
        </w:rPr>
        <w:t>[预测] 2026-2029年，「六张网」类基础设施将成为一体化企业的新主战场，竞争单位从「施工能力」升级为「投资+建设+运营的组合能力」；率先补齐运营主体、资本对接与全周期造价数据的企业将优先分享这块增量，纯施工企业则退守四种模式中的专业分包位（P12015）。[假设] 若更多省份复制11部门联发模式，区域性头部企业将在2027年前后完成投资平台与运营公司的组织补位；该假设成立的前提是地方财政与政策性金融工具的供给强度延续（P12015），资金端一旦退坡，跨省复制将停在纸面。</w:t>
      </w:r>
    </w:p>
    <w:p>
      <w:r>
        <w:rPr>
          <w:rFonts w:ascii="Calibri" w:hAnsi="Calibri" w:eastAsia="微软雅黑"/>
          <w:b/>
          <w:i w:val="0"/>
          <w:sz w:val="22"/>
        </w:rPr>
        <w:t>反证检验。</w:t>
      </w:r>
      <w:r>
        <w:rPr>
          <w:rFonts w:ascii="Calibri" w:hAnsi="Calibri" w:eastAsia="微软雅黑"/>
          <w:b w:val="0"/>
          <w:i w:val="0"/>
          <w:sz w:val="22"/>
        </w:rPr>
        <w:t xml:space="preserve"> 若专项债发行进度与政策性金融工具投放量在2027年出现失速，或民间投资增速相对+85.8%的基数明显回落（P12015），则投建营一体化将收缩为少数资本雄厚者的窄门，中小企业窗口关闭。现有反证不足：11个部门（含人行省分行、证监局等金融口）联发、四种模式、三类资金数据同框出现（P12015），制度接口的完整程度超出一般倡议文件，说明此事按「办事」而非「表态」的规格在推进。</w:t>
      </w:r>
    </w:p>
    <w:p>
      <w:r>
        <w:rPr>
          <w:rFonts w:ascii="Calibri" w:hAnsi="Calibri" w:eastAsia="微软雅黑"/>
          <w:b/>
          <w:i w:val="0"/>
          <w:sz w:val="22"/>
        </w:rPr>
        <w:t>行动含义与检验清单。</w:t>
      </w:r>
      <w:r>
        <w:rPr>
          <w:rFonts w:ascii="Calibri" w:hAnsi="Calibri" w:eastAsia="微软雅黑"/>
          <w:b w:val="0"/>
          <w:i w:val="0"/>
          <w:sz w:val="22"/>
        </w:rPr>
        <w:t xml:space="preserve"> [建议] 企业可以对照四种参与模式（P12015）给自己排队：能同时拿出资本金、运营方案与全周期造价测算的，去争投建营一体化联合体的牵头位；能拿出设计施工一体化交付业绩的，去争EPC位；两者都还缺的，先在专业分包位上积累水网、算力、管网等场景业绩（P12015）。资金面要盯的不是文件而是三个数字的季度走势——专项债发行进度（已至75.1%，P12015）、新型政策性金融工具投放量（608.5亿，P12015）、水网民间投资增速（+85.8%，P12015）；任一数字连续两个季度走低，即应冻结投资类岗位编制，回撤到EPC与专业分包两条轻资产赛道。这条止损线建议写进董事会决议，防止一线为了讲故事而追加资本承诺；同理，运营公司的组建节奏也应与中标节奏挂钩，先有标再设公司，而不是先设公司再找标。</w:t>
      </w:r>
    </w:p>
    <w:p>
      <w:pPr>
        <w:pStyle w:val="Heading3"/>
      </w:pPr>
      <w:r>
        <w:t>趋势三：城市更新主战场从EPC移向EPC+O，运营能力成为实质门槛</w:t>
      </w:r>
    </w:p>
    <w:p>
      <w:r>
        <w:rPr>
          <w:rFonts w:ascii="Calibri" w:hAnsi="Calibri" w:eastAsia="微软雅黑"/>
          <w:b/>
          <w:i w:val="0"/>
          <w:sz w:val="22"/>
        </w:rPr>
        <w:t>基线事实。</w:t>
      </w:r>
      <w:r>
        <w:rPr>
          <w:rFonts w:ascii="Calibri" w:hAnsi="Calibri" w:eastAsia="微软雅黑"/>
          <w:b w:val="0"/>
          <w:i w:val="0"/>
          <w:sz w:val="22"/>
        </w:rPr>
        <w:t>[事实] 在城市更新从「大拆大建」转向「微改造、精提升、长效运营」的背景下，EPC+O（设计-施工-运营一体化）已成为存量片区更新、老旧街区活化、老旧小区改造、产业园区升级的主流落地路径，也是地方政府严控隐性债务、弱化财政兜底、倒逼项目自平衡的选择（P12016）。[事实] 但从全国数百个落地项目的实操看，多数EPC+O项目并未实现1+1+1&gt;3的协同效应，部分央企联合体甚至因协作失衡、风险失控主动放弃数十亿级城更项目（P12016）。[事实] 病根被归结为三个协作陷阱，居首的是设计与运营脱节：设计阶段运营主体缺位——多数项目招标以工程总包为核心，运营方在联合体中话语权极弱，方案设计、业态规划、空间布局敲定阶段基本无法参与；空间设计与市场化运营错配——打造网红打卡场景却不计后期运维成本与商户适配性，出现「景观好看、业态空白、运维高昂、无人消费」的局面；改造标准与运营周期不匹配（P12016）。</w:t>
      </w:r>
    </w:p>
    <w:p>
      <w:r>
        <w:rPr>
          <w:rFonts w:ascii="Calibri" w:hAnsi="Calibri" w:eastAsia="微软雅黑"/>
          <w:b/>
          <w:i w:val="0"/>
          <w:sz w:val="22"/>
        </w:rPr>
        <w:t>推演逻辑。</w:t>
      </w:r>
      <w:r>
        <w:rPr>
          <w:rFonts w:ascii="Calibri" w:hAnsi="Calibri" w:eastAsia="微软雅黑"/>
          <w:b w:val="0"/>
          <w:i w:val="0"/>
          <w:sz w:val="22"/>
        </w:rPr>
        <w:t>[预测] 2026-2029年，「运营前置」将从评分加分项变成城更标书的资格与实质审查项：不会算运营账的设计院与总包，将被排除在主流城更项目之外，而能出具「运营收益测算+场景落地承诺」的一体化联合体将拿到溢价。[事实] 支撑该预测的是资金逻辑而非审美逻辑——项目自平衡要求把运营现金流写进方案（P12016），设计若不锚定后期运营收益、场景落地、业态适配做前置规划，方案就无法通过自平衡审查。[建议] 设计院应在2026年内完成「运营顾问进方案评审」的流程改造，验证标准是任一城市更新方案评审记录中能否找到运营方签字栏；若连续两个季度评审记录中无运营方实质参与，应停止以EPC+O名义投标，避免把设计费暴露在运营兜底风险之下。</w:t>
      </w:r>
    </w:p>
    <w:p>
      <w:r>
        <w:rPr>
          <w:rFonts w:ascii="Calibri" w:hAnsi="Calibri" w:eastAsia="微软雅黑"/>
          <w:b/>
          <w:i w:val="0"/>
          <w:sz w:val="22"/>
        </w:rPr>
        <w:t>反证检验。</w:t>
      </w:r>
      <w:r>
        <w:rPr>
          <w:rFonts w:ascii="Calibri" w:hAnsi="Calibri" w:eastAsia="微软雅黑"/>
          <w:b w:val="0"/>
          <w:i w:val="0"/>
          <w:sz w:val="22"/>
        </w:rPr>
        <w:t xml:space="preserve"> 若城更项目招标评分表中运营条款权重持续低于设计与施工条款，或中标方仍为无运营主体的纯施工联合体，则运营前置判断不成立。现有反证不足：数十亿级项目被主动放弃（P12016）说明业主与央企都已为运营失衡付出真实代价，市场在用脚投票；三个协作陷阱的拆解（P12016）也说明失败原因可定位、可治理，而非模式本身不可行。</w:t>
      </w:r>
    </w:p>
    <w:p>
      <w:r>
        <w:rPr>
          <w:rFonts w:ascii="Calibri" w:hAnsi="Calibri" w:eastAsia="微软雅黑"/>
          <w:b/>
          <w:i w:val="0"/>
          <w:sz w:val="22"/>
        </w:rPr>
        <w:t>行动含义与检验清单。</w:t>
      </w:r>
      <w:r>
        <w:rPr>
          <w:rFonts w:ascii="Calibri" w:hAnsi="Calibri" w:eastAsia="微软雅黑"/>
          <w:b w:val="0"/>
          <w:i w:val="0"/>
          <w:sz w:val="22"/>
        </w:rPr>
        <w:t xml:space="preserve"> [事实] 行业对城更通病的表述已经很直白——传统EPC重建设、轻运维，建成即闲置，EPC+O要契合「改造为基、运营为魂、长效增值」的诉求（P12016）。[建议] 投标前的自检清单应有四问：运营方是不是联合体正式成员并在评标办法中有身份；方案里有没有运营现金流测算表；公共空间的后期运维成本有没有人签字认领；商业铺面的进深、层高、动线有没有经过招商视角的核对——后两问直指「景观好看、业态空白、运维高昂、无人消费」的反面清单（P12016）。四问中任何一问无人应答，这个标就应按纯EPC逻辑报价比选，而不是硬披EPC+O的外衣：反面教材里连央企联合体都因协作失衡弃标数十亿级项目（P12016），硬接的代价并不比不接小；行业内把只有景观没有业态的项目称为「假运营」项目（P12016），声誉成本同样要计入投标决策。</w:t>
      </w:r>
    </w:p>
    <w:p>
      <w:pPr>
        <w:pStyle w:val="Heading2"/>
      </w:pPr>
      <w:r>
        <w:t>12.2 数字底座：从翻模困境到一模到底（趋势四至趋势六）</w:t>
      </w:r>
    </w:p>
    <w:p>
      <w:r>
        <w:rPr>
          <w:rFonts w:ascii="Calibri" w:hAnsi="Calibri" w:eastAsia="微软雅黑"/>
          <w:b w:val="0"/>
          <w:i w:val="0"/>
          <w:sz w:val="22"/>
        </w:rPr>
        <w:t>技术线的关键词不是「更多BIM」，而是「单一数据源」。行业会议已把设计造价一体化的判定标准讲到可操作层面，标杆项目已把模型计量计价跑通，协同平台已把碰撞治理工具化。本节三条趋势回答：数据主权归属谁、造价数据库怎么取代定额依赖、质量红线如何被重新定义。</w:t>
      </w:r>
    </w:p>
    <w:p>
      <w:pPr>
        <w:pStyle w:val="Heading3"/>
      </w:pPr>
      <w:r>
        <w:t>趋势四：一模到底获得可检验判定标准，单一数据源从口号变成验收条款</w:t>
      </w:r>
    </w:p>
    <w:p>
      <w:r>
        <w:rPr>
          <w:rFonts w:ascii="Calibri" w:hAnsi="Calibri" w:eastAsia="微软雅黑"/>
          <w:b/>
          <w:i w:val="0"/>
          <w:sz w:val="22"/>
        </w:rPr>
        <w:t>基线事实。</w:t>
      </w:r>
      <w:r>
        <w:rPr>
          <w:rFonts w:ascii="Calibri" w:hAnsi="Calibri" w:eastAsia="微软雅黑"/>
          <w:b w:val="0"/>
          <w:i w:val="0"/>
          <w:sz w:val="22"/>
        </w:rPr>
        <w:t>[事实] 全国工程勘察设计大师李霆提出：设计造价一体化是建筑行业数字化转型的核心方向，行业长期存在设计、造价在制度、流程、技术层面割裂的结构性难题，根源在于产品定制、流程混杂、信息孤岛、计量计价分离四类差异，单纯优化计价工具难以根治（P12010）。[事实] 其技术方案是数字主线串联项目全生命周期数据，具备统一身份编码、全周期关联、双向追溯、变更同步、数据持续连贯五大能力；一模到底是数字主线的落地载体，与全过程BIM应用有本质区分，核心判定标准是单一数据源；一体化数字基座可表达为「一模到底=BIM容器+数字主线」（P12010）。[事实] 落地成效可通过三点检验：统一ID贯穿全周期、一处修改全域同步、一次录入全程复用（P12010）。[事实] 鄂州花湖机场为此编制完成36万字BIM标准，覆盖3个行业、29个专业，设计阶段构建起包含2.3万个构件类型、2500万个构件实例的高精度模型，推行按模施工、模型质量验评、模型计量计价，项目累计节约工期200多天、节省造价3亿元（P12009）。[估计] 平均每个构件类型对应约1087个实例（own_calc：2500万÷2.3万≈1087），构件库的复用密度已达平台级而非项目级，这正是一模到底的经济性来源。</w:t>
      </w:r>
    </w:p>
    <w:p>
      <w:r>
        <w:rPr>
          <w:rFonts w:ascii="Calibri" w:hAnsi="Calibri" w:eastAsia="微软雅黑"/>
          <w:b/>
          <w:i w:val="0"/>
          <w:sz w:val="22"/>
        </w:rPr>
        <w:t>推演逻辑。</w:t>
      </w:r>
      <w:r>
        <w:rPr>
          <w:rFonts w:ascii="Calibri" w:hAnsi="Calibri" w:eastAsia="微软雅黑"/>
          <w:b w:val="0"/>
          <w:i w:val="0"/>
          <w:sz w:val="22"/>
        </w:rPr>
        <w:t>[预测] 2026-2029年，「三点检验」将进入总承包合同与验收规范，因为它是少数甲方不需要懂BIM也能现场查验的条款——查ID是否统一、查改一处是否全域同步、查录入是否全程复用，三问即可验伪（P12010）。反面基线同样清晰：设计一套模型、造价再翻一套模型算量，两个模型对不上，设计改了造价不知道，结算时审计拿两套数据来回砍（P12018）。当验收条款以「单一数据源」为判定标准（P12010），翻模模式在合同层面即告出局。[建议] 总包企业可在新签EPC合同中试点把三点检验写成模型交付验收条款，验证条件是结算周期与变更核对工时的变化；若试点项目结算争议不降反升，应回查数据标准而非条款本身，两年内无可重复效果即停止推广。</w:t>
      </w:r>
    </w:p>
    <w:p>
      <w:r>
        <w:rPr>
          <w:rFonts w:ascii="Calibri" w:hAnsi="Calibri" w:eastAsia="微软雅黑"/>
          <w:b/>
          <w:i w:val="0"/>
          <w:sz w:val="22"/>
        </w:rPr>
        <w:t>反证检验。</w:t>
      </w:r>
      <w:r>
        <w:rPr>
          <w:rFonts w:ascii="Calibri" w:hAnsi="Calibri" w:eastAsia="微软雅黑"/>
          <w:b w:val="0"/>
          <w:i w:val="0"/>
          <w:sz w:val="22"/>
        </w:rPr>
        <w:t xml:space="preserve"> 若2028年主流项目的结算依据仍是造价翻模而非设计模型直接计量，则单一数据源停留在理论层。现有反证不足：翻模路径的三大阻力——设计院不给真模型、翻模与算量两层皮、投入产出算不清账（P12018）——全部指向数据权责而非技术不可行，而数据权责是合同与标准能解决的问题；鄂州花湖已给出模型计量计价的完整先例与复用框架（P12009）。</w:t>
      </w:r>
    </w:p>
    <w:p>
      <w:r>
        <w:rPr>
          <w:rFonts w:ascii="Calibri" w:hAnsi="Calibri" w:eastAsia="微软雅黑"/>
          <w:b/>
          <w:i w:val="0"/>
          <w:sz w:val="22"/>
        </w:rPr>
        <w:t>行动含义与检验清单。</w:t>
      </w:r>
      <w:r>
        <w:rPr>
          <w:rFonts w:ascii="Calibri" w:hAnsi="Calibri" w:eastAsia="微软雅黑"/>
          <w:b w:val="0"/>
          <w:i w:val="0"/>
          <w:sz w:val="22"/>
        </w:rPr>
        <w:t xml:space="preserve"> [事实] 数字底座的经济账其实可以摆到桌面上算：鄂州花湖机场以36万字标准、2.3万个构件类型的投入，换来节约工期200多天、节省造价3亿元的回报（P12009），而点状翻模的投入是翻一套模型几十万、用完即弃（P12018），两者不是同一种资产。[建议] 企业启动一模到底之前先做数据主权审计：设计合同里模型知识产权归谁、构件库能否跨项目复用、造价属性由谁录入谁维护——三个问题没有书面答案之前不要启动平台采购。推进节奏用三点检验本身来标定（P12010）：第一个试点项目做到统一ID贯穿全周期即可宣布里程碑，不必贪求一步到位；若第一个项目连ID统一都做不到，问题多半出在组织分工而非软件功能，应先改岗位与流程再谈选型。三年内把「一处修改全域同步」写进重点项目验收标准，比采购任何单一平台都重要；若两年后企业的模型仍不能直接出施工图，应承认当前阶段止步于协同设计，把一模到底从合同承诺降级为内部目标。</w:t>
      </w:r>
    </w:p>
    <w:p>
      <w:pPr>
        <w:pStyle w:val="Heading3"/>
      </w:pPr>
      <w:r>
        <w:t>趋势五：设计造价一体化从会议主题转为合同义务，数据库取代定额依赖</w:t>
      </w:r>
    </w:p>
    <w:p>
      <w:r>
        <w:rPr>
          <w:rFonts w:ascii="Calibri" w:hAnsi="Calibri" w:eastAsia="微软雅黑"/>
          <w:b/>
          <w:i w:val="0"/>
          <w:sz w:val="22"/>
        </w:rPr>
        <w:t>基线事实。</w:t>
      </w:r>
      <w:r>
        <w:rPr>
          <w:rFonts w:ascii="Calibri" w:hAnsi="Calibri" w:eastAsia="微软雅黑"/>
          <w:b w:val="0"/>
          <w:i w:val="0"/>
          <w:sz w:val="22"/>
        </w:rPr>
        <w:t>[事实] 2026年8月18日，中国勘察设计协会工程造价工作委员会在武汉召开勘察设计数字化实践与设计造价一体化交流会，围绕一模到底、设计造价一体化、BIM正向设计、全生命周期数智平台等内容分享路径与案例，来自全国勘察设计行业企业负责人、数智化及工程造价专业负责人等180余人参加（P12011）。[事实] 协会层给出的改革路径具体：破除政府定额依赖、以大数据构建自成长工程数据库、重构行业知识体系与造价人才五维能力标准，并探索造价数据库、AI造价助手等创新应用（P12010）。[事实] 破解割裂的载体判断同样明确：让设计、建造、造价共用统一数字数据体系，数字主线支撑造价前置落地（P12010）。[事实] 支撑这一切的底层比例早已是行业共识——一个工程项目70%-80%的建设成本在设计阶段就已基本锁定，设计环节若脱离成本与现场，后续采购压价与施工节约都难以挽回（P12021）。</w:t>
      </w:r>
    </w:p>
    <w:p>
      <w:r>
        <w:rPr>
          <w:rFonts w:ascii="Calibri" w:hAnsi="Calibri" w:eastAsia="微软雅黑"/>
          <w:b/>
          <w:i w:val="0"/>
          <w:sz w:val="22"/>
        </w:rPr>
        <w:t>推演逻辑。</w:t>
      </w:r>
      <w:r>
        <w:rPr>
          <w:rFonts w:ascii="Calibri" w:hAnsi="Calibri" w:eastAsia="微软雅黑"/>
          <w:b w:val="0"/>
          <w:i w:val="0"/>
          <w:sz w:val="22"/>
        </w:rPr>
        <w:t>[预测] 2026-2029年，造价咨询的交付物将从「一份按定额套算的预算书」迁移为「可追溯、可比对的自成长数据库条目」，企业自建库的覆盖度将直接进入报价能力与议价能力；设计院若不能在初设阶段输出造价对照表，将在设计造价一体化的采购标准下被降级为绘图供应商。[事实] 会议纪要层面的信号已经出现——行业交流议题从「要不要一体化」转向「设计模型向造价模型转换标准」这类实施层堵点（P12010）。[建议] 企业应把「设计模型含造价属性」写进内部出图标准与对外合同，验证条件是初设评审即出造价对照表；若两个项目周期后造价数据仍无法回流自建库，应停止采购独立的翻模算量服务，把预算转投设计端造价接口改造。</w:t>
      </w:r>
    </w:p>
    <w:p>
      <w:r>
        <w:rPr>
          <w:rFonts w:ascii="Calibri" w:hAnsi="Calibri" w:eastAsia="微软雅黑"/>
          <w:b/>
          <w:i w:val="0"/>
          <w:sz w:val="22"/>
        </w:rPr>
        <w:t>反证检验。</w:t>
      </w:r>
      <w:r>
        <w:rPr>
          <w:rFonts w:ascii="Calibri" w:hAnsi="Calibri" w:eastAsia="微软雅黑"/>
          <w:b w:val="0"/>
          <w:i w:val="0"/>
          <w:sz w:val="22"/>
        </w:rPr>
        <w:t xml:space="preserve"> 若定额体系在2027-2029年重新收紧为强制计价依据、审计与结算口径只认定额，则数据库路线受阻。现有反证不足：协会层已公开倡导破除定额依赖（P12010），住建部造价改革试点已跑通全费用综合单价模式（P12009），制度出口已打开；70%-80%成本锁定于设计阶段的规律（P12021）也让「事后套定额」的价值天花板清晰可见。</w:t>
      </w:r>
    </w:p>
    <w:p>
      <w:r>
        <w:rPr>
          <w:rFonts w:ascii="Calibri" w:hAnsi="Calibri" w:eastAsia="微软雅黑"/>
          <w:b/>
          <w:i w:val="0"/>
          <w:sz w:val="22"/>
        </w:rPr>
        <w:t>行动含义与检验清单。</w:t>
      </w:r>
      <w:r>
        <w:rPr>
          <w:rFonts w:ascii="Calibri" w:hAnsi="Calibri" w:eastAsia="微软雅黑"/>
          <w:b w:val="0"/>
          <w:i w:val="0"/>
          <w:sz w:val="22"/>
        </w:rPr>
        <w:t xml:space="preserve"> [事实] 会议给出的方向清单可以直接当作造价条线的编制反向图纸：全过程工程咨询、数智化转型、高质量发展被列为聚焦的三大方向，造价数据库与AI造价助手被点名为创新应用，设计模型向造价模型转换标准被列为待解堵点（P12010）。[建议] 设计院与总包的造价条线应在2026年完成三件事：把近三年已完项目的结算数据清洗入库，形成自成长数据库的种子（对照破除政府定额依赖的路径，P12010）；给每个专业配一名懂模型的造价工程师，对上造价人才五维能力标准的重构方向（P12010）；在初设评审模板里加一页造价对照表，把成本锁定于设计阶段的规律（P12021）变成流程节点而非口号。停止条件同样要事先写下：若入库数据在连续两个投标周期内没有改善报价命中率，说明库的结构有问题，应先修数据模型再扩库，而不是继续堆量；数据库没有商业溢价之前，不要裁撤定额口径的保底能力。</w:t>
      </w:r>
    </w:p>
    <w:p>
      <w:pPr>
        <w:pStyle w:val="Heading3"/>
      </w:pPr>
      <w:r>
        <w:t>趋势六：三维协同设计把碰撞治理前移，「零碰撞」由创优目标变为交付底线</w:t>
      </w:r>
    </w:p>
    <w:p>
      <w:r>
        <w:rPr>
          <w:rFonts w:ascii="Calibri" w:hAnsi="Calibri" w:eastAsia="微软雅黑"/>
          <w:b/>
          <w:i w:val="0"/>
          <w:sz w:val="22"/>
        </w:rPr>
        <w:t>基线事实。</w:t>
      </w:r>
      <w:r>
        <w:rPr>
          <w:rFonts w:ascii="Calibri" w:hAnsi="Calibri" w:eastAsia="微软雅黑"/>
          <w:b w:val="0"/>
          <w:i w:val="0"/>
          <w:sz w:val="22"/>
        </w:rPr>
        <w:t>[事实] 云南大学呈贡校区科研平台项目69000㎡，含三个国家级重点实验室、六七十个专业功能房间，工艺管线种类是普通建筑的三倍以上；建筑、结构、暖通、给排水、电气、工艺、幕墙、装饰八个专业在统一协同平台通过链接参照完成三维模型及图纸协同设计，跨专业冲突全部归零、全程零返工，而同类复杂度项目放在传统2D模式下到施工阶段碰撞少说几十处（P12017）。[事实] 传统模式的病灶被归纳为三个：信息断层——图纸之间没有逻辑关联，全靠人肉记忆和交叉审图；优先级战争；连锁反应（P12017）。[事实] 轨道交通场景复现了同一逻辑：中国联合工程有限公司实现管线、结构碰撞前置消除率98%以上，配套施工仿真模拟、风险智能研判、远程数字化交底，施工前排查解决全部管线与土建冲突，大幅减少现场设计变更（P12019）。[事实] 该路线的控制指标已精细化到毫米级：软土超深基坑最大深度突破28m，地表最大沉降控制在0.1%H以内，围护墙水平位移不超过0.14%H且不超过30mm（P12019）。</w:t>
      </w:r>
    </w:p>
    <w:p>
      <w:r>
        <w:rPr>
          <w:rFonts w:ascii="Calibri" w:hAnsi="Calibri" w:eastAsia="微软雅黑"/>
          <w:b/>
          <w:i w:val="0"/>
          <w:sz w:val="22"/>
        </w:rPr>
        <w:t>推演逻辑。</w:t>
      </w:r>
      <w:r>
        <w:rPr>
          <w:rFonts w:ascii="Calibri" w:hAnsi="Calibri" w:eastAsia="微软雅黑"/>
          <w:b w:val="0"/>
          <w:i w:val="0"/>
          <w:sz w:val="22"/>
        </w:rPr>
        <w:t>[预测] 2026-2029年，「碰撞归零」将从创优宣传语变成EPC合同的质量红线，因为协同平台把过去靠交叉审图兜底的环节工具化之后，碰撞返工的成本可以被事前定价、事中计量，甲方有了把其写成违约条款的技术抓手（P12017）。[事实] 变更与返工的损失端证据充足：管线碰撞、标高冲突、工艺现场无法落地等问题在施工阶段集中爆发，只能反复改图，造成返工、窝工，工期拉长、管理成本上涨、索赔取证阻力重重（P12021）。质量红线的实质，是把这部分可预防损失从「行业正常损耗」改写为「承包人可归责事项」。</w:t>
      </w:r>
    </w:p>
    <w:p>
      <w:r>
        <w:rPr>
          <w:rFonts w:ascii="Calibri" w:hAnsi="Calibri" w:eastAsia="微软雅黑"/>
          <w:b/>
          <w:i w:val="0"/>
          <w:sz w:val="22"/>
        </w:rPr>
        <w:t>反证检验。</w:t>
      </w:r>
      <w:r>
        <w:rPr>
          <w:rFonts w:ascii="Calibri" w:hAnsi="Calibri" w:eastAsia="微软雅黑"/>
          <w:b w:val="0"/>
          <w:i w:val="0"/>
          <w:sz w:val="22"/>
        </w:rPr>
        <w:t xml:space="preserve"> 若主流项目施工阶段碰撞数量在2027-2028年未出现趋势性下降，则工具红利判断存疑。现有反证不足：69000㎡零返工（P12017）与98%以上前置消除率（P12019）已在科研建筑与轨交两类场景复现，且传统模式的碰撞基数本身就有数十处量级（P12017），工具替换的边际收益明确。</w:t>
      </w:r>
    </w:p>
    <w:p>
      <w:r>
        <w:rPr>
          <w:rFonts w:ascii="Calibri" w:hAnsi="Calibri" w:eastAsia="微软雅黑"/>
          <w:b/>
          <w:i w:val="0"/>
          <w:sz w:val="22"/>
        </w:rPr>
        <w:t>行动含义与检验清单。</w:t>
      </w:r>
      <w:r>
        <w:rPr>
          <w:rFonts w:ascii="Calibri" w:hAnsi="Calibri" w:eastAsia="微软雅黑"/>
          <w:b w:val="0"/>
          <w:i w:val="0"/>
          <w:sz w:val="22"/>
        </w:rPr>
        <w:t xml:space="preserve"> [建议] 把碰撞治理从创优动作改写为合同动作可以分两步走：第一步，在EPC分包合同中把「施工前碰撞检查报告」列为开工条件，并参照轨交场景98%以上的前置消除率设定验收阈值（P12019、P12020）；第二步，把协同平台的浏览权限开给主要分包商与驻场监理，让跨专业的信息断层在模型层解决而不是在会议层解决——传统CAD靠人肉记忆和交叉审图弥补信息断层的做法（P12017），在八个专业同图的项目里已经不堪重负。[事实] 同时要看清工具的边界：协同设计消除的是跨专业空间冲突这类可计算问题（P12017），对地质条件、场地环境、属地规范这类外部约束仍依赖设计输入本身的质量（P12021），平台不能当设计质量的挡箭牌。检验标准很朴素：施工阶段因图纸冲突签发的变更单数量逐季下降才算数；若平台上线后变更单不降，先查是否有专业仍在平台外画图，再查模型更新纪律。</w:t>
      </w:r>
    </w:p>
    <w:p>
      <w:pPr>
        <w:pStyle w:val="Heading2"/>
      </w:pPr>
      <w:r>
        <w:t>12.3 组织与治理：一体化能力的企业内化（趋势七至趋势九）</w:t>
      </w:r>
    </w:p>
    <w:p>
      <w:r>
        <w:rPr>
          <w:rFonts w:ascii="Calibri" w:hAnsi="Calibri" w:eastAsia="微软雅黑"/>
          <w:b w:val="0"/>
          <w:i w:val="0"/>
          <w:sz w:val="22"/>
        </w:rPr>
        <w:t>政策给门槛、技术给工具之后，剩下的问题是企业这台机器本身。组织线的三个趋势分别落在股权层、管理层与流程层：法人级融合解决「谁说了算」，管控纲要标准化解决「怎么管」，合规嵌入式解决「谁来踩刹车」。三条趋势共同指向一个判断——一体化的下半场比的是内功密度而非资质清单。</w:t>
      </w:r>
    </w:p>
    <w:p>
      <w:pPr>
        <w:pStyle w:val="Heading3"/>
      </w:pPr>
      <w:r>
        <w:t>趋势七：设计院与施工主体加速法人级融合，可施工性倒灌设计成为组织原则</w:t>
      </w:r>
    </w:p>
    <w:p>
      <w:r>
        <w:rPr>
          <w:rFonts w:ascii="Calibri" w:hAnsi="Calibri" w:eastAsia="微软雅黑"/>
          <w:b/>
          <w:i w:val="0"/>
          <w:sz w:val="22"/>
        </w:rPr>
        <w:t>基线事实。</w:t>
      </w:r>
      <w:r>
        <w:rPr>
          <w:rFonts w:ascii="Calibri" w:hAnsi="Calibri" w:eastAsia="微软雅黑"/>
          <w:b w:val="0"/>
          <w:i w:val="0"/>
          <w:sz w:val="22"/>
        </w:rPr>
        <w:t>[事实] 石化工程企业的转型路径被概括为「双源合一」：通过设计能力与施工能力的法人级深度重构，打破组织壁垒，实现组织交付基因与设计概算全过程控制的高度统一（P12002）。[事实] 方法论已经成形——「可施工性倒灌设计」被重定义为以施工安装条件、工程造价指标及法务节点要求为约束条件，反向约束和引导初步设计与设备选型的全过程精细化控制体系（P12001）。[事实] 设计院侧的战略叙事同步出现：传统设计院从DBB模式撕裂走向「后向一体化」EPC总承包被写成研究报告的章级主题（P12000）。[事实] 支撑组织重构的是成本结构：一个工程项目70%-80%的建设成本在设计阶段就已基本锁定（P12021）；设计院聚焦技术指标合规容易出现技术冗余、材料选型偏高、工艺过度堆砌，造价商务人员若不深度参与设计全过程，等图纸定稿才发现造价大幅超出概算，项目从源头带上亏损基因（P12021）。</w:t>
      </w:r>
    </w:p>
    <w:p>
      <w:r>
        <w:rPr>
          <w:rFonts w:ascii="Calibri" w:hAnsi="Calibri" w:eastAsia="微软雅黑"/>
          <w:b/>
          <w:i w:val="0"/>
          <w:sz w:val="22"/>
        </w:rPr>
        <w:t>推演逻辑。</w:t>
      </w:r>
      <w:r>
        <w:rPr>
          <w:rFonts w:ascii="Calibri" w:hAnsi="Calibri" w:eastAsia="微软雅黑"/>
          <w:b w:val="0"/>
          <w:i w:val="0"/>
          <w:sz w:val="22"/>
        </w:rPr>
        <w:t>[预测] 2026-2029年，设计院与施工企业的股权级、事业部级整合案例将继续增加，评估一家企业一体化成色的速检指标将从「有没有设计院或施工队」变为「初步设计评审会上造价与施工人员是否握有一票否决权」。EPC项目亏损复盘已经把结论写死：报价只是表层诱因，设计-采购-施工全链条协同断裂才是根本原因，概算超支、工期延期、变更层出不穷、利润被蚕食都是断裂的连锁反应（P12021）。[假设] 若一体化红利在2027年前无法在财报层面兑现，部分松散联合体将回退为传统DBB分工；检验方法是跟踪联合体续约率与内部利润二次分配纠纷的公开裁判。</w:t>
      </w:r>
    </w:p>
    <w:p>
      <w:r>
        <w:rPr>
          <w:rFonts w:ascii="Calibri" w:hAnsi="Calibri" w:eastAsia="微软雅黑"/>
          <w:b/>
          <w:i w:val="0"/>
          <w:sz w:val="22"/>
        </w:rPr>
        <w:t>反证检验。</w:t>
      </w:r>
      <w:r>
        <w:rPr>
          <w:rFonts w:ascii="Calibri" w:hAnsi="Calibri" w:eastAsia="微软雅黑"/>
          <w:b w:val="0"/>
          <w:i w:val="0"/>
          <w:sz w:val="22"/>
        </w:rPr>
        <w:t xml:space="preserve"> 若出现「松散联合体在成本与质量上稳定优于法人级融合企业」的持续证据，则双源合一逻辑被动摇。现有反证不足：协同断裂的后果清单（P12021）恰好都发生在拼接式EPC组织中，把EPC理解为「设计+采购+施工」简单拼接、切割成独立模块分段交付的做法，恰恰消解了一体化本身的优势（P12021）。</w:t>
      </w:r>
    </w:p>
    <w:p>
      <w:r>
        <w:rPr>
          <w:rFonts w:ascii="Calibri" w:hAnsi="Calibri" w:eastAsia="微软雅黑"/>
          <w:b/>
          <w:i w:val="0"/>
          <w:sz w:val="22"/>
        </w:rPr>
        <w:t>行动含义与检验清单。</w:t>
      </w:r>
      <w:r>
        <w:rPr>
          <w:rFonts w:ascii="Calibri" w:hAnsi="Calibri" w:eastAsia="微软雅黑"/>
          <w:b w:val="0"/>
          <w:i w:val="0"/>
          <w:sz w:val="22"/>
        </w:rPr>
        <w:t xml:space="preserve"> [事实] 融合的效能表达已有现成模型可借用：EPC法人级交付效能=（设计控制因子×采购施工协同因子）÷（组织摩擦风险+造价合规偏差）；分子端是概算三法（概算定额法、概算指标法、类似工程预算法）与设备安装四法（预算单价法、扩大单价法、设备价值百分比法、综合吨位指标法）所代表的设计控制与采购施工协同能力，分母端是合同分拆抗辩、分包合同同步解除、境外保函止付等组织摩擦与造价合规风险（P12002、P12008）。[建议] 暂不具备股权重组条件的企业可以先做「虚体双源」：设计院与施工伙伴互派常驻代表进对方的图纸评审会，把可施工性倒灌设计的三类约束条件——施工安装条件、工程造价指标、法务节点要求（P12001）——写进双方共用的会议纪要模板；联合体协议里约定概算超偏的联审触发线。观察两个项目周期，若联合项目的变更率与概算偏差没有下来，说明虚体整合无效，再谈股权层面动作也不迟；分母端的治理则不必等——组织摩擦风险在司法端的价签，趋势十与趋势十一已经标好。</w:t>
      </w:r>
    </w:p>
    <w:p>
      <w:pPr>
        <w:pStyle w:val="Heading3"/>
      </w:pPr>
      <w:r>
        <w:t>趋势八：EPC管控纲要走向标准化，「设计牵头、采购前置、施工预控」成为通则</w:t>
      </w:r>
    </w:p>
    <w:p>
      <w:r>
        <w:rPr>
          <w:rFonts w:ascii="Calibri" w:hAnsi="Calibri" w:eastAsia="微软雅黑"/>
          <w:b/>
          <w:i w:val="0"/>
          <w:sz w:val="22"/>
        </w:rPr>
        <w:t>基线事实。</w:t>
      </w:r>
      <w:r>
        <w:rPr>
          <w:rFonts w:ascii="Calibri" w:hAnsi="Calibri" w:eastAsia="微软雅黑"/>
          <w:b w:val="0"/>
          <w:i w:val="0"/>
          <w:sz w:val="22"/>
        </w:rPr>
        <w:t>[事实] 从业律师整理的EPC一体化管控要点给出核心管理理念：设计牵头、采购前置、施工预控、三方并行、全过程闭环、痕迹化管理、权责清晰、风险前置（P12014）。[事实] 总体管控原则同样成文：设计、采购、施工不得单独对接业主下发的变更指令，统一由EPC项目部接收、转发、确认；所有技术要求、变更、异议、风险提示、会议决策书面留痕，口头指令一律无效；采购、施工提前介入方案、初设、施工图阶段，禁止设计完成后再移交；先定技术、后定采购、再排施工，图纸不稳定、技术参数未锁定时严禁盲目订货施工；先解决问题、后划分责任；限额设计、限额采购、节约施工（P12014）。[事实] 头部企业已完成范本沉淀：从局到总承包公司及下属二级单位均已形成标准化项目管理策划书范本，局级覆盖全业务板块的范本于2018年发布，公司对策划工作的重视度转折点对应惠科电子厂房施工总承包项目，此后经历2018年首次机构改革与组建EPC事业部（P12023）。</w:t>
      </w:r>
    </w:p>
    <w:p>
      <w:r>
        <w:rPr>
          <w:rFonts w:ascii="Calibri" w:hAnsi="Calibri" w:eastAsia="微软雅黑"/>
          <w:b/>
          <w:i w:val="0"/>
          <w:sz w:val="22"/>
        </w:rPr>
        <w:t>推演逻辑。</w:t>
      </w:r>
      <w:r>
        <w:rPr>
          <w:rFonts w:ascii="Calibri" w:hAnsi="Calibri" w:eastAsia="微软雅黑"/>
          <w:b w:val="0"/>
          <w:i w:val="0"/>
          <w:sz w:val="22"/>
        </w:rPr>
        <w:t>[预测] 2026-2029年，这套管控通则将从头部企业的内部范本外溢为行业标准与招标文件的管理条款，EPC技术标评审将出现「管理纲要成熟度」维度——业主查验的不是企业宣传册，而是策划书范本的层级覆盖与迭代记录。[事实] 外溢的理由在于管控要点直指行业通病：界面割裂、前后脱节、互相甩锅、变更失控、工期超期、成本超支（P12014），而这份通病清单与法院争点清单高度重合（见本章趋势十、十一），业主有充分动力把管控条款前置写进合同以降低诉讼敞口。[建议] 企业应把策划书范本、变更留痕模板、统一对外接口清单整理成可出示的投标附件，验证标准是技术标答辩中能现场演示从业主指令到设计变更再到结算调整的留痕链条；若连续三个项目业主未查验此类文件，可暂缓扩容范本团队，把资源转向法院争点对齐的条款库。</w:t>
      </w:r>
    </w:p>
    <w:p>
      <w:r>
        <w:rPr>
          <w:rFonts w:ascii="Calibri" w:hAnsi="Calibri" w:eastAsia="微软雅黑"/>
          <w:b/>
          <w:i w:val="0"/>
          <w:sz w:val="22"/>
        </w:rPr>
        <w:t>反证检验。</w:t>
      </w:r>
      <w:r>
        <w:rPr>
          <w:rFonts w:ascii="Calibri" w:hAnsi="Calibri" w:eastAsia="微软雅黑"/>
          <w:b w:val="0"/>
          <w:i w:val="0"/>
          <w:sz w:val="22"/>
        </w:rPr>
        <w:t xml:space="preserve"> 若2027年后主流EPC招标仍只验资质与业绩、不验管理体系，则标准化外溢延迟。现有反证不足：范本已在局、总承包公司、二级单位三级贯通并持续迭代（P12023）；管控要点的原则条款（P12014）与司法裁判反复确认的留痕规则（P12003、P12031）方向一致，供需两端都有动力。</w:t>
      </w:r>
    </w:p>
    <w:p>
      <w:r>
        <w:rPr>
          <w:rFonts w:ascii="Calibri" w:hAnsi="Calibri" w:eastAsia="微软雅黑"/>
          <w:b/>
          <w:i w:val="0"/>
          <w:sz w:val="22"/>
        </w:rPr>
        <w:t>行动含义与检验清单。</w:t>
      </w:r>
      <w:r>
        <w:rPr>
          <w:rFonts w:ascii="Calibri" w:hAnsi="Calibri" w:eastAsia="微软雅黑"/>
          <w:b w:val="0"/>
          <w:i w:val="0"/>
          <w:sz w:val="22"/>
        </w:rPr>
        <w:t xml:space="preserve"> [事实] 管控要点的落地载体是痕迹：前置评审、过程管控、闭环销项、有据可查，口头指令一律无效（P12014）。[建议] 管理层可以拿一份现成核查表做突击检查，抽任何一个在建EPC项目看三处：业主变更指令是否都走了统一接口——设计、采购、施工不得单独对接业主下发的变更指令（P12014）；材料订货单能否追溯到已锁定的技术参数——先定技术、后定采购、再排施工（P12014）；采购到货计划与施工进度计划是否同源编制——采购未同步对接设计参数与施工进度时，会出现材料规格与图纸不匹配、物资进场时间错乱，要么高价采购推高成本，要么低价选材埋下质量隐患（P12021）。三处全部失守，问题在项目执行层；核查表本身没有这些栏目，问题在总部范本——先修范本，再谈考核。范本迭代可借鉴头部企业的三级贯通经验：局级范本、总承包公司范本、二级单位范本逐层细化并随重大项目的教训滚动更新（P12023）。</w:t>
      </w:r>
    </w:p>
    <w:p>
      <w:pPr>
        <w:pStyle w:val="Heading3"/>
      </w:pPr>
      <w:r>
        <w:t>趋势九：合规与项目管理从两张皮走向嵌入式一体，审查节点进入业务流程</w:t>
      </w:r>
    </w:p>
    <w:p>
      <w:r>
        <w:rPr>
          <w:rFonts w:ascii="Calibri" w:hAnsi="Calibri" w:eastAsia="微软雅黑"/>
          <w:b/>
          <w:i w:val="0"/>
          <w:sz w:val="22"/>
        </w:rPr>
        <w:t>基线事实。</w:t>
      </w:r>
      <w:r>
        <w:rPr>
          <w:rFonts w:ascii="Calibri" w:hAnsi="Calibri" w:eastAsia="微软雅黑"/>
          <w:b w:val="0"/>
          <w:i w:val="0"/>
          <w:sz w:val="22"/>
        </w:rPr>
        <w:t>[事实] 一家能源央企下属储气库公司负责人的自省颇具代表性：「以前我们的合规体系，就像挂在墙上的画，好看是好看，但跟业务跑的是两张皮」；具体症状是风险识别难——海量法规与具体业务对不上号；责任落实难——合规被视为法务部的事；审核流于形式——外部机构只看文件齐不齐（P12022）。[事实] 重塑方案是「三位一体」：给雷达，用「滤镜识别」从海量法规中筛出与储气库业务强相关的风险点，建立动态风险图谱；起抓手，用「重点岗位模型」把合规职责拆解到具体岗位，谁签字、谁负责；装阀门，在采购、合同等关键流程嵌入强制性合规审查节点，不合规流程就走不下去；前置动作是注册会计师与法律专家组成团队驻场调研两周，摸清采购、合同、安全生产等核心业务的真实风险点（P12022）。[事实] 外部压力是国资委《中央企业合规管理办法》的硬性要求（P12022）。</w:t>
      </w:r>
    </w:p>
    <w:p>
      <w:r>
        <w:rPr>
          <w:rFonts w:ascii="Calibri" w:hAnsi="Calibri" w:eastAsia="微软雅黑"/>
          <w:b/>
          <w:i w:val="0"/>
          <w:sz w:val="22"/>
        </w:rPr>
        <w:t>推演逻辑。</w:t>
      </w:r>
      <w:r>
        <w:rPr>
          <w:rFonts w:ascii="Calibri" w:hAnsi="Calibri" w:eastAsia="微软雅黑"/>
          <w:b w:val="0"/>
          <w:i w:val="0"/>
          <w:sz w:val="22"/>
        </w:rPr>
        <w:t>[预测] 2026-2029年，「装阀门」式嵌入式合规将从央企示范扩散到地方国企与大型民企的总包管理体系，合规审查节点将与签证、变更、支付、分包准入四类业务节点绑定，合规岗的考核指标从「文件齐全率」改为「节点拦截质量」。[事实] 这一预测与项目管理通则天然咬合：管控要点本身就要求痕迹化、书面留痕与权责清晰（P12014），嵌入式审查只是给这套留痕体系加了一道事前闸门，而不是另起炉灶。[建议] 企业可先在分包准入与进度款支付两条流程试点嵌入式审查，验证标准是节点拦截率与误拦率同步统计且误拦率低于拦截率；若试点一个季度内拦截条款全部为形式性问题，应回炉重做风险图谱而非扩大嵌入范围，防止「新两张皮」——合规节点沦为第二道盖章。</w:t>
      </w:r>
    </w:p>
    <w:p>
      <w:r>
        <w:rPr>
          <w:rFonts w:ascii="Calibri" w:hAnsi="Calibri" w:eastAsia="微软雅黑"/>
          <w:b/>
          <w:i w:val="0"/>
          <w:sz w:val="22"/>
        </w:rPr>
        <w:t>反证检验。</w:t>
      </w:r>
      <w:r>
        <w:rPr>
          <w:rFonts w:ascii="Calibri" w:hAnsi="Calibri" w:eastAsia="微软雅黑"/>
          <w:b w:val="0"/>
          <w:i w:val="0"/>
          <w:sz w:val="22"/>
        </w:rPr>
        <w:t xml:space="preserve"> 若嵌入式审查在更多企业落地后仍被业务绕行，或审批时长成倍增加而风险事件不降，则「装阀门」不具普适性。现有反证不足：两张皮的三大症状（P12022）与项目管理通病清单（P12014）高度同构——都指向责任悬空与信息断链，嵌入位置与业务堵点天然重合，试点企业已经先跑通（P12022）。</w:t>
      </w:r>
    </w:p>
    <w:p>
      <w:r>
        <w:rPr>
          <w:rFonts w:ascii="Calibri" w:hAnsi="Calibri" w:eastAsia="微软雅黑"/>
          <w:b/>
          <w:i w:val="0"/>
          <w:sz w:val="22"/>
        </w:rPr>
        <w:t>行动含义与检验清单。</w:t>
      </w:r>
      <w:r>
        <w:rPr>
          <w:rFonts w:ascii="Calibri" w:hAnsi="Calibri" w:eastAsia="微软雅黑"/>
          <w:b w:val="0"/>
          <w:i w:val="0"/>
          <w:sz w:val="22"/>
        </w:rPr>
        <w:t xml:space="preserve"> [事实] 合规体系建成之后还有一套可借用的认证节奏：项目受理与合同评审、审核策划与调度、现场审核实施、认证决定与证书颁发、监督审核与再认证五阶段流程，三年认证周期内每年一次监督审核（P12022）。[建议] 建筑企业移植这套逻辑时，建议把「重点岗位模型」直接建在项目经理与商务经理两个岗位上——谁签字、谁负责（P12022），签字权限与动态风险图谱联动；把强制性审查节点优先装在分包准入、变更审批、大额支付三处（对照采购、合同等关键流程的装阀门位置，P12022）。判断阀门是真装上了还是又长出新两张皮，看一个反指标：节点拦截的问题中，属于风险图谱标注过的风险占比越高，说明「给雷达」越准；若拦截清一色是缺盖章缺附件的形式问题，就是合规仍悬在业务之外，应回炉重做风险图谱而非加重处罚——处罚解决不了雷达不准的问题（P12022）。</w:t>
      </w:r>
    </w:p>
    <w:p>
      <w:pPr>
        <w:pStyle w:val="Heading2"/>
      </w:pPr>
      <w:r>
        <w:t>12.4 司法与风控：一体化的责任重排（趋势十至趋势十二）</w:t>
      </w:r>
    </w:p>
    <w:p>
      <w:r>
        <w:rPr>
          <w:rFonts w:ascii="Calibri" w:hAnsi="Calibri" w:eastAsia="微软雅黑"/>
          <w:b w:val="0"/>
          <w:i w:val="0"/>
          <w:sz w:val="22"/>
        </w:rPr>
        <w:t>司法线给前三条线兜底定价。裁判文书是最诚实的一体化教材：合同效力、计价规则、举证格式、链条责任，每一类高频争点都对应企业今天就该改的一个动作。本节三条趋势回答：签约定价的空间、索赔存活的规则、链条风险的账单，未来三年各往哪个方向走。</w:t>
      </w:r>
    </w:p>
    <w:p>
      <w:pPr>
        <w:pStyle w:val="Heading3"/>
      </w:pPr>
      <w:r>
        <w:t>趋势十：EPC合同效力与计价规则裁判口径继续收紧，签约即定价的自留空间缩小</w:t>
      </w:r>
    </w:p>
    <w:p>
      <w:r>
        <w:rPr>
          <w:rFonts w:ascii="Calibri" w:hAnsi="Calibri" w:eastAsia="微软雅黑"/>
          <w:b/>
          <w:i w:val="0"/>
          <w:sz w:val="22"/>
        </w:rPr>
        <w:t>基线事实。</w:t>
      </w:r>
      <w:r>
        <w:rPr>
          <w:rFonts w:ascii="Calibri" w:hAnsi="Calibri" w:eastAsia="微软雅黑"/>
          <w:b w:val="0"/>
          <w:i w:val="0"/>
          <w:sz w:val="22"/>
        </w:rPr>
        <w:t>[事实] （2019）最高法民终1356号案中，电建公司投标总价521965260元并收到中标通知书，而双方签订的EPC总承包合同约定价款为460436515元，承包人上诉主张合同背离中标结果应属无效，另主张欠付工程款131845782元（P12003）。[估计] 中标价与合同价差额61528745元，差率约11.79%（own_calc：521965260−460436515=61528745；61528745÷521965260≈11.79%）。[事实] （2018）云民初168号案中，业主在开标后、中标人落定前三次要求联营体降低投标报价，报价从194351955元先后降至179173980元、175318593元、174318000元后方才中标，联营体据此援引招标投标法主张中标无效，并诉请欠付合同工程款38672952元、各项损失10610000元及暂计利息7756075元（P12027）；[估计] 三次压价合计压掉20033955元，降幅约10.31%（own_calc：194351955−174318000=20033955；20033955÷194351955≈10.31%）。[事实] 计价端，（2019）川32民再2号案再审争点聚焦总价包干工程量能否启动造价鉴定，申请人援引固定价结算不予鉴定的司法解释第22条，案中并出现招标时仅提供基础施工图、施工过程中边施工边提供施工详图、二次复测费用78066元等履行瑕疵（P12026）。[事实] 固定价格的理解分歧由来已久：（2010）新中民一初字第19号案中，双方对「中标价加签证决算」的固定价格与暂定90000000元的合同表述各执一词，原告主张欠付60469100元（P12034）；更早的个案里，三栋厂房宿舍按预算单价逐项计价后整体让利签约——车间1预算造价4111945.39元签至3800000元、车间2预算3993494.48元签至3685000元、宿舍预算6767053.59元签至6500000元，合计13985000元（P12006）；[估计] 三项预算合计14872493.46元，整体让利887493.46元，让利率约5.97%（own_calc：4111945.39+3993494.48+6767053.59=14872493.46；14872493.46−13985000=887493.46；887493.46÷14872493.46≈5.97%）。</w:t>
      </w:r>
    </w:p>
    <w:p>
      <w:r>
        <w:rPr>
          <w:rFonts w:ascii="Calibri" w:hAnsi="Calibri" w:eastAsia="微软雅黑"/>
          <w:b/>
          <w:i w:val="0"/>
          <w:sz w:val="22"/>
        </w:rPr>
        <w:t>推演逻辑。</w:t>
      </w:r>
      <w:r>
        <w:rPr>
          <w:rFonts w:ascii="Calibri" w:hAnsi="Calibri" w:eastAsia="微软雅黑"/>
          <w:b w:val="0"/>
          <w:i w:val="0"/>
          <w:sz w:val="22"/>
        </w:rPr>
        <w:t>[预测] 2026-2029年，EPC招投标合规（中标前压价、实质性背离中标条件）与计价规则（固定总价与鉴定边界）将持续占据争议高地，「先中标、再谈价」的操作空间被裁判规则压缩，倒逼企业把一体化能力前移到报价测算环节而非签约谈判环节。[事实] 结算规则同样在收紧时间与格式：财政部财建（2004）369号《建设工程价款结算暂行办法》确立发包人收到竣工结算报告及完整资料后逾期未提意见视为认可的规则（P12007）；付款节点条款已细化到开工进场后付总价10%、基础完成后付20%、主体完成三层付20%、主体完成付10%、竣工验收合格后付10%、竣工结算审核后付25%、余款5%作保修金满一年后付清（P12025）。节点越密，现金流管理能力越是一体化企业的核心竞争力。</w:t>
      </w:r>
    </w:p>
    <w:p>
      <w:r>
        <w:rPr>
          <w:rFonts w:ascii="Calibri" w:hAnsi="Calibri" w:eastAsia="微软雅黑"/>
          <w:b/>
          <w:i w:val="0"/>
          <w:sz w:val="22"/>
        </w:rPr>
        <w:t>反证检验。</w:t>
      </w:r>
      <w:r>
        <w:rPr>
          <w:rFonts w:ascii="Calibri" w:hAnsi="Calibri" w:eastAsia="微软雅黑"/>
          <w:b w:val="0"/>
          <w:i w:val="0"/>
          <w:sz w:val="22"/>
        </w:rPr>
        <w:t xml:space="preserve"> 若司法解释对固定总价鉴定边界给出更宽松口径，或行政审计介入结算被司法更普遍接纳，则收紧趋势放缓。现有反证不足：本趋势的证据全部来自裁判文书原文（P12003、P12026、P12027、P12034），是已发生而非预测的裁判行为，推演只外推其频率与传播；而背离中标结果的两案价差分别达11.79%与10.31%（own_calc），此类幅度的「事后谈判」在公开裁判的威慑下只会更难立足。</w:t>
      </w:r>
    </w:p>
    <w:p>
      <w:pPr>
        <w:pStyle w:val="Heading3"/>
      </w:pPr>
      <w:r>
        <w:t>趋势十一：窝工与变更损失进入精细化举证时代，过程留痕决定索赔成败</w:t>
      </w:r>
    </w:p>
    <w:p>
      <w:r>
        <w:rPr>
          <w:rFonts w:ascii="Calibri" w:hAnsi="Calibri" w:eastAsia="微软雅黑"/>
          <w:b/>
          <w:i w:val="0"/>
          <w:sz w:val="22"/>
        </w:rPr>
        <w:t>基线事实。</w:t>
      </w:r>
      <w:r>
        <w:rPr>
          <w:rFonts w:ascii="Calibri" w:hAnsi="Calibri" w:eastAsia="微软雅黑"/>
          <w:b w:val="0"/>
          <w:i w:val="0"/>
          <w:sz w:val="22"/>
        </w:rPr>
        <w:t>[事实] （2015）桂民一初字第4号案中，中南电力设计院以EPC方式承建金桂浆纸业动力电厂1、2号机组，合同总价92000万元（设备采购60500万元、服务4665万元、土建安装26835万元），履约中经多轮调整并追加变更费用1288.8979万元后合计91912.3025万元，业主已付84233.2264万元，中南院诉请欠付7679.0761万元、2号机组停窝工18个月损失2090.072万元及逾期利息533.16万元（P12028）；[估计] 已付比例约91.64%（own_calc：84233.2264÷91912.3025≈91.64%），争议焦点集中在尾款与窝工。[事实] （2020）渝01民终第4800号案中，装饰工程工期延误463天，实际工期达合同约定工期的3倍，承包人主张设计图提交延误与设计变更引发返工停工，却因索赔时限与举证问题在一审受挫——法院认为其未按期索赔而使相关权利受损（P12031）。[事实] （2019）最高法民终1356号案中，业主逾期移交施工平台的事实确实存在，但承包人仅提出窝工事实、未按合同约定的方式向业主和监理报送损失金额、停工时长、停工原因的报告，鉴定机构的推算金额因此遭到有力抗辩（P12003）。[事实] 违约金主张的颗粒度同样精细：一案以欠付68136209.77元为基数按每日万分之三主张违约金，并另主张拖延支付进度款产生的利息、损失共计人民币26794045（P12005）；另一案以8576021.90元为基数按年利率24%主张逾期违约金，另主张进度款违约金3883273元、到期质保金2095908.72元、钢筋价差补贴与基础损失合计2037083.08元（P12004）。</w:t>
      </w:r>
    </w:p>
    <w:p>
      <w:r>
        <w:rPr>
          <w:rFonts w:ascii="Calibri" w:hAnsi="Calibri" w:eastAsia="微软雅黑"/>
          <w:b/>
          <w:i w:val="0"/>
          <w:sz w:val="22"/>
        </w:rPr>
        <w:t>推演逻辑。</w:t>
      </w:r>
      <w:r>
        <w:rPr>
          <w:rFonts w:ascii="Calibri" w:hAnsi="Calibri" w:eastAsia="微软雅黑"/>
          <w:b w:val="0"/>
          <w:i w:val="0"/>
          <w:sz w:val="22"/>
        </w:rPr>
        <w:t>[预测] 2026-2029年，「一体化」在司法语境里的含义将越来越多地体现为「留痕一体化」：按合同约定格式、约定时限报送损失报告并取得签收的企业，索赔主张存活率将明显高于事后靠鉴定推算补证据的企业；变更台账、影像记录、会议纪要三件套将成为EPC项目部的标配交付物，与模型交付同等重要。[事实] 三个案件指向同一条规则——事实存在不等于请求成立：移交平台迟了可以认定，窝工损失却因报送程序瑕疵而悬置（P12003）；停窝工18个月的损失能否获偿取决于举证与计价口径（P12028）；延误463天、工期3倍的事实之外还需过索赔时限一关（P12031）。[建议] 企业应把「损失报告模板+报送时限台账」嵌入项目部月度流程，验证标准是每次停工事件发生后合同约定时限内完成报送并留存签收记录；若连续两个项目仍出现超时限报送，应停止依赖事后鉴定策略，将预算转投过程证据管理岗。</w:t>
      </w:r>
    </w:p>
    <w:p>
      <w:r>
        <w:rPr>
          <w:rFonts w:ascii="Calibri" w:hAnsi="Calibri" w:eastAsia="微软雅黑"/>
          <w:b/>
          <w:i w:val="0"/>
          <w:sz w:val="22"/>
        </w:rPr>
        <w:t>反证检验。</w:t>
      </w:r>
      <w:r>
        <w:rPr>
          <w:rFonts w:ascii="Calibri" w:hAnsi="Calibri" w:eastAsia="微软雅黑"/>
          <w:b w:val="0"/>
          <w:i w:val="0"/>
          <w:sz w:val="22"/>
        </w:rPr>
        <w:t xml:space="preserve"> 若法院普遍接受事后鉴定推算作为窝工损失依据，则过程留痕的边际价值下降。现有反证不足：P12003中鉴定推算部分恰是被抗辩的软肋，P12031中承包人因时限与举证受挫，两案方向一致；P12028的高额窝工诉求也须在司法鉴定的框架内逐项检验，无法绕开过程文件。</w:t>
      </w:r>
    </w:p>
    <w:p>
      <w:pPr>
        <w:pStyle w:val="Heading3"/>
      </w:pPr>
      <w:r>
        <w:t>趋势十二：分包与劳务链条风险前置治理，总包兜底责任倒逼链条透明</w:t>
      </w:r>
    </w:p>
    <w:p>
      <w:r>
        <w:rPr>
          <w:rFonts w:ascii="Calibri" w:hAnsi="Calibri" w:eastAsia="微软雅黑"/>
          <w:b/>
          <w:i w:val="0"/>
          <w:sz w:val="22"/>
        </w:rPr>
        <w:t>基线事实。</w:t>
      </w:r>
      <w:r>
        <w:rPr>
          <w:rFonts w:ascii="Calibri" w:hAnsi="Calibri" w:eastAsia="微软雅黑"/>
          <w:b w:val="0"/>
          <w:i w:val="0"/>
          <w:sz w:val="22"/>
        </w:rPr>
        <w:t>[事实] 分包权可以成为诈骗道具：（2019）藏05刑初3号案中，西藏浪卡子光伏并网发电项目由四川电力设计咨询有限责任公司总承包设计施工，被告人伪造中国电建公章与劳务总包合同、虚构分包项目与工程量、伪造国家能源局红头文件，以保证金、业务拓展费名义骗取860万元（其中200万元未遂）（P12024）。[事实] 分包结算失控同样常见：（2013）宝民三（民）初字第458号案中，劳务分包结算金额人民币13，159，890.17元，扣除5%质保金后应付款项12，501，895.66元，总包已付工程款14，778，673.28元、另代缴税金276，782.31元，主张超付工程款3，153，559.93元并要求按鉴定结论返还（P12029）；[估计] 超付额约占结算额23.96%（own_calc：3153559.93÷13159890.17≈23.96%）。[事实] 挂靠与实际施工人纠纷金额更大：（2017）粤0605民初220号案中，原告主张工程劳务费29429235.05元及模板、螺杆等设备工具损失6658434.37元，案涉公司法定代表人持有总包公司70%股权、另间接持有劳务公司60%股权，公司治理与项目承包结构深度缠绕（P12030、P12033）。[事实] 内部人也能在造价审核端打开缺口：一案中公司董事代表公司与承包人签订「逾期未完成审核视同认可」的协议且未向股东会、董事会报告，工程送审造价30636998.18元被审计核减3591240.95元（P12007）；[估计] 核减率约11.72%（own_calc：3591240.95÷30636998.18≈11.72%）。[事实] 履约末端的质保维修同样进入诉讼：一案中发包人主张承包人拒不履行维修义务，在72万元经济损失之外另索第三方维修费117800元（P12032）。</w:t>
      </w:r>
    </w:p>
    <w:p>
      <w:r>
        <w:rPr>
          <w:rFonts w:ascii="Calibri" w:hAnsi="Calibri" w:eastAsia="微软雅黑"/>
          <w:b/>
          <w:i w:val="0"/>
          <w:sz w:val="22"/>
        </w:rPr>
        <w:t>推演逻辑。</w:t>
      </w:r>
      <w:r>
        <w:rPr>
          <w:rFonts w:ascii="Calibri" w:hAnsi="Calibri" w:eastAsia="微软雅黑"/>
          <w:b w:val="0"/>
          <w:i w:val="0"/>
          <w:sz w:val="22"/>
        </w:rPr>
        <w:t>[预测] 2026-2029年，总包企业的风控投入将从「合同审查后置」转向「链条准入前置」：分包权属核验、保证金账户共管、结算与支付节点对账将与嵌入式合规审查节点一样进入流程（P12022的「装阀门」思路在供应链上的复制）。[事实] 权责模糊的后果已被行业复盘点破：设计、采购、施工各方责任划分模糊，分包合同条款粗糙，变更、调价、追责机制约定不清，一旦出事互相推诿，最终所有损失和风险由总包单位兜底承担（P12021）。当司法持续把链条风险判给最有管控能力的一方，透明化就从道德要求变成了财务要求。[建议] 总包应建立分包商权属与保证金双台账，验证标准是新项目开工前完成全链条权属核验并留存共管协议；若年度内核验发现的异常分包为零，说明核验流于形式，应更换核验方式而非取消台账。</w:t>
      </w:r>
    </w:p>
    <w:p>
      <w:r>
        <w:rPr>
          <w:rFonts w:ascii="Calibri" w:hAnsi="Calibri" w:eastAsia="微软雅黑"/>
          <w:b/>
          <w:i w:val="0"/>
          <w:sz w:val="22"/>
        </w:rPr>
        <w:t>反证检验。</w:t>
      </w:r>
      <w:r>
        <w:rPr>
          <w:rFonts w:ascii="Calibri" w:hAnsi="Calibri" w:eastAsia="微软雅黑"/>
          <w:b w:val="0"/>
          <w:i w:val="0"/>
          <w:sz w:val="22"/>
        </w:rPr>
        <w:t xml:space="preserve"> 若司法与行政层面对总包穿透管理均无新要求，且平台化用工工具未普及，则企业缺乏投入动力。现有反证不足：诈骗（P12024）、超付（P12029）、挂靠（P12030、P12033）、内部人失控（P12007）四类真实案件说明链条风险已从「可能」变为「已发生」，损失金额从百万到近千万元量级；总包兜底的行业共识（P12021）则把激励方向指向前置治理。</w:t>
      </w:r>
    </w:p>
    <w:p>
      <w:pPr>
        <w:pStyle w:val="Heading2"/>
      </w:pPr>
      <w:r>
        <w:t>12.5 本章小结与盲区</w:t>
      </w:r>
    </w:p>
    <w:p>
      <w:r>
        <w:rPr>
          <w:rFonts w:ascii="Calibri" w:hAnsi="Calibri" w:eastAsia="微软雅黑"/>
          <w:b/>
          <w:i w:val="0"/>
          <w:sz w:val="22"/>
        </w:rPr>
        <w:t>小结六问。</w:t>
      </w:r>
      <w:r>
        <w:rPr>
          <w:rFonts w:ascii="Calibri" w:hAnsi="Calibri" w:eastAsia="微软雅黑"/>
          <w:b w:val="0"/>
          <w:i w:val="0"/>
          <w:sz w:val="22"/>
        </w:rPr>
        <w:t>其一，证明了什么：十二条趋势全部建立在可回查的证据上——政策文本（P12015）、协会会议与行业组织口径（P12010、P12011、P12012）、标杆项目实测（P12009、P12017、P12019、P12020）、企业方法论（P12001、P12002、P12014、P12021、P12022、P12023）与裁判文书（P12003、P12004、P12005、P12006、P12007、P12024、P12025、P12026、P12027、P12028、P12029、P12030、P12031、P12032、P12033、P12034）五类输入互证；本章输出的是带验证信号与停止条件的推演，不是预言。其二，输入在哪：全部锚号可在弹药库bank_ch12.md按「## P12NNN」逐条回查原文。其三，怎么算：凡跨源或自行计算的比例（11.79%、10.31%、5.97%、91.64%、23.96%、11.72%、约1087倍）均标注own_calc并附算式，正文未出现任何无出处的数字。其四，依赖什么前提：政策连续性——试点转强制不被叫停（P12018）；地方财政与金融工具供给——专项债与政策性金融工具持续投放（P12015）；司法口径不发生方向性回调（P12003、P12026、P12027）。其五，还有什么解释：十二条趋势亦可用「增量收缩下的被动求生」部分解释——企业拥抱一体化未必出于战略远见，而是EPC项目频频亏损、报价内卷之下的自救（P12016、P12021的亏损与放弃叙事支持此解）；这一解释不改变趋势方向，但会改变投入节奏——被动求生者倾向最小化投入，令技术型趋势（趋势四至六）慢于政策型趋势（趋势一至三）。其六，什么证据会改变答案：见反证三问。</w:t>
      </w:r>
    </w:p>
    <w:p>
      <w:r>
        <w:rPr>
          <w:rFonts w:ascii="Calibri" w:hAnsi="Calibri" w:eastAsia="微软雅黑"/>
          <w:b/>
          <w:i w:val="0"/>
          <w:sz w:val="22"/>
        </w:rPr>
        <w:t>反证三问。</w:t>
      </w:r>
      <w:r>
        <w:rPr>
          <w:rFonts w:ascii="Calibri" w:hAnsi="Calibri" w:eastAsia="微软雅黑"/>
          <w:b w:val="0"/>
          <w:i w:val="0"/>
          <w:sz w:val="22"/>
        </w:rPr>
        <w:t>第一问，什么事实会推翻本章判断：政府投资项目招标持续维持软性BIM表述（推翻趋势一）；专项债与政策性金融工具投放失速（推翻趋势二）；城更评分中运营权重持续走低（推翻趋势三）；主流结算仍以造价翻模为依据（推翻趋势四）；定额重新成为强制计价依据（推翻趋势五）；施工碰撞数量无趋势性下降（推翻趋势六）；松散联合体稳定优于法人级融合（推翻趋势七）；招标不验管理体系（推迟趋势八）；嵌入式合规被普遍绕行（推翻趋势九）；新司法解释放宽固定总价鉴定（放缓趋势十、十一）；司法对链条穿透无新要求（推迟趋势十二）。第二问，现有反证为何不足：上述反证目前均无成体系证据链——翻模困境（P12018）描述的是现状阻力而非政策方向；一体化项目亏损复盘（P12021）恰恰强化组织融合的必要性；数十亿级城更项目被放弃（P12016）是运营失衡的代价而非模式否定；裁判收紧（P12003、P12027）是已生效行为而非预测。第三问，哪个未知可能改变读者选择：行业渗透率数据缺失——弹药库未提供EPC与一体化模式的市场份额及逐年渗透率，若该数据实际处于平台期，读者的动作应从「提前投入」调整为「跟随投入」，把资源留给趋势一、趋势十这类已由政策与裁判锁死方向的先手项。</w:t>
      </w:r>
    </w:p>
    <w:p>
      <w:r>
        <w:rPr>
          <w:rFonts w:ascii="Calibri" w:hAnsi="Calibri" w:eastAsia="微软雅黑"/>
          <w:b/>
          <w:i w:val="0"/>
          <w:sz w:val="22"/>
        </w:rPr>
        <w:t>盲区声明（证据未覆盖处，如实交代）。</w:t>
      </w:r>
      <w:r>
        <w:rPr>
          <w:rFonts w:ascii="Calibri" w:hAnsi="Calibri" w:eastAsia="微软雅黑"/>
          <w:b w:val="0"/>
          <w:i w:val="0"/>
          <w:sz w:val="22"/>
        </w:rPr>
        <w:t>第一，无量化渗透率与市场规模时间序列：弹药库未收录一体化项目占比、EPC市场规模的逐年数据，本章对趋势速率的判断只能定性，无法给出百分点级外推，读者不应把方向的可推演误读为「即将普及」。第二，判例时间窗偏旧：所引裁判文书集中在2010-2020年间立案或裁判（P12003、P12025、P12026、P12027、P12028、P12034等），《民法典》及配套司法解释施行后的最新裁判口径未覆盖，趋势十、十一的外推存在规则版本风险。第三，政策样本地域集中：地方政策仅江苏一省（P12015），协会口径属全国性倡议层（P12010、P12011），其余省份的跟进节奏与执行力度未知。第四，企业财务效果无对照数据：双源合一、一模到底、嵌入式合规对企业利润率与结算周期的影响均无财务口径证据（P12002、P12009、P12022只有效果陈述），投入产出的账本章算不出。第五，海外工程维度缺失：一体化模式在海外市场的适用性仅在源文中一笔带过（P12021），本章未对海外趋势做推演。</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