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7 (Apache licensed) using REFERENCE JAXB in Amazon.com Inc. Java 21.0.9 on Linux -->
    <w:p>
      <w:pPr>
        <w:spacing w:before="0" w:after="240" w:line="36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40"/>
        </w:rPr>
        <w:t>06-18 软件工厂Skill升级：从初步想法到商业变现</w:t>
      </w:r>
    </w:p>
    <w:p>
      <w:pPr>
        <w:spacing w:before="240" w:after="80" w:line="360"/>
        <w:ind w:left="120"/>
        <w:jc w:val="left"/>
      </w:pPr>
      <w:r>
        <w:rPr>
          <w:rFonts w:ascii="Times New Roman" w:hAnsi="Times New Roman"/>
          <w:b/>
          <w:i w:val="false"/>
          <w:color w:val="333333"/>
          <w:sz w:val="28"/>
        </w:rPr>
        <w:t>核心概要</w:t>
      </w:r>
    </w:p>
    <w:p>
      <w:pPr>
        <w:spacing w:before="80" w:after="80" w:line="360"/>
        <w:ind w:left="12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该转录稿提出将现有“软件开发全流程Skill”升级为“想法驱动型软件工厂”，支持用户仅输入初步想法（文字或附件），自动完成需求调研、竞品分析、技术方案比对，并生成具备高商业价值与可实施性的“十倍好提案”，最终由CC完成高质量开发与快速变现。</w:t>
      </w:r>
    </w:p>
    <w:p>
      <w:pPr>
        <w:spacing w:before="240" w:after="80" w:line="360"/>
        <w:ind w:left="120"/>
        <w:jc w:val="left"/>
      </w:pPr>
      <w:r>
        <w:rPr>
          <w:rFonts w:ascii="Times New Roman" w:hAnsi="Times New Roman"/>
          <w:b/>
          <w:i w:val="false"/>
          <w:color w:val="333333"/>
          <w:sz w:val="28"/>
        </w:rPr>
        <w:t>主要议题与讨论</w:t>
      </w:r>
    </w:p>
    <w:p>
      <w:pPr>
        <w:spacing w:before="80" w:after="80" w:line="36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主题一：当前Skill的能力边界与瓶颈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当前Skill需用户预先提供明确的开发需求与技术方案，才能启动后续流程。它已长期未维护，部分底层技能模块陈旧，存在适配性下降、API失效或技术栈过时风险。工程师需评估其与当前主流开发范式（如LLM编排、RAG增强检索、自动化测试集成）的兼容性。</w:t>
      </w:r>
    </w:p>
    <w:p>
      <w:pPr>
        <w:spacing w:before="80" w:after="80" w:line="36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主题二：新Skill的核心能力延伸路径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新Skill需支持从“原始想法”出发的端到端智能孵化。关键能力包括：基于微信搜狗搜索抓取真实用户痛点与场景化诉求；在GitHub检索语义相似项目，提取其Issue描述、PR实现逻辑、技术选型与Star演化趋势；结合工程报告研究工厂中已验证的实验方法（如多源交叉验证、方案可行性打分模型），生成结构化提案。</w:t>
      </w:r>
    </w:p>
    <w:p>
      <w:pPr>
        <w:spacing w:before="80" w:after="80" w:line="36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主题三：提案质量与商业闭环设计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提案须同时满足技术可行性、用户价值密度与变现路径清晰度三项标准。“十倍好”定义为：相较同类开源/商用方案，在开发效率、部署成本、扩展性或单位获客成本上实现数量级优化。输出成果需默认支持Docker容器化、CI/CD就绪、API网关接入及基础计费模块（如Stripe集成模板），确保CC开发后可直接上线SaaS化服务。</w:t>
      </w:r>
    </w:p>
    <w:p>
      <w:pPr>
        <w:spacing w:before="80" w:after="80" w:line="36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主题四：技术架构升级与维护机制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需重构原Skill的指令解析层，引入轻量级RAG pipeline对接微信/ GitHub非结构化数据；替换过时的代码生成器（如旧版CodeLlama微调模型）为支持工具调用（Tool Calling）的现代Agent框架（如LangGraph或Microsoft AutoGen）；建立自动化健康检查机制，定期扫描依赖库版本、API可用性与GitHub仓库活跃度，触发告警与降级策略。</w:t>
      </w:r>
    </w:p>
    <w:p>
      <w:pPr>
        <w:spacing w:before="240" w:after="80" w:line="360"/>
        <w:ind w:left="120"/>
        <w:jc w:val="left"/>
      </w:pPr>
      <w:r>
        <w:rPr>
          <w:rFonts w:ascii="Times New Roman" w:hAnsi="Times New Roman"/>
          <w:b/>
          <w:i w:val="false"/>
          <w:color w:val="333333"/>
          <w:sz w:val="28"/>
        </w:rPr>
        <w:t>深度洞察</w:t>
      </w:r>
    </w:p>
    <w:p>
      <w:pPr>
        <w:numPr>
          <w:ilvl w:val="0"/>
          <w:numId w:val="1"/>
        </w:numPr>
        <w:spacing w:before="40" w:after="40" w:line="36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洞察一：原始想法的语义歧义是最大落地风险点</w:t>
      </w:r>
    </w:p>
    <w:p>
      <w:pPr>
        <w:numPr>
          <w:ilvl w:val="1"/>
          <w:numId w:val="1"/>
        </w:numPr>
        <w:spacing w:before="40" w:after="40" w:line="36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用户录音转文字常含口语冗余、指代模糊（如“那个按钮要快一点”）、隐性约束（如“必须兼容IE11”未明说）。建议在首阶段嵌入“想法澄清Agent”，通过3轮以内结构化追问（目标用户、核心场景、不可妥协条件）生成标准化Prompt Seed，再进入调研流程。</w:t>
      </w:r>
    </w:p>
    <w:p>
      <w:pPr>
        <w:numPr>
          <w:ilvl w:val="0"/>
          <w:numId w:val="1"/>
        </w:numPr>
        <w:spacing w:before="40" w:after="40" w:line="36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洞察二：GitHub检索不能仅依赖关键词匹配，需融合多维信号建模</w:t>
      </w:r>
    </w:p>
    <w:p>
      <w:pPr>
        <w:numPr>
          <w:ilvl w:val="1"/>
          <w:numId w:val="2"/>
        </w:numPr>
        <w:spacing w:before="40" w:after="40" w:line="36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单纯按项目名/Readme匹配易漏判。应联合分析：Issue标题情感极性（识别真实痛点）、最近3个月Fork/Star增速拐点、CI失败率趋势、Contributor地理分布（判断社区可持续性）。这些信号可构成“方案成熟度指数”，用于加权排序提案技术选型。</w:t>
      </w:r>
    </w:p>
    <w:p>
      <w:pPr>
        <w:numPr>
          <w:ilvl w:val="0"/>
          <w:numId w:val="1"/>
        </w:numPr>
        <w:spacing w:before="40" w:after="40" w:line="36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洞察三：“变现就绪”需前置到设计阶段，而非开发后补足</w:t>
      </w:r>
    </w:p>
    <w:p>
      <w:pPr>
        <w:numPr>
          <w:ilvl w:val="1"/>
          <w:numId w:val="3"/>
        </w:numPr>
        <w:spacing w:before="40" w:after="40" w:line="36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当前多数AI开发工具止步于MVP交付。建议在提案生成环节强制注入“商业化元信息”：自动标注目标定价模型（订阅制/用量计费）、预估合规成本（GDPR/等保三级）、推荐最小可行收费界面（如Stripe Checkout嵌入位置与埋点字段），使CC开发即带商业DNA。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</w:abstractNum>
  <w:num w:numId="1">
    <w:abstractNumId w:val="1"/>
  </w:num>
  <w:num w:numId="2">
    <w:abstractNumId w:val="1"/>
    <w:lvlOverride w:ilvl="1">
      <w:startOverride w:val="1"/>
      <w:lvl w:ilvl="1">
        <w:numFmt w:val="bullet"/>
        <w:lvlText w:val="o"/>
        <w:pPr>
          <w:ind w:left="1080" w:hanging="360"/>
        </w:pPr>
        <w:rPr>
          <w:rFonts w:hint="default" w:ascii="Courier New" w:hAnsi="Courier New" w:cs="Courier New"/>
        </w:rPr>
      </w:lvl>
    </w:lvlOverride>
  </w:num>
  <w:num w:numId="3">
    <w:abstractNumId w:val="1"/>
    <w:lvlOverride w:ilvl="1">
      <w:startOverride w:val="1"/>
      <w:lvl w:ilvl="1">
        <w:numFmt w:val="bullet"/>
        <w:lvlText w:val="o"/>
        <w:pPr>
          <w:ind w:left="1080" w:hanging="360"/>
        </w:pPr>
        <w:rPr>
          <w:rFonts w:hint="default" w:ascii="Courier New" w:hAnsi="Courier New" w:cs="Courier New"/>
        </w:rPr>
      </w:lvl>
    </w:lvlOverride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viaim</dc:creator>
  <cp:lastModifiedBy>viaim</cp:lastModifiedBy>
</cp:coreProperties>
</file>