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根因分析</w:t>
      </w:r>
    </w:p>
    <w:p>
      <w:pPr>
        <w:spacing w:after="50" w:line="360" w:lineRule="auto" w:beforeLines="100"/>
        <w:ind w:left="0"/>
        <w:jc w:val="left"/>
      </w:pPr>
      <w:bookmarkStart w:name="uf52d6fc3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📎技术创新实现方案.docx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uque.com/attachments/yuque/0/2025/docx/43278603/1751520822065-ade7d85c-5b44-4252-b9c0-846b0f273ecd.docx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