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C5F649">
      <w:pPr>
        <w:jc w:val="center"/>
        <w:rPr>
          <w:rFonts w:eastAsia="楷体"/>
          <w:sz w:val="28"/>
          <w:szCs w:val="28"/>
        </w:rPr>
      </w:pPr>
      <w:r>
        <w:rPr>
          <w:rFonts w:eastAsia="楷体"/>
          <w:sz w:val="28"/>
          <w:szCs w:val="28"/>
        </w:rPr>
        <w:t>深圳大学考试答题纸</w:t>
      </w:r>
    </w:p>
    <w:p w14:paraId="2B860A64">
      <w:pPr>
        <w:jc w:val="center"/>
        <w:rPr>
          <w:rFonts w:eastAsia="楷体"/>
          <w:sz w:val="24"/>
        </w:rPr>
      </w:pPr>
      <w:r>
        <w:rPr>
          <w:rFonts w:eastAsia="楷体"/>
          <w:sz w:val="24"/>
        </w:rPr>
        <w:t>(以论文、报告等形式考核专用)</w:t>
      </w:r>
    </w:p>
    <w:p w14:paraId="504956D3">
      <w:pPr>
        <w:jc w:val="center"/>
        <w:rPr>
          <w:rFonts w:eastAsia="楷体"/>
          <w:sz w:val="24"/>
        </w:rPr>
      </w:pPr>
      <w:r>
        <w:rPr>
          <w:rFonts w:eastAsia="楷体"/>
          <w:sz w:val="24"/>
          <w:lang w:val="zh-TW" w:eastAsia="zh-TW"/>
        </w:rPr>
        <w:t>202</w:t>
      </w:r>
      <w:r>
        <w:rPr>
          <w:rFonts w:hint="eastAsia" w:eastAsia="楷体"/>
          <w:sz w:val="24"/>
        </w:rPr>
        <w:t>6</w:t>
      </w:r>
      <w:r>
        <w:rPr>
          <w:rFonts w:eastAsia="楷体"/>
          <w:sz w:val="24"/>
          <w:lang w:val="zh-TW" w:eastAsia="zh-TW"/>
        </w:rPr>
        <w:t>-202</w:t>
      </w:r>
      <w:r>
        <w:rPr>
          <w:rFonts w:hint="eastAsia" w:eastAsia="楷体"/>
          <w:sz w:val="24"/>
        </w:rPr>
        <w:t>7</w:t>
      </w:r>
      <w:r>
        <w:rPr>
          <w:rFonts w:eastAsia="楷体"/>
          <w:sz w:val="24"/>
          <w:lang w:val="zh-TW" w:eastAsia="zh-TW"/>
        </w:rPr>
        <w:t>学年度第</w:t>
      </w:r>
      <w:r>
        <w:rPr>
          <w:rFonts w:eastAsia="楷体"/>
          <w:sz w:val="24"/>
        </w:rPr>
        <w:t>一</w:t>
      </w:r>
      <w:r>
        <w:rPr>
          <w:rFonts w:eastAsia="楷体"/>
          <w:sz w:val="24"/>
          <w:lang w:val="zh-TW" w:eastAsia="zh-TW"/>
        </w:rPr>
        <w:t>学期</w:t>
      </w:r>
    </w:p>
    <w:tbl>
      <w:tblPr>
        <w:tblStyle w:val="5"/>
        <w:tblW w:w="9362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5"/>
        <w:gridCol w:w="78"/>
        <w:gridCol w:w="836"/>
        <w:gridCol w:w="244"/>
        <w:gridCol w:w="607"/>
        <w:gridCol w:w="414"/>
        <w:gridCol w:w="11"/>
        <w:gridCol w:w="1089"/>
        <w:gridCol w:w="1539"/>
        <w:gridCol w:w="149"/>
        <w:gridCol w:w="1145"/>
        <w:gridCol w:w="1039"/>
        <w:gridCol w:w="709"/>
        <w:gridCol w:w="427"/>
      </w:tblGrid>
      <w:tr w14:paraId="0451C5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075" w:type="dxa"/>
            <w:vAlign w:val="center"/>
          </w:tcPr>
          <w:p w14:paraId="2894B4D8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课程编号</w:t>
            </w:r>
          </w:p>
        </w:tc>
        <w:tc>
          <w:tcPr>
            <w:tcW w:w="914" w:type="dxa"/>
            <w:gridSpan w:val="2"/>
            <w:tcBorders>
              <w:bottom w:val="single" w:color="auto" w:sz="4" w:space="0"/>
            </w:tcBorders>
            <w:vAlign w:val="center"/>
          </w:tcPr>
          <w:p w14:paraId="6BEA944A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1504660001</w:t>
            </w:r>
          </w:p>
        </w:tc>
        <w:tc>
          <w:tcPr>
            <w:tcW w:w="851" w:type="dxa"/>
            <w:gridSpan w:val="2"/>
            <w:vAlign w:val="center"/>
          </w:tcPr>
          <w:p w14:paraId="2147C236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课序号</w:t>
            </w:r>
          </w:p>
        </w:tc>
        <w:tc>
          <w:tcPr>
            <w:tcW w:w="425" w:type="dxa"/>
            <w:gridSpan w:val="2"/>
            <w:tcBorders>
              <w:bottom w:val="single" w:color="auto" w:sz="4" w:space="0"/>
            </w:tcBorders>
            <w:vAlign w:val="center"/>
          </w:tcPr>
          <w:p w14:paraId="58F257AD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1</w:t>
            </w:r>
          </w:p>
        </w:tc>
        <w:tc>
          <w:tcPr>
            <w:tcW w:w="1089" w:type="dxa"/>
            <w:vAlign w:val="center"/>
          </w:tcPr>
          <w:p w14:paraId="641A5B51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课程名称</w:t>
            </w:r>
          </w:p>
        </w:tc>
        <w:tc>
          <w:tcPr>
            <w:tcW w:w="1688" w:type="dxa"/>
            <w:gridSpan w:val="2"/>
            <w:tcBorders>
              <w:bottom w:val="single" w:color="auto" w:sz="4" w:space="0"/>
            </w:tcBorders>
            <w:vAlign w:val="center"/>
          </w:tcPr>
          <w:p w14:paraId="622E199A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自然语言处理</w:t>
            </w:r>
          </w:p>
        </w:tc>
        <w:tc>
          <w:tcPr>
            <w:tcW w:w="1145" w:type="dxa"/>
            <w:tcBorders>
              <w:left w:val="nil"/>
            </w:tcBorders>
            <w:vAlign w:val="center"/>
          </w:tcPr>
          <w:p w14:paraId="1D99075B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主讲教师</w:t>
            </w:r>
          </w:p>
        </w:tc>
        <w:tc>
          <w:tcPr>
            <w:tcW w:w="1039" w:type="dxa"/>
            <w:tcBorders>
              <w:left w:val="nil"/>
              <w:bottom w:val="single" w:color="auto" w:sz="4" w:space="0"/>
            </w:tcBorders>
            <w:vAlign w:val="center"/>
          </w:tcPr>
          <w:p w14:paraId="12BC02CE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陈俊扬</w:t>
            </w:r>
          </w:p>
        </w:tc>
        <w:tc>
          <w:tcPr>
            <w:tcW w:w="709" w:type="dxa"/>
            <w:vAlign w:val="center"/>
          </w:tcPr>
          <w:p w14:paraId="51C45D05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评分</w:t>
            </w:r>
          </w:p>
        </w:tc>
        <w:tc>
          <w:tcPr>
            <w:tcW w:w="427" w:type="dxa"/>
            <w:tcBorders>
              <w:bottom w:val="single" w:color="auto" w:sz="4" w:space="0"/>
            </w:tcBorders>
            <w:vAlign w:val="center"/>
          </w:tcPr>
          <w:p w14:paraId="75316DE4">
            <w:pPr>
              <w:rPr>
                <w:rFonts w:eastAsia="楷体"/>
                <w:szCs w:val="21"/>
              </w:rPr>
            </w:pPr>
          </w:p>
        </w:tc>
      </w:tr>
      <w:tr w14:paraId="382E35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075" w:type="dxa"/>
            <w:vAlign w:val="bottom"/>
          </w:tcPr>
          <w:p w14:paraId="500B1661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学号</w:t>
            </w:r>
          </w:p>
        </w:tc>
        <w:tc>
          <w:tcPr>
            <w:tcW w:w="1158" w:type="dxa"/>
            <w:gridSpan w:val="3"/>
            <w:tcBorders>
              <w:bottom w:val="single" w:color="auto" w:sz="4" w:space="0"/>
            </w:tcBorders>
            <w:vAlign w:val="bottom"/>
          </w:tcPr>
          <w:p w14:paraId="5466674C">
            <w:pPr>
              <w:rPr>
                <w:rFonts w:hint="default" w:eastAsia="楷体"/>
                <w:szCs w:val="21"/>
                <w:lang w:val="en-US" w:eastAsia="zh-CN"/>
              </w:rPr>
            </w:pPr>
            <w:r>
              <w:rPr>
                <w:rFonts w:hint="eastAsia" w:eastAsia="宋体" w:ascii="Times New Roman" w:hAnsi="Times New Roman"/>
                <w:b w:val="0"/>
                <w:color w:val="000000"/>
                <w:sz w:val="18"/>
                <w:szCs w:val="21"/>
                <w:lang w:val="en-US" w:eastAsia="zh-CN"/>
              </w:rPr>
              <w:t>2025150266</w:t>
            </w:r>
          </w:p>
        </w:tc>
        <w:tc>
          <w:tcPr>
            <w:tcW w:w="1021" w:type="dxa"/>
            <w:gridSpan w:val="2"/>
            <w:vAlign w:val="bottom"/>
          </w:tcPr>
          <w:p w14:paraId="7795A333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姓名</w:t>
            </w:r>
          </w:p>
        </w:tc>
        <w:tc>
          <w:tcPr>
            <w:tcW w:w="1100" w:type="dxa"/>
            <w:gridSpan w:val="2"/>
            <w:tcBorders>
              <w:bottom w:val="single" w:color="auto" w:sz="4" w:space="0"/>
            </w:tcBorders>
            <w:vAlign w:val="bottom"/>
          </w:tcPr>
          <w:p w14:paraId="42A2DE81">
            <w:pPr>
              <w:rPr>
                <w:rFonts w:hint="eastAsia" w:eastAsia="楷体"/>
                <w:szCs w:val="21"/>
                <w:lang w:val="en-US" w:eastAsia="zh-CN"/>
              </w:rPr>
            </w:pPr>
            <w:r>
              <w:rPr>
                <w:rFonts w:hint="eastAsia" w:eastAsia="楷体"/>
                <w:szCs w:val="21"/>
                <w:lang w:val="en-US" w:eastAsia="zh-CN"/>
              </w:rPr>
              <w:t>黄宇科</w:t>
            </w:r>
          </w:p>
        </w:tc>
        <w:tc>
          <w:tcPr>
            <w:tcW w:w="1539" w:type="dxa"/>
            <w:tcBorders>
              <w:left w:val="nil"/>
            </w:tcBorders>
            <w:vAlign w:val="bottom"/>
          </w:tcPr>
          <w:p w14:paraId="7D3EC1D1">
            <w:pPr>
              <w:rPr>
                <w:rFonts w:eastAsia="楷体"/>
                <w:szCs w:val="21"/>
              </w:rPr>
            </w:pPr>
            <w:r>
              <w:rPr>
                <w:rFonts w:eastAsia="楷体"/>
                <w:szCs w:val="21"/>
              </w:rPr>
              <w:t>专业年级</w:t>
            </w:r>
          </w:p>
        </w:tc>
        <w:tc>
          <w:tcPr>
            <w:tcW w:w="3469" w:type="dxa"/>
            <w:gridSpan w:val="5"/>
            <w:tcBorders>
              <w:bottom w:val="single" w:color="auto" w:sz="4" w:space="0"/>
            </w:tcBorders>
            <w:vAlign w:val="bottom"/>
          </w:tcPr>
          <w:p>
            <w:pPr>
              <w:spacing w:after="4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计算机科学与技术 2025级05班</w:t>
            </w:r>
          </w:p>
        </w:tc>
      </w:tr>
      <w:tr w14:paraId="4EF0145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" w:hRule="exact"/>
          <w:jc w:val="center"/>
        </w:trPr>
        <w:tc>
          <w:tcPr>
            <w:tcW w:w="9362" w:type="dxa"/>
            <w:gridSpan w:val="14"/>
            <w:tcBorders>
              <w:bottom w:val="single" w:color="auto" w:sz="4" w:space="0"/>
            </w:tcBorders>
            <w:vAlign w:val="bottom"/>
          </w:tcPr>
          <w:p w14:paraId="5FD6CFD5">
            <w:pPr>
              <w:rPr>
                <w:rFonts w:eastAsia="楷体"/>
                <w:sz w:val="24"/>
              </w:rPr>
            </w:pPr>
          </w:p>
        </w:tc>
      </w:tr>
      <w:tr w14:paraId="6305CA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6" w:hRule="atLeast"/>
          <w:jc w:val="center"/>
        </w:trPr>
        <w:tc>
          <w:tcPr>
            <w:tcW w:w="9362" w:type="dxa"/>
            <w:gridSpan w:val="14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</w:tcPr>
          <w:p w14:paraId="6B483D84">
            <w:pPr>
              <w:pStyle w:val="10"/>
              <w:spacing w:line="360" w:lineRule="auto"/>
              <w:rPr>
                <w:rFonts w:hint="default" w:ascii="Times New Roman" w:hAnsi="Times New Roman" w:eastAsia="楷体" w:cs="Times New Roman"/>
                <w:sz w:val="22"/>
                <w:szCs w:val="22"/>
                <w:lang w:val="zh-TW" w:eastAsia="zh-TW"/>
              </w:rPr>
            </w:pPr>
            <w:r>
              <w:rPr>
                <w:rFonts w:ascii="Times New Roman" w:hAnsi="Times New Roman" w:eastAsia="楷体" w:cs="Times New Roman"/>
                <w:sz w:val="22"/>
                <w:szCs w:val="22"/>
                <w:lang w:eastAsia="zh-CN"/>
              </w:rPr>
              <w:t>作业说明</w:t>
            </w:r>
            <w:r>
              <w:rPr>
                <w:rFonts w:hint="default" w:ascii="Times New Roman" w:hAnsi="Times New Roman" w:eastAsia="楷体" w:cs="Times New Roman"/>
                <w:sz w:val="22"/>
                <w:szCs w:val="22"/>
                <w:lang w:val="zh-TW" w:eastAsia="zh-TW"/>
              </w:rPr>
              <w:t>：</w:t>
            </w:r>
          </w:p>
          <w:p w14:paraId="4D6CE5D7">
            <w:pPr>
              <w:spacing w:after="30"/>
              <w:ind w:firstLine="440" w:firstLineChars="200"/>
              <w:rPr>
                <w:rFonts w:eastAsia="楷体"/>
                <w:color w:val="FF0000"/>
                <w:sz w:val="22"/>
                <w:szCs w:val="22"/>
              </w:rPr>
            </w:pPr>
            <w:r>
              <w:rPr>
                <w:rFonts w:eastAsia="楷体"/>
                <w:color w:val="000000"/>
                <w:sz w:val="22"/>
                <w:szCs w:val="22"/>
              </w:rPr>
              <w:t>本次大作业在“对话问答回避检测与跨场景迁移分析”实验基础上完成。任务继续使用 QEvasion数据集</w:t>
            </w:r>
            <w:r>
              <w:rPr>
                <w:rFonts w:hint="eastAsia" w:eastAsia="楷体"/>
                <w:color w:val="000000"/>
                <w:sz w:val="22"/>
                <w:szCs w:val="22"/>
              </w:rPr>
              <w:t>(https://huggingface.co/datasets/ailsntua/QEvasion)</w:t>
            </w:r>
            <w:r>
              <w:rPr>
                <w:rFonts w:eastAsia="楷体"/>
                <w:color w:val="000000"/>
                <w:sz w:val="22"/>
                <w:szCs w:val="22"/>
              </w:rPr>
              <w:t>，迁移任务沿用实验中已选择的 QNLI、LCQMC、WildGuardMix 或 EZ-STANCE 之一作为数据集。</w:t>
            </w:r>
            <w:r>
              <w:rPr>
                <w:rFonts w:eastAsia="楷体"/>
                <w:color w:val="FF0000"/>
                <w:sz w:val="22"/>
                <w:szCs w:val="22"/>
              </w:rPr>
              <w:t>大作业的新增工作为：将已有实验组织为完整研究问题，并从下列三项扩展中任选一项完成。</w:t>
            </w:r>
          </w:p>
          <w:p w14:paraId="65BA50BB">
            <w:pPr>
              <w:spacing w:after="8"/>
              <w:ind w:left="18" w:firstLine="402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标签层级：结合 clarity_label 与 evasion_label，完成粗粒度—细粒度一致性或辅助分类分析。</w:t>
            </w:r>
          </w:p>
          <w:p w14:paraId="37B7F7CA">
            <w:pPr>
              <w:spacing w:after="8"/>
              <w:ind w:left="18" w:firstLine="402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数据效率：在迁移数据上比较少量标注数据与完整训练数据的效果，如 10%、30% 和 100%。</w:t>
            </w:r>
          </w:p>
          <w:p w14:paraId="27A9E2C4">
            <w:pPr>
              <w:keepNext/>
              <w:spacing w:before="44" w:after="2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>一 背景介绍与研究问题（20分）</w:t>
            </w:r>
          </w:p>
          <w:p w14:paraId="3B6D3FA3">
            <w:pPr>
              <w:spacing w:after="16"/>
              <w:ind w:firstLine="440" w:firstLineChars="20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color w:val="000000"/>
                <w:sz w:val="22"/>
                <w:szCs w:val="22"/>
              </w:rPr>
              <w:t>该部分不少于两页，需从实验任务出发形成明确的研究问题。（</w:t>
            </w:r>
            <w:r>
              <w:rPr>
                <w:rFonts w:eastAsia="楷体"/>
                <w:color w:val="FF0000"/>
                <w:sz w:val="22"/>
                <w:szCs w:val="22"/>
              </w:rPr>
              <w:t>论述需要有参考文献，注意参考文献的引用格式</w:t>
            </w:r>
            <w:r>
              <w:rPr>
                <w:rFonts w:eastAsia="楷体"/>
                <w:color w:val="000000"/>
                <w:sz w:val="22"/>
                <w:szCs w:val="22"/>
              </w:rPr>
              <w:t>）</w:t>
            </w:r>
          </w:p>
          <w:p w14:paraId="692F2029">
            <w:pPr>
              <w:spacing w:after="9"/>
              <w:ind w:left="238" w:firstLine="182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说明回答清晰度、回避策略及其在访谈、客服或安全对话中的意义。</w:t>
            </w:r>
          </w:p>
          <w:p w14:paraId="4FF1BDD4">
            <w:pPr>
              <w:spacing w:after="9"/>
              <w:ind w:left="238" w:firstLine="182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介绍 QEvasion 与所选迁移数据，说明两类任务的共同输入结构和标签差异。</w:t>
            </w:r>
          </w:p>
          <w:p w14:paraId="080C4E4D">
            <w:pPr>
              <w:spacing w:after="9"/>
              <w:ind w:left="238" w:firstLine="182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提出三个问题：基础模型表现、跨场景迁移边界、所选扩展任务的预期结论。</w:t>
            </w:r>
          </w:p>
          <w:p w14:paraId="5B24A31B">
            <w:pPr>
              <w:spacing w:after="9"/>
              <w:ind w:left="238" w:firstLine="182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说明本任务与普通情感分类的区别，并分析类别不均衡与来源泄漏风险。</w:t>
            </w:r>
          </w:p>
          <w:p w14:paraId="2792396C">
            <w:pPr>
              <w:keepNext/>
              <w:spacing w:before="44" w:after="2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>二 相关工作的优缺点总结（10分）</w:t>
            </w:r>
          </w:p>
          <w:p w14:paraId="2FB1AC51">
            <w:pPr>
              <w:spacing w:after="16"/>
              <w:ind w:firstLine="440" w:firstLineChars="20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color w:val="000000"/>
                <w:sz w:val="22"/>
                <w:szCs w:val="22"/>
              </w:rPr>
              <w:t>该部分不少于一页，可直接沿用实验阶段已经阅读的论文。</w:t>
            </w:r>
          </w:p>
          <w:p w14:paraId="4E2C6F39">
            <w:pPr>
              <w:spacing w:after="9"/>
              <w:ind w:left="18" w:firstLine="402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以 Thomas 等人的 QEvasion 论文为起点，补充实验中已选择的近期 ACL、EMNLP 或 AAAI 方法。</w:t>
            </w:r>
          </w:p>
          <w:p w14:paraId="19B3C8B5">
            <w:pPr>
              <w:spacing w:after="9"/>
              <w:ind w:left="18" w:firstLine="402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比较传统特征、预训练表示和跨场景迁移方法的适用条件与不足。</w:t>
            </w:r>
          </w:p>
          <w:p w14:paraId="212789EB">
            <w:pPr>
              <w:spacing w:after="9"/>
              <w:ind w:left="18" w:firstLine="402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说明所选扩展针对哪一项不足，不要求额外复现复杂论文模型。</w:t>
            </w:r>
          </w:p>
          <w:p w14:paraId="04E2BEC3">
            <w:pPr>
              <w:keepNext/>
              <w:spacing w:before="44" w:after="2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>三 模型方法与扩展设计（20分）</w:t>
            </w:r>
          </w:p>
          <w:p w14:paraId="09BCEFC6">
            <w:pPr>
              <w:spacing w:after="16"/>
              <w:ind w:firstLine="418" w:firstLineChars="19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color w:val="000000"/>
                <w:sz w:val="22"/>
                <w:szCs w:val="22"/>
              </w:rPr>
              <w:t>该部分不少于一页，重点解释已有流程如何支持大作业研究问题。</w:t>
            </w:r>
          </w:p>
          <w:p w14:paraId="3047237F">
            <w:pPr>
              <w:spacing w:after="9"/>
              <w:ind w:firstLine="420" w:firstLineChars="19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保留 TF-IDF 加逻辑回归和一种预训练表示或句对微调方法，统一数据划分、标签映射与指标。</w:t>
            </w:r>
          </w:p>
          <w:p w14:paraId="34298B31">
            <w:pPr>
              <w:spacing w:after="9"/>
              <w:ind w:firstLine="420" w:firstLineChars="19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bCs/>
                <w:color w:val="000000"/>
                <w:sz w:val="22"/>
                <w:szCs w:val="22"/>
              </w:rPr>
              <w:t>举例</w:t>
            </w:r>
            <w:r>
              <w:rPr>
                <w:rFonts w:eastAsia="楷体"/>
                <w:color w:val="000000"/>
                <w:sz w:val="22"/>
                <w:szCs w:val="22"/>
              </w:rPr>
              <w:t>说明 text_a（源数据集）、text_b（迁移数据集）、label字段适配器，以及从原任务迁移到新场景时的修改。</w:t>
            </w:r>
          </w:p>
          <w:p w14:paraId="38CD984A">
            <w:pPr>
              <w:spacing w:after="9"/>
              <w:ind w:firstLine="420" w:firstLineChars="19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FF0000"/>
                <w:sz w:val="22"/>
                <w:szCs w:val="22"/>
              </w:rPr>
              <w:t>完整描述所选扩展的假设、实现步骤和比较设置；只需完成一项扩展</w:t>
            </w:r>
            <w:r>
              <w:rPr>
                <w:rFonts w:eastAsia="楷体"/>
                <w:color w:val="000000"/>
                <w:sz w:val="22"/>
                <w:szCs w:val="22"/>
              </w:rPr>
              <w:t>。</w:t>
            </w:r>
          </w:p>
          <w:p w14:paraId="42581F48">
            <w:pPr>
              <w:spacing w:after="9"/>
              <w:ind w:firstLine="420" w:firstLineChars="19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记录训练参数，保证结果可重复。</w:t>
            </w:r>
          </w:p>
          <w:p w14:paraId="49B4E32C">
            <w:pPr>
              <w:keepNext/>
              <w:spacing w:before="44" w:after="2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>四 实验结果与综合分析（30分）</w:t>
            </w:r>
          </w:p>
          <w:p w14:paraId="3B7BFCE8">
            <w:pPr>
              <w:spacing w:after="16"/>
              <w:ind w:firstLine="418" w:firstLineChars="19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color w:val="000000"/>
                <w:sz w:val="22"/>
                <w:szCs w:val="22"/>
              </w:rPr>
              <w:t>该部分不少于三页。实验报告中的原任务结果和迁移结果可以直接复用，但需围绕统一研究问题重新组织。</w:t>
            </w:r>
          </w:p>
          <w:p w14:paraId="1EA215AB">
            <w:pPr>
              <w:spacing w:after="9"/>
              <w:ind w:firstLine="420" w:firstLineChars="19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报告多数类基线、TF-IDF 基线和预训练模型的 Accuracy、Macro-F1 与类别级指标。</w:t>
            </w:r>
          </w:p>
          <w:p w14:paraId="4B25FC3D">
            <w:pPr>
              <w:ind w:firstLine="420" w:firstLineChars="190"/>
              <w:rPr>
                <w:rFonts w:eastAsia="楷体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color w:val="000000"/>
                <w:sz w:val="22"/>
                <w:szCs w:val="22"/>
              </w:rPr>
              <w:t>展示迁移数据上的直接复用与适配结果，并补充所选扩展的一组对比实验。</w:t>
            </w:r>
          </w:p>
          <w:p w14:paraId="0B4A9611">
            <w:pPr>
              <w:spacing w:after="9"/>
              <w:ind w:firstLine="418" w:firstLineChars="190"/>
              <w:rPr>
                <w:rFonts w:eastAsia="楷体"/>
                <w:b/>
                <w:color w:val="000000"/>
                <w:sz w:val="22"/>
                <w:szCs w:val="22"/>
              </w:rPr>
            </w:pPr>
            <w:r>
              <w:rPr>
                <w:rFonts w:eastAsia="楷体"/>
                <w:bCs/>
                <w:color w:val="000000"/>
                <w:sz w:val="22"/>
                <w:szCs w:val="22"/>
              </w:rPr>
              <w:t>•</w:t>
            </w: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 给出案例分析，比如分析五个误判样本。</w:t>
            </w:r>
          </w:p>
          <w:p w14:paraId="476BBEDA">
            <w:pPr>
              <w:spacing w:after="9"/>
              <w:ind w:firstLine="420" w:firstLineChars="190"/>
              <w:rPr>
                <w:rFonts w:eastAsia="楷体"/>
                <w:color w:val="000000"/>
                <w:sz w:val="22"/>
                <w:szCs w:val="22"/>
              </w:rPr>
            </w:pP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• </w:t>
            </w:r>
            <w:r>
              <w:rPr>
                <w:rFonts w:eastAsia="楷体"/>
                <w:bCs/>
                <w:color w:val="000000"/>
                <w:sz w:val="22"/>
                <w:szCs w:val="22"/>
              </w:rPr>
              <w:t>分析</w:t>
            </w:r>
            <w:r>
              <w:rPr>
                <w:rFonts w:eastAsia="楷体"/>
                <w:color w:val="000000"/>
                <w:sz w:val="22"/>
                <w:szCs w:val="22"/>
              </w:rPr>
              <w:t>性能变化来自数据分布、标签边界、来源群体还是模型表示，并说明结论的适用范围。</w:t>
            </w:r>
          </w:p>
          <w:p w14:paraId="0B857F46">
            <w:pPr>
              <w:spacing w:after="9"/>
              <w:ind w:firstLine="418" w:firstLineChars="190"/>
              <w:rPr>
                <w:rFonts w:eastAsia="楷体"/>
                <w:color w:val="000000"/>
                <w:sz w:val="22"/>
                <w:szCs w:val="22"/>
              </w:rPr>
            </w:pPr>
          </w:p>
          <w:p w14:paraId="1B705E40">
            <w:pPr>
              <w:spacing w:line="320" w:lineRule="exact"/>
              <w:jc w:val="left"/>
              <w:rPr>
                <w:rFonts w:eastAsia="楷体"/>
                <w:sz w:val="22"/>
                <w:szCs w:val="22"/>
              </w:rPr>
            </w:pPr>
            <w:r>
              <w:rPr>
                <w:rFonts w:hint="eastAsia" w:eastAsia="楷体"/>
                <w:bCs/>
                <w:color w:val="000000"/>
                <w:sz w:val="22"/>
                <w:szCs w:val="22"/>
              </w:rPr>
              <w:t>五</w:t>
            </w:r>
            <w:r>
              <w:rPr>
                <w:rFonts w:eastAsia="楷体"/>
                <w:b/>
                <w:color w:val="000000"/>
                <w:sz w:val="22"/>
                <w:szCs w:val="22"/>
              </w:rPr>
              <w:t xml:space="preserve"> </w:t>
            </w:r>
            <w:r>
              <w:rPr>
                <w:rFonts w:eastAsia="楷体"/>
                <w:color w:val="0000FF"/>
                <w:sz w:val="22"/>
                <w:szCs w:val="22"/>
              </w:rPr>
              <w:t>将实现的代码和结果上传到Github</w:t>
            </w:r>
            <w:r>
              <w:rPr>
                <w:rFonts w:hint="eastAsia" w:eastAsia="楷体"/>
                <w:color w:val="0000FF"/>
                <w:sz w:val="22"/>
                <w:szCs w:val="22"/>
              </w:rPr>
              <w:t xml:space="preserve"> </w:t>
            </w:r>
            <w:r>
              <w:rPr>
                <w:rFonts w:eastAsia="楷体"/>
                <w:color w:val="0000FF"/>
                <w:sz w:val="22"/>
                <w:szCs w:val="22"/>
              </w:rPr>
              <w:t>(</w:t>
            </w:r>
            <w:r>
              <w:rPr>
                <w:rFonts w:eastAsia="楷体"/>
                <w:color w:val="FF0000"/>
                <w:sz w:val="22"/>
                <w:szCs w:val="22"/>
              </w:rPr>
              <w:t>务必上传代码,并复制链接到正文</w:t>
            </w:r>
            <w:r>
              <w:rPr>
                <w:rFonts w:eastAsia="楷体"/>
                <w:color w:val="0000FF"/>
                <w:sz w:val="22"/>
                <w:szCs w:val="22"/>
              </w:rPr>
              <w:t>)</w:t>
            </w:r>
            <w:r>
              <w:rPr>
                <w:rFonts w:hint="eastAsia" w:eastAsia="楷体"/>
                <w:color w:val="0000FF"/>
                <w:sz w:val="22"/>
                <w:szCs w:val="22"/>
              </w:rPr>
              <w:t xml:space="preserve"> </w:t>
            </w:r>
            <w:r>
              <w:rPr>
                <w:rFonts w:eastAsia="楷体"/>
                <w:sz w:val="22"/>
                <w:szCs w:val="22"/>
              </w:rPr>
              <w:t>(</w:t>
            </w:r>
            <w:r>
              <w:rPr>
                <w:rFonts w:hint="eastAsia" w:eastAsia="楷体"/>
                <w:sz w:val="22"/>
                <w:szCs w:val="22"/>
              </w:rPr>
              <w:t>1</w:t>
            </w:r>
            <w:r>
              <w:rPr>
                <w:rFonts w:eastAsia="楷体"/>
                <w:sz w:val="22"/>
                <w:szCs w:val="22"/>
              </w:rPr>
              <w:t>0分)</w:t>
            </w:r>
          </w:p>
          <w:p w14:paraId="40DC6B1B">
            <w:pPr>
              <w:spacing w:line="320" w:lineRule="exact"/>
              <w:jc w:val="left"/>
              <w:rPr>
                <w:rFonts w:eastAsia="楷体"/>
                <w:sz w:val="24"/>
              </w:rPr>
            </w:pPr>
            <w:r>
              <w:rPr>
                <w:rFonts w:hint="eastAsia" w:eastAsia="楷体"/>
                <w:sz w:val="22"/>
                <w:szCs w:val="22"/>
              </w:rPr>
              <w:t xml:space="preserve">六 </w:t>
            </w:r>
            <w:r>
              <w:rPr>
                <w:rFonts w:eastAsia="楷体"/>
                <w:sz w:val="22"/>
                <w:szCs w:val="22"/>
              </w:rPr>
              <w:t>参考文献(10分)（要和正文内容联系，引用的地方加上序号，比如xxx[1]）</w:t>
            </w:r>
          </w:p>
        </w:tc>
      </w:tr>
      <w:tr w14:paraId="38C813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  <w:jc w:val="center"/>
        </w:trPr>
        <w:tc>
          <w:tcPr>
            <w:tcW w:w="1153" w:type="dxa"/>
            <w:gridSpan w:val="2"/>
            <w:tcBorders>
              <w:top w:val="single" w:color="auto" w:sz="4" w:space="0"/>
            </w:tcBorders>
            <w:vAlign w:val="center"/>
          </w:tcPr>
          <w:p w14:paraId="70475B1C">
            <w:pPr>
              <w:wordWrap w:val="0"/>
              <w:jc w:val="center"/>
              <w:rPr>
                <w:rFonts w:eastAsia="楷体"/>
                <w:sz w:val="24"/>
              </w:rPr>
            </w:pPr>
            <w:r>
              <w:rPr>
                <w:rFonts w:eastAsia="楷体"/>
                <w:sz w:val="24"/>
              </w:rPr>
              <w:t>题目：</w:t>
            </w:r>
          </w:p>
        </w:tc>
        <w:tc>
          <w:tcPr>
            <w:tcW w:w="8209" w:type="dxa"/>
            <w:gridSpan w:val="1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7F4006">
            <w:pPr>
              <w:jc w:val="center"/>
              <w:rPr>
                <w:rFonts w:eastAsia="楷体"/>
                <w:sz w:val="24"/>
              </w:rPr>
            </w:pPr>
            <w:r>
              <w:rPr>
                <w:rFonts w:eastAsia="楷体"/>
                <w:b/>
                <w:sz w:val="24"/>
              </w:rPr>
              <w:t>问答回避检测的语义建模与跨场景迁移及标签层级分析</w:t>
            </w:r>
          </w:p>
        </w:tc>
      </w:tr>
    </w:tbl>
    <w:p w14:paraId="4DC9E386">
      <w:pPr>
        <w:pStyle w:val="Heading1"/>
        <w:keepNext/>
        <w:spacing w:after="100" w:line="312" w:lineRule="auto" w:before="200"/>
        <w:ind w:firstLine="0"/>
        <w:rPr>
          <w:rFonts w:hint="default" w:ascii="Times New Roman" w:hAnsi="Times New Roman" w:eastAsia="楷体" w:cs="Times New Roman"/>
          <w:b/>
          <w:bCs/>
          <w:color w:val="0000FF"/>
          <w:sz w:val="24"/>
          <w:szCs w:val="24"/>
          <w:lang w:val="zh-TW" w:eastAsia="zh-TW"/>
        </w:rPr>
      </w:pPr>
      <w:r>
        <w:rPr>
          <w:rFonts w:ascii="黑体" w:hAnsi="黑体" w:eastAsia="黑体"/>
          <w:b/>
          <w:color w:val="000000"/>
          <w:sz w:val="28"/>
        </w:rPr>
        <w:t>一 背景介绍与研究问题</w:t>
      </w:r>
    </w:p>
    <w:p w14:paraId="669739FA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1.1 研究背景与任务意义</w:t>
      </w:r>
    </w:p>
    <w:p w14:paraId="038B3077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本研究以政治访谈中的问题与回答为对象，研究回答是否清楚回应了目标问题，以及同一套文本对建模流程能否用于新的问答场景。实验以 QEvasion 的回答清晰度三分类为主任务，以 QNLI 的答案包含判断为迁移任务，并增加粗粒度与细粒度标签的层级分析。评价重点是各类回答能否被均衡识别，以及语义表示、标签定义和数据来源如何影响结果。</w:t>
      </w:r>
    </w:p>
    <w:p w14:paraId="18437B06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在访谈中，回答可以与问题谈论同一主题，却不提供提问者要求的信息。例如，问题询问某项行动何时实施，回答却只强调行动的重要性。此时，主题相关和措辞流畅都不足以支持“已经回答”的判断。回答清晰度需要将问题的信息需求与回答内容相对照；回避策略则描述这种缺口如何形成，例如转移话题、只回应部分内容或以概括性表述代替具体说明。[1]</w:t>
      </w:r>
    </w:p>
    <w:p w14:paraId="7AB70C0E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这类判断也有助于分析客服和安全对话。客服可能解释规则，却没有回应具体诉求；安全助手可能明确拒绝某个请求。因此，明确不回答具有可识别的表达方式，但其行为是否合适仍依赖应用规则。本研究仅评价给定文本与标签的一致性，不根据回答清晰度推断说话人的真实意图，也不把拒绝回答直接等同于有害行为。</w:t>
      </w:r>
    </w:p>
    <w:p w14:paraId="21DAAF2A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1.2 数据对象与概念边界</w:t>
      </w:r>
    </w:p>
    <w:p w14:paraId="0A0697F8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QEvasion 提供 question、interview_answer、clarity_label 和 evasion_label 等字段。[2] 本地快照包含 3,448 条训练样本和 308 条测试样本。三类原始清晰度标签为 Clear Reply、Ambivalent、Clear Non-Reply；本文展示时将 Ambivalent 写为 Ambivalent Reply，整数编码依次为 0、1、2。原始名称与展示名称的差异只发生在适配阶段，不改变监督目标。</w:t>
      </w:r>
    </w:p>
    <w:p w14:paraId="623147DE">
      <w:pPr>
        <w:pStyle w:val="Caption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 两个任务的共同结构与标签差异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1701"/>
        <w:gridCol w:w="3685"/>
        <w:gridCol w:w="3685"/>
      </w:tblGrid>
      <w:tr w14:paraId="61849F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jc w:val="center"/>
          <w:tblHeader/>
          <w:cantSplit/>
        </w:trPr>
        <w:tc>
          <w:tcPr>
            <w:tcW w:w="1701" w:type="dxa"/>
            <w:vAlign w:val="center"/>
          </w:tcPr>
          <w:p w14:paraId="58F999C2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项目</w:t>
            </w:r>
          </w:p>
        </w:tc>
        <w:tc>
          <w:tcPr>
            <w:tcW w:w="3685" w:type="dxa"/>
            <w:vAlign w:val="center"/>
          </w:tcPr>
          <w:p w14:paraId="29919AC0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QEvasion</w:t>
            </w:r>
          </w:p>
        </w:tc>
        <w:tc>
          <w:tcPr>
            <w:tcW w:w="3685" w:type="dxa"/>
            <w:vAlign w:val="center"/>
          </w:tcPr>
          <w:p w14:paraId="7A69A207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QNLI</w:t>
            </w:r>
          </w:p>
        </w:tc>
      </w:tr>
      <w:tr w14:paraId="5D5C68F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jc w:val="center"/>
          <w:cantSplit/>
        </w:trPr>
        <w:tc>
          <w:tcPr>
            <w:tcW w:w="1701" w:type="dxa"/>
            <w:vAlign w:val="center"/>
          </w:tcPr>
          <w:p w14:paraId="42B8ACFC">
            <w:pPr>
              <w:spacing w:before="0" w:after="0" w:line="276" w:lineRule="auto"/>
              <w:jc w:val="left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第一段文本</w:t>
            </w:r>
          </w:p>
        </w:tc>
        <w:tc>
          <w:tcPr>
            <w:tcW w:w="3685" w:type="dxa"/>
            <w:vAlign w:val="center"/>
          </w:tcPr>
          <w:p w14:paraId="1BCA084B">
            <w:pPr>
              <w:spacing w:before="0" w:after="0" w:line="276" w:lineRule="auto"/>
              <w:jc w:val="center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目标子问题 question</w:t>
            </w:r>
          </w:p>
        </w:tc>
        <w:tc>
          <w:tcPr>
            <w:tcW w:w="3685" w:type="dxa"/>
            <w:vAlign w:val="center"/>
          </w:tcPr>
          <w:p w14:paraId="5F2CBCF6">
            <w:pPr>
              <w:spacing w:before="0" w:after="0" w:line="276" w:lineRule="auto"/>
              <w:jc w:val="center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问题 question</w:t>
            </w:r>
          </w:p>
        </w:tc>
      </w:tr>
      <w:tr w14:paraId="03389C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4BDAC54C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第二段文本</w:t>
            </w:r>
          </w:p>
        </w:tc>
        <w:tc>
          <w:tcPr>
            <w:tcW w:w="3685" w:type="dxa"/>
            <w:vAlign w:val="center"/>
          </w:tcPr>
          <w:p w14:paraId="48D70508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完整回答 interview_answer</w:t>
            </w:r>
          </w:p>
        </w:tc>
        <w:tc>
          <w:tcPr>
            <w:tcW w:w="3685" w:type="dxa"/>
            <w:vAlign w:val="center"/>
          </w:tcPr>
          <w:p w14:paraId="0001FD3E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候选句子 sentence</w:t>
            </w:r>
          </w:p>
        </w:tc>
      </w:tr>
      <w:tr w14:paraId="6354B4F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28D22573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输出</w:t>
            </w:r>
          </w:p>
        </w:tc>
        <w:tc>
          <w:tcPr>
            <w:tcW w:w="3685" w:type="dxa"/>
            <w:vAlign w:val="center"/>
          </w:tcPr>
          <w:p w14:paraId="1CD6FA0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明确回答／模糊回答／明确不回答</w:t>
            </w:r>
          </w:p>
        </w:tc>
        <w:tc>
          <w:tcPr>
            <w:tcW w:w="3685" w:type="dxa"/>
            <w:vAlign w:val="center"/>
          </w:tcPr>
          <w:p w14:paraId="62986D9F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包含答案／不包含答案</w:t>
            </w:r>
          </w:p>
        </w:tc>
      </w:tr>
      <w:tr w14:paraId="58799A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701" w:type="dxa"/>
            <w:vAlign w:val="center"/>
          </w:tcPr>
          <w:p w14:paraId="6E2B40A6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主要判断</w:t>
            </w:r>
          </w:p>
        </w:tc>
        <w:tc>
          <w:tcPr>
            <w:tcW w:w="3685" w:type="dxa"/>
            <w:vAlign w:val="center"/>
          </w:tcPr>
          <w:p w14:paraId="60872F92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问题所需信息的回应清晰度</w:t>
            </w:r>
          </w:p>
        </w:tc>
        <w:tc>
          <w:tcPr>
            <w:tcW w:w="3685" w:type="dxa"/>
            <w:vAlign w:val="center"/>
          </w:tcPr>
          <w:p w14:paraId="0E9B4787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候选句是否提供问题答案</w:t>
            </w:r>
          </w:p>
        </w:tc>
      </w:tr>
    </w:tbl>
    <w:p w14:paraId="06F8AB1B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QNLI 属于 GLUE 基准，采用问题与候选句的文本对形式。[5][7] 本实验沿用已完成的迁移设置：训练集中每类抽取 6,000 条，共 12,000 条；使用带标签的官方 dev 集 5,463 条作实验评估集。正文中的 QNLI 评估均指这个 dev 集，并非提交到官方隐藏测试集的排行榜成绩。</w:t>
      </w:r>
    </w:p>
    <w:p w14:paraId="6644D12E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1.3 研究问题与可检验预期</w:t>
      </w:r>
    </w:p>
    <w:p w14:paraId="569F1FC8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研究问题一：在相同 QEvasion 测试集上，多数类策略、TF-IDF 加逻辑回归和预训练句向量加逻辑回归分别达到什么水平？预期语义表示能够减少仅凭表面词汇产生的错误，但不能据此预设所有类别都会提升。验证时同时报告总体指标和每类 Precision、Recall、F1，区分整体进步与类别间的性能交换。</w:t>
      </w:r>
    </w:p>
    <w:p w14:paraId="25E6A840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研究问题二：从政治访谈迁移到 QNLI 时，哪些组成部分可以复用，哪些必须重新学习？预期数据接口、训练程序与指标计算可复用，而原分类器的输出语义无法无条件照搬。实验固定一个粗标签到二标签的投影规则，测量源任务模型直接复用的表现，再与使用 QNLI 标注重新训练的模型比较，从而区分工程复用与跨任务预测能力。</w:t>
      </w:r>
    </w:p>
    <w:p w14:paraId="4B2C295B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研究问题三分为数据审计与模型对照：首先核查训练集九类策略到三类清晰度的映射；再比较固定表示下直接三分类与九分类汇总。映射一致只说明数据标注自洽，不能代替模型检验。层级收益由固定分组留出与官方测试的预测比较回答，不预设细粒度监督必然更优。</w:t>
      </w:r>
    </w:p>
    <w:p w14:paraId="4B2C295B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标签审计与模型收益回答不同问题。以明确拒答为例，细标签归入明确不回答，只能说明映射符合标注定义；若细分类器把拒答误判为部分回答，向上汇总仍会把它归入模糊类，映射本身正确也无法挽回预测错误。细粒度监督还会把原本同属粗类的样本分散到不同子类，使分类器需要学习更细的边界。当某些策略的表达相近、样本有限或概率缺少校准时，增加监督类别未必带来更可靠的粗分类。因此，审计应核对标签取值、映射覆盖与逐条一致性；收益检验则应固定表示和划分，比较最终预测及各类错误。前者通过是解释实验的基础条件，不是模型改进的证据。反过来，某种训练与汇总设置未获益，也只能约束该实现的结论，不能否定层级标签作为分析工具的价值。</w:t>
      </w:r>
    </w:p>
    <w:p w14:paraId="0EDA9926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1.4 与普通情感分类的区别及指标选择</w:t>
      </w:r>
    </w:p>
    <w:p w14:paraId="139FC2F8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普通情感分类常以文本的正向、负向或中性态度为目标，而本研究的标签取决于回答相对于某个具体问题的信息充分性。带有积极措辞的回答可能回避问题，语气消极的回答也可能直接说明事实；同一句“已经做过了”对“是否执行过”可以构成明确回答，对“执行效果如何”则未必如此。因此，模型必须同时利用两段文本，并关注实体、时间、条件、否定与问题类型的对应关系。</w:t>
      </w:r>
    </w:p>
    <w:p w14:paraId="1C9AC808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类别不均衡使 Accuracy 容易产生误导。训练集中 Ambivalent Reply 占 59.16%，测试集中占 66.88%；Clear Non-Reply 在测试集中仅有 23 条。若所有样本都预测为多数类，准确率仍为 0.6688，但另两类召回率为零。Macro-F1 对每类 F1 等权平均，可以使少数类错误进入主指标；同时保留准确率、类别级指标和混淆矩阵，避免只凭一个平均数解释模型行为。</w:t>
      </w:r>
    </w:p>
    <w:p w14:paraId="2E6F6E63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1.5 来源泄漏风险与研究范围</w:t>
      </w:r>
    </w:p>
    <w:p w14:paraId="3E5214D2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来源审计以原始 url 为单位：训练集有 287 个唯一网址、175 种标题文本，测试集有 56 个网址；39 个网址跨划分重合，涉及 118/308 条测试记录（38.31%）。因此 175 不能解释为独立采访数。完整问答对重合为 0，并不代表来源独立；官方成绩可用于该发布划分的模型比较，但不等同于完全未见来源的泛化成绩。 训练与测试精确问题、完整回答的交集分别为 1 和 2，训练集含 62 行重复问题。</w:t>
      </w:r>
    </w:p>
    <w:p w14:paraId="3C7B7348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测试集 president、title 和 evasion_label 全部缺失，但 url 完整。因此能够审计来源重合，却不能完整计算逐总统或细策略测试表现。本文保留官方划分，并另在训练集内部按 title 与 URL 分组检查敏感性。来源隔离只阻断相同网址或标题，不排除相似主题、人物和措辞；所有结论限定于当前快照、固定配置及单次训练种子。</w:t>
      </w:r>
    </w:p>
    <w:p w14:paraId="61EE04B9">
      <w:pPr>
        <w:pStyle w:val="Heading1"/>
        <w:keepNext/>
        <w:spacing w:after="100" w:line="312" w:lineRule="auto" w:before="200"/>
        <w:ind w:firstLine="0"/>
        <w:rPr>
          <w:rFonts w:hint="default" w:ascii="Times New Roman" w:hAnsi="Times New Roman" w:eastAsia="楷体" w:cs="Times New Roman"/>
          <w:b/>
          <w:bCs/>
          <w:color w:val="0000FF"/>
          <w:sz w:val="24"/>
          <w:szCs w:val="24"/>
        </w:rPr>
      </w:pPr>
      <w:r>
        <w:rPr>
          <w:rFonts w:ascii="黑体" w:hAnsi="黑体" w:eastAsia="黑体"/>
          <w:b/>
          <w:color w:val="000000"/>
          <w:sz w:val="28"/>
        </w:rPr>
        <w:t>二 相关工作的优缺点总结</w:t>
      </w:r>
    </w:p>
    <w:p w14:paraId="0C82F5EE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2.1 回答清晰度与层级标注研究</w:t>
      </w:r>
    </w:p>
    <w:p w14:paraId="3E982F86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Thomas 等提出回答清晰度任务及其层级分类体系，将问题与回答之间的信息关系作为评价对象，并研究基于细粒度策略进行两阶段预测的方法。[1] 这项工作的价值是给出了可操作的标签定义，使“是否回应问题”成为可复现的监督学习问题。对本实验而言，它也提供了区别粗标签与细标签的依据：Implicit 属于 Ambivalent，而不是 Explicit 所属的 Clear Reply。</w:t>
      </w:r>
    </w:p>
    <w:p w14:paraId="00DD47E1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这类数据的限制主要来自语境和标注边界。是否属于概括性回答、间接暗示或部分回答，需要理解目标问题究竟询问什么；多个子问题还可能共用同一回答。本文据此将标签映射审计列为扩展的第一步，并区分“标注层级一致”与“模型利用层级后受益”。前者属于数据检查，后者必须由留出与测试预测来证明。</w:t>
      </w:r>
    </w:p>
    <w:p w14:paraId="560DD375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2.2 传统特征与预训练句向量</w:t>
      </w:r>
    </w:p>
    <w:p w14:paraId="6C7EF49C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TF-IDF 加逻辑回归训练成本低，可利用拒答词、否定短语和问题词等表面线索。unigram 与 bigram 的比较还能检验局部词序是否有帮助。其不足是难以表达问题与回答之间的细致对应：两个文本包含同样的主题词，仍可能分别描述计划、背景和实际结论。本实验保留这一方法，作为判断语义表示收益的传统基线。</w:t>
      </w:r>
    </w:p>
    <w:p w14:paraId="73320B9D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Sentence-BERT 使用适合句向量学习的网络结构，使文本能够先独立编码，再用于语义比较和下游任务。[3] 本实验实际运行的是 all-MiniLM-L6-v2 冻结编码器加逻辑回归，不是复现论文全部模型。编码后可缓存特征，便于在相同表示上比较分类目标；但分别编码的两个向量没有在编码阶段进行逐词交互，长回答压缩也可能掩盖决定性线索。</w:t>
      </w:r>
    </w:p>
    <w:p w14:paraId="74DA08A7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2.3 近期方法与跨场景适用条件</w:t>
      </w:r>
    </w:p>
    <w:p w14:paraId="1A64D702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Wang 等在 ACL 2024 提出利用大语言模型生成多样化合成训练数据，并以对比学习训练文本嵌入模型。[4] 这为提升通用表示与任务覆盖提供了方向。其启示是表示学习的训练目标和数据多样性可能影响迁移效果；但嵌入基准上的优势不能直接证明能够识别政治问答中的回避。该方法仅用于相关工作比较，本实验没有运行其模型，也不引用其成绩作为本地结果。</w:t>
      </w:r>
    </w:p>
    <w:p w14:paraId="1749A909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GLUE 提供多个语言理解任务，用于考察表示方法在不同监督问题中的能力。[5] 统一输入为文本对有利于工程复用，但标签含义仍可能不同。QNLI 判断候选句是否包含答案，QEvasion 则区分明确、模糊和明确不答。因此，“Clear Reply 对应包含答案”在本研究中只是一个显式设定的迁移近似，不能作为两个任务天然等价的证据。</w:t>
      </w:r>
    </w:p>
    <w:p w14:paraId="679A5C8D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2.4 本次扩展针对的不足</w:t>
      </w:r>
    </w:p>
    <w:p w14:paraId="458A3BEA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本次选择标签层级扩展，针对粗分类掩盖不同回避策略、以及标签映射容易被自然语言直觉误读的问题。具体方案不增加编码器容量，仅改变监督类别并汇总输出概率。该对照把表示能力基本固定下来，用于观察层级目标及其决策方式的影响。若没有提升，仍可据类别分布与混淆方向解释失败条件，为后续概率校准或多任务学习提供检验依据。</w:t>
      </w:r>
    </w:p>
    <w:p>
      <w:pPr>
        <w:pStyle w:val="Caption"/>
        <w:keepNext/>
        <w:spacing w:after="80" w:line="300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表2 相关方法的适用条件与不足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9AA5B1"/>
          <w:left w:val="single" w:sz="4" w:color="9AA5B1"/>
          <w:bottom w:val="single" w:sz="4" w:color="9AA5B1"/>
          <w:right w:val="single" w:sz="4" w:color="9AA5B1"/>
          <w:insideH w:val="single" w:sz="4" w:color="9AA5B1"/>
          <w:insideV w:val="single" w:sz="4" w:color="9AA5B1"/>
        </w:tblBorders>
      </w:tblPr>
      <w:tblGrid>
        <w:gridCol w:w="1728"/>
        <w:gridCol w:w="2592"/>
        <w:gridCol w:w="2880"/>
        <w:gridCol w:w="1440"/>
      </w:tblGrid>
      <w:tr>
        <w:trPr>
          <w:tblHeader/>
          <w:cantSplit/>
        </w:trPr>
        <w:tc>
          <w:tcPr>
            <w:tcW w:type="dxa" w:w="1728"/>
            <w:vAlign w:val="center"/>
            <w:shd w:fill="F2F2F2"/>
          </w:tcPr>
          <w:p>
            <w:pPr>
              <w:spacing w:after="60" w:line="252" w:lineRule="auto" w:before="60"/>
              <w:keepNext w:val="1"/>
              <w:keepLines w:val="1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方法</w:t>
            </w:r>
          </w:p>
        </w:tc>
        <w:tc>
          <w:tcPr>
            <w:tcW w:type="dxa" w:w="2592"/>
            <w:vAlign w:val="center"/>
            <w:shd w:fill="F2F2F2"/>
          </w:tcPr>
          <w:p>
            <w:pPr>
              <w:spacing w:after="60" w:line="252" w:lineRule="auto" w:before="60"/>
              <w:keepNext w:val="1"/>
              <w:keepLines w:val="1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优点与适用条件</w:t>
            </w:r>
          </w:p>
        </w:tc>
        <w:tc>
          <w:tcPr>
            <w:tcW w:type="dxa" w:w="2880"/>
            <w:vAlign w:val="center"/>
            <w:shd w:fill="F2F2F2"/>
          </w:tcPr>
          <w:p>
            <w:pPr>
              <w:spacing w:after="60" w:line="252" w:lineRule="auto" w:before="60"/>
              <w:keepNext w:val="1"/>
              <w:keepLines w:val="1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主要局限</w:t>
            </w:r>
          </w:p>
        </w:tc>
        <w:tc>
          <w:tcPr>
            <w:tcW w:type="dxa" w:w="1440"/>
            <w:vAlign w:val="center"/>
            <w:shd w:fill="F2F2F2"/>
          </w:tcPr>
          <w:p>
            <w:pPr>
              <w:spacing w:after="60" w:line="252" w:lineRule="auto" w:before="60"/>
              <w:keepNext w:val="1"/>
              <w:keepLines w:val="1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本次运行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60" w:line="252" w:lineRule="auto" w:before="60"/>
              <w:keepNext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QEvasion 原论文[1]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60" w:line="252" w:lineRule="auto" w:before="60"/>
              <w:keepNext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成对问答与层级标注；可比较直接/细类预测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60" w:line="252" w:lineRule="auto" w:before="60"/>
              <w:keepNext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语境及标注边界复杂；协议与本地不同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60" w:line="252" w:lineRule="auto" w:before="60"/>
              <w:keepNext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沿用任务，非原模型复现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TF-IDF＋LR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低成本、可解释，可观察词组与权重作用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主题相似不等于回答充分；缺逐词对齐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冻结 MiniLM＋LR[3,6]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语义特征可缓存；固定表示比较监督目标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独立编码，无联合token交互；长文本截断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是</w:t>
            </w:r>
          </w:p>
        </w:tc>
      </w:tr>
      <w:tr>
        <w:trPr>
          <w:cantSplit/>
        </w:trPr>
        <w:tc>
          <w:tcPr>
            <w:tcW w:type="dxa" w:w="1728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LLM 合成数据嵌入[4]</w:t>
            </w:r>
          </w:p>
        </w:tc>
        <w:tc>
          <w:tcPr>
            <w:tcW w:type="dxa" w:w="2592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数据/任务覆盖更广，提供表示学习方向</w:t>
            </w:r>
          </w:p>
        </w:tc>
        <w:tc>
          <w:tcPr>
            <w:tcW w:type="dxa" w:w="2880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需生成与训练成本；嵌入成绩不等于回避检测</w:t>
            </w:r>
          </w:p>
        </w:tc>
        <w:tc>
          <w:tcPr>
            <w:tcW w:type="dxa" w:w="1440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否，仅讨论</w:t>
            </w:r>
          </w:p>
        </w:tc>
      </w:tr>
    </w:tbl>
    <w:p>
      <w:pPr>
        <w:pStyle w:val="Caption"/>
        <w:keepNext/>
        <w:spacing w:after="80" w:line="300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表3 原论文 Table 3 的 base 编码器背景成绩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9AA5B1"/>
          <w:left w:val="single" w:sz="4" w:color="9AA5B1"/>
          <w:bottom w:val="single" w:sz="4" w:color="9AA5B1"/>
          <w:right w:val="single" w:sz="4" w:color="9AA5B1"/>
          <w:insideH w:val="single" w:sz="4" w:color="9AA5B1"/>
          <w:insideV w:val="single" w:sz="4" w:color="9AA5B1"/>
        </w:tblBorders>
      </w:tblPr>
      <w:tblGrid>
        <w:gridCol w:w="2304"/>
        <w:gridCol w:w="2304"/>
        <w:gridCol w:w="2448"/>
        <w:gridCol w:w="1584"/>
      </w:tblGrid>
      <w:tr>
        <w:trPr>
          <w:tblHeader/>
          <w:cantSplit/>
        </w:trPr>
        <w:tc>
          <w:tcPr>
            <w:tcW w:type="dxa" w:w="2304"/>
            <w:vAlign w:val="center"/>
            <w:shd w:fill="F2F2F2"/>
          </w:tcPr>
          <w:p>
            <w:pPr>
              <w:spacing w:after="60" w:line="252" w:lineRule="auto" w:before="60"/>
              <w:keepNext w:val="1"/>
              <w:keepLines w:val="1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编码器</w:t>
            </w:r>
          </w:p>
        </w:tc>
        <w:tc>
          <w:tcPr>
            <w:tcW w:type="dxa" w:w="2304"/>
            <w:vAlign w:val="center"/>
            <w:shd w:fill="F2F2F2"/>
          </w:tcPr>
          <w:p>
            <w:pPr>
              <w:spacing w:after="60" w:line="252" w:lineRule="auto" w:before="60"/>
              <w:keepNext w:val="1"/>
              <w:keepLines w:val="1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直接清晰度 F1</w:t>
            </w:r>
          </w:p>
        </w:tc>
        <w:tc>
          <w:tcPr>
            <w:tcW w:type="dxa" w:w="2448"/>
            <w:vAlign w:val="center"/>
            <w:shd w:fill="F2F2F2"/>
          </w:tcPr>
          <w:p>
            <w:pPr>
              <w:spacing w:after="60" w:line="252" w:lineRule="auto" w:before="60"/>
              <w:keepNext w:val="1"/>
              <w:keepLines w:val="1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基于回避策略 F1</w:t>
            </w:r>
          </w:p>
        </w:tc>
        <w:tc>
          <w:tcPr>
            <w:tcW w:type="dxa" w:w="1584"/>
            <w:vAlign w:val="center"/>
            <w:shd w:fill="F2F2F2"/>
          </w:tcPr>
          <w:p>
            <w:pPr>
              <w:spacing w:after="60" w:line="252" w:lineRule="auto" w:before="60"/>
              <w:keepNext w:val="1"/>
              <w:keepLines w:val="1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变化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60" w:line="252" w:lineRule="auto" w:before="60"/>
              <w:keepNext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DeBERTa-base</w:t>
            </w:r>
          </w:p>
        </w:tc>
        <w:tc>
          <w:tcPr>
            <w:tcW w:type="dxa" w:w="2304"/>
            <w:vAlign w:val="center"/>
            <w:shd w:fill="FFFFFF"/>
          </w:tcPr>
          <w:p>
            <w:pPr>
              <w:spacing w:after="60" w:line="252" w:lineRule="auto" w:before="60"/>
              <w:keepNext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0.441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60" w:line="252" w:lineRule="auto" w:before="60"/>
              <w:keepNext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0.537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60" w:line="252" w:lineRule="auto" w:before="60"/>
              <w:keepNext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+0.096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RoBERTa-base</w:t>
            </w:r>
          </w:p>
        </w:tc>
        <w:tc>
          <w:tcPr>
            <w:tcW w:type="dxa" w:w="2304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0.530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0.495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−0.035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XLNet-base</w:t>
            </w:r>
          </w:p>
        </w:tc>
        <w:tc>
          <w:tcPr>
            <w:tcW w:type="dxa" w:w="2304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0.518</w:t>
            </w:r>
          </w:p>
        </w:tc>
        <w:tc>
          <w:tcPr>
            <w:tcW w:type="dxa" w:w="2448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0.546</w:t>
            </w:r>
          </w:p>
        </w:tc>
        <w:tc>
          <w:tcPr>
            <w:tcW w:type="dxa" w:w="1584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+0.028</w:t>
            </w:r>
          </w:p>
        </w:tc>
      </w:tr>
    </w:tbl>
    <w:p>
      <w:pPr>
        <w:spacing w:after="80" w:line="300" w:lineRule="auto"/>
      </w:pPr>
      <w:r>
        <w:rPr>
          <w:rFonts w:ascii="Times New Roman" w:hAnsi="Times New Roman" w:eastAsia="宋体"/>
          <w:b w:val="0"/>
          <w:color w:val="000000"/>
          <w:sz w:val="21"/>
        </w:rPr>
        <w:t>原论文[1] Table 3 中层级路径的变化方向并不统一。其评估报告为 317 条，编码器微调还筛选了较短训练样本；本地发布快照为 308 条测试、3,448 条训练，且编码器冻结，协议不可视为相同。因此这些数值仅作研究背景，不与本地模型排同一榜，也不宣称本方法超过某个论文编码器。</w:t>
      </w:r>
    </w:p>
    <w:p w14:paraId="237FAB61">
      <w:pPr>
        <w:pStyle w:val="Heading1"/>
        <w:keepNext/>
        <w:spacing w:after="100" w:line="312" w:lineRule="auto" w:before="200"/>
        <w:ind w:firstLine="0"/>
        <w:rPr>
          <w:rFonts w:hint="default" w:ascii="Times New Roman" w:hAnsi="Times New Roman" w:eastAsia="楷体" w:cs="Times New Roman"/>
          <w:b/>
          <w:bCs/>
          <w:color w:val="0000FF"/>
          <w:sz w:val="24"/>
          <w:szCs w:val="24"/>
        </w:rPr>
      </w:pPr>
      <w:r>
        <w:rPr>
          <w:rFonts w:ascii="黑体" w:hAnsi="黑体" w:eastAsia="黑体"/>
          <w:b/>
          <w:color w:val="000000"/>
          <w:sz w:val="28"/>
        </w:rPr>
        <w:t>三 模型方法与扩展设计</w:t>
      </w:r>
    </w:p>
    <w:p w14:paraId="22B8AC6E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3.1 统一字段适配与训练流程</w:t>
      </w:r>
    </w:p>
    <w:p w14:paraId="4A0ED710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统一样本结构为 text_a、text_b、label、group、uid。前两者是同一样本中的两段文本；group 用于划分或诊断，不作为特征。QEvasion 读取配置映射，QNLI 由 04 的专用 TSV 解析器映射到同一接口；复用的是字段、管线和评估逻辑，并非任意任务只换一个配置就能运行。来源审计另保留原始 url。</w:t>
      </w:r>
    </w:p>
    <w:p w14:paraId="1F3B21C8">
      <w:pPr>
        <w:pStyle w:val="Caption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表4 数据适配规则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1417"/>
        <w:gridCol w:w="3827"/>
        <w:gridCol w:w="3827"/>
      </w:tblGrid>
      <w:tr w14:paraId="197B45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jc w:val="center"/>
          <w:tblHeader/>
          <w:cantSplit/>
        </w:trPr>
        <w:tc>
          <w:tcPr>
            <w:tcW w:w="1417" w:type="dxa"/>
            <w:vAlign w:val="center"/>
          </w:tcPr>
          <w:p w14:paraId="34F05FB5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字段</w:t>
            </w:r>
          </w:p>
        </w:tc>
        <w:tc>
          <w:tcPr>
            <w:tcW w:w="3827" w:type="dxa"/>
            <w:vAlign w:val="center"/>
          </w:tcPr>
          <w:p w14:paraId="6F62350C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QEvasion 映射</w:t>
            </w:r>
          </w:p>
        </w:tc>
        <w:tc>
          <w:tcPr>
            <w:tcW w:w="3827" w:type="dxa"/>
            <w:vAlign w:val="center"/>
          </w:tcPr>
          <w:p w14:paraId="7315AD6D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QNLI 映射</w:t>
            </w:r>
          </w:p>
        </w:tc>
      </w:tr>
      <w:tr w14:paraId="31A92C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jc w:val="center"/>
          <w:cantSplit/>
        </w:trPr>
        <w:tc>
          <w:tcPr>
            <w:tcW w:w="1417" w:type="dxa"/>
            <w:vAlign w:val="center"/>
          </w:tcPr>
          <w:p w14:paraId="72195428">
            <w:pPr>
              <w:spacing w:before="0" w:after="0" w:line="276" w:lineRule="auto"/>
              <w:jc w:val="left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text_a</w:t>
            </w:r>
          </w:p>
        </w:tc>
        <w:tc>
          <w:tcPr>
            <w:tcW w:w="3827" w:type="dxa"/>
            <w:vAlign w:val="center"/>
          </w:tcPr>
          <w:p w14:paraId="12817EE5">
            <w:pPr>
              <w:spacing w:before="0" w:after="0" w:line="276" w:lineRule="auto"/>
              <w:jc w:val="center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question</w:t>
            </w:r>
          </w:p>
        </w:tc>
        <w:tc>
          <w:tcPr>
            <w:tcW w:w="3827" w:type="dxa"/>
            <w:vAlign w:val="center"/>
          </w:tcPr>
          <w:p w14:paraId="46073225">
            <w:pPr>
              <w:spacing w:before="0" w:after="0" w:line="276" w:lineRule="auto"/>
              <w:jc w:val="center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question</w:t>
            </w:r>
          </w:p>
        </w:tc>
      </w:tr>
      <w:tr w14:paraId="71A556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417" w:type="dxa"/>
            <w:vAlign w:val="center"/>
          </w:tcPr>
          <w:p w14:paraId="167BBEA6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text_b</w:t>
            </w:r>
          </w:p>
        </w:tc>
        <w:tc>
          <w:tcPr>
            <w:tcW w:w="3827" w:type="dxa"/>
            <w:vAlign w:val="center"/>
          </w:tcPr>
          <w:p w14:paraId="79AC43DF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interview_answer</w:t>
            </w:r>
          </w:p>
        </w:tc>
        <w:tc>
          <w:tcPr>
            <w:tcW w:w="3827" w:type="dxa"/>
            <w:vAlign w:val="center"/>
          </w:tcPr>
          <w:p w14:paraId="35C25DA1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sentence</w:t>
            </w:r>
          </w:p>
        </w:tc>
      </w:tr>
      <w:tr w14:paraId="0BAEE1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417" w:type="dxa"/>
            <w:vAlign w:val="center"/>
          </w:tcPr>
          <w:p w14:paraId="60B2704E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label</w:t>
            </w:r>
          </w:p>
        </w:tc>
        <w:tc>
          <w:tcPr>
            <w:tcW w:w="3827" w:type="dxa"/>
            <w:vAlign w:val="center"/>
          </w:tcPr>
          <w:p w14:paraId="23441EB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Reply→0；Ambivalent→1；Clear Non-Reply→2</w:t>
            </w:r>
          </w:p>
        </w:tc>
        <w:tc>
          <w:tcPr>
            <w:tcW w:w="3827" w:type="dxa"/>
            <w:vAlign w:val="center"/>
          </w:tcPr>
          <w:p w14:paraId="5EC02F07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entailment→0；not_entailment→1</w:t>
            </w:r>
          </w:p>
        </w:tc>
      </w:tr>
      <w:tr w14:paraId="324F12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417" w:type="dxa"/>
            <w:vAlign w:val="center"/>
          </w:tcPr>
          <w:p w14:paraId="0A0E4030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group / uid</w:t>
            </w:r>
          </w:p>
        </w:tc>
        <w:tc>
          <w:tcPr>
            <w:tcW w:w="3827" w:type="dxa"/>
            <w:vAlign w:val="center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president／index；来源审计用 url，分组用 title 或 url</w:t>
            </w:r>
          </w:p>
        </w:tc>
        <w:tc>
          <w:tcPr>
            <w:tcW w:w="3827" w:type="dxa"/>
            <w:vAlign w:val="center"/>
          </w:tcPr>
          <w:p w14:paraId="2216C23E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index／index；不代表真实来源群体</w:t>
            </w:r>
          </w:p>
        </w:tc>
      </w:tr>
    </w:tbl>
    <w:p w14:paraId="7EDD29F3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例如，QEvasion 中“Would you campaign for Mike Fitzpatrick?”与“I already have.”构成一条文本对，粗标签为 Clear Reply。QNLI 的一条样本同样由问题和候选句构成，但 label 只表示答案包含关系。模型接口不变，输出类别数和监督语义随数据集重新配置。两个任务均保存真实标签、预测标签和类别概率。</w:t>
      </w:r>
    </w:p>
    <w:p w14:paraId="0C0DABF9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3.2 基线表示与分类器</w:t>
      </w:r>
    </w:p>
    <w:p w14:paraId="579B3C4A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TF-IDF 基线将两段文本用 [SEP] 连接，比较 unigram 与 unigram+bigram、无权重与 balanced 权重四种组合。词频采用 sublinear_tf，min_df=2，max_df=0.95。逻辑回归 C=1.0、max_iter=2000；在训练集的固定 10% 分层验证集上按 Macro-F1 选择配置，再用全部训练样本拟合并评估。</w:t>
      </w:r>
    </w:p>
    <w:p w14:paraId="32B10E4A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预训练基线分别编码问题和回答，得到归一化的 384 维向量 e_q 和 e_a，并组成 [e_q; e_a; |e_q−e_a|; e_q⊙e_a] 共 1,536 维特征。编码批大小为 64，原脚本使用 CPU。编码器冻结，逻辑回归采用 balanced 权重，在 C∈{0.1,1,10} 中选择 C=0.1。模型卡说明默认超过 256 个 word pieces 会截断；这与按空格统计的英文词数不是同一计量单位。[6]</w:t>
      </w:r>
    </w:p>
    <w:p w14:paraId="2BD020EC">
      <w:pPr>
        <w:pStyle w:val="Caption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表5 可复现训练参数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2211"/>
        <w:gridCol w:w="3430"/>
        <w:gridCol w:w="3430"/>
      </w:tblGrid>
      <w:tr w14:paraId="1B811F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jc w:val="center"/>
          <w:tblHeader/>
          <w:cantSplit/>
        </w:trPr>
        <w:tc>
          <w:tcPr>
            <w:tcW w:w="2211" w:type="dxa"/>
            <w:vAlign w:val="center"/>
          </w:tcPr>
          <w:p w14:paraId="17C240DB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项目</w:t>
            </w:r>
          </w:p>
        </w:tc>
        <w:tc>
          <w:tcPr>
            <w:tcW w:w="3430" w:type="dxa"/>
            <w:vAlign w:val="center"/>
          </w:tcPr>
          <w:p w14:paraId="7CF5A5D3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TF-IDF + LR</w:t>
            </w:r>
          </w:p>
        </w:tc>
        <w:tc>
          <w:tcPr>
            <w:tcW w:w="3430" w:type="dxa"/>
            <w:vAlign w:val="center"/>
          </w:tcPr>
          <w:p w14:paraId="7D8018F7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MiniLM 表示 + LR</w:t>
            </w:r>
          </w:p>
        </w:tc>
      </w:tr>
      <w:tr w14:paraId="06AB3E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jc w:val="center"/>
          <w:cantSplit/>
        </w:trPr>
        <w:tc>
          <w:tcPr>
            <w:tcW w:w="2211" w:type="dxa"/>
            <w:vAlign w:val="center"/>
          </w:tcPr>
          <w:p w14:paraId="54618E12">
            <w:pPr>
              <w:spacing w:before="0" w:after="0" w:line="276" w:lineRule="auto"/>
              <w:jc w:val="left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编码器训练</w:t>
            </w:r>
          </w:p>
        </w:tc>
        <w:tc>
          <w:tcPr>
            <w:tcW w:w="3430" w:type="dxa"/>
            <w:vAlign w:val="center"/>
          </w:tcPr>
          <w:p w14:paraId="37E1C731">
            <w:pPr>
              <w:spacing w:before="0" w:after="0" w:line="276" w:lineRule="auto"/>
              <w:jc w:val="center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不适用</w:t>
            </w:r>
          </w:p>
        </w:tc>
        <w:tc>
          <w:tcPr>
            <w:tcW w:w="3430" w:type="dxa"/>
            <w:vAlign w:val="center"/>
          </w:tcPr>
          <w:p w14:paraId="7C3AD59A">
            <w:pPr>
              <w:spacing w:before="0" w:after="0" w:line="276" w:lineRule="auto"/>
              <w:jc w:val="center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冻结，不更新参数</w:t>
            </w:r>
          </w:p>
        </w:tc>
      </w:tr>
      <w:tr w14:paraId="5ECC54E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211" w:type="dxa"/>
            <w:vAlign w:val="center"/>
          </w:tcPr>
          <w:p w14:paraId="6A3FE5F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特征维度</w:t>
            </w:r>
          </w:p>
        </w:tc>
        <w:tc>
          <w:tcPr>
            <w:tcW w:w="3430" w:type="dxa"/>
            <w:vAlign w:val="center"/>
          </w:tcPr>
          <w:p w14:paraId="79A2335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121,340（原任务最终词表）</w:t>
            </w:r>
          </w:p>
        </w:tc>
        <w:tc>
          <w:tcPr>
            <w:tcW w:w="3430" w:type="dxa"/>
            <w:vAlign w:val="center"/>
          </w:tcPr>
          <w:p w14:paraId="4606EF44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384×4=1,536</w:t>
            </w:r>
          </w:p>
        </w:tc>
      </w:tr>
      <w:tr w14:paraId="2CD130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211" w:type="dxa"/>
            <w:vAlign w:val="center"/>
          </w:tcPr>
          <w:p w14:paraId="7CC34CFD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最大输入长度</w:t>
            </w:r>
          </w:p>
        </w:tc>
        <w:tc>
          <w:tcPr>
            <w:tcW w:w="3430" w:type="dxa"/>
            <w:vAlign w:val="center"/>
          </w:tcPr>
          <w:p w14:paraId="112830E8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脚本不截断</w:t>
            </w:r>
          </w:p>
        </w:tc>
        <w:tc>
          <w:tcPr>
            <w:tcW w:w="3430" w:type="dxa"/>
            <w:vAlign w:val="center"/>
          </w:tcPr>
          <w:p w14:paraId="22451852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默认 256 word pieces／每段</w:t>
            </w:r>
          </w:p>
        </w:tc>
      </w:tr>
      <w:tr w14:paraId="4D02C4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211" w:type="dxa"/>
            <w:vAlign w:val="center"/>
          </w:tcPr>
          <w:p w14:paraId="2CF20676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 / class_weight</w:t>
            </w:r>
          </w:p>
        </w:tc>
        <w:tc>
          <w:tcPr>
            <w:tcW w:w="3430" w:type="dxa"/>
            <w:vAlign w:val="center"/>
          </w:tcPr>
          <w:p w14:paraId="792C5DA1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1.0 / balanced</w:t>
            </w:r>
          </w:p>
        </w:tc>
        <w:tc>
          <w:tcPr>
            <w:tcW w:w="3430" w:type="dxa"/>
            <w:vAlign w:val="center"/>
          </w:tcPr>
          <w:p w14:paraId="4D639B7F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0.1 / balanced</w:t>
            </w:r>
          </w:p>
        </w:tc>
      </w:tr>
      <w:tr w14:paraId="7422133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211" w:type="dxa"/>
            <w:vAlign w:val="center"/>
          </w:tcPr>
          <w:p w14:paraId="339894EF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求解迭代上限 / seed</w:t>
            </w:r>
          </w:p>
        </w:tc>
        <w:tc>
          <w:tcPr>
            <w:tcW w:w="3430" w:type="dxa"/>
            <w:vAlign w:val="center"/>
          </w:tcPr>
          <w:p w14:paraId="7DEF52F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2,000 / 42</w:t>
            </w:r>
          </w:p>
        </w:tc>
        <w:tc>
          <w:tcPr>
            <w:tcW w:w="3430" w:type="dxa"/>
            <w:vAlign w:val="center"/>
          </w:tcPr>
          <w:p w14:paraId="7D52DD7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2,000 / 42</w:t>
            </w:r>
          </w:p>
        </w:tc>
      </w:tr>
      <w:tr w14:paraId="52C6DC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211" w:type="dxa"/>
            <w:vAlign w:val="center"/>
          </w:tcPr>
          <w:p w14:paraId="5571B439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学习率 / epoch / 早停</w:t>
            </w:r>
          </w:p>
        </w:tc>
        <w:tc>
          <w:tcPr>
            <w:tcW w:w="3430" w:type="dxa"/>
            <w:vAlign w:val="center"/>
          </w:tcPr>
          <w:p w14:paraId="1D7C12E4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LR 迭代求解；未设置神经训练学习率、epoch或早停</w:t>
            </w:r>
          </w:p>
        </w:tc>
        <w:tc>
          <w:tcPr>
            <w:tcW w:w="3430" w:type="dxa"/>
            <w:vAlign w:val="center"/>
          </w:tcPr>
          <w:p w14:paraId="06B2E32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编码器不训练；LR 同左</w:t>
            </w:r>
          </w:p>
        </w:tc>
      </w:tr>
    </w:tbl>
    <w:p w14:paraId="7AA5F789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/>
          <w:b/>
          <w:color w:val="000000"/>
          <w:sz w:val="24"/>
        </w:rPr>
        <w:t>3.3 标签层级的数据审计与模型对照</w:t>
      </w:r>
    </w:p>
    <w:p w14:paraId="0CDFF683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扩展包含审计问题 A 与对照问题 B。A 检查训练集九个细标签能否无冲突地映射到三个粗标签，它描述标注体系的自洽性，不是独立的模型假设检验。B 比较相同冻结表示下九分类监督及其粗类决策是否优于直接三分类。固定映射依据原论文与训练标注，官方测试不用于修改映射。</w:t>
      </w:r>
    </w:p>
    <w:p w14:paraId="5A6558FD">
      <w:pPr>
        <w:pStyle w:val="Caption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表6 九个细标签到三个粗标签的固定映射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2835"/>
        <w:gridCol w:w="6236"/>
      </w:tblGrid>
      <w:tr w14:paraId="3F5DEFB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jc w:val="center"/>
          <w:tblHeader/>
          <w:cantSplit/>
        </w:trPr>
        <w:tc>
          <w:tcPr>
            <w:tcW w:w="2835" w:type="dxa"/>
            <w:vAlign w:val="center"/>
          </w:tcPr>
          <w:p w14:paraId="6A2FB455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粗标签</w:t>
            </w:r>
          </w:p>
        </w:tc>
        <w:tc>
          <w:tcPr>
            <w:tcW w:w="6236" w:type="dxa"/>
            <w:vAlign w:val="center"/>
          </w:tcPr>
          <w:p w14:paraId="1F82D0AD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细粒度标签</w:t>
            </w:r>
          </w:p>
        </w:tc>
      </w:tr>
      <w:tr w14:paraId="354503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jc w:val="center"/>
          <w:cantSplit/>
        </w:trPr>
        <w:tc>
          <w:tcPr>
            <w:tcW w:w="2835" w:type="dxa"/>
            <w:vAlign w:val="center"/>
          </w:tcPr>
          <w:p w14:paraId="1FC53204">
            <w:pPr>
              <w:spacing w:before="0" w:after="0" w:line="276" w:lineRule="auto"/>
              <w:jc w:val="left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Reply</w:t>
            </w:r>
          </w:p>
        </w:tc>
        <w:tc>
          <w:tcPr>
            <w:tcW w:w="6236" w:type="dxa"/>
            <w:vAlign w:val="center"/>
          </w:tcPr>
          <w:p w14:paraId="7D868F78">
            <w:pPr>
              <w:spacing w:before="0" w:after="0" w:line="276" w:lineRule="auto"/>
              <w:jc w:val="center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Explicit</w:t>
            </w:r>
          </w:p>
        </w:tc>
      </w:tr>
      <w:tr w14:paraId="518342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2A03762F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Ambivalent Reply</w:t>
            </w:r>
          </w:p>
        </w:tc>
        <w:tc>
          <w:tcPr>
            <w:tcW w:w="6236" w:type="dxa"/>
            <w:vAlign w:val="center"/>
          </w:tcPr>
          <w:p w14:paraId="6C4BB3F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Implicit、Dodging、General、Deflection、Partial/half-answer</w:t>
            </w:r>
          </w:p>
        </w:tc>
      </w:tr>
      <w:tr w14:paraId="01691D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835" w:type="dxa"/>
            <w:vAlign w:val="center"/>
          </w:tcPr>
          <w:p w14:paraId="6D7E06F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Non-Reply</w:t>
            </w:r>
          </w:p>
        </w:tc>
        <w:tc>
          <w:tcPr>
            <w:tcW w:w="6236" w:type="dxa"/>
            <w:vAlign w:val="center"/>
          </w:tcPr>
          <w:p w14:paraId="1C87C86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Declining to answer、Claims ignorance、Clarification</w:t>
            </w:r>
          </w:p>
        </w:tc>
      </w:tr>
    </w:tbl>
    <w:p w14:paraId="59C46EBB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先检查 3,448 条训练记录的细标签合法性及粗细交叉关系。原分组对照按 title、seed=42 留出 35/175 个标题文本组：拟合 3,182 条、留出 266 条，分别为 140/35 个标题组；二者的来源 URL 也无交集。标题组比例不是样本比例，且标题文本数不等于独立采访数。后验补充的 URL 留出设置见实验分析。</w:t>
      </w:r>
    </w:p>
    <w:p w14:paraId="78744E26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对照模型使用相同的 1,536 维缓存表示：一组直接学习三分类，另一组学习九分类。两者均固定 C=0.1、max_iter=2000、class_weight=balanced、random_state=42，不在本次分组留出集上再次搜索超参数。C 值沿用原实验，分组结果属于复用既有配置的探索性检查，并非完全独立的嵌套模型选择估计。</w:t>
      </w:r>
    </w:p>
    <w:p w14:paraId="4AFEFE61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九分类模型输出各细类概率。对某一粗类，将属于该粗类的全部细类概率相加，再选择概率最大的粗类：P(c|x)=Σ P(z|x)，求和范围为映射到 c 的细类 z。三类分别包含 1、5、3 个细类。按互斥子类求和本身是合理的，但 balanced 训练和概率校准不足可能使汇总偏向拥有较多子类的粗类；实验将检查这一现象。</w:t>
      </w:r>
    </w:p>
    <w:p w14:paraId="68E9E3B7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最后，两种模型分别在全部 3,448 条训练样本上重训，在 308 条官方测试样本上比较粗分类。官方测试集 evasion_label 全部为空，因而不计算该集合的细粒度准确率或九分类 F1；细粒度结果只来自 266 条分组留出样本。缓存特征的样本数、粗标签顺序与原数据逐项核对，并保存输入文件哈希，避免读取错位。</w:t>
      </w:r>
    </w:p>
    <w:p w14:paraId="6C5B6CC5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3.4 直接复用与目标域适配设置</w:t>
      </w:r>
    </w:p>
    <w:p w14:paraId="2287AD29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源域直接复用使用原任务最佳 TF-IDF + LR，仅在 QEvasion 上训练。固定令 QNLI 的“包含答案”概率等于 Clear Reply 概率，“不包含答案”概率等于另两类概率之和，以 0.5 为边界，不使用 QNLI 标签调阈值。该投影是近似的跨任务诊断，不宣称标签等价。适配模型则在 QNLI 的 12,000 条标注样本上重新学习词表和分类器，在同一 5,463 条 dev 样本上评价。</w:t>
      </w:r>
    </w:p>
    <w:p w14:paraId="411511E3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所有模型保留 seed=42 的一次运行结果，不把 bootstrap 区间误称为跨种子均值方差。新增 title/URL 分组敏感性与配对重采样在既有测试结果可见后补做，用于诊断，不据官方测试重选方案。输入哈希、逐样本预测、全部指标及本次隔离复现日志一并保留。</w:t>
      </w:r>
    </w:p>
    <w:p w14:paraId="59C60C67">
      <w:pPr>
        <w:pStyle w:val="Heading1"/>
        <w:keepNext/>
        <w:spacing w:after="100" w:line="312" w:lineRule="auto" w:before="200"/>
        <w:ind w:firstLine="0"/>
        <w:rPr>
          <w:rFonts w:hint="default" w:ascii="Times New Roman" w:hAnsi="Times New Roman" w:eastAsia="楷体" w:cs="Times New Roman"/>
          <w:b/>
          <w:bCs/>
          <w:color w:val="0000FF"/>
          <w:sz w:val="24"/>
          <w:szCs w:val="24"/>
        </w:rPr>
      </w:pPr>
      <w:r>
        <w:rPr>
          <w:rFonts w:ascii="黑体" w:hAnsi="黑体" w:eastAsia="黑体"/>
          <w:b/>
          <w:color w:val="000000"/>
          <w:sz w:val="28"/>
        </w:rPr>
        <w:t>四 实验结果与综合分析</w:t>
      </w:r>
    </w:p>
    <w:p w14:paraId="5B475E42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4.1 数据分布与长度特征</w:t>
      </w:r>
    </w:p>
    <w:p w14:paraId="4F2B155C">
      <w:pPr>
        <w:pStyle w:val="Caption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表7 数据统计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2438"/>
        <w:gridCol w:w="964"/>
        <w:gridCol w:w="1191"/>
        <w:gridCol w:w="1191"/>
        <w:gridCol w:w="3288"/>
      </w:tblGrid>
      <w:tr w14:paraId="5DC3E3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jc w:val="center"/>
          <w:tblHeader/>
          <w:cantSplit/>
        </w:trPr>
        <w:tc>
          <w:tcPr>
            <w:tcW w:w="2438" w:type="dxa"/>
            <w:vAlign w:val="center"/>
          </w:tcPr>
          <w:p w14:paraId="440E4BCC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划分</w:t>
            </w:r>
          </w:p>
        </w:tc>
        <w:tc>
          <w:tcPr>
            <w:tcW w:w="964" w:type="dxa"/>
            <w:vAlign w:val="center"/>
          </w:tcPr>
          <w:p w14:paraId="4F25B308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样本数</w:t>
            </w:r>
          </w:p>
        </w:tc>
        <w:tc>
          <w:tcPr>
            <w:tcW w:w="1191" w:type="dxa"/>
            <w:vAlign w:val="center"/>
          </w:tcPr>
          <w:p w14:paraId="499028CB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问题均长</w:t>
            </w:r>
          </w:p>
        </w:tc>
        <w:tc>
          <w:tcPr>
            <w:tcW w:w="1191" w:type="dxa"/>
            <w:vAlign w:val="center"/>
          </w:tcPr>
          <w:p w14:paraId="7F4C41A8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回答均长</w:t>
            </w:r>
          </w:p>
        </w:tc>
        <w:tc>
          <w:tcPr>
            <w:tcW w:w="3288" w:type="dxa"/>
            <w:vAlign w:val="center"/>
          </w:tcPr>
          <w:p w14:paraId="7769C17C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备注</w:t>
            </w:r>
          </w:p>
        </w:tc>
      </w:tr>
      <w:tr w14:paraId="4E46E5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jc w:val="center"/>
          <w:cantSplit/>
        </w:trPr>
        <w:tc>
          <w:tcPr>
            <w:tcW w:w="2438" w:type="dxa"/>
            <w:vAlign w:val="center"/>
          </w:tcPr>
          <w:p w14:paraId="238D9C1B">
            <w:pPr>
              <w:spacing w:before="0" w:after="0" w:line="276" w:lineRule="auto"/>
              <w:jc w:val="left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QEvasion train</w:t>
            </w:r>
          </w:p>
        </w:tc>
        <w:tc>
          <w:tcPr>
            <w:tcW w:w="964" w:type="dxa"/>
            <w:vAlign w:val="center"/>
          </w:tcPr>
          <w:p w14:paraId="7EB05DE8">
            <w:pPr>
              <w:spacing w:before="0" w:after="0" w:line="276" w:lineRule="auto"/>
              <w:jc w:val="center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3,448</w:t>
            </w:r>
          </w:p>
        </w:tc>
        <w:tc>
          <w:tcPr>
            <w:tcW w:w="1191" w:type="dxa"/>
            <w:vAlign w:val="center"/>
          </w:tcPr>
          <w:p w14:paraId="2CF4CF32">
            <w:pPr>
              <w:spacing w:before="0" w:after="0" w:line="276" w:lineRule="auto"/>
              <w:jc w:val="center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14.5</w:t>
            </w:r>
          </w:p>
        </w:tc>
        <w:tc>
          <w:tcPr>
            <w:tcW w:w="1191" w:type="dxa"/>
            <w:vAlign w:val="center"/>
          </w:tcPr>
          <w:p w14:paraId="68106F3A">
            <w:pPr>
              <w:spacing w:before="0" w:after="0" w:line="276" w:lineRule="auto"/>
              <w:jc w:val="center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293.6</w:t>
            </w:r>
          </w:p>
        </w:tc>
        <w:tc>
          <w:tcPr>
            <w:tcW w:w="3288" w:type="dxa"/>
            <w:vAlign w:val="center"/>
          </w:tcPr>
          <w:p w14:paraId="57A92632">
            <w:pPr>
              <w:spacing w:before="0" w:after="0" w:line="276" w:lineRule="auto"/>
              <w:jc w:val="center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主文本与粗标签无缺失</w:t>
            </w:r>
          </w:p>
        </w:tc>
      </w:tr>
      <w:tr w14:paraId="3D6E05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438" w:type="dxa"/>
            <w:vAlign w:val="center"/>
          </w:tcPr>
          <w:p w14:paraId="219AB33A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QEvasion test</w:t>
            </w:r>
          </w:p>
        </w:tc>
        <w:tc>
          <w:tcPr>
            <w:tcW w:w="964" w:type="dxa"/>
            <w:vAlign w:val="center"/>
          </w:tcPr>
          <w:p w14:paraId="5483BA39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308</w:t>
            </w:r>
          </w:p>
        </w:tc>
        <w:tc>
          <w:tcPr>
            <w:tcW w:w="1191" w:type="dxa"/>
            <w:vAlign w:val="center"/>
          </w:tcPr>
          <w:p w14:paraId="1F1AA1B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15.3</w:t>
            </w:r>
          </w:p>
        </w:tc>
        <w:tc>
          <w:tcPr>
            <w:tcW w:w="1191" w:type="dxa"/>
            <w:vAlign w:val="center"/>
          </w:tcPr>
          <w:p w14:paraId="3821E299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326.3</w:t>
            </w:r>
          </w:p>
        </w:tc>
        <w:tc>
          <w:tcPr>
            <w:tcW w:w="3288" w:type="dxa"/>
            <w:vAlign w:val="center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细标签、title/president空；URL完整</w:t>
            </w:r>
          </w:p>
        </w:tc>
      </w:tr>
      <w:tr w14:paraId="59A27A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438" w:type="dxa"/>
            <w:vAlign w:val="center"/>
          </w:tcPr>
          <w:p w14:paraId="4870BC1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QNLI 抽样 train</w:t>
            </w:r>
          </w:p>
        </w:tc>
        <w:tc>
          <w:tcPr>
            <w:tcW w:w="964" w:type="dxa"/>
            <w:vAlign w:val="center"/>
          </w:tcPr>
          <w:p w14:paraId="3E8CBAF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12,000</w:t>
            </w:r>
          </w:p>
        </w:tc>
        <w:tc>
          <w:tcPr>
            <w:tcW w:w="1191" w:type="dxa"/>
            <w:vAlign w:val="center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9.8</w:t>
            </w:r>
          </w:p>
        </w:tc>
        <w:tc>
          <w:tcPr>
            <w:tcW w:w="1191" w:type="dxa"/>
            <w:vAlign w:val="center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26.5</w:t>
            </w:r>
          </w:p>
        </w:tc>
        <w:tc>
          <w:tcPr>
            <w:tcW w:w="3288" w:type="dxa"/>
            <w:vAlign w:val="center"/>
          </w:tcPr>
          <w:p w14:paraId="24886A9B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两个类别各 6,000</w:t>
            </w:r>
          </w:p>
        </w:tc>
      </w:tr>
      <w:tr w14:paraId="3E6B46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438" w:type="dxa"/>
            <w:vAlign w:val="center"/>
          </w:tcPr>
          <w:p w14:paraId="6A85094B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QNLI dev</w:t>
            </w:r>
          </w:p>
        </w:tc>
        <w:tc>
          <w:tcPr>
            <w:tcW w:w="964" w:type="dxa"/>
            <w:vAlign w:val="center"/>
          </w:tcPr>
          <w:p w14:paraId="7091CA61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5,463</w:t>
            </w:r>
          </w:p>
        </w:tc>
        <w:tc>
          <w:tcPr>
            <w:tcW w:w="1191" w:type="dxa"/>
            <w:vAlign w:val="center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10.0</w:t>
            </w:r>
          </w:p>
        </w:tc>
        <w:tc>
          <w:tcPr>
            <w:tcW w:w="1191" w:type="dxa"/>
            <w:vAlign w:val="center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27.6</w:t>
            </w:r>
          </w:p>
        </w:tc>
        <w:tc>
          <w:tcPr>
            <w:tcW w:w="3288" w:type="dxa"/>
            <w:vAlign w:val="center"/>
          </w:tcPr>
          <w:p w14:paraId="5F2FFC28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2,702 包含答案；2,761 不包含</w:t>
            </w:r>
          </w:p>
        </w:tc>
      </w:tr>
    </w:tbl>
    <w:p w14:paraId="27A2742C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长度按 Python str.split() 的空白分词口径统计。QEvasion 训练问题/回答均长为 14.5/293.6 词，测试为 15.3/326.3 词，最长回答分别为 2,117 与 1,309 词。QNLI 数值严格按 04 脚本先映射整数标签、每类抽 6,000 条再打乱后的子集计算：9.8400/26.4642，四舍五入为 9.8/26.5；dev 为 10.0/27.6。不能以全量训练集或按字符串类别顺序抽样所得统计替换。</w:t>
      </w:r>
    </w:p>
    <w:p w14:paraId="70856882">
      <w:pPr>
        <w:pStyle w:val="10"/>
        <w:keepNext/>
        <w:widowControl/>
        <w:spacing w:before="0" w:after="10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drawing>
          <wp:inline distT="0" distB="0" distL="114300" distR="114300">
            <wp:extent cx="5687695" cy="222768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22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6B1DB">
      <w:pPr>
        <w:pStyle w:val="10"/>
        <w:keepNext w:val="0"/>
        <w:widowControl/>
        <w:spacing w:before="0" w:after="100" w:line="312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图1 QEvasion 粗标签分布与训练集细粒度策略分布</w:t>
      </w:r>
    </w:p>
    <w:p w14:paraId="3700A652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图1显示，两个划分都以 Ambivalent Reply 为多数类；细粒度策略则只有训练集提供可用标签，不能将右侧分布解释为测试集分布。训练集 Explicit 为 1,052 条，Implicit 为 488 条，而 Partial/half-answer 仅 79 条。细标签进一步细分后，数据稀疏性比三分类更突出，这也是层级扩展必须同时检查分类误差和概率汇总的原因。</w:t>
      </w:r>
    </w:p>
    <w:p w14:paraId="5BF6EB0C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4.2 基础模型总体表现</w:t>
      </w:r>
    </w:p>
    <w:p w14:paraId="3345C242">
      <w:pPr>
        <w:pStyle w:val="10"/>
        <w:keepNext/>
        <w:widowControl/>
        <w:spacing w:before="0" w:after="10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drawing>
          <wp:inline distT="0" distB="0" distL="114300" distR="114300">
            <wp:extent cx="5687695" cy="227507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27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52382">
      <w:pPr>
        <w:pStyle w:val="10"/>
        <w:keepNext w:val="0"/>
        <w:widowControl/>
        <w:spacing w:before="0" w:after="100" w:line="312" w:lineRule="auto"/>
        <w:ind w:firstLine="0"/>
        <w:jc w:val="center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图2 问题与回答长度分布及不同粗标签的长度差异</w:t>
      </w:r>
    </w:p>
    <w:p w14:paraId="5A379D12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图2完整展示训练集 3,448 条样本，回答横轴用对数刻度，所有类别采用共同分箱，问题使用全范围线性坐标；没有把长回答截断堆在 600 处。≥600 词回答共 498 条（14.44%），三类为 127/358/13，模糊回答占 71.89%，高于全体的 59.16%。这描述长度与标签的关联，不证明长回答造成错误；空白词数也不等同于模型 word pieces。</w:t>
      </w:r>
    </w:p>
    <w:p w14:paraId="11457B01">
      <w:pPr>
        <w:pStyle w:val="Caption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表8 相同 QEvasion 测试集上的总体指标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3175"/>
        <w:gridCol w:w="1474"/>
        <w:gridCol w:w="1474"/>
        <w:gridCol w:w="1474"/>
        <w:gridCol w:w="1474"/>
      </w:tblGrid>
      <w:tr w14:paraId="26CD233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jc w:val="center"/>
          <w:tblHeader/>
          <w:cantSplit/>
        </w:trPr>
        <w:tc>
          <w:tcPr>
            <w:tcW w:w="3175" w:type="dxa"/>
            <w:vAlign w:val="center"/>
          </w:tcPr>
          <w:p w14:paraId="2B2999F0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模型</w:t>
            </w:r>
          </w:p>
        </w:tc>
        <w:tc>
          <w:tcPr>
            <w:tcW w:w="1474" w:type="dxa"/>
            <w:vAlign w:val="center"/>
          </w:tcPr>
          <w:p w14:paraId="1CC1F13D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Accuracy</w:t>
            </w:r>
          </w:p>
        </w:tc>
        <w:tc>
          <w:tcPr>
            <w:tcW w:w="1474" w:type="dxa"/>
            <w:vAlign w:val="center"/>
          </w:tcPr>
          <w:p w14:paraId="2E833B40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Macro-P</w:t>
            </w:r>
          </w:p>
        </w:tc>
        <w:tc>
          <w:tcPr>
            <w:tcW w:w="1474" w:type="dxa"/>
            <w:vAlign w:val="center"/>
          </w:tcPr>
          <w:p w14:paraId="0356D179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Macro-R</w:t>
            </w:r>
          </w:p>
        </w:tc>
        <w:tc>
          <w:tcPr>
            <w:tcW w:w="1474" w:type="dxa"/>
            <w:vAlign w:val="center"/>
          </w:tcPr>
          <w:p w14:paraId="6DC5BB79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Macro-F1</w:t>
            </w:r>
          </w:p>
        </w:tc>
      </w:tr>
      <w:tr w14:paraId="16A8CB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jc w:val="center"/>
          <w:cantSplit/>
        </w:trPr>
        <w:tc>
          <w:tcPr>
            <w:tcW w:w="3175" w:type="dxa"/>
            <w:vAlign w:val="center"/>
          </w:tcPr>
          <w:p w14:paraId="04819B6D">
            <w:pPr>
              <w:spacing w:before="0" w:after="0" w:line="276" w:lineRule="auto"/>
              <w:jc w:val="left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多数类</w:t>
            </w:r>
          </w:p>
        </w:tc>
        <w:tc>
          <w:tcPr>
            <w:tcW w:w="1474" w:type="dxa"/>
            <w:vAlign w:val="center"/>
          </w:tcPr>
          <w:p w14:paraId="27FB40BD">
            <w:pPr>
              <w:spacing w:before="0" w:after="0" w:line="276" w:lineRule="auto"/>
              <w:jc w:val="center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0.6688</w:t>
            </w:r>
          </w:p>
        </w:tc>
        <w:tc>
          <w:tcPr>
            <w:tcW w:w="1474" w:type="dxa"/>
            <w:vAlign w:val="center"/>
          </w:tcPr>
          <w:p w14:paraId="6BEF78C9">
            <w:pPr>
              <w:spacing w:before="0" w:after="0" w:line="276" w:lineRule="auto"/>
              <w:jc w:val="center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0.2229</w:t>
            </w:r>
          </w:p>
        </w:tc>
        <w:tc>
          <w:tcPr>
            <w:tcW w:w="1474" w:type="dxa"/>
            <w:vAlign w:val="center"/>
          </w:tcPr>
          <w:p w14:paraId="29F6B45A">
            <w:pPr>
              <w:spacing w:before="0" w:after="0" w:line="276" w:lineRule="auto"/>
              <w:jc w:val="center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0.3333</w:t>
            </w:r>
          </w:p>
        </w:tc>
        <w:tc>
          <w:tcPr>
            <w:tcW w:w="1474" w:type="dxa"/>
            <w:vAlign w:val="center"/>
          </w:tcPr>
          <w:p w14:paraId="3B176F04">
            <w:pPr>
              <w:spacing w:before="0" w:after="0" w:line="276" w:lineRule="auto"/>
              <w:jc w:val="center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0.2672</w:t>
            </w:r>
          </w:p>
        </w:tc>
      </w:tr>
      <w:tr w14:paraId="741DDE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083A2845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TF-IDF + LR</w:t>
            </w:r>
          </w:p>
        </w:tc>
        <w:tc>
          <w:tcPr>
            <w:tcW w:w="1474" w:type="dxa"/>
            <w:vAlign w:val="center"/>
          </w:tcPr>
          <w:p w14:paraId="15420451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0.5390</w:t>
            </w:r>
          </w:p>
        </w:tc>
        <w:tc>
          <w:tcPr>
            <w:tcW w:w="1474" w:type="dxa"/>
            <w:vAlign w:val="center"/>
          </w:tcPr>
          <w:p w14:paraId="32B6681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0.4327</w:t>
            </w:r>
          </w:p>
        </w:tc>
        <w:tc>
          <w:tcPr>
            <w:tcW w:w="1474" w:type="dxa"/>
            <w:vAlign w:val="center"/>
          </w:tcPr>
          <w:p w14:paraId="5B46588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0.4391</w:t>
            </w:r>
          </w:p>
        </w:tc>
        <w:tc>
          <w:tcPr>
            <w:tcW w:w="1474" w:type="dxa"/>
            <w:vAlign w:val="center"/>
          </w:tcPr>
          <w:p w14:paraId="064575C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0.4351</w:t>
            </w:r>
          </w:p>
        </w:tc>
      </w:tr>
      <w:tr w14:paraId="6BD852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175" w:type="dxa"/>
            <w:vAlign w:val="center"/>
          </w:tcPr>
          <w:p w14:paraId="77E18A6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MiniLM + LR</w:t>
            </w:r>
          </w:p>
        </w:tc>
        <w:tc>
          <w:tcPr>
            <w:tcW w:w="1474" w:type="dxa"/>
            <w:vAlign w:val="center"/>
          </w:tcPr>
          <w:p w14:paraId="1F246AE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0.5812</w:t>
            </w:r>
          </w:p>
        </w:tc>
        <w:tc>
          <w:tcPr>
            <w:tcW w:w="1474" w:type="dxa"/>
            <w:vAlign w:val="center"/>
          </w:tcPr>
          <w:p w14:paraId="4EC8E98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0.4755</w:t>
            </w:r>
          </w:p>
        </w:tc>
        <w:tc>
          <w:tcPr>
            <w:tcW w:w="1474" w:type="dxa"/>
            <w:vAlign w:val="center"/>
          </w:tcPr>
          <w:p w14:paraId="65B20C18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0.5353</w:t>
            </w:r>
          </w:p>
        </w:tc>
        <w:tc>
          <w:tcPr>
            <w:tcW w:w="1474" w:type="dxa"/>
            <w:vAlign w:val="center"/>
          </w:tcPr>
          <w:p w14:paraId="34FB352B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0.4855</w:t>
            </w:r>
          </w:p>
        </w:tc>
      </w:tr>
      <w:tr>
        <w:tc>
          <w:tcPr>
            <w:tcW w:type="dxa" w:w="3175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九细类求和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0.6526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0.3122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0.4025</w:t>
            </w:r>
          </w:p>
        </w:tc>
        <w:tc>
          <w:tcPr>
            <w:tcW w:type="dxa" w:w="1474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0.3504</w:t>
            </w:r>
          </w:p>
        </w:tc>
      </w:tr>
    </w:tbl>
    <w:p w14:paraId="64F015FD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本次官方测试中 MiniLM 的 Macro-F1 为 0.4855，比 TF-IDF 高 0.0504，Accuracy 从 0.5390 升至 0.5812。配对区间跨越零，尚不能确认稳定优势。多数类策略准确率最高而 Macro-F1 最低；九细类汇总准确率较高却丢失 Clear Reply，说明判断模型不能仅看命中多数类的能力。</w:t>
      </w:r>
    </w:p>
    <w:p w14:paraId="7CE692EF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TF-IDF 的四种内部验证配置 Macro-F1 依次为 0.5084、0.5646、0.5115、0.5912，选中 unigram+bigram 与 balanced 权重；官方测试为 0.4351，下降 0.1561。实际整数标签分层划分产生 3,103 条拟合样本和 345 条验证样本，验证三类数量为 105/204/36；其中 343 条的来源 URL 已在拟合集出现，220 条（63.77%）共享完整回答，14 条共享完整问答对。这些相关样本使验证结果可能乐观；小样本波动与类别组成差异也可能有关，但不能据此确定全部落差的因果。官方测试未用于原始选参，仍作为主要模型比较依据。</w:t>
      </w:r>
    </w:p>
    <w:p>
      <w:pPr>
        <w:pStyle w:val="Caption"/>
        <w:keepNext/>
        <w:spacing w:after="80" w:line="300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表9 固定模型 Macro-F1 差值的95%置信区间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9AA5B1"/>
          <w:left w:val="single" w:sz="4" w:color="9AA5B1"/>
          <w:bottom w:val="single" w:sz="4" w:color="9AA5B1"/>
          <w:right w:val="single" w:sz="4" w:color="9AA5B1"/>
          <w:insideH w:val="single" w:sz="4" w:color="9AA5B1"/>
          <w:insideV w:val="single" w:sz="4" w:color="9AA5B1"/>
        </w:tblBorders>
      </w:tblPr>
      <w:tblGrid>
        <w:gridCol w:w="2448"/>
        <w:gridCol w:w="864"/>
        <w:gridCol w:w="2160"/>
        <w:gridCol w:w="2160"/>
      </w:tblGrid>
      <w:tr>
        <w:trPr>
          <w:tblHeader/>
          <w:cantSplit/>
        </w:trPr>
        <w:tc>
          <w:tcPr>
            <w:tcW w:type="dxa" w:w="2448"/>
            <w:vAlign w:val="center"/>
            <w:shd w:fill="F2F2F2"/>
          </w:tcPr>
          <w:p>
            <w:pPr>
              <w:spacing w:after="60" w:line="252" w:lineRule="auto" w:before="60"/>
              <w:keepNext w:val="1"/>
              <w:keepLines w:val="1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比较</w:t>
            </w:r>
          </w:p>
        </w:tc>
        <w:tc>
          <w:tcPr>
            <w:tcW w:type="dxa" w:w="864"/>
            <w:vAlign w:val="center"/>
            <w:shd w:fill="F2F2F2"/>
          </w:tcPr>
          <w:p>
            <w:pPr>
              <w:spacing w:after="60" w:line="252" w:lineRule="auto" w:before="60"/>
              <w:keepNext w:val="1"/>
              <w:keepLines w:val="1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差值</w:t>
            </w:r>
          </w:p>
        </w:tc>
        <w:tc>
          <w:tcPr>
            <w:tcW w:type="dxa" w:w="2160"/>
            <w:vAlign w:val="center"/>
            <w:shd w:fill="F2F2F2"/>
          </w:tcPr>
          <w:p>
            <w:pPr>
              <w:spacing w:after="60" w:line="252" w:lineRule="auto" w:before="60"/>
              <w:keepNext w:val="1"/>
              <w:keepLines w:val="1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样本配对区间</w:t>
            </w:r>
          </w:p>
        </w:tc>
        <w:tc>
          <w:tcPr>
            <w:tcW w:type="dxa" w:w="2160"/>
            <w:vAlign w:val="center"/>
            <w:shd w:fill="F2F2F2"/>
          </w:tcPr>
          <w:p>
            <w:pPr>
              <w:spacing w:after="60" w:line="252" w:lineRule="auto" w:before="60"/>
              <w:keepNext w:val="1"/>
              <w:keepLines w:val="1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URL簇配对区间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60" w:line="252" w:lineRule="auto" w:before="60"/>
              <w:keepNext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MiniLM − TF-IDF</w:t>
            </w:r>
          </w:p>
        </w:tc>
        <w:tc>
          <w:tcPr>
            <w:tcW w:type="dxa" w:w="864"/>
            <w:vAlign w:val="center"/>
            <w:shd w:fill="FFFFFF"/>
          </w:tcPr>
          <w:p>
            <w:pPr>
              <w:spacing w:after="60" w:line="252" w:lineRule="auto" w:before="60"/>
              <w:keepNext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+0.0504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60" w:line="252" w:lineRule="auto" w:before="60"/>
              <w:keepNext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[−0.0157, 0.1189]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60" w:line="252" w:lineRule="auto" w:before="60"/>
              <w:keepNext w:val="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[−0.0222, 0.1498]</w:t>
            </w:r>
          </w:p>
        </w:tc>
      </w:tr>
      <w:tr>
        <w:trPr>
          <w:cantSplit/>
        </w:trPr>
        <w:tc>
          <w:tcPr>
            <w:tcW w:type="dxa" w:w="2448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九细类求和 − MiniLM</w:t>
            </w:r>
          </w:p>
        </w:tc>
        <w:tc>
          <w:tcPr>
            <w:tcW w:type="dxa" w:w="864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−0.1351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[−0.2062, −0.0649]</w:t>
            </w:r>
          </w:p>
        </w:tc>
        <w:tc>
          <w:tcPr>
            <w:tcW w:type="dxa" w:w="2160"/>
            <w:vAlign w:val="center"/>
            <w:shd w:fill="FFFFFF"/>
          </w:tcPr>
          <w:p>
            <w:pPr>
              <w:spacing w:after="60" w:line="252" w:lineRule="auto" w:before="60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[−0.2268, −0.0637]</w:t>
            </w:r>
          </w:p>
        </w:tc>
      </w:tr>
    </w:tbl>
    <w:p>
      <w:pPr>
        <w:spacing w:after="80" w:line="300" w:lineRule="auto"/>
      </w:pPr>
      <w:r>
        <w:rPr>
          <w:rFonts w:ascii="Times New Roman" w:hAnsi="Times New Roman" w:eastAsia="宋体"/>
          <w:b w:val="0"/>
          <w:color w:val="000000"/>
          <w:sz w:val="21"/>
        </w:rPr>
        <w:t>固定现有模型，在相同测试记录上做 10,000 次配对百分位 bootstrap（seed=42）。样本重采样沿用 08 的 Python RNG；来源簇使用 09 的 NumPy PCG64，按 56 个 URL 有放回抽簇并保留簇内全部记录。两种分析下 MiniLM 增量的区间均覆盖 0，尚不能确认稳定优势；原层级设置退化的区间均未覆盖 0。区间只描述当前测试样本的不确定性，不包括训练种子波动，也不能证明因果或跨数据集普遍优势。</w:t>
      </w:r>
    </w:p>
    <w:p>
      <w:pPr>
        <w:keepNext/>
        <w:spacing w:after="80" w:line="300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</w:r>
      <w:r>
        <w:drawing>
          <wp:inline xmlns:a="http://schemas.openxmlformats.org/drawingml/2006/main" xmlns:pic="http://schemas.openxmlformats.org/drawingml/2006/picture">
            <wp:extent cx="5303520" cy="19582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resul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958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/>
        <w:spacing w:after="80" w:line="300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图3 同一 QEvasion 测试集上的总体指标及 MiniLM 混淆矩阵</w:t>
      </w:r>
    </w:p>
    <w:p>
      <w:pPr>
        <w:keepLines/>
        <w:spacing w:after="80" w:line="300" w:lineRule="auto"/>
      </w:pPr>
      <w:r>
        <w:rPr>
          <w:rFonts w:ascii="Times New Roman" w:hAnsi="Times New Roman" w:eastAsia="宋体"/>
          <w:b w:val="0"/>
          <w:color w:val="000000"/>
          <w:sz w:val="21"/>
        </w:rPr>
        <w:t>图中四种设置均在 QEvasion 官方 308 条记录上评价，不混入 QNLI 二分类成绩。多数类与九细类求和方案虽有较高准确率，主指标却更低；右侧按真实与预测标签展示主模型错误方向。Clear Non-Reply 仅23条，其精确率与召回率需结合支持数理解。</w:t>
      </w:r>
    </w:p>
    <w:p w14:paraId="3C33629E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4.3 类别级指标与混淆方向</w:t>
      </w:r>
    </w:p>
    <w:p w14:paraId="439FE6ED">
      <w:pPr>
        <w:pStyle w:val="Caption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表10 三种基线的类别级指标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1134"/>
        <w:gridCol w:w="2835"/>
        <w:gridCol w:w="794"/>
        <w:gridCol w:w="1417"/>
        <w:gridCol w:w="1417"/>
        <w:gridCol w:w="1474"/>
      </w:tblGrid>
      <w:tr w14:paraId="21BB95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jc w:val="center"/>
          <w:tblHeader/>
          <w:cantSplit/>
        </w:trPr>
        <w:tc>
          <w:tcPr>
            <w:tcW w:w="1134" w:type="dxa"/>
            <w:vAlign w:val="center"/>
          </w:tcPr>
          <w:p w14:paraId="3552627A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模型</w:t>
            </w:r>
          </w:p>
        </w:tc>
        <w:tc>
          <w:tcPr>
            <w:tcW w:w="2835" w:type="dxa"/>
            <w:vAlign w:val="center"/>
          </w:tcPr>
          <w:p w14:paraId="7117A3C6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类别</w:t>
            </w:r>
          </w:p>
        </w:tc>
        <w:tc>
          <w:tcPr>
            <w:tcW w:w="794" w:type="dxa"/>
            <w:vAlign w:val="center"/>
          </w:tcPr>
          <w:p w14:paraId="7DFE50C6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数量</w:t>
            </w:r>
          </w:p>
        </w:tc>
        <w:tc>
          <w:tcPr>
            <w:tcW w:w="1417" w:type="dxa"/>
            <w:vAlign w:val="center"/>
          </w:tcPr>
          <w:p w14:paraId="46F4756E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P</w:t>
            </w:r>
          </w:p>
        </w:tc>
        <w:tc>
          <w:tcPr>
            <w:tcW w:w="1417" w:type="dxa"/>
            <w:vAlign w:val="center"/>
          </w:tcPr>
          <w:p w14:paraId="64669671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R</w:t>
            </w:r>
          </w:p>
        </w:tc>
        <w:tc>
          <w:tcPr>
            <w:tcW w:w="1474" w:type="dxa"/>
            <w:vAlign w:val="center"/>
          </w:tcPr>
          <w:p w14:paraId="69B0667C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F1</w:t>
            </w:r>
          </w:p>
        </w:tc>
      </w:tr>
      <w:tr w14:paraId="68B038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jc w:val="center"/>
          <w:cantSplit/>
        </w:trPr>
        <w:tc>
          <w:tcPr>
            <w:tcW w:w="1134" w:type="dxa"/>
            <w:vAlign w:val="center"/>
          </w:tcPr>
          <w:p w14:paraId="0843E197">
            <w:pPr>
              <w:spacing w:before="0" w:after="0" w:line="276" w:lineRule="auto"/>
              <w:jc w:val="left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多数类</w:t>
            </w:r>
          </w:p>
        </w:tc>
        <w:tc>
          <w:tcPr>
            <w:tcW w:w="2835" w:type="dxa"/>
            <w:vAlign w:val="center"/>
          </w:tcPr>
          <w:p w14:paraId="6D07D9FB">
            <w:pPr>
              <w:spacing w:before="0" w:after="0" w:line="276" w:lineRule="auto"/>
              <w:jc w:val="center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Reply</w:t>
            </w:r>
          </w:p>
        </w:tc>
        <w:tc>
          <w:tcPr>
            <w:tcW w:w="794" w:type="dxa"/>
            <w:vAlign w:val="center"/>
          </w:tcPr>
          <w:p w14:paraId="4048FE5A">
            <w:pPr>
              <w:spacing w:before="0" w:after="0" w:line="276" w:lineRule="auto"/>
              <w:jc w:val="center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79</w:t>
            </w:r>
          </w:p>
        </w:tc>
        <w:tc>
          <w:tcPr>
            <w:tcW w:w="1417" w:type="dxa"/>
            <w:vAlign w:val="center"/>
          </w:tcPr>
          <w:p w14:paraId="7FE74A4A">
            <w:pPr>
              <w:spacing w:before="0" w:after="0" w:line="276" w:lineRule="auto"/>
              <w:jc w:val="center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0.0000</w:t>
            </w:r>
          </w:p>
        </w:tc>
        <w:tc>
          <w:tcPr>
            <w:tcW w:w="1417" w:type="dxa"/>
            <w:vAlign w:val="center"/>
          </w:tcPr>
          <w:p w14:paraId="79466A38">
            <w:pPr>
              <w:spacing w:before="0" w:after="0" w:line="276" w:lineRule="auto"/>
              <w:jc w:val="center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0.0000</w:t>
            </w:r>
          </w:p>
        </w:tc>
        <w:tc>
          <w:tcPr>
            <w:tcW w:w="1474" w:type="dxa"/>
            <w:vAlign w:val="center"/>
          </w:tcPr>
          <w:p w14:paraId="7FA140BC">
            <w:pPr>
              <w:spacing w:before="0" w:after="0" w:line="276" w:lineRule="auto"/>
              <w:jc w:val="center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0.0000</w:t>
            </w:r>
          </w:p>
        </w:tc>
      </w:tr>
      <w:tr w14:paraId="572C77D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384CFC7D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多数类</w:t>
            </w:r>
          </w:p>
        </w:tc>
        <w:tc>
          <w:tcPr>
            <w:tcW w:w="2835" w:type="dxa"/>
            <w:vAlign w:val="center"/>
          </w:tcPr>
          <w:p w14:paraId="62245224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Ambivalent Reply</w:t>
            </w:r>
          </w:p>
        </w:tc>
        <w:tc>
          <w:tcPr>
            <w:tcW w:w="794" w:type="dxa"/>
            <w:vAlign w:val="center"/>
          </w:tcPr>
          <w:p w14:paraId="7B5A51F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206</w:t>
            </w:r>
          </w:p>
        </w:tc>
        <w:tc>
          <w:tcPr>
            <w:tcW w:w="1417" w:type="dxa"/>
            <w:vAlign w:val="center"/>
          </w:tcPr>
          <w:p w14:paraId="16A6DEBE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0.6688</w:t>
            </w:r>
          </w:p>
        </w:tc>
        <w:tc>
          <w:tcPr>
            <w:tcW w:w="1417" w:type="dxa"/>
            <w:vAlign w:val="center"/>
          </w:tcPr>
          <w:p w14:paraId="5EDCD49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1.0000</w:t>
            </w:r>
          </w:p>
        </w:tc>
        <w:tc>
          <w:tcPr>
            <w:tcW w:w="1474" w:type="dxa"/>
            <w:vAlign w:val="center"/>
          </w:tcPr>
          <w:p w14:paraId="729B949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0.8016</w:t>
            </w:r>
          </w:p>
        </w:tc>
      </w:tr>
      <w:tr w14:paraId="236FDE2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175963DE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多数类</w:t>
            </w:r>
          </w:p>
        </w:tc>
        <w:tc>
          <w:tcPr>
            <w:tcW w:w="2835" w:type="dxa"/>
            <w:vAlign w:val="center"/>
          </w:tcPr>
          <w:p w14:paraId="6E2FF45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Non-Reply</w:t>
            </w:r>
          </w:p>
        </w:tc>
        <w:tc>
          <w:tcPr>
            <w:tcW w:w="794" w:type="dxa"/>
            <w:vAlign w:val="center"/>
          </w:tcPr>
          <w:p w14:paraId="1D37634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23</w:t>
            </w:r>
          </w:p>
        </w:tc>
        <w:tc>
          <w:tcPr>
            <w:tcW w:w="1417" w:type="dxa"/>
            <w:vAlign w:val="center"/>
          </w:tcPr>
          <w:p w14:paraId="6A10405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0.0000</w:t>
            </w:r>
          </w:p>
        </w:tc>
        <w:tc>
          <w:tcPr>
            <w:tcW w:w="1417" w:type="dxa"/>
            <w:vAlign w:val="center"/>
          </w:tcPr>
          <w:p w14:paraId="753874F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0.0000</w:t>
            </w:r>
          </w:p>
        </w:tc>
        <w:tc>
          <w:tcPr>
            <w:tcW w:w="1474" w:type="dxa"/>
            <w:vAlign w:val="center"/>
          </w:tcPr>
          <w:p w14:paraId="54314798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0.0000</w:t>
            </w:r>
          </w:p>
        </w:tc>
      </w:tr>
      <w:tr w14:paraId="41AD26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4A88DFE2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TF-IDF</w:t>
            </w:r>
          </w:p>
        </w:tc>
        <w:tc>
          <w:tcPr>
            <w:tcW w:w="2835" w:type="dxa"/>
            <w:vAlign w:val="center"/>
          </w:tcPr>
          <w:p w14:paraId="747B262B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Reply</w:t>
            </w:r>
          </w:p>
        </w:tc>
        <w:tc>
          <w:tcPr>
            <w:tcW w:w="794" w:type="dxa"/>
            <w:vAlign w:val="center"/>
          </w:tcPr>
          <w:p w14:paraId="5436646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79</w:t>
            </w:r>
          </w:p>
        </w:tc>
        <w:tc>
          <w:tcPr>
            <w:tcW w:w="1417" w:type="dxa"/>
            <w:vAlign w:val="center"/>
          </w:tcPr>
          <w:p w14:paraId="18F8664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0.2333</w:t>
            </w:r>
          </w:p>
        </w:tc>
        <w:tc>
          <w:tcPr>
            <w:tcW w:w="1417" w:type="dxa"/>
            <w:vAlign w:val="center"/>
          </w:tcPr>
          <w:p w14:paraId="502876E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0.2658</w:t>
            </w:r>
          </w:p>
        </w:tc>
        <w:tc>
          <w:tcPr>
            <w:tcW w:w="1474" w:type="dxa"/>
            <w:vAlign w:val="center"/>
          </w:tcPr>
          <w:p w14:paraId="3B8B5E9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0.2485</w:t>
            </w:r>
          </w:p>
        </w:tc>
      </w:tr>
      <w:tr w14:paraId="49423E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37F7B4AB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TF-IDF</w:t>
            </w:r>
          </w:p>
        </w:tc>
        <w:tc>
          <w:tcPr>
            <w:tcW w:w="2835" w:type="dxa"/>
            <w:vAlign w:val="center"/>
          </w:tcPr>
          <w:p w14:paraId="541D701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Ambivalent Reply</w:t>
            </w:r>
          </w:p>
        </w:tc>
        <w:tc>
          <w:tcPr>
            <w:tcW w:w="794" w:type="dxa"/>
            <w:vAlign w:val="center"/>
          </w:tcPr>
          <w:p w14:paraId="74580CB9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206</w:t>
            </w:r>
          </w:p>
        </w:tc>
        <w:tc>
          <w:tcPr>
            <w:tcW w:w="1417" w:type="dxa"/>
            <w:vAlign w:val="center"/>
          </w:tcPr>
          <w:p w14:paraId="3E292428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0.7047</w:t>
            </w:r>
          </w:p>
        </w:tc>
        <w:tc>
          <w:tcPr>
            <w:tcW w:w="1417" w:type="dxa"/>
            <w:vAlign w:val="center"/>
          </w:tcPr>
          <w:p w14:paraId="6ABB8B6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0.6602</w:t>
            </w:r>
          </w:p>
        </w:tc>
        <w:tc>
          <w:tcPr>
            <w:tcW w:w="1474" w:type="dxa"/>
            <w:vAlign w:val="center"/>
          </w:tcPr>
          <w:p w14:paraId="1A83281E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0.6817</w:t>
            </w:r>
          </w:p>
        </w:tc>
      </w:tr>
      <w:tr w14:paraId="349B375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07DFE8AB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TF-IDF</w:t>
            </w:r>
          </w:p>
        </w:tc>
        <w:tc>
          <w:tcPr>
            <w:tcW w:w="2835" w:type="dxa"/>
            <w:vAlign w:val="center"/>
          </w:tcPr>
          <w:p w14:paraId="2DFF154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Non-Reply</w:t>
            </w:r>
          </w:p>
        </w:tc>
        <w:tc>
          <w:tcPr>
            <w:tcW w:w="794" w:type="dxa"/>
            <w:vAlign w:val="center"/>
          </w:tcPr>
          <w:p w14:paraId="1D058558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23</w:t>
            </w:r>
          </w:p>
        </w:tc>
        <w:tc>
          <w:tcPr>
            <w:tcW w:w="1417" w:type="dxa"/>
            <w:vAlign w:val="center"/>
          </w:tcPr>
          <w:p w14:paraId="0E28036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0.3600</w:t>
            </w:r>
          </w:p>
        </w:tc>
        <w:tc>
          <w:tcPr>
            <w:tcW w:w="1417" w:type="dxa"/>
            <w:vAlign w:val="center"/>
          </w:tcPr>
          <w:p w14:paraId="5F8258A2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0.3913</w:t>
            </w:r>
          </w:p>
        </w:tc>
        <w:tc>
          <w:tcPr>
            <w:tcW w:w="1474" w:type="dxa"/>
            <w:vAlign w:val="center"/>
          </w:tcPr>
          <w:p w14:paraId="6106FE1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0.3750</w:t>
            </w:r>
          </w:p>
        </w:tc>
      </w:tr>
      <w:tr w14:paraId="456B2C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276EA50D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MiniLM</w:t>
            </w:r>
          </w:p>
        </w:tc>
        <w:tc>
          <w:tcPr>
            <w:tcW w:w="2835" w:type="dxa"/>
            <w:vAlign w:val="center"/>
          </w:tcPr>
          <w:p w14:paraId="6A90576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Reply</w:t>
            </w:r>
          </w:p>
        </w:tc>
        <w:tc>
          <w:tcPr>
            <w:tcW w:w="794" w:type="dxa"/>
            <w:vAlign w:val="center"/>
          </w:tcPr>
          <w:p w14:paraId="234812A4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79</w:t>
            </w:r>
          </w:p>
        </w:tc>
        <w:tc>
          <w:tcPr>
            <w:tcW w:w="1417" w:type="dxa"/>
            <w:vAlign w:val="center"/>
          </w:tcPr>
          <w:p w14:paraId="23C311D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0.4167</w:t>
            </w:r>
          </w:p>
        </w:tc>
        <w:tc>
          <w:tcPr>
            <w:tcW w:w="1417" w:type="dxa"/>
            <w:vAlign w:val="center"/>
          </w:tcPr>
          <w:p w14:paraId="617BCFF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0.5063</w:t>
            </w:r>
          </w:p>
        </w:tc>
        <w:tc>
          <w:tcPr>
            <w:tcW w:w="1474" w:type="dxa"/>
            <w:vAlign w:val="center"/>
          </w:tcPr>
          <w:p w14:paraId="57021FB1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0.4571</w:t>
            </w:r>
          </w:p>
        </w:tc>
      </w:tr>
      <w:tr w14:paraId="4B6BB6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0C8604C5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MiniLM</w:t>
            </w:r>
          </w:p>
        </w:tc>
        <w:tc>
          <w:tcPr>
            <w:tcW w:w="2835" w:type="dxa"/>
            <w:vAlign w:val="center"/>
          </w:tcPr>
          <w:p w14:paraId="0DC9D291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Ambivalent Reply</w:t>
            </w:r>
          </w:p>
        </w:tc>
        <w:tc>
          <w:tcPr>
            <w:tcW w:w="794" w:type="dxa"/>
            <w:vAlign w:val="center"/>
          </w:tcPr>
          <w:p w14:paraId="4B2BAD1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206</w:t>
            </w:r>
          </w:p>
        </w:tc>
        <w:tc>
          <w:tcPr>
            <w:tcW w:w="1417" w:type="dxa"/>
            <w:vAlign w:val="center"/>
          </w:tcPr>
          <w:p w14:paraId="71FE6707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0.7853</w:t>
            </w:r>
          </w:p>
        </w:tc>
        <w:tc>
          <w:tcPr>
            <w:tcW w:w="1417" w:type="dxa"/>
            <w:vAlign w:val="center"/>
          </w:tcPr>
          <w:p w14:paraId="1E935032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0.6214</w:t>
            </w:r>
          </w:p>
        </w:tc>
        <w:tc>
          <w:tcPr>
            <w:tcW w:w="1474" w:type="dxa"/>
            <w:vAlign w:val="center"/>
          </w:tcPr>
          <w:p w14:paraId="5D0BEBF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0.6938</w:t>
            </w:r>
          </w:p>
        </w:tc>
      </w:tr>
      <w:tr w14:paraId="509115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1134" w:type="dxa"/>
            <w:vAlign w:val="center"/>
          </w:tcPr>
          <w:p w14:paraId="374A70FD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MiniLM</w:t>
            </w:r>
          </w:p>
        </w:tc>
        <w:tc>
          <w:tcPr>
            <w:tcW w:w="2835" w:type="dxa"/>
            <w:vAlign w:val="center"/>
          </w:tcPr>
          <w:p w14:paraId="3560C40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Non-Reply</w:t>
            </w:r>
          </w:p>
        </w:tc>
        <w:tc>
          <w:tcPr>
            <w:tcW w:w="794" w:type="dxa"/>
            <w:vAlign w:val="center"/>
          </w:tcPr>
          <w:p w14:paraId="73984FD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23</w:t>
            </w:r>
          </w:p>
        </w:tc>
        <w:tc>
          <w:tcPr>
            <w:tcW w:w="1417" w:type="dxa"/>
            <w:vAlign w:val="center"/>
          </w:tcPr>
          <w:p w14:paraId="19F59C9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0.2245</w:t>
            </w:r>
          </w:p>
        </w:tc>
        <w:tc>
          <w:tcPr>
            <w:tcW w:w="1417" w:type="dxa"/>
            <w:vAlign w:val="center"/>
          </w:tcPr>
          <w:p w14:paraId="3CF3511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0.4783</w:t>
            </w:r>
          </w:p>
        </w:tc>
        <w:tc>
          <w:tcPr>
            <w:tcW w:w="1474" w:type="dxa"/>
            <w:vAlign w:val="center"/>
          </w:tcPr>
          <w:p w14:paraId="3F2E7AB2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0.3056</w:t>
            </w:r>
          </w:p>
        </w:tc>
      </w:tr>
    </w:tbl>
    <w:p w14:paraId="28017E03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本次 Clear Reply 的 F1 从 0.2485 到 0.4571，增加 0.2086；Ambivalent Reply 从 0.6817 到 0.6938；Clear Non-Reply 则从 0.3750 降至 0.3056。总体的观察增量主要伴随 Clear Reply 识别改善，不能表述为三个类别均受益，也不能从一次对照证明表示方式的因果作用。</w:t>
      </w:r>
    </w:p>
    <w:p w14:paraId="1566D232">
      <w:pPr>
        <w:pStyle w:val="Caption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表11 MiniLM 混淆矩阵（行是真实标签，列是预测标签）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3118"/>
        <w:gridCol w:w="1984"/>
        <w:gridCol w:w="1984"/>
        <w:gridCol w:w="1984"/>
      </w:tblGrid>
      <w:tr w14:paraId="21AC441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jc w:val="center"/>
          <w:tblHeader/>
          <w:cantSplit/>
        </w:trPr>
        <w:tc>
          <w:tcPr>
            <w:tcW w:w="3118" w:type="dxa"/>
            <w:vAlign w:val="center"/>
          </w:tcPr>
          <w:p w14:paraId="3FDBD68A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真实／预测</w:t>
            </w:r>
          </w:p>
        </w:tc>
        <w:tc>
          <w:tcPr>
            <w:tcW w:w="1984" w:type="dxa"/>
            <w:vAlign w:val="center"/>
          </w:tcPr>
          <w:p w14:paraId="3375E375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Clear Reply</w:t>
            </w:r>
          </w:p>
        </w:tc>
        <w:tc>
          <w:tcPr>
            <w:tcW w:w="1984" w:type="dxa"/>
            <w:vAlign w:val="center"/>
          </w:tcPr>
          <w:p w14:paraId="47ACE078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Ambivalent</w:t>
            </w:r>
          </w:p>
        </w:tc>
        <w:tc>
          <w:tcPr>
            <w:tcW w:w="1984" w:type="dxa"/>
            <w:vAlign w:val="center"/>
          </w:tcPr>
          <w:p w14:paraId="721381F1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Non-Reply</w:t>
            </w:r>
          </w:p>
        </w:tc>
      </w:tr>
      <w:tr w14:paraId="38D6990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jc w:val="center"/>
          <w:cantSplit/>
        </w:trPr>
        <w:tc>
          <w:tcPr>
            <w:tcW w:w="3118" w:type="dxa"/>
            <w:vAlign w:val="center"/>
          </w:tcPr>
          <w:p w14:paraId="45AD4E58">
            <w:pPr>
              <w:spacing w:before="0" w:after="0" w:line="276" w:lineRule="auto"/>
              <w:jc w:val="left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Reply</w:t>
            </w:r>
          </w:p>
        </w:tc>
        <w:tc>
          <w:tcPr>
            <w:tcW w:w="1984" w:type="dxa"/>
            <w:vAlign w:val="center"/>
          </w:tcPr>
          <w:p w14:paraId="32DB39D0">
            <w:pPr>
              <w:spacing w:before="0" w:after="0" w:line="276" w:lineRule="auto"/>
              <w:jc w:val="center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40</w:t>
            </w:r>
          </w:p>
        </w:tc>
        <w:tc>
          <w:tcPr>
            <w:tcW w:w="1984" w:type="dxa"/>
            <w:vAlign w:val="center"/>
          </w:tcPr>
          <w:p w14:paraId="6285EBCD">
            <w:pPr>
              <w:spacing w:before="0" w:after="0" w:line="276" w:lineRule="auto"/>
              <w:jc w:val="center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30</w:t>
            </w:r>
          </w:p>
        </w:tc>
        <w:tc>
          <w:tcPr>
            <w:tcW w:w="1984" w:type="dxa"/>
            <w:vAlign w:val="center"/>
          </w:tcPr>
          <w:p w14:paraId="2159BB5A">
            <w:pPr>
              <w:spacing w:before="0" w:after="0" w:line="276" w:lineRule="auto"/>
              <w:jc w:val="center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9</w:t>
            </w:r>
          </w:p>
        </w:tc>
      </w:tr>
      <w:tr w14:paraId="3865E1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118" w:type="dxa"/>
            <w:vAlign w:val="center"/>
          </w:tcPr>
          <w:p w14:paraId="41F0076D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Ambivalent</w:t>
            </w:r>
          </w:p>
        </w:tc>
        <w:tc>
          <w:tcPr>
            <w:tcW w:w="1984" w:type="dxa"/>
            <w:vAlign w:val="center"/>
          </w:tcPr>
          <w:p w14:paraId="4CE69ED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49</w:t>
            </w:r>
          </w:p>
        </w:tc>
        <w:tc>
          <w:tcPr>
            <w:tcW w:w="1984" w:type="dxa"/>
            <w:vAlign w:val="center"/>
          </w:tcPr>
          <w:p w14:paraId="06FFA8D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128</w:t>
            </w:r>
          </w:p>
        </w:tc>
        <w:tc>
          <w:tcPr>
            <w:tcW w:w="1984" w:type="dxa"/>
            <w:vAlign w:val="center"/>
          </w:tcPr>
          <w:p w14:paraId="69C8870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29</w:t>
            </w:r>
          </w:p>
        </w:tc>
      </w:tr>
      <w:tr w14:paraId="19C2938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118" w:type="dxa"/>
            <w:vAlign w:val="center"/>
          </w:tcPr>
          <w:p w14:paraId="047AF75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Clear Non-Reply</w:t>
            </w:r>
          </w:p>
        </w:tc>
        <w:tc>
          <w:tcPr>
            <w:tcW w:w="1984" w:type="dxa"/>
            <w:vAlign w:val="center"/>
          </w:tcPr>
          <w:p w14:paraId="64070939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7</w:t>
            </w:r>
          </w:p>
        </w:tc>
        <w:tc>
          <w:tcPr>
            <w:tcW w:w="1984" w:type="dxa"/>
            <w:vAlign w:val="center"/>
          </w:tcPr>
          <w:p w14:paraId="5046FEA7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5</w:t>
            </w:r>
          </w:p>
        </w:tc>
        <w:tc>
          <w:tcPr>
            <w:tcW w:w="1984" w:type="dxa"/>
            <w:vAlign w:val="center"/>
          </w:tcPr>
          <w:p w14:paraId="75C601A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11</w:t>
            </w:r>
          </w:p>
        </w:tc>
      </w:tr>
    </w:tbl>
    <w:p w14:paraId="2A91DA89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MiniLM 将 23 个真实 Non-Reply 中的 11 个识别正确，召回率为 0.4783，但共预测出 49 个 Non-Reply，精确率只有 0.2245。其余来自 9 个明确回答和 29 个模糊回答。balanced 权重有助于关注少数类，却不保证概率经过校准；部分回答、澄清和明确拒答的语义边界仍需细致判断。</w:t>
      </w:r>
    </w:p>
    <w:p w14:paraId="042CBB44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按回答词数作诊断，≤256 词组有 142 条样本，Accuracy 为 0.4859、Macro-F1 为 0.4523；&gt;256 词组有 166 条，分别为 0.6627、0.4193。长回答组准确率更高而 Macro-F1 更低，说明分组后的类别组成会影响评价。该观察不能证明长度造成错误，也不能用于估计 256 个 word pieces 截断的因果影响。</w:t>
      </w:r>
    </w:p>
    <w:p w14:paraId="429A4D25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4.4 QNLI 直接复用与适配结果</w:t>
      </w:r>
    </w:p>
    <w:p w14:paraId="5D1F77EA">
      <w:pPr>
        <w:pStyle w:val="Caption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表12 同一 QNLI dev 集上的迁移比较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3402"/>
        <w:gridCol w:w="1134"/>
        <w:gridCol w:w="1134"/>
        <w:gridCol w:w="3402"/>
      </w:tblGrid>
      <w:tr w14:paraId="661AE5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jc w:val="center"/>
          <w:tblHeader/>
          <w:cantSplit/>
        </w:trPr>
        <w:tc>
          <w:tcPr>
            <w:tcW w:w="3402" w:type="dxa"/>
            <w:vAlign w:val="center"/>
          </w:tcPr>
          <w:p w14:paraId="0A389CE3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模型设置</w:t>
            </w:r>
          </w:p>
        </w:tc>
        <w:tc>
          <w:tcPr>
            <w:tcW w:w="1134" w:type="dxa"/>
            <w:vAlign w:val="center"/>
          </w:tcPr>
          <w:p w14:paraId="6C87C9FC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Accuracy</w:t>
            </w:r>
          </w:p>
        </w:tc>
        <w:tc>
          <w:tcPr>
            <w:tcW w:w="1134" w:type="dxa"/>
            <w:vAlign w:val="center"/>
          </w:tcPr>
          <w:p w14:paraId="7886AECA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Macro-F1</w:t>
            </w:r>
          </w:p>
        </w:tc>
        <w:tc>
          <w:tcPr>
            <w:tcW w:w="3402" w:type="dxa"/>
            <w:vAlign w:val="center"/>
          </w:tcPr>
          <w:p w14:paraId="4CD6A263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监督来源</w:t>
            </w:r>
          </w:p>
        </w:tc>
      </w:tr>
      <w:tr w14:paraId="5622BE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jc w:val="center"/>
          <w:cantSplit/>
        </w:trPr>
        <w:tc>
          <w:tcPr>
            <w:tcW w:w="3402" w:type="dxa"/>
            <w:vAlign w:val="center"/>
          </w:tcPr>
          <w:p w14:paraId="3BA98CAD">
            <w:pPr>
              <w:spacing w:before="0" w:after="0" w:line="276" w:lineRule="auto"/>
              <w:jc w:val="left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常数标签基线</w:t>
            </w:r>
          </w:p>
        </w:tc>
        <w:tc>
          <w:tcPr>
            <w:tcW w:w="1134" w:type="dxa"/>
            <w:vAlign w:val="center"/>
          </w:tcPr>
          <w:p w14:paraId="6A4123F7">
            <w:pPr>
              <w:spacing w:before="0" w:after="0" w:line="276" w:lineRule="auto"/>
              <w:jc w:val="center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0.4946</w:t>
            </w:r>
          </w:p>
        </w:tc>
        <w:tc>
          <w:tcPr>
            <w:tcW w:w="1134" w:type="dxa"/>
            <w:vAlign w:val="center"/>
          </w:tcPr>
          <w:p w14:paraId="07E58F3E">
            <w:pPr>
              <w:spacing w:before="0" w:after="0" w:line="276" w:lineRule="auto"/>
              <w:jc w:val="center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0.3309</w:t>
            </w:r>
          </w:p>
        </w:tc>
        <w:tc>
          <w:tcPr>
            <w:tcW w:w="3402" w:type="dxa"/>
            <w:vAlign w:val="center"/>
          </w:tcPr>
          <w:p w14:paraId="7AA99534">
            <w:pPr>
              <w:spacing w:before="0" w:after="0" w:line="276" w:lineRule="auto"/>
              <w:jc w:val="center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目标训练集类频并列，固定选标签0</w:t>
            </w:r>
          </w:p>
        </w:tc>
      </w:tr>
      <w:tr w14:paraId="1FF5FA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402" w:type="dxa"/>
            <w:vAlign w:val="center"/>
          </w:tcPr>
          <w:p w14:paraId="69B2DF23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源域模型＋固定标签投影</w:t>
            </w:r>
          </w:p>
        </w:tc>
        <w:tc>
          <w:tcPr>
            <w:tcW w:w="1134" w:type="dxa"/>
            <w:vAlign w:val="center"/>
          </w:tcPr>
          <w:p w14:paraId="28040D9F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0.5047</w:t>
            </w:r>
          </w:p>
        </w:tc>
        <w:tc>
          <w:tcPr>
            <w:tcW w:w="1134" w:type="dxa"/>
            <w:vAlign w:val="center"/>
          </w:tcPr>
          <w:p w14:paraId="460DB1A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0.3364</w:t>
            </w:r>
          </w:p>
        </w:tc>
        <w:tc>
          <w:tcPr>
            <w:tcW w:w="3402" w:type="dxa"/>
            <w:vAlign w:val="center"/>
          </w:tcPr>
          <w:p w14:paraId="21BC14D7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仅 QEvasion 标签</w:t>
            </w:r>
          </w:p>
        </w:tc>
      </w:tr>
      <w:tr w14:paraId="5E4BF1A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402" w:type="dxa"/>
            <w:vAlign w:val="center"/>
          </w:tcPr>
          <w:p w14:paraId="033BF778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QNLI 适配后 TF-IDF + LR</w:t>
            </w:r>
          </w:p>
        </w:tc>
        <w:tc>
          <w:tcPr>
            <w:tcW w:w="1134" w:type="dxa"/>
            <w:vAlign w:val="center"/>
          </w:tcPr>
          <w:p w14:paraId="0AC70F0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0.5764</w:t>
            </w:r>
          </w:p>
        </w:tc>
        <w:tc>
          <w:tcPr>
            <w:tcW w:w="1134" w:type="dxa"/>
            <w:vAlign w:val="center"/>
          </w:tcPr>
          <w:p w14:paraId="56AF251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0.5741</w:t>
            </w:r>
          </w:p>
        </w:tc>
        <w:tc>
          <w:tcPr>
            <w:tcW w:w="3402" w:type="dxa"/>
            <w:vAlign w:val="center"/>
          </w:tcPr>
          <w:p w14:paraId="7977F2E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QNLI 12,000 条训练标签</w:t>
            </w:r>
          </w:p>
        </w:tc>
      </w:tr>
    </w:tbl>
    <w:p w14:paraId="5C4EAF38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直接复用模型仅把 10 条 QNLI 样本预测为“包含答案”，其中只有 3 条正确；该类召回率为 3/2,702≈0.0011，说明固定投影后模型几乎退化为“不包含答案”策略。这一失败既包含文本分布差异，也包含标签语义近似和阈值不匹配，不能只归因于其中某一个因素。</w:t>
      </w:r>
    </w:p>
    <w:p w14:paraId="204FABEC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适配模型在 QNLI 数据上重新拟合 TF-IDF 词表和逻辑回归，验证集选择 unigram+bigram、无类别权重。目标训练样本恰好每类 6,000 条，balanced 权重相同，因此其与无权重配置得到相同验证结果并不意外。最终 Macro-F1 为 0.5741，比固定标签投影提高 0.2377，表明目标场景监督与词表重建对本设置有明显作用。</w:t>
      </w:r>
    </w:p>
    <w:p w14:paraId="3C7B6A5A">
      <w:pPr>
        <w:pStyle w:val="Caption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表13 QNLI 适配模型类别级结果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3402"/>
        <w:gridCol w:w="964"/>
        <w:gridCol w:w="1587"/>
        <w:gridCol w:w="1587"/>
        <w:gridCol w:w="1531"/>
      </w:tblGrid>
      <w:tr w14:paraId="4B7687F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jc w:val="center"/>
          <w:tblHeader/>
          <w:cantSplit/>
        </w:trPr>
        <w:tc>
          <w:tcPr>
            <w:tcW w:w="3402" w:type="dxa"/>
            <w:vAlign w:val="center"/>
          </w:tcPr>
          <w:p w14:paraId="7234AED4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类别</w:t>
            </w:r>
          </w:p>
        </w:tc>
        <w:tc>
          <w:tcPr>
            <w:tcW w:w="964" w:type="dxa"/>
            <w:vAlign w:val="center"/>
          </w:tcPr>
          <w:p w14:paraId="76D5111C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样本数</w:t>
            </w:r>
          </w:p>
        </w:tc>
        <w:tc>
          <w:tcPr>
            <w:tcW w:w="1587" w:type="dxa"/>
            <w:vAlign w:val="center"/>
          </w:tcPr>
          <w:p w14:paraId="03AD81E0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Precision</w:t>
            </w:r>
          </w:p>
        </w:tc>
        <w:tc>
          <w:tcPr>
            <w:tcW w:w="1587" w:type="dxa"/>
            <w:vAlign w:val="center"/>
          </w:tcPr>
          <w:p w14:paraId="5E3633DE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Recall</w:t>
            </w:r>
          </w:p>
        </w:tc>
        <w:tc>
          <w:tcPr>
            <w:tcW w:w="1531" w:type="dxa"/>
            <w:vAlign w:val="center"/>
          </w:tcPr>
          <w:p w14:paraId="5E88CD97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F1</w:t>
            </w:r>
          </w:p>
        </w:tc>
      </w:tr>
      <w:tr w14:paraId="29D3532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jc w:val="center"/>
          <w:cantSplit/>
        </w:trPr>
        <w:tc>
          <w:tcPr>
            <w:tcW w:w="3402" w:type="dxa"/>
            <w:vAlign w:val="center"/>
          </w:tcPr>
          <w:p w14:paraId="2AAEEAC3">
            <w:pPr>
              <w:spacing w:before="0" w:after="0" w:line="276" w:lineRule="auto"/>
              <w:jc w:val="left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Entailment (contains answer)</w:t>
            </w:r>
          </w:p>
        </w:tc>
        <w:tc>
          <w:tcPr>
            <w:tcW w:w="964" w:type="dxa"/>
            <w:vAlign w:val="center"/>
          </w:tcPr>
          <w:p w14:paraId="6114D51C">
            <w:pPr>
              <w:spacing w:before="0" w:after="0" w:line="276" w:lineRule="auto"/>
              <w:jc w:val="center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2702</w:t>
            </w:r>
          </w:p>
        </w:tc>
        <w:tc>
          <w:tcPr>
            <w:tcW w:w="1587" w:type="dxa"/>
            <w:vAlign w:val="center"/>
          </w:tcPr>
          <w:p w14:paraId="0F7E58E6">
            <w:pPr>
              <w:spacing w:before="0" w:after="0" w:line="276" w:lineRule="auto"/>
              <w:jc w:val="center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0.5824</w:t>
            </w:r>
          </w:p>
        </w:tc>
        <w:tc>
          <w:tcPr>
            <w:tcW w:w="1587" w:type="dxa"/>
            <w:vAlign w:val="center"/>
          </w:tcPr>
          <w:p w14:paraId="5A05ED94">
            <w:pPr>
              <w:spacing w:before="0" w:after="0" w:line="276" w:lineRule="auto"/>
              <w:jc w:val="center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0.5074</w:t>
            </w:r>
          </w:p>
        </w:tc>
        <w:tc>
          <w:tcPr>
            <w:tcW w:w="1531" w:type="dxa"/>
            <w:vAlign w:val="center"/>
          </w:tcPr>
          <w:p w14:paraId="0287E8F0">
            <w:pPr>
              <w:spacing w:before="0" w:after="0" w:line="276" w:lineRule="auto"/>
              <w:jc w:val="center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0.5423</w:t>
            </w:r>
          </w:p>
        </w:tc>
      </w:tr>
      <w:tr w14:paraId="270DE8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402" w:type="dxa"/>
            <w:vAlign w:val="center"/>
          </w:tcPr>
          <w:p w14:paraId="345A2874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Not Entailment</w:t>
            </w:r>
          </w:p>
        </w:tc>
        <w:tc>
          <w:tcPr>
            <w:tcW w:w="964" w:type="dxa"/>
            <w:vAlign w:val="center"/>
          </w:tcPr>
          <w:p w14:paraId="30AA8A27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2761</w:t>
            </w:r>
          </w:p>
        </w:tc>
        <w:tc>
          <w:tcPr>
            <w:tcW w:w="1587" w:type="dxa"/>
            <w:vAlign w:val="center"/>
          </w:tcPr>
          <w:p w14:paraId="633CCB21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0.5719</w:t>
            </w:r>
          </w:p>
        </w:tc>
        <w:tc>
          <w:tcPr>
            <w:tcW w:w="1587" w:type="dxa"/>
            <w:vAlign w:val="center"/>
          </w:tcPr>
          <w:p w14:paraId="6F3702B4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0.6440</w:t>
            </w:r>
          </w:p>
        </w:tc>
        <w:tc>
          <w:tcPr>
            <w:tcW w:w="1531" w:type="dxa"/>
            <w:vAlign w:val="center"/>
          </w:tcPr>
          <w:p w14:paraId="2D37279F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0.6058</w:t>
            </w:r>
          </w:p>
        </w:tc>
      </w:tr>
    </w:tbl>
    <w:p w14:paraId="769CE2D1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适配模型仍有较多错误：2,702 个包含答案样本中，1,331 个被判为不包含；2,761 个不包含答案样本中，983 个被判为包含。TF-IDF 拼接没有显式构造问题词与候选句之间的对齐关系，仍可能依赖主题词或局部短语，不能视为充分解决了答案包含判断。</w:t>
      </w:r>
    </w:p>
    <w:p w14:paraId="3848EDB0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4.5 迁移边界与结论的适用范围</w:t>
      </w:r>
    </w:p>
    <w:p w14:paraId="19B69A53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研究问题二可以分成三个层次回答。字段适配、文本拼接、训练管线和预测输出实现了复用；分类器参数经过固定标签投影虽可运行，但本次表现接近常数策略；使用目标任务标注重新训练后，结果才明显改善。统一接口降低了迁移的实现成本，却没有消除领域分布与监督语义之间的差异。</w:t>
      </w:r>
    </w:p>
    <w:p w14:paraId="64A46230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本实验未进行目标领域预训练，也没有通过目标评估集选择投影阈值。12,000 条是本次目标训练子集，不是 QNLI 完整训练集。QEvasion 的三分类 Macro-F1 与 QNLI 的二分类 Macro-F1 不应直接相减来说明任务难度，真正具有对照意义的是表12中同一目标评估集上的比较。</w:t>
      </w:r>
    </w:p>
    <w:p w14:paraId="1A7B384E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4.6 标签层级扩展结果</w:t>
      </w:r>
    </w:p>
    <w:p w14:paraId="7AD49F15">
      <w:pPr>
        <w:pStyle w:val="Caption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表14 训练集层级映射审计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5839"/>
        <w:gridCol w:w="3231"/>
      </w:tblGrid>
      <w:tr w14:paraId="069C81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jc w:val="center"/>
          <w:tblHeader/>
          <w:cantSplit/>
        </w:trPr>
        <w:tc>
          <w:tcPr>
            <w:tcW w:w="5839" w:type="dxa"/>
            <w:vAlign w:val="center"/>
          </w:tcPr>
          <w:p w14:paraId="0A4C4EE3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项目</w:t>
            </w:r>
          </w:p>
        </w:tc>
        <w:tc>
          <w:tcPr>
            <w:tcW w:w="3231" w:type="dxa"/>
            <w:vAlign w:val="center"/>
          </w:tcPr>
          <w:p w14:paraId="1AD100B2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数量或结果</w:t>
            </w:r>
          </w:p>
        </w:tc>
      </w:tr>
      <w:tr w14:paraId="2ACCEE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jc w:val="center"/>
          <w:cantSplit/>
        </w:trPr>
        <w:tc>
          <w:tcPr>
            <w:tcW w:w="5839" w:type="dxa"/>
            <w:vAlign w:val="center"/>
          </w:tcPr>
          <w:p w14:paraId="0036F864">
            <w:pPr>
              <w:spacing w:before="0" w:after="0" w:line="276" w:lineRule="auto"/>
              <w:jc w:val="left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非空且合法的细粒度标签</w:t>
            </w:r>
          </w:p>
        </w:tc>
        <w:tc>
          <w:tcPr>
            <w:tcW w:w="3231" w:type="dxa"/>
            <w:vAlign w:val="center"/>
          </w:tcPr>
          <w:p w14:paraId="7623F2A6">
            <w:pPr>
              <w:spacing w:before="0" w:after="0" w:line="276" w:lineRule="auto"/>
              <w:jc w:val="center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3,448 / 3,448</w:t>
            </w:r>
          </w:p>
        </w:tc>
      </w:tr>
      <w:tr w14:paraId="20026F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5839" w:type="dxa"/>
            <w:vAlign w:val="center"/>
          </w:tcPr>
          <w:p w14:paraId="682DE81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正确映射后的粗细一致率</w:t>
            </w:r>
          </w:p>
        </w:tc>
        <w:tc>
          <w:tcPr>
            <w:tcW w:w="3231" w:type="dxa"/>
            <w:vAlign w:val="center"/>
          </w:tcPr>
          <w:p w14:paraId="793B445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100.00%</w:t>
            </w:r>
          </w:p>
        </w:tc>
      </w:tr>
      <w:tr w14:paraId="28040B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5839" w:type="dxa"/>
            <w:vAlign w:val="center"/>
          </w:tcPr>
          <w:p w14:paraId="5E655C7E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误把 Implicit 映射到 Clear Reply 时的一致率</w:t>
            </w:r>
          </w:p>
        </w:tc>
        <w:tc>
          <w:tcPr>
            <w:tcW w:w="3231" w:type="dxa"/>
            <w:vAlign w:val="center"/>
          </w:tcPr>
          <w:p w14:paraId="5A2E4C10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85.85%</w:t>
            </w:r>
          </w:p>
        </w:tc>
      </w:tr>
      <w:tr w14:paraId="13CC94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5839" w:type="dxa"/>
            <w:vAlign w:val="center"/>
          </w:tcPr>
          <w:p w14:paraId="22931572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该错误映射涉及的 Implicit 样本</w:t>
            </w:r>
          </w:p>
        </w:tc>
        <w:tc>
          <w:tcPr>
            <w:tcW w:w="3231" w:type="dxa"/>
            <w:vAlign w:val="center"/>
          </w:tcPr>
          <w:p w14:paraId="5752E154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488 条</w:t>
            </w:r>
          </w:p>
        </w:tc>
      </w:tr>
      <w:tr w14:paraId="4782D4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5839" w:type="dxa"/>
            <w:vAlign w:val="center"/>
          </w:tcPr>
          <w:p w14:paraId="522645B4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官方测试集可用细标签数量</w:t>
            </w:r>
          </w:p>
        </w:tc>
        <w:tc>
          <w:tcPr>
            <w:tcW w:w="3231" w:type="dxa"/>
            <w:vAlign w:val="center"/>
          </w:tcPr>
          <w:p w14:paraId="153D684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 / 308</w:t>
            </w:r>
          </w:p>
        </w:tc>
      </w:tr>
    </w:tbl>
    <w:p w14:paraId="34693480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数据审计结果：3,448 条训练样本均有合法细标签，固定映射与粗标签一致率为 100.00%，只描述已有标注关系的自洽性。Implicit 的 488 条均属 Ambivalent；若误归 Clear Reply，一致率降至 85.85%（2,960/3,448）。该检查能发现实现中的映射错误，但不能证明人工标注没有歧义，也不是模型预测准确率。</w:t>
      </w:r>
    </w:p>
    <w:p w14:paraId="3AD78C05">
      <w:pPr>
        <w:pStyle w:val="Caption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表15 相同冻结表示下的层级对照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2551"/>
        <w:gridCol w:w="3912"/>
        <w:gridCol w:w="1304"/>
        <w:gridCol w:w="1304"/>
      </w:tblGrid>
      <w:tr w14:paraId="730A3F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jc w:val="center"/>
          <w:tblHeader/>
          <w:cantSplit/>
        </w:trPr>
        <w:tc>
          <w:tcPr>
            <w:tcW w:w="2551" w:type="dxa"/>
            <w:vAlign w:val="center"/>
          </w:tcPr>
          <w:p w14:paraId="3762D868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评估集</w:t>
            </w:r>
          </w:p>
        </w:tc>
        <w:tc>
          <w:tcPr>
            <w:tcW w:w="3912" w:type="dxa"/>
            <w:vAlign w:val="center"/>
          </w:tcPr>
          <w:p w14:paraId="2856F86C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学习目标与决策</w:t>
            </w:r>
          </w:p>
        </w:tc>
        <w:tc>
          <w:tcPr>
            <w:tcW w:w="1304" w:type="dxa"/>
            <w:vAlign w:val="center"/>
          </w:tcPr>
          <w:p w14:paraId="024A9180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Accuracy</w:t>
            </w:r>
          </w:p>
        </w:tc>
        <w:tc>
          <w:tcPr>
            <w:tcW w:w="1304" w:type="dxa"/>
            <w:vAlign w:val="center"/>
          </w:tcPr>
          <w:p w14:paraId="0A9C221F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Macro-F1</w:t>
            </w:r>
          </w:p>
        </w:tc>
      </w:tr>
      <w:tr w14:paraId="7838EE1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jc w:val="center"/>
          <w:cantSplit/>
        </w:trPr>
        <w:tc>
          <w:tcPr>
            <w:tcW w:w="2551" w:type="dxa"/>
            <w:vAlign w:val="center"/>
          </w:tcPr>
          <w:p w14:paraId="145B6871">
            <w:pPr>
              <w:spacing w:before="0" w:after="0" w:line="276" w:lineRule="auto"/>
              <w:jc w:val="left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分组留出 266 条</w:t>
            </w:r>
          </w:p>
        </w:tc>
        <w:tc>
          <w:tcPr>
            <w:tcW w:w="3912" w:type="dxa"/>
            <w:vAlign w:val="center"/>
          </w:tcPr>
          <w:p w14:paraId="6D284451">
            <w:pPr>
              <w:spacing w:before="0" w:after="0" w:line="276" w:lineRule="auto"/>
              <w:jc w:val="center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直接三分类</w:t>
            </w:r>
          </w:p>
        </w:tc>
        <w:tc>
          <w:tcPr>
            <w:tcW w:w="1304" w:type="dxa"/>
            <w:vAlign w:val="center"/>
          </w:tcPr>
          <w:p w14:paraId="42C28438">
            <w:pPr>
              <w:spacing w:before="0" w:after="0" w:line="276" w:lineRule="auto"/>
              <w:jc w:val="center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0.5602</w:t>
            </w:r>
          </w:p>
        </w:tc>
        <w:tc>
          <w:tcPr>
            <w:tcW w:w="1304" w:type="dxa"/>
            <w:vAlign w:val="center"/>
          </w:tcPr>
          <w:p w14:paraId="3C6C3000">
            <w:pPr>
              <w:spacing w:before="0" w:after="0" w:line="276" w:lineRule="auto"/>
              <w:jc w:val="center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0.4814</w:t>
            </w:r>
          </w:p>
        </w:tc>
      </w:tr>
      <w:tr w14:paraId="52931F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551" w:type="dxa"/>
            <w:vAlign w:val="center"/>
          </w:tcPr>
          <w:p w14:paraId="242BA005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分组留出 266 条</w:t>
            </w:r>
          </w:p>
        </w:tc>
        <w:tc>
          <w:tcPr>
            <w:tcW w:w="3912" w:type="dxa"/>
            <w:vAlign w:val="center"/>
          </w:tcPr>
          <w:p w14:paraId="42AC6BE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九分类概率汇总为三分类</w:t>
            </w:r>
          </w:p>
        </w:tc>
        <w:tc>
          <w:tcPr>
            <w:tcW w:w="1304" w:type="dxa"/>
            <w:vAlign w:val="center"/>
          </w:tcPr>
          <w:p w14:paraId="00BF14E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0.6015</w:t>
            </w:r>
          </w:p>
        </w:tc>
        <w:tc>
          <w:tcPr>
            <w:tcW w:w="1304" w:type="dxa"/>
            <w:vAlign w:val="center"/>
          </w:tcPr>
          <w:p w14:paraId="4C07D8B6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0.3167</w:t>
            </w:r>
          </w:p>
        </w:tc>
      </w:tr>
      <w:tr w14:paraId="1D2369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551" w:type="dxa"/>
            <w:vAlign w:val="center"/>
          </w:tcPr>
          <w:p w14:paraId="7D576E7E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官方测试 308 条</w:t>
            </w:r>
          </w:p>
        </w:tc>
        <w:tc>
          <w:tcPr>
            <w:tcW w:w="3912" w:type="dxa"/>
            <w:vAlign w:val="center"/>
          </w:tcPr>
          <w:p w14:paraId="60E5AEED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直接三分类（全量重训）</w:t>
            </w:r>
          </w:p>
        </w:tc>
        <w:tc>
          <w:tcPr>
            <w:tcW w:w="1304" w:type="dxa"/>
            <w:vAlign w:val="center"/>
          </w:tcPr>
          <w:p w14:paraId="551AF699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0.5812</w:t>
            </w:r>
          </w:p>
        </w:tc>
        <w:tc>
          <w:tcPr>
            <w:tcW w:w="1304" w:type="dxa"/>
            <w:vAlign w:val="center"/>
          </w:tcPr>
          <w:p w14:paraId="6DFE97EA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0.4855</w:t>
            </w:r>
          </w:p>
        </w:tc>
      </w:tr>
      <w:tr w14:paraId="24A4EDB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2551" w:type="dxa"/>
            <w:vAlign w:val="center"/>
          </w:tcPr>
          <w:p w14:paraId="00329EC6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官方测试 308 条</w:t>
            </w:r>
          </w:p>
        </w:tc>
        <w:tc>
          <w:tcPr>
            <w:tcW w:w="3912" w:type="dxa"/>
            <w:vAlign w:val="center"/>
          </w:tcPr>
          <w:p w14:paraId="00E3AFC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九分类概率汇总（全量重训）</w:t>
            </w:r>
          </w:p>
        </w:tc>
        <w:tc>
          <w:tcPr>
            <w:tcW w:w="1304" w:type="dxa"/>
            <w:vAlign w:val="center"/>
          </w:tcPr>
          <w:p w14:paraId="1B25396B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0.6526</w:t>
            </w:r>
          </w:p>
        </w:tc>
        <w:tc>
          <w:tcPr>
            <w:tcW w:w="1304" w:type="dxa"/>
            <w:vAlign w:val="center"/>
          </w:tcPr>
          <w:p w14:paraId="155CDD42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0.3504</w:t>
            </w:r>
          </w:p>
        </w:tc>
      </w:tr>
    </w:tbl>
    <w:p w14:paraId="53548E5F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原 balanced 九分类求和设置没有优于直接三分类：官方测试 Accuracy 增加 0.0714，Macro-F1 下降 0.1351。308 条中有 284 条被判为 Ambivalent、24 条为 Non-Reply，Clear Reply 预测数为 0；三类 F1 为 0/0.7959/0.2553。因此更高准确率来自偏重多数类，不能视作检测能力全面改善。</w:t>
      </w:r>
    </w:p>
    <w:p w14:paraId="4C501F2D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原九分类在 title 留出上的 Accuracy/Macro-F1 为 0.2180/0.2053，Claims ignorance 与 Clarification 分别只有 3/4 条支持数，细类估计较不稳定。新增权重与汇总对照见下表，用于分离具体训练/决策设置的影响；其结果不能直接证明某个单一因素的因果。</w:t>
      </w:r>
    </w:p>
    <w:p>
      <w:pPr>
        <w:pStyle w:val="Caption"/>
        <w:keepNext w:val="1"/>
        <w:spacing w:after="80" w:line="300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表16 固定表示与配置下的后验敏感性对照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9AA5B1"/>
          <w:left w:val="single" w:sz="4" w:color="9AA5B1"/>
          <w:bottom w:val="single" w:sz="4" w:color="9AA5B1"/>
          <w:right w:val="single" w:sz="4" w:color="9AA5B1"/>
          <w:insideH w:val="single" w:sz="4" w:color="9AA5B1"/>
          <w:insideV w:val="single" w:sz="4" w:color="9AA5B1"/>
        </w:tblBorders>
      </w:tblPr>
      <w:tblGrid>
        <w:gridCol w:w="4176"/>
        <w:gridCol w:w="1728"/>
        <w:gridCol w:w="1728"/>
      </w:tblGrid>
      <w:tr>
        <w:trPr>
          <w:tblHeader/>
          <w:cantSplit/>
        </w:trPr>
        <w:tc>
          <w:tcPr>
            <w:tcW w:type="dxa" w:w="4176"/>
            <w:vAlign w:val="center"/>
            <w:shd w:fill="F2F2F2"/>
          </w:tcPr>
          <w:p>
            <w:pPr>
              <w:spacing w:after="60" w:line="252" w:lineRule="auto" w:before="60"/>
              <w:keepNext w:val="1"/>
              <w:keepLines w:val="1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训练与决策设置</w:t>
            </w:r>
          </w:p>
        </w:tc>
        <w:tc>
          <w:tcPr>
            <w:tcW w:type="dxa" w:w="1728"/>
            <w:vAlign w:val="center"/>
            <w:shd w:fill="F2F2F2"/>
          </w:tcPr>
          <w:p>
            <w:pPr>
              <w:spacing w:after="60" w:line="252" w:lineRule="auto" w:before="60"/>
              <w:keepNext w:val="1"/>
              <w:keepLines w:val="1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title留出 F1</w:t>
            </w:r>
          </w:p>
        </w:tc>
        <w:tc>
          <w:tcPr>
            <w:tcW w:type="dxa" w:w="1728"/>
            <w:vAlign w:val="center"/>
            <w:shd w:fill="F2F2F2"/>
          </w:tcPr>
          <w:p>
            <w:pPr>
              <w:spacing w:after="60" w:line="252" w:lineRule="auto" w:before="60"/>
              <w:keepNext w:val="1"/>
              <w:keepLines w:val="1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URL留出 F1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FFFFF"/>
          </w:tcPr>
          <w:p>
            <w:pPr>
              <w:spacing w:after="60" w:line="252" w:lineRule="auto" w:before="60"/>
              <w:keepNext w:val="1"/>
              <w:keepLines w:val="1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直接三分类 balanced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60" w:line="252" w:lineRule="auto" w:before="60"/>
              <w:keepNext w:val="1"/>
              <w:keepLines w:val="1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0.4814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60" w:line="252" w:lineRule="auto" w:before="60"/>
              <w:keepNext w:val="1"/>
              <w:keepLines w:val="1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0.4792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FFFFF"/>
          </w:tcPr>
          <w:p>
            <w:pPr>
              <w:spacing w:after="60" w:line="252" w:lineRule="auto" w:before="60"/>
              <w:keepNext w:val="1"/>
              <w:keepLines w:val="1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九分类 balanced＋求和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60" w:line="252" w:lineRule="auto" w:before="60"/>
              <w:keepNext w:val="1"/>
              <w:keepLines w:val="1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0.3167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60" w:line="252" w:lineRule="auto" w:before="60"/>
              <w:keepNext w:val="1"/>
              <w:keepLines w:val="1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0.3396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FFFFF"/>
          </w:tcPr>
          <w:p>
            <w:pPr>
              <w:spacing w:after="60" w:line="252" w:lineRule="auto" w:before="60"/>
              <w:keepNext w:val="1"/>
              <w:keepLines w:val="1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九分类 balanced＋子类均值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60" w:line="252" w:lineRule="auto" w:before="60"/>
              <w:keepNext w:val="1"/>
              <w:keepLines w:val="1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0.4394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60" w:line="252" w:lineRule="auto" w:before="60"/>
              <w:keepNext w:val="1"/>
              <w:keepLines w:val="1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0.4713</w:t>
            </w:r>
          </w:p>
        </w:tc>
      </w:tr>
      <w:tr>
        <w:trPr>
          <w:cantSplit/>
        </w:trPr>
        <w:tc>
          <w:tcPr>
            <w:tcW w:type="dxa" w:w="4176"/>
            <w:vAlign w:val="center"/>
            <w:shd w:fill="FFFFFF"/>
          </w:tcPr>
          <w:p>
            <w:pPr>
              <w:spacing w:after="60" w:line="252" w:lineRule="auto" w:before="60"/>
              <w:keepNext w:val="0"/>
              <w:keepLines w:val="1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九分类无权重＋求和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60" w:line="252" w:lineRule="auto" w:before="60"/>
              <w:keepNext w:val="0"/>
              <w:keepLines w:val="1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0.3349</w:t>
            </w:r>
          </w:p>
        </w:tc>
        <w:tc>
          <w:tcPr>
            <w:tcW w:type="dxa" w:w="1728"/>
            <w:vAlign w:val="center"/>
            <w:shd w:fill="FFFFFF"/>
          </w:tcPr>
          <w:p>
            <w:pPr>
              <w:spacing w:after="60" w:line="252" w:lineRule="auto" w:before="60"/>
              <w:keepNext w:val="0"/>
              <w:keepLines w:val="1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0.3475</w:t>
            </w:r>
          </w:p>
        </w:tc>
      </w:tr>
    </w:tbl>
    <w:p>
      <w:pPr>
        <w:spacing w:after="80" w:line="300" w:lineRule="auto"/>
      </w:pPr>
      <w:r>
        <w:rPr>
          <w:rFonts w:ascii="Times New Roman" w:hAnsi="Times New Roman" w:eastAsia="宋体"/>
          <w:b w:val="0"/>
          <w:color w:val="000000"/>
          <w:sz w:val="21"/>
        </w:rPr>
        <w:t>后验敏感性对照固定缓存表示、C=0.1 和种子 42。原 title 留出为 3,182/266 条（140/35 个标题组），两侧 URL 也无交集；新增 URL 留出为 2,785/663 条（229/58 个来源），URL 交集为 0。按子类数 1/5/3 求均值缓解了原偏向，但两种留出上的 Macro-F1 仍低于直接三分类。细类互斥概率求和是合法边缘化；子类均值只是启发式决策分数，不能称为已校准概率。这些分析在既有测试结果可见后补做，用于解释敏感性，不用于重新选择主模型。</w:t>
      </w:r>
    </w:p>
    <w:p w14:paraId="66E86878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研究问题三的答案是：标签层级可用于数据审计，但原冻结 MiniLM＋balanced LR＋概率求和组合没有带来主指标收益。启发式子类均值在两种分组留出上均明显缓解退化，仍未超过直接三分类；结论限于这些固定设置，不否定其他层级、多任务或联合编码方法。</w:t>
      </w:r>
    </w:p>
    <w:p w14:paraId="70EA627B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4.7 五个真实误判样本</w:t>
      </w:r>
    </w:p>
    <w:p w14:paraId="75EC7BF8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以下案例均来自原 MiniLM 三分类模型的 predictions_st_lr.csv，保留可定位的 id。引号内是原文片段，其余为中文概述；分析解释可见问题与回答之间的关系，不把人工观察当作新的细粒度金标准。</w:t>
      </w:r>
    </w:p>
    <w:p w14:paraId="6D5DE627">
      <w:pPr>
        <w:pStyle w:val="10"/>
        <w:keepNext/>
        <w:widowControl/>
        <w:spacing w:before="100" w:after="100" w:line="312" w:lineRule="auto"/>
        <w:ind w:firstLine="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案例1  id=154  Clear Reply → Clear Non-Reply</w:t>
      </w:r>
    </w:p>
    <w:p w14:paraId="682F0171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问题为“Can we go back to North Korea, Mr. President?”，回答为“Please.”。提问是在请求转换话题，回答已表示允许，模型却预测为明确不答。短回答的有效性取决于问题的言语功能，不能用词数少或缺少事实陈述判断其没有回应。</w:t>
      </w:r>
    </w:p>
    <w:p w14:paraId="19A03104">
      <w:pPr>
        <w:pStyle w:val="10"/>
        <w:keepNext/>
        <w:widowControl/>
        <w:spacing w:before="100" w:after="100" w:line="312" w:lineRule="auto"/>
        <w:ind w:firstLine="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案例2  id=307  Clear Reply → Ambivalent Reply</w:t>
      </w:r>
    </w:p>
    <w:p w14:paraId="6A8B5D1F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问题询问为什么不应把美国对朝政策视为失败，回答为“Because it takes time to get things done.”。人工粗标签为明确回答，因为它提供了理由；模型将概括性的理由判为模糊回答。该错误体现出理由是否充分与是否给出回应之间的边界，不能把“不令人信服”直接等同于“没有回答”。</w:t>
      </w:r>
    </w:p>
    <w:p w14:paraId="20D56EBA">
      <w:pPr>
        <w:pStyle w:val="10"/>
        <w:keepNext/>
        <w:widowControl/>
        <w:spacing w:before="100" w:after="100" w:line="312" w:lineRule="auto"/>
        <w:ind w:firstLine="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案例3  id=132  Ambivalent Reply → Clear Reply</w:t>
      </w:r>
    </w:p>
    <w:p w14:paraId="3A758A43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问题询问外交手段和期限用尽后的军事选择，回答强调“Well, diplomacy hasn’t run its course”，随后继续谈外交机会。回答高度相关，却没有说明假设条件成立后的军事方案。模型可能把主题相关和肯定措辞当成了回应；关键缺口是条件情景与回答内容没有对齐。</w:t>
      </w:r>
    </w:p>
    <w:p w14:paraId="2EB2785A">
      <w:pPr>
        <w:pStyle w:val="10"/>
        <w:keepNext/>
        <w:widowControl/>
        <w:spacing w:before="100" w:after="100" w:line="312" w:lineRule="auto"/>
        <w:ind w:firstLine="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案例4  id=237  Clear Non-Reply → Ambivalent Reply</w:t>
      </w:r>
    </w:p>
    <w:p w14:paraId="00303204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问题询问伊拉克与当前话题的联系，原答为“What did have to do with what?”，粗标签为 Clear Non-Reply，模型判为 Ambivalent。该短句可能是澄清式回应，也可能含转写或上下文缺失，不能据此断言一个测试集未提供的细标签。可确认的是它没有提供所需信息，模型混淆了两类边界。</w:t>
      </w:r>
    </w:p>
    <w:p w14:paraId="63077C06">
      <w:pPr>
        <w:pStyle w:val="10"/>
        <w:keepNext/>
        <w:widowControl/>
        <w:spacing w:before="100" w:after="100" w:line="312" w:lineRule="auto"/>
        <w:ind w:firstLine="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案例5  id=240  Clear Non-Reply → Ambivalent Reply</w:t>
      </w:r>
    </w:p>
    <w:p w14:paraId="6D76E067">
      <w:pPr>
        <w:pStyle w:val="10"/>
        <w:widowControl/>
        <w:spacing w:before="0" w:after="100" w:line="312" w:lineRule="auto"/>
        <w:ind w:firstLine="480"/>
      </w:pPr>
      <w:r>
        <w:rPr>
          <w:rFonts w:ascii="Times New Roman" w:hAnsi="Times New Roman" w:eastAsia="宋体" w:cs="Times New Roman"/>
          <w:b w:val="0"/>
          <w:color w:val="000000"/>
          <w:sz w:val="21"/>
        </w:rPr>
        <w:t>问题涉及美联储降息是否足以避免衰退，回答开头为“I do not comment on the decisions made by the Fed”，随后转向主席评价、财政政策和税收。显式拒绝评论是判断核心，后续背景没有改变这一点。模型可能被政策内容稀释了拒答线索，提示可进一步检验分句级定位或问题相关证据抽取。</w:t>
      </w:r>
    </w:p>
    <w:p w14:paraId="11014C65">
      <w:pPr>
        <w:pStyle w:val="Heading2"/>
        <w:keepNext/>
        <w:widowControl/>
        <w:spacing w:before="120" w:after="100" w:line="312" w:lineRule="auto"/>
        <w:ind w:firstLine="0"/>
      </w:pPr>
      <w:r>
        <w:rPr>
          <w:rFonts w:ascii="黑体" w:hAnsi="黑体" w:eastAsia="黑体" w:cs="Times New Roman"/>
          <w:b/>
          <w:color w:val="000000"/>
          <w:sz w:val="24"/>
        </w:rPr>
        <w:t>4.8 综合结论</w:t>
      </w:r>
    </w:p>
    <w:p w14:paraId="1288527A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三个问题共同表明，当前数据上冻结表示带来可观察但未确认稳定的总体增量，少数类未同步改善；统一接口可复用于 QNLI，而源分类器的固定语义投影接近常数基线。标签层级审计与模型收益必须分开，具体聚合设置的负结果不能外推为普遍结论。官方划分存在 URL 来源重合，行级内部验证也存在共享回答；新增 URL 隔离检查有助于界定结果，但单次划分仍非跨来源充分验证。后续应优先采用按来源的多次训练/验证、联合句对建模及独立校准。</w:t>
      </w:r>
    </w:p>
    <w:p w14:paraId="730932BD">
      <w:pPr>
        <w:pStyle w:val="Heading1"/>
        <w:keepNext/>
        <w:spacing w:after="100" w:line="312" w:lineRule="auto" w:before="200"/>
        <w:ind w:firstLine="0"/>
        <w:rPr>
          <w:rFonts w:hint="default" w:ascii="Times New Roman" w:hAnsi="Times New Roman" w:eastAsia="楷体" w:cs="Times New Roman"/>
          <w:b/>
          <w:bCs/>
          <w:color w:val="0000FF"/>
          <w:sz w:val="24"/>
          <w:szCs w:val="24"/>
        </w:rPr>
      </w:pPr>
      <w:r>
        <w:rPr>
          <w:rFonts w:ascii="黑体" w:hAnsi="黑体" w:eastAsia="黑体"/>
          <w:b/>
          <w:color w:val="000000"/>
          <w:sz w:val="28"/>
        </w:rPr>
        <w:t>五 代码与结果（GitHub）</w:t>
      </w:r>
    </w:p>
    <w:p w14:paraId="0283F488">
      <w:pPr>
        <w:pStyle w:val="10"/>
        <w:widowControl/>
        <w:spacing w:before="0" w:after="100" w:line="312" w:lineRule="auto"/>
        <w:ind w:firstLine="480"/>
        <w:rPr>
          <w:rFonts w:hint="eastAsia" w:ascii="Times New Roman" w:hAnsi="Times New Roman" w:eastAsia="楷体" w:cs="Times New Roman"/>
          <w:b w:val="0"/>
          <w:color w:val="000000"/>
          <w:sz w:val="24"/>
        </w:rPr>
      </w:pPr>
      <w:r>
        <w:rPr>
          <w:rFonts w:ascii="Times New Roman" w:hAnsi="Times New Roman" w:eastAsia="宋体"/>
          <w:b w:val="0"/>
          <w:color w:val="000000"/>
          <w:sz w:val="21"/>
        </w:rPr>
        <w:t>GitHub 仓库：</w:t>
      </w:r>
      <w:hyperlink r:id="rId9">
        <w:r>
          <w:rPr>
            <w:color w:val="0563C1"/>
          </w:rPr>
          <w:t>https://github.com/huangyuke914235/NLP-</w:t>
        </w:r>
      </w:hyperlink>
    </w:p>
    <w:p w14:paraId="307E6C7E">
      <w:pPr>
        <w:pStyle w:val="10"/>
        <w:widowControl/>
        <w:spacing w:before="0" w:after="80" w:line="312" w:lineRule="auto"/>
        <w:ind w:firstLine="480"/>
      </w:pPr>
      <w:r>
        <w:rPr>
          <w:rFonts w:ascii="Times New Roman" w:hAnsi="Times New Roman" w:eastAsia="宋体"/>
          <w:b w:val="0"/>
          <w:color w:val="000000"/>
          <w:sz w:val="21"/>
        </w:rPr>
        <w:t>仓库包含原始数据、本地第三方依赖与安装清单、01—09 实验/复核入口、配置、图表、指标及预测。表17定位各项结果，正文保留四位小数，原输出保留完整精度。新增审计不覆盖历史模型指标，复现日志明确区分主要结果一致与概率/未选参数的小数差异。</w:t>
      </w:r>
    </w:p>
    <w:p w14:paraId="056BBF53">
      <w:pPr>
        <w:pStyle w:val="Caption"/>
        <w:keepNext/>
        <w:widowControl/>
        <w:spacing w:before="0" w:after="80" w:line="312" w:lineRule="auto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表17 代码与结果对应关系</w:t>
      </w:r>
    </w:p>
    <w:tbl>
      <w:tblPr>
        <w:tblStyle w:val="5"/>
        <w:tblW w:w="0" w:type="auto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60" w:type="dxa"/>
          <w:left w:w="75" w:type="dxa"/>
          <w:bottom w:w="60" w:type="dxa"/>
          <w:right w:w="75" w:type="dxa"/>
        </w:tblCellMar>
      </w:tblPr>
      <w:tblGrid>
        <w:gridCol w:w="3061"/>
        <w:gridCol w:w="6009"/>
      </w:tblGrid>
      <w:tr w14:paraId="05A47EC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jc w:val="center"/>
          <w:tblHeader/>
          <w:cantSplit/>
        </w:trPr>
        <w:tc>
          <w:tcPr>
            <w:tcW w:w="3061" w:type="dxa"/>
            <w:vAlign w:val="center"/>
          </w:tcPr>
          <w:p w14:paraId="4745CC4D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代码入口</w:t>
            </w:r>
          </w:p>
        </w:tc>
        <w:tc>
          <w:tcPr>
            <w:tcW w:w="6009" w:type="dxa"/>
            <w:vAlign w:val="center"/>
          </w:tcPr>
          <w:p w14:paraId="653C494C">
            <w:pPr>
              <w:spacing w:before="0" w:after="0" w:line="276" w:lineRule="auto"/>
              <w:jc w:val="center"/>
              <w:keepNext w:val="1"/>
              <w:keepLines w:val="1"/>
            </w:pPr>
            <w:r>
              <w:rPr>
                <w:rFonts w:ascii="Times New Roman" w:hAnsi="Times New Roman" w:eastAsia="宋体" w:cs="Times New Roman"/>
                <w:b/>
                <w:color w:val="000000"/>
                <w:sz w:val="19"/>
              </w:rPr>
              <w:t>主要结果文件或作用</w:t>
            </w:r>
          </w:p>
        </w:tc>
      </w:tr>
      <w:tr w14:paraId="5BDFEE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jc w:val="center"/>
          <w:cantSplit/>
        </w:trPr>
        <w:tc>
          <w:tcPr>
            <w:tcW w:w="3061" w:type="dxa"/>
            <w:vAlign w:val="center"/>
          </w:tcPr>
          <w:p w14:paraId="35DF3647">
            <w:pPr>
              <w:spacing w:before="0" w:after="0" w:line="276" w:lineRule="auto"/>
              <w:jc w:val="left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01_eda.py</w:t>
            </w:r>
          </w:p>
        </w:tc>
        <w:tc>
          <w:tcPr>
            <w:tcW w:w="6009" w:type="dxa"/>
            <w:vAlign w:val="center"/>
          </w:tcPr>
          <w:p w14:paraId="76C92C2F">
            <w:pPr>
              <w:spacing w:before="0" w:after="0" w:line="276" w:lineRule="auto"/>
              <w:jc w:val="center"/>
              <w:keepNext w:val="0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outputs/eda_stats.json；标签与长度图</w:t>
            </w:r>
          </w:p>
        </w:tc>
      </w:tr>
      <w:tr w14:paraId="74AA9E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3025C327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02_baselines.py</w:t>
            </w:r>
          </w:p>
        </w:tc>
        <w:tc>
          <w:tcPr>
            <w:tcW w:w="6009" w:type="dxa"/>
            <w:vAlign w:val="center"/>
          </w:tcPr>
          <w:p w14:paraId="0AAFDAC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outputs/metrics_baselines.json；TF-IDF 预测</w:t>
            </w:r>
          </w:p>
        </w:tc>
      </w:tr>
      <w:tr w14:paraId="372F47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3121416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03_plm_lr.py</w:t>
            </w:r>
          </w:p>
        </w:tc>
        <w:tc>
          <w:tcPr>
            <w:tcW w:w="6009" w:type="dxa"/>
            <w:vAlign w:val="center"/>
          </w:tcPr>
          <w:p w14:paraId="20C794C7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outputs/metrics_st_lr.json；st_embeddings.npz</w:t>
            </w:r>
          </w:p>
        </w:tc>
      </w:tr>
      <w:tr w14:paraId="73B942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0B94E75F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04_transfer_qnli.py</w:t>
            </w:r>
          </w:p>
        </w:tc>
        <w:tc>
          <w:tcPr>
            <w:tcW w:w="6009" w:type="dxa"/>
            <w:vAlign w:val="center"/>
          </w:tcPr>
          <w:p w14:paraId="0D3D8F83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outputs/metrics_qnli_tfidf_lr.json；QNLI 预测</w:t>
            </w:r>
          </w:p>
        </w:tc>
      </w:tr>
      <w:tr w14:paraId="292F08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4E59C9A1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05_hierarchy.py</w:t>
            </w:r>
          </w:p>
        </w:tc>
        <w:tc>
          <w:tcPr>
            <w:tcW w:w="6009" w:type="dxa"/>
            <w:vAlign w:val="center"/>
          </w:tcPr>
          <w:p w14:paraId="6EA37165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outputs/hierarchy/metrics_hierarchy.json；留出与测试预测</w:t>
            </w:r>
          </w:p>
        </w:tc>
      </w:tr>
      <w:tr w14:paraId="1B971A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60" w:type="dxa"/>
            <w:left w:w="75" w:type="dxa"/>
            <w:bottom w:w="60" w:type="dxa"/>
            <w:right w:w="75" w:type="dxa"/>
          </w:tblCellMar>
        </w:tblPrEx>
        <w:trPr>
          <w:cantSplit/>
          <w:jc w:val="center"/>
        </w:trPr>
        <w:tc>
          <w:tcPr>
            <w:tcW w:w="3061" w:type="dxa"/>
            <w:vAlign w:val="center"/>
          </w:tcPr>
          <w:p w14:paraId="0D0D883C">
            <w:pPr>
              <w:spacing w:before="0" w:after="0" w:line="276" w:lineRule="auto"/>
              <w:jc w:val="left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06_direct_transfer.py</w:t>
            </w:r>
          </w:p>
        </w:tc>
        <w:tc>
          <w:tcPr>
            <w:tcW w:w="6009" w:type="dxa"/>
            <w:vAlign w:val="center"/>
          </w:tcPr>
          <w:p w14:paraId="281FDC0C">
            <w:pPr>
              <w:spacing w:before="0" w:after="0" w:line="276" w:lineRule="auto"/>
              <w:jc w:val="center"/>
            </w:pPr>
            <w:r>
              <w:rPr>
                <w:rFonts w:ascii="Times New Roman" w:hAnsi="Times New Roman" w:eastAsia="宋体" w:cs="Times New Roman"/>
                <w:b w:val="0"/>
                <w:color w:val="000000"/>
                <w:sz w:val="19"/>
              </w:rPr>
              <w:t>outputs/hierarchy/metrics_direct_transfer.json；源域直接迁移预测</w:t>
            </w:r>
          </w:p>
        </w:tc>
      </w:tr>
      <w:tr>
        <w:tc>
          <w:tcPr>
            <w:tcW w:type="dxa" w:w="30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07_hierarchy_sensitivity.py</w:t>
            </w:r>
          </w:p>
        </w:tc>
        <w:tc>
          <w:tcPr>
            <w:tcW w:type="dxa" w:w="6009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outputs/hierarchy/metrics_sensitivity.json；title留出决策敏感性</w:t>
            </w:r>
          </w:p>
        </w:tc>
      </w:tr>
      <w:tr>
        <w:tc>
          <w:tcPr>
            <w:tcW w:type="dxa" w:w="30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08_bootstrap_uncertainty.py</w:t>
            </w:r>
          </w:p>
        </w:tc>
        <w:tc>
          <w:tcPr>
            <w:tcW w:type="dxa" w:w="6009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outputs/metrics_uncertainty.json；样本/回答簇配对区间</w:t>
            </w:r>
          </w:p>
        </w:tc>
      </w:tr>
      <w:tr>
        <w:tc>
          <w:tcPr>
            <w:tcW w:type="dxa" w:w="30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09_review_validation.py</w:t>
            </w:r>
          </w:p>
        </w:tc>
        <w:tc>
          <w:tcPr>
            <w:tcW w:type="dxa" w:w="6009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outputs/review/review_validation.json；来源审计、URL留出与URL簇区间</w:t>
            </w:r>
          </w:p>
        </w:tc>
      </w:tr>
      <w:tr>
        <w:tc>
          <w:tcPr>
            <w:tcW w:type="dxa" w:w="3061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10_check_environment.py</w:t>
            </w:r>
          </w:p>
        </w:tc>
        <w:tc>
          <w:tcPr>
            <w:tcW w:type="dxa" w:w="6009"/>
          </w:tcPr>
          <w:p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outputs/environment_verified.json；离线模型/依赖预检</w:t>
            </w:r>
          </w:p>
        </w:tc>
      </w:tr>
    </w:tbl>
    <w:p w14:paraId="71EB7CE1">
      <w:pPr>
        <w:pStyle w:val="10"/>
        <w:widowControl/>
        <w:spacing w:before="0" w:after="80" w:line="312" w:lineRule="auto"/>
        <w:ind w:firstLine="480"/>
        <w:jc w:val="left"/>
      </w:pPr>
      <w:r>
        <w:rPr>
          <w:rFonts w:ascii="Times New Roman" w:hAnsi="Times New Roman" w:eastAsia="宋体"/>
          <w:b w:val="0"/>
          <w:color w:val="000000"/>
          <w:sz w:val="21"/>
        </w:rPr>
        <w:t>2026年10月18日，在隔离目录中新开 Python 进程，顺序运行 01—06，均正常结束；各进程实测总耗时为 3.84、17.02、44.04、9.79、5.15、7.19 秒（含启动与导入）。03 在 CPU 上重新编码 7,512 段文本，编码日志为 28.9 秒；四个缓存数组与原数组逐元素相同。全部最终硬预测、主要评估指标和混淆矩阵复现一致；未选中的 C=10 验证 Macro-F1 从 0.5468 变为 0.5407，部分概率小数也有差异，因此一致性结论以最终预测和主指标为准。 复现使用 Windows、Python 3.13.15 与 Anaconda pytorch，模型在 CPU 上运行。本次验证的模型包为 sentence-transformers 5.1.1、transformers 4.57.1、tokenizers 0.22.1；模型修订号、包版本和来源均保存在环境记录中。这是本次复现环境，而非原运行的完整版本锁定记录。日志、进程编号和逐文件比较见 outputs/review/replay_evidence；CPU 环境即可执行本实验。</w:t>
      </w:r>
    </w:p>
    <w:p w14:paraId="56175973">
      <w:pPr>
        <w:pStyle w:val="Heading1"/>
        <w:keepNext/>
        <w:pageBreakBefore w:val="0"/>
        <w:spacing w:after="100" w:line="312" w:lineRule="auto" w:before="200"/>
        <w:ind w:firstLine="0"/>
        <w:rPr>
          <w:rFonts w:hint="default" w:ascii="Times New Roman" w:hAnsi="Times New Roman" w:eastAsia="楷体" w:cs="Times New Roman"/>
          <w:b/>
          <w:bCs/>
          <w:color w:val="0000FF"/>
          <w:sz w:val="24"/>
          <w:szCs w:val="24"/>
        </w:rPr>
      </w:pPr>
      <w:r>
        <w:rPr>
          <w:rFonts w:ascii="黑体" w:hAnsi="黑体" w:eastAsia="黑体"/>
          <w:b/>
          <w:color w:val="000000"/>
          <w:sz w:val="28"/>
        </w:rPr>
        <w:t>六 参考文献</w:t>
      </w:r>
    </w:p>
    <w:p>
      <w:pPr>
        <w:spacing w:after="80" w:line="300" w:lineRule="auto"/>
        <w:ind w:left="300" w:hanging="300"/>
        <w:jc w:val="left"/>
      </w:pPr>
      <w:r>
        <w:rPr>
          <w:rFonts w:ascii="Times New Roman" w:hAnsi="Times New Roman" w:eastAsia="宋体"/>
          <w:b w:val="0"/>
          <w:color w:val="000000"/>
          <w:sz w:val="19"/>
        </w:rPr>
        <w:t>[1] THOMAS K, FILANDRIANOS G, LYMPERAIOU M, et al. “I Never Said That”: A dataset, taxonomy and baselines on response clarity classification[C]//Findings of ACL: EMNLP 2024. 2024: 5204–5233. https://aclanthology.org/2024.findings-emnlp.300/.</w:t>
      </w:r>
    </w:p>
    <w:p>
      <w:pPr>
        <w:spacing w:after="80" w:line="300" w:lineRule="auto"/>
        <w:ind w:left="300" w:hanging="300"/>
        <w:jc w:val="left"/>
      </w:pPr>
      <w:r>
        <w:rPr>
          <w:rFonts w:ascii="Times New Roman" w:hAnsi="Times New Roman" w:eastAsia="宋体"/>
          <w:b w:val="0"/>
          <w:color w:val="000000"/>
          <w:sz w:val="19"/>
        </w:rPr>
        <w:t>[2] AILSNTUA. QEvasion dataset[DB/OL]. Hugging Face. [2026-10-18]. https://huggingface.co/datasets/ailsntua/QEvasion.</w:t>
      </w:r>
    </w:p>
    <w:p>
      <w:pPr>
        <w:spacing w:after="80" w:line="300" w:lineRule="auto"/>
        <w:ind w:left="300" w:hanging="300"/>
        <w:jc w:val="left"/>
      </w:pPr>
      <w:r>
        <w:rPr>
          <w:rFonts w:ascii="Times New Roman" w:hAnsi="Times New Roman" w:eastAsia="宋体"/>
          <w:b w:val="0"/>
          <w:color w:val="000000"/>
          <w:sz w:val="19"/>
        </w:rPr>
        <w:t>[3] REIMERS N, GUREVYCH I. Sentence-BERT: Sentence Embeddings using Siamese BERT-Networks[C]//EMNLP-IJCNLP 2019. 2019: 3982–3992. https://aclanthology.org/D19-1410/.</w:t>
      </w:r>
    </w:p>
    <w:p>
      <w:pPr>
        <w:spacing w:after="80" w:line="300" w:lineRule="auto"/>
        <w:ind w:left="300" w:hanging="300"/>
        <w:jc w:val="left"/>
      </w:pPr>
      <w:r>
        <w:rPr>
          <w:rFonts w:ascii="Times New Roman" w:hAnsi="Times New Roman" w:eastAsia="宋体"/>
          <w:b w:val="0"/>
          <w:color w:val="000000"/>
          <w:sz w:val="19"/>
        </w:rPr>
        <w:t>[4] WANG L, YANG N, HUANG X, et al. Improving Text Embeddings with Large Language Models[C]//ACL 2024, Volume 1: Long Papers. 2024: 11897–11916. https://aclanthology.org/2024.acl-long.642/.</w:t>
      </w:r>
    </w:p>
    <w:p>
      <w:pPr>
        <w:spacing w:after="80" w:line="300" w:lineRule="auto"/>
        <w:ind w:left="300" w:hanging="300"/>
        <w:jc w:val="left"/>
      </w:pPr>
      <w:r>
        <w:rPr>
          <w:rFonts w:ascii="Times New Roman" w:hAnsi="Times New Roman" w:eastAsia="宋体"/>
          <w:b w:val="0"/>
          <w:color w:val="000000"/>
          <w:sz w:val="19"/>
        </w:rPr>
        <w:t>[5] WANG A, SINGH A, MICHAEL J, et al. GLUE: A Multi-Task Benchmark and Analysis Platform for Natural Language Understanding[C]//BlackboxNLP 2018. 2018: 353–355. https://aclanthology.org/W18-5446/.</w:t>
      </w:r>
    </w:p>
    <w:p>
      <w:pPr>
        <w:spacing w:after="80" w:line="300" w:lineRule="auto"/>
        <w:ind w:left="300" w:hanging="300"/>
        <w:jc w:val="left"/>
      </w:pPr>
      <w:r>
        <w:rPr>
          <w:rFonts w:ascii="Times New Roman" w:hAnsi="Times New Roman" w:eastAsia="宋体"/>
          <w:b w:val="0"/>
          <w:color w:val="000000"/>
          <w:sz w:val="19"/>
        </w:rPr>
        <w:t>[6] SENTENCE-TRANSFORMERS. all-MiniLM-L6-v2 model card[EB/OL]. Hugging Face. [2026-10-18]. https://huggingface.co/sentence-transformers/all-MiniLM-L6-v2.</w:t>
      </w:r>
    </w:p>
    <w:p>
      <w:pPr>
        <w:spacing w:after="80" w:line="300" w:lineRule="auto"/>
        <w:ind w:left="300" w:hanging="300"/>
        <w:jc w:val="left"/>
      </w:pPr>
      <w:r>
        <w:rPr>
          <w:rFonts w:ascii="Times New Roman" w:hAnsi="Times New Roman" w:eastAsia="宋体"/>
          <w:b w:val="0"/>
          <w:color w:val="000000"/>
          <w:sz w:val="19"/>
        </w:rPr>
        <w:t>[7] GLUE. QNLI official data files[DB/OL]. [2026-10-18]. https://dl.fbaipublicfiles.com/glue/data/QNLI.zip.</w:t>
      </w:r>
    </w:p>
    <w:p w14:paraId="7AFC6C64">
      <w:pPr>
        <w:spacing w:line="312" w:lineRule="auto" w:after="100"/>
      </w:pPr>
    </w:p>
    <w:sectPr>
      <w:footerReference r:id="rId3" w:type="default"/>
      <w:pgSz w:w="11906" w:h="16838"/>
      <w:pgMar w:top="794" w:right="1418" w:bottom="794" w:left="1418" w:header="794" w:footer="794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 Unicode MS">
    <w:panose1 w:val="020B0604020202020204"/>
    <w:charset w:val="86"/>
    <w:family w:val="roman"/>
    <w:pitch w:val="default"/>
    <w:sig w:usb0="F7FFAEFF" w:usb1="F9DFFFFF" w:usb2="0000007F" w:usb3="00000000" w:csb0="203F01FF" w:csb1="DFFF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A4770C">
    <w:pPr>
      <w:pStyle w:val="3"/>
      <w:jc w:val="center"/>
      <w:rPr>
        <w:rFonts w:hint="eastAsia"/>
        <w:sz w:val="21"/>
        <w:szCs w:val="21"/>
      </w:rPr>
    </w:pPr>
    <w:r>
      <w:rPr>
        <w:rFonts w:hint="eastAsia"/>
        <w:sz w:val="21"/>
        <w:szCs w:val="21"/>
      </w:rPr>
      <w:t>第</w:t>
    </w:r>
    <w:r>
      <w:rPr>
        <w:rStyle w:val="8"/>
        <w:sz w:val="21"/>
        <w:szCs w:val="21"/>
      </w:rPr>
      <w:fldChar w:fldCharType="begin"/>
    </w:r>
    <w:r>
      <w:rPr>
        <w:rStyle w:val="8"/>
        <w:sz w:val="21"/>
        <w:szCs w:val="21"/>
      </w:rPr>
      <w:instrText xml:space="preserve"> PAGE </w:instrText>
    </w:r>
    <w:r>
      <w:rPr>
        <w:rStyle w:val="8"/>
        <w:sz w:val="21"/>
        <w:szCs w:val="21"/>
      </w:rPr>
      <w:fldChar w:fldCharType="separate"/>
    </w:r>
    <w:r>
      <w:rPr>
        <w:rStyle w:val="8"/>
        <w:sz w:val="21"/>
        <w:szCs w:val="21"/>
        <w:lang w:val="en-US" w:eastAsia="zh-CN"/>
      </w:rPr>
      <w:t>1</w:t>
    </w:r>
    <w:r>
      <w:rPr>
        <w:rStyle w:val="8"/>
        <w:sz w:val="21"/>
        <w:szCs w:val="21"/>
      </w:rPr>
      <w:fldChar w:fldCharType="end"/>
    </w:r>
    <w:r>
      <w:rPr>
        <w:rFonts w:hint="eastAsia"/>
        <w:sz w:val="21"/>
        <w:szCs w:val="21"/>
      </w:rPr>
      <w:t>页  共</w:t>
    </w:r>
    <w:r>
      <w:rPr>
        <w:rStyle w:val="8"/>
        <w:sz w:val="21"/>
        <w:szCs w:val="21"/>
      </w:rPr>
      <w:fldChar w:fldCharType="begin"/>
    </w:r>
    <w:r>
      <w:rPr>
        <w:rStyle w:val="8"/>
        <w:sz w:val="21"/>
        <w:szCs w:val="21"/>
      </w:rPr>
      <w:instrText xml:space="preserve"> NUMPAGES </w:instrText>
    </w:r>
    <w:r>
      <w:rPr>
        <w:rStyle w:val="8"/>
        <w:sz w:val="21"/>
        <w:szCs w:val="21"/>
      </w:rPr>
      <w:fldChar w:fldCharType="separate"/>
    </w:r>
    <w:r>
      <w:rPr>
        <w:rStyle w:val="8"/>
        <w:sz w:val="21"/>
        <w:szCs w:val="21"/>
        <w:lang w:val="en-US" w:eastAsia="zh-CN"/>
      </w:rPr>
      <w:t>15</w:t>
    </w:r>
    <w:r>
      <w:rPr>
        <w:rStyle w:val="8"/>
        <w:sz w:val="21"/>
        <w:szCs w:val="21"/>
      </w:rPr>
      <w:fldChar w:fldCharType="end"/>
    </w:r>
    <w:r>
      <w:rPr>
        <w:rFonts w:hint="eastAsia"/>
        <w:sz w:val="21"/>
        <w:szCs w:val="21"/>
      </w:rPr>
      <w:t>页</w: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7CB0B52"/>
    <w:multiLevelType w:val="singleLevel"/>
    <w:tmpl w:val="97CB0B52"/>
    <w:lvl w:ilvl="0" w:tentative="0">
      <w:start w:val="1"/>
      <w:numFmt w:val="chineseCounting"/>
      <w:suff w:val="nothing"/>
      <w:lvlText w:val="%1、"/>
      <w:lvlJc w:val="left"/>
      <w:pPr>
        <w:ind w:left="0" w:firstLine="42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2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docVars>
    <w:docVar w:name="commondata" w:val="eyJoZGlkIjoiZTZiMWNkMzNmYTEzODcwNmQ5MTk1ZTFmMjczMWYwZGIifQ=="/>
  </w:docVars>
  <w:rsids>
    <w:rsidRoot w:val="00BD2D65"/>
    <w:rsid w:val="000E0A9E"/>
    <w:rsid w:val="0013004F"/>
    <w:rsid w:val="001E0B7E"/>
    <w:rsid w:val="002036FB"/>
    <w:rsid w:val="00296FC8"/>
    <w:rsid w:val="002A112E"/>
    <w:rsid w:val="00324F57"/>
    <w:rsid w:val="00326D45"/>
    <w:rsid w:val="00351741"/>
    <w:rsid w:val="00541EF0"/>
    <w:rsid w:val="006114E2"/>
    <w:rsid w:val="00663530"/>
    <w:rsid w:val="006F76AA"/>
    <w:rsid w:val="00963E92"/>
    <w:rsid w:val="00B259DE"/>
    <w:rsid w:val="00BC5CB6"/>
    <w:rsid w:val="00BD0366"/>
    <w:rsid w:val="00BD2D65"/>
    <w:rsid w:val="00D42BE6"/>
    <w:rsid w:val="00DB34E7"/>
    <w:rsid w:val="00E602E6"/>
    <w:rsid w:val="00E71FF4"/>
    <w:rsid w:val="00F4498F"/>
    <w:rsid w:val="01093785"/>
    <w:rsid w:val="01706CC7"/>
    <w:rsid w:val="026D4207"/>
    <w:rsid w:val="02976F53"/>
    <w:rsid w:val="03370C3A"/>
    <w:rsid w:val="05721148"/>
    <w:rsid w:val="05B60D91"/>
    <w:rsid w:val="079F4812"/>
    <w:rsid w:val="08805332"/>
    <w:rsid w:val="089470F2"/>
    <w:rsid w:val="08B80F70"/>
    <w:rsid w:val="09DB08B1"/>
    <w:rsid w:val="0AE6403B"/>
    <w:rsid w:val="0CA267B8"/>
    <w:rsid w:val="0CBC1B52"/>
    <w:rsid w:val="0D554FDF"/>
    <w:rsid w:val="0D621ACA"/>
    <w:rsid w:val="10072A05"/>
    <w:rsid w:val="10245AAD"/>
    <w:rsid w:val="112F484C"/>
    <w:rsid w:val="11E913EA"/>
    <w:rsid w:val="12CE35D7"/>
    <w:rsid w:val="147300B2"/>
    <w:rsid w:val="150368B2"/>
    <w:rsid w:val="1546246E"/>
    <w:rsid w:val="173F4CD3"/>
    <w:rsid w:val="18244A6D"/>
    <w:rsid w:val="190C5C9F"/>
    <w:rsid w:val="19F12685"/>
    <w:rsid w:val="1AA67583"/>
    <w:rsid w:val="1AAE7058"/>
    <w:rsid w:val="1C7F0573"/>
    <w:rsid w:val="1D4C28A3"/>
    <w:rsid w:val="1E8F18C1"/>
    <w:rsid w:val="1F047734"/>
    <w:rsid w:val="205D0733"/>
    <w:rsid w:val="21C0187B"/>
    <w:rsid w:val="22EF7B1E"/>
    <w:rsid w:val="23B87797"/>
    <w:rsid w:val="24D37D1E"/>
    <w:rsid w:val="255C47C4"/>
    <w:rsid w:val="2673237B"/>
    <w:rsid w:val="284C2C36"/>
    <w:rsid w:val="285152D8"/>
    <w:rsid w:val="28CF6BD5"/>
    <w:rsid w:val="28FB3998"/>
    <w:rsid w:val="29F95074"/>
    <w:rsid w:val="2E1178AA"/>
    <w:rsid w:val="2EEB3529"/>
    <w:rsid w:val="2F3C2E7D"/>
    <w:rsid w:val="2FFC00DB"/>
    <w:rsid w:val="30105DE9"/>
    <w:rsid w:val="30B577A3"/>
    <w:rsid w:val="312F2049"/>
    <w:rsid w:val="31BF0628"/>
    <w:rsid w:val="323B5CA2"/>
    <w:rsid w:val="32FD7793"/>
    <w:rsid w:val="3319549C"/>
    <w:rsid w:val="33BD4BBA"/>
    <w:rsid w:val="3436318C"/>
    <w:rsid w:val="34D81AD5"/>
    <w:rsid w:val="3651392F"/>
    <w:rsid w:val="37A24350"/>
    <w:rsid w:val="38894DEC"/>
    <w:rsid w:val="388B1E84"/>
    <w:rsid w:val="38C41CCF"/>
    <w:rsid w:val="390F05E8"/>
    <w:rsid w:val="392E2DE3"/>
    <w:rsid w:val="39865524"/>
    <w:rsid w:val="39E07108"/>
    <w:rsid w:val="39F96EC0"/>
    <w:rsid w:val="3ABC720F"/>
    <w:rsid w:val="3C623A2D"/>
    <w:rsid w:val="3C830972"/>
    <w:rsid w:val="3D8726E3"/>
    <w:rsid w:val="3DD33774"/>
    <w:rsid w:val="3E3C12D8"/>
    <w:rsid w:val="3E456B72"/>
    <w:rsid w:val="4038376D"/>
    <w:rsid w:val="42D113A5"/>
    <w:rsid w:val="435804F6"/>
    <w:rsid w:val="43675A36"/>
    <w:rsid w:val="43837B10"/>
    <w:rsid w:val="46C91614"/>
    <w:rsid w:val="474D063C"/>
    <w:rsid w:val="47E32A4F"/>
    <w:rsid w:val="47F66189"/>
    <w:rsid w:val="48F7250A"/>
    <w:rsid w:val="49436640"/>
    <w:rsid w:val="4A0330F2"/>
    <w:rsid w:val="4C5B415C"/>
    <w:rsid w:val="4D4345FC"/>
    <w:rsid w:val="4F6D0163"/>
    <w:rsid w:val="4F986314"/>
    <w:rsid w:val="513E3DF4"/>
    <w:rsid w:val="51894E10"/>
    <w:rsid w:val="53781FC8"/>
    <w:rsid w:val="5400487A"/>
    <w:rsid w:val="545D0273"/>
    <w:rsid w:val="555A6A7A"/>
    <w:rsid w:val="556568B5"/>
    <w:rsid w:val="556F2D08"/>
    <w:rsid w:val="58D5317F"/>
    <w:rsid w:val="58F2660F"/>
    <w:rsid w:val="594C6615"/>
    <w:rsid w:val="5A0F3B18"/>
    <w:rsid w:val="5A8738CB"/>
    <w:rsid w:val="5AA012C7"/>
    <w:rsid w:val="5B60597F"/>
    <w:rsid w:val="5CF73038"/>
    <w:rsid w:val="5D4B79AA"/>
    <w:rsid w:val="5D5A77C0"/>
    <w:rsid w:val="5DAD4246"/>
    <w:rsid w:val="5E36400C"/>
    <w:rsid w:val="5FA40029"/>
    <w:rsid w:val="60234A74"/>
    <w:rsid w:val="60646B56"/>
    <w:rsid w:val="61D01AC7"/>
    <w:rsid w:val="61F513E7"/>
    <w:rsid w:val="63EE26AC"/>
    <w:rsid w:val="659E6878"/>
    <w:rsid w:val="66E84D46"/>
    <w:rsid w:val="66F760B7"/>
    <w:rsid w:val="6A5967A9"/>
    <w:rsid w:val="6A5C3FC0"/>
    <w:rsid w:val="6B1F1D7D"/>
    <w:rsid w:val="6C6F76D7"/>
    <w:rsid w:val="6CEF6C0D"/>
    <w:rsid w:val="6CF84761"/>
    <w:rsid w:val="6D0F6747"/>
    <w:rsid w:val="6E435241"/>
    <w:rsid w:val="6E865D6E"/>
    <w:rsid w:val="6EE40E94"/>
    <w:rsid w:val="6F505638"/>
    <w:rsid w:val="71BB4C59"/>
    <w:rsid w:val="72295B7C"/>
    <w:rsid w:val="74200C24"/>
    <w:rsid w:val="75C33EB4"/>
    <w:rsid w:val="76CB48C6"/>
    <w:rsid w:val="798A2AE9"/>
    <w:rsid w:val="7A225E29"/>
    <w:rsid w:val="7E1D7C34"/>
    <w:rsid w:val="7E745D58"/>
    <w:rsid w:val="7F5A2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semiHidden/>
    <w:qFormat/>
    <w:uiPriority w:val="0"/>
    <w:rPr>
      <w:sz w:val="18"/>
      <w:szCs w:val="18"/>
    </w:r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page number"/>
    <w:basedOn w:val="7"/>
    <w:qFormat/>
    <w:uiPriority w:val="0"/>
  </w:style>
  <w:style w:type="character" w:styleId="9">
    <w:name w:val="Hyperlink"/>
    <w:basedOn w:val="7"/>
    <w:uiPriority w:val="0"/>
    <w:rPr>
      <w:color w:val="0000FF"/>
      <w:u w:val="single"/>
    </w:rPr>
  </w:style>
  <w:style w:type="paragraph" w:customStyle="1" w:styleId="10">
    <w:name w:val="正文 A"/>
    <w:qFormat/>
    <w:uiPriority w:val="0"/>
    <w:pPr>
      <w:widowControl w:val="0"/>
      <w:jc w:val="both"/>
    </w:pPr>
    <w:rPr>
      <w:rFonts w:hint="eastAsia" w:ascii="Arial Unicode MS" w:hAnsi="Arial Unicode MS" w:eastAsia="Times New Roman" w:cs="Arial Unicode MS"/>
      <w:color w:val="000000"/>
      <w:kern w:val="2"/>
      <w:sz w:val="21"/>
      <w:szCs w:val="21"/>
      <w:lang w:val="en-US" w:eastAsia="en-US" w:bidi="ar-SA"/>
    </w:rPr>
  </w:style>
  <w:style w:type="paragraph" w:customStyle="1" w:styleId="11">
    <w:name w:val="页脚1"/>
    <w:qFormat/>
    <w:uiPriority w:val="0"/>
    <w:pPr>
      <w:widowControl w:val="0"/>
      <w:tabs>
        <w:tab w:val="center" w:pos="4153"/>
        <w:tab w:val="right" w:pos="8306"/>
      </w:tabs>
    </w:pPr>
    <w:rPr>
      <w:rFonts w:hint="eastAsia" w:ascii="Arial Unicode MS" w:hAnsi="Arial Unicode MS" w:eastAsia="Times New Roman" w:cs="Arial Unicode MS"/>
      <w:color w:val="000000"/>
      <w:kern w:val="2"/>
      <w:sz w:val="18"/>
      <w:szCs w:val="18"/>
      <w:lang w:val="en-US" w:eastAsia="zh-CN" w:bidi="ar-SA"/>
    </w:rPr>
  </w:style>
  <w:style w:type="paragraph" w:customStyle="1" w:styleId="Heading1">
    <w:name w:val="heading 1"/>
    <w:basedOn w:val="1"/>
    <w:pPr>
      <w:outlineLvl w:val="0"/>
    </w:pPr>
  </w:style>
  <w:style w:type="paragraph" w:customStyle="1" w:styleId="Heading2">
    <w:name w:val="heading 2"/>
    <w:basedOn w:val="1"/>
    <w:pPr>
      <w:outlineLvl w:val="1"/>
    </w:pPr>
  </w:style>
  <w:style w:type="paragraph" w:customStyle="1" w:styleId="Caption">
    <w:name w:val="caption"/>
    <w:basedOn w:val="1"/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hyperlink" Target="https://github.com/huangyuke914235/NLP-" TargetMode="External"/><Relationship Id="rId10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15</Pages>
  <Words>1036</Words>
  <Characters>1251</Characters>
  <Lines>97</Lines>
  <Paragraphs>52</Paragraphs>
  <TotalTime>6</TotalTime>
  <ScaleCrop>false</ScaleCrop>
  <LinksUpToDate>false</LinksUpToDate>
  <CharactersWithSpaces>1303</CharactersWithSpaces>
  <Application>WPS Office_12.1.0.29161_F1E327BC-269C-435d-A152-05C5408002CA</Application>
  <DocSecurity>4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2026-09-19T11:24:00Z</dcterms:created>
  <dc:creator>DengBingZhong</dc:creator>
  <cp:lastModifiedBy>ying.</cp:lastModifiedBy>
  <cp:lastPrinted>2007-05-17T01:51:00Z</cp:lastPrinted>
  <dcterms:modified xsi:type="dcterms:W3CDTF">2026-10-18T08:20:32Z</dcterms:modified>
  <dc:title>深圳大学考试答题纸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8EB4B4B613C54C97943CC08260F922F9</vt:lpwstr>
  </property>
  <property fmtid="{D5CDD505-2E9C-101B-9397-08002B2CF9AE}" pid="4" name="KSOTemplateDocerSaveRecord">
    <vt:lpwstr>eyJoZGlkIjoiMmYwNTQ0ODM0YzhlZDBhZDVjN2EyZmIzNTAxZmNkNTkiLCJ1c2VySWQiOiIzMDQ4NjA5MDUifQ==</vt:lpwstr>
  </property>
</Properties>
</file>