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C5F649">
      <w:pPr>
        <w:jc w:val="center"/>
        <w:rPr>
          <w:rFonts w:eastAsia="楷体"/>
          <w:sz w:val="28"/>
          <w:szCs w:val="28"/>
        </w:rPr>
      </w:pPr>
      <w:r>
        <w:rPr>
          <w:rFonts w:eastAsia="楷体"/>
          <w:sz w:val="28"/>
          <w:szCs w:val="28"/>
        </w:rPr>
        <w:t>深圳大学考试答题纸</w:t>
      </w:r>
    </w:p>
    <w:p w14:paraId="2B860A64">
      <w:pPr>
        <w:jc w:val="center"/>
        <w:rPr>
          <w:rFonts w:eastAsia="楷体"/>
          <w:sz w:val="24"/>
        </w:rPr>
      </w:pPr>
      <w:r>
        <w:rPr>
          <w:rFonts w:eastAsia="楷体"/>
          <w:sz w:val="24"/>
        </w:rPr>
        <w:t>(以论文、报告等形式考核专用)</w:t>
      </w:r>
    </w:p>
    <w:p w14:paraId="504956D3">
      <w:pPr>
        <w:jc w:val="center"/>
        <w:rPr>
          <w:rFonts w:eastAsia="楷体"/>
          <w:sz w:val="24"/>
        </w:rPr>
      </w:pPr>
      <w:r>
        <w:rPr>
          <w:rFonts w:eastAsia="楷体"/>
          <w:sz w:val="24"/>
          <w:lang w:val="zh-TW" w:eastAsia="zh-TW"/>
        </w:rPr>
        <w:t>202</w:t>
      </w:r>
      <w:r>
        <w:rPr>
          <w:rFonts w:hint="eastAsia" w:eastAsia="楷体"/>
          <w:sz w:val="24"/>
        </w:rPr>
        <w:t>6</w:t>
      </w:r>
      <w:r>
        <w:rPr>
          <w:rFonts w:eastAsia="楷体"/>
          <w:sz w:val="24"/>
          <w:lang w:val="zh-TW" w:eastAsia="zh-TW"/>
        </w:rPr>
        <w:t>-202</w:t>
      </w:r>
      <w:r>
        <w:rPr>
          <w:rFonts w:hint="eastAsia" w:eastAsia="楷体"/>
          <w:sz w:val="24"/>
        </w:rPr>
        <w:t>7</w:t>
      </w:r>
      <w:r>
        <w:rPr>
          <w:rFonts w:eastAsia="楷体"/>
          <w:sz w:val="24"/>
          <w:lang w:val="zh-TW" w:eastAsia="zh-TW"/>
        </w:rPr>
        <w:t>学年度第</w:t>
      </w:r>
      <w:r>
        <w:rPr>
          <w:rFonts w:eastAsia="楷体"/>
          <w:sz w:val="24"/>
        </w:rPr>
        <w:t>一</w:t>
      </w:r>
      <w:r>
        <w:rPr>
          <w:rFonts w:eastAsia="楷体"/>
          <w:sz w:val="24"/>
          <w:lang w:val="zh-TW" w:eastAsia="zh-TW"/>
        </w:rPr>
        <w:t>学期</w:t>
      </w:r>
    </w:p>
    <w:tbl>
      <w:tblPr>
        <w:tblStyle w:val="5"/>
        <w:tblW w:w="936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5"/>
        <w:gridCol w:w="78"/>
        <w:gridCol w:w="836"/>
        <w:gridCol w:w="244"/>
        <w:gridCol w:w="607"/>
        <w:gridCol w:w="414"/>
        <w:gridCol w:w="11"/>
        <w:gridCol w:w="1089"/>
        <w:gridCol w:w="1539"/>
        <w:gridCol w:w="149"/>
        <w:gridCol w:w="1145"/>
        <w:gridCol w:w="1039"/>
        <w:gridCol w:w="709"/>
        <w:gridCol w:w="427"/>
      </w:tblGrid>
      <w:tr w14:paraId="0451C5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75" w:type="dxa"/>
            <w:vAlign w:val="center"/>
          </w:tcPr>
          <w:p w14:paraId="2894B4D8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课程编号</w:t>
            </w:r>
          </w:p>
        </w:tc>
        <w:tc>
          <w:tcPr>
            <w:tcW w:w="914" w:type="dxa"/>
            <w:gridSpan w:val="2"/>
            <w:tcBorders>
              <w:bottom w:val="single" w:color="auto" w:sz="4" w:space="0"/>
            </w:tcBorders>
            <w:vAlign w:val="center"/>
          </w:tcPr>
          <w:p w14:paraId="6BEA944A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1504660001</w:t>
            </w:r>
          </w:p>
        </w:tc>
        <w:tc>
          <w:tcPr>
            <w:tcW w:w="851" w:type="dxa"/>
            <w:gridSpan w:val="2"/>
            <w:vAlign w:val="center"/>
          </w:tcPr>
          <w:p w14:paraId="2147C236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课序号</w:t>
            </w:r>
          </w:p>
        </w:tc>
        <w:tc>
          <w:tcPr>
            <w:tcW w:w="425" w:type="dxa"/>
            <w:gridSpan w:val="2"/>
            <w:tcBorders>
              <w:bottom w:val="single" w:color="auto" w:sz="4" w:space="0"/>
            </w:tcBorders>
            <w:vAlign w:val="center"/>
          </w:tcPr>
          <w:p w14:paraId="58F257AD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1</w:t>
            </w:r>
          </w:p>
        </w:tc>
        <w:tc>
          <w:tcPr>
            <w:tcW w:w="1089" w:type="dxa"/>
            <w:vAlign w:val="center"/>
          </w:tcPr>
          <w:p w14:paraId="641A5B51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课程名称</w:t>
            </w:r>
          </w:p>
        </w:tc>
        <w:tc>
          <w:tcPr>
            <w:tcW w:w="1688" w:type="dxa"/>
            <w:gridSpan w:val="2"/>
            <w:tcBorders>
              <w:bottom w:val="single" w:color="auto" w:sz="4" w:space="0"/>
            </w:tcBorders>
            <w:vAlign w:val="center"/>
          </w:tcPr>
          <w:p w14:paraId="622E199A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自然语言处理</w:t>
            </w:r>
          </w:p>
        </w:tc>
        <w:tc>
          <w:tcPr>
            <w:tcW w:w="1145" w:type="dxa"/>
            <w:tcBorders>
              <w:left w:val="nil"/>
            </w:tcBorders>
            <w:vAlign w:val="center"/>
          </w:tcPr>
          <w:p w14:paraId="1D99075B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主讲教师</w:t>
            </w:r>
          </w:p>
        </w:tc>
        <w:tc>
          <w:tcPr>
            <w:tcW w:w="1039" w:type="dxa"/>
            <w:tcBorders>
              <w:left w:val="nil"/>
              <w:bottom w:val="single" w:color="auto" w:sz="4" w:space="0"/>
            </w:tcBorders>
            <w:vAlign w:val="center"/>
          </w:tcPr>
          <w:p w14:paraId="12BC02CE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 w:val="24"/>
              </w:rPr>
              <w:t>陈俊扬</w:t>
            </w:r>
          </w:p>
        </w:tc>
        <w:tc>
          <w:tcPr>
            <w:tcW w:w="709" w:type="dxa"/>
            <w:vAlign w:val="center"/>
          </w:tcPr>
          <w:p w14:paraId="51C45D05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评分</w:t>
            </w:r>
          </w:p>
        </w:tc>
        <w:tc>
          <w:tcPr>
            <w:tcW w:w="427" w:type="dxa"/>
            <w:tcBorders>
              <w:bottom w:val="single" w:color="auto" w:sz="4" w:space="0"/>
            </w:tcBorders>
            <w:vAlign w:val="center"/>
          </w:tcPr>
          <w:p w14:paraId="75316DE4">
            <w:pPr>
              <w:rPr>
                <w:rFonts w:eastAsia="楷体"/>
                <w:szCs w:val="21"/>
              </w:rPr>
            </w:pPr>
          </w:p>
        </w:tc>
      </w:tr>
      <w:tr w14:paraId="382E35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75" w:type="dxa"/>
            <w:vAlign w:val="bottom"/>
          </w:tcPr>
          <w:p w14:paraId="500B1661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学号</w:t>
            </w:r>
          </w:p>
        </w:tc>
        <w:tc>
          <w:tcPr>
            <w:tcW w:w="1158" w:type="dxa"/>
            <w:gridSpan w:val="3"/>
            <w:tcBorders>
              <w:bottom w:val="single" w:color="auto" w:sz="4" w:space="0"/>
            </w:tcBorders>
            <w:vAlign w:val="bottom"/>
          </w:tcPr>
          <w:p w14:paraId="5466674C">
            <w:pPr>
              <w:rPr>
                <w:rFonts w:hint="default" w:eastAsia="楷体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宋体"/>
                <w:b w:val="0"/>
                <w:color w:val="000000"/>
                <w:sz w:val="18"/>
                <w:szCs w:val="21"/>
                <w:lang w:val="en-US" w:eastAsia="zh-CN"/>
              </w:rPr>
              <w:t>2025150266</w:t>
            </w:r>
          </w:p>
        </w:tc>
        <w:tc>
          <w:tcPr>
            <w:tcW w:w="1021" w:type="dxa"/>
            <w:gridSpan w:val="2"/>
            <w:vAlign w:val="bottom"/>
          </w:tcPr>
          <w:p w14:paraId="7795A333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姓名</w:t>
            </w:r>
          </w:p>
        </w:tc>
        <w:tc>
          <w:tcPr>
            <w:tcW w:w="1100" w:type="dxa"/>
            <w:gridSpan w:val="2"/>
            <w:tcBorders>
              <w:bottom w:val="single" w:color="auto" w:sz="4" w:space="0"/>
            </w:tcBorders>
            <w:vAlign w:val="bottom"/>
          </w:tcPr>
          <w:p w14:paraId="42A2DE81">
            <w:pPr>
              <w:rPr>
                <w:rFonts w:hint="eastAsia" w:eastAsia="楷体"/>
                <w:szCs w:val="21"/>
                <w:lang w:val="en-US" w:eastAsia="zh-CN"/>
              </w:rPr>
            </w:pPr>
            <w:r>
              <w:rPr>
                <w:rFonts w:hint="eastAsia" w:eastAsia="楷体"/>
                <w:szCs w:val="21"/>
                <w:lang w:val="en-US" w:eastAsia="zh-CN"/>
              </w:rPr>
              <w:t>黄宇科</w:t>
            </w:r>
          </w:p>
        </w:tc>
        <w:tc>
          <w:tcPr>
            <w:tcW w:w="1539" w:type="dxa"/>
            <w:tcBorders>
              <w:left w:val="nil"/>
            </w:tcBorders>
            <w:vAlign w:val="bottom"/>
          </w:tcPr>
          <w:p w14:paraId="7D3EC1D1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专业年级</w:t>
            </w:r>
          </w:p>
        </w:tc>
        <w:tc>
          <w:tcPr>
            <w:tcW w:w="3469" w:type="dxa"/>
            <w:gridSpan w:val="5"/>
            <w:tcBorders>
              <w:bottom w:val="single" w:color="auto" w:sz="4" w:space="0"/>
            </w:tcBorders>
            <w:vAlign w:val="bottom"/>
          </w:tcPr>
          <w:p w14:paraId="295AF93C">
            <w:pPr>
              <w:spacing w:after="40"/>
            </w:pPr>
            <w:r>
              <w:rPr>
                <w:rFonts w:eastAsia="楷体"/>
                <w:szCs w:val="21"/>
              </w:rPr>
              <w:t>计算机科学与技术 2025级05班</w:t>
            </w:r>
          </w:p>
        </w:tc>
      </w:tr>
      <w:tr w14:paraId="4EF014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" w:hRule="exact"/>
          <w:jc w:val="center"/>
        </w:trPr>
        <w:tc>
          <w:tcPr>
            <w:tcW w:w="9362" w:type="dxa"/>
            <w:gridSpan w:val="14"/>
            <w:tcBorders>
              <w:bottom w:val="single" w:color="auto" w:sz="4" w:space="0"/>
            </w:tcBorders>
            <w:vAlign w:val="bottom"/>
          </w:tcPr>
          <w:p w14:paraId="5FD6CFD5">
            <w:pPr>
              <w:rPr>
                <w:rFonts w:eastAsia="楷体"/>
                <w:sz w:val="24"/>
              </w:rPr>
            </w:pPr>
          </w:p>
        </w:tc>
      </w:tr>
      <w:tr w14:paraId="6305CA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6" w:hRule="atLeast"/>
          <w:jc w:val="center"/>
        </w:trPr>
        <w:tc>
          <w:tcPr>
            <w:tcW w:w="9362" w:type="dxa"/>
            <w:gridSpan w:val="14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</w:tcPr>
          <w:p w14:paraId="6B483D84">
            <w:pPr>
              <w:pStyle w:val="10"/>
              <w:spacing w:line="360" w:lineRule="auto"/>
              <w:rPr>
                <w:rFonts w:hint="default" w:ascii="Times New Roman" w:hAnsi="Times New Roman" w:eastAsia="楷体" w:cs="Times New Roman"/>
                <w:sz w:val="22"/>
                <w:szCs w:val="22"/>
                <w:lang w:val="zh-TW" w:eastAsia="zh-TW"/>
              </w:rPr>
            </w:pPr>
            <w:r>
              <w:rPr>
                <w:rFonts w:ascii="Times New Roman" w:hAnsi="Times New Roman" w:eastAsia="楷体" w:cs="Times New Roman"/>
                <w:sz w:val="22"/>
                <w:szCs w:val="22"/>
                <w:lang w:eastAsia="zh-CN"/>
              </w:rPr>
              <w:t>作业说明</w:t>
            </w:r>
            <w:r>
              <w:rPr>
                <w:rFonts w:hint="default" w:ascii="Times New Roman" w:hAnsi="Times New Roman" w:eastAsia="楷体" w:cs="Times New Roman"/>
                <w:sz w:val="22"/>
                <w:szCs w:val="22"/>
                <w:lang w:val="zh-TW" w:eastAsia="zh-TW"/>
              </w:rPr>
              <w:t>：</w:t>
            </w:r>
          </w:p>
          <w:p w14:paraId="4D6CE5D7">
            <w:pPr>
              <w:spacing w:after="30"/>
              <w:ind w:firstLine="440" w:firstLineChars="200"/>
              <w:rPr>
                <w:rFonts w:eastAsia="楷体"/>
                <w:color w:val="FF0000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本次大作业在“对话问答回避检测与跨场景迁移分析”实验基础上完成。任务继续使用 QEvasion数据集</w:t>
            </w:r>
            <w:r>
              <w:rPr>
                <w:rFonts w:hint="eastAsia" w:eastAsia="楷体"/>
                <w:color w:val="000000"/>
                <w:sz w:val="22"/>
                <w:szCs w:val="22"/>
              </w:rPr>
              <w:t>(https://huggingface.co/datasets/ailsntua/QEvasion)</w:t>
            </w:r>
            <w:r>
              <w:rPr>
                <w:rFonts w:eastAsia="楷体"/>
                <w:color w:val="000000"/>
                <w:sz w:val="22"/>
                <w:szCs w:val="22"/>
              </w:rPr>
              <w:t>，迁移任务沿用实验中已选择的 QNLI、LCQMC、WildGuardMix 或 EZ-STANCE 之一作为数据集。</w:t>
            </w:r>
            <w:r>
              <w:rPr>
                <w:rFonts w:eastAsia="楷体"/>
                <w:color w:val="FF0000"/>
                <w:sz w:val="22"/>
                <w:szCs w:val="22"/>
              </w:rPr>
              <w:t>大作业的新增工作为：将已有实验组织为完整研究问题，并从下列三项扩展中任选一项完成。</w:t>
            </w:r>
          </w:p>
          <w:p w14:paraId="65BA50BB">
            <w:pPr>
              <w:spacing w:after="8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标签层级：结合 clarity_label 与 evasion_label，完成粗粒度—细粒度一致性或</w:t>
            </w:r>
            <w:bookmarkStart w:id="0" w:name="_GoBack"/>
            <w:bookmarkEnd w:id="0"/>
            <w:r>
              <w:rPr>
                <w:rFonts w:eastAsia="楷体"/>
                <w:color w:val="000000"/>
                <w:sz w:val="22"/>
                <w:szCs w:val="22"/>
              </w:rPr>
              <w:t>辅助分类分析。</w:t>
            </w:r>
          </w:p>
          <w:p w14:paraId="37B7F7CA">
            <w:pPr>
              <w:spacing w:after="8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数据效率：在迁移数据上比较少量标注数据与完整训练数据的效果，如 10%、30% 和 100%。</w:t>
            </w:r>
          </w:p>
          <w:p w14:paraId="27A9E2C4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一 背景介绍与研究问题（20分）</w:t>
            </w:r>
          </w:p>
          <w:p w14:paraId="3B6D3FA3">
            <w:pPr>
              <w:spacing w:after="16"/>
              <w:ind w:firstLine="440" w:firstLineChars="20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该部分不少于两页，需从实验任务出发形成明确的研究问题。（</w:t>
            </w:r>
            <w:r>
              <w:rPr>
                <w:rFonts w:eastAsia="楷体"/>
                <w:color w:val="FF0000"/>
                <w:sz w:val="22"/>
                <w:szCs w:val="22"/>
              </w:rPr>
              <w:t>论述需要有参考文献，注意参考文献的引用格式</w:t>
            </w:r>
            <w:r>
              <w:rPr>
                <w:rFonts w:eastAsia="楷体"/>
                <w:color w:val="000000"/>
                <w:sz w:val="22"/>
                <w:szCs w:val="22"/>
              </w:rPr>
              <w:t>）</w:t>
            </w:r>
          </w:p>
          <w:p w14:paraId="692F2029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说明回答清晰度、回避策略及其在访谈、客服或安全对话中的意义。</w:t>
            </w:r>
          </w:p>
          <w:p w14:paraId="4FF1BDD4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介绍 QEvasion 与所选迁移数据，说明两类任务的共同输入结构和标签差异。</w:t>
            </w:r>
          </w:p>
          <w:p w14:paraId="080C4E4D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提出三个问题：基础模型表现、跨场景迁移边界、所选扩展任务的预期结论。</w:t>
            </w:r>
          </w:p>
          <w:p w14:paraId="5B24A31B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说明本任务与普通情感分类的区别，并分析类别不均衡与来源泄漏风险。</w:t>
            </w:r>
          </w:p>
          <w:p w14:paraId="2792396C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二 相关工作的优缺点总结（10分）</w:t>
            </w:r>
          </w:p>
          <w:p w14:paraId="2FB1AC51">
            <w:pPr>
              <w:spacing w:after="16"/>
              <w:ind w:firstLine="440" w:firstLineChars="20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该部分不少于一页，可直接沿用实验阶段已经阅读的论文。</w:t>
            </w:r>
          </w:p>
          <w:p w14:paraId="4E2C6F39">
            <w:pPr>
              <w:spacing w:after="9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以 Thomas 等人的 QEvasion 论文为起点，补充实验中已选择的近期 ACL、EMNLP 或 AAAI 方法。</w:t>
            </w:r>
          </w:p>
          <w:p w14:paraId="19B3C8B5">
            <w:pPr>
              <w:spacing w:after="9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比较传统特征、预训练表示和跨场景迁移方法的适用条件与不足。</w:t>
            </w:r>
          </w:p>
          <w:p w14:paraId="212789EB">
            <w:pPr>
              <w:spacing w:after="9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说明所选扩展针对哪一项不足，不要求额外复现复杂论文模型。</w:t>
            </w:r>
          </w:p>
          <w:p w14:paraId="04E2BEC3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三 模型方法与扩展设计（20分）</w:t>
            </w:r>
          </w:p>
          <w:p w14:paraId="09BCEFC6">
            <w:pPr>
              <w:spacing w:after="16"/>
              <w:ind w:firstLine="418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该部分不少于一页，重点解释已有流程如何支持大作业研究问题。</w:t>
            </w:r>
          </w:p>
          <w:p w14:paraId="3047237F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保留 TF-IDF 加逻辑回归和一种预训练表示或句对微调方法，统一数据划分、标签映射与指标。</w:t>
            </w:r>
          </w:p>
          <w:p w14:paraId="34298B31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bCs/>
                <w:color w:val="000000"/>
                <w:sz w:val="22"/>
                <w:szCs w:val="22"/>
              </w:rPr>
              <w:t>举例</w:t>
            </w:r>
            <w:r>
              <w:rPr>
                <w:rFonts w:eastAsia="楷体"/>
                <w:color w:val="000000"/>
                <w:sz w:val="22"/>
                <w:szCs w:val="22"/>
              </w:rPr>
              <w:t>说明 text_a（源数据集）、text_b（迁移数据集）、label字段适配器，以及从原任务迁移到新场景时的修改。</w:t>
            </w:r>
          </w:p>
          <w:p w14:paraId="38CD984A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FF0000"/>
                <w:sz w:val="22"/>
                <w:szCs w:val="22"/>
              </w:rPr>
              <w:t>完整描述所选扩展的假设、实现步骤和比较设置；只需完成一项扩展</w:t>
            </w:r>
            <w:r>
              <w:rPr>
                <w:rFonts w:eastAsia="楷体"/>
                <w:color w:val="000000"/>
                <w:sz w:val="22"/>
                <w:szCs w:val="22"/>
              </w:rPr>
              <w:t>。</w:t>
            </w:r>
          </w:p>
          <w:p w14:paraId="42581F48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记录训练参数，保证结果可重复。</w:t>
            </w:r>
          </w:p>
          <w:p w14:paraId="49B4E32C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四 实验结果与综合分析（30分）</w:t>
            </w:r>
          </w:p>
          <w:p w14:paraId="3B7BFCE8">
            <w:pPr>
              <w:spacing w:after="16"/>
              <w:ind w:firstLine="418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该部分不少于三页。实验报告中的原任务结果和迁移结果可以直接复用，但需围绕统一研究问题重新组织。</w:t>
            </w:r>
          </w:p>
          <w:p w14:paraId="1EA215AB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报告多数类基线、TF-IDF 基线和预训练模型的 Accuracy、Macro-F1 与类别级指标。</w:t>
            </w:r>
          </w:p>
          <w:p w14:paraId="4B25FC3D">
            <w:pPr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展示迁移数据上的直接复用与适配结果，并补充所选扩展的一组对比实验。</w:t>
            </w:r>
          </w:p>
          <w:p w14:paraId="0B4A9611">
            <w:pPr>
              <w:spacing w:after="9"/>
              <w:ind w:firstLine="418" w:firstLineChars="190"/>
              <w:rPr>
                <w:rFonts w:eastAsia="楷体"/>
                <w:b/>
                <w:color w:val="000000"/>
                <w:sz w:val="22"/>
                <w:szCs w:val="22"/>
              </w:rPr>
            </w:pPr>
            <w:r>
              <w:rPr>
                <w:rFonts w:eastAsia="楷体"/>
                <w:bCs/>
                <w:color w:val="000000"/>
                <w:sz w:val="22"/>
                <w:szCs w:val="22"/>
              </w:rPr>
              <w:t>•</w:t>
            </w: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 给出案例分析，比如分析五个误判样本。</w:t>
            </w:r>
          </w:p>
          <w:p w14:paraId="476BBEDA">
            <w:pPr>
              <w:spacing w:after="9"/>
              <w:ind w:firstLine="420" w:firstLineChars="190"/>
              <w:rPr>
                <w:rFonts w:eastAsia="楷体"/>
                <w:color w:val="000000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bCs/>
                <w:color w:val="000000"/>
                <w:sz w:val="22"/>
                <w:szCs w:val="22"/>
              </w:rPr>
              <w:t>分析</w:t>
            </w:r>
            <w:r>
              <w:rPr>
                <w:rFonts w:eastAsia="楷体"/>
                <w:color w:val="000000"/>
                <w:sz w:val="22"/>
                <w:szCs w:val="22"/>
              </w:rPr>
              <w:t>性能变化来自数据分布、标签边界、来源群体还是模型表示，并说明结论的适用范围。</w:t>
            </w:r>
          </w:p>
          <w:p w14:paraId="0B857F46">
            <w:pPr>
              <w:spacing w:after="9"/>
              <w:ind w:firstLine="418" w:firstLineChars="190"/>
              <w:rPr>
                <w:rFonts w:eastAsia="楷体"/>
                <w:color w:val="000000"/>
                <w:sz w:val="22"/>
                <w:szCs w:val="22"/>
              </w:rPr>
            </w:pPr>
          </w:p>
          <w:p w14:paraId="1B705E40">
            <w:pPr>
              <w:spacing w:line="320" w:lineRule="exact"/>
              <w:jc w:val="left"/>
              <w:rPr>
                <w:rFonts w:eastAsia="楷体"/>
                <w:sz w:val="22"/>
                <w:szCs w:val="22"/>
              </w:rPr>
            </w:pPr>
            <w:r>
              <w:rPr>
                <w:rFonts w:hint="eastAsia" w:eastAsia="楷体"/>
                <w:bCs/>
                <w:color w:val="000000"/>
                <w:sz w:val="22"/>
                <w:szCs w:val="22"/>
              </w:rPr>
              <w:t>五</w:t>
            </w: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楷体"/>
                <w:color w:val="0000FF"/>
                <w:sz w:val="22"/>
                <w:szCs w:val="22"/>
              </w:rPr>
              <w:t>将实现的代码和结果上传到Github</w:t>
            </w:r>
            <w:r>
              <w:rPr>
                <w:rFonts w:hint="eastAsia" w:eastAsia="楷体"/>
                <w:color w:val="0000FF"/>
                <w:sz w:val="22"/>
                <w:szCs w:val="22"/>
              </w:rPr>
              <w:t xml:space="preserve"> </w:t>
            </w:r>
            <w:r>
              <w:rPr>
                <w:rFonts w:eastAsia="楷体"/>
                <w:color w:val="0000FF"/>
                <w:sz w:val="22"/>
                <w:szCs w:val="22"/>
              </w:rPr>
              <w:t>(</w:t>
            </w:r>
            <w:r>
              <w:rPr>
                <w:rFonts w:eastAsia="楷体"/>
                <w:color w:val="FF0000"/>
                <w:sz w:val="22"/>
                <w:szCs w:val="22"/>
              </w:rPr>
              <w:t>务必上传代码,并复制链接到正文</w:t>
            </w:r>
            <w:r>
              <w:rPr>
                <w:rFonts w:eastAsia="楷体"/>
                <w:color w:val="0000FF"/>
                <w:sz w:val="22"/>
                <w:szCs w:val="22"/>
              </w:rPr>
              <w:t>)</w:t>
            </w:r>
            <w:r>
              <w:rPr>
                <w:rFonts w:hint="eastAsia" w:eastAsia="楷体"/>
                <w:color w:val="0000FF"/>
                <w:sz w:val="22"/>
                <w:szCs w:val="22"/>
              </w:rPr>
              <w:t xml:space="preserve"> </w:t>
            </w:r>
            <w:r>
              <w:rPr>
                <w:rFonts w:eastAsia="楷体"/>
                <w:sz w:val="22"/>
                <w:szCs w:val="22"/>
              </w:rPr>
              <w:t>(</w:t>
            </w:r>
            <w:r>
              <w:rPr>
                <w:rFonts w:hint="eastAsia" w:eastAsia="楷体"/>
                <w:sz w:val="22"/>
                <w:szCs w:val="22"/>
              </w:rPr>
              <w:t>1</w:t>
            </w:r>
            <w:r>
              <w:rPr>
                <w:rFonts w:eastAsia="楷体"/>
                <w:sz w:val="22"/>
                <w:szCs w:val="22"/>
              </w:rPr>
              <w:t>0分)</w:t>
            </w:r>
          </w:p>
          <w:p w14:paraId="40DC6B1B">
            <w:pPr>
              <w:spacing w:line="320" w:lineRule="exact"/>
              <w:jc w:val="left"/>
              <w:rPr>
                <w:rFonts w:eastAsia="楷体"/>
                <w:sz w:val="24"/>
              </w:rPr>
            </w:pPr>
            <w:r>
              <w:rPr>
                <w:rFonts w:hint="eastAsia" w:eastAsia="楷体"/>
                <w:sz w:val="22"/>
                <w:szCs w:val="22"/>
              </w:rPr>
              <w:t xml:space="preserve">六 </w:t>
            </w:r>
            <w:r>
              <w:rPr>
                <w:rFonts w:eastAsia="楷体"/>
                <w:sz w:val="22"/>
                <w:szCs w:val="22"/>
              </w:rPr>
              <w:t>参考文献(10分)（要和正文内容联系，引用的地方加上序号，比如xxx[1]）</w:t>
            </w:r>
          </w:p>
        </w:tc>
      </w:tr>
      <w:tr w14:paraId="38C813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  <w:jc w:val="center"/>
        </w:trPr>
        <w:tc>
          <w:tcPr>
            <w:tcW w:w="1153" w:type="dxa"/>
            <w:gridSpan w:val="2"/>
            <w:tcBorders>
              <w:top w:val="single" w:color="auto" w:sz="4" w:space="0"/>
            </w:tcBorders>
            <w:vAlign w:val="center"/>
          </w:tcPr>
          <w:p w14:paraId="70475B1C">
            <w:pPr>
              <w:wordWrap w:val="0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sz w:val="24"/>
              </w:rPr>
              <w:t>题目：</w:t>
            </w:r>
          </w:p>
        </w:tc>
        <w:tc>
          <w:tcPr>
            <w:tcW w:w="8209" w:type="dxa"/>
            <w:gridSpan w:val="1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7F4006">
            <w:pPr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b/>
                <w:sz w:val="24"/>
              </w:rPr>
              <w:t>问答回避检测的语义建模与跨场景迁移及标签层级分析</w:t>
            </w:r>
          </w:p>
        </w:tc>
      </w:tr>
    </w:tbl>
    <w:p w14:paraId="4DC9E386">
      <w:pPr>
        <w:pStyle w:val="12"/>
        <w:keepNext/>
        <w:spacing w:before="200" w:after="100" w:line="312" w:lineRule="auto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  <w:lang w:val="zh-TW" w:eastAsia="zh-TW"/>
        </w:rPr>
      </w:pPr>
      <w:r>
        <w:rPr>
          <w:rFonts w:ascii="黑体" w:hAnsi="黑体" w:eastAsia="黑体"/>
          <w:b/>
          <w:color w:val="000000"/>
          <w:sz w:val="28"/>
        </w:rPr>
        <w:t>一 背景介绍与研究问题</w:t>
      </w:r>
    </w:p>
    <w:p w14:paraId="669739FA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1.1 研究背景与任务意义</w:t>
      </w:r>
    </w:p>
    <w:p w14:paraId="038B3077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本研究以政治访谈中的问题与回答为对象，研究回答是否清楚回应了目标问题，以及同一套文本对建模流程能否用于新的问答场景。实验以 QEvasion 的回答清晰度三分类为主任务，以 QNLI 的答案包含判断为迁移任务，并增加粗粒度与细粒度标签的层级分析。评价重点是各类回答能否被均衡识别，以及语义表示、标签定义和数据来源如何影响结果。</w:t>
      </w:r>
    </w:p>
    <w:p w14:paraId="18437B06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在访谈中，回答可以与问题谈论同一主题，却不提供提问者要求的信息。例如，问题询问某项行动何时实施，回答却只强调行动的重要性。此时，主题相关和措辞流畅都不足以支持“已经回答”的判断。回答清晰度需要将问题的信息需求与回答内容相对照；回避策略则描述这种缺口如何形成，例如转移话题、只回应部分内容或以概括性表述代替具体说明。[1]</w:t>
      </w:r>
    </w:p>
    <w:p w14:paraId="7AB70C0E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这类判断也有助于分析客服和安全对话。客服可能解释规则，却没有回应具体诉求；安全助手可能明确拒绝某个请求。因此，明确不回答具有可识别的表达方式，但其行为是否合适仍依赖应用规则。本研究仅评价给定文本与标签的一致性，不根据回答清晰度推断说话人的真实意图，也不把拒绝回答直接等同于有害行为。</w:t>
      </w:r>
    </w:p>
    <w:p w14:paraId="21DAAF2A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1.2 数据对象与概念边界</w:t>
      </w:r>
    </w:p>
    <w:p w14:paraId="0A0697F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QEvasion 提供 question、interview_answer、clarity_label 和 evasion_label 等字段。[2] 本地快照包含 3,448 条训练样本和 308 条测试样本。三类原始清晰度标签为 Clear Reply、Ambivalent、Clear Non-Reply；本文展示时将 Ambivalent 写为 Ambivalent Reply，整数编码依次为 0、1、2。原始名称与展示名称的差异只发生在适配阶段，不改变监督目标。</w:t>
      </w:r>
    </w:p>
    <w:p w14:paraId="623147DE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 两个任务的共同结构与标签差异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1701"/>
        <w:gridCol w:w="3685"/>
        <w:gridCol w:w="3685"/>
      </w:tblGrid>
      <w:tr w14:paraId="61849F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1701" w:type="dxa"/>
            <w:vAlign w:val="center"/>
          </w:tcPr>
          <w:p w14:paraId="58F999C2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3685" w:type="dxa"/>
            <w:vAlign w:val="center"/>
          </w:tcPr>
          <w:p w14:paraId="29919AC0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QEvasion</w:t>
            </w:r>
          </w:p>
        </w:tc>
        <w:tc>
          <w:tcPr>
            <w:tcW w:w="3685" w:type="dxa"/>
            <w:vAlign w:val="center"/>
          </w:tcPr>
          <w:p w14:paraId="7A69A207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QNLI</w:t>
            </w:r>
          </w:p>
        </w:tc>
      </w:tr>
      <w:tr w14:paraId="5D5C6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2B8ACFC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第一段文本</w:t>
            </w:r>
          </w:p>
        </w:tc>
        <w:tc>
          <w:tcPr>
            <w:tcW w:w="3685" w:type="dxa"/>
            <w:vAlign w:val="center"/>
          </w:tcPr>
          <w:p w14:paraId="1BCA084B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目标子问题 question</w:t>
            </w:r>
          </w:p>
        </w:tc>
        <w:tc>
          <w:tcPr>
            <w:tcW w:w="3685" w:type="dxa"/>
            <w:vAlign w:val="center"/>
          </w:tcPr>
          <w:p w14:paraId="5F2CBCF6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问题 question</w:t>
            </w:r>
          </w:p>
        </w:tc>
      </w:tr>
      <w:tr w14:paraId="03389C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BDAC54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第二段文本</w:t>
            </w:r>
          </w:p>
        </w:tc>
        <w:tc>
          <w:tcPr>
            <w:tcW w:w="3685" w:type="dxa"/>
            <w:vAlign w:val="center"/>
          </w:tcPr>
          <w:p w14:paraId="48D7050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完整回答 interview_answer</w:t>
            </w:r>
          </w:p>
        </w:tc>
        <w:tc>
          <w:tcPr>
            <w:tcW w:w="3685" w:type="dxa"/>
            <w:vAlign w:val="center"/>
          </w:tcPr>
          <w:p w14:paraId="0001FD3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候选句子 sentence</w:t>
            </w:r>
          </w:p>
        </w:tc>
      </w:tr>
      <w:tr w14:paraId="6354B4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8D2257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输出</w:t>
            </w:r>
          </w:p>
        </w:tc>
        <w:tc>
          <w:tcPr>
            <w:tcW w:w="3685" w:type="dxa"/>
            <w:vAlign w:val="center"/>
          </w:tcPr>
          <w:p w14:paraId="1CD6FA0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明确回答／模糊回答／明确不回答</w:t>
            </w:r>
          </w:p>
        </w:tc>
        <w:tc>
          <w:tcPr>
            <w:tcW w:w="3685" w:type="dxa"/>
            <w:vAlign w:val="center"/>
          </w:tcPr>
          <w:p w14:paraId="62986D9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包含答案／不包含答案</w:t>
            </w:r>
          </w:p>
        </w:tc>
      </w:tr>
      <w:tr w14:paraId="58799A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E2B40A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主要判断</w:t>
            </w:r>
          </w:p>
        </w:tc>
        <w:tc>
          <w:tcPr>
            <w:tcW w:w="3685" w:type="dxa"/>
            <w:vAlign w:val="center"/>
          </w:tcPr>
          <w:p w14:paraId="60872F9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问题所需信息的回应清晰度</w:t>
            </w:r>
          </w:p>
        </w:tc>
        <w:tc>
          <w:tcPr>
            <w:tcW w:w="3685" w:type="dxa"/>
            <w:vAlign w:val="center"/>
          </w:tcPr>
          <w:p w14:paraId="0E9B478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候选句是否提供问题答案</w:t>
            </w:r>
          </w:p>
        </w:tc>
      </w:tr>
    </w:tbl>
    <w:p w14:paraId="06F8AB1B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表1对比两个任务的输入结构与标签。QNLI 属于 GLUE 基准，采用问题与候选句的文本对形式。[5][7] 本实验沿用已完成的迁移设置：训练集中每类抽取 6,000 条，共 12,000 条；使用带标签的官方 dev 集 5,463 条作实验评估集。正文中的 QNLI 评估均指这个 dev 集，并非提交到官方隐藏测试集的排行榜成绩。</w:t>
      </w:r>
    </w:p>
    <w:p w14:paraId="6644D12E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1.3 研究问题与可检验预期</w:t>
      </w:r>
    </w:p>
    <w:p w14:paraId="569F1FC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研究问题一：在相同 QEvasion 测试集上，多数类策略、TF-IDF 加逻辑回归和预训练句向量加逻辑回归分别达到什么水平？预期语义表示能够减少仅凭表面词汇产生的错误，但不能据此预设所有类别都会提升。验证时同时报告总体指标和每类 Precision、Recall、F1，区分整体进步与类别间的性能交换。</w:t>
      </w:r>
    </w:p>
    <w:p w14:paraId="25E6A840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研究问题二：从政治访谈迁移到 QNLI 时，哪些组成部分可以复用，哪些必须重新学习？预期数据接口、训练程序与指标计算可复用，而原分类器的输出语义无法无条件照搬。实验固定一个粗标签到二标签的投影规则，测量源任务模型直接复用的表现，再与使用 QNLI 标注重新训练的模型比较，从而区分工程复用与跨任务预测能力。</w:t>
      </w:r>
    </w:p>
    <w:p w14:paraId="4B2C295B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研究问题三分为数据审计与模型对照：首先核查训练集九类策略到三类清晰度的映射；再比较固定表示下直接三分类与九分类汇总。映射一致只说明数据标注自洽，不能代替模型检验。层级收益由固定分组留出与官方测试的预测比较回答，不预设细粒度监督必然更优。</w:t>
      </w:r>
    </w:p>
    <w:p w14:paraId="7B29B174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标签审计与模型收益回答不同问题。以明确拒答为例，细标签归入明确不回答，只能说明映射符合标注定义；若细分类器把拒答误判为部分回答，向上汇总仍会把它归入模糊类，映射本身正确也无法挽回预测错误。细粒度监督还会把原本同属粗类的样本分散到不同子类，使分类器需要学习更细的边界。当某些策略的表达相近、样本有限或概率缺少校准时，增加监督类别未必带来更可靠的粗分类。因此，审计应核对标签取值、映射覆盖与逐条一致性；收益检验则应固定表示和划分，比较最终预测及各类错误。前者通过是解释实验的基础条件，不是模型改进的证据。反过来，某种训练与汇总设置未获益，也只能约束该实现的结论，不能否定层级标签作为分析工具的价值。</w:t>
      </w:r>
    </w:p>
    <w:p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若在查看测试结果后调整子类汇总规则，得到的差异还会混入决策规则选择的影响。因此，预先确定的主实验与结果可见后补充的敏感性分析应分别报告；后者用于定位失败机制，不能反过来充当独立的性能验证。</w:t>
      </w:r>
    </w:p>
    <w:p w14:paraId="0EDA9926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1.4 与普通情感分类的区别及指标选择</w:t>
      </w:r>
    </w:p>
    <w:p w14:paraId="139FC2F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普通情感分类常以文本的正向、负向或中性态度为目标，而本研究的标签取决于回答相对于某个具体问题的信息充分性。带有积极措辞的回答可能回避问题，语气消极的回答也可能直接说明事实；同一句“已经做过了”对“是否执行过”可以构成明确回答，对“执行效果如何”则未必如此。因此，模型必须同时利用两段文本，并关注实体、时间、条件、否定与问题类型的对应关系。</w:t>
      </w:r>
    </w:p>
    <w:p w14:paraId="1C9AC80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类别不均衡使 Accuracy 容易产生误导。训练集中 Ambivalent Reply 占 59.16%，测试集中占 66.88%；Clear Non-Reply 在测试集中仅有 23 条。若所有样本都预测为多数类，准确率仍为 0.6688，但另两类召回率为零。Macro-F1 对每类 F1 等权平均，可以使少数类错误进入主指标；同时保留准确率、类别级指标和混淆矩阵，避免只凭一个平均数解释模型行为。</w:t>
      </w:r>
    </w:p>
    <w:p w14:paraId="2E6F6E63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1.5 来源泄漏风险与研究范围</w:t>
      </w:r>
    </w:p>
    <w:p w14:paraId="3E5214D2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来源审计以原始 url 为单位：训练集有 287 个唯一网址、175 种标题文本，测试集有 56 个网址；39 个网址跨划分重合，涉及 118/308 条测试记录（38.31%）。因此 175 不能解释为独立采访数。完整问答对重合为 0，并不代表来源独立；官方成绩可用于该发布划分的模型比较，但不等同于完全未见来源的泛化成绩。 训练与测试精确问题、完整回答的交集分别为 1 和 2，训练集含 62 行重复问题。</w:t>
      </w:r>
    </w:p>
    <w:p w14:paraId="3C7B7348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测试集 president、title 和 evasion_label 全部缺失，但 url 完整。因此能够审计来源重合，却不能完整计算逐总统或细策略测试表现。本文保留官方划分，并另在训练集内部按 title 与 URL 分组检查敏感性。来源隔离只阻断相同网址或标题，不排除相似主题、人物和措辞；所有结论限定于当前快照、固定配置及单次训练种子。</w:t>
      </w:r>
    </w:p>
    <w:p w14:paraId="61EE04B9">
      <w:pPr>
        <w:pStyle w:val="12"/>
        <w:keepNext/>
        <w:spacing w:before="200" w:after="100" w:line="312" w:lineRule="auto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二 相关工作的优缺点总结</w:t>
      </w:r>
    </w:p>
    <w:p w14:paraId="0C82F5EE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2.1 回答清晰度与层级标注研究</w:t>
      </w:r>
    </w:p>
    <w:p w14:paraId="3E982F86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Thomas 等提出回答清晰度任务及其层级分类体系，将问题与回答之间的信息关系作为评价对象，并研究基于细粒度策略进行两阶段预测的方法。[1] 这项工作的价值是给出了可操作的标签定义，使“是否回应问题”成为可复现的监督学习问题。对本实验而言，它也提供了区别粗标签与细标签的依据：Implicit 属于 Ambivalent，而不是 Explicit 所属的 Clear Reply。</w:t>
      </w:r>
    </w:p>
    <w:p w14:paraId="00DD47E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这类数据的限制主要来自语境和标注边界。是否属于概括性回答、间接暗示或部分回答，需要理解目标问题究竟询问什么；多个子问题还可能共用同一回答。本文据此将标签映射审计列为扩展的第一步，并区分“标注层级一致”与“模型利用层级后受益”。前者属于数据检查，后者必须由留出与测试预测来证明。</w:t>
      </w:r>
    </w:p>
    <w:p w14:paraId="560DD375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2.2 传统特征与预训练句向量</w:t>
      </w:r>
    </w:p>
    <w:p w14:paraId="6C7EF49C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TF-IDF 加逻辑回归训练成本低，可利用拒答词、否定短语和问题词等表面线索。unigram 与 bigram 的比较还能检验局部词序是否有帮助。其不足是难以表达问题与回答之间的细致对应：两个文本包含同样的主题词，仍可能分别描述计划、背景和实际结论。本实验保留这一方法，作为判断语义表示收益的传统基线。</w:t>
      </w:r>
    </w:p>
    <w:p w14:paraId="73320B9D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Sentence-BERT 使用适合句向量学习的网络结构，使文本能够先独立编码，再用于语义比较和下游任务。[3] 本实验实际运行的是 all-MiniLM-L6-v2 冻结编码器加逻辑回归，不是复现论文全部模型。编码后可缓存特征，便于在相同表示上比较分类目标；但分别编码的两个向量没有在编码阶段进行逐词交互，长回答压缩也可能掩盖决定性线索。</w:t>
      </w:r>
    </w:p>
    <w:p w14:paraId="74DA08A7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2.3 近期方法与跨场景适用条件</w:t>
      </w:r>
    </w:p>
    <w:p w14:paraId="1A64D702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Wang 等在 ACL 2024 提出利用大语言模型生成多样化合成训练数据，并以对比学习训练文本嵌入模型。[4] 这为提升通用表示与任务覆盖提供了方向。其启示是表示学习的训练目标和数据多样性可能影响迁移效果；但嵌入基准上的优势不能直接证明能够识别政治问答中的回避。该方法仅用于相关工作比较，本实验没有运行其模型，也不引用其成绩作为本地结果。</w:t>
      </w:r>
    </w:p>
    <w:p w14:paraId="1749A909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GLUE 提供多个语言理解任务，用于考察表示方法在不同监督问题中的能力。[5] 统一输入为文本对有利于工程复用，但标签含义仍可能不同。QNLI 判断候选句是否包含答案，QEvasion 则区分明确、模糊和明确不答。因此，“Clear Reply 对应包含答案”在本研究中只是一个显式设定的迁移近似，不能作为两个任务天然等价的证据。</w:t>
      </w:r>
    </w:p>
    <w:p w14:paraId="679A5C8D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2.4 本次扩展针对的不足</w:t>
      </w:r>
    </w:p>
    <w:p w14:paraId="458A3BEA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 xml:space="preserve">本次选择标签层级扩展，针对粗分类掩盖不同回避策略、以及标签映射容易被自然语言直觉误读的问题。具体方案不增加编码器容量，仅改变监督类别并汇总输出概率。该对照把表示能力基本固定下来，用于观察层级目标及其决策方式的影响。若没有提升，仍可据类别分布与混淆方向解释失败条件，为后续概率校准或多任务学习提供检验依据。相关方法比较见表2。</w:t>
      </w:r>
    </w:p>
    <w:p w14:paraId="08CC7154">
      <w:pPr>
        <w:pStyle w:val="14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表2 相关方法的适用条件与不足</w:t>
      </w:r>
    </w:p>
    <w:tbl>
      <w:tblPr>
        <w:tblStyle w:val="5"/>
        <w:tblW w:w="0" w:type="auto"/>
        <w:tblInd w:w="0" w:type="dxa"/>
        <w:tblBorders>
          <w:top w:val="single" w:color="9AA5B1" w:sz="4" w:space="0"/>
          <w:left w:val="single" w:color="9AA5B1" w:sz="4" w:space="0"/>
          <w:bottom w:val="single" w:color="9AA5B1" w:sz="4" w:space="0"/>
          <w:right w:val="single" w:color="9AA5B1" w:sz="4" w:space="0"/>
          <w:insideH w:val="single" w:color="9AA5B1" w:sz="4" w:space="0"/>
          <w:insideV w:val="single" w:color="9AA5B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2592"/>
        <w:gridCol w:w="2880"/>
        <w:gridCol w:w="1440"/>
      </w:tblGrid>
      <w:tr w14:paraId="56BD8D30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28" w:type="dxa"/>
            <w:shd w:val="clear" w:color="auto" w:fill="F2F2F2"/>
            <w:vAlign w:val="center"/>
          </w:tcPr>
          <w:p w14:paraId="1AE853DA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方法</w:t>
            </w:r>
          </w:p>
        </w:tc>
        <w:tc>
          <w:tcPr>
            <w:tcW w:w="2592" w:type="dxa"/>
            <w:shd w:val="clear" w:color="auto" w:fill="F2F2F2"/>
            <w:vAlign w:val="center"/>
          </w:tcPr>
          <w:p w14:paraId="38512380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优点与适用条件</w:t>
            </w:r>
          </w:p>
        </w:tc>
        <w:tc>
          <w:tcPr>
            <w:tcW w:w="2880" w:type="dxa"/>
            <w:shd w:val="clear" w:color="auto" w:fill="F2F2F2"/>
            <w:vAlign w:val="center"/>
          </w:tcPr>
          <w:p w14:paraId="1AE3995D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主要局限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5312EEAF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本次运行</w:t>
            </w:r>
          </w:p>
        </w:tc>
      </w:tr>
      <w:tr w14:paraId="2F1ED8C7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28" w:type="dxa"/>
            <w:shd w:val="clear" w:color="auto" w:fill="FFFFFF"/>
            <w:vAlign w:val="center"/>
          </w:tcPr>
          <w:p w14:paraId="34248182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QEvasion 原论文[1]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2156DB43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成对问答与层级标注；可比较直接/细类预测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0FCDB59E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语境及标注边界复杂；协议与本地不同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5CE42BB2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沿用任务，非原模型复现</w:t>
            </w:r>
          </w:p>
        </w:tc>
      </w:tr>
      <w:tr w14:paraId="2159224A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28" w:type="dxa"/>
            <w:shd w:val="clear" w:color="auto" w:fill="FFFFFF"/>
            <w:vAlign w:val="center"/>
          </w:tcPr>
          <w:p w14:paraId="6C5A66AE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TF-IDF＋LR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0A71081D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低成本、可解释，可观察词组与权重作用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116CA9A8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主题相似不等于回答充分；缺逐词对齐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0625DAE6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是</w:t>
            </w:r>
          </w:p>
        </w:tc>
      </w:tr>
      <w:tr w14:paraId="1EBFB9DD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28" w:type="dxa"/>
            <w:shd w:val="clear" w:color="auto" w:fill="FFFFFF"/>
            <w:vAlign w:val="center"/>
          </w:tcPr>
          <w:p w14:paraId="629B212B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冻结 MiniLM＋LR[3,6]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07A521DC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语义特征可缓存；固定表示比较监督目标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605C09A2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独立编码，无联合token交互；长文本截断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77509D6B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是</w:t>
            </w:r>
          </w:p>
        </w:tc>
      </w:tr>
      <w:tr w14:paraId="0F6ADA9A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28" w:type="dxa"/>
            <w:shd w:val="clear" w:color="auto" w:fill="FFFFFF"/>
            <w:vAlign w:val="center"/>
          </w:tcPr>
          <w:p w14:paraId="5FC16666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LLM 合成数据嵌入[4]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05F3DAE1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数据/任务覆盖更广，提供表示学习方向</w:t>
            </w:r>
          </w:p>
        </w:tc>
        <w:tc>
          <w:tcPr>
            <w:tcW w:w="2880" w:type="dxa"/>
            <w:shd w:val="clear" w:color="auto" w:fill="FFFFFF"/>
            <w:vAlign w:val="center"/>
          </w:tcPr>
          <w:p w14:paraId="42FFC07D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需生成与训练成本；嵌入成绩不等于回避检测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7D4BBD77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否，仅讨论</w:t>
            </w:r>
          </w:p>
        </w:tc>
      </w:tr>
    </w:tbl>
    <w:p w14:paraId="25C4E971">
      <w:pPr>
        <w:pStyle w:val="14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表3 原论文 Table 3 的 base 编码器背景成绩</w:t>
      </w:r>
    </w:p>
    <w:tbl>
      <w:tblPr>
        <w:tblStyle w:val="5"/>
        <w:tblW w:w="0" w:type="auto"/>
        <w:tblInd w:w="0" w:type="dxa"/>
        <w:tblBorders>
          <w:top w:val="single" w:color="9AA5B1" w:sz="4" w:space="0"/>
          <w:left w:val="single" w:color="9AA5B1" w:sz="4" w:space="0"/>
          <w:bottom w:val="single" w:color="9AA5B1" w:sz="4" w:space="0"/>
          <w:right w:val="single" w:color="9AA5B1" w:sz="4" w:space="0"/>
          <w:insideH w:val="single" w:color="9AA5B1" w:sz="4" w:space="0"/>
          <w:insideV w:val="single" w:color="9AA5B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2304"/>
        <w:gridCol w:w="2448"/>
        <w:gridCol w:w="1584"/>
      </w:tblGrid>
      <w:tr w14:paraId="3875E876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304" w:type="dxa"/>
            <w:shd w:val="clear" w:color="auto" w:fill="F2F2F2"/>
            <w:vAlign w:val="center"/>
          </w:tcPr>
          <w:p w14:paraId="16435681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编码器</w:t>
            </w:r>
          </w:p>
        </w:tc>
        <w:tc>
          <w:tcPr>
            <w:tcW w:w="2304" w:type="dxa"/>
            <w:shd w:val="clear" w:color="auto" w:fill="F2F2F2"/>
            <w:vAlign w:val="center"/>
          </w:tcPr>
          <w:p w14:paraId="1889479E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直接清晰度 F1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2CCD82F1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基于回避策略 F1</w:t>
            </w:r>
          </w:p>
        </w:tc>
        <w:tc>
          <w:tcPr>
            <w:tcW w:w="1584" w:type="dxa"/>
            <w:shd w:val="clear" w:color="auto" w:fill="F2F2F2"/>
            <w:vAlign w:val="center"/>
          </w:tcPr>
          <w:p w14:paraId="079A7C22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变化</w:t>
            </w:r>
          </w:p>
        </w:tc>
      </w:tr>
      <w:tr w14:paraId="76FAABB6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  <w:shd w:val="clear" w:color="auto" w:fill="FFFFFF"/>
            <w:vAlign w:val="center"/>
          </w:tcPr>
          <w:p w14:paraId="6FCF8051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DeBERTa-base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55A0C568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0.441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4C1EA012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0.537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7CC4C64B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+0.096</w:t>
            </w:r>
          </w:p>
        </w:tc>
      </w:tr>
      <w:tr w14:paraId="000E686B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  <w:shd w:val="clear" w:color="auto" w:fill="FFFFFF"/>
            <w:vAlign w:val="center"/>
          </w:tcPr>
          <w:p w14:paraId="22A073AC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RoBERTa-base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6BA60A1B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0.530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32A1CFCB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0.495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1CAF2CDF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−0.035</w:t>
            </w:r>
          </w:p>
        </w:tc>
      </w:tr>
      <w:tr w14:paraId="10CA11CA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304" w:type="dxa"/>
            <w:shd w:val="clear" w:color="auto" w:fill="FFFFFF"/>
            <w:vAlign w:val="center"/>
          </w:tcPr>
          <w:p w14:paraId="5C9E06EA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XLNet-base</w:t>
            </w:r>
          </w:p>
        </w:tc>
        <w:tc>
          <w:tcPr>
            <w:tcW w:w="2304" w:type="dxa"/>
            <w:shd w:val="clear" w:color="auto" w:fill="FFFFFF"/>
            <w:vAlign w:val="center"/>
          </w:tcPr>
          <w:p w14:paraId="6827A8F9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0.518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207CC550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0.546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2AB17DE6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+0.028</w:t>
            </w:r>
          </w:p>
        </w:tc>
      </w:tr>
    </w:tbl>
    <w:p w14:paraId="1FDAB7C5"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表3汇总的原论文[1]结果显示，层级路径的变化方向并不统一。其评估报告为 317 条，编码器微调还筛选了较短训练样本；本地发布快照为 308 条测试、3,448 条训练，且编码器冻结，协议不可视为相同。因此这些数值仅作研究背景，不与本地模型排同一榜，也不宣称本方法超过某个论文编码器。</w:t>
      </w:r>
    </w:p>
    <w:p w14:paraId="237FAB61">
      <w:pPr>
        <w:pStyle w:val="12"/>
        <w:keepNext/>
        <w:spacing w:before="200" w:after="100" w:line="312" w:lineRule="auto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三 模型方法与扩展设计</w:t>
      </w:r>
    </w:p>
    <w:p w14:paraId="22B8AC6E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3.1 统一字段适配与训练流程</w:t>
      </w:r>
    </w:p>
    <w:p w14:paraId="4A0ED710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统一样本结构为 text_a、text_b、label、group、uid。前两者是同一样本中的两段文本；group 用于划分或诊断，不作为特征。QEvasion 读取配置映射，QNLI 由 04 的专用 TSV 解析器映射到同一接口；复用的是字段、管线和评估逻辑，并非任意任务只换一个配置就能运行。来源审计另保留原始 url。字段映射见表4。</w:t>
      </w:r>
    </w:p>
    <w:p w14:paraId="1F3B21C8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表4 数据适配规则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1417"/>
        <w:gridCol w:w="3827"/>
        <w:gridCol w:w="3827"/>
      </w:tblGrid>
      <w:tr w14:paraId="197B45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34F05FB5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3827" w:type="dxa"/>
            <w:vAlign w:val="center"/>
          </w:tcPr>
          <w:p w14:paraId="6F62350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QEvasion 映射</w:t>
            </w:r>
          </w:p>
        </w:tc>
        <w:tc>
          <w:tcPr>
            <w:tcW w:w="3827" w:type="dxa"/>
            <w:vAlign w:val="center"/>
          </w:tcPr>
          <w:p w14:paraId="7315AD6D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QNLI 映射</w:t>
            </w:r>
          </w:p>
        </w:tc>
      </w:tr>
      <w:tr w14:paraId="31A92C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72195428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text_a</w:t>
            </w:r>
          </w:p>
        </w:tc>
        <w:tc>
          <w:tcPr>
            <w:tcW w:w="3827" w:type="dxa"/>
            <w:vAlign w:val="center"/>
          </w:tcPr>
          <w:p w14:paraId="12817EE5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question</w:t>
            </w:r>
          </w:p>
        </w:tc>
        <w:tc>
          <w:tcPr>
            <w:tcW w:w="3827" w:type="dxa"/>
            <w:vAlign w:val="center"/>
          </w:tcPr>
          <w:p w14:paraId="46073225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question</w:t>
            </w:r>
          </w:p>
        </w:tc>
      </w:tr>
      <w:tr w14:paraId="71A556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167BBEA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text_b</w:t>
            </w:r>
          </w:p>
        </w:tc>
        <w:tc>
          <w:tcPr>
            <w:tcW w:w="3827" w:type="dxa"/>
            <w:vAlign w:val="center"/>
          </w:tcPr>
          <w:p w14:paraId="79AC43D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interview_answer</w:t>
            </w:r>
          </w:p>
        </w:tc>
        <w:tc>
          <w:tcPr>
            <w:tcW w:w="3827" w:type="dxa"/>
            <w:vAlign w:val="center"/>
          </w:tcPr>
          <w:p w14:paraId="35C25DA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sentence</w:t>
            </w:r>
          </w:p>
        </w:tc>
      </w:tr>
      <w:tr w14:paraId="0BAEE1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60B2704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label</w:t>
            </w:r>
          </w:p>
        </w:tc>
        <w:tc>
          <w:tcPr>
            <w:tcW w:w="3827" w:type="dxa"/>
            <w:vAlign w:val="center"/>
          </w:tcPr>
          <w:p w14:paraId="23441EB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Reply→0；Ambivalent→1；Clear Non-Reply→2</w:t>
            </w:r>
          </w:p>
        </w:tc>
        <w:tc>
          <w:tcPr>
            <w:tcW w:w="3827" w:type="dxa"/>
            <w:vAlign w:val="center"/>
          </w:tcPr>
          <w:p w14:paraId="5EC02F0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entailment→0；not_entailment→1</w:t>
            </w:r>
          </w:p>
        </w:tc>
      </w:tr>
      <w:tr w14:paraId="324F12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0A0E403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group / uid</w:t>
            </w:r>
          </w:p>
        </w:tc>
        <w:tc>
          <w:tcPr>
            <w:tcW w:w="3827" w:type="dxa"/>
            <w:vAlign w:val="center"/>
          </w:tcPr>
          <w:p w14:paraId="2E6E5EA7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president／index；来源审计用 url，分组用 title 或 url</w:t>
            </w:r>
          </w:p>
        </w:tc>
        <w:tc>
          <w:tcPr>
            <w:tcW w:w="3827" w:type="dxa"/>
            <w:vAlign w:val="center"/>
          </w:tcPr>
          <w:p w14:paraId="2216C23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index／index；不代表真实来源群体</w:t>
            </w:r>
          </w:p>
        </w:tc>
      </w:tr>
    </w:tbl>
    <w:p w14:paraId="7EDD29F3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例如，QEvasion 中“Would you campaign for Mike Fitzpatrick?”与“I already have.”构成一条文本对，粗标签为 Clear Reply。QNLI 的一条样本同样由问题和候选句构成，但 label 只表示答案包含关系。模型接口不变，输出类别数和监督语义随数据集重新配置。两个任务均保存真实标签、预测标签和类别概率。</w:t>
      </w:r>
    </w:p>
    <w:p w14:paraId="0C0DABF9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3.2 基线表示与分类器</w:t>
      </w:r>
    </w:p>
    <w:p w14:paraId="579B3C4A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TF-IDF 基线将两段文本用 [SEP] 连接，比较 unigram 与 unigram+bigram、无权重与 balanced 权重四种组合。词频采用 sublinear_tf，min_df=2，max_df=0.95。逻辑回归 C=1.0、max_iter=2000；在训练集的固定 10% 分层验证集上按 Macro-F1 选择配置，再用全部训练样本拟合并评估。</w:t>
      </w:r>
    </w:p>
    <w:p w14:paraId="32B10E4A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 xml:space="preserve">预训练基线分别编码问题和回答，得到归一化的 384 维向量 e_q 和 e_a，并组成 [e_q; e_a; |e_q−e_a|; e_q⊙e_a] 共 1,536 维特征。编码批大小为 64，原脚本使用 CPU。编码器冻结，逻辑回归采用 balanced 权重，在 C∈{0.1,1,10} 中选择 C=0.1。模型卡说明默认超过 256 个 word pieces 会截断；这与按空格统计的英文词数不是同一计量单位。[6]完整配置见表5。</w:t>
      </w:r>
    </w:p>
    <w:p w14:paraId="2BD020EC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表5 可复现训练参数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211"/>
        <w:gridCol w:w="3430"/>
        <w:gridCol w:w="3430"/>
      </w:tblGrid>
      <w:tr w14:paraId="1B811F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2211" w:type="dxa"/>
            <w:vAlign w:val="center"/>
          </w:tcPr>
          <w:p w14:paraId="17C240DB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3430" w:type="dxa"/>
            <w:vAlign w:val="center"/>
          </w:tcPr>
          <w:p w14:paraId="7CF5A5D3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TF-IDF + LR</w:t>
            </w:r>
          </w:p>
        </w:tc>
        <w:tc>
          <w:tcPr>
            <w:tcW w:w="3430" w:type="dxa"/>
            <w:vAlign w:val="center"/>
          </w:tcPr>
          <w:p w14:paraId="7D8018F7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MiniLM 表示 + LR</w:t>
            </w:r>
          </w:p>
        </w:tc>
      </w:tr>
      <w:tr w14:paraId="06AB3E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54618E12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编码器训练</w:t>
            </w:r>
          </w:p>
        </w:tc>
        <w:tc>
          <w:tcPr>
            <w:tcW w:w="3430" w:type="dxa"/>
            <w:vAlign w:val="center"/>
          </w:tcPr>
          <w:p w14:paraId="37E1C731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不适用</w:t>
            </w:r>
          </w:p>
        </w:tc>
        <w:tc>
          <w:tcPr>
            <w:tcW w:w="3430" w:type="dxa"/>
            <w:vAlign w:val="center"/>
          </w:tcPr>
          <w:p w14:paraId="7C3AD59A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冻结，不更新参数</w:t>
            </w:r>
          </w:p>
        </w:tc>
      </w:tr>
      <w:tr w14:paraId="5ECC5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6A3FE5F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特征维度</w:t>
            </w:r>
          </w:p>
        </w:tc>
        <w:tc>
          <w:tcPr>
            <w:tcW w:w="3430" w:type="dxa"/>
            <w:vAlign w:val="center"/>
          </w:tcPr>
          <w:p w14:paraId="79A2335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121,340（原任务最终词表）</w:t>
            </w:r>
          </w:p>
        </w:tc>
        <w:tc>
          <w:tcPr>
            <w:tcW w:w="3430" w:type="dxa"/>
            <w:vAlign w:val="center"/>
          </w:tcPr>
          <w:p w14:paraId="4606EF4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384×4=1,536</w:t>
            </w:r>
          </w:p>
        </w:tc>
      </w:tr>
      <w:tr w14:paraId="2CD130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7CC34CF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最大输入长度</w:t>
            </w:r>
          </w:p>
        </w:tc>
        <w:tc>
          <w:tcPr>
            <w:tcW w:w="3430" w:type="dxa"/>
            <w:vAlign w:val="center"/>
          </w:tcPr>
          <w:p w14:paraId="112830E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脚本不截断</w:t>
            </w:r>
          </w:p>
        </w:tc>
        <w:tc>
          <w:tcPr>
            <w:tcW w:w="3430" w:type="dxa"/>
            <w:vAlign w:val="center"/>
          </w:tcPr>
          <w:p w14:paraId="2245185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默认 256 word pieces／每段</w:t>
            </w:r>
          </w:p>
        </w:tc>
      </w:tr>
      <w:tr w14:paraId="4D02C4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2CF2067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 / class_weight</w:t>
            </w:r>
          </w:p>
        </w:tc>
        <w:tc>
          <w:tcPr>
            <w:tcW w:w="3430" w:type="dxa"/>
            <w:vAlign w:val="center"/>
          </w:tcPr>
          <w:p w14:paraId="792C5DA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1.0 / balanced</w:t>
            </w:r>
          </w:p>
        </w:tc>
        <w:tc>
          <w:tcPr>
            <w:tcW w:w="3430" w:type="dxa"/>
            <w:vAlign w:val="center"/>
          </w:tcPr>
          <w:p w14:paraId="4D639B7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0.1 / balanced</w:t>
            </w:r>
          </w:p>
        </w:tc>
      </w:tr>
      <w:tr w14:paraId="742213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339894E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求解迭代上限 / seed</w:t>
            </w:r>
          </w:p>
        </w:tc>
        <w:tc>
          <w:tcPr>
            <w:tcW w:w="3430" w:type="dxa"/>
            <w:vAlign w:val="center"/>
          </w:tcPr>
          <w:p w14:paraId="7DEF52F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2,000 / 42</w:t>
            </w:r>
          </w:p>
        </w:tc>
        <w:tc>
          <w:tcPr>
            <w:tcW w:w="3430" w:type="dxa"/>
            <w:vAlign w:val="center"/>
          </w:tcPr>
          <w:p w14:paraId="7D52DD7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2,000 / 42</w:t>
            </w:r>
          </w:p>
        </w:tc>
      </w:tr>
      <w:tr w14:paraId="52C6D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5571B439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学习率 / epoch / 早停</w:t>
            </w:r>
          </w:p>
        </w:tc>
        <w:tc>
          <w:tcPr>
            <w:tcW w:w="3430" w:type="dxa"/>
            <w:vAlign w:val="center"/>
          </w:tcPr>
          <w:p w14:paraId="1D7C12E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LR 迭代求解；未设置神经训练学习率、epoch或早停</w:t>
            </w:r>
          </w:p>
        </w:tc>
        <w:tc>
          <w:tcPr>
            <w:tcW w:w="3430" w:type="dxa"/>
            <w:vAlign w:val="center"/>
          </w:tcPr>
          <w:p w14:paraId="06B2E32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编码器不训练；LR 同左</w:t>
            </w:r>
          </w:p>
        </w:tc>
      </w:tr>
    </w:tbl>
    <w:p w14:paraId="7AA5F789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/>
          <w:b/>
          <w:color w:val="000000"/>
          <w:sz w:val="24"/>
        </w:rPr>
        <w:t>3.3 标签层级的数据审计与模型对照</w:t>
      </w:r>
    </w:p>
    <w:p w14:paraId="0CDFF683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扩展包含审计问题 A 与对照问题 B。A 检查训练集九个细标签能否无冲突地映射到三个粗标签，它描述标注体系的自洽性，不是独立的模型假设检验。B 比较相同冻结表示下九分类监督及其粗类决策是否优于直接三分类。固定映射依据原论文与训练标注，官方测试不用于修改映射。固定映射见表6。</w:t>
      </w:r>
    </w:p>
    <w:p w14:paraId="5A6558FD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表6 九个细标签到三个粗标签的固定映射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835"/>
        <w:gridCol w:w="6236"/>
      </w:tblGrid>
      <w:tr w14:paraId="3F5DEF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2835" w:type="dxa"/>
            <w:vAlign w:val="center"/>
          </w:tcPr>
          <w:p w14:paraId="6A2FB455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粗标签</w:t>
            </w:r>
          </w:p>
        </w:tc>
        <w:tc>
          <w:tcPr>
            <w:tcW w:w="6236" w:type="dxa"/>
            <w:vAlign w:val="center"/>
          </w:tcPr>
          <w:p w14:paraId="1F82D0AD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细粒度标签</w:t>
            </w:r>
          </w:p>
        </w:tc>
      </w:tr>
      <w:tr w14:paraId="354503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1FC53204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6236" w:type="dxa"/>
            <w:vAlign w:val="center"/>
          </w:tcPr>
          <w:p w14:paraId="7D868F78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Explicit</w:t>
            </w:r>
          </w:p>
        </w:tc>
      </w:tr>
      <w:tr w14:paraId="51834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2A03762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6236" w:type="dxa"/>
            <w:vAlign w:val="center"/>
          </w:tcPr>
          <w:p w14:paraId="6C4BB3F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Implicit、Dodging、General、Deflection、Partial/half-answer</w:t>
            </w:r>
          </w:p>
        </w:tc>
      </w:tr>
      <w:tr w14:paraId="01691D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D7E06F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6236" w:type="dxa"/>
            <w:vAlign w:val="center"/>
          </w:tcPr>
          <w:p w14:paraId="1C87C86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Declining to answer、Claims ignorance、Clarification</w:t>
            </w:r>
          </w:p>
        </w:tc>
      </w:tr>
    </w:tbl>
    <w:p w14:paraId="59C46EBB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先检查 3,448 条训练记录的细标签合法性及粗细交叉关系。原分组对照按 title、seed=42 留出 35/175 个标题文本组：拟合 3,182 条、留出 266 条，分别为 140/35 个标题组；二者的来源 URL 也无交集。标题组比例不是样本比例，且标题文本数不等于独立采访数。后验补充的 URL 留出设置见实验分析。</w:t>
      </w:r>
    </w:p>
    <w:p w14:paraId="78744E26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对照模型使用相同的 1,536 维缓存表示：一组直接学习三分类，另一组学习九分类。两者均固定 C=0.1、max_iter=2000、class_weight=balanced、random_state=42，不在本次分组留出集上再次搜索超参数。C 值沿用原实验，分组结果属于复用既有配置的探索性检查，并非完全独立的嵌套模型选择估计。</w:t>
      </w:r>
    </w:p>
    <w:p w14:paraId="4AFEFE6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九分类模型输出各细类概率。对某一粗类，将属于该粗类的全部细类概率相加，再选择概率最大的粗类：P(c|x)=Σ P(z|x)，求和范围为映射到 c 的细类 z。三类分别包含 1、5、3 个细类。按互斥子类求和本身是合理的，但 balanced 训练和概率校准不足可能使汇总偏向拥有较多子类的粗类；实验将检查这一现象。</w:t>
      </w:r>
    </w:p>
    <w:p w14:paraId="68E9E3B7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最后，两种模型分别在全部 3,448 条训练样本上重训，在 308 条官方测试样本上比较粗分类。官方测试集 evasion_label 全部为空，因而不计算该集合的细粒度准确率或九分类 F1；细粒度结果只来自 266 条分组留出样本。缓存特征的样本数、粗标签顺序与原数据逐项核对，并保存输入文件哈希，避免读取错位。</w:t>
      </w:r>
    </w:p>
    <w:p w14:paraId="6C5B6CC5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3.4 直接复用与目标域适配设置</w:t>
      </w:r>
    </w:p>
    <w:p w14:paraId="2287AD29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源域直接复用使用原任务最佳 TF-IDF + LR，仅在 QEvasion 上训练。固定令 QNLI 的“包含答案”概率等于 Clear Reply 概率，“不包含答案”概率等于另两类概率之和，以 0.5 为边界，不使用 QNLI 标签调阈值。该投影是近似的跨任务诊断，不宣称标签等价。适配模型则在 QNLI 的 12,000 条标注样本上重新学习词表和分类器，在同一 5,463 条 dev 样本上评价。</w:t>
      </w:r>
    </w:p>
    <w:p w14:paraId="411511E3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所有模型保留 seed=42 的一次运行结果，不把 bootstrap 区间误称为跨种子均值方差。新增 title/URL 分组敏感性与配对重采样在既有测试结果可见后补做，用于诊断，不据官方测试重选方案。输入哈希、逐样本预测、全部指标及本次隔离复现日志一并保留。</w:t>
      </w:r>
    </w:p>
    <w:p w14:paraId="59C60C67">
      <w:pPr>
        <w:pStyle w:val="12"/>
        <w:keepNext/>
        <w:spacing w:before="200" w:after="100" w:line="312" w:lineRule="auto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四 实验结果与综合分析</w:t>
      </w:r>
    </w:p>
    <w:p w14:paraId="5B475E42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4.1 数据分布与长度特征</w:t>
      </w:r>
    </w:p>
    <w:p w14:paraId="4F2B155C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表7 数据统计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438"/>
        <w:gridCol w:w="964"/>
        <w:gridCol w:w="1191"/>
        <w:gridCol w:w="1191"/>
        <w:gridCol w:w="3288"/>
      </w:tblGrid>
      <w:tr w14:paraId="5DC3E3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2438" w:type="dxa"/>
            <w:vAlign w:val="center"/>
          </w:tcPr>
          <w:p w14:paraId="440E4BC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划分</w:t>
            </w:r>
          </w:p>
        </w:tc>
        <w:tc>
          <w:tcPr>
            <w:tcW w:w="964" w:type="dxa"/>
            <w:vAlign w:val="center"/>
          </w:tcPr>
          <w:p w14:paraId="4F25B308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样本数</w:t>
            </w:r>
          </w:p>
        </w:tc>
        <w:tc>
          <w:tcPr>
            <w:tcW w:w="1191" w:type="dxa"/>
            <w:vAlign w:val="center"/>
          </w:tcPr>
          <w:p w14:paraId="499028CB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问题均长</w:t>
            </w:r>
          </w:p>
        </w:tc>
        <w:tc>
          <w:tcPr>
            <w:tcW w:w="1191" w:type="dxa"/>
            <w:vAlign w:val="center"/>
          </w:tcPr>
          <w:p w14:paraId="7F4C41A8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回答均长</w:t>
            </w:r>
          </w:p>
        </w:tc>
        <w:tc>
          <w:tcPr>
            <w:tcW w:w="3288" w:type="dxa"/>
            <w:vAlign w:val="center"/>
          </w:tcPr>
          <w:p w14:paraId="7769C17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备注</w:t>
            </w:r>
          </w:p>
        </w:tc>
      </w:tr>
      <w:tr w14:paraId="4E46E5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238D9C1B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QEvasion train</w:t>
            </w:r>
          </w:p>
        </w:tc>
        <w:tc>
          <w:tcPr>
            <w:tcW w:w="964" w:type="dxa"/>
            <w:vAlign w:val="center"/>
          </w:tcPr>
          <w:p w14:paraId="7EB05DE8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3,448</w:t>
            </w:r>
          </w:p>
        </w:tc>
        <w:tc>
          <w:tcPr>
            <w:tcW w:w="1191" w:type="dxa"/>
            <w:vAlign w:val="center"/>
          </w:tcPr>
          <w:p w14:paraId="2CF4CF32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14.5</w:t>
            </w:r>
          </w:p>
        </w:tc>
        <w:tc>
          <w:tcPr>
            <w:tcW w:w="1191" w:type="dxa"/>
            <w:vAlign w:val="center"/>
          </w:tcPr>
          <w:p w14:paraId="68106F3A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293.6</w:t>
            </w:r>
          </w:p>
        </w:tc>
        <w:tc>
          <w:tcPr>
            <w:tcW w:w="3288" w:type="dxa"/>
            <w:vAlign w:val="center"/>
          </w:tcPr>
          <w:p w14:paraId="57A92632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主文本与粗标签无缺失</w:t>
            </w:r>
          </w:p>
        </w:tc>
      </w:tr>
      <w:tr w14:paraId="3D6E05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219AB33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QEvasion test</w:t>
            </w:r>
          </w:p>
        </w:tc>
        <w:tc>
          <w:tcPr>
            <w:tcW w:w="964" w:type="dxa"/>
            <w:vAlign w:val="center"/>
          </w:tcPr>
          <w:p w14:paraId="5483BA3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308</w:t>
            </w:r>
          </w:p>
        </w:tc>
        <w:tc>
          <w:tcPr>
            <w:tcW w:w="1191" w:type="dxa"/>
            <w:vAlign w:val="center"/>
          </w:tcPr>
          <w:p w14:paraId="1F1AA1B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15.3</w:t>
            </w:r>
          </w:p>
        </w:tc>
        <w:tc>
          <w:tcPr>
            <w:tcW w:w="1191" w:type="dxa"/>
            <w:vAlign w:val="center"/>
          </w:tcPr>
          <w:p w14:paraId="3821E29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326.3</w:t>
            </w:r>
          </w:p>
        </w:tc>
        <w:tc>
          <w:tcPr>
            <w:tcW w:w="3288" w:type="dxa"/>
            <w:vAlign w:val="center"/>
          </w:tcPr>
          <w:p w14:paraId="2075577B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细标签、title/president空；URL完整</w:t>
            </w:r>
          </w:p>
        </w:tc>
      </w:tr>
      <w:tr w14:paraId="59A27A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4870BC1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抽样 train</w:t>
            </w:r>
          </w:p>
        </w:tc>
        <w:tc>
          <w:tcPr>
            <w:tcW w:w="964" w:type="dxa"/>
            <w:vAlign w:val="center"/>
          </w:tcPr>
          <w:p w14:paraId="3E8CBAF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12,000</w:t>
            </w:r>
          </w:p>
        </w:tc>
        <w:tc>
          <w:tcPr>
            <w:tcW w:w="1191" w:type="dxa"/>
            <w:vAlign w:val="center"/>
          </w:tcPr>
          <w:p w14:paraId="3370F62E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9.8</w:t>
            </w:r>
          </w:p>
        </w:tc>
        <w:tc>
          <w:tcPr>
            <w:tcW w:w="1191" w:type="dxa"/>
            <w:vAlign w:val="center"/>
          </w:tcPr>
          <w:p w14:paraId="49D87FC9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26.5</w:t>
            </w:r>
          </w:p>
        </w:tc>
        <w:tc>
          <w:tcPr>
            <w:tcW w:w="3288" w:type="dxa"/>
            <w:vAlign w:val="center"/>
          </w:tcPr>
          <w:p w14:paraId="24886A9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两个类别各 6,000</w:t>
            </w:r>
          </w:p>
        </w:tc>
      </w:tr>
      <w:tr w14:paraId="3E6B46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6A85094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dev</w:t>
            </w:r>
          </w:p>
        </w:tc>
        <w:tc>
          <w:tcPr>
            <w:tcW w:w="964" w:type="dxa"/>
            <w:vAlign w:val="center"/>
          </w:tcPr>
          <w:p w14:paraId="7091CA6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5,463</w:t>
            </w:r>
          </w:p>
        </w:tc>
        <w:tc>
          <w:tcPr>
            <w:tcW w:w="1191" w:type="dxa"/>
            <w:vAlign w:val="center"/>
          </w:tcPr>
          <w:p w14:paraId="36867789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10.0</w:t>
            </w:r>
          </w:p>
        </w:tc>
        <w:tc>
          <w:tcPr>
            <w:tcW w:w="1191" w:type="dxa"/>
            <w:vAlign w:val="center"/>
          </w:tcPr>
          <w:p w14:paraId="718AA488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27.6</w:t>
            </w:r>
          </w:p>
        </w:tc>
        <w:tc>
          <w:tcPr>
            <w:tcW w:w="3288" w:type="dxa"/>
            <w:vAlign w:val="center"/>
          </w:tcPr>
          <w:p w14:paraId="5F2FFC2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2,702 包含答案；2,761 不包含</w:t>
            </w:r>
          </w:p>
        </w:tc>
      </w:tr>
    </w:tbl>
    <w:p w14:paraId="27A2742C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表7的长度按 Python str.split() 的空白分词口径统计。QEvasion 训练问题/回答均长为 14.5/293.6 词，测试为 15.3/326.3 词，最长回答分别为 2,117 与 1,309 词。QNLI 数值严格按 04 脚本先映射整数标签、每类抽 6,000 条再打乱后的子集计算：9.8400/26.4642，四舍五入为 9.8/26.5；dev 为 10.0/27.6。上述统计对应模型实际使用的抽样子集，而非全量训练集；改变标签编码与抽样顺序会得到不同子集。</w:t>
      </w:r>
    </w:p>
    <w:p w14:paraId="70856882">
      <w:pPr>
        <w:pStyle w:val="10"/>
        <w:keepNext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drawing>
          <wp:inline distT="0" distB="0" distL="114300" distR="114300">
            <wp:extent cx="5687695" cy="22275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2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B1DB">
      <w:pPr>
        <w:pStyle w:val="10"/>
        <w:keepNext w:val="0"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 QEvasion 粗标签分布与训练集细粒度策略分布</w:t>
      </w:r>
    </w:p>
    <w:p w14:paraId="3700A652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图1显示，两个划分都以 Ambivalent Reply 为多数类；细粒度策略则只有训练集提供可用标签，不能将右侧分布解释为测试集分布。训练集 Explicit 为 1,052 条，Implicit 为 488 条，而 Partial/half-answer 仅 79 条。细标签进一步细分后，数据稀疏性比三分类更突出，这也是层级扩展必须同时检查分类误差和概率汇总的原因。</w:t>
      </w:r>
    </w:p>
    <w:p w14:paraId="3345C242">
      <w:pPr>
        <w:pStyle w:val="10"/>
        <w:keepNext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drawing>
          <wp:inline distT="0" distB="0" distL="114300" distR="114300">
            <wp:extent cx="5687695" cy="22745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52382">
      <w:pPr>
        <w:pStyle w:val="10"/>
        <w:keepNext w:val="0"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 问题与回答长度分布及不同粗标签的长度差异</w:t>
      </w:r>
    </w:p>
    <w:p w14:paraId="5A379D12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图2完整展示训练集 3,448 条样本，回答横轴用对数刻度，所有类别采用共同分箱，问题使用全范围线性坐标；600 词以上的回答仍按实际长度呈现。≥600 词回答共 498 条（14.44%），三类为 127/358/13，模糊回答占 71.89%，高于全体的 59.16%。这描述长度与标签的关联，不证明长回答造成错误；空白词数也不等同于模型 word pieces。</w:t>
      </w:r>
    </w:p>
    <w:p w14:paraId="5BF6EB0C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4.2 基础模型总体表现</w:t>
      </w:r>
    </w:p>
    <w:p w14:paraId="11457B01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表8 相同 QEvasion 测试集上的总体指标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175"/>
        <w:gridCol w:w="1474"/>
        <w:gridCol w:w="1474"/>
        <w:gridCol w:w="1474"/>
        <w:gridCol w:w="1474"/>
      </w:tblGrid>
      <w:tr w14:paraId="26CD23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175" w:type="dxa"/>
            <w:vAlign w:val="center"/>
          </w:tcPr>
          <w:p w14:paraId="2B2999F0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模型</w:t>
            </w:r>
          </w:p>
        </w:tc>
        <w:tc>
          <w:tcPr>
            <w:tcW w:w="1474" w:type="dxa"/>
            <w:vAlign w:val="center"/>
          </w:tcPr>
          <w:p w14:paraId="1CC1F13D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Accuracy</w:t>
            </w:r>
          </w:p>
        </w:tc>
        <w:tc>
          <w:tcPr>
            <w:tcW w:w="1474" w:type="dxa"/>
            <w:vAlign w:val="center"/>
          </w:tcPr>
          <w:p w14:paraId="2E833B40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Macro-P</w:t>
            </w:r>
          </w:p>
        </w:tc>
        <w:tc>
          <w:tcPr>
            <w:tcW w:w="1474" w:type="dxa"/>
            <w:vAlign w:val="center"/>
          </w:tcPr>
          <w:p w14:paraId="0356D179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Macro-R</w:t>
            </w:r>
          </w:p>
        </w:tc>
        <w:tc>
          <w:tcPr>
            <w:tcW w:w="1474" w:type="dxa"/>
            <w:vAlign w:val="center"/>
          </w:tcPr>
          <w:p w14:paraId="6DC5BB79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Macro-F1</w:t>
            </w:r>
          </w:p>
        </w:tc>
      </w:tr>
      <w:tr w14:paraId="16A8CB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04819B6D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1474" w:type="dxa"/>
            <w:vAlign w:val="center"/>
          </w:tcPr>
          <w:p w14:paraId="27FB40BD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0.6688</w:t>
            </w:r>
          </w:p>
        </w:tc>
        <w:tc>
          <w:tcPr>
            <w:tcW w:w="1474" w:type="dxa"/>
            <w:vAlign w:val="center"/>
          </w:tcPr>
          <w:p w14:paraId="6BEF78C9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0.2229</w:t>
            </w:r>
          </w:p>
        </w:tc>
        <w:tc>
          <w:tcPr>
            <w:tcW w:w="1474" w:type="dxa"/>
            <w:vAlign w:val="center"/>
          </w:tcPr>
          <w:p w14:paraId="29F6B45A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0.3333</w:t>
            </w:r>
          </w:p>
        </w:tc>
        <w:tc>
          <w:tcPr>
            <w:tcW w:w="1474" w:type="dxa"/>
            <w:vAlign w:val="center"/>
          </w:tcPr>
          <w:p w14:paraId="3B176F04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0.2672</w:t>
            </w:r>
          </w:p>
        </w:tc>
      </w:tr>
      <w:tr w14:paraId="741DDE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083A284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 + LR</w:t>
            </w:r>
          </w:p>
        </w:tc>
        <w:tc>
          <w:tcPr>
            <w:tcW w:w="1474" w:type="dxa"/>
            <w:vAlign w:val="center"/>
          </w:tcPr>
          <w:p w14:paraId="1542045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0.5390</w:t>
            </w:r>
          </w:p>
        </w:tc>
        <w:tc>
          <w:tcPr>
            <w:tcW w:w="1474" w:type="dxa"/>
            <w:vAlign w:val="center"/>
          </w:tcPr>
          <w:p w14:paraId="32B6681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0.4327</w:t>
            </w:r>
          </w:p>
        </w:tc>
        <w:tc>
          <w:tcPr>
            <w:tcW w:w="1474" w:type="dxa"/>
            <w:vAlign w:val="center"/>
          </w:tcPr>
          <w:p w14:paraId="5B46588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0.4391</w:t>
            </w:r>
          </w:p>
        </w:tc>
        <w:tc>
          <w:tcPr>
            <w:tcW w:w="1474" w:type="dxa"/>
            <w:vAlign w:val="center"/>
          </w:tcPr>
          <w:p w14:paraId="064575C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0.4351</w:t>
            </w:r>
          </w:p>
        </w:tc>
      </w:tr>
      <w:tr w14:paraId="6BD852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77E18A6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 + LR</w:t>
            </w:r>
          </w:p>
        </w:tc>
        <w:tc>
          <w:tcPr>
            <w:tcW w:w="1474" w:type="dxa"/>
            <w:vAlign w:val="center"/>
          </w:tcPr>
          <w:p w14:paraId="1F246AE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0.5812</w:t>
            </w:r>
          </w:p>
        </w:tc>
        <w:tc>
          <w:tcPr>
            <w:tcW w:w="1474" w:type="dxa"/>
            <w:vAlign w:val="center"/>
          </w:tcPr>
          <w:p w14:paraId="4EC8E98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0.4755</w:t>
            </w:r>
          </w:p>
        </w:tc>
        <w:tc>
          <w:tcPr>
            <w:tcW w:w="1474" w:type="dxa"/>
            <w:vAlign w:val="center"/>
          </w:tcPr>
          <w:p w14:paraId="65B20C1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0.5353</w:t>
            </w:r>
          </w:p>
        </w:tc>
        <w:tc>
          <w:tcPr>
            <w:tcW w:w="1474" w:type="dxa"/>
            <w:vAlign w:val="center"/>
          </w:tcPr>
          <w:p w14:paraId="34FB352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0.4855</w:t>
            </w:r>
          </w:p>
        </w:tc>
      </w:tr>
      <w:tr w14:paraId="502B40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</w:trPr>
        <w:tc>
          <w:tcPr>
            <w:tcW w:w="3175" w:type="dxa"/>
          </w:tcPr>
          <w:p w14:paraId="7EAB3434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九细类求和</w:t>
            </w:r>
          </w:p>
        </w:tc>
        <w:tc>
          <w:tcPr>
            <w:tcW w:w="1474" w:type="dxa"/>
          </w:tcPr>
          <w:p w14:paraId="01FC6EDA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0.6526</w:t>
            </w:r>
          </w:p>
        </w:tc>
        <w:tc>
          <w:tcPr>
            <w:tcW w:w="1474" w:type="dxa"/>
          </w:tcPr>
          <w:p w14:paraId="290DDE61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0.3122</w:t>
            </w:r>
          </w:p>
        </w:tc>
        <w:tc>
          <w:tcPr>
            <w:tcW w:w="1474" w:type="dxa"/>
          </w:tcPr>
          <w:p w14:paraId="749B497D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0.4025</w:t>
            </w:r>
          </w:p>
        </w:tc>
        <w:tc>
          <w:tcPr>
            <w:tcW w:w="1474" w:type="dxa"/>
          </w:tcPr>
          <w:p w14:paraId="4CC4DF5E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0.3504</w:t>
            </w:r>
          </w:p>
        </w:tc>
      </w:tr>
    </w:tbl>
    <w:p w14:paraId="64F015FD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表8所示的官方测试中 MiniLM 的 Macro-F1 为 0.4855，比 TF-IDF 高 0.0504，Accuracy 从 0.5390 升至 0.5812。配对区间跨越零，尚不能确认稳定优势。多数类策略准确率最高而 Macro-F1 最低；九细类汇总准确率较高却丢失 Clear Reply，说明判断模型不能仅看命中多数类的能力。</w:t>
      </w:r>
    </w:p>
    <w:p w14:paraId="7CE692EF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TF-IDF 的四种内部验证配置 Macro-F1 依次为 0.5084、0.5646、0.5115、0.5912，选中 unigram+bigram 与 balanced 权重；官方测试为 0.4351，下降 0.1561。实际整数标签分层划分产生 3,103 条拟合样本和 345 条验证样本，验证三类数量为 105/204/36；其中 343 条的来源 URL 已在拟合集出现，220 条（63.77%）共享完整回答，14 条共享完整问答对。这些相关样本使验证结果可能乐观；小样本波动与类别组成差异也可能有关，但不能据此确定全部落差的因果。官方测试未用于原始选参，仍作为主要模型比较依据。</w:t>
      </w:r>
    </w:p>
    <w:p w14:paraId="02F35F95">
      <w:pPr>
        <w:pStyle w:val="14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表9 固定模型 Macro-F1 差值的95%置信区间</w:t>
      </w:r>
    </w:p>
    <w:tbl>
      <w:tblPr>
        <w:tblStyle w:val="5"/>
        <w:tblW w:w="0" w:type="auto"/>
        <w:tblInd w:w="0" w:type="dxa"/>
        <w:tblBorders>
          <w:top w:val="single" w:color="9AA5B1" w:sz="4" w:space="0"/>
          <w:left w:val="single" w:color="9AA5B1" w:sz="4" w:space="0"/>
          <w:bottom w:val="single" w:color="9AA5B1" w:sz="4" w:space="0"/>
          <w:right w:val="single" w:color="9AA5B1" w:sz="4" w:space="0"/>
          <w:insideH w:val="single" w:color="9AA5B1" w:sz="4" w:space="0"/>
          <w:insideV w:val="single" w:color="9AA5B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864"/>
        <w:gridCol w:w="2160"/>
        <w:gridCol w:w="2160"/>
      </w:tblGrid>
      <w:tr w14:paraId="02FF15D1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448" w:type="dxa"/>
            <w:shd w:val="clear" w:color="auto" w:fill="F2F2F2"/>
            <w:vAlign w:val="center"/>
          </w:tcPr>
          <w:p w14:paraId="13B79F8F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比较</w:t>
            </w:r>
          </w:p>
        </w:tc>
        <w:tc>
          <w:tcPr>
            <w:tcW w:w="864" w:type="dxa"/>
            <w:shd w:val="clear" w:color="auto" w:fill="F2F2F2"/>
            <w:vAlign w:val="center"/>
          </w:tcPr>
          <w:p w14:paraId="16FA0F58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差值</w:t>
            </w:r>
          </w:p>
        </w:tc>
        <w:tc>
          <w:tcPr>
            <w:tcW w:w="2160" w:type="dxa"/>
            <w:shd w:val="clear" w:color="auto" w:fill="F2F2F2"/>
            <w:vAlign w:val="center"/>
          </w:tcPr>
          <w:p w14:paraId="1C9F2EE7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样本配对区间</w:t>
            </w:r>
          </w:p>
        </w:tc>
        <w:tc>
          <w:tcPr>
            <w:tcW w:w="2160" w:type="dxa"/>
            <w:shd w:val="clear" w:color="auto" w:fill="F2F2F2"/>
            <w:vAlign w:val="center"/>
          </w:tcPr>
          <w:p w14:paraId="402B2617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URL簇配对区间</w:t>
            </w:r>
          </w:p>
        </w:tc>
      </w:tr>
      <w:tr w14:paraId="56280B7C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48" w:type="dxa"/>
            <w:shd w:val="clear" w:color="auto" w:fill="FFFFFF"/>
            <w:vAlign w:val="center"/>
          </w:tcPr>
          <w:p w14:paraId="6C0A8969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MiniLM − TF-IDF</w:t>
            </w:r>
          </w:p>
        </w:tc>
        <w:tc>
          <w:tcPr>
            <w:tcW w:w="864" w:type="dxa"/>
            <w:shd w:val="clear" w:color="auto" w:fill="FFFFFF"/>
            <w:vAlign w:val="center"/>
          </w:tcPr>
          <w:p w14:paraId="0E1CFA6C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+0.0504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0F578082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[−0.0157, 0.1189]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2CDDF45F">
            <w:pPr>
              <w:keepNext w:val="0"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[−0.0222, 0.1498]</w:t>
            </w:r>
          </w:p>
        </w:tc>
      </w:tr>
      <w:tr w14:paraId="3DD4BC93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48" w:type="dxa"/>
            <w:shd w:val="clear" w:color="auto" w:fill="FFFFFF"/>
            <w:vAlign w:val="center"/>
          </w:tcPr>
          <w:p w14:paraId="0BB9FBC0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九细类求和 − MiniLM</w:t>
            </w:r>
          </w:p>
        </w:tc>
        <w:tc>
          <w:tcPr>
            <w:tcW w:w="864" w:type="dxa"/>
            <w:shd w:val="clear" w:color="auto" w:fill="FFFFFF"/>
            <w:vAlign w:val="center"/>
          </w:tcPr>
          <w:p w14:paraId="3411C935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−0.1351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62F2C700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[−0.2062, −0.0649]</w:t>
            </w:r>
          </w:p>
        </w:tc>
        <w:tc>
          <w:tcPr>
            <w:tcW w:w="2160" w:type="dxa"/>
            <w:shd w:val="clear" w:color="auto" w:fill="FFFFFF"/>
            <w:vAlign w:val="center"/>
          </w:tcPr>
          <w:p w14:paraId="44A758D5">
            <w:pPr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[−0.2268, −0.0637]</w:t>
            </w:r>
          </w:p>
        </w:tc>
      </w:tr>
    </w:tbl>
    <w:p w14:paraId="11CC6710"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表9基于现有固定模型，在相同测试记录上做 10,000 次配对百分位 bootstrap（seed=42）。样本重采样沿用 08 的 Python RNG；来源簇使用 09 的 NumPy PCG64，按 56 个 URL 有放回抽簇并保留簇内全部记录。两种分析下 MiniLM 增量的区间均覆盖 0，尚不能确认稳定优势；原层级设置退化的区间均未覆盖 0。区间只描述当前测试样本的不确定性，不包括训练种子波动，也不能证明因果或跨数据集普遍优势。</w:t>
      </w:r>
    </w:p>
    <w:p w14:paraId="217574C0">
      <w:pPr>
        <w:keepNext/>
        <w:spacing w:after="80" w:line="300" w:lineRule="auto"/>
        <w:ind w:firstLine="0"/>
        <w:jc w:val="center"/>
      </w:pPr>
      <w:r>
        <w:drawing>
          <wp:inline distT="0" distB="0" distL="114300" distR="114300">
            <wp:extent cx="5303520" cy="1957705"/>
            <wp:effectExtent l="0" t="0" r="5080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58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8C5FB">
      <w:pPr>
        <w:pStyle w:val="14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图3 同一 QEvasion 测试集上的总体指标及 MiniLM 混淆矩阵</w:t>
      </w:r>
    </w:p>
    <w:p w14:paraId="2FC2D93A">
      <w:pPr>
        <w:keepLines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图3中四种设置均在 QEvasion 官方 308 条记录上评价，不混入 QNLI 二分类成绩。多数类与九细类求和方案虽有较高准确率，主指标却更低；右侧按真实与预测标签展示主模型错误方向。Clear Non-Reply 仅23条，其精确率与召回率需结合支持数理解。</w:t>
      </w:r>
    </w:p>
    <w:p w14:paraId="3C33629E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4.3 类别级指标与混淆方向</w:t>
      </w:r>
    </w:p>
    <w:p w14:paraId="439FE6ED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表10 三种基线的类别级指标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1134"/>
        <w:gridCol w:w="2835"/>
        <w:gridCol w:w="794"/>
        <w:gridCol w:w="1417"/>
        <w:gridCol w:w="1417"/>
        <w:gridCol w:w="1474"/>
      </w:tblGrid>
      <w:tr w14:paraId="21BB95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1134" w:type="dxa"/>
            <w:vAlign w:val="center"/>
          </w:tcPr>
          <w:p w14:paraId="3552627A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模型</w:t>
            </w:r>
          </w:p>
        </w:tc>
        <w:tc>
          <w:tcPr>
            <w:tcW w:w="2835" w:type="dxa"/>
            <w:vAlign w:val="center"/>
          </w:tcPr>
          <w:p w14:paraId="7117A3C6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类别</w:t>
            </w:r>
          </w:p>
        </w:tc>
        <w:tc>
          <w:tcPr>
            <w:tcW w:w="794" w:type="dxa"/>
            <w:vAlign w:val="center"/>
          </w:tcPr>
          <w:p w14:paraId="7DFE50C6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数量</w:t>
            </w:r>
          </w:p>
        </w:tc>
        <w:tc>
          <w:tcPr>
            <w:tcW w:w="1417" w:type="dxa"/>
            <w:vAlign w:val="center"/>
          </w:tcPr>
          <w:p w14:paraId="46F4756E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P</w:t>
            </w:r>
          </w:p>
        </w:tc>
        <w:tc>
          <w:tcPr>
            <w:tcW w:w="1417" w:type="dxa"/>
            <w:vAlign w:val="center"/>
          </w:tcPr>
          <w:p w14:paraId="64669671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R</w:t>
            </w:r>
          </w:p>
        </w:tc>
        <w:tc>
          <w:tcPr>
            <w:tcW w:w="1474" w:type="dxa"/>
            <w:vAlign w:val="center"/>
          </w:tcPr>
          <w:p w14:paraId="69B0667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F1</w:t>
            </w:r>
          </w:p>
        </w:tc>
      </w:tr>
      <w:tr w14:paraId="68B038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0843E197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2835" w:type="dxa"/>
            <w:vAlign w:val="center"/>
          </w:tcPr>
          <w:p w14:paraId="6D07D9FB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794" w:type="dxa"/>
            <w:vAlign w:val="center"/>
          </w:tcPr>
          <w:p w14:paraId="4048FE5A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79</w:t>
            </w:r>
          </w:p>
        </w:tc>
        <w:tc>
          <w:tcPr>
            <w:tcW w:w="1417" w:type="dxa"/>
            <w:vAlign w:val="center"/>
          </w:tcPr>
          <w:p w14:paraId="7FE74A4A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17" w:type="dxa"/>
            <w:vAlign w:val="center"/>
          </w:tcPr>
          <w:p w14:paraId="79466A38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74" w:type="dxa"/>
            <w:vAlign w:val="center"/>
          </w:tcPr>
          <w:p w14:paraId="7FA140BC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</w:tr>
      <w:tr w14:paraId="572C77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384CFC7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2835" w:type="dxa"/>
            <w:vAlign w:val="center"/>
          </w:tcPr>
          <w:p w14:paraId="6224522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794" w:type="dxa"/>
            <w:vAlign w:val="center"/>
          </w:tcPr>
          <w:p w14:paraId="7B5A51F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206</w:t>
            </w:r>
          </w:p>
        </w:tc>
        <w:tc>
          <w:tcPr>
            <w:tcW w:w="1417" w:type="dxa"/>
            <w:vAlign w:val="center"/>
          </w:tcPr>
          <w:p w14:paraId="16A6DEB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0.6688</w:t>
            </w:r>
          </w:p>
        </w:tc>
        <w:tc>
          <w:tcPr>
            <w:tcW w:w="1417" w:type="dxa"/>
            <w:vAlign w:val="center"/>
          </w:tcPr>
          <w:p w14:paraId="5EDCD49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1.0000</w:t>
            </w:r>
          </w:p>
        </w:tc>
        <w:tc>
          <w:tcPr>
            <w:tcW w:w="1474" w:type="dxa"/>
            <w:vAlign w:val="center"/>
          </w:tcPr>
          <w:p w14:paraId="729B949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0.8016</w:t>
            </w:r>
          </w:p>
        </w:tc>
      </w:tr>
      <w:tr w14:paraId="236FDE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175963D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2835" w:type="dxa"/>
            <w:vAlign w:val="center"/>
          </w:tcPr>
          <w:p w14:paraId="6E2FF45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794" w:type="dxa"/>
            <w:vAlign w:val="center"/>
          </w:tcPr>
          <w:p w14:paraId="1D37634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23</w:t>
            </w:r>
          </w:p>
        </w:tc>
        <w:tc>
          <w:tcPr>
            <w:tcW w:w="1417" w:type="dxa"/>
            <w:vAlign w:val="center"/>
          </w:tcPr>
          <w:p w14:paraId="6A10405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17" w:type="dxa"/>
            <w:vAlign w:val="center"/>
          </w:tcPr>
          <w:p w14:paraId="753874F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74" w:type="dxa"/>
            <w:vAlign w:val="center"/>
          </w:tcPr>
          <w:p w14:paraId="5431479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</w:tr>
      <w:tr w14:paraId="41AD26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4A88DFE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</w:t>
            </w:r>
          </w:p>
        </w:tc>
        <w:tc>
          <w:tcPr>
            <w:tcW w:w="2835" w:type="dxa"/>
            <w:vAlign w:val="center"/>
          </w:tcPr>
          <w:p w14:paraId="747B262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794" w:type="dxa"/>
            <w:vAlign w:val="center"/>
          </w:tcPr>
          <w:p w14:paraId="5436646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79</w:t>
            </w:r>
          </w:p>
        </w:tc>
        <w:tc>
          <w:tcPr>
            <w:tcW w:w="1417" w:type="dxa"/>
            <w:vAlign w:val="center"/>
          </w:tcPr>
          <w:p w14:paraId="18F8664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0.2333</w:t>
            </w:r>
          </w:p>
        </w:tc>
        <w:tc>
          <w:tcPr>
            <w:tcW w:w="1417" w:type="dxa"/>
            <w:vAlign w:val="center"/>
          </w:tcPr>
          <w:p w14:paraId="502876E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0.2658</w:t>
            </w:r>
          </w:p>
        </w:tc>
        <w:tc>
          <w:tcPr>
            <w:tcW w:w="1474" w:type="dxa"/>
            <w:vAlign w:val="center"/>
          </w:tcPr>
          <w:p w14:paraId="3B8B5E9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0.2485</w:t>
            </w:r>
          </w:p>
        </w:tc>
      </w:tr>
      <w:tr w14:paraId="49423E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37F7B4A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</w:t>
            </w:r>
          </w:p>
        </w:tc>
        <w:tc>
          <w:tcPr>
            <w:tcW w:w="2835" w:type="dxa"/>
            <w:vAlign w:val="center"/>
          </w:tcPr>
          <w:p w14:paraId="541D701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794" w:type="dxa"/>
            <w:vAlign w:val="center"/>
          </w:tcPr>
          <w:p w14:paraId="74580CB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206</w:t>
            </w:r>
          </w:p>
        </w:tc>
        <w:tc>
          <w:tcPr>
            <w:tcW w:w="1417" w:type="dxa"/>
            <w:vAlign w:val="center"/>
          </w:tcPr>
          <w:p w14:paraId="3E29242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0.7047</w:t>
            </w:r>
          </w:p>
        </w:tc>
        <w:tc>
          <w:tcPr>
            <w:tcW w:w="1417" w:type="dxa"/>
            <w:vAlign w:val="center"/>
          </w:tcPr>
          <w:p w14:paraId="6ABB8B6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0.6602</w:t>
            </w:r>
          </w:p>
        </w:tc>
        <w:tc>
          <w:tcPr>
            <w:tcW w:w="1474" w:type="dxa"/>
            <w:vAlign w:val="center"/>
          </w:tcPr>
          <w:p w14:paraId="1A83281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0.6817</w:t>
            </w:r>
          </w:p>
        </w:tc>
      </w:tr>
      <w:tr w14:paraId="349B37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07DFE8A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</w:t>
            </w:r>
          </w:p>
        </w:tc>
        <w:tc>
          <w:tcPr>
            <w:tcW w:w="2835" w:type="dxa"/>
            <w:vAlign w:val="center"/>
          </w:tcPr>
          <w:p w14:paraId="2DFF154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794" w:type="dxa"/>
            <w:vAlign w:val="center"/>
          </w:tcPr>
          <w:p w14:paraId="1D05855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23</w:t>
            </w:r>
          </w:p>
        </w:tc>
        <w:tc>
          <w:tcPr>
            <w:tcW w:w="1417" w:type="dxa"/>
            <w:vAlign w:val="center"/>
          </w:tcPr>
          <w:p w14:paraId="0E28036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0.3600</w:t>
            </w:r>
          </w:p>
        </w:tc>
        <w:tc>
          <w:tcPr>
            <w:tcW w:w="1417" w:type="dxa"/>
            <w:vAlign w:val="center"/>
          </w:tcPr>
          <w:p w14:paraId="5F8258A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0.3913</w:t>
            </w:r>
          </w:p>
        </w:tc>
        <w:tc>
          <w:tcPr>
            <w:tcW w:w="1474" w:type="dxa"/>
            <w:vAlign w:val="center"/>
          </w:tcPr>
          <w:p w14:paraId="6106FE1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0.3750</w:t>
            </w:r>
          </w:p>
        </w:tc>
      </w:tr>
      <w:tr w14:paraId="456B2C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276EA50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</w:t>
            </w:r>
          </w:p>
        </w:tc>
        <w:tc>
          <w:tcPr>
            <w:tcW w:w="2835" w:type="dxa"/>
            <w:vAlign w:val="center"/>
          </w:tcPr>
          <w:p w14:paraId="6A90576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794" w:type="dxa"/>
            <w:vAlign w:val="center"/>
          </w:tcPr>
          <w:p w14:paraId="234812A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79</w:t>
            </w:r>
          </w:p>
        </w:tc>
        <w:tc>
          <w:tcPr>
            <w:tcW w:w="1417" w:type="dxa"/>
            <w:vAlign w:val="center"/>
          </w:tcPr>
          <w:p w14:paraId="23C311D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0.4167</w:t>
            </w:r>
          </w:p>
        </w:tc>
        <w:tc>
          <w:tcPr>
            <w:tcW w:w="1417" w:type="dxa"/>
            <w:vAlign w:val="center"/>
          </w:tcPr>
          <w:p w14:paraId="617BCFF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0.5063</w:t>
            </w:r>
          </w:p>
        </w:tc>
        <w:tc>
          <w:tcPr>
            <w:tcW w:w="1474" w:type="dxa"/>
            <w:vAlign w:val="center"/>
          </w:tcPr>
          <w:p w14:paraId="57021FB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0.4571</w:t>
            </w:r>
          </w:p>
        </w:tc>
      </w:tr>
      <w:tr w14:paraId="4B6BB6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0C8604C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</w:t>
            </w:r>
          </w:p>
        </w:tc>
        <w:tc>
          <w:tcPr>
            <w:tcW w:w="2835" w:type="dxa"/>
            <w:vAlign w:val="center"/>
          </w:tcPr>
          <w:p w14:paraId="0DC9D29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794" w:type="dxa"/>
            <w:vAlign w:val="center"/>
          </w:tcPr>
          <w:p w14:paraId="4B2BAD1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206</w:t>
            </w:r>
          </w:p>
        </w:tc>
        <w:tc>
          <w:tcPr>
            <w:tcW w:w="1417" w:type="dxa"/>
            <w:vAlign w:val="center"/>
          </w:tcPr>
          <w:p w14:paraId="71FE670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0.7853</w:t>
            </w:r>
          </w:p>
        </w:tc>
        <w:tc>
          <w:tcPr>
            <w:tcW w:w="1417" w:type="dxa"/>
            <w:vAlign w:val="center"/>
          </w:tcPr>
          <w:p w14:paraId="1E93503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0.6214</w:t>
            </w:r>
          </w:p>
        </w:tc>
        <w:tc>
          <w:tcPr>
            <w:tcW w:w="1474" w:type="dxa"/>
            <w:vAlign w:val="center"/>
          </w:tcPr>
          <w:p w14:paraId="5D0BEBF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0.6938</w:t>
            </w:r>
          </w:p>
        </w:tc>
      </w:tr>
      <w:tr w14:paraId="509115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374A70F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</w:t>
            </w:r>
          </w:p>
        </w:tc>
        <w:tc>
          <w:tcPr>
            <w:tcW w:w="2835" w:type="dxa"/>
            <w:vAlign w:val="center"/>
          </w:tcPr>
          <w:p w14:paraId="3560C40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794" w:type="dxa"/>
            <w:vAlign w:val="center"/>
          </w:tcPr>
          <w:p w14:paraId="73984FD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23</w:t>
            </w:r>
          </w:p>
        </w:tc>
        <w:tc>
          <w:tcPr>
            <w:tcW w:w="1417" w:type="dxa"/>
            <w:vAlign w:val="center"/>
          </w:tcPr>
          <w:p w14:paraId="19F59C9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0.2245</w:t>
            </w:r>
          </w:p>
        </w:tc>
        <w:tc>
          <w:tcPr>
            <w:tcW w:w="1417" w:type="dxa"/>
            <w:vAlign w:val="center"/>
          </w:tcPr>
          <w:p w14:paraId="3CF3511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0.4783</w:t>
            </w:r>
          </w:p>
        </w:tc>
        <w:tc>
          <w:tcPr>
            <w:tcW w:w="1474" w:type="dxa"/>
            <w:vAlign w:val="center"/>
          </w:tcPr>
          <w:p w14:paraId="3F2E7AB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0.3056</w:t>
            </w:r>
          </w:p>
        </w:tc>
      </w:tr>
    </w:tbl>
    <w:p w14:paraId="28017E03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表10中，Clear Reply 的 F1 从 0.2485 到 0.4571，增加 0.2086；Ambivalent Reply 从 0.6817 到 0.6938；Clear Non-Reply 则从 0.3750 降至 0.3056。总体的观察增量主要伴随 Clear Reply 识别改善，不能表述为三个类别均受益，也不能从一次对照证明表示方式的因果作用。</w:t>
      </w:r>
    </w:p>
    <w:p w14:paraId="1566D232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表11 MiniLM 混淆矩阵（行是真实标签，列是预测标签）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118"/>
        <w:gridCol w:w="1984"/>
        <w:gridCol w:w="1984"/>
        <w:gridCol w:w="1984"/>
      </w:tblGrid>
      <w:tr w14:paraId="21AC44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3FDBD68A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真实／预测</w:t>
            </w:r>
          </w:p>
        </w:tc>
        <w:tc>
          <w:tcPr>
            <w:tcW w:w="1984" w:type="dxa"/>
            <w:vAlign w:val="center"/>
          </w:tcPr>
          <w:p w14:paraId="3375E375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Clear Reply</w:t>
            </w:r>
          </w:p>
        </w:tc>
        <w:tc>
          <w:tcPr>
            <w:tcW w:w="1984" w:type="dxa"/>
            <w:vAlign w:val="center"/>
          </w:tcPr>
          <w:p w14:paraId="47ACE078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Ambivalent</w:t>
            </w:r>
          </w:p>
        </w:tc>
        <w:tc>
          <w:tcPr>
            <w:tcW w:w="1984" w:type="dxa"/>
            <w:vAlign w:val="center"/>
          </w:tcPr>
          <w:p w14:paraId="721381F1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Non-Reply</w:t>
            </w:r>
          </w:p>
        </w:tc>
      </w:tr>
      <w:tr w14:paraId="38D699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18" w:type="dxa"/>
            <w:vAlign w:val="center"/>
          </w:tcPr>
          <w:p w14:paraId="45AD4E58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1984" w:type="dxa"/>
            <w:vAlign w:val="center"/>
          </w:tcPr>
          <w:p w14:paraId="32DB39D0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40</w:t>
            </w:r>
          </w:p>
        </w:tc>
        <w:tc>
          <w:tcPr>
            <w:tcW w:w="1984" w:type="dxa"/>
            <w:vAlign w:val="center"/>
          </w:tcPr>
          <w:p w14:paraId="6285EBCD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30</w:t>
            </w:r>
          </w:p>
        </w:tc>
        <w:tc>
          <w:tcPr>
            <w:tcW w:w="1984" w:type="dxa"/>
            <w:vAlign w:val="center"/>
          </w:tcPr>
          <w:p w14:paraId="2159BB5A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9</w:t>
            </w:r>
          </w:p>
        </w:tc>
      </w:tr>
      <w:tr w14:paraId="3865E1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18" w:type="dxa"/>
            <w:vAlign w:val="center"/>
          </w:tcPr>
          <w:p w14:paraId="41F0076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</w:t>
            </w:r>
          </w:p>
        </w:tc>
        <w:tc>
          <w:tcPr>
            <w:tcW w:w="1984" w:type="dxa"/>
            <w:vAlign w:val="center"/>
          </w:tcPr>
          <w:p w14:paraId="4CE69ED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49</w:t>
            </w:r>
          </w:p>
        </w:tc>
        <w:tc>
          <w:tcPr>
            <w:tcW w:w="1984" w:type="dxa"/>
            <w:vAlign w:val="center"/>
          </w:tcPr>
          <w:p w14:paraId="06FFA8D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128</w:t>
            </w:r>
          </w:p>
        </w:tc>
        <w:tc>
          <w:tcPr>
            <w:tcW w:w="1984" w:type="dxa"/>
            <w:vAlign w:val="center"/>
          </w:tcPr>
          <w:p w14:paraId="69C8870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29</w:t>
            </w:r>
          </w:p>
        </w:tc>
      </w:tr>
      <w:tr w14:paraId="19C29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18" w:type="dxa"/>
            <w:vAlign w:val="center"/>
          </w:tcPr>
          <w:p w14:paraId="047AF75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1984" w:type="dxa"/>
            <w:vAlign w:val="center"/>
          </w:tcPr>
          <w:p w14:paraId="6407093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</w:t>
            </w:r>
          </w:p>
        </w:tc>
        <w:tc>
          <w:tcPr>
            <w:tcW w:w="1984" w:type="dxa"/>
            <w:vAlign w:val="center"/>
          </w:tcPr>
          <w:p w14:paraId="5046FEA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5</w:t>
            </w:r>
          </w:p>
        </w:tc>
        <w:tc>
          <w:tcPr>
            <w:tcW w:w="1984" w:type="dxa"/>
            <w:vAlign w:val="center"/>
          </w:tcPr>
          <w:p w14:paraId="75C601A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11</w:t>
            </w:r>
          </w:p>
        </w:tc>
      </w:tr>
    </w:tbl>
    <w:p w14:paraId="2A91DA89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 xml:space="preserve">表11中，MiniLM 将 23 个真实 Non-Reply 中的 11 个识别正确，召回率为 0.4783，但共预测出 49 个 Non-Reply，精确率只有 0.2245。其余来自 9 个明确回答和 29 个模糊回答。balanced 权重有助于关注少数类，却不保证概率经过校准；部分回答、澄清和明确拒答的语义边界仍需细致判断。</w:t>
      </w:r>
    </w:p>
    <w:p w14:paraId="042CBB44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按回答词数作诊断，≤256 词组有 142 条样本，Accuracy 为 0.4859、Macro-F1 为 0.4523；&gt;256 词组有 166 条，分别为 0.6627、0.4193。长回答组准确率更高而 Macro-F1 更低，说明分组后的类别组成会影响评价。该观察不能证明长度造成错误，也不能用于估计 256 个 word pieces 截断的因果影响。</w:t>
      </w:r>
    </w:p>
    <w:p w14:paraId="429A4D25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4.4 QNLI 直接复用与适配结果</w:t>
      </w:r>
    </w:p>
    <w:p w14:paraId="5D1F77EA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表12 同一 QNLI dev 集上的迁移比较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402"/>
        <w:gridCol w:w="1134"/>
        <w:gridCol w:w="1134"/>
        <w:gridCol w:w="3402"/>
      </w:tblGrid>
      <w:tr w14:paraId="661AE5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402" w:type="dxa"/>
            <w:vAlign w:val="center"/>
          </w:tcPr>
          <w:p w14:paraId="0A389CE3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模型设置</w:t>
            </w:r>
          </w:p>
        </w:tc>
        <w:tc>
          <w:tcPr>
            <w:tcW w:w="1134" w:type="dxa"/>
            <w:vAlign w:val="center"/>
          </w:tcPr>
          <w:p w14:paraId="6C87C9F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Accuracy</w:t>
            </w:r>
          </w:p>
        </w:tc>
        <w:tc>
          <w:tcPr>
            <w:tcW w:w="1134" w:type="dxa"/>
            <w:vAlign w:val="center"/>
          </w:tcPr>
          <w:p w14:paraId="7886AECA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Macro-F1</w:t>
            </w:r>
          </w:p>
        </w:tc>
        <w:tc>
          <w:tcPr>
            <w:tcW w:w="3402" w:type="dxa"/>
            <w:vAlign w:val="center"/>
          </w:tcPr>
          <w:p w14:paraId="4CD6A263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监督来源</w:t>
            </w:r>
          </w:p>
        </w:tc>
      </w:tr>
      <w:tr w14:paraId="5622BE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3BA98CAD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常数标签基线</w:t>
            </w:r>
          </w:p>
        </w:tc>
        <w:tc>
          <w:tcPr>
            <w:tcW w:w="1134" w:type="dxa"/>
            <w:vAlign w:val="center"/>
          </w:tcPr>
          <w:p w14:paraId="6A4123F7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0.4946</w:t>
            </w:r>
          </w:p>
        </w:tc>
        <w:tc>
          <w:tcPr>
            <w:tcW w:w="1134" w:type="dxa"/>
            <w:vAlign w:val="center"/>
          </w:tcPr>
          <w:p w14:paraId="07E58F3E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0.3309</w:t>
            </w:r>
          </w:p>
        </w:tc>
        <w:tc>
          <w:tcPr>
            <w:tcW w:w="3402" w:type="dxa"/>
            <w:vAlign w:val="center"/>
          </w:tcPr>
          <w:p w14:paraId="7AA99534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目标训练集类频并列，固定选标签0</w:t>
            </w:r>
          </w:p>
        </w:tc>
      </w:tr>
      <w:tr w14:paraId="1FF5FA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69B2DF2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源域模型＋固定标签投影</w:t>
            </w:r>
          </w:p>
        </w:tc>
        <w:tc>
          <w:tcPr>
            <w:tcW w:w="1134" w:type="dxa"/>
            <w:vAlign w:val="center"/>
          </w:tcPr>
          <w:p w14:paraId="28040D9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0.5047</w:t>
            </w:r>
          </w:p>
        </w:tc>
        <w:tc>
          <w:tcPr>
            <w:tcW w:w="1134" w:type="dxa"/>
            <w:vAlign w:val="center"/>
          </w:tcPr>
          <w:p w14:paraId="460DB1A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0.3364</w:t>
            </w:r>
          </w:p>
        </w:tc>
        <w:tc>
          <w:tcPr>
            <w:tcW w:w="3402" w:type="dxa"/>
            <w:vAlign w:val="center"/>
          </w:tcPr>
          <w:p w14:paraId="21BC14D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仅 QEvasion 标签</w:t>
            </w:r>
          </w:p>
        </w:tc>
      </w:tr>
      <w:tr w14:paraId="5E4BF1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033BF77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适配后 TF-IDF + LR</w:t>
            </w:r>
          </w:p>
        </w:tc>
        <w:tc>
          <w:tcPr>
            <w:tcW w:w="1134" w:type="dxa"/>
            <w:vAlign w:val="center"/>
          </w:tcPr>
          <w:p w14:paraId="0AC70F0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0.5764</w:t>
            </w:r>
          </w:p>
        </w:tc>
        <w:tc>
          <w:tcPr>
            <w:tcW w:w="1134" w:type="dxa"/>
            <w:vAlign w:val="center"/>
          </w:tcPr>
          <w:p w14:paraId="56AF251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0.5741</w:t>
            </w:r>
          </w:p>
        </w:tc>
        <w:tc>
          <w:tcPr>
            <w:tcW w:w="3402" w:type="dxa"/>
            <w:vAlign w:val="center"/>
          </w:tcPr>
          <w:p w14:paraId="7977F2E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12,000 条训练标签</w:t>
            </w:r>
          </w:p>
        </w:tc>
      </w:tr>
    </w:tbl>
    <w:p w14:paraId="5C4EAF3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直接复用模型仅把 10 条 QNLI 样本预测为“包含答案”，其中只有 3 条正确；该类召回率为 3/2,702≈0.0011，说明固定投影后模型几乎退化为“不包含答案”策略。这一失败既包含文本分布差异，也包含标签语义近似和阈值不匹配，不能只归因于其中某一个因素。</w:t>
      </w:r>
    </w:p>
    <w:p w14:paraId="3C7B6A5A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表13 QNLI 适配模型类别级结果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402"/>
        <w:gridCol w:w="964"/>
        <w:gridCol w:w="1587"/>
        <w:gridCol w:w="1587"/>
        <w:gridCol w:w="1531"/>
      </w:tblGrid>
      <w:tr w14:paraId="4B7687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402" w:type="dxa"/>
            <w:vAlign w:val="center"/>
          </w:tcPr>
          <w:p w14:paraId="7234AED4">
            <w:pPr>
              <w:keepNext w:val="1"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类别</w:t>
            </w:r>
          </w:p>
        </w:tc>
        <w:tc>
          <w:tcPr>
            <w:tcW w:w="964" w:type="dxa"/>
            <w:vAlign w:val="center"/>
          </w:tcPr>
          <w:p w14:paraId="76D5111C">
            <w:pPr>
              <w:keepNext w:val="1"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样本数</w:t>
            </w:r>
          </w:p>
        </w:tc>
        <w:tc>
          <w:tcPr>
            <w:tcW w:w="1587" w:type="dxa"/>
            <w:vAlign w:val="center"/>
          </w:tcPr>
          <w:p w14:paraId="03AD81E0">
            <w:pPr>
              <w:keepNext w:val="1"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Precision</w:t>
            </w:r>
          </w:p>
        </w:tc>
        <w:tc>
          <w:tcPr>
            <w:tcW w:w="1587" w:type="dxa"/>
            <w:vAlign w:val="center"/>
          </w:tcPr>
          <w:p w14:paraId="5E3633DE">
            <w:pPr>
              <w:keepNext w:val="1"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Recall</w:t>
            </w:r>
          </w:p>
        </w:tc>
        <w:tc>
          <w:tcPr>
            <w:tcW w:w="1531" w:type="dxa"/>
            <w:vAlign w:val="center"/>
          </w:tcPr>
          <w:p w14:paraId="5E88CD97">
            <w:pPr>
              <w:keepNext w:val="1"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F1</w:t>
            </w:r>
          </w:p>
        </w:tc>
      </w:tr>
      <w:tr w14:paraId="29D353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2AAEEAC3">
            <w:pPr>
              <w:keepNext w:val="1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Entailment (contains answer)</w:t>
            </w:r>
          </w:p>
        </w:tc>
        <w:tc>
          <w:tcPr>
            <w:tcW w:w="964" w:type="dxa"/>
            <w:vAlign w:val="center"/>
          </w:tcPr>
          <w:p w14:paraId="6114D51C">
            <w:pPr>
              <w:keepNext w:val="1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2702</w:t>
            </w:r>
          </w:p>
        </w:tc>
        <w:tc>
          <w:tcPr>
            <w:tcW w:w="1587" w:type="dxa"/>
            <w:vAlign w:val="center"/>
          </w:tcPr>
          <w:p w14:paraId="0F7E58E6">
            <w:pPr>
              <w:keepNext w:val="1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0.5824</w:t>
            </w:r>
          </w:p>
        </w:tc>
        <w:tc>
          <w:tcPr>
            <w:tcW w:w="1587" w:type="dxa"/>
            <w:vAlign w:val="center"/>
          </w:tcPr>
          <w:p w14:paraId="5A05ED94">
            <w:pPr>
              <w:keepNext w:val="1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0.5074</w:t>
            </w:r>
          </w:p>
        </w:tc>
        <w:tc>
          <w:tcPr>
            <w:tcW w:w="1531" w:type="dxa"/>
            <w:vAlign w:val="center"/>
          </w:tcPr>
          <w:p w14:paraId="0287E8F0">
            <w:pPr>
              <w:keepNext w:val="1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0.5423</w:t>
            </w:r>
          </w:p>
        </w:tc>
      </w:tr>
      <w:tr w14:paraId="270DE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345A287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Not Entailment</w:t>
            </w:r>
          </w:p>
        </w:tc>
        <w:tc>
          <w:tcPr>
            <w:tcW w:w="964" w:type="dxa"/>
            <w:vAlign w:val="center"/>
          </w:tcPr>
          <w:p w14:paraId="30AA8A2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2761</w:t>
            </w:r>
          </w:p>
        </w:tc>
        <w:tc>
          <w:tcPr>
            <w:tcW w:w="1587" w:type="dxa"/>
            <w:vAlign w:val="center"/>
          </w:tcPr>
          <w:p w14:paraId="633CCB2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0.5719</w:t>
            </w:r>
          </w:p>
        </w:tc>
        <w:tc>
          <w:tcPr>
            <w:tcW w:w="1587" w:type="dxa"/>
            <w:vAlign w:val="center"/>
          </w:tcPr>
          <w:p w14:paraId="6F3702B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0.6440</w:t>
            </w:r>
          </w:p>
        </w:tc>
        <w:tc>
          <w:tcPr>
            <w:tcW w:w="1531" w:type="dxa"/>
            <w:vAlign w:val="center"/>
          </w:tcPr>
          <w:p w14:paraId="2D37279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0.6058</w:t>
            </w:r>
          </w:p>
        </w:tc>
      </w:tr>
    </w:tbl>
    <w:p w14:paraId="204FABEC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适配模型在 QNLI 数据上重新拟合 TF-IDF 词表和逻辑回归，验证集选择 unigram+bigram、无类别权重。目标训练样本恰好每类 6,000 条，balanced 权重相同，因此其与无权重配置得到相同验证结果并不意外。最终 Macro-F1 为 0.5741，比固定标签投影提高 0.2377，表明目标场景监督与词表重建对本设置有明显作用。</w:t>
      </w:r>
    </w:p>
    <w:p w14:paraId="769CE2D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 xml:space="preserve">表13所示的适配模型仍有较多错误：2,702 个包含答案样本中，1,331 个被判为不包含；2,761 个不包含答案样本中，983 个被判为包含。TF-IDF 拼接没有显式构造问题词与候选句之间的对齐关系，仍可能依赖主题词或局部短语，不能视为充分解决了答案包含判断。</w:t>
      </w:r>
    </w:p>
    <w:p w14:paraId="3848EDB0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4.5 迁移边界与结论的适用范围</w:t>
      </w:r>
    </w:p>
    <w:p w14:paraId="19B69A53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 xml:space="preserve">研究问题二可以分成三个层次回答。字段适配、文本拼接、训练管线和预测输出实现了复用；分类器输出经过固定概率投影虽可运行，但本次表现接近常数策略；使用目标任务标注重新训练后，结果才明显改善。统一接口降低了迁移的实现成本，却没有消除领域分布与监督语义之间的差异。</w:t>
      </w:r>
    </w:p>
    <w:p w14:paraId="64A46230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本实验未进行目标领域预训练，也没有通过目标评估集选择投影阈值。12,000 条是本次目标训练子集，不是 QNLI 完整训练集。QEvasion 的三分类 Macro-F1 与 QNLI 的二分类 Macro-F1 不应直接相减来说明任务难度，真正具有对照意义的是表12中同一目标评估集上的比较。</w:t>
      </w:r>
    </w:p>
    <w:p w14:paraId="1A7B384E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4.6 标签层级扩展结果</w:t>
      </w:r>
    </w:p>
    <w:p w14:paraId="7AD49F15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表14 训练集层级映射审计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5839"/>
        <w:gridCol w:w="3231"/>
      </w:tblGrid>
      <w:tr w14:paraId="069C81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5839" w:type="dxa"/>
            <w:vAlign w:val="center"/>
          </w:tcPr>
          <w:p w14:paraId="0A4C4EE3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3231" w:type="dxa"/>
            <w:vAlign w:val="center"/>
          </w:tcPr>
          <w:p w14:paraId="1AD100B2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数量或结果</w:t>
            </w:r>
          </w:p>
        </w:tc>
      </w:tr>
      <w:tr w14:paraId="2ACCEE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0036F864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非空且合法的细粒度标签</w:t>
            </w:r>
          </w:p>
        </w:tc>
        <w:tc>
          <w:tcPr>
            <w:tcW w:w="3231" w:type="dxa"/>
            <w:vAlign w:val="center"/>
          </w:tcPr>
          <w:p w14:paraId="7623F2A6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3,448 / 3,448</w:t>
            </w:r>
          </w:p>
        </w:tc>
      </w:tr>
      <w:tr w14:paraId="20026F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682DE81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正确映射后的粗细一致率</w:t>
            </w:r>
          </w:p>
        </w:tc>
        <w:tc>
          <w:tcPr>
            <w:tcW w:w="3231" w:type="dxa"/>
            <w:vAlign w:val="center"/>
          </w:tcPr>
          <w:p w14:paraId="793B445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100.00%</w:t>
            </w:r>
          </w:p>
        </w:tc>
      </w:tr>
      <w:tr w14:paraId="28040B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5E655C7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误把 Implicit 映射到 Clear Reply 时的一致率</w:t>
            </w:r>
          </w:p>
        </w:tc>
        <w:tc>
          <w:tcPr>
            <w:tcW w:w="3231" w:type="dxa"/>
            <w:vAlign w:val="center"/>
          </w:tcPr>
          <w:p w14:paraId="5A2E4C1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85.85%</w:t>
            </w:r>
          </w:p>
        </w:tc>
      </w:tr>
      <w:tr w14:paraId="13CC94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2293157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该错误映射涉及的 Implicit 样本</w:t>
            </w:r>
          </w:p>
        </w:tc>
        <w:tc>
          <w:tcPr>
            <w:tcW w:w="3231" w:type="dxa"/>
            <w:vAlign w:val="center"/>
          </w:tcPr>
          <w:p w14:paraId="5752E15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488 条</w:t>
            </w:r>
          </w:p>
        </w:tc>
      </w:tr>
      <w:tr w14:paraId="4782D4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522645B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官方测试集可用细标签数量</w:t>
            </w:r>
          </w:p>
        </w:tc>
        <w:tc>
          <w:tcPr>
            <w:tcW w:w="3231" w:type="dxa"/>
            <w:vAlign w:val="center"/>
          </w:tcPr>
          <w:p w14:paraId="153D684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 / 308</w:t>
            </w:r>
          </w:p>
        </w:tc>
      </w:tr>
    </w:tbl>
    <w:p w14:paraId="34693480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表14的数据审计结果：3,448 条训练样本均有合法细标签，固定映射与粗标签一致率为 100.00%，只描述已有标注关系的自洽性。Implicit 的 488 条均属 Ambivalent；若误归 Clear Reply，一致率降至 85.85%（2,960/3,448）。该检查能发现实现中的映射错误，但不能证明人工标注没有歧义，也不是模型预测准确率。</w:t>
      </w:r>
    </w:p>
    <w:p w14:paraId="3AD78C05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表15 相同冻结表示下的层级对照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551"/>
        <w:gridCol w:w="3912"/>
        <w:gridCol w:w="1304"/>
        <w:gridCol w:w="1304"/>
      </w:tblGrid>
      <w:tr w14:paraId="730A3F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2551" w:type="dxa"/>
            <w:vAlign w:val="center"/>
          </w:tcPr>
          <w:p w14:paraId="3762D868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评估集</w:t>
            </w:r>
          </w:p>
        </w:tc>
        <w:tc>
          <w:tcPr>
            <w:tcW w:w="3912" w:type="dxa"/>
            <w:vAlign w:val="center"/>
          </w:tcPr>
          <w:p w14:paraId="2856F86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学习目标与决策</w:t>
            </w:r>
          </w:p>
        </w:tc>
        <w:tc>
          <w:tcPr>
            <w:tcW w:w="1304" w:type="dxa"/>
            <w:vAlign w:val="center"/>
          </w:tcPr>
          <w:p w14:paraId="024A9180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Accuracy</w:t>
            </w:r>
          </w:p>
        </w:tc>
        <w:tc>
          <w:tcPr>
            <w:tcW w:w="1304" w:type="dxa"/>
            <w:vAlign w:val="center"/>
          </w:tcPr>
          <w:p w14:paraId="0A9C221F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Macro-F1</w:t>
            </w:r>
          </w:p>
        </w:tc>
      </w:tr>
      <w:tr w14:paraId="7838EE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145B6871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分组留出 266 条</w:t>
            </w:r>
          </w:p>
        </w:tc>
        <w:tc>
          <w:tcPr>
            <w:tcW w:w="3912" w:type="dxa"/>
            <w:vAlign w:val="center"/>
          </w:tcPr>
          <w:p w14:paraId="6D284451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直接三分类</w:t>
            </w:r>
          </w:p>
        </w:tc>
        <w:tc>
          <w:tcPr>
            <w:tcW w:w="1304" w:type="dxa"/>
            <w:vAlign w:val="center"/>
          </w:tcPr>
          <w:p w14:paraId="42C28438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0.5602</w:t>
            </w:r>
          </w:p>
        </w:tc>
        <w:tc>
          <w:tcPr>
            <w:tcW w:w="1304" w:type="dxa"/>
            <w:vAlign w:val="center"/>
          </w:tcPr>
          <w:p w14:paraId="3C6C3000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0.4814</w:t>
            </w:r>
          </w:p>
        </w:tc>
      </w:tr>
      <w:tr w14:paraId="52931F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242BA00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分组留出 266 条</w:t>
            </w:r>
          </w:p>
        </w:tc>
        <w:tc>
          <w:tcPr>
            <w:tcW w:w="3912" w:type="dxa"/>
            <w:vAlign w:val="center"/>
          </w:tcPr>
          <w:p w14:paraId="42AC6BE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九分类概率汇总为三分类</w:t>
            </w:r>
          </w:p>
        </w:tc>
        <w:tc>
          <w:tcPr>
            <w:tcW w:w="1304" w:type="dxa"/>
            <w:vAlign w:val="center"/>
          </w:tcPr>
          <w:p w14:paraId="00BF14E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0.6015</w:t>
            </w:r>
          </w:p>
        </w:tc>
        <w:tc>
          <w:tcPr>
            <w:tcW w:w="1304" w:type="dxa"/>
            <w:vAlign w:val="center"/>
          </w:tcPr>
          <w:p w14:paraId="4C07D8B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0.3167</w:t>
            </w:r>
          </w:p>
        </w:tc>
      </w:tr>
      <w:tr w14:paraId="1D2369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7D576E7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官方测试 308 条</w:t>
            </w:r>
          </w:p>
        </w:tc>
        <w:tc>
          <w:tcPr>
            <w:tcW w:w="3912" w:type="dxa"/>
            <w:vAlign w:val="center"/>
          </w:tcPr>
          <w:p w14:paraId="60E5AEE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直接三分类（全量重训）</w:t>
            </w:r>
          </w:p>
        </w:tc>
        <w:tc>
          <w:tcPr>
            <w:tcW w:w="1304" w:type="dxa"/>
            <w:vAlign w:val="center"/>
          </w:tcPr>
          <w:p w14:paraId="551AF69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0.5812</w:t>
            </w:r>
          </w:p>
        </w:tc>
        <w:tc>
          <w:tcPr>
            <w:tcW w:w="1304" w:type="dxa"/>
            <w:vAlign w:val="center"/>
          </w:tcPr>
          <w:p w14:paraId="6DFE97E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0.4855</w:t>
            </w:r>
          </w:p>
        </w:tc>
      </w:tr>
      <w:tr w14:paraId="24A4ED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00329EC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官方测试 308 条</w:t>
            </w:r>
          </w:p>
        </w:tc>
        <w:tc>
          <w:tcPr>
            <w:tcW w:w="3912" w:type="dxa"/>
            <w:vAlign w:val="center"/>
          </w:tcPr>
          <w:p w14:paraId="00E3AFC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九分类概率汇总（全量重训）</w:t>
            </w:r>
          </w:p>
        </w:tc>
        <w:tc>
          <w:tcPr>
            <w:tcW w:w="1304" w:type="dxa"/>
            <w:vAlign w:val="center"/>
          </w:tcPr>
          <w:p w14:paraId="1B25396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0.6526</w:t>
            </w:r>
          </w:p>
        </w:tc>
        <w:tc>
          <w:tcPr>
            <w:tcW w:w="1304" w:type="dxa"/>
            <w:vAlign w:val="center"/>
          </w:tcPr>
          <w:p w14:paraId="155CDD4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0.3504</w:t>
            </w:r>
          </w:p>
        </w:tc>
      </w:tr>
    </w:tbl>
    <w:p w14:paraId="53548E5F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表15中，原 balanced 九分类求和设置没有优于直接三分类：官方测试 Accuracy 增加 0.0714，Macro-F1 下降 0.1351。308 条中有 284 条被判为 Ambivalent、24 条为 Non-Reply，Clear Reply 预测数为 0；三类 F1 为 0/0.7959/0.2553。因此更高准确率来自偏重多数类，不能视作检测能力全面改善。</w:t>
      </w:r>
    </w:p>
    <w:p w14:paraId="4C501F2D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原九分类在 title 留出上的 Accuracy/Macro-F1 为 0.2180/0.2053，Claims ignorance 与 Clarification 分别只有 3/4 条支持数，细类估计较不稳定。权重与汇总敏感性对照见表16，用于分离具体训练/决策设置的影响；其结果不能直接证明某个单一因素的因果。</w:t>
      </w:r>
    </w:p>
    <w:p w14:paraId="027366A3">
      <w:pPr>
        <w:pStyle w:val="14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表16 固定表示与配置下的后验敏感性对照</w:t>
      </w:r>
    </w:p>
    <w:tbl>
      <w:tblPr>
        <w:tblStyle w:val="5"/>
        <w:tblW w:w="0" w:type="auto"/>
        <w:tblInd w:w="0" w:type="dxa"/>
        <w:tblBorders>
          <w:top w:val="single" w:color="9AA5B1" w:sz="4" w:space="0"/>
          <w:left w:val="single" w:color="9AA5B1" w:sz="4" w:space="0"/>
          <w:bottom w:val="single" w:color="9AA5B1" w:sz="4" w:space="0"/>
          <w:right w:val="single" w:color="9AA5B1" w:sz="4" w:space="0"/>
          <w:insideH w:val="single" w:color="9AA5B1" w:sz="4" w:space="0"/>
          <w:insideV w:val="single" w:color="9AA5B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76"/>
        <w:gridCol w:w="1728"/>
        <w:gridCol w:w="1728"/>
      </w:tblGrid>
      <w:tr w14:paraId="3EB06A38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176" w:type="dxa"/>
            <w:shd w:val="clear" w:color="auto" w:fill="F2F2F2"/>
            <w:vAlign w:val="center"/>
          </w:tcPr>
          <w:p w14:paraId="126C45EA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训练与决策设置</w:t>
            </w:r>
          </w:p>
        </w:tc>
        <w:tc>
          <w:tcPr>
            <w:tcW w:w="1728" w:type="dxa"/>
            <w:shd w:val="clear" w:color="auto" w:fill="F2F2F2"/>
            <w:vAlign w:val="center"/>
          </w:tcPr>
          <w:p w14:paraId="115D96B9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title留出 F1</w:t>
            </w:r>
          </w:p>
        </w:tc>
        <w:tc>
          <w:tcPr>
            <w:tcW w:w="1728" w:type="dxa"/>
            <w:shd w:val="clear" w:color="auto" w:fill="F2F2F2"/>
            <w:vAlign w:val="center"/>
          </w:tcPr>
          <w:p w14:paraId="5494EEC0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URL留出 F1</w:t>
            </w:r>
          </w:p>
        </w:tc>
      </w:tr>
      <w:tr w14:paraId="088C1C6F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76" w:type="dxa"/>
            <w:shd w:val="clear" w:color="auto" w:fill="FFFFFF"/>
            <w:vAlign w:val="center"/>
          </w:tcPr>
          <w:p w14:paraId="7B5734E1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直接三分类 balanced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5458A98B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0.4814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15D90C07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0.4792</w:t>
            </w:r>
          </w:p>
        </w:tc>
      </w:tr>
      <w:tr w14:paraId="46178161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76" w:type="dxa"/>
            <w:shd w:val="clear" w:color="auto" w:fill="FFFFFF"/>
            <w:vAlign w:val="center"/>
          </w:tcPr>
          <w:p w14:paraId="54034B1C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九分类 balanced＋求和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3F47F459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0.3167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0EBD7862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0.3396</w:t>
            </w:r>
          </w:p>
        </w:tc>
      </w:tr>
      <w:tr w14:paraId="587FC26E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76" w:type="dxa"/>
            <w:shd w:val="clear" w:color="auto" w:fill="FFFFFF"/>
            <w:vAlign w:val="center"/>
          </w:tcPr>
          <w:p w14:paraId="400DDC1D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九分类 balanced＋子类均值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609CD4DE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0.4394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2C0F08DB">
            <w:pPr>
              <w:keepNext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0.4713</w:t>
            </w:r>
          </w:p>
        </w:tc>
      </w:tr>
      <w:tr w14:paraId="1ABC6FB9">
        <w:tblPrEx>
          <w:tblBorders>
            <w:top w:val="single" w:color="9AA5B1" w:sz="4" w:space="0"/>
            <w:left w:val="single" w:color="9AA5B1" w:sz="4" w:space="0"/>
            <w:bottom w:val="single" w:color="9AA5B1" w:sz="4" w:space="0"/>
            <w:right w:val="single" w:color="9AA5B1" w:sz="4" w:space="0"/>
            <w:insideH w:val="single" w:color="9AA5B1" w:sz="4" w:space="0"/>
            <w:insideV w:val="single" w:color="9AA5B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176" w:type="dxa"/>
            <w:shd w:val="clear" w:color="auto" w:fill="FFFFFF"/>
            <w:vAlign w:val="center"/>
          </w:tcPr>
          <w:p w14:paraId="04EF8471">
            <w:pPr>
              <w:keepNext w:val="0"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九分类无权重＋求和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1661FD27">
            <w:pPr>
              <w:keepNext w:val="0"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0.3349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5E0527F9">
            <w:pPr>
              <w:keepNext w:val="0"/>
              <w:keepLines/>
              <w:spacing w:before="60" w:after="60" w:line="252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0.3475</w:t>
            </w:r>
          </w:p>
        </w:tc>
      </w:tr>
    </w:tbl>
    <w:p w14:paraId="7E928595"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后验敏感性对照固定缓存表示、C=0.1 和种子 42。原 title 留出为 3,182/266 条（140/35 个标题组），两侧 URL 也无交集；新增 URL 留出为 2,785/663 条（229/58 个来源），URL 交集为 0。按子类数 1/5/3 求均值缓解了原偏向，但两种留出上的 Macro-F1 仍低于直接三分类。细类互斥概率求和是合法边缘化；子类均值只是启发式决策分数，不能称为已校准概率。这些分析在既有测试结果可见后补做，用于解释敏感性，不用于重新选择主模型。</w:t>
      </w:r>
    </w:p>
    <w:p w14:paraId="66E86878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研究问题三的答案是：标签层级可用于数据审计，但原冻结 MiniLM＋balanced LR＋概率求和组合没有带来主指标收益。启发式子类均值在两种分组留出上均明显缓解退化，仍未超过直接三分类；结论限于这些固定设置，不否定其他层级、多任务或联合编码方法。</w:t>
      </w:r>
    </w:p>
    <w:p w14:paraId="70EA627B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4.7 五个真实误判样本</w:t>
      </w:r>
    </w:p>
    <w:p w14:paraId="75EC7BF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以下案例均来自原 MiniLM 三分类模型的 predictions_st_lr.csv，保留可定位的 id。引号内是原文片段，其余为中文概述；分析解释可见问题与回答之间的关系，不把人工观察当作新的细粒度金标准。</w:t>
      </w:r>
    </w:p>
    <w:p w14:paraId="6D5DE627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案例1  id=154  Clear Reply → Clear Non-Reply</w:t>
      </w:r>
    </w:p>
    <w:p w14:paraId="682F017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问题为“Can we go back to North Korea, Mr. President?”，回答为“Please.”。提问是在请求转换话题，回答已表示允许，模型却预测为明确不答。短回答的有效性取决于问题的言语功能，不能用词数少或缺少事实陈述判断其没有回应。</w:t>
      </w:r>
    </w:p>
    <w:p w14:paraId="19A03104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案例2  id=307  Clear Reply → Ambivalent Reply</w:t>
      </w:r>
    </w:p>
    <w:p w14:paraId="6A8B5D1F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问题询问为什么不应把美国对朝政策视为失败，回答为“Because it takes time to get things done.”。人工粗标签为明确回答，因为它提供了理由；模型将概括性的理由判为模糊回答。该错误体现出理由是否充分与是否给出回应之间的边界，不能把“不令人信服”直接等同于“没有回答”。</w:t>
      </w:r>
    </w:p>
    <w:p w14:paraId="20D56EBA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案例3  id=132  Ambivalent Reply → Clear Reply</w:t>
      </w:r>
    </w:p>
    <w:p w14:paraId="3A758A43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问题询问外交手段和期限用尽后的军事选择，回答强调“Well, diplomacy hasn’t run its course”，随后继续谈外交机会。回答高度相关，却没有说明假设条件成立后的军事方案。模型可能把主题相关和肯定措辞当成了回应；关键缺口是条件情景与回答内容没有对齐。</w:t>
      </w:r>
    </w:p>
    <w:p w14:paraId="2EB2785A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案例4  id=237  Clear Non-Reply → Ambivalent Reply</w:t>
      </w:r>
    </w:p>
    <w:p w14:paraId="00303204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问题询问伊拉克与当前话题的联系，原答为“What did have to do with what?”，粗标签为 Clear Non-Reply，模型判为 Ambivalent。该短句可能是澄清式回应，也可能含转写或上下文缺失，不能据此断言一个测试集未提供的细标签。可确认的是它没有提供所需信息，模型混淆了两类边界。</w:t>
      </w:r>
    </w:p>
    <w:p w14:paraId="63077C06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案例5  id=240  Clear Non-Reply → Ambivalent Reply</w:t>
      </w:r>
    </w:p>
    <w:p w14:paraId="6D76E067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问题涉及美联储降息是否足以避免衰退，回答开头为“I do not comment on the decisions made by the Fed”，随后转向主席评价、财政政策和税收。显式拒绝评论是判断核心，后续背景没有改变这一点。模型可能被政策内容稀释了拒答线索，提示可进一步检验分句级定位或问题相关证据抽取。</w:t>
      </w:r>
    </w:p>
    <w:p w14:paraId="11014C65">
      <w:pPr>
        <w:pStyle w:val="13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4.8 综合结论</w:t>
      </w:r>
    </w:p>
    <w:p w14:paraId="1288527A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三个问题共同表明，当前数据上冻结表示带来可观察但未确认稳定的总体增量，少数类未同步改善；统一接口可复用于 QNLI，而源分类器的固定语义投影接近常数基线。标签层级审计与模型收益必须分开，具体聚合设置的负结果不能外推为普遍结论。官方划分存在 URL 来源重合，行级内部验证也存在共享回答；新增 URL 隔离检查有助于界定结果，但单次划分仍非跨来源充分验证。后续应优先采用按来源的多次训练/验证、联合句对建模及独立校准。</w:t>
      </w:r>
    </w:p>
    <w:p w14:paraId="730932BD">
      <w:pPr>
        <w:pStyle w:val="12"/>
        <w:keepNext/>
        <w:spacing w:before="200" w:after="100" w:line="312" w:lineRule="auto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五 代码与结果（GitHub）</w:t>
      </w:r>
    </w:p>
    <w:p w14:paraId="0283F488">
      <w:pPr>
        <w:pStyle w:val="10"/>
        <w:widowControl/>
        <w:spacing w:before="0" w:after="100" w:line="312" w:lineRule="auto"/>
        <w:ind w:firstLine="480"/>
        <w:rPr>
          <w:rFonts w:hint="eastAsia" w:ascii="Times New Roman" w:hAnsi="Times New Roman" w:eastAsia="楷体" w:cs="Times New Roman"/>
          <w:b w:val="0"/>
          <w:color w:val="000000"/>
          <w:sz w:val="24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GitHub 仓库：</w:t>
      </w:r>
      <w:r>
        <w:fldChar w:fldCharType="begin"/>
      </w:r>
      <w:r>
        <w:instrText xml:space="preserve"> HYPERLINK "https://github.com/huangyuke914235/NLP-" \h </w:instrText>
      </w:r>
      <w:r>
        <w:fldChar w:fldCharType="separate"/>
      </w:r>
      <w:r>
        <w:rPr>
          <w:color w:val="0563C1"/>
        </w:rPr>
        <w:t>https://github.com/huangyuke914235/NLP-</w:t>
      </w:r>
      <w:r>
        <w:rPr>
          <w:color w:val="0563C1"/>
        </w:rPr>
        <w:fldChar w:fldCharType="end"/>
      </w:r>
    </w:p>
    <w:p w14:paraId="307E6C7E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 xml:space="preserve">仓库包含原始数据、本地第三方依赖与安装清单、01—10 实验、复核与环境检查入口、配置、图表、指标及预测。表17定位各项结果，正文保留四位小数，原输出保留完整精度。模型指标与补充审计分别保存，复现日志区分最终结果一致与概率或未选参数的小数差异。</w:t>
      </w:r>
    </w:p>
    <w:p w14:paraId="056BBF53">
      <w:pPr>
        <w:pStyle w:val="14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表17 代码与结果对应关系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061"/>
        <w:gridCol w:w="6009"/>
      </w:tblGrid>
      <w:tr w14:paraId="05A47E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tblHeader/>
          <w:jc w:val="center"/>
        </w:trPr>
        <w:tc>
          <w:tcPr>
            <w:tcW w:w="3061" w:type="dxa"/>
            <w:vAlign w:val="center"/>
          </w:tcPr>
          <w:p w14:paraId="4745CC4D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代码入口</w:t>
            </w:r>
          </w:p>
        </w:tc>
        <w:tc>
          <w:tcPr>
            <w:tcW w:w="6009" w:type="dxa"/>
            <w:vAlign w:val="center"/>
          </w:tcPr>
          <w:p w14:paraId="653C494C">
            <w:pPr>
              <w:keepNext/>
              <w:keepLines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主要结果文件或作用</w:t>
            </w:r>
          </w:p>
        </w:tc>
      </w:tr>
      <w:tr w14:paraId="5BDFEE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35DF3647">
            <w:pPr>
              <w:keepNext w:val="0"/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01_eda.py</w:t>
            </w:r>
          </w:p>
        </w:tc>
        <w:tc>
          <w:tcPr>
            <w:tcW w:w="6009" w:type="dxa"/>
            <w:vAlign w:val="center"/>
          </w:tcPr>
          <w:p w14:paraId="76C92C2F">
            <w:pPr>
              <w:keepNext w:val="0"/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outputs/eda_stats.json；标签与长度图</w:t>
            </w:r>
          </w:p>
        </w:tc>
      </w:tr>
      <w:tr w14:paraId="74AA9E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3025C32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02_baselines.py</w:t>
            </w:r>
          </w:p>
        </w:tc>
        <w:tc>
          <w:tcPr>
            <w:tcW w:w="6009" w:type="dxa"/>
            <w:vAlign w:val="center"/>
          </w:tcPr>
          <w:p w14:paraId="0AAFDAC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outputs/metrics_baselines.json；TF-IDF 预测</w:t>
            </w:r>
          </w:p>
        </w:tc>
      </w:tr>
      <w:tr w14:paraId="372F47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3121416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03_plm_lr.py</w:t>
            </w:r>
          </w:p>
        </w:tc>
        <w:tc>
          <w:tcPr>
            <w:tcW w:w="6009" w:type="dxa"/>
            <w:vAlign w:val="center"/>
          </w:tcPr>
          <w:p w14:paraId="20C794C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outputs/metrics_st_lr.json；st_embeddings.npz</w:t>
            </w:r>
          </w:p>
        </w:tc>
      </w:tr>
      <w:tr w14:paraId="73B942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0B94E75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04_transfer_qnli.py</w:t>
            </w:r>
          </w:p>
        </w:tc>
        <w:tc>
          <w:tcPr>
            <w:tcW w:w="6009" w:type="dxa"/>
            <w:vAlign w:val="center"/>
          </w:tcPr>
          <w:p w14:paraId="0D3D8F8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outputs/metrics_qnli_tfidf_lr.json；QNLI 预测</w:t>
            </w:r>
          </w:p>
        </w:tc>
      </w:tr>
      <w:tr w14:paraId="292F08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4E59C9A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05_hierarchy.py</w:t>
            </w:r>
          </w:p>
        </w:tc>
        <w:tc>
          <w:tcPr>
            <w:tcW w:w="6009" w:type="dxa"/>
            <w:vAlign w:val="center"/>
          </w:tcPr>
          <w:p w14:paraId="6EA3716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outputs/hierarchy/metrics_hierarchy.json；留出与测试预测</w:t>
            </w:r>
          </w:p>
        </w:tc>
      </w:tr>
      <w:tr w14:paraId="1B971A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0D0D883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06_direct_transfer.py</w:t>
            </w:r>
          </w:p>
        </w:tc>
        <w:tc>
          <w:tcPr>
            <w:tcW w:w="6009" w:type="dxa"/>
            <w:vAlign w:val="center"/>
          </w:tcPr>
          <w:p w14:paraId="281FDC0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outputs/hierarchy/metrics_direct_transfer.json；源域直接迁移预测</w:t>
            </w:r>
          </w:p>
        </w:tc>
      </w:tr>
      <w:tr w14:paraId="790A96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</w:trPr>
        <w:tc>
          <w:tcPr>
            <w:tcW w:w="3061" w:type="dxa"/>
          </w:tcPr>
          <w:p w14:paraId="0C3300BA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07_hierarchy_sensitivity.py</w:t>
            </w:r>
          </w:p>
        </w:tc>
        <w:tc>
          <w:tcPr>
            <w:tcW w:w="6009" w:type="dxa"/>
          </w:tcPr>
          <w:p w14:paraId="530BE9E7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outputs/hierarchy/metrics_sensitivity.json；title留出决策敏感性</w:t>
            </w:r>
          </w:p>
        </w:tc>
      </w:tr>
      <w:tr w14:paraId="62E9F7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</w:trPr>
        <w:tc>
          <w:tcPr>
            <w:tcW w:w="3061" w:type="dxa"/>
          </w:tcPr>
          <w:p w14:paraId="564ED5FD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08_bootstrap_uncertainty.py</w:t>
            </w:r>
          </w:p>
        </w:tc>
        <w:tc>
          <w:tcPr>
            <w:tcW w:w="6009" w:type="dxa"/>
          </w:tcPr>
          <w:p w14:paraId="5ACBFE60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outputs/metrics_uncertainty.json；样本/回答簇配对区间</w:t>
            </w:r>
          </w:p>
        </w:tc>
      </w:tr>
      <w:tr w14:paraId="3360AA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</w:trPr>
        <w:tc>
          <w:tcPr>
            <w:tcW w:w="3061" w:type="dxa"/>
          </w:tcPr>
          <w:p w14:paraId="0D3F8223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09_review_validation.py</w:t>
            </w:r>
          </w:p>
        </w:tc>
        <w:tc>
          <w:tcPr>
            <w:tcW w:w="6009" w:type="dxa"/>
          </w:tcPr>
          <w:p w14:paraId="54FD13ED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outputs/review/review_validation.json；来源审计、URL留出与URL簇区间</w:t>
            </w:r>
          </w:p>
        </w:tc>
      </w:tr>
      <w:tr w14:paraId="253034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</w:trPr>
        <w:tc>
          <w:tcPr>
            <w:tcW w:w="3061" w:type="dxa"/>
          </w:tcPr>
          <w:p w14:paraId="7B87A1AD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10_check_environment.py</w:t>
            </w:r>
          </w:p>
        </w:tc>
        <w:tc>
          <w:tcPr>
            <w:tcW w:w="6009" w:type="dxa"/>
          </w:tcPr>
          <w:p w14:paraId="23716066"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outputs/environment_verified.json；离线模型/依赖预检</w:t>
            </w:r>
          </w:p>
        </w:tc>
      </w:tr>
    </w:tbl>
    <w:p w14:paraId="71EB7CE1">
      <w:pPr>
        <w:pStyle w:val="10"/>
        <w:widowControl/>
        <w:spacing w:before="0" w:after="80" w:line="312" w:lineRule="auto"/>
        <w:ind w:firstLine="48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2026年10月18日，在隔离目录中新开 Python 进程，顺序运行 01—06，均正常结束；各进程实测总耗时为 3.84、17.02、44.04、9.79、5.15、7.19 秒（含启动与导入）。03 在 CPU 上重新编码 7,512 段文本，编码日志为 28.9 秒；四个缓存数组与原数组逐元素相同。全部最终硬预测、主要评估指标和混淆矩阵复现一致；未选中的 C=10 验证 Macro-F1 从 0.5468 变为 0.5407，部分概率小数也有差异，因此一致性结论以最终预测和主指标为准。 复现使用 Windows、Python 3.13.15 与 Anaconda pytorch，模型在 CPU 上运行。本次验证的模型包为 sentence-transformers 5.1.1、transformers 4.57.1、tokenizers 0.22.1；模型修订号、包版本和来源均保存在环境记录中。这是本次复现环境，而非原运行的完整版本锁定记录。日志、进程编号和逐文件比较见 outputs/review/replay_evidence；CPU 环境即可执行本实验。</w:t>
      </w:r>
    </w:p>
    <w:p w14:paraId="56175973">
      <w:pPr>
        <w:pStyle w:val="12"/>
        <w:keepNext/>
        <w:pageBreakBefore w:val="0"/>
        <w:spacing w:before="200" w:after="100" w:line="312" w:lineRule="auto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六 参考文献</w:t>
      </w:r>
    </w:p>
    <w:p w14:paraId="1279ADEC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[1] THOMAS K, FILANDRIANOS G, LYMPERAIOU M, et al. “I Never Said That”: A dataset, taxonomy and baselines on response clarity classification[C]//Findings of the Association for Computational Linguistics: EMNLP 2024. 2024: 5204–5233. https://aclanthology.org/2024.findings-emnlp.300/.</w:t>
      </w:r>
    </w:p>
    <w:p w14:paraId="059628E9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[2] AILSNTUA. QEvasion dataset[DB/OL]. Hugging Face. [2026-10-18]. https://huggingface.co/datasets/ailsntua/QEvasion.</w:t>
      </w:r>
    </w:p>
    <w:p w14:paraId="2A0D8A3F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[3] REIMERS N, GUREVYCH I. Sentence-BERT: Sentence Embeddings using Siamese BERT-Networks[C]//EMNLP-IJCNLP 2019. 2019: 3982–3992. https://aclanthology.org/D19-1410/.</w:t>
      </w:r>
    </w:p>
    <w:p w14:paraId="5C81B9A9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[4] WANG L, YANG N, HUANG X, et al. Improving Text Embeddings with Large Language Models[C]//ACL 2024, Volume 1: Long Papers. 2024: 11897–11916. https://aclanthology.org/2024.acl-long.642/.</w:t>
      </w:r>
    </w:p>
    <w:p w14:paraId="29D6A5A4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[5] WANG A, SINGH A, MICHAEL J, et al. GLUE: A Multi-Task Benchmark and Analysis Platform for Natural Language Understanding[C]//BlackboxNLP 2018. 2018: 353–355. https://aclanthology.org/W18-5446/.</w:t>
      </w:r>
    </w:p>
    <w:p w14:paraId="1C025312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[6] SENTENCE-TRANSFORMERS. all-MiniLM-L6-v2 model card[EB/OL]. Hugging Face. [2026-10-18]. https://huggingface.co/sentence-transformers/all-MiniLM-L6-v2.</w:t>
      </w:r>
    </w:p>
    <w:p w14:paraId="1BF7E7E7"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[7] GLUE. QNLI official data files[DB/OL]. [2026-10-18]. https://dl.fbaipublicfiles.com/glue/data/QNLI.zip.</w:t>
      </w:r>
    </w:p>
    <w:p w14:paraId="7AFC6C64">
      <w:pPr>
        <w:spacing w:after="100" w:line="312" w:lineRule="auto"/>
      </w:pPr>
    </w:p>
    <w:sectPr>
      <w:footerReference r:id="rId3" w:type="default"/>
      <w:pgSz w:w="11906" w:h="16838"/>
      <w:pgMar w:top="794" w:right="1418" w:bottom="794" w:left="1418" w:header="794" w:footer="794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panose1 w:val="020B0604020202020204"/>
    <w:charset w:val="86"/>
    <w:family w:val="roman"/>
    <w:pitch w:val="default"/>
    <w:sig w:usb0="F7FFAEFF" w:usb1="F9DFFFFF" w:usb2="0000007F" w:usb3="00000000" w:csb0="203F01FF" w:csb1="DFFF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4770C">
    <w:pPr>
      <w:pStyle w:val="3"/>
      <w:jc w:val="center"/>
      <w:rPr>
        <w:rFonts w:hint="eastAsia"/>
        <w:sz w:val="21"/>
        <w:szCs w:val="21"/>
      </w:rPr>
    </w:pPr>
    <w:r>
      <w:rPr>
        <w:rFonts w:hint="eastAsia"/>
        <w:sz w:val="21"/>
        <w:szCs w:val="21"/>
      </w:rPr>
      <w:t>第</w:t>
    </w:r>
    <w:r>
      <w:rPr>
        <w:rStyle w:val="8"/>
        <w:sz w:val="21"/>
        <w:szCs w:val="21"/>
      </w:rPr>
      <w:fldChar w:fldCharType="begin"/>
    </w:r>
    <w:r>
      <w:rPr>
        <w:rStyle w:val="8"/>
        <w:sz w:val="21"/>
        <w:szCs w:val="21"/>
      </w:rPr>
      <w:instrText xml:space="preserve"> PAGE </w:instrText>
    </w:r>
    <w:r>
      <w:rPr>
        <w:rStyle w:val="8"/>
        <w:sz w:val="21"/>
        <w:szCs w:val="21"/>
      </w:rPr>
      <w:fldChar w:fldCharType="separate"/>
    </w:r>
    <w:r>
      <w:rPr>
        <w:rStyle w:val="8"/>
        <w:sz w:val="21"/>
        <w:szCs w:val="21"/>
        <w:lang w:val="en-US" w:eastAsia="zh-CN"/>
      </w:rPr>
      <w:t>1</w:t>
    </w:r>
    <w:r>
      <w:rPr>
        <w:rStyle w:val="8"/>
        <w:sz w:val="21"/>
        <w:szCs w:val="21"/>
      </w:rPr>
      <w:fldChar w:fldCharType="end"/>
    </w:r>
    <w:r>
      <w:rPr>
        <w:rFonts w:hint="eastAsia"/>
        <w:sz w:val="21"/>
        <w:szCs w:val="21"/>
      </w:rPr>
      <w:t>页  共</w:t>
    </w:r>
    <w:r>
      <w:rPr>
        <w:rStyle w:val="8"/>
        <w:sz w:val="21"/>
        <w:szCs w:val="21"/>
      </w:rPr>
      <w:fldChar w:fldCharType="begin"/>
    </w:r>
    <w:r>
      <w:rPr>
        <w:rStyle w:val="8"/>
        <w:sz w:val="21"/>
        <w:szCs w:val="21"/>
      </w:rPr>
      <w:instrText xml:space="preserve"> NUMPAGES </w:instrText>
    </w:r>
    <w:r>
      <w:rPr>
        <w:rStyle w:val="8"/>
        <w:sz w:val="21"/>
        <w:szCs w:val="21"/>
      </w:rPr>
      <w:fldChar w:fldCharType="separate"/>
    </w:r>
    <w:r>
      <w:rPr>
        <w:rStyle w:val="8"/>
        <w:sz w:val="21"/>
        <w:szCs w:val="21"/>
        <w:lang w:val="en-US" w:eastAsia="zh-CN"/>
      </w:rPr>
      <w:t>15</w:t>
    </w:r>
    <w:r>
      <w:rPr>
        <w:rStyle w:val="8"/>
        <w:sz w:val="21"/>
        <w:szCs w:val="21"/>
      </w:rPr>
      <w:fldChar w:fldCharType="end"/>
    </w:r>
    <w:r>
      <w:rPr>
        <w:rFonts w:hint="eastAsia"/>
        <w:sz w:val="21"/>
        <w:szCs w:val="21"/>
      </w:rPr>
      <w:t>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ZTZiMWNkMzNmYTEzODcwNmQ5MTk1ZTFmMjczMWYwZGIifQ=="/>
  </w:docVars>
  <w:rsids>
    <w:rsidRoot w:val="00BD2D65"/>
    <w:rsid w:val="000E0A9E"/>
    <w:rsid w:val="0013004F"/>
    <w:rsid w:val="001E0B7E"/>
    <w:rsid w:val="002036FB"/>
    <w:rsid w:val="00296FC8"/>
    <w:rsid w:val="002A112E"/>
    <w:rsid w:val="00324F57"/>
    <w:rsid w:val="00326D45"/>
    <w:rsid w:val="00351741"/>
    <w:rsid w:val="00541EF0"/>
    <w:rsid w:val="006114E2"/>
    <w:rsid w:val="00663530"/>
    <w:rsid w:val="006F76AA"/>
    <w:rsid w:val="00963E92"/>
    <w:rsid w:val="00B259DE"/>
    <w:rsid w:val="00BC5CB6"/>
    <w:rsid w:val="00BD0366"/>
    <w:rsid w:val="00BD2D65"/>
    <w:rsid w:val="00D42BE6"/>
    <w:rsid w:val="00DB34E7"/>
    <w:rsid w:val="00E602E6"/>
    <w:rsid w:val="00E71FF4"/>
    <w:rsid w:val="00F4498F"/>
    <w:rsid w:val="01093785"/>
    <w:rsid w:val="01706CC7"/>
    <w:rsid w:val="026D4207"/>
    <w:rsid w:val="02976F53"/>
    <w:rsid w:val="03370C3A"/>
    <w:rsid w:val="05721148"/>
    <w:rsid w:val="05B60D91"/>
    <w:rsid w:val="075B3074"/>
    <w:rsid w:val="079F4812"/>
    <w:rsid w:val="08805332"/>
    <w:rsid w:val="089470F2"/>
    <w:rsid w:val="08B80F70"/>
    <w:rsid w:val="09DB08B1"/>
    <w:rsid w:val="0AE6403B"/>
    <w:rsid w:val="0CA267B8"/>
    <w:rsid w:val="0CBC1B52"/>
    <w:rsid w:val="0D554FDF"/>
    <w:rsid w:val="0D621ACA"/>
    <w:rsid w:val="10072A05"/>
    <w:rsid w:val="10245AAD"/>
    <w:rsid w:val="112F484C"/>
    <w:rsid w:val="11E913EA"/>
    <w:rsid w:val="12CE35D7"/>
    <w:rsid w:val="147300B2"/>
    <w:rsid w:val="150368B2"/>
    <w:rsid w:val="1546246E"/>
    <w:rsid w:val="173F4CD3"/>
    <w:rsid w:val="18244A6D"/>
    <w:rsid w:val="190C5C9F"/>
    <w:rsid w:val="19F12685"/>
    <w:rsid w:val="1AA67583"/>
    <w:rsid w:val="1AAE7058"/>
    <w:rsid w:val="1C7F0573"/>
    <w:rsid w:val="1D4C28A3"/>
    <w:rsid w:val="1E8F18C1"/>
    <w:rsid w:val="1F047734"/>
    <w:rsid w:val="205D0733"/>
    <w:rsid w:val="21C0187B"/>
    <w:rsid w:val="22EF7B1E"/>
    <w:rsid w:val="23B87797"/>
    <w:rsid w:val="24D37D1E"/>
    <w:rsid w:val="255C47C4"/>
    <w:rsid w:val="2673237B"/>
    <w:rsid w:val="284C2C36"/>
    <w:rsid w:val="285152D8"/>
    <w:rsid w:val="28CF6BD5"/>
    <w:rsid w:val="28FB3998"/>
    <w:rsid w:val="29F95074"/>
    <w:rsid w:val="2E1178AA"/>
    <w:rsid w:val="2EEB3529"/>
    <w:rsid w:val="2F3C2E7D"/>
    <w:rsid w:val="2FFC00DB"/>
    <w:rsid w:val="30105DE9"/>
    <w:rsid w:val="30B577A3"/>
    <w:rsid w:val="312F2049"/>
    <w:rsid w:val="31BF0628"/>
    <w:rsid w:val="323B5CA2"/>
    <w:rsid w:val="32FD7793"/>
    <w:rsid w:val="3319549C"/>
    <w:rsid w:val="33BD4BBA"/>
    <w:rsid w:val="3436318C"/>
    <w:rsid w:val="34D81AD5"/>
    <w:rsid w:val="3651392F"/>
    <w:rsid w:val="37A24350"/>
    <w:rsid w:val="38894DEC"/>
    <w:rsid w:val="388B1E84"/>
    <w:rsid w:val="38C41CCF"/>
    <w:rsid w:val="390F05E8"/>
    <w:rsid w:val="392E2DE3"/>
    <w:rsid w:val="39865524"/>
    <w:rsid w:val="39E07108"/>
    <w:rsid w:val="39F96EC0"/>
    <w:rsid w:val="3ABC720F"/>
    <w:rsid w:val="3C623A2D"/>
    <w:rsid w:val="3C830972"/>
    <w:rsid w:val="3D8726E3"/>
    <w:rsid w:val="3DD33774"/>
    <w:rsid w:val="3E3C12D8"/>
    <w:rsid w:val="3E456B72"/>
    <w:rsid w:val="4038376D"/>
    <w:rsid w:val="42D113A5"/>
    <w:rsid w:val="435804F6"/>
    <w:rsid w:val="43675A36"/>
    <w:rsid w:val="43837B10"/>
    <w:rsid w:val="46C91614"/>
    <w:rsid w:val="474D063C"/>
    <w:rsid w:val="47E32A4F"/>
    <w:rsid w:val="47F66189"/>
    <w:rsid w:val="48F7250A"/>
    <w:rsid w:val="49436640"/>
    <w:rsid w:val="4A0330F2"/>
    <w:rsid w:val="4C5B415C"/>
    <w:rsid w:val="4D4345FC"/>
    <w:rsid w:val="4F6D0163"/>
    <w:rsid w:val="4F986314"/>
    <w:rsid w:val="513E3DF4"/>
    <w:rsid w:val="51894E10"/>
    <w:rsid w:val="53781FC8"/>
    <w:rsid w:val="5400487A"/>
    <w:rsid w:val="545D0273"/>
    <w:rsid w:val="555A6A7A"/>
    <w:rsid w:val="556568B5"/>
    <w:rsid w:val="556F2D08"/>
    <w:rsid w:val="58D5317F"/>
    <w:rsid w:val="58F2660F"/>
    <w:rsid w:val="594C6615"/>
    <w:rsid w:val="5A0F3B18"/>
    <w:rsid w:val="5A8738CB"/>
    <w:rsid w:val="5AA012C7"/>
    <w:rsid w:val="5B60597F"/>
    <w:rsid w:val="5CF73038"/>
    <w:rsid w:val="5D4B79AA"/>
    <w:rsid w:val="5D5A77C0"/>
    <w:rsid w:val="5DAD4246"/>
    <w:rsid w:val="5E36400C"/>
    <w:rsid w:val="5FA40029"/>
    <w:rsid w:val="60234A74"/>
    <w:rsid w:val="60646B56"/>
    <w:rsid w:val="61D01AC7"/>
    <w:rsid w:val="61F513E7"/>
    <w:rsid w:val="63EE26AC"/>
    <w:rsid w:val="659E6878"/>
    <w:rsid w:val="66E84D46"/>
    <w:rsid w:val="66F760B7"/>
    <w:rsid w:val="6A5967A9"/>
    <w:rsid w:val="6A5C3FC0"/>
    <w:rsid w:val="6B1F1D7D"/>
    <w:rsid w:val="6C6F76D7"/>
    <w:rsid w:val="6CEF6C0D"/>
    <w:rsid w:val="6CF84761"/>
    <w:rsid w:val="6D0F6747"/>
    <w:rsid w:val="6E435241"/>
    <w:rsid w:val="6E865D6E"/>
    <w:rsid w:val="6EE40E94"/>
    <w:rsid w:val="6F505638"/>
    <w:rsid w:val="71BB4C59"/>
    <w:rsid w:val="72295B7C"/>
    <w:rsid w:val="74200C24"/>
    <w:rsid w:val="75C33EB4"/>
    <w:rsid w:val="76CB48C6"/>
    <w:rsid w:val="798A2AE9"/>
    <w:rsid w:val="7A225E29"/>
    <w:rsid w:val="7E1D7C34"/>
    <w:rsid w:val="7E745D58"/>
    <w:rsid w:val="7F5A2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semiHidden/>
    <w:qFormat/>
    <w:uiPriority w:val="0"/>
    <w:rPr>
      <w:sz w:val="18"/>
      <w:szCs w:val="18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page number"/>
    <w:basedOn w:val="7"/>
    <w:qFormat/>
    <w:uiPriority w:val="0"/>
  </w:style>
  <w:style w:type="character" w:styleId="9">
    <w:name w:val="Hyperlink"/>
    <w:basedOn w:val="7"/>
    <w:uiPriority w:val="0"/>
    <w:rPr>
      <w:color w:val="0000FF"/>
      <w:u w:val="single"/>
    </w:rPr>
  </w:style>
  <w:style w:type="paragraph" w:customStyle="1" w:styleId="10">
    <w:name w:val="正文 A"/>
    <w:qFormat/>
    <w:uiPriority w:val="0"/>
    <w:pPr>
      <w:widowControl w:val="0"/>
      <w:jc w:val="both"/>
    </w:pPr>
    <w:rPr>
      <w:rFonts w:hint="eastAsia" w:ascii="Arial Unicode MS" w:hAnsi="Arial Unicode MS" w:eastAsia="Times New Roman" w:cs="Arial Unicode MS"/>
      <w:color w:val="000000"/>
      <w:kern w:val="2"/>
      <w:sz w:val="21"/>
      <w:szCs w:val="21"/>
      <w:lang w:val="en-US" w:eastAsia="en-US" w:bidi="ar-SA"/>
    </w:rPr>
  </w:style>
  <w:style w:type="paragraph" w:customStyle="1" w:styleId="11">
    <w:name w:val="页脚1"/>
    <w:qFormat/>
    <w:uiPriority w:val="0"/>
    <w:pPr>
      <w:widowControl w:val="0"/>
      <w:tabs>
        <w:tab w:val="center" w:pos="4153"/>
        <w:tab w:val="right" w:pos="8306"/>
      </w:tabs>
    </w:pPr>
    <w:rPr>
      <w:rFonts w:hint="eastAsia" w:ascii="Arial Unicode MS" w:hAnsi="Arial Unicode MS" w:eastAsia="Times New Roman" w:cs="Arial Unicode MS"/>
      <w:color w:val="000000"/>
      <w:kern w:val="2"/>
      <w:sz w:val="18"/>
      <w:szCs w:val="18"/>
      <w:lang w:val="en-US" w:eastAsia="zh-CN" w:bidi="ar-SA"/>
    </w:rPr>
  </w:style>
  <w:style w:type="paragraph" w:customStyle="1" w:styleId="12">
    <w:name w:val="heading 1"/>
    <w:basedOn w:val="1"/>
    <w:uiPriority w:val="0"/>
    <w:pPr>
      <w:outlineLvl w:val="0"/>
    </w:pPr>
  </w:style>
  <w:style w:type="paragraph" w:customStyle="1" w:styleId="13">
    <w:name w:val="heading 2"/>
    <w:basedOn w:val="1"/>
    <w:uiPriority w:val="0"/>
    <w:pPr>
      <w:outlineLvl w:val="1"/>
    </w:pPr>
  </w:style>
  <w:style w:type="paragraph" w:customStyle="1" w:styleId="14">
    <w:name w:val="caption"/>
    <w:basedOn w:val="1"/>
    <w:uiPriority w:val="0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15</Pages>
  <Words>1052</Words>
  <Characters>1280</Characters>
  <Lines>97</Lines>
  <Paragraphs>52</Paragraphs>
  <TotalTime>7</TotalTime>
  <ScaleCrop>false</ScaleCrop>
  <LinksUpToDate>false</LinksUpToDate>
  <CharactersWithSpaces>1333</CharactersWithSpaces>
  <Application>WPS Office_12.1.0.29161_F1E327BC-269C-435d-A152-05C5408002CA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2026-09-19T11:24:00Z</dcterms:created>
  <dc:creator>黄宇科</dc:creator>
  <cp:lastModifiedBy>黄宇科</cp:lastModifiedBy>
  <dcterms:modified xsi:type="dcterms:W3CDTF">2026-10-19T06:14:06Z</dcterms:modified>
  <dc:title>问答回避检测的语义建模与跨场景迁移及标签层级分析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8EB4B4B613C54C97943CC08260F922F9</vt:lpwstr>
  </property>
</Properties>
</file>