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EFF69" w14:textId="77777777" w:rsidR="00B84295" w:rsidRDefault="00B84295"/>
    <w:p w14:paraId="7F591F21" w14:textId="77777777" w:rsidR="00B84295" w:rsidRDefault="00B84295">
      <w:pPr>
        <w:jc w:val="center"/>
        <w:rPr>
          <w:rFonts w:ascii="宋体" w:hint="eastAsia"/>
          <w:b/>
          <w:sz w:val="44"/>
        </w:rPr>
      </w:pPr>
    </w:p>
    <w:p w14:paraId="190C39D7" w14:textId="77777777" w:rsidR="00B84295" w:rsidRDefault="00B84295">
      <w:pPr>
        <w:jc w:val="center"/>
        <w:rPr>
          <w:rFonts w:hint="eastAsia"/>
          <w:b/>
          <w:sz w:val="44"/>
        </w:rPr>
      </w:pPr>
      <w:r>
        <w:rPr>
          <w:rFonts w:ascii="宋体" w:hint="eastAsia"/>
          <w:b/>
          <w:sz w:val="44"/>
        </w:rPr>
        <w:t>深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圳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大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学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实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验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报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告</w:t>
      </w:r>
    </w:p>
    <w:p w14:paraId="0513A289" w14:textId="77777777" w:rsidR="00B84295" w:rsidRDefault="00B84295">
      <w:pPr>
        <w:rPr>
          <w:rFonts w:hint="eastAsia"/>
          <w:b/>
          <w:sz w:val="28"/>
        </w:rPr>
      </w:pPr>
    </w:p>
    <w:p w14:paraId="5D4F0270" w14:textId="77777777" w:rsidR="00B84295" w:rsidRDefault="00B84295">
      <w:pPr>
        <w:rPr>
          <w:rFonts w:hint="eastAsia"/>
          <w:b/>
          <w:sz w:val="28"/>
        </w:rPr>
      </w:pPr>
    </w:p>
    <w:p w14:paraId="3B1D6405" w14:textId="77777777" w:rsidR="00B84295" w:rsidRDefault="00B84295">
      <w:pPr>
        <w:rPr>
          <w:rFonts w:hint="eastAsia"/>
          <w:b/>
          <w:sz w:val="28"/>
          <w:u w:val="single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课程名称：</w:t>
      </w:r>
      <w:r>
        <w:rPr>
          <w:b/>
          <w:sz w:val="28"/>
        </w:rPr>
        <w:softHyphen/>
      </w:r>
      <w:r>
        <w:rPr>
          <w:rFonts w:hint="eastAsia"/>
          <w:b/>
          <w:sz w:val="28"/>
          <w:u w:val="single"/>
        </w:rPr>
        <w:t xml:space="preserve">            </w:t>
      </w:r>
      <w:r>
        <w:rPr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自然语言处理</w:t>
      </w:r>
      <w:r>
        <w:rPr>
          <w:rFonts w:hint="eastAsia"/>
          <w:b/>
          <w:sz w:val="28"/>
          <w:u w:val="single"/>
        </w:rPr>
        <w:t xml:space="preserve">     </w:t>
      </w:r>
      <w:r>
        <w:rPr>
          <w:b/>
          <w:sz w:val="28"/>
          <w:u w:val="single"/>
        </w:rPr>
        <w:t xml:space="preserve">     </w:t>
      </w:r>
      <w:r>
        <w:rPr>
          <w:rFonts w:hint="eastAsia"/>
          <w:b/>
          <w:sz w:val="28"/>
          <w:u w:val="single"/>
        </w:rPr>
        <w:t xml:space="preserve">            </w:t>
      </w:r>
    </w:p>
    <w:p w14:paraId="7192EBC8" w14:textId="77777777" w:rsidR="00B84295" w:rsidRDefault="00B84295">
      <w:pPr>
        <w:rPr>
          <w:rFonts w:hint="eastAsia"/>
          <w:b/>
          <w:sz w:val="28"/>
        </w:rPr>
      </w:pPr>
    </w:p>
    <w:p w14:paraId="2C6C3AF0" w14:textId="77777777" w:rsidR="00B84295" w:rsidRDefault="00B84295">
      <w:pPr>
        <w:rPr>
          <w:rFonts w:hint="eastAsia"/>
          <w:b/>
          <w:sz w:val="28"/>
          <w:u w:val="single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实验项目名称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 xml:space="preserve"> </w:t>
      </w:r>
      <w:r>
        <w:rPr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 xml:space="preserve">  </w:t>
      </w:r>
      <w:r>
        <w:rPr>
          <w:rFonts w:hint="eastAsia"/>
          <w:b/>
          <w:sz w:val="28"/>
          <w:u w:val="single"/>
        </w:rPr>
        <w:t>对话问答回避检测与跨场景迁移分析</w:t>
      </w:r>
      <w:r>
        <w:rPr>
          <w:b/>
          <w:sz w:val="28"/>
          <w:u w:val="single"/>
        </w:rPr>
        <w:t xml:space="preserve">   </w:t>
      </w:r>
      <w:r>
        <w:rPr>
          <w:rFonts w:hint="eastAsia"/>
          <w:b/>
          <w:sz w:val="28"/>
          <w:u w:val="single"/>
        </w:rPr>
        <w:t xml:space="preserve">  </w:t>
      </w:r>
      <w:r>
        <w:rPr>
          <w:b/>
          <w:sz w:val="28"/>
          <w:u w:val="single"/>
        </w:rPr>
        <w:t xml:space="preserve">        </w:t>
      </w:r>
    </w:p>
    <w:p w14:paraId="4F1DD696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         </w:t>
      </w:r>
    </w:p>
    <w:p w14:paraId="46BE2AAF" w14:textId="77777777" w:rsidR="00B84295" w:rsidRDefault="00B84295">
      <w:pPr>
        <w:ind w:leftChars="428" w:left="899"/>
        <w:rPr>
          <w:rFonts w:hint="eastAsia"/>
          <w:b/>
          <w:sz w:val="28"/>
          <w:u w:val="single"/>
        </w:rPr>
      </w:pPr>
      <w:r>
        <w:rPr>
          <w:rFonts w:hint="eastAsia"/>
          <w:b/>
          <w:sz w:val="28"/>
        </w:rPr>
        <w:t>学院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 xml:space="preserve">          </w:t>
      </w:r>
      <w:r>
        <w:rPr>
          <w:rFonts w:hint="eastAsia"/>
          <w:b/>
          <w:sz w:val="28"/>
          <w:u w:val="single"/>
        </w:rPr>
        <w:t>计算机与软件学院</w:t>
      </w:r>
      <w:r>
        <w:rPr>
          <w:rFonts w:hint="eastAsia"/>
          <w:b/>
          <w:sz w:val="28"/>
          <w:u w:val="single"/>
        </w:rPr>
        <w:t xml:space="preserve">                 </w:t>
      </w:r>
    </w:p>
    <w:p w14:paraId="08784E86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   </w:t>
      </w:r>
    </w:p>
    <w:p w14:paraId="0A692115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专业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 xml:space="preserve">           </w:t>
      </w:r>
      <w:r>
        <w:rPr>
          <w:rFonts w:hint="eastAsia"/>
          <w:b/>
          <w:sz w:val="28"/>
          <w:u w:val="single"/>
        </w:rPr>
        <w:t>计算机科学与技术</w:t>
      </w:r>
      <w:r>
        <w:rPr>
          <w:rFonts w:hint="eastAsia"/>
          <w:b/>
          <w:sz w:val="28"/>
          <w:u w:val="single"/>
        </w:rPr>
        <w:t xml:space="preserve">  </w:t>
      </w:r>
      <w:r>
        <w:rPr>
          <w:rFonts w:hint="eastAsia"/>
          <w:b/>
          <w:sz w:val="28"/>
          <w:u w:val="single"/>
        </w:rPr>
        <w:t xml:space="preserve">                 </w:t>
      </w:r>
    </w:p>
    <w:p w14:paraId="7E26D128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   </w:t>
      </w:r>
    </w:p>
    <w:p w14:paraId="3232E404" w14:textId="77777777" w:rsidR="00B84295" w:rsidRDefault="00B84295">
      <w:pPr>
        <w:rPr>
          <w:rFonts w:hint="eastAsia"/>
          <w:b/>
          <w:sz w:val="28"/>
          <w:u w:val="single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指导教师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 xml:space="preserve">           </w:t>
      </w:r>
      <w:r>
        <w:rPr>
          <w:b/>
          <w:sz w:val="28"/>
          <w:u w:val="single"/>
        </w:rPr>
        <w:t xml:space="preserve">    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陈俊扬</w:t>
      </w:r>
      <w:r>
        <w:rPr>
          <w:rFonts w:hint="eastAsia"/>
          <w:b/>
          <w:sz w:val="28"/>
          <w:u w:val="single"/>
        </w:rPr>
        <w:t xml:space="preserve">                     </w:t>
      </w:r>
    </w:p>
    <w:p w14:paraId="65624A4A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      </w:t>
      </w:r>
    </w:p>
    <w:p w14:paraId="06C8D4C0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报告人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黄宇科</w:t>
      </w:r>
      <w:r>
        <w:rPr>
          <w:rFonts w:hint="eastAsia"/>
          <w:b/>
          <w:sz w:val="28"/>
          <w:u w:val="single"/>
        </w:rPr>
        <w:t xml:space="preserve">  </w:t>
      </w:r>
      <w:r>
        <w:rPr>
          <w:rFonts w:hint="eastAsia"/>
          <w:b/>
          <w:sz w:val="28"/>
        </w:rPr>
        <w:t>学号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>2</w:t>
      </w:r>
      <w:r>
        <w:rPr>
          <w:rFonts w:hint="eastAsia"/>
          <w:b/>
          <w:sz w:val="28"/>
          <w:u w:val="single"/>
        </w:rPr>
        <w:t>025150266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</w:rPr>
        <w:t>班级：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计科</w:t>
      </w:r>
      <w:r>
        <w:rPr>
          <w:rFonts w:hint="eastAsia"/>
          <w:b/>
          <w:sz w:val="28"/>
          <w:u w:val="single"/>
        </w:rPr>
        <w:t>5</w:t>
      </w:r>
      <w:r>
        <w:rPr>
          <w:rFonts w:hint="eastAsia"/>
          <w:b/>
          <w:sz w:val="28"/>
          <w:u w:val="single"/>
        </w:rPr>
        <w:t>班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</w:rPr>
        <w:t xml:space="preserve"> </w:t>
      </w:r>
    </w:p>
    <w:p w14:paraId="61967163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 </w:t>
      </w:r>
    </w:p>
    <w:p w14:paraId="6388C02C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实验时间：</w:t>
      </w:r>
      <w:r>
        <w:rPr>
          <w:rFonts w:hint="eastAsia"/>
          <w:b/>
          <w:sz w:val="28"/>
          <w:u w:val="single"/>
        </w:rPr>
        <w:t xml:space="preserve">  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2026</w:t>
      </w:r>
      <w:r>
        <w:rPr>
          <w:rFonts w:hint="eastAsia"/>
          <w:b/>
          <w:sz w:val="28"/>
          <w:u w:val="single"/>
        </w:rPr>
        <w:t>年</w:t>
      </w:r>
      <w:r>
        <w:rPr>
          <w:rFonts w:hint="eastAsia"/>
          <w:b/>
          <w:sz w:val="28"/>
          <w:u w:val="single"/>
        </w:rPr>
        <w:t>9</w:t>
      </w:r>
      <w:r>
        <w:rPr>
          <w:rFonts w:hint="eastAsia"/>
          <w:b/>
          <w:sz w:val="28"/>
          <w:u w:val="single"/>
        </w:rPr>
        <w:t>月</w:t>
      </w:r>
      <w:r>
        <w:rPr>
          <w:rFonts w:hint="eastAsia"/>
          <w:b/>
          <w:sz w:val="28"/>
          <w:u w:val="single"/>
        </w:rPr>
        <w:t>1</w:t>
      </w:r>
      <w:r>
        <w:rPr>
          <w:rFonts w:hint="eastAsia"/>
          <w:b/>
          <w:sz w:val="28"/>
          <w:u w:val="single"/>
        </w:rPr>
        <w:t>日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- 2026</w:t>
      </w:r>
      <w:r>
        <w:rPr>
          <w:rFonts w:hint="eastAsia"/>
          <w:b/>
          <w:sz w:val="28"/>
          <w:u w:val="single"/>
        </w:rPr>
        <w:t>年</w:t>
      </w:r>
      <w:r>
        <w:rPr>
          <w:rFonts w:hint="eastAsia"/>
          <w:b/>
          <w:sz w:val="28"/>
          <w:u w:val="single"/>
        </w:rPr>
        <w:t>12</w:t>
      </w:r>
      <w:r>
        <w:rPr>
          <w:rFonts w:hint="eastAsia"/>
          <w:b/>
          <w:sz w:val="28"/>
          <w:u w:val="single"/>
        </w:rPr>
        <w:t>月</w:t>
      </w:r>
      <w:r>
        <w:rPr>
          <w:rFonts w:hint="eastAsia"/>
          <w:b/>
          <w:sz w:val="28"/>
          <w:u w:val="single"/>
        </w:rPr>
        <w:t>30</w:t>
      </w:r>
      <w:r>
        <w:rPr>
          <w:rFonts w:hint="eastAsia"/>
          <w:b/>
          <w:sz w:val="28"/>
          <w:u w:val="single"/>
        </w:rPr>
        <w:t>日</w:t>
      </w:r>
      <w:r>
        <w:rPr>
          <w:rFonts w:hint="eastAsia"/>
          <w:b/>
          <w:sz w:val="28"/>
          <w:u w:val="single"/>
        </w:rPr>
        <w:t xml:space="preserve">             </w:t>
      </w:r>
      <w:r>
        <w:rPr>
          <w:rFonts w:hint="eastAsia"/>
          <w:b/>
          <w:sz w:val="28"/>
        </w:rPr>
        <w:t xml:space="preserve">                   </w:t>
      </w:r>
    </w:p>
    <w:p w14:paraId="104156B1" w14:textId="77777777" w:rsidR="00B84295" w:rsidRDefault="00B84295">
      <w:pPr>
        <w:rPr>
          <w:rFonts w:hint="eastAsia"/>
          <w:b/>
          <w:sz w:val="28"/>
        </w:rPr>
      </w:pPr>
    </w:p>
    <w:p w14:paraId="35A77DB2" w14:textId="77777777" w:rsidR="00B84295" w:rsidRDefault="00B84295">
      <w:pPr>
        <w:ind w:left="899" w:hangingChars="320" w:hanging="899"/>
        <w:rPr>
          <w:rFonts w:hint="eastAsia"/>
          <w:b/>
          <w:sz w:val="44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实验报告提交时间：</w:t>
      </w:r>
      <w:r>
        <w:rPr>
          <w:rFonts w:hint="eastAsia"/>
          <w:b/>
          <w:sz w:val="28"/>
          <w:u w:val="single"/>
        </w:rPr>
        <w:t xml:space="preserve">       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2026</w:t>
      </w:r>
      <w:r>
        <w:rPr>
          <w:rFonts w:hint="eastAsia"/>
          <w:b/>
          <w:sz w:val="28"/>
          <w:u w:val="single"/>
        </w:rPr>
        <w:t>年</w:t>
      </w:r>
      <w:r>
        <w:rPr>
          <w:rFonts w:hint="eastAsia"/>
          <w:b/>
          <w:sz w:val="28"/>
          <w:u w:val="single"/>
        </w:rPr>
        <w:t>12</w:t>
      </w:r>
      <w:r>
        <w:rPr>
          <w:rFonts w:hint="eastAsia"/>
          <w:b/>
          <w:sz w:val="28"/>
          <w:u w:val="single"/>
        </w:rPr>
        <w:t>月</w:t>
      </w:r>
      <w:r>
        <w:rPr>
          <w:rFonts w:hint="eastAsia"/>
          <w:b/>
          <w:sz w:val="28"/>
          <w:u w:val="single"/>
        </w:rPr>
        <w:t>30</w:t>
      </w:r>
      <w:r>
        <w:rPr>
          <w:rFonts w:hint="eastAsia"/>
          <w:b/>
          <w:sz w:val="28"/>
          <w:u w:val="single"/>
        </w:rPr>
        <w:t>日</w:t>
      </w:r>
      <w:r>
        <w:rPr>
          <w:rFonts w:hint="eastAsia"/>
          <w:b/>
          <w:sz w:val="28"/>
          <w:u w:val="single"/>
        </w:rPr>
        <w:t xml:space="preserve">            </w:t>
      </w:r>
    </w:p>
    <w:p w14:paraId="758DF4BF" w14:textId="77777777" w:rsidR="00B84295" w:rsidRDefault="00B84295">
      <w:pPr>
        <w:jc w:val="center"/>
        <w:rPr>
          <w:b/>
          <w:sz w:val="44"/>
        </w:rPr>
      </w:pPr>
    </w:p>
    <w:p w14:paraId="61F3307B" w14:textId="77777777" w:rsidR="00B84295" w:rsidRDefault="00B84295">
      <w:pPr>
        <w:jc w:val="center"/>
        <w:rPr>
          <w:b/>
          <w:sz w:val="24"/>
        </w:rPr>
      </w:pPr>
      <w:r>
        <w:rPr>
          <w:rFonts w:hint="eastAsia"/>
          <w:b/>
          <w:sz w:val="24"/>
        </w:rPr>
        <w:t>教务部制</w:t>
      </w:r>
    </w:p>
    <w:p w14:paraId="4997CA81" w14:textId="77777777" w:rsidR="00B84295" w:rsidRDefault="00B84295">
      <w:pPr>
        <w:jc w:val="center"/>
        <w:rPr>
          <w:rFonts w:hint="eastAsia"/>
          <w:b/>
          <w:sz w:val="24"/>
        </w:rPr>
      </w:pPr>
    </w:p>
    <w:tbl>
      <w:tblPr>
        <w:tblW w:w="0" w:type="auto"/>
        <w:tblInd w:w="1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177"/>
      </w:tblGrid>
      <w:tr w:rsidR="00000000" w14:paraId="73FF3DE2" w14:textId="77777777">
        <w:trPr/>
        <w:tc>
          <w:tcPr>
            <w:tcW w:w="8177" w:type="dxa"/>
          </w:tcPr>
          <w:p w14:paraId="5F409F50" w14:textId="77777777" w:rsidR="00B84295" w:rsidRDefault="00B84295">
            <w:pPr>
              <w:spacing w:after="100" w:before="200"/>
              <w:ind w:left="0" w:firstLine="0"/>
              <w:jc w:val="left"/>
              <w:rPr>
                <w:b/>
                <w:sz w:val="28"/>
                <w:szCs w:val="28"/>
              </w:rPr>
              <w:pStyle w:val="Heading1"/>
              <w:keepNext/>
            </w:pPr>
            <w:r>
              <w:rPr>
                <w:rFonts w:ascii="黑体" w:hAnsi="黑体" w:eastAsia="黑体"/>
                <w:b/>
                <w:color w:val="000000"/>
                <w:sz w:val="28"/>
              </w:rPr>
              <w:t>实验目的与要求：</w:t>
            </w:r>
          </w:p>
          <w:p w14:paraId="4D2CA1D8" w14:textId="77777777" w:rsidR="00B84295" w:rsidRDefault="00B84295">
            <w:pPr>
              <w:spacing w:after="80"/>
              <w:numPr>
                <w:numId w:val="0"/>
              </w:numPr>
              <w:ind w:left="0"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建立 QEvasion 回答清晰度三分类流程，比较多数类、TF-IDF＋LR 与冻结 MiniLM＋LR。</w:t>
            </w:r>
          </w:p>
          <w:p w14:paraId="4449B6E2" w14:textId="77777777" w:rsidR="00B84295" w:rsidRDefault="00B84295">
            <w:pPr>
              <w:spacing w:after="80"/>
              <w:numPr>
                <w:numId w:val="0"/>
              </w:numPr>
              <w:ind w:left="0"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用 Macro-F1、类别级指标和混淆矩阵解释错误，检查类不均衡、长回答与来源重合。</w:t>
            </w:r>
          </w:p>
          <w:p w14:paraId="5AF9C6A7" w14:textId="77777777" w:rsidR="00B84295" w:rsidRDefault="00B84295">
            <w:pPr>
              <w:spacing w:after="80"/>
              <w:numPr>
                <w:numId w:val="0"/>
              </w:numPr>
              <w:ind w:left="0"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将统一文本对接口适配到 QNLI，区分源模型直接投影与目标域标注训练。</w:t>
            </w:r>
          </w:p>
          <w:p w14:paraId="3B46EA9B" w14:textId="77777777" w:rsidR="00B84295" w:rsidRDefault="00B84295">
            <w:pPr>
              <w:tabs>
                <w:tab w:val="left" w:pos="360"/>
              </w:tabs>
              <w:spacing w:after="80"/>
              <w:numPr>
                <w:numId w:val="0"/>
              </w:numPr>
              <w:ind w:left="0"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4. 审计粗细标签映射，以固定分组留出、敏感性对照和配对重采样界定层级扩展结论。</w:t>
            </w:r>
          </w:p>
        </w:tc>
      </w:tr>
      <w:tr w:rsidR="00000000" w14:paraId="785EC66C" w14:textId="77777777">
        <w:trPr/>
        <w:tc>
          <w:tcPr>
            <w:tcW w:w="8177" w:type="dxa"/>
          </w:tcPr>
          <w:p w14:paraId="21F5FCAB" w14:textId="77777777" w:rsidR="00B84295" w:rsidRDefault="00B84295">
            <w:pPr>
              <w:pStyle w:val="Heading1"/>
              <w:keepNext/>
              <w:spacing w:before="200" w:after="100"/>
              <w:ind w:firstLine="0"/>
              <w:rPr>
                <w:rFonts w:hint="eastAsia"/>
                <w:b/>
                <w:sz w:val="28"/>
                <w:szCs w:val="28"/>
              </w:rPr>
            </w:pPr>
            <w:r>
              <w:rPr>
                <w:rFonts w:hint="eastAsia" w:ascii="黑体" w:hAnsi="黑体" w:eastAsia="黑体"/>
                <w:b/>
                <w:color w:val="000000"/>
                <w:sz w:val="28"/>
                <w:szCs w:val="28"/>
              </w:rPr>
              <w:t>任务定义</w:t>
            </w:r>
            <w:r>
              <w:rPr>
                <w:rFonts w:hint="eastAsia" w:ascii="黑体" w:hAnsi="黑体" w:eastAsia="黑体"/>
                <w:b/>
                <w:color w:val="000000"/>
                <w:sz w:val="28"/>
                <w:szCs w:val="28"/>
              </w:rPr>
              <w:t>：</w:t>
            </w:r>
          </w:p>
          <w:p w14:paraId="718B0283" w14:textId="77777777" w:rsidR="00B84295" w:rsidRDefault="00B84295">
            <w:pPr>
              <w:numPr>
                <w:ilvl w:val="0"/>
                <w:numId w:val="4"/>
              </w:numPr>
              <w:ind w:firstLine="0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cs="宋体"/>
                <w:color w:val="333333"/>
                <w:kern w:val="0"/>
                <w:szCs w:val="21"/>
              </w:rPr>
              <w:t>任务输入</w:t>
            </w:r>
          </w:p>
          <w:p w14:paraId="7CEC3D38" w14:textId="77777777" w:rsidR="00B84295" w:rsidRDefault="00B84295">
            <w:pPr>
              <w:spacing w:before="0" w:after="80" w:line="259" w:lineRule="auto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输入为一个目标子问题 question 与对应的完整回答 interview_answer；每条样本按问题—回答文本对独立预测。任务与标签体系依据原论文[1]，数据快照来自发布页面[2]。</w:t>
            </w:r>
          </w:p>
          <w:p w14:paraId="0DF58143" w14:textId="77777777" w:rsidR="00B84295" w:rsidRDefault="00B84295">
            <w:pPr>
              <w:numPr>
                <w:ilvl w:val="0"/>
                <w:numId w:val="4"/>
              </w:numPr>
              <w:ind w:firstLine="0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cs="宋体"/>
                <w:color w:val="333333"/>
                <w:kern w:val="0"/>
                <w:szCs w:val="21"/>
              </w:rPr>
              <w:t>高层输出</w:t>
            </w:r>
          </w:p>
          <w:p w14:paraId="1E6C9AD1" w14:textId="77777777" w:rsidR="00B84295" w:rsidRDefault="00B84295">
            <w:pPr>
              <w:spacing w:before="0" w:after="50" w:line="259" w:lineRule="auto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eastAsia="宋体"/>
                <w:b w:val="0"/>
                <w:sz w:val="19"/>
              </w:rPr>
              <w:t>高层标签为 Clear Reply、Ambivalent Reply、Clear Non-Reply；目标列为 clarity_label。原始数据中的 Ambivalent 在报告中统一写作 Ambivalent Reply。</w:t>
            </w:r>
          </w:p>
          <w:p w14:paraId="477C1599" w14:textId="77777777" w:rsidR="00B84295" w:rsidRDefault="00B84295">
            <w:pPr>
              <w:numPr>
                <w:ilvl w:val="0"/>
                <w:numId w:val="4"/>
              </w:numPr>
              <w:ind w:firstLine="0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cs="宋体"/>
                <w:color w:val="333333"/>
                <w:kern w:val="0"/>
                <w:szCs w:val="21"/>
              </w:rPr>
              <w:t>细粒度输出</w:t>
            </w:r>
          </w:p>
          <w:p w14:paraId="7E5567F8" w14:textId="77777777" w:rsidR="00B84295" w:rsidRDefault="00B84295">
            <w:pPr>
              <w:spacing w:before="0" w:after="50" w:line="259" w:lineRule="auto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eastAsia="宋体"/>
                <w:b w:val="0"/>
                <w:sz w:val="19"/>
              </w:rPr>
              <w:t>细粒度标签映射：Clear Reply＝Explicit；Ambivalent Reply＝Implicit、Dodging、General、Deflection、Partial/half-answer；Clear Non-Reply＝Declining to answer、Claims ignorance、Clarification。训练集包含 9 个细类，官方测试集仅提供 3 个高层标签。</w:t>
            </w:r>
          </w:p>
          <w:p w14:paraId="2D8289AF" w14:textId="77777777" w:rsidR="00B84295" w:rsidRDefault="00B84295">
            <w:pPr>
              <w:numPr>
                <w:ilvl w:val="0"/>
                <w:numId w:val="3"/>
              </w:numPr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cs="宋体"/>
                <w:color w:val="333333"/>
                <w:kern w:val="0"/>
                <w:szCs w:val="21"/>
              </w:rPr>
              <w:t>数据集：</w:t>
            </w:r>
          </w:p>
          <w:p w14:paraId="03E8CA55" w14:textId="77777777" w:rsidR="00B84295" w:rsidRDefault="00B84295">
            <w:pPr>
              <w:rPr>
                <w:rFonts w:ascii="宋体" w:hAnsi="宋体" w:cs="宋体"/>
                <w:color w:val="333333"/>
                <w:kern w:val="0"/>
                <w:szCs w:val="21"/>
              </w:rPr>
            </w:pPr>
            <w:hyperlink r:id="rId7" w:history="1">
              <w:r>
                <w:rPr>
                  <w:rStyle w:val="ab"/>
                  <w:rFonts w:ascii="宋体" w:hAnsi="宋体" w:cs="宋体"/>
                  <w:kern w:val="0"/>
                  <w:szCs w:val="21"/>
                </w:rPr>
                <w:t>https://huggingface.co/datasets/ailsntua/QEvasion</w:t>
              </w:r>
            </w:hyperlink>
          </w:p>
          <w:p w14:paraId="14A6C47F" w14:textId="77777777" w:rsidR="00B84295" w:rsidRDefault="00B84295">
            <w:pPr>
              <w:rPr>
                <w:rFonts w:ascii="宋体" w:hAnsi="宋体" w:cs="宋体"/>
                <w:color w:val="333333"/>
                <w:kern w:val="0"/>
                <w:szCs w:val="21"/>
              </w:rPr>
            </w:pPr>
            <w:hyperlink r:id="rId8" w:history="1">
              <w:r>
                <w:rPr>
                  <w:rStyle w:val="ab"/>
                  <w:rFonts w:ascii="宋体" w:hAnsi="宋体" w:cs="宋体"/>
                  <w:kern w:val="0"/>
                  <w:szCs w:val="21"/>
                </w:rPr>
                <w:t>h</w:t>
              </w:r>
              <w:r>
                <w:rPr>
                  <w:rStyle w:val="ab"/>
                  <w:rFonts w:ascii="宋体" w:hAnsi="宋体" w:cs="宋体"/>
                  <w:kern w:val="0"/>
                  <w:szCs w:val="21"/>
                </w:rPr>
                <w:t>ttps://huggingface.co/datasets/ailsntua/QEvasion/tree/main</w:t>
              </w:r>
            </w:hyperlink>
          </w:p>
          <w:p w14:paraId="5CCCF6A7" w14:textId="77777777" w:rsidR="00B84295" w:rsidRDefault="00B84295">
            <w:pPr>
              <w:numPr>
                <w:ilvl w:val="0"/>
                <w:numId w:val="3"/>
              </w:numPr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333333"/>
                <w:kern w:val="0"/>
                <w:szCs w:val="21"/>
              </w:rPr>
              <w:t>参考</w:t>
            </w:r>
            <w:r>
              <w:rPr>
                <w:rFonts w:ascii="宋体" w:hAnsi="宋体" w:cs="宋体"/>
                <w:color w:val="333333"/>
                <w:kern w:val="0"/>
                <w:szCs w:val="21"/>
              </w:rPr>
              <w:t>论文：</w:t>
            </w:r>
            <w:r>
              <w:rPr>
                <w:rFonts w:ascii="宋体" w:hAnsi="宋体" w:cs="宋体"/>
                <w:color w:val="333333"/>
                <w:kern w:val="0"/>
                <w:szCs w:val="21"/>
              </w:rPr>
              <w:t>Thomas et al. (2024), “I Never Said That”: A dataset, taxonomy and baselines on response clarity classification.</w:t>
            </w:r>
          </w:p>
          <w:p w14:paraId="3E1F5F8D" w14:textId="77777777" w:rsidR="00B84295" w:rsidRDefault="00B84295">
            <w:pPr>
              <w:rPr>
                <w:rFonts w:ascii="宋体" w:hAnsi="宋体" w:cs="宋体"/>
                <w:color w:val="333333"/>
                <w:kern w:val="0"/>
                <w:szCs w:val="21"/>
              </w:rPr>
            </w:pPr>
            <w:hyperlink r:id="rId9" w:history="1">
              <w:r>
                <w:rPr>
                  <w:rStyle w:val="ab"/>
                  <w:rFonts w:ascii="宋体" w:hAnsi="宋体" w:cs="宋体"/>
                  <w:kern w:val="0"/>
                  <w:szCs w:val="21"/>
                </w:rPr>
                <w:t>https://aclanthology.org/2024.findings-emnlp.300/</w:t>
              </w:r>
            </w:hyperlink>
          </w:p>
          <w:p w14:paraId="54A179DD" w14:textId="77777777" w:rsidR="00B84295" w:rsidRDefault="00B84295">
            <w:pPr>
              <w:pStyle w:val="Heading1"/>
              <w:keepNext/>
              <w:spacing w:before="200" w:after="100"/>
              <w:ind w:firstLine="0"/>
              <w:rPr>
                <w:rFonts w:hint="eastAsia"/>
                <w:b/>
                <w:sz w:val="28"/>
                <w:szCs w:val="28"/>
              </w:rPr>
            </w:pPr>
            <w:r>
              <w:rPr>
                <w:rFonts w:hint="eastAsia" w:ascii="黑体" w:hAnsi="黑体" w:eastAsia="黑体"/>
                <w:b/>
                <w:color w:val="000000"/>
                <w:sz w:val="28"/>
                <w:szCs w:val="28"/>
              </w:rPr>
              <w:t>方法、步骤</w:t>
            </w:r>
            <w:r>
              <w:rPr>
                <w:rFonts w:hint="eastAsia" w:ascii="黑体" w:hAnsi="黑体" w:eastAsia="黑体"/>
                <w:b/>
                <w:color w:val="000000"/>
                <w:sz w:val="28"/>
                <w:szCs w:val="28"/>
              </w:rPr>
              <w:t>：</w:t>
            </w:r>
          </w:p>
          <w:tbl>
            <w:tblPr>
              <w:tblW w:w="7632" w:type="dxa"/>
              <w:tblInd w:w="0" w:type="dxa"/>
              <w:tblBorders>
                <w:top w:val="single" w:sz="6" w:space="0" w:color="7F7F7F"/>
                <w:left w:val="single" w:sz="6" w:space="0" w:color="7F7F7F"/>
                <w:bottom w:val="single" w:sz="6" w:space="0" w:color="7F7F7F"/>
                <w:right w:val="single" w:sz="6" w:space="0" w:color="7F7F7F"/>
                <w:insideH w:val="single" w:sz="6" w:space="0" w:color="7F7F7F"/>
                <w:insideV w:val="single" w:sz="6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32"/>
            </w:tblGrid>
            <w:tr w:rsidR="00000000" w14:paraId="413B2D8F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51CD04BA" w14:textId="77777777" w:rsidR="00B84295" w:rsidRDefault="00B84295">
                  <w:pPr>
                    <w:spacing w:line="259" w:lineRule="auto"/>
                    <w:ind w:rightChars="711" w:right="1493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（一）数据准备</w:t>
                  </w:r>
                </w:p>
              </w:tc>
            </w:tr>
            <w:tr w:rsidR="00000000" w14:paraId="126DA7DE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164FA690" w14:textId="77777777" w:rsidR="00B84295" w:rsidRDefault="00B84295">
                  <w:pPr>
                    <w:tabs>
                      <w:tab w:val="left" w:pos="360"/>
                    </w:tabs>
                    <w:spacing w:line="276" w:lineRule="auto" w:before="0" w:after="40"/>
                    <w:ind w:rightChars="711" w:right="1493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使用仓库内 QEvasion train/test 原始数据：将 question 与 interview_answer 转为文本对，删除空白风险由缺失值检查确认；训练集 3,448 条、测试集 308 条，未把测试标签用于选参。</w:t>
                  </w:r>
                </w:p>
                <w:p>
                  <w:pPr>
                    <w:spacing w:before="0" w:after="8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QNLI 读取官方 GLUE TSV；question/sentence 统一为 text_a/text_b，二分类标签单独定义。固定随机种子 42，从 train 按类各抽 6,000 条，dev 全量 5,463 条用于报告结果。数据说明与官方TSV来源见[5][7]。</w:t>
                  </w:r>
                </w:p>
              </w:tc>
            </w:tr>
            <w:tr w:rsidR="00000000" w14:paraId="55F471E5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13CDB70F" w14:textId="77777777" w:rsidR="00B84295" w:rsidRDefault="00B84295">
                  <w:pPr>
                    <w:keepNext/>
                    <w:tabs>
                      <w:tab w:val="left" w:pos="7780"/>
                    </w:tabs>
                    <w:spacing w:line="259" w:lineRule="auto" w:after="80"/>
                    <w:ind w:rightChars="606" w:right="1273"/>
                    <w:jc w:val="left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24"/>
                    </w:rPr>
                    <w:t>（二）探索性数据分析</w:t>
                  </w:r>
                </w:p>
              </w:tc>
            </w:tr>
            <w:tr w:rsidR="00000000" w14:paraId="1D6F1CA7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1DC247EB" w14:textId="77777777" w:rsidR="00B84295" w:rsidRDefault="00B84295">
                  <w:pPr>
                    <w:tabs>
                      <w:tab w:val="left" w:pos="7780"/>
                    </w:tabs>
                    <w:spacing w:before="0" w:after="80" w:line="276" w:lineRule="auto"/>
                    <w:ind w:rightChars="606" w:right="1273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标签、缺失和长度见表1及图1—图2；两划分均无空问题或空回答。统计采用空白分词；QNLI train 严格按实际整数标签抽样 12,000 条计算，均长为 9.8/26.5，dev为10.0/27.6。</w:t>
                  </w:r>
                </w:p>
                <w:p>
                  <w:pPr>
                    <w:spacing w:before="0" w:after="8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训练集多数类占59.16%，测试集占66.88%；来源群体仅作训练分布描述，不能据缺失的 president 推断全测试集逐总统性能。</w:t>
                  </w:r>
                </w:p>
                <w:p>
                  <w:pPr>
                    <w:spacing w:before="0" w:after="8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来源审计以原始 url 为单位：训练集有 287 个唯一网址、175 种标题文本，测试集有 56 个网址；39 个网址跨划分重合，涉及 118/308 条测试记录（38.31%）。因此 175 不能解释为独立采访数。完整问答对重合为 0，并不代表来源独立；官方成绩可用于该发布划分的模型比较，但不等同于完全未见来源的泛化成绩。</w:t>
                  </w:r>
                </w:p>
              </w:tc>
            </w:tr>
          </w:tbl>
          <w:p w14:paraId="4AAB01A4" w14:textId="77777777" w:rsidR="00B84295" w:rsidRDefault="00B84295">
            <w:pPr>
              <w:keepNext/>
              <w:spacing w:before="80" w:after="80"/>
              <w:jc w:val="center"/>
              <w:rPr>
                <w:rFonts w:hint="eastAsia"/>
                <w:b/>
                <w:sz w:val="28"/>
                <w:szCs w:val="28"/>
              </w:rPr>
            </w:pPr>
            <w:r>
              <w:rPr>
                <w:rFonts w:eastAsia="Noto Sans CJK SC"/>
                <w:b/>
                <w:color w:val="17365D"/>
                <w:sz w:val="19"/>
              </w:rPr>
              <w:t>表</w:t>
            </w:r>
            <w:r>
              <w:rPr>
                <w:rFonts w:eastAsia="Noto Sans CJK SC"/>
                <w:b/>
                <w:color w:val="17365D"/>
                <w:sz w:val="19"/>
              </w:rPr>
              <w:t xml:space="preserve">1  </w:t>
            </w:r>
            <w:r>
              <w:rPr>
                <w:rFonts w:eastAsia="Noto Sans CJK SC"/>
                <w:b/>
                <w:color w:val="17365D"/>
                <w:sz w:val="19"/>
              </w:rPr>
              <w:t>数据统计记录</w:t>
            </w:r>
          </w:p>
          <w:tbl>
            <w:tblPr>
              <w:tblW w:w="7632" w:type="dxa"/>
              <w:tblInd w:w="0" w:type="dxa"/>
              <w:tblBorders>
                <w:top w:val="single" w:sz="4" w:space="0" w:color="9AA5B1"/>
                <w:left w:val="single" w:sz="4" w:space="0" w:color="9AA5B1"/>
                <w:bottom w:val="single" w:sz="4" w:space="0" w:color="9AA5B1"/>
                <w:right w:val="single" w:sz="4" w:space="0" w:color="9AA5B1"/>
                <w:insideH w:val="single" w:sz="4" w:space="0" w:color="9AA5B1"/>
                <w:insideV w:val="single" w:sz="4" w:space="0" w:color="9AA5B1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"/>
              <w:gridCol w:w="1282"/>
              <w:gridCol w:w="1124"/>
              <w:gridCol w:w="1365"/>
              <w:gridCol w:w="1343"/>
              <w:gridCol w:w="1186"/>
              <w:gridCol w:w="1331"/>
            </w:tblGrid>
            <w:tr w:rsidR="00000000" w14:paraId="517FCA49" w14:textId="77777777">
              <w:trPr>
                <w:gridAfter w:val="1"/>
                <w:wAfter w:w="1656" w:type="dxa"/>
                <w:tblHeader/>
              </w:trPr>
              <w:tc>
                <w:tcPr>
                  <w:tcW w:w="1284" w:type="dxa"/>
                  <w:gridSpan w:val="2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D6ADBA7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数据划分</w:t>
                  </w:r>
                </w:p>
              </w:tc>
              <w:tc>
                <w:tcPr>
                  <w:tcW w:w="1124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7795ECD" w14:textId="77777777" w:rsidR="00B84295" w:rsidRDefault="00B84295">
                  <w:pPr>
                    <w:spacing w:line="252" w:lineRule="auto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样本数</w:t>
                  </w:r>
                </w:p>
              </w:tc>
              <w:tc>
                <w:tcPr>
                  <w:tcW w:w="1365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6369CBC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缺失样本</w:t>
                  </w:r>
                </w:p>
              </w:tc>
              <w:tc>
                <w:tcPr>
                  <w:tcW w:w="1343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827D654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平均问题长度</w:t>
                  </w:r>
                </w:p>
              </w:tc>
              <w:tc>
                <w:tcPr>
                  <w:tcW w:w="2516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gridSpan w:val="2"/>
                </w:tcPr>
                <w:p w14:paraId="1B561C13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平均回答长</w:t>
                  </w: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度</w:t>
                  </w:r>
                </w:p>
              </w:tc>
            </w:tr>
            <w:tr w:rsidR="00000000" w14:paraId="65DF3EA2" w14:textId="77777777">
              <w:trPr>
                <w:gridAfter w:val="1"/>
                <w:wAfter w:w="1656" w:type="dxa"/>
              </w:trPr>
              <w:tc>
                <w:tcPr>
                  <w:tcW w:w="1284" w:type="dxa"/>
                  <w:gridSpan w:val="2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E80340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QEvasion train</w:t>
                  </w:r>
                </w:p>
              </w:tc>
              <w:tc>
                <w:tcPr>
                  <w:tcW w:w="112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757C9E8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3,448</w:t>
                  </w:r>
                </w:p>
              </w:tc>
              <w:tc>
                <w:tcPr>
                  <w:tcW w:w="136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DE97DF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0 / 0</w:t>
                  </w:r>
                </w:p>
              </w:tc>
              <w:tc>
                <w:tcPr>
                  <w:tcW w:w="134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191EE1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14.5</w:t>
                  </w:r>
                </w:p>
              </w:tc>
              <w:tc>
                <w:tcPr>
                  <w:tcW w:w="251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gridSpan w:val="2"/>
                </w:tcPr>
                <w:p w14:paraId="26675972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293.6</w:t>
                  </w:r>
                </w:p>
              </w:tc>
            </w:tr>
            <w:tr w:rsidR="00000000" w14:paraId="38C63716" w14:textId="77777777">
              <w:trPr>
                <w:gridAfter w:val="1"/>
                <w:wAfter w:w="1656" w:type="dxa"/>
              </w:trPr>
              <w:tc>
                <w:tcPr>
                  <w:tcW w:w="1284" w:type="dxa"/>
                  <w:gridSpan w:val="2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072ACFC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QEvasion test</w:t>
                  </w:r>
                </w:p>
              </w:tc>
              <w:tc>
                <w:tcPr>
                  <w:tcW w:w="1124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A631B1D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308</w:t>
                  </w:r>
                </w:p>
              </w:tc>
              <w:tc>
                <w:tcPr>
                  <w:tcW w:w="136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713D9AA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0 / 0</w:t>
                  </w:r>
                </w:p>
              </w:tc>
              <w:tc>
                <w:tcPr>
                  <w:tcW w:w="134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F921616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15.3</w:t>
                  </w:r>
                </w:p>
              </w:tc>
              <w:tc>
                <w:tcPr>
                  <w:tcW w:w="2516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gridSpan w:val="2"/>
                </w:tcPr>
                <w:p w14:paraId="52664732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326.3</w:t>
                  </w:r>
                </w:p>
              </w:tc>
            </w:tr>
            <w:tr w:rsidR="00000000" w14:paraId="08DB6CBE" w14:textId="77777777">
              <w:trPr>
                <w:gridAfter w:val="1"/>
                <w:wAfter w:w="1656" w:type="dxa"/>
              </w:trPr>
              <w:tc>
                <w:tcPr>
                  <w:tcW w:w="1284" w:type="dxa"/>
                  <w:gridSpan w:val="2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73C0C6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QNLI train（抽样）</w:t>
                  </w:r>
                </w:p>
              </w:tc>
              <w:tc>
                <w:tcPr>
                  <w:tcW w:w="112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5B3A05B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12,000</w:t>
                  </w:r>
                </w:p>
              </w:tc>
              <w:tc>
                <w:tcPr>
                  <w:tcW w:w="136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71BA8F7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0 / 0</w:t>
                  </w:r>
                </w:p>
              </w:tc>
              <w:tc>
                <w:tcPr>
                  <w:tcW w:w="134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B2DC06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9.8</w:t>
                  </w:r>
                </w:p>
              </w:tc>
              <w:tc>
                <w:tcPr>
                  <w:tcW w:w="251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gridSpan w:val="2"/>
                </w:tcPr>
                <w:p w14:paraId="453B23DB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26.5</w:t>
                  </w:r>
                </w:p>
              </w:tc>
            </w:tr>
            <w:tr w:rsidR="00000000" w14:paraId="09601986" w14:textId="77777777">
              <w:trPr>
                <w:gridAfter w:val="1"/>
                <w:wAfter w:w="1656" w:type="dxa"/>
              </w:trPr>
              <w:tc>
                <w:tcPr>
                  <w:tcW w:w="1284" w:type="dxa"/>
                  <w:gridSpan w:val="2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4E762E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QNLI dev（测试）</w:t>
                  </w:r>
                </w:p>
              </w:tc>
              <w:tc>
                <w:tcPr>
                  <w:tcW w:w="1124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BC931E0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5,463</w:t>
                  </w:r>
                </w:p>
              </w:tc>
              <w:tc>
                <w:tcPr>
                  <w:tcW w:w="136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08B1394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0 / 0</w:t>
                  </w:r>
                </w:p>
              </w:tc>
              <w:tc>
                <w:tcPr>
                  <w:tcW w:w="134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27AC6E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10.0</w:t>
                  </w:r>
                </w:p>
              </w:tc>
              <w:tc>
                <w:tcPr>
                  <w:tcW w:w="2516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gridSpan w:val="2"/>
                </w:tcPr>
                <w:p w14:paraId="7B2D068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27.6</w:t>
                  </w:r>
                </w:p>
              </w:tc>
            </w:tr>
            <w:tr w:rsidR="00000000" w14:paraId="4C96768B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46BFF13C" w14:textId="77777777" w:rsidR="00B84295" w:rsidRDefault="00B84295">
                  <w:pPr>
                    <w:spacing w:line="259" w:lineRule="auto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（三）模型与基线</w:t>
                  </w:r>
                </w:p>
              </w:tc>
            </w:tr>
            <w:tr w:rsidR="00000000" w14:paraId="33A83666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434E93FA" w14:textId="77777777" w:rsidR="00B84295" w:rsidRDefault="00B84295">
                  <w:pPr>
                    <w:spacing w:after="40" w:line="276" w:lineRule="auto" w:before="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基线 A：question 与 answer 以边界符拼接，TF-IDF 单/双词组＋Logistic Regression；QEvasion 采用 balanced 类别权重，C＝1.0。多数类常数预测作为最低参照。</w:t>
                  </w:r>
                </w:p>
                <w:p>
                  <w:pPr>
                    <w:spacing w:before="0" w:after="8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基线 B：冻结 all-MiniLM-L6-v2[3][6] 分别编码问题、回答；拼接 q、a、|q−a|、q×a 得 1,536 维特征，再用 balanced LR，训练集 10% 作分层验证，C 从 0.1/1/10 中选择。近期合成数据嵌入研究[4]提供表示改进方向，本实验未复现其模型。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扩展：九细类模型训练后按三粗类汇总概率；这一设置在官方三分类测试上 Macro-F1 为 0.3504，低于直接粗类模型，作为负结果报告。</w:t>
                  </w:r>
                </w:p>
              </w:tc>
            </w:tr>
            <w:tr w:rsidR="00000000" w14:paraId="2BA2F482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573BC936" w14:textId="77777777" w:rsidR="00B84295" w:rsidRDefault="00B84295">
                  <w:pPr>
                    <w:spacing w:line="259" w:lineRule="auto" w:after="80"/>
                    <w:ind w:rightChars="711" w:right="1493"/>
                    <w:jc w:val="left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24"/>
                    </w:rPr>
                    <w:t>（四）训练配置与复现</w:t>
                  </w:r>
                </w:p>
              </w:tc>
            </w:tr>
            <w:tr w:rsidR="00000000" w14:paraId="1DA9A5A8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258AFB8A" w14:textId="77777777" w:rsidR="00B84295" w:rsidRDefault="00B84295">
                  <w:pPr>
                    <w:spacing w:before="0" w:after="80" w:line="276" w:lineRule="auto"/>
                    <w:ind w:rightChars="711" w:right="1493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固定种子42；TF-IDF 无显式截断。MiniLM 默认每段256个word pieces，非256空白词；编码器冻结，LR max_iter=2000，无神经微调学习率或epoch。</w:t>
                  </w:r>
                </w:p>
                <w:p>
                  <w:pPr>
                    <w:spacing w:before="0" w:after="80" w:line="276" w:lineRule="auto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复现使用 Windows、Python 3.13.15 与 Anaconda pytorch，模型在 CPU 上运行。本次验证的模型包为 sentence-transformers 5.1.1、transformers 4.57.1、tokenizers 0.22.1；模型修订号、包版本和来源均保存在环境记录中。这是本次复现环境，而非原运行的完整版本锁定记录。日志、进程编号和逐文件比较见 outputs/review/replay_evidence；CPU 环境即可执行本实验。</w:t>
                  </w:r>
                </w:p>
              </w:tc>
            </w:tr>
            <w:tr w:rsidR="00000000" w14:paraId="3FB82543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1044F002" w14:textId="77777777" w:rsidR="00B84295" w:rsidRDefault="00B84295">
                  <w:pPr>
                    <w:spacing w:line="259" w:lineRule="auto"/>
                    <w:ind w:rightChars="711" w:right="1493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lastRenderedPageBreak/>
                    <w:t>（五）评价指标与数据划分</w:t>
                  </w:r>
                </w:p>
              </w:tc>
            </w:tr>
            <w:tr w:rsidR="00000000" w14:paraId="79DDC16D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167A5F72" w14:textId="77777777" w:rsidR="00B84295" w:rsidRDefault="00B84295">
                  <w:pPr>
                    <w:spacing w:after="40" w:line="276" w:lineRule="auto" w:before="0"/>
                    <w:ind w:rightChars="711" w:right="1493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主指标 Macro-F1；同时报告 Accuracy、Macro-P/R、每类 P/R/F1 与混淆矩阵。MiniLM 超参数仅在训练集内部验证，最终使用 QEvasion 官方 test；QNLI 在 train 抽样训练，在全量 dev 评价。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选择 Macro-F1 是因为 QEvasion 测试集三类支持数分别为 79、206、23，类别明显不均衡。该指标先分别计算各类精确率与召回率的调和平均，再对三类等权平均，使少数类的错误不会被多数类样本量掩盖。若模型始终预测最多的 Ambivalent Reply，Accuracy 仍可达到 0.6688，但其余两类召回率均为零，Macro-F1 只有 0.2672；所以只报告准确率会高估实际检测能力。再结合每类 P/R/F1 与混淆矩阵，才能看出明确拒答被误判的情况。QNLI 与 QEvasion 的任务及标签空间不同，两者分数不作直接优劣排序。</w:t>
                  </w:r>
                </w:p>
              </w:tc>
            </w:tr>
          </w:tbl>
          <w:p w14:paraId="4B525C8C" w14:textId="77777777" w:rsidR="00B84295" w:rsidRDefault="00B84295">
            <w:pPr>
              <w:keepNext/>
              <w:spacing w:before="80" w:after="80"/>
              <w:jc w:val="center"/>
            </w:pPr>
            <w:r>
              <w:rPr>
                <w:rFonts w:eastAsia="Noto Sans CJK SC"/>
                <w:b/>
                <w:color w:val="17365D"/>
                <w:sz w:val="19"/>
              </w:rPr>
              <w:t>表</w:t>
            </w:r>
            <w:r>
              <w:rPr>
                <w:rFonts w:eastAsia="Noto Sans CJK SC"/>
                <w:b/>
                <w:color w:val="17365D"/>
                <w:sz w:val="19"/>
              </w:rPr>
              <w:t xml:space="preserve">2  </w:t>
            </w:r>
            <w:r>
              <w:rPr>
                <w:rFonts w:eastAsia="Noto Sans CJK SC"/>
                <w:b/>
                <w:color w:val="17365D"/>
                <w:sz w:val="19"/>
              </w:rPr>
              <w:t>训练配置记录</w:t>
            </w:r>
          </w:p>
          <w:tbl>
            <w:tblPr>
              <w:tblW w:w="7835" w:type="dxa"/>
              <w:tblInd w:w="0" w:type="dxa"/>
              <w:tblBorders>
                <w:top w:val="single" w:sz="4" w:space="0" w:color="9AA5B1"/>
                <w:left w:val="single" w:sz="4" w:space="0" w:color="9AA5B1"/>
                <w:bottom w:val="single" w:sz="4" w:space="0" w:color="9AA5B1"/>
                <w:right w:val="single" w:sz="4" w:space="0" w:color="9AA5B1"/>
                <w:insideH w:val="single" w:sz="4" w:space="0" w:color="9AA5B1"/>
                <w:insideV w:val="single" w:sz="4" w:space="0" w:color="9AA5B1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584"/>
              <w:gridCol w:w="1656"/>
              <w:gridCol w:w="1584"/>
              <w:gridCol w:w="792"/>
              <w:gridCol w:w="1008"/>
              <w:gridCol w:w="1008"/>
            </w:tblGrid>
            <w:tr w:rsidR="00000000" w14:paraId="159ABD5F" w14:textId="77777777">
              <w:trPr>
                <w:tblHeader/>
              </w:trPr>
              <w:tc>
                <w:tcPr>
                  <w:tcW w:w="1584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1B53AB5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模型</w:t>
                  </w:r>
                </w:p>
              </w:tc>
              <w:tc>
                <w:tcPr>
                  <w:tcW w:w="1656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099EF0C" w14:textId="77777777" w:rsidR="00B84295" w:rsidRDefault="00B84295">
                  <w:pPr>
                    <w:spacing w:line="252" w:lineRule="auto"/>
                    <w:jc w:val="left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文本</w:t>
                  </w:r>
                  <w:r>
                    <w:rPr>
                      <w:rFonts w:hint="eastAsia" w:ascii="Times New Roman" w:hAnsi="Times New Roman" w:eastAsia="宋体"/>
                      <w:b/>
                      <w:color w:val="FFFFFF"/>
                      <w:sz w:val="18"/>
                    </w:rPr>
                    <w:t>表示向量长度</w:t>
                  </w:r>
                </w:p>
              </w:tc>
              <w:tc>
                <w:tcPr>
                  <w:tcW w:w="1584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C746929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/>
                      <w:color w:val="FFFFFF"/>
                      <w:sz w:val="18"/>
                    </w:rPr>
                    <w:t>文字</w:t>
                  </w: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最大长度</w:t>
                  </w:r>
                </w:p>
              </w:tc>
              <w:tc>
                <w:tcPr>
                  <w:tcW w:w="792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8F346E1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学习率</w:t>
                  </w:r>
                </w:p>
              </w:tc>
              <w:tc>
                <w:tcPr>
                  <w:tcW w:w="1008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7F2D851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训练轮数</w:t>
                  </w:r>
                </w:p>
              </w:tc>
              <w:tc>
                <w:tcPr>
                  <w:tcW w:w="1008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A616634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随机种子</w:t>
                  </w:r>
                </w:p>
              </w:tc>
            </w:tr>
            <w:tr w:rsidR="00000000" w14:paraId="569E2E11" w14:textId="77777777">
              <w:tc>
                <w:tcPr>
                  <w:tcW w:w="158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C5FAF3D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TF-IDF + LR</w:t>
                  </w:r>
                </w:p>
              </w:tc>
              <w:tc>
                <w:tcPr>
                  <w:tcW w:w="165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DD2AD2C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121,340维</w:t>
                  </w:r>
                </w:p>
              </w:tc>
              <w:tc>
                <w:tcPr>
                  <w:tcW w:w="158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64A4E20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无显式截断</w:t>
                  </w:r>
                </w:p>
              </w:tc>
              <w:tc>
                <w:tcPr>
                  <w:tcW w:w="792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BA3CCA2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不适用</w:t>
                  </w:r>
                </w:p>
              </w:tc>
              <w:tc>
                <w:tcPr>
                  <w:tcW w:w="1008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5EE46BC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上限2000</w:t>
                  </w:r>
                </w:p>
              </w:tc>
              <w:tc>
                <w:tcPr>
                  <w:tcW w:w="1008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11C52B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42</w:t>
                  </w:r>
                </w:p>
              </w:tc>
            </w:tr>
            <w:tr w:rsidR="00000000" w14:paraId="6E3FFC9A" w14:textId="77777777">
              <w:tc>
                <w:tcPr>
                  <w:tcW w:w="1584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D5A181F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MiniLM + LR</w:t>
                  </w:r>
                </w:p>
              </w:tc>
              <w:tc>
                <w:tcPr>
                  <w:tcW w:w="1656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45C1DD9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384×4=1,536维</w:t>
                  </w:r>
                </w:p>
              </w:tc>
              <w:tc>
                <w:tcPr>
                  <w:tcW w:w="1584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CF1FDB3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默认256 token</w:t>
                  </w:r>
                </w:p>
              </w:tc>
              <w:tc>
                <w:tcPr>
                  <w:tcW w:w="792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A9E9D23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不适用</w:t>
                  </w:r>
                </w:p>
              </w:tc>
              <w:tc>
                <w:tcPr>
                  <w:tcW w:w="1008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1FF0AC6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上限2000</w:t>
                  </w:r>
                </w:p>
              </w:tc>
              <w:tc>
                <w:tcPr>
                  <w:tcW w:w="1008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04D3D93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42</w:t>
                  </w:r>
                </w:p>
              </w:tc>
            </w:tr>
            <w:tr w:rsidR="00000000" w14:paraId="5835367C" w14:textId="77777777">
              <w:tc>
                <w:tcPr>
                  <w:tcW w:w="158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7CA95BC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QNLI TF-IDF + LR</w:t>
                  </w:r>
                </w:p>
              </w:tc>
              <w:tc>
                <w:tcPr>
                  <w:tcW w:w="165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1DF1574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词表随训练集</w:t>
                  </w:r>
                </w:p>
              </w:tc>
              <w:tc>
                <w:tcPr>
                  <w:tcW w:w="158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646D9E9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无显式截断</w:t>
                  </w:r>
                </w:p>
              </w:tc>
              <w:tc>
                <w:tcPr>
                  <w:tcW w:w="792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722802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不适用</w:t>
                  </w:r>
                </w:p>
              </w:tc>
              <w:tc>
                <w:tcPr>
                  <w:tcW w:w="1008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19B676F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上限2000</w:t>
                  </w:r>
                </w:p>
              </w:tc>
              <w:tc>
                <w:tcPr>
                  <w:tcW w:w="1008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1DBCC31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42</w:t>
                  </w:r>
                </w:p>
              </w:tc>
            </w:tr>
          </w:tbl>
          <w:p w14:paraId="0C782637" w14:textId="77777777" w:rsidR="00B84295" w:rsidRDefault="00B84295">
            <w:pPr>
              <w:spacing w:before="0" w:after="50" w:line="259" w:lineRule="auto"/>
              <w:rPr>
                <w:rFonts w:hint="eastAsia"/>
                <w:b/>
                <w:sz w:val="28"/>
                <w:szCs w:val="28"/>
              </w:rPr>
            </w:pPr>
            <w:r>
              <w:rPr>
                <w:rFonts w:ascii="宋体" w:hAnsi="宋体" w:eastAsia="宋体"/>
                <w:b w:val="0"/>
                <w:sz w:val="17"/>
              </w:rPr>
              <w:t>注：表2的“训练轮数”对 Logistic Regression 填最大迭代上限，并不表示实际迭代次数；MiniLM 未进行权重微调。QNLI 模型使用 C＝1.0、验证集选择类别权重。</w:t>
            </w:r>
          </w:p>
        </w:tc>
      </w:tr>
      <w:tr w:rsidR="00000000" w14:paraId="2375242B" w14:textId="77777777">
        <w:trPr/>
        <w:tc>
          <w:tcPr>
            <w:tcW w:w="8177" w:type="dxa"/>
          </w:tcPr>
          <w:p w14:paraId="66EF1125" w14:textId="77777777" w:rsidR="00B84295" w:rsidRDefault="00B84295">
            <w:pPr>
              <w:pStyle w:val="Heading1"/>
              <w:keepNext/>
              <w:spacing w:before="200" w:after="100" w:line="259" w:lineRule="auto"/>
              <w:ind w:firstLine="0"/>
              <w:rPr>
                <w:rFonts w:hint="eastAsia"/>
                <w:b/>
                <w:sz w:val="28"/>
                <w:szCs w:val="28"/>
              </w:rPr>
            </w:pPr>
            <w:r>
              <w:rPr>
                <w:rFonts w:ascii="黑体" w:hAnsi="黑体" w:eastAsia="黑体"/>
                <w:b/>
                <w:color w:val="000000"/>
                <w:sz w:val="28"/>
              </w:rPr>
              <w:t>实验过程及内容：</w:t>
            </w:r>
          </w:p>
          <w:tbl>
            <w:tblPr>
              <w:tblW w:w="7632" w:type="dxa"/>
              <w:tblInd w:w="0" w:type="dxa"/>
              <w:tblBorders>
                <w:top w:val="single" w:sz="6" w:space="0" w:color="7F7F7F"/>
                <w:left w:val="single" w:sz="6" w:space="0" w:color="7F7F7F"/>
                <w:bottom w:val="single" w:sz="6" w:space="0" w:color="7F7F7F"/>
                <w:right w:val="single" w:sz="6" w:space="0" w:color="7F7F7F"/>
                <w:insideH w:val="single" w:sz="6" w:space="0" w:color="7F7F7F"/>
                <w:insideV w:val="single" w:sz="6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32"/>
            </w:tblGrid>
            <w:tr w:rsidR="00000000" w14:paraId="31C5639D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7C71B8A4" w14:textId="77777777" w:rsidR="00B84295" w:rsidRDefault="00B84295">
                  <w:pPr>
                    <w:spacing w:line="259" w:lineRule="auto"/>
                    <w:ind w:rightChars="701" w:right="1472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实验过程记录</w:t>
                  </w:r>
                </w:p>
              </w:tc>
            </w:tr>
            <w:tr w:rsidR="00000000" w14:paraId="7E246429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7C8B5792" w14:textId="77777777" w:rsidR="00B84295" w:rsidRDefault="00B84295">
                  <w:pPr>
                    <w:tabs>
                      <w:tab w:val="left" w:pos="360"/>
                    </w:tabs>
                    <w:spacing w:before="0" w:after="80" w:line="276" w:lineRule="auto"/>
                    <w:ind w:rightChars="701" w:right="1472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2026年10月18日，在隔离目录中新开 Python 进程，顺序运行 01—06，均正常结束；各进程实测总耗时为 3.84、17.02、44.04、9.79、5.15、7.19 秒（含启动与导入）。03 在 CPU 上重新编码 7,512 段文本，编码日志为 28.9 秒；四个缓存数组与原数组逐元素相同。全部最终硬预测、主要评估指标和混淆矩阵复现一致；未选中的 C=10 验证 Macro-F1 从 0.5468 变为 0.5407，部分概率小数也有差异，因此一致性结论以最终预测和主指标为准。</w:t>
                  </w:r>
                </w:p>
                <w:p>
                  <w:pPr>
                    <w:spacing w:before="0" w:after="80" w:line="276" w:lineRule="auto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在 code 目录依次执行 python 01_eda.py 至 python 06_direct_transfer.py；07—09 为后验复核。日志和数值比较见 outputs/review/replay_evidence，来源与缓存核验见 review_validation.json。数据加载核心代码如下，图3为实际日志查看页截图。</w:t>
                  </w:r>
                </w:p>
              </w:tc>
            </w:tr>
          </w:tbl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数据读取及标签映射代码节选</w:t>
            </w:r>
          </w:p>
          <w:p>
            <w:pPr>
              <w:spacing w:after="80" w:line="300" w:lineRule="auto"/>
              <w:ind w:firstLine="0"/>
            </w:pPr>
            <w:r>
              <w:rPr>
                <w:rFonts w:ascii="Consolas" w:hAnsi="Consolas" w:eastAsia="Consolas"/>
                <w:b w:val="0"/>
                <w:color w:val="000000"/>
                <w:sz w:val="18"/>
              </w:rPr>
              <w:t>out["text_a"] = df[cfg["text_a_column"]].astype(str)</w:t>
              <w:br/>
              <w:t>out["text_b"] = df[cfg["text_b_column"]].astype(str)</w:t>
              <w:br/>
              <w:t>raw = df[cfg["label_column"]]</w:t>
              <w:br/>
              <w:t>out["label"] = raw.astype(str).map(cfg["label_mapping"])</w:t>
              <w:br/>
              <w:t># 本段适用于本数据的字符串原始标签</w:t>
              <w:br/>
              <w:t># Ambivalent → 1，报告展示为 Ambivalent Reply</w:t>
            </w:r>
          </w:p>
          <w:p w14:paraId="5523623C" w14:textId="77777777" w:rsidR="00B84295" w:rsidRDefault="00B84295">
            <w:pPr>
              <w:keepNext/>
              <w:spacing w:before="80" w:after="80"/>
              <w:jc w:val="center"/>
            </w:pPr>
            <w:r>
              <w:rPr>
                <w:rFonts w:eastAsia="Noto Sans CJK SC"/>
                <w:b/>
                <w:color w:val="17365D"/>
                <w:sz w:val="19"/>
              </w:rPr>
              <w:t>表</w:t>
            </w:r>
            <w:r>
              <w:rPr>
                <w:rFonts w:eastAsia="Noto Sans CJK SC"/>
                <w:b/>
                <w:color w:val="17365D"/>
                <w:sz w:val="19"/>
              </w:rPr>
              <w:t xml:space="preserve">3  </w:t>
            </w:r>
            <w:r>
              <w:rPr>
                <w:rFonts w:eastAsia="Noto Sans CJK SC"/>
                <w:b/>
                <w:color w:val="17365D"/>
                <w:sz w:val="19"/>
              </w:rPr>
              <w:t>模型总体性能</w:t>
            </w:r>
          </w:p>
          <w:tbl>
            <w:tblPr>
              <w:tblW w:w="8081" w:type="dxa"/>
              <w:tblInd w:w="0" w:type="dxa"/>
              <w:tblBorders>
                <w:top w:val="single" w:sz="4" w:space="0" w:color="9AA5B1"/>
                <w:left w:val="single" w:sz="4" w:space="0" w:color="9AA5B1"/>
                <w:bottom w:val="single" w:sz="4" w:space="0" w:color="9AA5B1"/>
                <w:right w:val="single" w:sz="4" w:space="0" w:color="9AA5B1"/>
                <w:insideH w:val="single" w:sz="4" w:space="0" w:color="9AA5B1"/>
                <w:insideV w:val="single" w:sz="4" w:space="0" w:color="9AA5B1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656"/>
              <w:gridCol w:w="1123"/>
              <w:gridCol w:w="1123"/>
              <w:gridCol w:w="1123"/>
              <w:gridCol w:w="1195"/>
              <w:gridCol w:w="1411"/>
            </w:tblGrid>
            <w:tr w:rsidR="00000000" w14:paraId="76AA908B" w14:textId="77777777">
              <w:trPr>
                <w:tblHeader/>
              </w:trPr>
              <w:tc>
                <w:tcPr>
                  <w:tcW w:w="1656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97C7156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模型</w:t>
                  </w:r>
                </w:p>
              </w:tc>
              <w:tc>
                <w:tcPr>
                  <w:tcW w:w="1123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614CC67" w14:textId="77777777" w:rsidR="00B84295" w:rsidRDefault="00B84295">
                  <w:pPr>
                    <w:spacing w:line="252" w:lineRule="auto"/>
                    <w:jc w:val="left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Accuracy</w:t>
                  </w:r>
                </w:p>
              </w:tc>
              <w:tc>
                <w:tcPr>
                  <w:tcW w:w="1123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6F2754B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Macro-P</w:t>
                  </w:r>
                </w:p>
              </w:tc>
              <w:tc>
                <w:tcPr>
                  <w:tcW w:w="1123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E8A8AF9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Macro-R</w:t>
                  </w:r>
                </w:p>
              </w:tc>
              <w:tc>
                <w:tcPr>
                  <w:tcW w:w="1195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4024C4B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Macro-F1</w:t>
                  </w:r>
                </w:p>
              </w:tc>
              <w:tc>
                <w:tcPr>
                  <w:tcW w:w="1411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735D148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备注</w:t>
                  </w:r>
                </w:p>
              </w:tc>
            </w:tr>
            <w:tr w:rsidR="00000000" w14:paraId="0B3FBDB9" w14:textId="77777777">
              <w:tc>
                <w:tcPr>
                  <w:tcW w:w="165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8781917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多数类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2672CC0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0.6688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B2C675D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0.2229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1863BAD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0.3333</w:t>
                  </w:r>
                </w:p>
              </w:tc>
              <w:tc>
                <w:tcPr>
                  <w:tcW w:w="119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5ABFAA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0.2672</w:t>
                  </w:r>
                </w:p>
              </w:tc>
              <w:tc>
                <w:tcPr>
                  <w:tcW w:w="1411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1BB5886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常数预测</w:t>
                  </w:r>
                </w:p>
              </w:tc>
            </w:tr>
            <w:tr w:rsidR="00000000" w14:paraId="31636386" w14:textId="77777777">
              <w:tc>
                <w:tcPr>
                  <w:tcW w:w="1656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75E2469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TF-IDF + LR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1A799D3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0.5390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5C52A1C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0.4327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7ED7B0B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0.4391</w:t>
                  </w:r>
                </w:p>
              </w:tc>
              <w:tc>
                <w:tcPr>
                  <w:tcW w:w="119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C962D09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0.4351</w:t>
                  </w:r>
                </w:p>
              </w:tc>
              <w:tc>
                <w:tcPr>
                  <w:tcW w:w="1411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84A9C86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balanced</w:t>
                  </w:r>
                </w:p>
              </w:tc>
            </w:tr>
            <w:tr w:rsidR="00000000" w14:paraId="7C5917D4" w14:textId="77777777">
              <w:tc>
                <w:tcPr>
                  <w:tcW w:w="165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CEDD0EA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MiniLM + LR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A74748D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0.5812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0A8335E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0.4755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FC77771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0.5353</w:t>
                  </w:r>
                </w:p>
              </w:tc>
              <w:tc>
                <w:tcPr>
                  <w:tcW w:w="119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23DD8CE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0.4855</w:t>
                  </w:r>
                </w:p>
              </w:tc>
              <w:tc>
                <w:tcPr>
                  <w:tcW w:w="1411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9B33DDD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冻结；C0.1</w:t>
                  </w:r>
                </w:p>
              </w:tc>
            </w:tr>
            <w:tr w:rsidR="00000000" w14:paraId="2DEE2F92" w14:textId="77777777">
              <w:tc>
                <w:tcPr>
                  <w:tcW w:w="1656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0F42A56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九细类汇总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208E4B5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0.6526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A3AC7D4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0.3122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C10C759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0.4025</w:t>
                  </w:r>
                </w:p>
              </w:tc>
              <w:tc>
                <w:tcPr>
                  <w:tcW w:w="119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ABC93CA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0.3504</w:t>
                  </w:r>
                </w:p>
              </w:tc>
              <w:tc>
                <w:tcPr>
                  <w:tcW w:w="1411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F7E5E22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概率求和</w:t>
                  </w:r>
                </w:p>
              </w:tc>
            </w:tr>
            <w:tr w:rsidR="00000000" w14:paraId="7F9EC896" w14:textId="77777777">
              <w:tc>
                <w:tcPr>
                  <w:tcW w:w="165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25A3B933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QNLI 适配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1504A61B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0.5764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6E6525B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0.5772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3964910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0.5757</w:t>
                  </w:r>
                </w:p>
              </w:tc>
              <w:tc>
                <w:tcPr>
                  <w:tcW w:w="119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621CB88B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0.5741</w:t>
                  </w:r>
                </w:p>
              </w:tc>
              <w:tc>
                <w:tcPr>
                  <w:tcW w:w="1411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02E0A822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QNLI dev</w:t>
                  </w:r>
                </w:p>
              </w:tc>
            </w:tr>
          </w:tbl>
          <w:p w14:paraId="09821118" w14:textId="77777777" w:rsidR="00B84295" w:rsidRDefault="00B84295">
            <w:pPr>
              <w:keepNext/>
              <w:spacing w:before="0" w:after="80" w:line="259" w:lineRule="auto"/>
              <w:jc w:val="center"/>
              <w:rPr>
                <w:rFonts w:eastAsia="Noto Sans CJK SC"/>
                <w:b/>
                <w:color w:val="17365D"/>
                <w:sz w:val="19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表3前四行是同一 QEvasion 官方 test（n=308）三分类；末行另列 QNLI dev 二分类，二者不按绝对分数排名。MiniLM 比 TF-IDF 的 Macro-F1 高0.0504，区间覆盖零，尚不能确认稳定优势。</w:t>
            </w:r>
          </w:p>
          <w:p w14:paraId="5DD66DCE" w14:textId="77777777" w:rsidR="00B84295" w:rsidRDefault="00B84295">
            <w:pPr>
              <w:keepNext/>
              <w:spacing w:before="0" w:after="80" w:line="259" w:lineRule="auto"/>
              <w:jc w:val="center"/>
              <w:rPr>
                <w:rFonts w:eastAsia="Noto Sans CJK SC"/>
                <w:b/>
                <w:color w:val="17365D"/>
                <w:sz w:val="19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九细类求和的 Accuracy 高0.0714而 Macro-F1低0.1351，因为284/308条预测为模糊类、Clear Reply预测数为零。互斥子类概率求和本身合法，退化只针对本次表示、权重与决策组合。</w:t>
            </w:r>
          </w:p>
          <w:p w14:paraId="063F587F" w14:textId="77777777" w:rsidR="00B84295" w:rsidRDefault="00B84295">
            <w:pPr>
              <w:keepNext/>
              <w:keepLines/>
              <w:spacing w:before="0" w:after="80" w:line="259" w:lineRule="auto"/>
              <w:jc w:val="center"/>
              <w:rPr>
                <w:rFonts w:eastAsia="Noto Sans CJK SC"/>
                <w:b/>
                <w:color w:val="17365D"/>
                <w:sz w:val="19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表4列出主模型（C=0.1）的各类指标，支持数合计308。</w:t>
            </w:r>
          </w:p>
          <w:p w14:paraId="4732BFC0" w14:textId="77777777" w:rsidR="00B84295" w:rsidRDefault="00B84295">
            <w:pPr>
              <w:keepNext/>
              <w:spacing w:before="80" w:after="80"/>
              <w:jc w:val="center"/>
            </w:pPr>
            <w:r>
              <w:rPr>
                <w:rFonts w:eastAsia="Noto Sans CJK SC"/>
                <w:b/>
                <w:color w:val="17365D"/>
                <w:sz w:val="19"/>
              </w:rPr>
              <w:lastRenderedPageBreak/>
              <w:t>表</w:t>
            </w:r>
            <w:r>
              <w:rPr>
                <w:rFonts w:eastAsia="Noto Sans CJK SC"/>
                <w:b/>
                <w:color w:val="17365D"/>
                <w:sz w:val="19"/>
              </w:rPr>
              <w:t xml:space="preserve">4  </w:t>
            </w:r>
            <w:r>
              <w:rPr>
                <w:rFonts w:eastAsia="Noto Sans CJK SC"/>
                <w:b/>
                <w:color w:val="17365D"/>
                <w:sz w:val="19"/>
              </w:rPr>
              <w:t>最佳模型类别级结果</w:t>
            </w:r>
          </w:p>
          <w:tbl>
            <w:tblPr>
              <w:tblW w:w="7632" w:type="dxa"/>
              <w:tblInd w:w="0" w:type="dxa"/>
              <w:tblBorders>
                <w:top w:val="single" w:sz="4" w:space="0" w:color="9AA5B1"/>
                <w:left w:val="single" w:sz="4" w:space="0" w:color="9AA5B1"/>
                <w:bottom w:val="single" w:sz="4" w:space="0" w:color="9AA5B1"/>
                <w:right w:val="single" w:sz="4" w:space="0" w:color="9AA5B1"/>
                <w:insideH w:val="single" w:sz="4" w:space="0" w:color="9AA5B1"/>
                <w:insideV w:val="single" w:sz="4" w:space="0" w:color="9AA5B1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849"/>
              <w:gridCol w:w="1322"/>
              <w:gridCol w:w="1427"/>
              <w:gridCol w:w="1435"/>
              <w:gridCol w:w="1600"/>
            </w:tblGrid>
            <w:tr w:rsidR="00000000" w14:paraId="40A2A9C1" w14:textId="77777777">
              <w:trPr>
                <w:tblHeader/>
              </w:trPr>
              <w:tc>
                <w:tcPr>
                  <w:tcW w:w="1849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0F30AC3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类别</w:t>
                  </w:r>
                </w:p>
              </w:tc>
              <w:tc>
                <w:tcPr>
                  <w:tcW w:w="1322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6F07E6F" w14:textId="77777777" w:rsidR="00B84295" w:rsidRDefault="00B84295">
                  <w:pPr>
                    <w:spacing w:line="252" w:lineRule="auto"/>
                    <w:jc w:val="left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样本数</w:t>
                  </w:r>
                </w:p>
              </w:tc>
              <w:tc>
                <w:tcPr>
                  <w:tcW w:w="1427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32F2684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Precision</w:t>
                  </w:r>
                </w:p>
              </w:tc>
              <w:tc>
                <w:tcPr>
                  <w:tcW w:w="1435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2E57227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Recall</w:t>
                  </w:r>
                </w:p>
              </w:tc>
              <w:tc>
                <w:tcPr>
                  <w:tcW w:w="1600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7591C62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F1</w:t>
                  </w:r>
                </w:p>
              </w:tc>
            </w:tr>
            <w:tr w:rsidR="00000000" w14:paraId="7E32782F" w14:textId="77777777">
              <w:tc>
                <w:tcPr>
                  <w:tcW w:w="1849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B5715E6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Clear Reply</w:t>
                  </w:r>
                </w:p>
              </w:tc>
              <w:tc>
                <w:tcPr>
                  <w:tcW w:w="1322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6EFE8A8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79</w:t>
                  </w:r>
                </w:p>
              </w:tc>
              <w:tc>
                <w:tcPr>
                  <w:tcW w:w="1427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CBD2F2E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0.4167</w:t>
                  </w:r>
                </w:p>
              </w:tc>
              <w:tc>
                <w:tcPr>
                  <w:tcW w:w="143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0C7A963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0.5063</w:t>
                  </w:r>
                </w:p>
              </w:tc>
              <w:tc>
                <w:tcPr>
                  <w:tcW w:w="1600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6BA2537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0.4571</w:t>
                  </w:r>
                </w:p>
              </w:tc>
            </w:tr>
            <w:tr w:rsidR="00000000" w14:paraId="4254B2BE" w14:textId="77777777">
              <w:tc>
                <w:tcPr>
                  <w:tcW w:w="1849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1398EAB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Ambivalent Reply</w:t>
                  </w:r>
                </w:p>
              </w:tc>
              <w:tc>
                <w:tcPr>
                  <w:tcW w:w="1322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8233007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206</w:t>
                  </w:r>
                </w:p>
              </w:tc>
              <w:tc>
                <w:tcPr>
                  <w:tcW w:w="1427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8F66AC4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0.7853</w:t>
                  </w:r>
                </w:p>
              </w:tc>
              <w:tc>
                <w:tcPr>
                  <w:tcW w:w="143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06A9C1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0.6214</w:t>
                  </w:r>
                </w:p>
              </w:tc>
              <w:tc>
                <w:tcPr>
                  <w:tcW w:w="1600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4F33C14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0.6938</w:t>
                  </w:r>
                </w:p>
              </w:tc>
            </w:tr>
            <w:tr w:rsidR="00000000" w14:paraId="380793DD" w14:textId="77777777">
              <w:tc>
                <w:tcPr>
                  <w:tcW w:w="1849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659F6F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Clear Non-Reply</w:t>
                  </w:r>
                </w:p>
              </w:tc>
              <w:tc>
                <w:tcPr>
                  <w:tcW w:w="1322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463662D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23</w:t>
                  </w:r>
                </w:p>
              </w:tc>
              <w:tc>
                <w:tcPr>
                  <w:tcW w:w="1427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4539207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0.2245</w:t>
                  </w:r>
                </w:p>
              </w:tc>
              <w:tc>
                <w:tcPr>
                  <w:tcW w:w="143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51613E6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0.4783</w:t>
                  </w:r>
                </w:p>
              </w:tc>
              <w:tc>
                <w:tcPr>
                  <w:tcW w:w="1600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B06340B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0.3056</w:t>
                  </w:r>
                </w:p>
              </w:tc>
            </w:tr>
            <w:tr w:rsidR="00000000" w14:paraId="3ACCCB27" w14:textId="77777777">
              <w:tc>
                <w:tcPr>
                  <w:tcW w:w="1849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5C06785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Macro Average</w:t>
                  </w:r>
                </w:p>
              </w:tc>
              <w:tc>
                <w:tcPr>
                  <w:tcW w:w="1322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15011D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308</w:t>
                  </w:r>
                </w:p>
              </w:tc>
              <w:tc>
                <w:tcPr>
                  <w:tcW w:w="1427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7C830C1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0.4755</w:t>
                  </w:r>
                </w:p>
              </w:tc>
              <w:tc>
                <w:tcPr>
                  <w:tcW w:w="143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6032DEF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0.5353</w:t>
                  </w:r>
                </w:p>
              </w:tc>
              <w:tc>
                <w:tcPr>
                  <w:tcW w:w="1600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3061127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0.4855</w:t>
                  </w:r>
                </w:p>
              </w:tc>
            </w:tr>
          </w:tbl>
          <w:p w14:paraId="5D9A63AB" w14:textId="77777777" w:rsidR="00B84295" w:rsidRDefault="00B84295">
            <w:pPr>
              <w:spacing w:before="0" w:after="50" w:line="259" w:lineRule="auto"/>
              <w:rPr>
                <w:rFonts w:hint="eastAsia"/>
              </w:rPr>
            </w:pPr>
            <w:r>
              <w:rPr>
                <w:rFonts w:ascii="宋体" w:hAnsi="宋体" w:eastAsia="宋体"/>
                <w:b w:val="0"/>
                <w:sz w:val="17"/>
              </w:rPr>
              <w:t>Clear Non-Reply 仅 23 条，F1＝0.3056，为三类最低；解释须结合混淆矩阵及案例。</w:t>
            </w:r>
          </w:p>
          <w:p w14:paraId="06EE826C" w14:textId="77777777" w:rsidR="00B84295" w:rsidRDefault="00B84295">
            <w:pPr>
              <w:spacing w:before="0" w:after="80" w:line="259" w:lineRule="auto"/>
              <w:rPr>
                <w:rFonts w:hint="eastAsia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同一原任务的总体指标与主模型混淆矩阵见“数据处理分析”中的图示；QNLI 结果仅在迁移表中解释。</w:t>
            </w:r>
          </w:p>
          <w:p w14:paraId="070E20E9" w14:textId="77777777" w:rsidR="00B84295" w:rsidRDefault="00B84295">
            <w:pPr>
              <w:spacing w:before="120" w:after="80" w:line="259" w:lineRule="auto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关键图表与运行截图</w:t>
            </w:r>
          </w:p>
          <w:p w14:paraId="44113C8C" w14:textId="77777777" w:rsidR="00B84295" w:rsidRDefault="00B84295">
            <w:pPr>
              <w:spacing w:after="80" w:line="259" w:lineRule="auto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图1、图2据原始数据生成；图3记录本次实际复现输出。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spacing w:before="100" w:after="4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773168" cy="1869491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fig1_label_distribution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73168" cy="186949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44C9FA6" w14:textId="77777777" w:rsidR="00B84295" w:rsidRDefault="00B84295">
                  <w:pPr>
                    <w:pStyle w:val="Caption"/>
                    <w:keepNext w:val="0"/>
                    <w:keepLines/>
                    <w:spacing w:after="80" w:line="259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图1 QEvasion 高层标签与训练集细粒度策略分布</w:t>
                  </w:r>
                </w:p>
                <w:p>
                  <w:pPr>
                    <w:keepNext w:val="0"/>
                    <w:spacing w:after="80" w:line="300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训练与测试均以模糊回答为多数，明确不回答支持数较少；细类分布只来自训练集，不能解释为测试分布。Implicit属于模糊回答，九类样本量差异较大，因此需要同时查看宏平均和各类指标，不能用多数类准确率替代均衡识别能力。</w:t>
                  </w:r>
                </w:p>
              </w:tc>
            </w:tr>
          </w:tbl>
          <w:p>
            <w:pPr>
              <w:spacing w:after="0" w:before="0"/>
            </w:pPr>
            <w:r>
              <w:t xml:space="preserve">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spacing w:before="100" w:after="4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773168" cy="1909267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fig2_length_distribution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73168" cy="190926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A958682" w14:textId="77777777" w:rsidR="00B84295" w:rsidRDefault="00B84295">
                  <w:pPr>
                    <w:pStyle w:val="Caption"/>
                    <w:keepNext w:val="0"/>
                    <w:keepLines/>
                    <w:spacing w:after="80" w:line="259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图2 全量问题与回答长度分布 回答使用对数横轴</w:t>
                  </w:r>
                </w:p>
                <w:p>
                  <w:pPr>
                    <w:keepNext w:val="0"/>
                    <w:spacing w:after="80" w:line="300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图中保留全部3,448条训练记录，三类使用共同分箱，回答采用对数横轴呈现长尾。≥600词回答为498条（14.44%），其中127/358/13条分别属于三类，模糊回答占71.89%，高于总体59.16%。这是分布关联，不能直接证明长度导致模型出错。</w:t>
                  </w:r>
                </w:p>
              </w:tc>
            </w:tr>
          </w:tbl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spacing w:after="80" w:line="300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</w:r>
                  <w:r>
                    <w:drawing>
                      <wp:inline xmlns:a="http://schemas.openxmlformats.org/drawingml/2006/main" xmlns:pic="http://schemas.openxmlformats.org/drawingml/2006/picture">
                        <wp:extent cx="4846320" cy="3004718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eproduction_log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846320" cy="300471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Caption"/>
                    <w:keepNext w:val="0"/>
                    <w:spacing w:after="80" w:line="300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图3 隔离复现的实际日志查看页截图</w:t>
                  </w:r>
                </w:p>
                <w:p>
                  <w:pPr>
                    <w:keepNext w:val="0"/>
                    <w:keepLines/>
                    <w:spacing w:after="80" w:line="300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截图展示本次真实运行日志的浏览器摘要页。01—06在独立进程中顺序执行，03重新编码全部文本；最终预测、主要指标与混淆矩阵一致，完整日志保留未选中参数和概率小数的差异。图中耗时包含进程启动及导入，四位小数展示值可由原日志追溯。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2"/>
              </w:rPr>
            </w:r>
          </w:p>
        </w:tc>
      </w:tr>
      <w:tr w:rsidR="00000000" w14:paraId="6D16AF3B" w14:textId="77777777">
        <w:trPr/>
        <w:tc>
          <w:tcPr>
            <w:tcW w:w="8177" w:type="dxa"/>
          </w:tcPr>
          <w:p w14:paraId="5FF94BD4" w14:textId="77777777" w:rsidR="00B84295" w:rsidRDefault="00B84295">
            <w:pPr>
              <w:pStyle w:val="Heading1"/>
              <w:keepNext/>
              <w:spacing w:before="200" w:after="100"/>
              <w:ind w:firstLine="0"/>
              <w:rPr>
                <w:rFonts w:hint="eastAsia"/>
                <w:b/>
                <w:bCs/>
              </w:rPr>
            </w:pPr>
            <w:r>
              <w:rPr>
                <w:rFonts w:hint="eastAsia" w:ascii="黑体" w:hAnsi="黑体" w:eastAsia="黑体"/>
                <w:b/>
                <w:bCs/>
                <w:color w:val="000000"/>
                <w:sz w:val="28"/>
              </w:rPr>
              <w:lastRenderedPageBreak/>
              <w:t>数据处理分析：</w:t>
            </w:r>
          </w:p>
          <w:tbl>
            <w:tblPr>
              <w:tblW w:w="7632" w:type="dxa"/>
              <w:tblInd w:w="0" w:type="dxa"/>
              <w:tblBorders>
                <w:top w:val="single" w:sz="6" w:space="0" w:color="7F7F7F"/>
                <w:left w:val="single" w:sz="6" w:space="0" w:color="7F7F7F"/>
                <w:bottom w:val="single" w:sz="6" w:space="0" w:color="7F7F7F"/>
                <w:right w:val="single" w:sz="6" w:space="0" w:color="7F7F7F"/>
                <w:insideH w:val="single" w:sz="6" w:space="0" w:color="7F7F7F"/>
                <w:insideV w:val="single" w:sz="6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32"/>
            </w:tblGrid>
            <w:tr w:rsidR="00000000" w14:paraId="77143F2A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79DEE56B" w14:textId="77777777" w:rsidR="00B84295" w:rsidRDefault="00B84295">
                  <w:pPr>
                    <w:spacing w:line="259" w:lineRule="auto"/>
                    <w:ind w:rightChars="606" w:right="1273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（一）总体结果分析</w:t>
                  </w:r>
                </w:p>
              </w:tc>
            </w:tr>
            <w:tr w:rsidR="00000000" w14:paraId="06BC99CF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5EC833DA" w14:textId="77777777" w:rsidR="00B84295" w:rsidRDefault="00B84295">
                  <w:pPr>
                    <w:tabs>
                      <w:tab w:val="left" w:pos="360"/>
                    </w:tabs>
                    <w:spacing w:before="0" w:after="40" w:line="276" w:lineRule="auto"/>
                    <w:ind w:rightChars="606" w:right="1273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最难类别为 Clear Non-Reply：测试集仅 23 条，主模型 F1＝0.3056，拒答或澄清语句可能被误判为清晰回答。Ambivalent Reply 数量最多（206 条），F1＝0.6938。</w:t>
                  </w:r>
                </w:p>
                <w:p>
                  <w:pPr>
                    <w:spacing w:before="0" w:after="4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TF-IDF 容易受关键词、回答长度和常见套话影响；MiniLM 增加了文本对的语义表示，在本次单次测试中 Macro-F1 高 0.0504，但该差距不应被解释为已证实的因果提升。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答案长短不决定是否清晰：长答可能绕开问题；短答也可能因上下文或标注边界而难判。表5的五个案例均可用逐样本预测文件及原文核查。</w:t>
                  </w:r>
                </w:p>
              </w:tc>
            </w:tr>
          </w:tbl>
          <w:p w14:paraId="0C6548E2" w14:textId="77777777" w:rsidR="00B84295" w:rsidRDefault="00B84295">
            <w:pPr>
              <w:spacing w:before="0" w:after="50" w:line="259" w:lineRule="auto"/>
              <w:rPr>
                <w:rFonts w:hint="eastAsia"/>
                <w:sz w:val="21"/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来源群体仅做训练集分布描述：Trump 1,325 条，Clear Reply 占 32.6%；Obama 1,010 条，占 22.4%；Bush 714 条，占 34.3%；Biden 399 条，占 37.3%。官方测试集 president/title 字段缺失，故不能据此声称模型对不同总统的测试表现有差异。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spacing w:before="100" w:after="4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773168" cy="17624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fig3_result_summary_corrected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73168" cy="17624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55615F4" w14:textId="77777777" w:rsidR="00B84295" w:rsidRDefault="00B84295">
                  <w:pPr>
                    <w:pStyle w:val="Caption"/>
                    <w:keepNext w:val="0"/>
                    <w:keepLines/>
                    <w:spacing w:after="80" w:line="259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图4 QEvasion 同一测试集结果与主模型混淆矩阵</w:t>
                  </w:r>
                </w:p>
                <w:p>
                  <w:pPr>
                    <w:keepNext w:val="0"/>
                    <w:spacing w:after="80" w:line="300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如图4所示，四种设置在同一308条测试记录上比较；多数类与九细类求和准确率虽较高，宏平均F1却较低。主模型仍将一部分模糊回答判为明确回答，明确不回答仅23条，单类结果受样本量影响。图中没有混列QNLI二分类成绩，避免跨任务直接排名。</w:t>
                  </w:r>
                </w:p>
              </w:tc>
            </w:tr>
          </w:tbl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</w:tcPr>
                <w:p w14:paraId="24A9BFCC" w14:textId="77777777" w:rsidR="00B84295" w:rsidRDefault="00B84295">
                  <w:pPr>
                    <w:spacing w:after="80" w:line="259" w:lineRule="auto" w:before="80"/>
                    <w:jc w:val="center"/>
                    <w:rPr>
                      <w:rFonts w:eastAsia="Noto Sans CJK SC" w:hint="eastAsia"/>
                      <w:i/>
                      <w:color w:val="666666"/>
                      <w:sz w:val="19"/>
                    </w:rPr>
                  </w:pPr>
                  <w:r>
                    <w:rPr>
                      <w:rFonts w:ascii="宋体" w:hAnsi="宋体" w:eastAsia="宋体"/>
                      <w:b/>
                      <w:color w:val="17365D"/>
                      <w:sz w:val="19"/>
                    </w:rPr>
                    <w:t>表5  典型误判样本</w:t>
                  </w:r>
                </w:p>
                <w:tbl>
                  <w:tblPr>
                    <w:tblW w:w="7596" w:type="dxa"/>
                    <w:tblInd w:w="0" w:type="dxa"/>
                    <w:tblBorders>
                      <w:top w:val="single" w:sz="4" w:space="0" w:color="9AA5B1"/>
                      <w:left w:val="single" w:sz="4" w:space="0" w:color="9AA5B1"/>
                      <w:bottom w:val="single" w:sz="4" w:space="0" w:color="9AA5B1"/>
                      <w:right w:val="single" w:sz="4" w:space="0" w:color="9AA5B1"/>
                      <w:insideH w:val="single" w:sz="4" w:space="0" w:color="9AA5B1"/>
                      <w:insideV w:val="single" w:sz="4" w:space="0" w:color="9AA5B1"/>
                    </w:tblBorders>
                    <w:tblLayout w:type="fixed"/>
                    <w:tblLook w:val="0000" w:firstRow="0" w:lastRow="0" w:firstColumn="0" w:lastColumn="0" w:noHBand="0" w:noVBand="0"/>
                  </w:tblPr>
                  <w:tblGrid>
                    <w:gridCol w:w="600"/>
                    <w:gridCol w:w="1600"/>
                    <w:gridCol w:w="1600"/>
                    <w:gridCol w:w="1200"/>
                    <w:gridCol w:w="1200"/>
                    <w:gridCol w:w="1396"/>
                  </w:tblGrid>
                  <w:tr w:rsidR="00000000" w14:paraId="1036232B" w14:textId="77777777">
                    <w:trPr>
                      <w:cantSplit/>
                      <w:tblHeader/>
                    </w:trPr>
                    <w:tc>
                      <w:tcPr>
                        <w:tcW w:w="600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1F2FC9B5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序号</w:t>
                        </w:r>
                      </w:p>
                    </w:tc>
                    <w:tc>
                      <w:tcPr>
                        <w:tcW w:w="1600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0759DB01" w14:textId="77777777" w:rsidR="00B84295" w:rsidRDefault="00B84295">
                        <w:pPr>
                          <w:spacing w:line="252" w:lineRule="auto"/>
                          <w:jc w:val="left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问题摘要</w:t>
                        </w:r>
                      </w:p>
                    </w:tc>
                    <w:tc>
                      <w:tcPr>
                        <w:tcW w:w="1600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1D337C53" w14:textId="77777777" w:rsidR="00B84295" w:rsidRDefault="00B84295">
                        <w:pPr>
                          <w:spacing w:line="252" w:lineRule="auto"/>
                          <w:jc w:val="left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回答摘要</w:t>
                        </w:r>
                      </w:p>
                    </w:tc>
                    <w:tc>
                      <w:tcPr>
                        <w:tcW w:w="1200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5B353027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真实标签</w:t>
                        </w:r>
                      </w:p>
                    </w:tc>
                    <w:tc>
                      <w:tcPr>
                        <w:tcW w:w="1200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22852442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预测标签</w:t>
                        </w:r>
                      </w:p>
                    </w:tc>
                    <w:tc>
                      <w:tcPr>
                        <w:tcW w:w="1396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68CCB484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误差类型</w:t>
                        </w: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/</w:t>
                        </w: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原因</w:t>
                        </w:r>
                      </w:p>
                    </w:tc>
                  </w:tr>
                  <w:tr w:rsidR="00000000" w14:paraId="32A915EA" w14:textId="77777777">
                    <w:trPr>
                      <w:cantSplit/>
                    </w:trPr>
                    <w:tc>
                      <w:tcPr>
                        <w:tcW w:w="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1</w:t>
                        </w:r>
                      </w:p>
                    </w:tc>
                    <w:tc>
                      <w:tcPr>
                        <w:tcW w:w="1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Can we go back to North Korea? (id154)</w:t>
                        </w:r>
                      </w:p>
                    </w:tc>
                    <w:tc>
                      <w:tcPr>
                        <w:tcW w:w="1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Please.</w:t>
                        </w:r>
                      </w:p>
                    </w:tc>
                    <w:tc>
                      <w:tcPr>
                        <w:tcW w:w="12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Reply</w:t>
                        </w:r>
                      </w:p>
                    </w:tc>
                    <w:tc>
                      <w:tcPr>
                        <w:tcW w:w="12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Non-Reply</w:t>
                        </w:r>
                      </w:p>
                    </w:tc>
                    <w:tc>
                      <w:tcPr>
                        <w:tcW w:w="1396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短答回应话题请求，依赖言语功能</w:t>
                        </w:r>
                      </w:p>
                    </w:tc>
                  </w:tr>
                  <w:tr w:rsidR="00000000" w14:paraId="7CE40CCA" w14:textId="77777777">
                    <w:trPr>
                      <w:cantSplit/>
                    </w:trPr>
                    <w:tc>
                      <w:tcPr>
                        <w:tcW w:w="6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2</w:t>
                        </w:r>
                      </w:p>
                    </w:tc>
                    <w:tc>
                      <w:tcPr>
                        <w:tcW w:w="16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Why not a failure on North Korea? (id307)</w:t>
                        </w:r>
                      </w:p>
                    </w:tc>
                    <w:tc>
                      <w:tcPr>
                        <w:tcW w:w="16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Because it takes time to get things done.</w:t>
                        </w:r>
                      </w:p>
                    </w:tc>
                    <w:tc>
                      <w:tcPr>
                        <w:tcW w:w="12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Reply</w:t>
                        </w:r>
                      </w:p>
                    </w:tc>
                    <w:tc>
                      <w:tcPr>
                        <w:tcW w:w="12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Ambivalent Reply</w:t>
                        </w:r>
                      </w:p>
                    </w:tc>
                    <w:tc>
                      <w:tcPr>
                        <w:tcW w:w="1396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概括理由与模糊回答边界</w:t>
                        </w:r>
                      </w:p>
                    </w:tc>
                  </w:tr>
                  <w:tr w:rsidR="00000000" w14:paraId="61D87B2B" w14:textId="77777777">
                    <w:trPr>
                      <w:cantSplit/>
                    </w:trPr>
                    <w:tc>
                      <w:tcPr>
                        <w:tcW w:w="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3</w:t>
                        </w:r>
                      </w:p>
                    </w:tc>
                    <w:tc>
                      <w:tcPr>
                        <w:tcW w:w="1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Military options after diplomacy? (id132)</w:t>
                        </w:r>
                      </w:p>
                    </w:tc>
                    <w:tc>
                      <w:tcPr>
                        <w:tcW w:w="1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Well, diplomacy hasn’t run its course…</w:t>
                        </w:r>
                      </w:p>
                    </w:tc>
                    <w:tc>
                      <w:tcPr>
                        <w:tcW w:w="12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Ambivalent Reply</w:t>
                        </w:r>
                      </w:p>
                    </w:tc>
                    <w:tc>
                      <w:tcPr>
                        <w:tcW w:w="12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Reply</w:t>
                        </w:r>
                      </w:p>
                    </w:tc>
                    <w:tc>
                      <w:tcPr>
                        <w:tcW w:w="1396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回答未覆盖所问假设条件</w:t>
                        </w:r>
                      </w:p>
                    </w:tc>
                  </w:tr>
                  <w:tr w:rsidR="00000000" w14:paraId="0FCAF9E2" w14:textId="77777777">
                    <w:trPr>
                      <w:cantSplit/>
                    </w:trPr>
                    <w:tc>
                      <w:tcPr>
                        <w:tcW w:w="6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4</w:t>
                        </w:r>
                      </w:p>
                    </w:tc>
                    <w:tc>
                      <w:tcPr>
                        <w:tcW w:w="16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Relation to Iraq? (id237)</w:t>
                        </w:r>
                      </w:p>
                    </w:tc>
                    <w:tc>
                      <w:tcPr>
                        <w:tcW w:w="16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What did have to do with what?</w:t>
                        </w:r>
                      </w:p>
                    </w:tc>
                    <w:tc>
                      <w:tcPr>
                        <w:tcW w:w="12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Non-Reply</w:t>
                        </w:r>
                      </w:p>
                    </w:tc>
                    <w:tc>
                      <w:tcPr>
                        <w:tcW w:w="12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Ambivalent Reply</w:t>
                        </w:r>
                      </w:p>
                    </w:tc>
                    <w:tc>
                      <w:tcPr>
                        <w:tcW w:w="1396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澄清或转写歧义，缺上下文</w:t>
                        </w:r>
                      </w:p>
                    </w:tc>
                  </w:tr>
                  <w:tr w:rsidR="00000000" w14:paraId="7E7F8510" w14:textId="77777777">
                    <w:trPr>
                      <w:cantSplit/>
                    </w:trPr>
                    <w:tc>
                      <w:tcPr>
                        <w:tcW w:w="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5</w:t>
                        </w:r>
                      </w:p>
                    </w:tc>
                    <w:tc>
                      <w:tcPr>
                        <w:tcW w:w="1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Would Fed cuts avert recession? (id240)</w:t>
                        </w:r>
                      </w:p>
                    </w:tc>
                    <w:tc>
                      <w:tcPr>
                        <w:tcW w:w="1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I do not comment on the decisions made by the Fed…</w:t>
                        </w:r>
                      </w:p>
                    </w:tc>
                    <w:tc>
                      <w:tcPr>
                        <w:tcW w:w="12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Non-Reply</w:t>
                        </w:r>
                      </w:p>
                    </w:tc>
                    <w:tc>
                      <w:tcPr>
                        <w:tcW w:w="12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Ambivalent Reply</w:t>
                        </w:r>
                      </w:p>
                    </w:tc>
                    <w:tc>
                      <w:tcPr>
                        <w:tcW w:w="1396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显式不评论线索被背景内容稀释</w:t>
                        </w:r>
                      </w:p>
                    </w:tc>
                  </w:tr>
                </w:tbl>
                <w:p>
                  <w:pPr>
                    <w:spacing w:after="80" w:line="300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五例与大作业使用同一组 id，均来自 predictions_st_lr.csv。问题栏为英文摘要，回答为原文片段；测试集没有细标签，因此误差原因只是基于可见文本的解释，不把它当作新的策略金标。</w:t>
                  </w:r>
                </w:p>
              </w:tc>
            </w:tr>
          </w:tbl>
          <w:p w14:paraId="7D20C446" w14:textId="77777777" w:rsidR="00B84295" w:rsidRDefault="00B84295">
            <w:pPr>
              <w:spacing w:before="0" w:after="50" w:line="259" w:lineRule="auto"/>
              <w:rPr>
                <w:rFonts w:hint="eastAsia"/>
                <w:sz w:val="21"/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改进方向：按问题类型和实体覆盖度分析误差，并以分组验证、少数类阈值校准和层级汇总归一化作后续实验。表5给出错误表现和假设性原因，不能仅凭单例证明模型内部决策机制。</w:t>
            </w:r>
          </w:p>
          <w:p>
            <w:pPr>
              <w:pStyle w:val="Caption"/>
              <w:keepNext/>
              <w:spacing w:after="80" w:line="30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表6a 固定模型 Macro-F1 差值的95%置信区间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color="9AA5B1"/>
                <w:left w:val="single" w:sz="4" w:color="9AA5B1"/>
                <w:bottom w:val="single" w:sz="4" w:color="9AA5B1"/>
                <w:right w:val="single" w:sz="4" w:color="9AA5B1"/>
                <w:insideH w:val="single" w:sz="4" w:color="9AA5B1"/>
                <w:insideV w:val="single" w:sz="4" w:color="9AA5B1"/>
              </w:tblBorders>
            </w:tblPr>
            <w:tblGrid>
              <w:gridCol w:w="2448"/>
              <w:gridCol w:w="864"/>
              <w:gridCol w:w="2160"/>
              <w:gridCol w:w="2160"/>
            </w:tblGrid>
            <w:tr>
              <w:trPr>
                <w:cantSplit/>
                <w:tblHeader/>
              </w:trPr>
              <w:tc>
                <w:tcPr>
                  <w:tcW w:type="dxa" w:w="2448"/>
                  <w:vAlign w:val="center"/>
                  <w:shd w:fill="17365D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18"/>
                    </w:rPr>
                    <w:t>比较</w:t>
                  </w:r>
                </w:p>
              </w:tc>
              <w:tc>
                <w:tcPr>
                  <w:tcW w:type="dxa" w:w="864"/>
                  <w:vAlign w:val="center"/>
                  <w:shd w:fill="17365D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18"/>
                    </w:rPr>
                    <w:t>差值</w:t>
                  </w:r>
                </w:p>
              </w:tc>
              <w:tc>
                <w:tcPr>
                  <w:tcW w:type="dxa" w:w="2160"/>
                  <w:vAlign w:val="center"/>
                  <w:shd w:fill="17365D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18"/>
                    </w:rPr>
                    <w:t>样本配对区间</w:t>
                  </w:r>
                </w:p>
              </w:tc>
              <w:tc>
                <w:tcPr>
                  <w:tcW w:type="dxa" w:w="2160"/>
                  <w:vAlign w:val="center"/>
                  <w:shd w:fill="17365D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18"/>
                    </w:rPr>
                    <w:t>URL簇配对区间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8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MiniLM − TF-IDF</w:t>
                  </w:r>
                </w:p>
              </w:tc>
              <w:tc>
                <w:tcPr>
                  <w:tcW w:type="dxa" w:w="864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+0.0504</w:t>
                  </w:r>
                </w:p>
              </w:tc>
              <w:tc>
                <w:tcPr>
                  <w:tcW w:type="dxa" w:w="2160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[−0.0157, 0.1189]</w:t>
                  </w:r>
                </w:p>
              </w:tc>
              <w:tc>
                <w:tcPr>
                  <w:tcW w:type="dxa" w:w="2160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[−0.0222, 0.1498]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8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九细类求和 − MiniLM</w:t>
                  </w:r>
                </w:p>
              </w:tc>
              <w:tc>
                <w:tcPr>
                  <w:tcW w:type="dxa" w:w="864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−0.1351</w:t>
                  </w:r>
                </w:p>
              </w:tc>
              <w:tc>
                <w:tcPr>
                  <w:tcW w:type="dxa" w:w="2160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[−0.2062, −0.0649]</w:t>
                  </w:r>
                </w:p>
              </w:tc>
              <w:tc>
                <w:tcPr>
                  <w:tcW w:type="dxa" w:w="2160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[−0.2268, −0.0637]</w:t>
                  </w:r>
                </w:p>
              </w:tc>
            </w:tr>
          </w:tbl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固定现有模型，在相同测试记录上做 10,000 次配对百分位 bootstrap（seed=42）。样本重采样沿用 08 的 Python RNG；来源簇使用 09 的 NumPy PCG64，按 56 个 URL 有放回抽簇并保留簇内全部记录。两种分析下 MiniLM 增量的区间均覆盖 0，尚不能确认稳定优势；原层级设置退化的区间均未覆盖 0。区间只描述当前测试样本的不确定性，不包括训练种子波动，也不能证明因果或跨数据集普遍优势。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</w:tcPr>
                <w:p>
                  <w:pPr>
                    <w:pStyle w:val="Caption"/>
                    <w:keepNext/>
                    <w:spacing w:after="80" w:line="300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表6b 固定表示与配置下的后验敏感性对照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single" w:sz="4" w:color="9AA5B1"/>
                      <w:left w:val="single" w:sz="4" w:color="9AA5B1"/>
                      <w:bottom w:val="single" w:sz="4" w:color="9AA5B1"/>
                      <w:right w:val="single" w:sz="4" w:color="9AA5B1"/>
                      <w:insideH w:val="single" w:sz="4" w:color="9AA5B1"/>
                      <w:insideV w:val="single" w:sz="4" w:color="9AA5B1"/>
                    </w:tblBorders>
                  </w:tblPr>
                  <w:tblGrid>
                    <w:gridCol w:w="4176"/>
                    <w:gridCol w:w="1728"/>
                    <w:gridCol w:w="1728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4176"/>
                        <w:vAlign w:val="center"/>
                        <w:shd w:fill="17365D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/>
                            <w:color w:val="FFFFFF"/>
                            <w:sz w:val="18"/>
                          </w:rPr>
                          <w:t>训练与决策设置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17365D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/>
                            <w:color w:val="FFFFFF"/>
                            <w:sz w:val="18"/>
                          </w:rPr>
                          <w:t>title留出 F1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17365D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/>
                            <w:color w:val="FFFFFF"/>
                            <w:sz w:val="18"/>
                          </w:rPr>
                          <w:t>URL留出 F1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176"/>
                        <w:vAlign w:val="center"/>
                        <w:shd w:fill="FFFFFF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直接三分类 balanced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FFFFF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0.4814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FFFFF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0.4792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176"/>
                        <w:vAlign w:val="center"/>
                        <w:shd w:fill="F3F6F9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九分类 balanced＋求和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3F6F9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0.3167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3F6F9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0.3396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176"/>
                        <w:vAlign w:val="center"/>
                        <w:shd w:fill="FFFFFF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九分类 balanced＋子类均值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FFFFF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0.4394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FFFFF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0.4713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176"/>
                        <w:vAlign w:val="center"/>
                        <w:shd w:fill="F3F6F9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九分类无权重＋求和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3F6F9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0.3349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3F6F9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0.3475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</w:tbl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后验敏感性对照固定缓存表示、C=0.1 和种子 42。原 title 留出为 3,182/266 条（140/35 个标题组），两侧 URL 也无交集；新增 URL 留出为 2,785/663 条（229/58 个来源），URL 交集为 0。按子类数 1/5/3 求均值缓解了原偏向，但两种留出上的 Macro-F1 仍低于直接三分类。细类互斥概率求和是合法边缘化；子类均值只是启发式决策分数，不能称为已校准概率。这些分析在既有测试结果可见后补做，用于解释敏感性，不用于重新选择主模型。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TF-IDF 的四种内部验证配置 Macro-F1 依次为 0.5084、0.5646、0.5115、0.5912，选中 unigram+bigram 与 balanced 权重；官方测试为 0.4351，下降 0.1561。实际整数标签分层划分产生 3,103 条拟合样本和 345 条验证样本，验证三类数量为 105/204/36；其中 343 条的来源 URL 已在拟合集出现，220 条（63.77%）共享完整回答，14 条共享完整问答对。这些相关样本使验证结果可能乐观；小样本波动与类别组成差异也可能有关，但不能据此确定全部落差的因果。官方测试未用于原始选参，仍作为主要模型比较依据。</w:t>
            </w:r>
          </w:p>
        </w:tc>
      </w:tr>
      <w:tr w:rsidR="00000000" w14:paraId="4C9119D0" w14:textId="77777777">
        <w:trPr/>
        <w:tc>
          <w:tcPr>
            <w:tcW w:w="8177" w:type="dxa"/>
          </w:tcPr>
          <w:p w14:paraId="1A4D69BD" w14:textId="77777777" w:rsidR="00B84295" w:rsidRDefault="00B84295">
            <w:pPr>
              <w:pStyle w:val="Heading1"/>
              <w:keepNext/>
              <w:spacing w:before="200" w:after="100"/>
              <w:ind w:firstLine="0"/>
              <w:rPr>
                <w:rFonts w:hint="eastAsia"/>
                <w:b/>
                <w:color w:val="17365D"/>
                <w:sz w:val="34"/>
              </w:rPr>
            </w:pPr>
            <w:r>
              <w:rPr>
                <w:rFonts w:eastAsia="黑体" w:ascii="黑体" w:hAnsi="黑体"/>
                <w:b/>
                <w:color w:val="000000"/>
                <w:sz w:val="28"/>
              </w:rPr>
              <w:lastRenderedPageBreak/>
              <w:t>跨场景迁移实验</w:t>
            </w:r>
            <w:r>
              <w:rPr>
                <w:rFonts w:hint="eastAsia" w:ascii="黑体" w:hAnsi="黑体" w:eastAsia="黑体"/>
                <w:b/>
                <w:color w:val="000000"/>
                <w:sz w:val="28"/>
              </w:rPr>
              <w:t>：</w:t>
            </w:r>
          </w:p>
          <w:tbl>
            <w:tblPr>
              <w:tblW w:w="7632" w:type="dxa"/>
              <w:tblInd w:w="0" w:type="dxa"/>
              <w:tblBorders>
                <w:top w:val="single" w:sz="6" w:space="0" w:color="7F7F7F"/>
                <w:left w:val="single" w:sz="6" w:space="0" w:color="7F7F7F"/>
                <w:bottom w:val="single" w:sz="6" w:space="0" w:color="7F7F7F"/>
                <w:right w:val="single" w:sz="6" w:space="0" w:color="7F7F7F"/>
                <w:insideH w:val="single" w:sz="6" w:space="0" w:color="7F7F7F"/>
                <w:insideV w:val="single" w:sz="6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32"/>
            </w:tblGrid>
            <w:tr w:rsidR="00000000" w14:paraId="37AA870A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26DE4284" w14:textId="77777777" w:rsidR="00B84295" w:rsidRDefault="00B84295">
                  <w:pPr>
                    <w:spacing w:line="259" w:lineRule="auto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（一）迁移数据选择</w:t>
                  </w:r>
                </w:p>
              </w:tc>
            </w:tr>
            <w:tr w:rsidR="00000000" w14:paraId="418F5E3B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240B503E" w14:textId="77777777" w:rsidR="00B84295" w:rsidRDefault="00B84295">
                  <w:pPr>
                    <w:spacing w:after="40" w:line="276" w:lineRule="auto" w:before="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选择 GLUE QNLI。QNLI 输入 question 与 sentence，标签是 entailment／not_entailment，属于证据句是否支持回答的二分类，而非政治问答回避三分类。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适配器复用 text_a/text_b、TF-IDF＋LR 管线、固定种子、评估与逐样本预测输出；按类各抽样 6,000 条训练，使用官方 dev 5,463 条评价。标签意义和错误解释需要重新定义。</w:t>
                  </w:r>
                </w:p>
              </w:tc>
            </w:tr>
          </w:tbl>
          <w:p w14:paraId="341ECAFC" w14:textId="77777777" w:rsidR="00B84295" w:rsidRDefault="00B84295">
            <w:pPr>
              <w:spacing w:before="0" w:after="50" w:line="259" w:lineRule="auto"/>
              <w:rPr>
                <w:rFonts w:hint="eastAsia"/>
                <w:b/>
                <w:color w:val="17365D"/>
                <w:sz w:val="21"/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“直接迁移”使用源域模型预测后作固定投影：Clear Reply→entailment，另两类→not_entailment。这只是可检验的操作性假设，不能把“回答清晰”与“证据蕴含”视为同一语义。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</w:tcPr>
                <w:p w14:paraId="1C5DFF50" w14:textId="77777777" w:rsidR="00B84295" w:rsidRDefault="00B84295">
                  <w:pPr>
                    <w:keepNext/>
                    <w:spacing w:before="80" w:after="80"/>
                    <w:jc w:val="center"/>
                  </w:pPr>
                  <w:r>
                    <w:rPr>
                      <w:rFonts w:eastAsia="Noto Sans CJK SC"/>
                      <w:b/>
                      <w:color w:val="17365D"/>
                      <w:sz w:val="19"/>
                    </w:rPr>
                    <w:t>表</w:t>
                  </w:r>
                  <w:r>
                    <w:rPr>
                      <w:rFonts w:eastAsia="Noto Sans CJK SC"/>
                      <w:b/>
                      <w:color w:val="17365D"/>
                      <w:sz w:val="19"/>
                    </w:rPr>
                    <w:t xml:space="preserve">7  </w:t>
                  </w:r>
                  <w:r>
                    <w:rPr>
                      <w:rFonts w:eastAsia="Noto Sans CJK SC"/>
                      <w:b/>
                      <w:color w:val="17365D"/>
                      <w:sz w:val="19"/>
                    </w:rPr>
                    <w:t>原任务与迁移任务对比</w:t>
                  </w:r>
                </w:p>
                <w:tbl>
                  <w:tblPr>
                    <w:tblW w:w="7632" w:type="dxa"/>
                    <w:tblInd w:w="0" w:type="dxa"/>
                    <w:tblBorders>
                      <w:top w:val="single" w:sz="4" w:space="0" w:color="9AA5B1"/>
                      <w:left w:val="single" w:sz="4" w:space="0" w:color="9AA5B1"/>
                      <w:bottom w:val="single" w:sz="4" w:space="0" w:color="9AA5B1"/>
                      <w:right w:val="single" w:sz="4" w:space="0" w:color="9AA5B1"/>
                      <w:insideH w:val="single" w:sz="4" w:space="0" w:color="9AA5B1"/>
                      <w:insideV w:val="single" w:sz="4" w:space="0" w:color="9AA5B1"/>
                    </w:tblBorders>
                    <w:tblLayout w:type="fixed"/>
                    <w:tblLook w:val="0000" w:firstRow="0" w:lastRow="0" w:firstColumn="0" w:lastColumn="0" w:noHBand="0" w:noVBand="0"/>
                  </w:tblPr>
                  <w:tblGrid>
                    <w:gridCol w:w="1404"/>
                    <w:gridCol w:w="1549"/>
                    <w:gridCol w:w="1549"/>
                    <w:gridCol w:w="3129"/>
                  </w:tblGrid>
                  <w:tr w:rsidR="00000000" w14:paraId="17D1D4E7" w14:textId="77777777">
                    <w:trPr>
                      <w:tblHeader/>
                    </w:trPr>
                    <w:tc>
                      <w:tcPr>
                        <w:tcW w:w="1404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5D186AC4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宋体" w:ascii="Times New Roman" w:hAnsi="Times New Roman"/>
                            <w:b/>
                            <w:color w:val="FFFFFF"/>
                            <w:sz w:val="18"/>
                          </w:rPr>
                          <w:t>实验设置</w:t>
                        </w:r>
                      </w:p>
                    </w:tc>
                    <w:tc>
                      <w:tcPr>
                        <w:tcW w:w="1549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0CC4BEB8" w14:textId="77777777" w:rsidR="00B84295" w:rsidRDefault="00B84295">
                        <w:pPr>
                          <w:spacing w:line="252" w:lineRule="auto"/>
                          <w:jc w:val="left"/>
                        </w:pPr>
                        <w:r>
                          <w:rPr>
                            <w:rFonts w:eastAsia="宋体" w:ascii="Times New Roman" w:hAnsi="Times New Roman"/>
                            <w:b/>
                            <w:color w:val="FFFFFF"/>
                            <w:sz w:val="18"/>
                          </w:rPr>
                          <w:t>Accuracy</w:t>
                        </w:r>
                      </w:p>
                    </w:tc>
                    <w:tc>
                      <w:tcPr>
                        <w:tcW w:w="1549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72D54054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宋体" w:ascii="Times New Roman" w:hAnsi="Times New Roman"/>
                            <w:b/>
                            <w:color w:val="FFFFFF"/>
                            <w:sz w:val="18"/>
                          </w:rPr>
                          <w:t>Macro-F1</w:t>
                        </w:r>
                      </w:p>
                    </w:tc>
                    <w:tc>
                      <w:tcPr>
                        <w:tcW w:w="3129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7A11CC26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宋体" w:ascii="Times New Roman" w:hAnsi="Times New Roman"/>
                            <w:b/>
                            <w:color w:val="FFFFFF"/>
                            <w:sz w:val="18"/>
                          </w:rPr>
                          <w:t>主要结论</w:t>
                        </w:r>
                      </w:p>
                    </w:tc>
                  </w:tr>
                  <w:tr w:rsidR="00000000" w14:paraId="109E079F" w14:textId="77777777">
                    <w:tc>
                      <w:tcPr>
                        <w:tcW w:w="1404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67E16893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原方法基线</w:t>
                        </w:r>
                      </w:p>
                    </w:tc>
                    <w:tc>
                      <w:tcPr>
                        <w:tcW w:w="1549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4D75B441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0.5390</w:t>
                        </w:r>
                      </w:p>
                    </w:tc>
                    <w:tc>
                      <w:tcPr>
                        <w:tcW w:w="1549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37910E2F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0.4351</w:t>
                        </w:r>
                      </w:p>
                    </w:tc>
                    <w:tc>
                      <w:tcPr>
                        <w:tcW w:w="3129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52DA027B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QEvasion TF-IDF + LR；原任务三分类</w:t>
                        </w:r>
                      </w:p>
                    </w:tc>
                  </w:tr>
                  <w:tr w:rsidR="00000000" w14:paraId="41BC78B3" w14:textId="77777777">
                    <w:tc>
                      <w:tcPr>
                        <w:tcW w:w="1404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  <w:tcBorders>
                          <w:top w:val="double" w:sz="6" w:color="17365D"/>
                        </w:tcBorders>
                      </w:tcPr>
                      <w:p w14:paraId="1997178F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迁移数据基线</w:t>
                        </w:r>
                      </w:p>
                    </w:tc>
                    <w:tc>
                      <w:tcPr>
                        <w:tcW w:w="1549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  <w:tcBorders>
                          <w:top w:val="double" w:sz="6" w:color="17365D"/>
                        </w:tcBorders>
                      </w:tcPr>
                      <w:p w14:paraId="546F96A6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0.4946</w:t>
                        </w:r>
                      </w:p>
                    </w:tc>
                    <w:tc>
                      <w:tcPr>
                        <w:tcW w:w="1549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  <w:tcBorders>
                          <w:top w:val="double" w:sz="6" w:color="17365D"/>
                        </w:tcBorders>
                      </w:tcPr>
                      <w:p w14:paraId="57F34601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0.3309</w:t>
                        </w:r>
                      </w:p>
                    </w:tc>
                    <w:tc>
                      <w:tcPr>
                        <w:tcW w:w="3129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  <w:tcBorders>
                          <w:top w:val="double" w:sz="6" w:color="17365D"/>
                        </w:tcBorders>
                      </w:tcPr>
                      <w:p w14:paraId="2AD17D31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QNLI 平衡抽样训练集平局时固定预测一类</w:t>
                        </w:r>
                      </w:p>
                    </w:tc>
                  </w:tr>
                  <w:tr w:rsidR="00000000" w14:paraId="5D0B2A37" w14:textId="77777777">
                    <w:tc>
                      <w:tcPr>
                        <w:tcW w:w="1404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766F31D5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直接迁移</w:t>
                        </w:r>
                      </w:p>
                    </w:tc>
                    <w:tc>
                      <w:tcPr>
                        <w:tcW w:w="1549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22D7AB2C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0.5047</w:t>
                        </w:r>
                      </w:p>
                    </w:tc>
                    <w:tc>
                      <w:tcPr>
                        <w:tcW w:w="1549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46CE74F3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0.3364</w:t>
                        </w:r>
                      </w:p>
                    </w:tc>
                    <w:tc>
                      <w:tcPr>
                        <w:tcW w:w="3129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7969706E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仅源域训练；固定投影 Clear Reply→entailment，其余→not entailment</w:t>
                        </w:r>
                      </w:p>
                    </w:tc>
                  </w:tr>
                  <w:tr w:rsidR="00000000" w14:paraId="0FECBBB1" w14:textId="77777777">
                    <w:tc>
                      <w:tcPr>
                        <w:tcW w:w="1404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105F5C5F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适配后训练</w:t>
                        </w:r>
                      </w:p>
                    </w:tc>
                    <w:tc>
                      <w:tcPr>
                        <w:tcW w:w="1549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35675A91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0.5764</w:t>
                        </w:r>
                      </w:p>
                    </w:tc>
                    <w:tc>
                      <w:tcPr>
                        <w:tcW w:w="1549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590A2D0A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0.5741</w:t>
                        </w:r>
                      </w:p>
                    </w:tc>
                    <w:tc>
                      <w:tcPr>
                        <w:tcW w:w="3129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766EB398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QNLI 重新训练分类器；字段和管线复用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</w:tbl>
          <w:p w14:paraId="07E93751" w14:textId="77777777" w:rsidR="00B84295" w:rsidRDefault="00B84295">
            <w:pPr>
              <w:spacing w:before="0" w:after="50" w:line="259" w:lineRule="auto"/>
              <w:rPr>
                <w:rFonts w:hint="eastAsia"/>
                <w:b/>
                <w:color w:val="17365D"/>
                <w:sz w:val="34"/>
              </w:rPr>
            </w:pPr>
            <w:r>
              <w:rPr>
                <w:rFonts w:ascii="宋体" w:hAnsi="宋体" w:eastAsia="宋体"/>
                <w:b w:val="0"/>
                <w:sz w:val="17"/>
              </w:rPr>
              <w:t>表7首行来自 QEvasion test 三分类，后三行来自 QNLI dev 二分类；跨任务绝对分数不可直接比较。QNLI 训练集平局固定类基线为 0.4946/0.3309，直接投影为 0.5047/0.3364，目标域重训后为 0.5764/0.5741。</w:t>
            </w:r>
          </w:p>
          <w:tbl>
            <w:tblPr>
              <w:tblW w:w="7632" w:type="dxa"/>
              <w:tblInd w:w="0" w:type="dxa"/>
              <w:tblBorders>
                <w:top w:val="single" w:sz="6" w:space="0" w:color="7F7F7F"/>
                <w:left w:val="single" w:sz="6" w:space="0" w:color="7F7F7F"/>
                <w:bottom w:val="single" w:sz="6" w:space="0" w:color="7F7F7F"/>
                <w:right w:val="single" w:sz="6" w:space="0" w:color="7F7F7F"/>
                <w:insideH w:val="single" w:sz="6" w:space="0" w:color="7F7F7F"/>
                <w:insideV w:val="single" w:sz="6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32"/>
            </w:tblGrid>
            <w:tr w:rsidR="00000000" w14:paraId="0FD5BAE9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18FBD2E1" w14:textId="77777777" w:rsidR="00B84295" w:rsidRDefault="00B84295">
                  <w:pPr>
                    <w:spacing w:line="259" w:lineRule="auto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（二）迁移分析问题</w:t>
                  </w:r>
                </w:p>
              </w:tc>
            </w:tr>
            <w:tr w:rsidR="00000000" w14:paraId="05E98D17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157046D4" w14:textId="77777777" w:rsidR="00B84295" w:rsidRDefault="00B84295">
                  <w:pPr>
                    <w:tabs>
                      <w:tab w:val="left" w:pos="360"/>
                    </w:tabs>
                    <w:spacing w:before="0" w:after="4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共同点：都需要联合理解问句与后续文本，而不是孤立处理单句。区别：QEvasion 判回答是否正面回应，QNLI 判候选句是否蕴含答案；标签空间、证据结构与错误代价均不同。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直接标签投影仅略高于 QNLI 基线；使用 QNLI 标签重训后 Macro-F1 提升至 0.5741。这支持复用处理与评估框架、重新学习目标决策边界，不能证明 QEvasion 模型参数能零样本迁移。</w:t>
                  </w:r>
                </w:p>
              </w:tc>
            </w:tr>
          </w:tbl>
          <w:p w14:paraId="6BD651A4" w14:textId="77777777" w:rsidR="00B84295" w:rsidRDefault="00B84295">
            <w:pPr>
              <w:spacing w:before="0" w:after="50" w:line="259" w:lineRule="auto"/>
              <w:rPr>
                <w:rFonts w:hint="eastAsia"/>
                <w:sz w:val="21"/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迁移局限：QNLI 是二分类且 dev 有标签；源域和目标域并无自然的一一对应标签。目标任务内部的基线—直接迁移—适配后训练才构成有效的数值对照。</w:t>
            </w:r>
          </w:p>
          <w:p w14:paraId="1806F9D1" w14:textId="77777777" w:rsidR="00B84295" w:rsidRDefault="00B84295">
            <w:pPr>
              <w:spacing w:before="0" w:after="0" w:line="259" w:lineRule="auto"/>
              <w:rPr>
                <w:rFonts w:hint="eastAsia"/>
              </w:rPr>
            </w:pPr>
            <w:r>
              <w:rPr>
                <w:rFonts w:ascii="宋体" w:hAnsi="宋体" w:eastAsia="宋体"/>
                <w:b w:val="0"/>
                <w:sz w:val="19"/>
              </w:rPr>
            </w:r>
          </w:p>
          <w:p w14:paraId="5EAA7681" w14:textId="77777777" w:rsidR="00B84295" w:rsidRDefault="00B84295">
            <w:pPr>
              <w:spacing w:before="0" w:after="0" w:line="259" w:lineRule="auto"/>
              <w:rPr>
                <w:rFonts w:hint="eastAsia"/>
              </w:rPr>
            </w:pPr>
            <w:r>
              <w:rPr>
                <w:rFonts w:ascii="宋体" w:hAnsi="宋体" w:eastAsia="宋体"/>
                <w:b w:val="0"/>
                <w:sz w:val="19"/>
              </w:rPr>
            </w:r>
          </w:p>
        </w:tc>
      </w:tr>
    </w:tbl>
    <w:p w14:paraId="7598306D" w14:textId="77777777" w:rsidR="00B84295" w:rsidRDefault="00B84295">
      <w:pPr>
        <w:rPr>
          <w:rFonts w:hint="eastAsia"/>
        </w:rPr>
      </w:pPr>
    </w:p>
    <w:tbl>
      <w:tblPr>
        <w:tblW w:w="0" w:type="auto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218"/>
      </w:tblGrid>
      <w:tr w:rsidR="00000000" w14:paraId="5FC7C0A0" w14:textId="77777777">
        <w:tc>
          <w:tcPr>
            <w:tcW w:w="8218" w:type="dxa"/>
          </w:tcPr>
          <w:p w14:paraId="6A86CD11" w14:textId="77777777" w:rsidR="00B84295" w:rsidRDefault="00B84295">
            <w:pPr>
              <w:pStyle w:val="Heading1"/>
              <w:keepNext/>
              <w:spacing w:before="200" w:after="100" w:line="259" w:lineRule="auto"/>
              <w:ind w:firstLine="0"/>
              <w:rPr>
                <w:rFonts w:hint="eastAsia"/>
              </w:rPr>
            </w:pPr>
            <w:r>
              <w:rPr>
                <w:rFonts w:ascii="黑体" w:hAnsi="黑体" w:eastAsia="黑体"/>
                <w:b/>
                <w:color w:val="000000"/>
                <w:sz w:val="28"/>
              </w:rPr>
              <w:t>实验结论：</w:t>
            </w:r>
          </w:p>
          <w:p w14:paraId="5075EE99" w14:textId="77777777" w:rsidR="00B84295" w:rsidRDefault="00B84295">
            <w:pPr>
              <w:spacing w:line="240" w:lineRule="auto" w:before="0" w:after="8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本实验将回答清晰度建模为问题与回答之间的信息关系，而不是单段文本的情感或主题判断。相同回答随提问内容改变可能具有不同标签，长回答又常含与目标子问题无关的背景。因此，输入必须保留文本对，解释错误时也要区分问题需求、回答证据与人工标注边界。</w:t>
            </w:r>
          </w:p>
          <w:p w14:paraId="574F5339" w14:textId="77777777" w:rsidR="00B84295" w:rsidRDefault="00B84295">
            <w:pPr>
              <w:spacing w:after="80" w:line="240" w:lineRule="auto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多数类准确率0.6688但Macro-F1仅0.2672，说明均衡识别比只命中多数类更重要。冻结MiniLM模型本次Macro-F1为0.4855，较TF-IDF高0.0504，主要伴随Clear Reply改善；明确不回答F1反而下降。按来源URL聚类的增量区间覆盖零，不能将一次观察写成稳定优势。原九细类求和偏向模糊类；启发式子类均值缓解退化但未超过直接三分类，不足以否定所有层级方法。</w:t>
            </w:r>
          </w:p>
          <w:p w14:paraId="1938A446" w14:textId="77777777" w:rsidR="00B84295" w:rsidRDefault="00B84295">
            <w:pPr>
              <w:spacing w:before="0" w:after="8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典型错误涉及短答的言语功能、概括理由、假设条件、拒绝评论与转写歧义。QNLI复用了字段、训练和评估接口，标签语义与分类器仍需重新学习；源域固定投影Macro-F1为0.3364，目标域训练为0.5741，这不构成两个任务难度的直接比较。来源审计还发现118条测试记录的URL在训练出现，且原行级验证共享回答，因而补做零URL重叠的训练内留出分析，并收窄跨来源泛化结论。</w:t>
            </w:r>
          </w:p>
          <w:p w14:paraId="2D02E0DB" w14:textId="77777777" w:rsidR="00B84295" w:rsidRDefault="00B84295">
            <w:pPr>
              <w:spacing w:before="0" w:after="8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程复核在隔离依赖与新进程中完整重跑01—06，重新编码缓存逐元素一致，全部最终预测与主要指标复现；未选参数和概率小数差异如实留在日志中。数据、特征与指标核验、来源分组和真实运行记录使复现证据更完整，但单次训练种子及有限样本仍限制外推。后续应优先检验来源分组多次验证、句对交互、分句证据定位及独立校准。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参考文献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[1] THOMAS K, FILANDRIANOS G, LYMPERAIOU M, et al. “I Never Said That”: A dataset, taxonomy and baselines on response clarity classification[C]//Findings of the Association for Computational Linguistics: EMNLP 2024. 2024: 5204–5233. https://aclanthology.org/2024.findings-emnlp.300/.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[2] AILSNTUA. QEvasion dataset[DB/OL]. Hugging Face. [2026-10-18]. https://huggingface.co/datasets/ailsntua/QEvasion.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[3] REIMERS N, GUREVYCH I. Sentence-BERT: Sentence Embeddings using Siamese BERT-Networks[C]//EMNLP-IJCNLP 2019. 2019: 3982–3992. https://aclanthology.org/D19-1410/.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[4] WANG L, YANG N, HUANG X, et al. Improving Text Embeddings with Large Language Models[C]//ACL 2024, Volume 1: Long Papers. 2024: 11897–11916. https://aclanthology.org/2024.acl-long.642/.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[5] WANG A, SINGH A, MICHAEL J, et al. GLUE: A Multi-Task Benchmark and Analysis Platform for Natural Language Understanding[C]//BlackboxNLP 2018. 2018: 353–355. https://aclanthology.org/W18-5446/.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[6] SENTENCE-TRANSFORMERS. all-MiniLM-L6-v2 model card[EB/OL]. Hugging Face. [2026-10-18]. https://huggingface.co/sentence-transformers/all-MiniLM-L6-v2.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[7] GLUE. QNLI official data files[DB/OL]. [2026-10-18]. https://dl.fbaipublicfiles.com/glue/data/QNLI.zip.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GitHub 仓库：</w:t>
            </w:r>
            <w:hyperlink r:id="rId15">
              <w:r>
                <w:rPr>
                  <w:color w:val="0563C1"/>
                </w:rPr>
                <w:t>https://github.com/huangyuke914235/NLP-</w:t>
              </w:r>
            </w:hyperlink>
          </w:p>
        </w:tc>
      </w:tr>
      <w:tr w:rsidR="00000000" w14:paraId="6695367B" w14:textId="77777777">
        <w:trPr>
          <w:trHeight w:val="6496"/>
        </w:trPr>
        <w:tc>
          <w:tcPr>
            <w:tcW w:w="8218" w:type="dxa"/>
          </w:tcPr>
          <w:p w14:paraId="0D3596D1" w14:textId="77777777" w:rsidR="00B84295" w:rsidRDefault="00B84295">
            <w:r>
              <w:rPr>
                <w:rFonts w:hint="eastAsia"/>
              </w:rPr>
              <w:lastRenderedPageBreak/>
              <w:t>指导教师批阅意见：</w:t>
            </w:r>
          </w:p>
          <w:p w14:paraId="5BE7777D" w14:textId="77777777" w:rsidR="00B84295" w:rsidRDefault="00B84295"/>
          <w:p w14:paraId="59DFCCA7" w14:textId="77777777" w:rsidR="00B84295" w:rsidRDefault="00B84295"/>
          <w:p w14:paraId="79BAFF20" w14:textId="77777777" w:rsidR="00B84295" w:rsidRDefault="00B84295"/>
          <w:p w14:paraId="15DA7460" w14:textId="77777777" w:rsidR="00B84295" w:rsidRDefault="00B84295"/>
          <w:p w14:paraId="78AF4330" w14:textId="77777777" w:rsidR="00B84295" w:rsidRDefault="00B84295"/>
          <w:p w14:paraId="76B1911B" w14:textId="77777777" w:rsidR="00B84295" w:rsidRDefault="00B84295">
            <w:r>
              <w:rPr>
                <w:rFonts w:hint="eastAsia"/>
              </w:rPr>
              <w:t>实验报告评分：</w:t>
            </w:r>
          </w:p>
          <w:p w14:paraId="15189EA4" w14:textId="77777777" w:rsidR="00B84295" w:rsidRDefault="00B84295"/>
          <w:p w14:paraId="6C8AA75B" w14:textId="77777777" w:rsidR="00B84295" w:rsidRDefault="00B84295"/>
          <w:p w14:paraId="1E434D97" w14:textId="77777777" w:rsidR="00B84295" w:rsidRDefault="00B84295"/>
          <w:p w14:paraId="17045354" w14:textId="77777777" w:rsidR="00B84295" w:rsidRDefault="00B84295"/>
          <w:p w14:paraId="1BFD7D35" w14:textId="77777777" w:rsidR="00B84295" w:rsidRDefault="00B84295">
            <w:r>
              <w:t xml:space="preserve">                                                 </w:t>
            </w:r>
            <w:r>
              <w:rPr>
                <w:rFonts w:hint="eastAsia"/>
              </w:rPr>
              <w:t>指导教师签字：</w:t>
            </w:r>
          </w:p>
          <w:p w14:paraId="66B91CDD" w14:textId="77777777" w:rsidR="00B84295" w:rsidRDefault="00B84295">
            <w:pPr>
              <w:rPr>
                <w:rFonts w:hint="eastAsia"/>
              </w:rPr>
            </w:pPr>
            <w:r>
              <w:t xml:space="preserve">                                          </w:t>
            </w:r>
            <w:r>
              <w:t xml:space="preserve">     </w:t>
            </w:r>
            <w:r>
              <w:rPr>
                <w:rFonts w:ascii="宋体" w:hAnsi="宋体" w:cs="宋体" w:hint="eastAsia"/>
                <w:sz w:val="24"/>
              </w:rPr>
              <w:t>2026</w:t>
            </w:r>
            <w:r>
              <w:rPr>
                <w:rFonts w:ascii="宋体" w:hAnsi="宋体" w:cs="宋体"/>
                <w:sz w:val="24"/>
              </w:rPr>
              <w:t>年</w:t>
            </w:r>
            <w:r>
              <w:rPr>
                <w:rFonts w:ascii="宋体" w:hAnsi="宋体" w:cs="宋体" w:hint="eastAsia"/>
                <w:sz w:val="24"/>
              </w:rPr>
              <w:t xml:space="preserve"> 12</w:t>
            </w:r>
            <w:r>
              <w:rPr>
                <w:rFonts w:ascii="宋体" w:hAnsi="宋体" w:cs="宋体"/>
                <w:sz w:val="24"/>
              </w:rPr>
              <w:t>月</w:t>
            </w:r>
            <w:r>
              <w:rPr>
                <w:rFonts w:ascii="宋体" w:hAnsi="宋体" w:cs="宋体" w:hint="eastAsia"/>
                <w:sz w:val="24"/>
              </w:rPr>
              <w:t>30</w:t>
            </w:r>
            <w:r>
              <w:rPr>
                <w:rFonts w:ascii="宋体" w:hAnsi="宋体" w:cs="宋体"/>
                <w:sz w:val="24"/>
              </w:rPr>
              <w:t>日</w:t>
            </w:r>
          </w:p>
        </w:tc>
      </w:tr>
      <w:tr w:rsidR="00000000" w14:paraId="19DCE137" w14:textId="77777777">
        <w:trPr>
          <w:trHeight w:val="1236"/>
        </w:trPr>
        <w:tc>
          <w:tcPr>
            <w:tcW w:w="8218" w:type="dxa"/>
          </w:tcPr>
          <w:p w14:paraId="0557F19E" w14:textId="77777777" w:rsidR="00B84295" w:rsidRDefault="00B84295">
            <w:pPr>
              <w:rPr>
                <w:rFonts w:hint="eastAsia"/>
              </w:rPr>
            </w:pPr>
            <w:r>
              <w:rPr>
                <w:rFonts w:hint="eastAsia"/>
              </w:rPr>
              <w:t>备注：</w:t>
            </w:r>
          </w:p>
        </w:tc>
      </w:tr>
    </w:tbl>
    <w:p w14:paraId="49B8B1E7" w14:textId="77777777" w:rsidR="00B84295" w:rsidRDefault="00B84295">
      <w:pPr>
        <w:rPr>
          <w:rFonts w:hint="eastAsia"/>
        </w:rPr>
      </w:pPr>
      <w:r>
        <w:rPr>
          <w:rFonts w:hint="eastAsia"/>
        </w:rPr>
        <w:t>注：</w:t>
      </w:r>
      <w:r>
        <w:rPr>
          <w:rFonts w:hint="eastAsia"/>
        </w:rPr>
        <w:t>1</w:t>
      </w:r>
      <w:r>
        <w:rPr>
          <w:rFonts w:hint="eastAsia"/>
        </w:rPr>
        <w:t>、报告内的项目或内容设置，可根据实际情况加以调整和补充。</w:t>
      </w:r>
    </w:p>
    <w:p w14:paraId="4D8DCA3A" w14:textId="77777777" w:rsidR="00B84295" w:rsidRDefault="00B84295">
      <w:pPr>
        <w:rPr>
          <w:rFonts w:hint="eastAsia"/>
        </w:rPr>
      </w:pPr>
      <w:r>
        <w:rPr>
          <w:rFonts w:hint="eastAsia"/>
        </w:rPr>
        <w:t xml:space="preserve">    2</w:t>
      </w:r>
      <w:r>
        <w:rPr>
          <w:rFonts w:hint="eastAsia"/>
        </w:rPr>
        <w:t>、教师批改学生实验报告时间应在学生提交实验报告时间后</w:t>
      </w:r>
      <w:r>
        <w:rPr>
          <w:rFonts w:hint="eastAsia"/>
        </w:rPr>
        <w:t>10</w:t>
      </w:r>
      <w:r>
        <w:rPr>
          <w:rFonts w:hint="eastAsia"/>
        </w:rPr>
        <w:t>日内。</w:t>
      </w:r>
    </w:p>
    <w:sectPr w:rsidR="00B84295">
      <w:pgSz w:w="11907" w:h="16840"/>
      <w:pgMar w:top="1440" w:right="1797" w:bottom="1440" w:left="1797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9F771" w14:textId="77777777" w:rsidR="00B84295" w:rsidRDefault="00B84295" w:rsidP="00AB47F1">
      <w:r>
        <w:separator/>
      </w:r>
    </w:p>
  </w:endnote>
  <w:endnote w:type="continuationSeparator" w:id="0">
    <w:p w14:paraId="4C823637" w14:textId="77777777" w:rsidR="00B84295" w:rsidRDefault="00B84295" w:rsidP="00AB47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Noto Sans CJK SC">
    <w:altName w:val="Segoe Print"/>
    <w:charset w:val="00"/>
    <w:family w:val="auto"/>
    <w:pitch w:val="default"/>
    <w:sig w:usb0="00000000" w:usb1="00000000" w:usb2="00000000" w:usb3="00000000" w:csb0="00040001" w:csb1="00000000"/>
  </w:font>
  <w:font w:name="DejaVu Sans Mono">
    <w:altName w:val="Segoe Print"/>
    <w:charset w:val="00"/>
    <w:family w:val="auto"/>
    <w:pitch w:val="default"/>
    <w:sig w:usb0="E60026FF" w:usb1="D200F9FB" w:usb2="02000028" w:usb3="00000000" w:csb0="600001DF" w:csb1="DFDF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33D596" w14:textId="77777777" w:rsidR="00B84295" w:rsidRDefault="00B84295" w:rsidP="00AB47F1">
      <w:r>
        <w:separator/>
      </w:r>
    </w:p>
  </w:footnote>
  <w:footnote w:type="continuationSeparator" w:id="0">
    <w:p w14:paraId="1933166D" w14:textId="77777777" w:rsidR="00B84295" w:rsidRDefault="00B84295" w:rsidP="00AB47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6A41F39"/>
    <w:multiLevelType w:val="singleLevel"/>
    <w:tmpl w:val="E6A41F39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4580B8AC"/>
    <w:multiLevelType w:val="singleLevel"/>
    <w:tmpl w:val="4580B8AC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5AADC6A9"/>
    <w:multiLevelType w:val="singleLevel"/>
    <w:tmpl w:val="5AADC6A9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5B8CCABE"/>
    <w:multiLevelType w:val="singleLevel"/>
    <w:tmpl w:val="5B8CCABE"/>
    <w:lvl w:ilvl="0">
      <w:start w:val="1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num w:numId="1" w16cid:durableId="1963000415">
    <w:abstractNumId w:val="2"/>
  </w:num>
  <w:num w:numId="2" w16cid:durableId="549152200">
    <w:abstractNumId w:val="3"/>
  </w:num>
  <w:num w:numId="3" w16cid:durableId="1903984080">
    <w:abstractNumId w:val="1"/>
  </w:num>
  <w:num w:numId="4" w16cid:durableId="1597984369">
    <w:abstractNumId w:val="0"/>
  </w:num>
  <w:num w:numId="5" w16cid:durableId="249392184">
    <w:abstractNumId w:val="2"/>
    <w:lvlOverride w:ilvl="0">
      <w:startOverride w:val="1"/>
    </w:lvlOverride>
  </w:num>
  <w:num w:numId="6" w16cid:durableId="6300744">
    <w:abstractNumId w:val="2"/>
    <w:lvlOverride w:ilvl="0">
      <w:startOverride w:val="1"/>
    </w:lvlOverride>
  </w:num>
  <w:num w:numId="7" w16cid:durableId="311719483">
    <w:abstractNumId w:val="2"/>
    <w:lvlOverride w:ilvl="0">
      <w:startOverride w:val="1"/>
    </w:lvlOverride>
  </w:num>
  <w:num w:numId="8" w16cid:durableId="7879093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ZTZiMWNkMzNmYTEzODcwNmQ5MTk1ZTFmMjczMWYwZGIifQ=="/>
  </w:docVars>
  <w:rsids>
    <w:rsidRoot w:val="00AD42E2"/>
    <w:rsid w:val="00001B68"/>
    <w:rsid w:val="00003B9B"/>
    <w:rsid w:val="00020DF0"/>
    <w:rsid w:val="000251C9"/>
    <w:rsid w:val="000342EA"/>
    <w:rsid w:val="000345A0"/>
    <w:rsid w:val="00037E89"/>
    <w:rsid w:val="000411D1"/>
    <w:rsid w:val="00044ACC"/>
    <w:rsid w:val="0006074F"/>
    <w:rsid w:val="00060DFB"/>
    <w:rsid w:val="000619D9"/>
    <w:rsid w:val="00066604"/>
    <w:rsid w:val="00067522"/>
    <w:rsid w:val="00071E42"/>
    <w:rsid w:val="00074E98"/>
    <w:rsid w:val="00076FA8"/>
    <w:rsid w:val="000873B6"/>
    <w:rsid w:val="00096447"/>
    <w:rsid w:val="000A637B"/>
    <w:rsid w:val="000B6009"/>
    <w:rsid w:val="000B68F2"/>
    <w:rsid w:val="000D5BFE"/>
    <w:rsid w:val="000D766B"/>
    <w:rsid w:val="000D7E91"/>
    <w:rsid w:val="000E3314"/>
    <w:rsid w:val="000E4794"/>
    <w:rsid w:val="000E5ED3"/>
    <w:rsid w:val="000F639A"/>
    <w:rsid w:val="00101224"/>
    <w:rsid w:val="0010539D"/>
    <w:rsid w:val="001142D2"/>
    <w:rsid w:val="00117549"/>
    <w:rsid w:val="00122B85"/>
    <w:rsid w:val="001233E6"/>
    <w:rsid w:val="0012447D"/>
    <w:rsid w:val="001405BE"/>
    <w:rsid w:val="00145865"/>
    <w:rsid w:val="00150CB9"/>
    <w:rsid w:val="00163C78"/>
    <w:rsid w:val="00175A7D"/>
    <w:rsid w:val="0019023D"/>
    <w:rsid w:val="001A4483"/>
    <w:rsid w:val="001B1B34"/>
    <w:rsid w:val="001B79E1"/>
    <w:rsid w:val="001C553C"/>
    <w:rsid w:val="001D3901"/>
    <w:rsid w:val="001F1C48"/>
    <w:rsid w:val="00211059"/>
    <w:rsid w:val="00225A94"/>
    <w:rsid w:val="002275F7"/>
    <w:rsid w:val="002362DC"/>
    <w:rsid w:val="00250C87"/>
    <w:rsid w:val="00261EA0"/>
    <w:rsid w:val="00263039"/>
    <w:rsid w:val="002642C2"/>
    <w:rsid w:val="00265D29"/>
    <w:rsid w:val="0028174F"/>
    <w:rsid w:val="002864E0"/>
    <w:rsid w:val="002A0E53"/>
    <w:rsid w:val="002A1853"/>
    <w:rsid w:val="002B02D0"/>
    <w:rsid w:val="002B0623"/>
    <w:rsid w:val="002B4669"/>
    <w:rsid w:val="002C0BA5"/>
    <w:rsid w:val="002C1F69"/>
    <w:rsid w:val="002C6B43"/>
    <w:rsid w:val="002C6DB1"/>
    <w:rsid w:val="002D3031"/>
    <w:rsid w:val="002D44C0"/>
    <w:rsid w:val="002E79D0"/>
    <w:rsid w:val="002F33B6"/>
    <w:rsid w:val="002F354A"/>
    <w:rsid w:val="002F74FD"/>
    <w:rsid w:val="00304070"/>
    <w:rsid w:val="00313B70"/>
    <w:rsid w:val="00321EC7"/>
    <w:rsid w:val="00322B63"/>
    <w:rsid w:val="00331128"/>
    <w:rsid w:val="00335F79"/>
    <w:rsid w:val="00342A0F"/>
    <w:rsid w:val="00345D64"/>
    <w:rsid w:val="0035017C"/>
    <w:rsid w:val="00350BEF"/>
    <w:rsid w:val="00362F6F"/>
    <w:rsid w:val="00374587"/>
    <w:rsid w:val="003752DE"/>
    <w:rsid w:val="00375343"/>
    <w:rsid w:val="003764C9"/>
    <w:rsid w:val="0039404D"/>
    <w:rsid w:val="00396B45"/>
    <w:rsid w:val="003A0D56"/>
    <w:rsid w:val="003A1A5E"/>
    <w:rsid w:val="003A6DDD"/>
    <w:rsid w:val="003A7196"/>
    <w:rsid w:val="003B460F"/>
    <w:rsid w:val="003C7DF9"/>
    <w:rsid w:val="003D412E"/>
    <w:rsid w:val="003E0A5F"/>
    <w:rsid w:val="003F2223"/>
    <w:rsid w:val="003F4350"/>
    <w:rsid w:val="004066F0"/>
    <w:rsid w:val="00414F2C"/>
    <w:rsid w:val="00416877"/>
    <w:rsid w:val="00421A3D"/>
    <w:rsid w:val="00433823"/>
    <w:rsid w:val="00434EFB"/>
    <w:rsid w:val="0044156E"/>
    <w:rsid w:val="00441BFF"/>
    <w:rsid w:val="004434CB"/>
    <w:rsid w:val="004443B2"/>
    <w:rsid w:val="004444FE"/>
    <w:rsid w:val="00453B7B"/>
    <w:rsid w:val="00453F91"/>
    <w:rsid w:val="00466E98"/>
    <w:rsid w:val="00467E9D"/>
    <w:rsid w:val="00470AA0"/>
    <w:rsid w:val="00477FB0"/>
    <w:rsid w:val="0048609A"/>
    <w:rsid w:val="004860DF"/>
    <w:rsid w:val="00487904"/>
    <w:rsid w:val="004A1405"/>
    <w:rsid w:val="004C187C"/>
    <w:rsid w:val="004D736C"/>
    <w:rsid w:val="004E1678"/>
    <w:rsid w:val="004E2D24"/>
    <w:rsid w:val="004E4DD1"/>
    <w:rsid w:val="004E53D0"/>
    <w:rsid w:val="00500603"/>
    <w:rsid w:val="0050172F"/>
    <w:rsid w:val="00506516"/>
    <w:rsid w:val="00516CBC"/>
    <w:rsid w:val="00534B39"/>
    <w:rsid w:val="00543D7F"/>
    <w:rsid w:val="0054799E"/>
    <w:rsid w:val="005509CF"/>
    <w:rsid w:val="00550F53"/>
    <w:rsid w:val="00551152"/>
    <w:rsid w:val="00552D61"/>
    <w:rsid w:val="00556555"/>
    <w:rsid w:val="00556983"/>
    <w:rsid w:val="005618CD"/>
    <w:rsid w:val="00561F05"/>
    <w:rsid w:val="00566069"/>
    <w:rsid w:val="005679EC"/>
    <w:rsid w:val="00591311"/>
    <w:rsid w:val="005A5B5B"/>
    <w:rsid w:val="005B3723"/>
    <w:rsid w:val="005C5013"/>
    <w:rsid w:val="005C7AE8"/>
    <w:rsid w:val="005D3A5F"/>
    <w:rsid w:val="005D411A"/>
    <w:rsid w:val="005E2773"/>
    <w:rsid w:val="005E61FB"/>
    <w:rsid w:val="005E7EA5"/>
    <w:rsid w:val="005F0524"/>
    <w:rsid w:val="005F3123"/>
    <w:rsid w:val="005F7698"/>
    <w:rsid w:val="006131EA"/>
    <w:rsid w:val="00614822"/>
    <w:rsid w:val="00620FB6"/>
    <w:rsid w:val="006311F3"/>
    <w:rsid w:val="006319D7"/>
    <w:rsid w:val="0063361E"/>
    <w:rsid w:val="006427F6"/>
    <w:rsid w:val="006436AA"/>
    <w:rsid w:val="00645B73"/>
    <w:rsid w:val="00683A4F"/>
    <w:rsid w:val="00685566"/>
    <w:rsid w:val="006857C0"/>
    <w:rsid w:val="00696CA0"/>
    <w:rsid w:val="006A0C84"/>
    <w:rsid w:val="006A38BC"/>
    <w:rsid w:val="006B4CA9"/>
    <w:rsid w:val="006C6CD6"/>
    <w:rsid w:val="006D0DB7"/>
    <w:rsid w:val="006E70DC"/>
    <w:rsid w:val="006F0007"/>
    <w:rsid w:val="006F6E92"/>
    <w:rsid w:val="00710A32"/>
    <w:rsid w:val="00711A2E"/>
    <w:rsid w:val="0071350C"/>
    <w:rsid w:val="00713BCD"/>
    <w:rsid w:val="00715FBF"/>
    <w:rsid w:val="00721E4F"/>
    <w:rsid w:val="007222C7"/>
    <w:rsid w:val="00732B88"/>
    <w:rsid w:val="00746462"/>
    <w:rsid w:val="00776001"/>
    <w:rsid w:val="007A0B16"/>
    <w:rsid w:val="007A432A"/>
    <w:rsid w:val="007A74A0"/>
    <w:rsid w:val="007B0E0B"/>
    <w:rsid w:val="007B3F88"/>
    <w:rsid w:val="007B7145"/>
    <w:rsid w:val="007B758B"/>
    <w:rsid w:val="007C03B1"/>
    <w:rsid w:val="007C4CAC"/>
    <w:rsid w:val="007C6DEF"/>
    <w:rsid w:val="007C7DAE"/>
    <w:rsid w:val="007D2A88"/>
    <w:rsid w:val="007D38E1"/>
    <w:rsid w:val="007E3BEE"/>
    <w:rsid w:val="007E7431"/>
    <w:rsid w:val="008037D3"/>
    <w:rsid w:val="00803D42"/>
    <w:rsid w:val="00810024"/>
    <w:rsid w:val="00810EBF"/>
    <w:rsid w:val="0081561F"/>
    <w:rsid w:val="00815AC6"/>
    <w:rsid w:val="00825669"/>
    <w:rsid w:val="00830ADF"/>
    <w:rsid w:val="00837C9F"/>
    <w:rsid w:val="00850FB6"/>
    <w:rsid w:val="00856304"/>
    <w:rsid w:val="008571CA"/>
    <w:rsid w:val="00860295"/>
    <w:rsid w:val="00860ED1"/>
    <w:rsid w:val="008611E1"/>
    <w:rsid w:val="00863893"/>
    <w:rsid w:val="00870683"/>
    <w:rsid w:val="0087243D"/>
    <w:rsid w:val="00873E8F"/>
    <w:rsid w:val="008B00D4"/>
    <w:rsid w:val="008B0A7B"/>
    <w:rsid w:val="008B5557"/>
    <w:rsid w:val="008B75D5"/>
    <w:rsid w:val="008C036F"/>
    <w:rsid w:val="008C257A"/>
    <w:rsid w:val="008C40FE"/>
    <w:rsid w:val="008D4AD6"/>
    <w:rsid w:val="008E280D"/>
    <w:rsid w:val="008E6D8C"/>
    <w:rsid w:val="008F3990"/>
    <w:rsid w:val="008F533E"/>
    <w:rsid w:val="00910DC2"/>
    <w:rsid w:val="009153C9"/>
    <w:rsid w:val="00921D9A"/>
    <w:rsid w:val="00922C91"/>
    <w:rsid w:val="00924CA5"/>
    <w:rsid w:val="009252D7"/>
    <w:rsid w:val="00925F1E"/>
    <w:rsid w:val="009400E3"/>
    <w:rsid w:val="009420C0"/>
    <w:rsid w:val="00942820"/>
    <w:rsid w:val="00945180"/>
    <w:rsid w:val="009451F5"/>
    <w:rsid w:val="00950F0D"/>
    <w:rsid w:val="00975152"/>
    <w:rsid w:val="00975719"/>
    <w:rsid w:val="00975D73"/>
    <w:rsid w:val="009767E0"/>
    <w:rsid w:val="009779CF"/>
    <w:rsid w:val="00980939"/>
    <w:rsid w:val="009A2BA2"/>
    <w:rsid w:val="009A4ADD"/>
    <w:rsid w:val="009A69D1"/>
    <w:rsid w:val="009A6D69"/>
    <w:rsid w:val="009B1EE6"/>
    <w:rsid w:val="009B44C6"/>
    <w:rsid w:val="009B7DD9"/>
    <w:rsid w:val="009C32A2"/>
    <w:rsid w:val="009C5335"/>
    <w:rsid w:val="009C6480"/>
    <w:rsid w:val="009D4823"/>
    <w:rsid w:val="009E2B3F"/>
    <w:rsid w:val="009E7C10"/>
    <w:rsid w:val="009F0E88"/>
    <w:rsid w:val="009F3108"/>
    <w:rsid w:val="009F3756"/>
    <w:rsid w:val="009F518F"/>
    <w:rsid w:val="00A0336E"/>
    <w:rsid w:val="00A13FE9"/>
    <w:rsid w:val="00A23BB9"/>
    <w:rsid w:val="00A24448"/>
    <w:rsid w:val="00A34F6F"/>
    <w:rsid w:val="00A353FB"/>
    <w:rsid w:val="00A54468"/>
    <w:rsid w:val="00A54E44"/>
    <w:rsid w:val="00A7047C"/>
    <w:rsid w:val="00A71AEC"/>
    <w:rsid w:val="00A7394C"/>
    <w:rsid w:val="00A7477A"/>
    <w:rsid w:val="00A74C8E"/>
    <w:rsid w:val="00A80901"/>
    <w:rsid w:val="00A84E18"/>
    <w:rsid w:val="00A90465"/>
    <w:rsid w:val="00A9308F"/>
    <w:rsid w:val="00A96F0F"/>
    <w:rsid w:val="00AA11F6"/>
    <w:rsid w:val="00AA1FCE"/>
    <w:rsid w:val="00AA2FDB"/>
    <w:rsid w:val="00AA618B"/>
    <w:rsid w:val="00AB47F1"/>
    <w:rsid w:val="00AB6F95"/>
    <w:rsid w:val="00AD0469"/>
    <w:rsid w:val="00AD42E2"/>
    <w:rsid w:val="00AD7ECB"/>
    <w:rsid w:val="00AE2A89"/>
    <w:rsid w:val="00AF3434"/>
    <w:rsid w:val="00AF7CF4"/>
    <w:rsid w:val="00B058CE"/>
    <w:rsid w:val="00B12156"/>
    <w:rsid w:val="00B12962"/>
    <w:rsid w:val="00B15611"/>
    <w:rsid w:val="00B16AE4"/>
    <w:rsid w:val="00B24123"/>
    <w:rsid w:val="00B31011"/>
    <w:rsid w:val="00B314C7"/>
    <w:rsid w:val="00B42C99"/>
    <w:rsid w:val="00B5334C"/>
    <w:rsid w:val="00B54D2A"/>
    <w:rsid w:val="00B6061E"/>
    <w:rsid w:val="00B61533"/>
    <w:rsid w:val="00B66589"/>
    <w:rsid w:val="00B7226F"/>
    <w:rsid w:val="00B838AD"/>
    <w:rsid w:val="00B84295"/>
    <w:rsid w:val="00B85573"/>
    <w:rsid w:val="00B95BA5"/>
    <w:rsid w:val="00BA76A6"/>
    <w:rsid w:val="00BC4091"/>
    <w:rsid w:val="00BC6E61"/>
    <w:rsid w:val="00BD7ADD"/>
    <w:rsid w:val="00BE2CF3"/>
    <w:rsid w:val="00BE4174"/>
    <w:rsid w:val="00BE7E72"/>
    <w:rsid w:val="00C0124D"/>
    <w:rsid w:val="00C16648"/>
    <w:rsid w:val="00C252E1"/>
    <w:rsid w:val="00C33DA0"/>
    <w:rsid w:val="00C34ED2"/>
    <w:rsid w:val="00C3529B"/>
    <w:rsid w:val="00C51591"/>
    <w:rsid w:val="00C54EF7"/>
    <w:rsid w:val="00C7747F"/>
    <w:rsid w:val="00C7783D"/>
    <w:rsid w:val="00C809B9"/>
    <w:rsid w:val="00C9094D"/>
    <w:rsid w:val="00C96C99"/>
    <w:rsid w:val="00CB5EB6"/>
    <w:rsid w:val="00CC23ED"/>
    <w:rsid w:val="00CD2D28"/>
    <w:rsid w:val="00CD569C"/>
    <w:rsid w:val="00CD7013"/>
    <w:rsid w:val="00CF6432"/>
    <w:rsid w:val="00D06730"/>
    <w:rsid w:val="00D07545"/>
    <w:rsid w:val="00D1350F"/>
    <w:rsid w:val="00D170C7"/>
    <w:rsid w:val="00D2766C"/>
    <w:rsid w:val="00D32996"/>
    <w:rsid w:val="00D36C6C"/>
    <w:rsid w:val="00D54EF1"/>
    <w:rsid w:val="00D63D84"/>
    <w:rsid w:val="00D764C0"/>
    <w:rsid w:val="00D76E30"/>
    <w:rsid w:val="00D97B9A"/>
    <w:rsid w:val="00DA2FFC"/>
    <w:rsid w:val="00DA7146"/>
    <w:rsid w:val="00DC38CC"/>
    <w:rsid w:val="00DC6A4B"/>
    <w:rsid w:val="00DD1A35"/>
    <w:rsid w:val="00DD298A"/>
    <w:rsid w:val="00DD5BC2"/>
    <w:rsid w:val="00DD6C05"/>
    <w:rsid w:val="00DE124B"/>
    <w:rsid w:val="00DE1BE8"/>
    <w:rsid w:val="00DF10EE"/>
    <w:rsid w:val="00DF2866"/>
    <w:rsid w:val="00DF2C55"/>
    <w:rsid w:val="00DF33DE"/>
    <w:rsid w:val="00DF6B4A"/>
    <w:rsid w:val="00DF703E"/>
    <w:rsid w:val="00E04340"/>
    <w:rsid w:val="00E146BB"/>
    <w:rsid w:val="00E24DAC"/>
    <w:rsid w:val="00E30BA5"/>
    <w:rsid w:val="00E3226A"/>
    <w:rsid w:val="00E372CD"/>
    <w:rsid w:val="00E41FC3"/>
    <w:rsid w:val="00E471B3"/>
    <w:rsid w:val="00E72216"/>
    <w:rsid w:val="00E73FDA"/>
    <w:rsid w:val="00E74B05"/>
    <w:rsid w:val="00EA3089"/>
    <w:rsid w:val="00EA3530"/>
    <w:rsid w:val="00EA4929"/>
    <w:rsid w:val="00EA6B02"/>
    <w:rsid w:val="00EA7B12"/>
    <w:rsid w:val="00EB13E9"/>
    <w:rsid w:val="00EB1FAD"/>
    <w:rsid w:val="00EB5CA9"/>
    <w:rsid w:val="00EC2266"/>
    <w:rsid w:val="00EE43DE"/>
    <w:rsid w:val="00EE4419"/>
    <w:rsid w:val="00EF6E12"/>
    <w:rsid w:val="00F05708"/>
    <w:rsid w:val="00F104F4"/>
    <w:rsid w:val="00F45F78"/>
    <w:rsid w:val="00F46377"/>
    <w:rsid w:val="00F46DFA"/>
    <w:rsid w:val="00F51A25"/>
    <w:rsid w:val="00F567FD"/>
    <w:rsid w:val="00F60D67"/>
    <w:rsid w:val="00F67308"/>
    <w:rsid w:val="00F72CF7"/>
    <w:rsid w:val="00F775BE"/>
    <w:rsid w:val="00F831CB"/>
    <w:rsid w:val="00F84AAF"/>
    <w:rsid w:val="00F8518E"/>
    <w:rsid w:val="00F8646A"/>
    <w:rsid w:val="00F90E33"/>
    <w:rsid w:val="00F94667"/>
    <w:rsid w:val="00FA2190"/>
    <w:rsid w:val="00FA576C"/>
    <w:rsid w:val="00FB2CDE"/>
    <w:rsid w:val="00FB57C4"/>
    <w:rsid w:val="00FC28D7"/>
    <w:rsid w:val="00FC3BFE"/>
    <w:rsid w:val="00FC4974"/>
    <w:rsid w:val="00FC61A2"/>
    <w:rsid w:val="00FD4887"/>
    <w:rsid w:val="00FD5B7E"/>
    <w:rsid w:val="00FD6DA5"/>
    <w:rsid w:val="00FD75F7"/>
    <w:rsid w:val="00FF2728"/>
    <w:rsid w:val="01EC42D0"/>
    <w:rsid w:val="03491E62"/>
    <w:rsid w:val="03C91E09"/>
    <w:rsid w:val="08BC35F8"/>
    <w:rsid w:val="096E5EC8"/>
    <w:rsid w:val="0A57582F"/>
    <w:rsid w:val="0A8859D4"/>
    <w:rsid w:val="0AAF2B45"/>
    <w:rsid w:val="0B0B2CBA"/>
    <w:rsid w:val="0C5908E2"/>
    <w:rsid w:val="0E977C76"/>
    <w:rsid w:val="10773D36"/>
    <w:rsid w:val="114B66B2"/>
    <w:rsid w:val="11683CF4"/>
    <w:rsid w:val="12B51389"/>
    <w:rsid w:val="13394A5B"/>
    <w:rsid w:val="1382143C"/>
    <w:rsid w:val="14FC4D24"/>
    <w:rsid w:val="15D55AB8"/>
    <w:rsid w:val="17E87A98"/>
    <w:rsid w:val="1A322DCB"/>
    <w:rsid w:val="1C83028B"/>
    <w:rsid w:val="1D567FA4"/>
    <w:rsid w:val="1F9A3374"/>
    <w:rsid w:val="1FA805EB"/>
    <w:rsid w:val="1FDA6DBE"/>
    <w:rsid w:val="243F7B36"/>
    <w:rsid w:val="25C46060"/>
    <w:rsid w:val="26EC66EC"/>
    <w:rsid w:val="284F6DA3"/>
    <w:rsid w:val="290675CB"/>
    <w:rsid w:val="2A34234D"/>
    <w:rsid w:val="2CC822C9"/>
    <w:rsid w:val="2D4776D4"/>
    <w:rsid w:val="2DC4548F"/>
    <w:rsid w:val="2F601055"/>
    <w:rsid w:val="2FE52A7E"/>
    <w:rsid w:val="30713DB9"/>
    <w:rsid w:val="31EF0CAF"/>
    <w:rsid w:val="35E3706B"/>
    <w:rsid w:val="36DA0980"/>
    <w:rsid w:val="3A78120E"/>
    <w:rsid w:val="3AAD23A9"/>
    <w:rsid w:val="3AC4360F"/>
    <w:rsid w:val="3BB659E8"/>
    <w:rsid w:val="3CA915C7"/>
    <w:rsid w:val="3D3D787A"/>
    <w:rsid w:val="3D596F67"/>
    <w:rsid w:val="3D752351"/>
    <w:rsid w:val="3E3E74C9"/>
    <w:rsid w:val="3F760C61"/>
    <w:rsid w:val="3FC90A0E"/>
    <w:rsid w:val="46E106DE"/>
    <w:rsid w:val="47FD478C"/>
    <w:rsid w:val="48474A35"/>
    <w:rsid w:val="4A3508FC"/>
    <w:rsid w:val="4AFD572C"/>
    <w:rsid w:val="4C1142BE"/>
    <w:rsid w:val="4C4B23CA"/>
    <w:rsid w:val="4C8D7382"/>
    <w:rsid w:val="4E213BD3"/>
    <w:rsid w:val="526B0299"/>
    <w:rsid w:val="57CE3BEF"/>
    <w:rsid w:val="57E079C3"/>
    <w:rsid w:val="59A57964"/>
    <w:rsid w:val="5A73314A"/>
    <w:rsid w:val="5AB86CB3"/>
    <w:rsid w:val="5AFC5446"/>
    <w:rsid w:val="5BCC0A0C"/>
    <w:rsid w:val="5F864151"/>
    <w:rsid w:val="5FD73100"/>
    <w:rsid w:val="61951049"/>
    <w:rsid w:val="62360387"/>
    <w:rsid w:val="653B379E"/>
    <w:rsid w:val="672D7CE1"/>
    <w:rsid w:val="67446DCC"/>
    <w:rsid w:val="689E09BC"/>
    <w:rsid w:val="6A841BD5"/>
    <w:rsid w:val="6A9E79DF"/>
    <w:rsid w:val="6AB01B1D"/>
    <w:rsid w:val="6CC67B61"/>
    <w:rsid w:val="6EA31C75"/>
    <w:rsid w:val="70B277DA"/>
    <w:rsid w:val="70F72A2A"/>
    <w:rsid w:val="71A70AFF"/>
    <w:rsid w:val="738B16F3"/>
    <w:rsid w:val="741962C2"/>
    <w:rsid w:val="7669689F"/>
    <w:rsid w:val="770A7851"/>
    <w:rsid w:val="77687F65"/>
    <w:rsid w:val="783D3FBA"/>
    <w:rsid w:val="786C2904"/>
    <w:rsid w:val="7AFF1702"/>
    <w:rsid w:val="7B071531"/>
    <w:rsid w:val="7D3C5D3E"/>
    <w:rsid w:val="7D973A8F"/>
    <w:rsid w:val="7ED00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AAFB19"/>
  <w15:chartTrackingRefBased/>
  <w15:docId w15:val="{3390AB89-D031-426E-B701-6C7656F09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/>
    <w:lsdException w:name="HTML Code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Number"/>
    <w:basedOn w:val="a"/>
    <w:pPr>
      <w:numPr>
        <w:numId w:val="1"/>
      </w:numPr>
      <w:tabs>
        <w:tab w:val="left" w:pos="360"/>
      </w:tabs>
    </w:pPr>
  </w:style>
  <w:style w:type="paragraph" w:styleId="a4">
    <w:name w:val="List Bullet"/>
    <w:basedOn w:val="a"/>
    <w:pPr>
      <w:numPr>
        <w:numId w:val="2"/>
      </w:numPr>
      <w:tabs>
        <w:tab w:val="left" w:pos="360"/>
      </w:tabs>
    </w:pPr>
  </w:style>
  <w:style w:type="paragraph" w:styleId="a5">
    <w:name w:val="footer"/>
    <w:basedOn w:val="a"/>
    <w:link w:val="a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rPr>
      <w:kern w:val="2"/>
      <w:sz w:val="18"/>
      <w:szCs w:val="18"/>
    </w:rPr>
  </w:style>
  <w:style w:type="paragraph" w:styleId="a7">
    <w:name w:val="header"/>
    <w:basedOn w:val="a"/>
    <w:link w:val="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link w:val="a7"/>
    <w:rPr>
      <w:kern w:val="2"/>
      <w:sz w:val="18"/>
      <w:szCs w:val="18"/>
    </w:rPr>
  </w:style>
  <w:style w:type="paragraph" w:styleId="a9">
    <w:name w:val="Normal (Web)"/>
    <w:basedOn w:val="a"/>
    <w:uiPriority w:val="99"/>
    <w:unhideWhenUsed/>
    <w:pPr>
      <w:widowControl/>
      <w:spacing w:before="100" w:beforeAutospacing="1" w:after="100" w:afterAutospacing="1"/>
      <w:jc w:val="left"/>
    </w:pPr>
    <w:rPr>
      <w:rFonts w:eastAsia="等线"/>
      <w:kern w:val="0"/>
      <w:sz w:val="24"/>
    </w:r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rPr>
      <w:color w:val="0000FF"/>
      <w:u w:val="single"/>
    </w:rPr>
  </w:style>
  <w:style w:type="character" w:styleId="HTML">
    <w:name w:val="HTML Code"/>
    <w:uiPriority w:val="99"/>
    <w:unhideWhenUsed/>
    <w:rPr>
      <w:rFonts w:ascii="宋体" w:eastAsia="宋体" w:hAnsi="宋体" w:cs="宋体"/>
      <w:sz w:val="24"/>
      <w:szCs w:val="24"/>
    </w:rPr>
  </w:style>
  <w:style w:type="paragraph" w:customStyle="1" w:styleId="Heading1">
    <w:name w:val="heading 1"/>
    <w:basedOn w:val="a"/>
    <w:pPr>
      <w:outlineLvl w:val="0"/>
    </w:pPr>
  </w:style>
  <w:style w:type="paragraph" w:customStyle="1" w:styleId="Heading2">
    <w:name w:val="heading 2"/>
    <w:basedOn w:val="a"/>
    <w:pPr>
      <w:outlineLvl w:val="1"/>
    </w:pPr>
  </w:style>
  <w:style w:type="paragraph" w:customStyle="1" w:styleId="Caption">
    <w:name w:val="caption"/>
    <w:basedOn w:val="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huggingface.co/datasets/ailsntua/QEvasion/tree/mai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uggingface.co/datasets/ailsntua/QEvas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clanthology.org/2024.findings-emnlp.300/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github.com/huangyuke914235/NLP-" TargetMode="External"/><Relationship Id="rId16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2306</Words>
  <Characters>4127</Characters>
  <Application>Microsoft Office Word</Application>
  <DocSecurity>4</DocSecurity>
  <Lines>347</Lines>
  <Paragraphs>177</Paragraphs>
  <ScaleCrop>false</ScaleCrop>
  <Company/>
  <LinksUpToDate>false</LinksUpToDate>
  <CharactersWithSpaces>4744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 学 实 验 报 告</dc:title>
  <dc:subject/>
  <dc:creator>d</dc:creator>
  <cp:keywords/>
  <dc:description/>
  <cp:lastModifiedBy>宇科 黄</cp:lastModifiedBy>
  <cp:revision>2</cp:revision>
  <cp:lastPrinted>2006-09-04T06:46:00Z</cp:lastPrinted>
  <dcterms:created xsi:type="dcterms:W3CDTF">2026-10-18T04:00:00Z</dcterms:created>
  <dcterms:modified xsi:type="dcterms:W3CDTF">2026-10-18T04:00:00Z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DBBC4213EAED448F86F56AA3EBA5353A_13</vt:lpwstr>
  </property>
  <property fmtid="{D5CDD505-2E9C-101B-9397-08002B2CF9AE}" pid="4" name="KSOTemplateDocerSaveRecord">
    <vt:lpwstr>eyJoZGlkIjoiMmYwNTQ0ODM0YzhlZDBhZDVjN2EyZmIzNTAxZmNkNTkiLCJ1c2VySWQiOiIzMDQ4NjA5MDUifQ==</vt:lpwstr>
  </property>
</Properties>
</file>