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5F649">
      <w:pPr>
        <w:jc w:val="center"/>
        <w:rPr>
          <w:rFonts w:eastAsia="楷体"/>
          <w:sz w:val="28"/>
          <w:szCs w:val="28"/>
        </w:rPr>
      </w:pPr>
      <w:r>
        <w:rPr>
          <w:rFonts w:eastAsia="楷体"/>
          <w:sz w:val="28"/>
          <w:szCs w:val="28"/>
        </w:rPr>
        <w:t>深圳大学考试答题纸</w:t>
      </w:r>
    </w:p>
    <w:p w14:paraId="2B860A64">
      <w:pPr>
        <w:jc w:val="center"/>
        <w:rPr>
          <w:rFonts w:eastAsia="楷体"/>
          <w:sz w:val="24"/>
        </w:rPr>
      </w:pPr>
      <w:r>
        <w:rPr>
          <w:rFonts w:eastAsia="楷体"/>
          <w:sz w:val="24"/>
        </w:rPr>
        <w:t>(以论文、报告等形式考核专用)</w:t>
      </w:r>
    </w:p>
    <w:p w14:paraId="504956D3">
      <w:pPr>
        <w:jc w:val="center"/>
        <w:rPr>
          <w:rFonts w:eastAsia="楷体"/>
          <w:sz w:val="24"/>
        </w:rPr>
      </w:pPr>
      <w:r>
        <w:rPr>
          <w:rFonts w:eastAsia="楷体"/>
          <w:sz w:val="24"/>
          <w:lang w:val="zh-TW" w:eastAsia="zh-TW"/>
        </w:rPr>
        <w:t>202</w:t>
      </w:r>
      <w:r>
        <w:rPr>
          <w:rFonts w:hint="eastAsia" w:eastAsia="楷体"/>
          <w:sz w:val="24"/>
        </w:rPr>
        <w:t>6</w:t>
      </w:r>
      <w:r>
        <w:rPr>
          <w:rFonts w:eastAsia="楷体"/>
          <w:sz w:val="24"/>
          <w:lang w:val="zh-TW" w:eastAsia="zh-TW"/>
        </w:rPr>
        <w:t>-202</w:t>
      </w:r>
      <w:r>
        <w:rPr>
          <w:rFonts w:hint="eastAsia" w:eastAsia="楷体"/>
          <w:sz w:val="24"/>
        </w:rPr>
        <w:t>7</w:t>
      </w:r>
      <w:r>
        <w:rPr>
          <w:rFonts w:eastAsia="楷体"/>
          <w:sz w:val="24"/>
          <w:lang w:val="zh-TW" w:eastAsia="zh-TW"/>
        </w:rPr>
        <w:t>学年度第</w:t>
      </w:r>
      <w:r>
        <w:rPr>
          <w:rFonts w:eastAsia="楷体"/>
          <w:sz w:val="24"/>
        </w:rPr>
        <w:t>一</w:t>
      </w:r>
      <w:r>
        <w:rPr>
          <w:rFonts w:eastAsia="楷体"/>
          <w:sz w:val="24"/>
          <w:lang w:val="zh-TW" w:eastAsia="zh-TW"/>
        </w:rPr>
        <w:t>学期</w:t>
      </w:r>
    </w:p>
    <w:tbl>
      <w:tblPr>
        <w:tblStyle w:val="5"/>
        <w:tblW w:w="9362" w:type="dxa"/>
        <w:jc w:val="center"/>
        <w:tblLayout w:type="fixed"/>
        <w:tblCellMar>
          <w:top w:w="0" w:type="dxa"/>
          <w:left w:w="108" w:type="dxa"/>
          <w:bottom w:w="0" w:type="dxa"/>
          <w:right w:w="108" w:type="dxa"/>
        </w:tblCellMar>
      </w:tblPr>
      <w:tblGrid>
        <w:gridCol w:w="1075"/>
        <w:gridCol w:w="78"/>
        <w:gridCol w:w="836"/>
        <w:gridCol w:w="244"/>
        <w:gridCol w:w="607"/>
        <w:gridCol w:w="414"/>
        <w:gridCol w:w="11"/>
        <w:gridCol w:w="1089"/>
        <w:gridCol w:w="1539"/>
        <w:gridCol w:w="149"/>
        <w:gridCol w:w="1145"/>
        <w:gridCol w:w="1039"/>
        <w:gridCol w:w="709"/>
        <w:gridCol w:w="427"/>
      </w:tblGrid>
      <w:tr w14:paraId="0451C54F">
        <w:tblPrEx>
          <w:tblCellMar>
            <w:top w:w="0" w:type="dxa"/>
            <w:left w:w="108" w:type="dxa"/>
            <w:bottom w:w="0" w:type="dxa"/>
            <w:right w:w="108" w:type="dxa"/>
          </w:tblCellMar>
        </w:tblPrEx>
        <w:trPr>
          <w:trHeight w:val="397" w:hRule="atLeast"/>
          <w:jc w:val="center"/>
        </w:trPr>
        <w:tc>
          <w:tcPr>
            <w:tcW w:w="1075" w:type="dxa"/>
            <w:vAlign w:val="center"/>
          </w:tcPr>
          <w:p w14:paraId="2894B4D8">
            <w:pPr>
              <w:rPr>
                <w:rFonts w:eastAsia="楷体"/>
                <w:szCs w:val="21"/>
              </w:rPr>
            </w:pPr>
            <w:r>
              <w:rPr>
                <w:rFonts w:eastAsia="楷体"/>
                <w:szCs w:val="21"/>
              </w:rPr>
              <w:t>课程编号</w:t>
            </w:r>
          </w:p>
        </w:tc>
        <w:tc>
          <w:tcPr>
            <w:tcW w:w="914" w:type="dxa"/>
            <w:gridSpan w:val="2"/>
            <w:tcBorders>
              <w:bottom w:val="single" w:color="auto" w:sz="4" w:space="0"/>
            </w:tcBorders>
            <w:vAlign w:val="center"/>
          </w:tcPr>
          <w:p w14:paraId="6BEA944A">
            <w:pPr>
              <w:rPr>
                <w:rFonts w:eastAsia="楷体"/>
                <w:szCs w:val="21"/>
              </w:rPr>
            </w:pPr>
            <w:r>
              <w:rPr>
                <w:rFonts w:eastAsia="楷体"/>
                <w:szCs w:val="21"/>
              </w:rPr>
              <w:t>1504660001</w:t>
            </w:r>
          </w:p>
        </w:tc>
        <w:tc>
          <w:tcPr>
            <w:tcW w:w="851" w:type="dxa"/>
            <w:gridSpan w:val="2"/>
            <w:vAlign w:val="center"/>
          </w:tcPr>
          <w:p w14:paraId="2147C236">
            <w:pPr>
              <w:rPr>
                <w:rFonts w:eastAsia="楷体"/>
                <w:szCs w:val="21"/>
              </w:rPr>
            </w:pPr>
            <w:r>
              <w:rPr>
                <w:rFonts w:eastAsia="楷体"/>
                <w:szCs w:val="21"/>
              </w:rPr>
              <w:t>课序号</w:t>
            </w:r>
          </w:p>
        </w:tc>
        <w:tc>
          <w:tcPr>
            <w:tcW w:w="425" w:type="dxa"/>
            <w:gridSpan w:val="2"/>
            <w:tcBorders>
              <w:bottom w:val="single" w:color="auto" w:sz="4" w:space="0"/>
            </w:tcBorders>
            <w:vAlign w:val="center"/>
          </w:tcPr>
          <w:p w14:paraId="58F257AD">
            <w:pPr>
              <w:rPr>
                <w:rFonts w:eastAsia="楷体"/>
                <w:szCs w:val="21"/>
              </w:rPr>
            </w:pPr>
            <w:r>
              <w:rPr>
                <w:rFonts w:eastAsia="楷体"/>
                <w:szCs w:val="21"/>
              </w:rPr>
              <w:t>1</w:t>
            </w:r>
          </w:p>
        </w:tc>
        <w:tc>
          <w:tcPr>
            <w:tcW w:w="1089" w:type="dxa"/>
            <w:vAlign w:val="center"/>
          </w:tcPr>
          <w:p w14:paraId="641A5B51">
            <w:pPr>
              <w:rPr>
                <w:rFonts w:eastAsia="楷体"/>
                <w:szCs w:val="21"/>
              </w:rPr>
            </w:pPr>
            <w:r>
              <w:rPr>
                <w:rFonts w:eastAsia="楷体"/>
                <w:szCs w:val="21"/>
              </w:rPr>
              <w:t>课程名称</w:t>
            </w:r>
          </w:p>
        </w:tc>
        <w:tc>
          <w:tcPr>
            <w:tcW w:w="1688" w:type="dxa"/>
            <w:gridSpan w:val="2"/>
            <w:tcBorders>
              <w:bottom w:val="single" w:color="auto" w:sz="4" w:space="0"/>
            </w:tcBorders>
            <w:vAlign w:val="center"/>
          </w:tcPr>
          <w:p w14:paraId="622E199A">
            <w:pPr>
              <w:rPr>
                <w:rFonts w:eastAsia="楷体"/>
                <w:szCs w:val="21"/>
              </w:rPr>
            </w:pPr>
            <w:r>
              <w:rPr>
                <w:rFonts w:eastAsia="楷体"/>
                <w:szCs w:val="21"/>
              </w:rPr>
              <w:t>自然语言处理</w:t>
            </w:r>
          </w:p>
        </w:tc>
        <w:tc>
          <w:tcPr>
            <w:tcW w:w="1145" w:type="dxa"/>
            <w:tcBorders>
              <w:left w:val="nil"/>
            </w:tcBorders>
            <w:vAlign w:val="center"/>
          </w:tcPr>
          <w:p w14:paraId="1D99075B">
            <w:pPr>
              <w:rPr>
                <w:rFonts w:eastAsia="楷体"/>
                <w:szCs w:val="21"/>
              </w:rPr>
            </w:pPr>
            <w:r>
              <w:rPr>
                <w:rFonts w:eastAsia="楷体"/>
                <w:szCs w:val="21"/>
              </w:rPr>
              <w:t>主讲教师</w:t>
            </w:r>
          </w:p>
        </w:tc>
        <w:tc>
          <w:tcPr>
            <w:tcW w:w="1039" w:type="dxa"/>
            <w:tcBorders>
              <w:left w:val="nil"/>
              <w:bottom w:val="single" w:color="auto" w:sz="4" w:space="0"/>
            </w:tcBorders>
            <w:vAlign w:val="center"/>
          </w:tcPr>
          <w:p w14:paraId="12BC02CE">
            <w:pPr>
              <w:rPr>
                <w:rFonts w:eastAsia="楷体"/>
                <w:szCs w:val="21"/>
              </w:rPr>
            </w:pPr>
            <w:r>
              <w:rPr>
                <w:rFonts w:eastAsia="楷体"/>
                <w:szCs w:val="21"/>
              </w:rPr>
              <w:t>陈俊扬</w:t>
            </w:r>
          </w:p>
        </w:tc>
        <w:tc>
          <w:tcPr>
            <w:tcW w:w="709" w:type="dxa"/>
            <w:vAlign w:val="center"/>
          </w:tcPr>
          <w:p w14:paraId="51C45D05">
            <w:pPr>
              <w:rPr>
                <w:rFonts w:eastAsia="楷体"/>
                <w:szCs w:val="21"/>
              </w:rPr>
            </w:pPr>
            <w:r>
              <w:rPr>
                <w:rFonts w:eastAsia="楷体"/>
                <w:szCs w:val="21"/>
              </w:rPr>
              <w:t>评分</w:t>
            </w:r>
          </w:p>
        </w:tc>
        <w:tc>
          <w:tcPr>
            <w:tcW w:w="427" w:type="dxa"/>
            <w:tcBorders>
              <w:bottom w:val="single" w:color="auto" w:sz="4" w:space="0"/>
            </w:tcBorders>
            <w:vAlign w:val="center"/>
          </w:tcPr>
          <w:p w14:paraId="75316DE4">
            <w:pPr>
              <w:rPr>
                <w:rFonts w:eastAsia="楷体"/>
                <w:szCs w:val="21"/>
              </w:rPr>
            </w:pPr>
          </w:p>
        </w:tc>
      </w:tr>
      <w:tr w14:paraId="382E35E8">
        <w:tblPrEx>
          <w:tblCellMar>
            <w:top w:w="0" w:type="dxa"/>
            <w:left w:w="108" w:type="dxa"/>
            <w:bottom w:w="0" w:type="dxa"/>
            <w:right w:w="108" w:type="dxa"/>
          </w:tblCellMar>
        </w:tblPrEx>
        <w:trPr>
          <w:trHeight w:val="397" w:hRule="atLeast"/>
          <w:jc w:val="center"/>
        </w:trPr>
        <w:tc>
          <w:tcPr>
            <w:tcW w:w="1075" w:type="dxa"/>
            <w:vAlign w:val="bottom"/>
          </w:tcPr>
          <w:p w14:paraId="500B1661">
            <w:pPr>
              <w:rPr>
                <w:rFonts w:eastAsia="楷体"/>
                <w:szCs w:val="21"/>
              </w:rPr>
            </w:pPr>
            <w:r>
              <w:rPr>
                <w:rFonts w:eastAsia="楷体"/>
                <w:szCs w:val="21"/>
              </w:rPr>
              <w:t>学号</w:t>
            </w:r>
          </w:p>
        </w:tc>
        <w:tc>
          <w:tcPr>
            <w:tcW w:w="1158" w:type="dxa"/>
            <w:gridSpan w:val="3"/>
            <w:tcBorders>
              <w:bottom w:val="single" w:color="auto" w:sz="4" w:space="0"/>
            </w:tcBorders>
            <w:vAlign w:val="bottom"/>
          </w:tcPr>
          <w:p w14:paraId="5466674C">
            <w:pPr>
              <w:rPr>
                <w:rFonts w:eastAsia="楷体"/>
                <w:szCs w:val="21"/>
              </w:rPr>
            </w:pPr>
          </w:p>
        </w:tc>
        <w:tc>
          <w:tcPr>
            <w:tcW w:w="1021" w:type="dxa"/>
            <w:gridSpan w:val="2"/>
            <w:vAlign w:val="bottom"/>
          </w:tcPr>
          <w:p w14:paraId="7795A333">
            <w:pPr>
              <w:rPr>
                <w:rFonts w:eastAsia="楷体"/>
                <w:szCs w:val="21"/>
              </w:rPr>
            </w:pPr>
            <w:r>
              <w:rPr>
                <w:rFonts w:eastAsia="楷体"/>
                <w:szCs w:val="21"/>
              </w:rPr>
              <w:t>姓名</w:t>
            </w:r>
          </w:p>
        </w:tc>
        <w:tc>
          <w:tcPr>
            <w:tcW w:w="1100" w:type="dxa"/>
            <w:gridSpan w:val="2"/>
            <w:tcBorders>
              <w:bottom w:val="single" w:color="auto" w:sz="4" w:space="0"/>
            </w:tcBorders>
            <w:vAlign w:val="bottom"/>
          </w:tcPr>
          <w:p w14:paraId="42A2DE81">
            <w:pPr>
              <w:rPr>
                <w:rFonts w:eastAsia="楷体"/>
                <w:szCs w:val="21"/>
              </w:rPr>
            </w:pPr>
          </w:p>
        </w:tc>
        <w:tc>
          <w:tcPr>
            <w:tcW w:w="1539" w:type="dxa"/>
            <w:tcBorders>
              <w:left w:val="nil"/>
            </w:tcBorders>
            <w:vAlign w:val="bottom"/>
          </w:tcPr>
          <w:p w14:paraId="7D3EC1D1">
            <w:pPr>
              <w:rPr>
                <w:rFonts w:eastAsia="楷体"/>
                <w:szCs w:val="21"/>
              </w:rPr>
            </w:pPr>
            <w:r>
              <w:rPr>
                <w:rFonts w:eastAsia="楷体"/>
                <w:szCs w:val="21"/>
              </w:rPr>
              <w:t>专业年级</w:t>
            </w:r>
          </w:p>
        </w:tc>
        <w:tc>
          <w:tcPr>
            <w:tcW w:w="3469" w:type="dxa"/>
            <w:gridSpan w:val="5"/>
            <w:tcBorders>
              <w:bottom w:val="single" w:color="auto" w:sz="4" w:space="0"/>
            </w:tcBorders>
            <w:vAlign w:val="bottom"/>
          </w:tcPr>
          <w:p w14:paraId="6B9E6FA6">
            <w:pPr>
              <w:rPr>
                <w:rFonts w:eastAsia="楷体"/>
                <w:szCs w:val="21"/>
              </w:rPr>
            </w:pPr>
          </w:p>
        </w:tc>
      </w:tr>
      <w:tr w14:paraId="4EF01451">
        <w:tblPrEx>
          <w:tblCellMar>
            <w:top w:w="0" w:type="dxa"/>
            <w:left w:w="108" w:type="dxa"/>
            <w:bottom w:w="0" w:type="dxa"/>
            <w:right w:w="108" w:type="dxa"/>
          </w:tblCellMar>
        </w:tblPrEx>
        <w:trPr>
          <w:trHeight w:val="113" w:hRule="exact"/>
          <w:jc w:val="center"/>
        </w:trPr>
        <w:tc>
          <w:tcPr>
            <w:tcW w:w="9362" w:type="dxa"/>
            <w:gridSpan w:val="14"/>
            <w:tcBorders>
              <w:bottom w:val="single" w:color="auto" w:sz="4" w:space="0"/>
            </w:tcBorders>
            <w:vAlign w:val="bottom"/>
          </w:tcPr>
          <w:p w14:paraId="5FD6CFD5">
            <w:pPr>
              <w:rPr>
                <w:rFonts w:eastAsia="楷体"/>
                <w:sz w:val="24"/>
              </w:rPr>
            </w:pPr>
          </w:p>
        </w:tc>
      </w:tr>
      <w:tr w14:paraId="6305CAF1">
        <w:tblPrEx>
          <w:tblCellMar>
            <w:top w:w="0" w:type="dxa"/>
            <w:left w:w="108" w:type="dxa"/>
            <w:bottom w:w="0" w:type="dxa"/>
            <w:right w:w="108" w:type="dxa"/>
          </w:tblCellMar>
        </w:tblPrEx>
        <w:trPr>
          <w:trHeight w:val="716" w:hRule="atLeast"/>
          <w:jc w:val="center"/>
        </w:trPr>
        <w:tc>
          <w:tcPr>
            <w:tcW w:w="9362" w:type="dxa"/>
            <w:gridSpan w:val="14"/>
            <w:tcBorders>
              <w:top w:val="single" w:color="auto" w:sz="4" w:space="0"/>
              <w:left w:val="single" w:color="auto" w:sz="4" w:space="0"/>
              <w:right w:val="single" w:color="auto" w:sz="4" w:space="0"/>
            </w:tcBorders>
          </w:tcPr>
          <w:p w14:paraId="6B483D84">
            <w:pPr>
              <w:pStyle w:val="9"/>
              <w:spacing w:line="360" w:lineRule="auto"/>
              <w:rPr>
                <w:rFonts w:hint="default" w:ascii="Times New Roman" w:hAnsi="Times New Roman" w:eastAsia="楷体" w:cs="Times New Roman"/>
                <w:sz w:val="22"/>
                <w:szCs w:val="22"/>
                <w:lang w:val="zh-TW" w:eastAsia="zh-TW"/>
              </w:rPr>
            </w:pPr>
            <w:r>
              <w:rPr>
                <w:rFonts w:ascii="Times New Roman" w:hAnsi="Times New Roman" w:eastAsia="楷体" w:cs="Times New Roman"/>
                <w:sz w:val="22"/>
                <w:szCs w:val="22"/>
                <w:lang w:eastAsia="zh-CN"/>
              </w:rPr>
              <w:t>作业说明</w:t>
            </w:r>
            <w:r>
              <w:rPr>
                <w:rFonts w:hint="default" w:ascii="Times New Roman" w:hAnsi="Times New Roman" w:eastAsia="楷体" w:cs="Times New Roman"/>
                <w:sz w:val="22"/>
                <w:szCs w:val="22"/>
                <w:lang w:val="zh-TW" w:eastAsia="zh-TW"/>
              </w:rPr>
              <w:t>：</w:t>
            </w:r>
          </w:p>
          <w:p w14:paraId="4D6CE5D7">
            <w:pPr>
              <w:spacing w:after="30"/>
              <w:ind w:firstLine="440" w:firstLineChars="200"/>
              <w:rPr>
                <w:rFonts w:eastAsia="楷体"/>
                <w:color w:val="FF0000"/>
                <w:sz w:val="22"/>
                <w:szCs w:val="22"/>
              </w:rPr>
            </w:pPr>
            <w:r>
              <w:rPr>
                <w:rFonts w:eastAsia="楷体"/>
                <w:color w:val="000000"/>
                <w:sz w:val="22"/>
                <w:szCs w:val="22"/>
              </w:rPr>
              <w:t>本次大作业在“对话问答回避检测与跨场景迁移分析”实验基础上完成。任务继续使用 QEvasion数据集</w:t>
            </w:r>
            <w:r>
              <w:rPr>
                <w:rFonts w:hint="eastAsia" w:eastAsia="楷体"/>
                <w:color w:val="000000"/>
                <w:sz w:val="22"/>
                <w:szCs w:val="22"/>
              </w:rPr>
              <w:t>(https://huggingface.co/datasets/ailsntua/QEvasion)</w:t>
            </w:r>
            <w:r>
              <w:rPr>
                <w:rFonts w:eastAsia="楷体"/>
                <w:color w:val="000000"/>
                <w:sz w:val="22"/>
                <w:szCs w:val="22"/>
              </w:rPr>
              <w:t>，迁移任务沿用实验中已选择的 QNLI、LCQMC、WildGuardMix 或 EZ-STANCE 之一作为数据集。</w:t>
            </w:r>
            <w:r>
              <w:rPr>
                <w:rFonts w:eastAsia="楷体"/>
                <w:color w:val="FF0000"/>
                <w:sz w:val="22"/>
                <w:szCs w:val="22"/>
              </w:rPr>
              <w:t>大作业的新增工作为：将已有实验组织为完整研究问题，并从下列三项扩展中任选一项完成。</w:t>
            </w:r>
          </w:p>
          <w:p w14:paraId="65BA50BB">
            <w:pPr>
              <w:spacing w:after="8"/>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标签层级：结合 clarity_label 与 evasion_label，完成粗粒度—细粒度一致性或辅助分类分析。</w:t>
            </w:r>
          </w:p>
          <w:p w14:paraId="37B7F7CA">
            <w:pPr>
              <w:spacing w:after="8"/>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数据效率：在迁移数据上比较少量标注数据与完整训练数据的效果，如 10%、30% 和 100%。</w:t>
            </w:r>
          </w:p>
          <w:p w14:paraId="27A9E2C4">
            <w:pPr>
              <w:keepNext/>
              <w:spacing w:before="44" w:after="20"/>
              <w:rPr>
                <w:rFonts w:eastAsia="楷体"/>
                <w:sz w:val="22"/>
                <w:szCs w:val="22"/>
              </w:rPr>
            </w:pPr>
            <w:r>
              <w:rPr>
                <w:rFonts w:eastAsia="楷体"/>
                <w:b/>
                <w:color w:val="000000"/>
                <w:sz w:val="22"/>
                <w:szCs w:val="22"/>
              </w:rPr>
              <w:t>一 背景介绍与研究问题（20分）</w:t>
            </w:r>
          </w:p>
          <w:p w14:paraId="3B6D3FA3">
            <w:pPr>
              <w:spacing w:after="16"/>
              <w:ind w:firstLine="440" w:firstLineChars="200"/>
              <w:rPr>
                <w:rFonts w:eastAsia="楷体"/>
                <w:sz w:val="22"/>
                <w:szCs w:val="22"/>
              </w:rPr>
            </w:pPr>
            <w:r>
              <w:rPr>
                <w:rFonts w:eastAsia="楷体"/>
                <w:color w:val="000000"/>
                <w:sz w:val="22"/>
                <w:szCs w:val="22"/>
              </w:rPr>
              <w:t>该部分不少于两页，需从实验任务出发形成明确的研究问题。（</w:t>
            </w:r>
            <w:r>
              <w:rPr>
                <w:rFonts w:eastAsia="楷体"/>
                <w:color w:val="FF0000"/>
                <w:sz w:val="22"/>
                <w:szCs w:val="22"/>
              </w:rPr>
              <w:t>论述需要有参考文献，注意参考文献的引用格式</w:t>
            </w:r>
            <w:r>
              <w:rPr>
                <w:rFonts w:eastAsia="楷体"/>
                <w:color w:val="000000"/>
                <w:sz w:val="22"/>
                <w:szCs w:val="22"/>
              </w:rPr>
              <w:t>）</w:t>
            </w:r>
          </w:p>
          <w:p w14:paraId="692F2029">
            <w:pPr>
              <w:spacing w:after="9"/>
              <w:ind w:left="238" w:firstLine="182"/>
              <w:rPr>
                <w:rFonts w:eastAsia="楷体"/>
                <w:sz w:val="22"/>
                <w:szCs w:val="22"/>
              </w:rPr>
            </w:pPr>
            <w:r>
              <w:rPr>
                <w:rFonts w:eastAsia="楷体"/>
                <w:b/>
                <w:color w:val="000000"/>
                <w:sz w:val="22"/>
                <w:szCs w:val="22"/>
              </w:rPr>
              <w:t xml:space="preserve">• </w:t>
            </w:r>
            <w:r>
              <w:rPr>
                <w:rFonts w:eastAsia="楷体"/>
                <w:color w:val="000000"/>
                <w:sz w:val="22"/>
                <w:szCs w:val="22"/>
              </w:rPr>
              <w:t>说明回答清晰度、回避策略及其在访谈、客服或安全对话中的意义。</w:t>
            </w:r>
          </w:p>
          <w:p w14:paraId="4FF1BDD4">
            <w:pPr>
              <w:spacing w:after="9"/>
              <w:ind w:left="238" w:firstLine="182"/>
              <w:rPr>
                <w:rFonts w:eastAsia="楷体"/>
                <w:sz w:val="22"/>
                <w:szCs w:val="22"/>
              </w:rPr>
            </w:pPr>
            <w:r>
              <w:rPr>
                <w:rFonts w:eastAsia="楷体"/>
                <w:b/>
                <w:color w:val="000000"/>
                <w:sz w:val="22"/>
                <w:szCs w:val="22"/>
              </w:rPr>
              <w:t xml:space="preserve">• </w:t>
            </w:r>
            <w:r>
              <w:rPr>
                <w:rFonts w:eastAsia="楷体"/>
                <w:color w:val="000000"/>
                <w:sz w:val="22"/>
                <w:szCs w:val="22"/>
              </w:rPr>
              <w:t>介绍 QEvasion 与所选迁移数据，说明两类任务的共同输入结构和标签差异。</w:t>
            </w:r>
          </w:p>
          <w:p w14:paraId="080C4E4D">
            <w:pPr>
              <w:spacing w:after="9"/>
              <w:ind w:left="238" w:firstLine="182"/>
              <w:rPr>
                <w:rFonts w:eastAsia="楷体"/>
                <w:sz w:val="22"/>
                <w:szCs w:val="22"/>
              </w:rPr>
            </w:pPr>
            <w:r>
              <w:rPr>
                <w:rFonts w:eastAsia="楷体"/>
                <w:b/>
                <w:color w:val="000000"/>
                <w:sz w:val="22"/>
                <w:szCs w:val="22"/>
              </w:rPr>
              <w:t xml:space="preserve">• </w:t>
            </w:r>
            <w:r>
              <w:rPr>
                <w:rFonts w:eastAsia="楷体"/>
                <w:color w:val="000000"/>
                <w:sz w:val="22"/>
                <w:szCs w:val="22"/>
              </w:rPr>
              <w:t>提出三个问题：基础模型表现、跨场景迁移边界、所选扩展任务的预期结论。</w:t>
            </w:r>
          </w:p>
          <w:p w14:paraId="5B24A31B">
            <w:pPr>
              <w:spacing w:after="9"/>
              <w:ind w:left="238" w:firstLine="182"/>
              <w:rPr>
                <w:rFonts w:eastAsia="楷体"/>
                <w:sz w:val="22"/>
                <w:szCs w:val="22"/>
              </w:rPr>
            </w:pPr>
            <w:r>
              <w:rPr>
                <w:rFonts w:eastAsia="楷体"/>
                <w:b/>
                <w:color w:val="000000"/>
                <w:sz w:val="22"/>
                <w:szCs w:val="22"/>
              </w:rPr>
              <w:t xml:space="preserve">• </w:t>
            </w:r>
            <w:r>
              <w:rPr>
                <w:rFonts w:eastAsia="楷体"/>
                <w:color w:val="000000"/>
                <w:sz w:val="22"/>
                <w:szCs w:val="22"/>
              </w:rPr>
              <w:t>说明本任务与普通情感分类的区别，并分析类别不均衡与来源泄漏风险。</w:t>
            </w:r>
          </w:p>
          <w:p w14:paraId="2792396C">
            <w:pPr>
              <w:keepNext/>
              <w:spacing w:before="44" w:after="20"/>
              <w:rPr>
                <w:rFonts w:eastAsia="楷体"/>
                <w:sz w:val="22"/>
                <w:szCs w:val="22"/>
              </w:rPr>
            </w:pPr>
            <w:r>
              <w:rPr>
                <w:rFonts w:eastAsia="楷体"/>
                <w:b/>
                <w:color w:val="000000"/>
                <w:sz w:val="22"/>
                <w:szCs w:val="22"/>
              </w:rPr>
              <w:t>二 相关工作的优缺点总结（10分）</w:t>
            </w:r>
          </w:p>
          <w:p w14:paraId="2FB1AC51">
            <w:pPr>
              <w:spacing w:after="16"/>
              <w:ind w:firstLine="440" w:firstLineChars="200"/>
              <w:rPr>
                <w:rFonts w:eastAsia="楷体"/>
                <w:sz w:val="22"/>
                <w:szCs w:val="22"/>
              </w:rPr>
            </w:pPr>
            <w:r>
              <w:rPr>
                <w:rFonts w:eastAsia="楷体"/>
                <w:color w:val="000000"/>
                <w:sz w:val="22"/>
                <w:szCs w:val="22"/>
              </w:rPr>
              <w:t>该部分不少于一页，可直接沿用实验阶段已经阅读的论文。</w:t>
            </w:r>
          </w:p>
          <w:p w14:paraId="4E2C6F39">
            <w:pPr>
              <w:spacing w:after="9"/>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以 Thomas 等人的 QEvasion 论文为起点，补充实验中已选择的近期 ACL、EMNLP 或 AAAI 方法。</w:t>
            </w:r>
          </w:p>
          <w:p w14:paraId="19B3C8B5">
            <w:pPr>
              <w:spacing w:after="9"/>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比较传统特征、预训练表示和跨场景迁移方法的适用条件与不足。</w:t>
            </w:r>
          </w:p>
          <w:p w14:paraId="212789EB">
            <w:pPr>
              <w:spacing w:after="9"/>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说明所选扩展针对哪一项不足，不要求额外复现复杂论文模型。</w:t>
            </w:r>
          </w:p>
          <w:p w14:paraId="04E2BEC3">
            <w:pPr>
              <w:keepNext/>
              <w:spacing w:before="44" w:after="20"/>
              <w:rPr>
                <w:rFonts w:eastAsia="楷体"/>
                <w:sz w:val="22"/>
                <w:szCs w:val="22"/>
              </w:rPr>
            </w:pPr>
            <w:r>
              <w:rPr>
                <w:rFonts w:eastAsia="楷体"/>
                <w:b/>
                <w:color w:val="000000"/>
                <w:sz w:val="22"/>
                <w:szCs w:val="22"/>
              </w:rPr>
              <w:t>三 模型方法与扩展设计（20分）</w:t>
            </w:r>
          </w:p>
          <w:p w14:paraId="09BCEFC6">
            <w:pPr>
              <w:spacing w:after="16"/>
              <w:ind w:firstLine="418" w:firstLineChars="190"/>
              <w:rPr>
                <w:rFonts w:eastAsia="楷体"/>
                <w:sz w:val="22"/>
                <w:szCs w:val="22"/>
              </w:rPr>
            </w:pPr>
            <w:r>
              <w:rPr>
                <w:rFonts w:eastAsia="楷体"/>
                <w:color w:val="000000"/>
                <w:sz w:val="22"/>
                <w:szCs w:val="22"/>
              </w:rPr>
              <w:t>该部分不少于一页，重点解释已有流程如何支持大作业研究问题。</w:t>
            </w:r>
          </w:p>
          <w:p w14:paraId="3047237F">
            <w:pPr>
              <w:spacing w:after="9"/>
              <w:ind w:firstLine="420" w:firstLineChars="190"/>
              <w:rPr>
                <w:rFonts w:eastAsia="楷体"/>
                <w:sz w:val="22"/>
                <w:szCs w:val="22"/>
              </w:rPr>
            </w:pPr>
            <w:r>
              <w:rPr>
                <w:rFonts w:eastAsia="楷体"/>
                <w:b/>
                <w:color w:val="000000"/>
                <w:sz w:val="22"/>
                <w:szCs w:val="22"/>
              </w:rPr>
              <w:t xml:space="preserve">• </w:t>
            </w:r>
            <w:r>
              <w:rPr>
                <w:rFonts w:eastAsia="楷体"/>
                <w:color w:val="000000"/>
                <w:sz w:val="22"/>
                <w:szCs w:val="22"/>
              </w:rPr>
              <w:t>保留 TF-IDF 加逻辑回归和一种预训练表示或句对微调方法，统一数据划分、标签映射与指标。</w:t>
            </w:r>
          </w:p>
          <w:p w14:paraId="34298B31">
            <w:pPr>
              <w:spacing w:after="9"/>
              <w:ind w:firstLine="420" w:firstLineChars="190"/>
              <w:rPr>
                <w:rFonts w:eastAsia="楷体"/>
                <w:sz w:val="22"/>
                <w:szCs w:val="22"/>
              </w:rPr>
            </w:pPr>
            <w:r>
              <w:rPr>
                <w:rFonts w:eastAsia="楷体"/>
                <w:b/>
                <w:color w:val="000000"/>
                <w:sz w:val="22"/>
                <w:szCs w:val="22"/>
              </w:rPr>
              <w:t xml:space="preserve">• </w:t>
            </w:r>
            <w:r>
              <w:rPr>
                <w:rFonts w:eastAsia="楷体"/>
                <w:bCs/>
                <w:color w:val="000000"/>
                <w:sz w:val="22"/>
                <w:szCs w:val="22"/>
              </w:rPr>
              <w:t>举例</w:t>
            </w:r>
            <w:r>
              <w:rPr>
                <w:rFonts w:eastAsia="楷体"/>
                <w:color w:val="000000"/>
                <w:sz w:val="22"/>
                <w:szCs w:val="22"/>
              </w:rPr>
              <w:t>说明 text_a（源数据集）、text_b（迁移数据集）、label字段适配器，以及从原任务迁移到新场景时的修改。</w:t>
            </w:r>
          </w:p>
          <w:p w14:paraId="38CD984A">
            <w:pPr>
              <w:spacing w:after="9"/>
              <w:ind w:firstLine="420" w:firstLineChars="190"/>
              <w:rPr>
                <w:rFonts w:eastAsia="楷体"/>
                <w:sz w:val="22"/>
                <w:szCs w:val="22"/>
              </w:rPr>
            </w:pPr>
            <w:r>
              <w:rPr>
                <w:rFonts w:eastAsia="楷体"/>
                <w:b/>
                <w:color w:val="000000"/>
                <w:sz w:val="22"/>
                <w:szCs w:val="22"/>
              </w:rPr>
              <w:t xml:space="preserve">• </w:t>
            </w:r>
            <w:r>
              <w:rPr>
                <w:rFonts w:eastAsia="楷体"/>
                <w:color w:val="FF0000"/>
                <w:sz w:val="22"/>
                <w:szCs w:val="22"/>
              </w:rPr>
              <w:t>完整描述所选扩展的假设、实现步骤和比较设置；只需完成一项扩展</w:t>
            </w:r>
            <w:r>
              <w:rPr>
                <w:rFonts w:eastAsia="楷体"/>
                <w:color w:val="000000"/>
                <w:sz w:val="22"/>
                <w:szCs w:val="22"/>
              </w:rPr>
              <w:t>。</w:t>
            </w:r>
          </w:p>
          <w:p w14:paraId="42581F48">
            <w:pPr>
              <w:spacing w:after="9"/>
              <w:ind w:firstLine="420" w:firstLineChars="190"/>
              <w:rPr>
                <w:rFonts w:eastAsia="楷体"/>
                <w:sz w:val="22"/>
                <w:szCs w:val="22"/>
              </w:rPr>
            </w:pPr>
            <w:r>
              <w:rPr>
                <w:rFonts w:eastAsia="楷体"/>
                <w:b/>
                <w:color w:val="000000"/>
                <w:sz w:val="22"/>
                <w:szCs w:val="22"/>
              </w:rPr>
              <w:t xml:space="preserve">• </w:t>
            </w:r>
            <w:r>
              <w:rPr>
                <w:rFonts w:eastAsia="楷体"/>
                <w:color w:val="000000"/>
                <w:sz w:val="22"/>
                <w:szCs w:val="22"/>
              </w:rPr>
              <w:t>记录训练参数，保证结果可重复。</w:t>
            </w:r>
          </w:p>
          <w:p w14:paraId="49B4E32C">
            <w:pPr>
              <w:keepNext/>
              <w:spacing w:before="44" w:after="20"/>
              <w:rPr>
                <w:rFonts w:eastAsia="楷体"/>
                <w:sz w:val="22"/>
                <w:szCs w:val="22"/>
              </w:rPr>
            </w:pPr>
            <w:r>
              <w:rPr>
                <w:rFonts w:eastAsia="楷体"/>
                <w:b/>
                <w:color w:val="000000"/>
                <w:sz w:val="22"/>
                <w:szCs w:val="22"/>
              </w:rPr>
              <w:t>四 实验结果与综合分析（30分）</w:t>
            </w:r>
          </w:p>
          <w:p w14:paraId="3B7BFCE8">
            <w:pPr>
              <w:spacing w:after="16"/>
              <w:ind w:firstLine="418" w:firstLineChars="190"/>
              <w:rPr>
                <w:rFonts w:eastAsia="楷体"/>
                <w:sz w:val="22"/>
                <w:szCs w:val="22"/>
              </w:rPr>
            </w:pPr>
            <w:r>
              <w:rPr>
                <w:rFonts w:eastAsia="楷体"/>
                <w:color w:val="000000"/>
                <w:sz w:val="22"/>
                <w:szCs w:val="22"/>
              </w:rPr>
              <w:t>该部分不少于三页。实验报告中的原任务结果和迁移结果可以直接复用，但需围绕统一研究问题重新组织。</w:t>
            </w:r>
          </w:p>
          <w:p w14:paraId="1EA215AB">
            <w:pPr>
              <w:spacing w:after="9"/>
              <w:ind w:firstLine="420" w:firstLineChars="190"/>
              <w:rPr>
                <w:rFonts w:eastAsia="楷体"/>
                <w:sz w:val="22"/>
                <w:szCs w:val="22"/>
              </w:rPr>
            </w:pPr>
            <w:r>
              <w:rPr>
                <w:rFonts w:eastAsia="楷体"/>
                <w:b/>
                <w:color w:val="000000"/>
                <w:sz w:val="22"/>
                <w:szCs w:val="22"/>
              </w:rPr>
              <w:t xml:space="preserve">• </w:t>
            </w:r>
            <w:r>
              <w:rPr>
                <w:rFonts w:eastAsia="楷体"/>
                <w:color w:val="000000"/>
                <w:sz w:val="22"/>
                <w:szCs w:val="22"/>
              </w:rPr>
              <w:t>报告多数类基线、TF-IDF 基线和预训练模型的 Accuracy、Macro-F1 与类别级指标。</w:t>
            </w:r>
          </w:p>
          <w:p w14:paraId="4B25FC3D">
            <w:pPr>
              <w:ind w:firstLine="420" w:firstLineChars="190"/>
              <w:rPr>
                <w:rFonts w:eastAsia="楷体"/>
                <w:sz w:val="22"/>
                <w:szCs w:val="22"/>
              </w:rPr>
            </w:pPr>
            <w:r>
              <w:rPr>
                <w:rFonts w:eastAsia="楷体"/>
                <w:b/>
                <w:color w:val="000000"/>
                <w:sz w:val="22"/>
                <w:szCs w:val="22"/>
              </w:rPr>
              <w:t xml:space="preserve">• </w:t>
            </w:r>
            <w:r>
              <w:rPr>
                <w:rFonts w:eastAsia="楷体"/>
                <w:color w:val="000000"/>
                <w:sz w:val="22"/>
                <w:szCs w:val="22"/>
              </w:rPr>
              <w:t>展示迁移数据上的直接复用与适配结果，并补充所选扩展的一组对比实验。</w:t>
            </w:r>
          </w:p>
          <w:p w14:paraId="0B4A9611">
            <w:pPr>
              <w:spacing w:after="9"/>
              <w:ind w:firstLine="418" w:firstLineChars="190"/>
              <w:rPr>
                <w:rFonts w:eastAsia="楷体"/>
                <w:b/>
                <w:color w:val="000000"/>
                <w:sz w:val="22"/>
                <w:szCs w:val="22"/>
              </w:rPr>
            </w:pPr>
            <w:r>
              <w:rPr>
                <w:rFonts w:eastAsia="楷体"/>
                <w:bCs/>
                <w:color w:val="000000"/>
                <w:sz w:val="22"/>
                <w:szCs w:val="22"/>
              </w:rPr>
              <w:t>•</w:t>
            </w:r>
            <w:r>
              <w:rPr>
                <w:rFonts w:eastAsia="楷体"/>
                <w:b/>
                <w:color w:val="000000"/>
                <w:sz w:val="22"/>
                <w:szCs w:val="22"/>
              </w:rPr>
              <w:t xml:space="preserve"> 给出案例分析，比如分析五个误判样本。</w:t>
            </w:r>
          </w:p>
          <w:p w14:paraId="476BBEDA">
            <w:pPr>
              <w:spacing w:after="9"/>
              <w:ind w:firstLine="420" w:firstLineChars="190"/>
              <w:rPr>
                <w:rFonts w:eastAsia="楷体"/>
                <w:color w:val="000000"/>
                <w:sz w:val="22"/>
                <w:szCs w:val="22"/>
              </w:rPr>
            </w:pPr>
            <w:r>
              <w:rPr>
                <w:rFonts w:eastAsia="楷体"/>
                <w:b/>
                <w:color w:val="000000"/>
                <w:sz w:val="22"/>
                <w:szCs w:val="22"/>
              </w:rPr>
              <w:t xml:space="preserve">• </w:t>
            </w:r>
            <w:r>
              <w:rPr>
                <w:rFonts w:eastAsia="楷体"/>
                <w:bCs/>
                <w:color w:val="000000"/>
                <w:sz w:val="22"/>
                <w:szCs w:val="22"/>
              </w:rPr>
              <w:t>分析</w:t>
            </w:r>
            <w:r>
              <w:rPr>
                <w:rFonts w:eastAsia="楷体"/>
                <w:color w:val="000000"/>
                <w:sz w:val="22"/>
                <w:szCs w:val="22"/>
              </w:rPr>
              <w:t>性能变化来自数据分布、标签边界、来源群体还是模型表示，并说明结论的适用范围。</w:t>
            </w:r>
          </w:p>
          <w:p w14:paraId="0B857F46">
            <w:pPr>
              <w:spacing w:after="9"/>
              <w:ind w:firstLine="418" w:firstLineChars="190"/>
              <w:rPr>
                <w:rFonts w:eastAsia="楷体"/>
                <w:color w:val="000000"/>
                <w:sz w:val="22"/>
                <w:szCs w:val="22"/>
              </w:rPr>
            </w:pPr>
          </w:p>
          <w:p w14:paraId="1B705E40">
            <w:pPr>
              <w:spacing w:line="320" w:lineRule="exact"/>
              <w:jc w:val="left"/>
              <w:rPr>
                <w:rFonts w:eastAsia="楷体"/>
                <w:sz w:val="22"/>
                <w:szCs w:val="22"/>
              </w:rPr>
            </w:pPr>
            <w:r>
              <w:rPr>
                <w:rFonts w:hint="eastAsia" w:eastAsia="楷体"/>
                <w:bCs/>
                <w:color w:val="000000"/>
                <w:sz w:val="22"/>
                <w:szCs w:val="22"/>
              </w:rPr>
              <w:t>五</w:t>
            </w:r>
            <w:r>
              <w:rPr>
                <w:rFonts w:eastAsia="楷体"/>
                <w:b/>
                <w:color w:val="000000"/>
                <w:sz w:val="22"/>
                <w:szCs w:val="22"/>
              </w:rPr>
              <w:t xml:space="preserve"> </w:t>
            </w:r>
            <w:r>
              <w:rPr>
                <w:rFonts w:eastAsia="楷体"/>
                <w:color w:val="0000FF"/>
                <w:sz w:val="22"/>
                <w:szCs w:val="22"/>
              </w:rPr>
              <w:t>将实现的代码和结果上传到Github</w:t>
            </w:r>
            <w:r>
              <w:rPr>
                <w:rFonts w:hint="eastAsia" w:eastAsia="楷体"/>
                <w:color w:val="0000FF"/>
                <w:sz w:val="22"/>
                <w:szCs w:val="22"/>
              </w:rPr>
              <w:t xml:space="preserve"> </w:t>
            </w:r>
            <w:r>
              <w:rPr>
                <w:rFonts w:eastAsia="楷体"/>
                <w:color w:val="0000FF"/>
                <w:sz w:val="22"/>
                <w:szCs w:val="22"/>
              </w:rPr>
              <w:t>(</w:t>
            </w:r>
            <w:r>
              <w:rPr>
                <w:rFonts w:eastAsia="楷体"/>
                <w:color w:val="FF0000"/>
                <w:sz w:val="22"/>
                <w:szCs w:val="22"/>
              </w:rPr>
              <w:t>务必上传代码,并复制链接到正文</w:t>
            </w:r>
            <w:r>
              <w:rPr>
                <w:rFonts w:eastAsia="楷体"/>
                <w:color w:val="0000FF"/>
                <w:sz w:val="22"/>
                <w:szCs w:val="22"/>
              </w:rPr>
              <w:t>)</w:t>
            </w:r>
            <w:r>
              <w:rPr>
                <w:rFonts w:hint="eastAsia" w:eastAsia="楷体"/>
                <w:color w:val="0000FF"/>
                <w:sz w:val="22"/>
                <w:szCs w:val="22"/>
              </w:rPr>
              <w:t xml:space="preserve"> </w:t>
            </w:r>
            <w:r>
              <w:rPr>
                <w:rFonts w:eastAsia="楷体"/>
                <w:sz w:val="22"/>
                <w:szCs w:val="22"/>
              </w:rPr>
              <w:t>(</w:t>
            </w:r>
            <w:r>
              <w:rPr>
                <w:rFonts w:hint="eastAsia" w:eastAsia="楷体"/>
                <w:sz w:val="22"/>
                <w:szCs w:val="22"/>
              </w:rPr>
              <w:t>1</w:t>
            </w:r>
            <w:r>
              <w:rPr>
                <w:rFonts w:eastAsia="楷体"/>
                <w:sz w:val="22"/>
                <w:szCs w:val="22"/>
              </w:rPr>
              <w:t>0分)</w:t>
            </w:r>
          </w:p>
          <w:p w14:paraId="40DC6B1B">
            <w:pPr>
              <w:spacing w:line="320" w:lineRule="exact"/>
              <w:jc w:val="left"/>
              <w:rPr>
                <w:rFonts w:eastAsia="楷体"/>
                <w:sz w:val="24"/>
              </w:rPr>
            </w:pPr>
            <w:r>
              <w:rPr>
                <w:rFonts w:hint="eastAsia" w:eastAsia="楷体"/>
                <w:sz w:val="22"/>
                <w:szCs w:val="22"/>
              </w:rPr>
              <w:t xml:space="preserve">六 </w:t>
            </w:r>
            <w:r>
              <w:rPr>
                <w:rFonts w:eastAsia="楷体"/>
                <w:sz w:val="22"/>
                <w:szCs w:val="22"/>
              </w:rPr>
              <w:t>参考文献(10分)（要和正文内容联系，引用的地方加上序号，比如xxx[1]）</w:t>
            </w:r>
          </w:p>
        </w:tc>
      </w:tr>
      <w:tr w14:paraId="38C813F3">
        <w:tblPrEx>
          <w:tblCellMar>
            <w:top w:w="0" w:type="dxa"/>
            <w:left w:w="108" w:type="dxa"/>
            <w:bottom w:w="0" w:type="dxa"/>
            <w:right w:w="108" w:type="dxa"/>
          </w:tblCellMar>
        </w:tblPrEx>
        <w:trPr>
          <w:trHeight w:val="396" w:hRule="atLeast"/>
          <w:jc w:val="center"/>
        </w:trPr>
        <w:tc>
          <w:tcPr>
            <w:tcW w:w="1153" w:type="dxa"/>
            <w:gridSpan w:val="2"/>
            <w:tcBorders>
              <w:top w:val="single" w:color="auto" w:sz="4" w:space="0"/>
            </w:tcBorders>
            <w:vAlign w:val="center"/>
          </w:tcPr>
          <w:p w14:paraId="70475B1C">
            <w:pPr>
              <w:wordWrap w:val="0"/>
              <w:jc w:val="center"/>
              <w:rPr>
                <w:rFonts w:eastAsia="楷体"/>
                <w:sz w:val="24"/>
              </w:rPr>
            </w:pPr>
            <w:r>
              <w:rPr>
                <w:rFonts w:eastAsia="楷体"/>
                <w:sz w:val="24"/>
              </w:rPr>
              <w:t>题目：</w:t>
            </w:r>
          </w:p>
        </w:tc>
        <w:tc>
          <w:tcPr>
            <w:tcW w:w="8209" w:type="dxa"/>
            <w:gridSpan w:val="12"/>
            <w:tcBorders>
              <w:top w:val="single" w:color="auto" w:sz="4" w:space="0"/>
              <w:bottom w:val="single" w:color="auto" w:sz="4" w:space="0"/>
            </w:tcBorders>
            <w:vAlign w:val="center"/>
          </w:tcPr>
          <w:p w14:paraId="7C7F4006">
            <w:pPr>
              <w:jc w:val="center"/>
              <w:rPr>
                <w:rFonts w:eastAsia="楷体"/>
                <w:sz w:val="24"/>
              </w:rPr>
            </w:pPr>
            <w:r>
              <w:rPr>
                <w:rFonts w:eastAsia="楷体"/>
                <w:b/>
                <w:sz w:val="24"/>
              </w:rPr>
              <w:t>问答回避检测的语义建模与跨场景迁移及标签层级分析</w:t>
            </w:r>
          </w:p>
        </w:tc>
      </w:tr>
    </w:tbl>
    <w:p w14:paraId="4DC9E386">
      <w:pPr>
        <w:pStyle w:val="9"/>
        <w:keepNext/>
        <w:numPr>
          <w:ilvl w:val="0"/>
          <w:numId w:val="1"/>
        </w:numPr>
        <w:spacing w:after="120"/>
        <w:ind w:firstLine="0"/>
        <w:rPr>
          <w:rFonts w:hint="default" w:ascii="Times New Roman" w:hAnsi="Times New Roman" w:eastAsia="楷体" w:cs="Times New Roman"/>
          <w:b/>
          <w:bCs/>
          <w:color w:val="0000FF"/>
          <w:sz w:val="24"/>
          <w:szCs w:val="24"/>
          <w:lang w:val="zh-TW" w:eastAsia="zh-TW"/>
        </w:rPr>
      </w:pPr>
      <w:r>
        <w:rPr>
          <w:rFonts w:hint="default" w:ascii="Times New Roman" w:hAnsi="Times New Roman" w:eastAsia="楷体" w:cs="Times New Roman"/>
          <w:b/>
          <w:bCs/>
          <w:color w:val="0000FF"/>
          <w:sz w:val="24"/>
          <w:szCs w:val="24"/>
        </w:rPr>
        <w:t>背景介绍包括</w:t>
      </w:r>
    </w:p>
    <w:p w14:paraId="7FACBDE0">
      <w:pPr>
        <w:pStyle w:val="9"/>
        <w:keepNext/>
        <w:widowControl/>
        <w:spacing w:before="100" w:after="60" w:line="360" w:lineRule="auto"/>
        <w:ind w:firstLine="0"/>
      </w:pPr>
      <w:r>
        <w:rPr>
          <w:rFonts w:ascii="Times New Roman" w:hAnsi="Times New Roman" w:eastAsia="楷体" w:cs="Times New Roman"/>
          <w:b/>
          <w:color w:val="000000"/>
          <w:sz w:val="24"/>
        </w:rPr>
        <w:t>1.1 研究背景与任务意义</w:t>
      </w:r>
    </w:p>
    <w:p w14:paraId="372750C7">
      <w:pPr>
        <w:pStyle w:val="9"/>
        <w:widowControl/>
        <w:spacing w:before="0" w:after="60" w:line="360" w:lineRule="auto"/>
        <w:ind w:firstLine="480"/>
      </w:pPr>
      <w:r>
        <w:rPr>
          <w:rFonts w:ascii="Times New Roman" w:hAnsi="Times New Roman" w:eastAsia="楷体" w:cs="Times New Roman"/>
          <w:b w:val="0"/>
          <w:color w:val="000000"/>
          <w:sz w:val="24"/>
        </w:rPr>
        <w:t>本研究以政治访谈中的问题与回答为对象，研究回答是否清楚回应了目标问题，以及同一套文本对建模流程能否用于新的问答场景。实验以 QEvasion 的回答清晰度三分类为主任务，以 QNLI 的答案包含判断为迁移任务，并增加粗粒度与细粒度标签的层级分析。评价重点是各类回答能否被均衡识别，以及语义表示、标签定义和数据来源如何影响结果。</w:t>
      </w:r>
    </w:p>
    <w:p w14:paraId="2FA59B3F">
      <w:pPr>
        <w:pStyle w:val="9"/>
        <w:widowControl/>
        <w:spacing w:before="0" w:after="60" w:line="360" w:lineRule="auto"/>
        <w:ind w:firstLine="480"/>
      </w:pPr>
      <w:r>
        <w:rPr>
          <w:rFonts w:ascii="Times New Roman" w:hAnsi="Times New Roman" w:eastAsia="楷体" w:cs="Times New Roman"/>
          <w:b w:val="0"/>
          <w:color w:val="000000"/>
          <w:sz w:val="24"/>
        </w:rPr>
        <w:t>在访谈中，回答可以与问题谈论同一主题，却不提供提问者要求的信息。例如，问题询问某项行动何时实施，回答却只强调行动的重要性。此时，主题相关和措辞流畅都不足以支持“已经回答”的判断。回答清晰度需要将问题的信息需求与回答内容相对照；回避策略则描述这种缺口如何形成，例如转移话题、只回应部分内容或以概括性表述代替具体说明。[1]</w:t>
      </w:r>
    </w:p>
    <w:p w14:paraId="6366A38E">
      <w:pPr>
        <w:pStyle w:val="9"/>
        <w:widowControl/>
        <w:spacing w:before="0" w:after="60" w:line="360" w:lineRule="auto"/>
        <w:ind w:firstLine="480"/>
      </w:pPr>
      <w:r>
        <w:rPr>
          <w:rFonts w:ascii="Times New Roman" w:hAnsi="Times New Roman" w:eastAsia="楷体" w:cs="Times New Roman"/>
          <w:b w:val="0"/>
          <w:color w:val="000000"/>
          <w:sz w:val="24"/>
        </w:rPr>
        <w:t>这类判断也有助于分析客服和安全对话。客服可能解释规则，却没有回应具体诉求；安全助手可能明确拒绝某个请求。因此，明确不回答具有可识别的表达方式，但其行为是否合适仍依赖应用规则。本研究仅评价给定文本与标签的一致性，不根据回答清晰度推断说话人的真实意图，也不把拒绝回答直接等同于有害行为。</w:t>
      </w:r>
    </w:p>
    <w:p w14:paraId="36D99C6D">
      <w:pPr>
        <w:pStyle w:val="9"/>
        <w:keepNext/>
        <w:widowControl/>
        <w:spacing w:before="100" w:after="60" w:line="360" w:lineRule="auto"/>
        <w:ind w:firstLine="0"/>
      </w:pPr>
      <w:r>
        <w:rPr>
          <w:rFonts w:ascii="Times New Roman" w:hAnsi="Times New Roman" w:eastAsia="楷体" w:cs="Times New Roman"/>
          <w:b/>
          <w:color w:val="000000"/>
          <w:sz w:val="24"/>
        </w:rPr>
        <w:t>1.2 数据对象与概念边界</w:t>
      </w:r>
    </w:p>
    <w:p w14:paraId="43CD4F5E">
      <w:pPr>
        <w:pStyle w:val="9"/>
        <w:widowControl/>
        <w:spacing w:before="0" w:after="60" w:line="360" w:lineRule="auto"/>
        <w:ind w:firstLine="480"/>
      </w:pPr>
      <w:r>
        <w:rPr>
          <w:rFonts w:ascii="Times New Roman" w:hAnsi="Times New Roman" w:eastAsia="楷体" w:cs="Times New Roman"/>
          <w:b w:val="0"/>
          <w:color w:val="000000"/>
          <w:sz w:val="24"/>
        </w:rPr>
        <w:t>QEvasion 提供 question、interview_answer、clarity_label 和 evasion_label 等字段。[2] 本地快照包含 3,448 条训练样本和 308 条测试样本。三类原始清晰度标签为 Clear Reply、Ambivalent、Clear Non-Reply；本文展示时将 Ambivalent 写为 Ambivalent Reply，整数编码依次为 0、1、2。原始名称与展示名称的差异只发生在适配阶段，不改变监督目标。</w:t>
      </w:r>
    </w:p>
    <w:p w14:paraId="096A9737">
      <w:pPr>
        <w:pStyle w:val="9"/>
        <w:keepNext/>
        <w:widowControl/>
        <w:spacing w:before="0" w:after="60" w:line="360" w:lineRule="auto"/>
        <w:ind w:firstLine="0"/>
        <w:jc w:val="center"/>
      </w:pPr>
      <w:r>
        <w:rPr>
          <w:rFonts w:ascii="Times New Roman" w:hAnsi="Times New Roman" w:eastAsia="楷体" w:cs="Times New Roman"/>
          <w:b w:val="0"/>
          <w:color w:val="000000"/>
          <w:sz w:val="21"/>
        </w:rPr>
        <w:t>表1 两个任务的共同结构与标签差异</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1701"/>
        <w:gridCol w:w="3685"/>
        <w:gridCol w:w="3685"/>
      </w:tblGrid>
      <w:tr w14:paraId="1A849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1701" w:type="dxa"/>
            <w:vAlign w:val="center"/>
          </w:tcPr>
          <w:p w14:paraId="60B733C3">
            <w:pPr>
              <w:spacing w:before="0" w:after="0" w:line="276" w:lineRule="auto"/>
              <w:jc w:val="center"/>
            </w:pPr>
            <w:r>
              <w:rPr>
                <w:rFonts w:ascii="Times New Roman" w:hAnsi="Times New Roman" w:eastAsia="楷体" w:cs="Times New Roman"/>
                <w:b/>
                <w:color w:val="000000"/>
                <w:sz w:val="21"/>
              </w:rPr>
              <w:t>项目</w:t>
            </w:r>
          </w:p>
        </w:tc>
        <w:tc>
          <w:tcPr>
            <w:tcW w:w="3685" w:type="dxa"/>
            <w:vAlign w:val="center"/>
          </w:tcPr>
          <w:p w14:paraId="4CDA2134">
            <w:pPr>
              <w:spacing w:before="0" w:after="0" w:line="276" w:lineRule="auto"/>
              <w:jc w:val="center"/>
            </w:pPr>
            <w:r>
              <w:rPr>
                <w:rFonts w:ascii="Times New Roman" w:hAnsi="Times New Roman" w:eastAsia="楷体" w:cs="Times New Roman"/>
                <w:b/>
                <w:color w:val="000000"/>
                <w:sz w:val="21"/>
              </w:rPr>
              <w:t>QEvasion</w:t>
            </w:r>
          </w:p>
        </w:tc>
        <w:tc>
          <w:tcPr>
            <w:tcW w:w="3685" w:type="dxa"/>
            <w:vAlign w:val="center"/>
          </w:tcPr>
          <w:p w14:paraId="3315DA87">
            <w:pPr>
              <w:spacing w:before="0" w:after="0" w:line="276" w:lineRule="auto"/>
              <w:jc w:val="center"/>
            </w:pPr>
            <w:r>
              <w:rPr>
                <w:rFonts w:ascii="Times New Roman" w:hAnsi="Times New Roman" w:eastAsia="楷体" w:cs="Times New Roman"/>
                <w:b/>
                <w:color w:val="000000"/>
                <w:sz w:val="21"/>
              </w:rPr>
              <w:t>QNLI</w:t>
            </w:r>
          </w:p>
        </w:tc>
      </w:tr>
      <w:tr w14:paraId="6652B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701" w:type="dxa"/>
            <w:vAlign w:val="center"/>
          </w:tcPr>
          <w:p w14:paraId="74D5C24E">
            <w:pPr>
              <w:spacing w:before="0" w:after="0" w:line="276" w:lineRule="auto"/>
              <w:jc w:val="left"/>
            </w:pPr>
            <w:r>
              <w:rPr>
                <w:rFonts w:ascii="Times New Roman" w:hAnsi="Times New Roman" w:eastAsia="楷体" w:cs="Times New Roman"/>
                <w:b w:val="0"/>
                <w:color w:val="000000"/>
                <w:sz w:val="21"/>
              </w:rPr>
              <w:t>第一段文本</w:t>
            </w:r>
          </w:p>
        </w:tc>
        <w:tc>
          <w:tcPr>
            <w:tcW w:w="3685" w:type="dxa"/>
            <w:vAlign w:val="center"/>
          </w:tcPr>
          <w:p w14:paraId="17AA1F0A">
            <w:pPr>
              <w:spacing w:before="0" w:after="0" w:line="276" w:lineRule="auto"/>
              <w:jc w:val="center"/>
            </w:pPr>
            <w:r>
              <w:rPr>
                <w:rFonts w:ascii="Times New Roman" w:hAnsi="Times New Roman" w:eastAsia="楷体" w:cs="Times New Roman"/>
                <w:b w:val="0"/>
                <w:color w:val="000000"/>
                <w:sz w:val="21"/>
              </w:rPr>
              <w:t>目标子问题 question</w:t>
            </w:r>
          </w:p>
        </w:tc>
        <w:tc>
          <w:tcPr>
            <w:tcW w:w="3685" w:type="dxa"/>
            <w:vAlign w:val="center"/>
          </w:tcPr>
          <w:p w14:paraId="0DEBF243">
            <w:pPr>
              <w:spacing w:before="0" w:after="0" w:line="276" w:lineRule="auto"/>
              <w:jc w:val="center"/>
            </w:pPr>
            <w:r>
              <w:rPr>
                <w:rFonts w:ascii="Times New Roman" w:hAnsi="Times New Roman" w:eastAsia="楷体" w:cs="Times New Roman"/>
                <w:b w:val="0"/>
                <w:color w:val="000000"/>
                <w:sz w:val="21"/>
              </w:rPr>
              <w:t>问题 question</w:t>
            </w:r>
          </w:p>
        </w:tc>
      </w:tr>
      <w:tr w14:paraId="01FD5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701" w:type="dxa"/>
            <w:vAlign w:val="center"/>
          </w:tcPr>
          <w:p w14:paraId="4ABA540A">
            <w:pPr>
              <w:spacing w:before="0" w:after="0" w:line="276" w:lineRule="auto"/>
              <w:jc w:val="left"/>
            </w:pPr>
            <w:r>
              <w:rPr>
                <w:rFonts w:ascii="Times New Roman" w:hAnsi="Times New Roman" w:eastAsia="楷体" w:cs="Times New Roman"/>
                <w:b w:val="0"/>
                <w:color w:val="000000"/>
                <w:sz w:val="21"/>
              </w:rPr>
              <w:t>第二段文本</w:t>
            </w:r>
          </w:p>
        </w:tc>
        <w:tc>
          <w:tcPr>
            <w:tcW w:w="3685" w:type="dxa"/>
            <w:vAlign w:val="center"/>
          </w:tcPr>
          <w:p w14:paraId="31A3FAAB">
            <w:pPr>
              <w:spacing w:before="0" w:after="0" w:line="276" w:lineRule="auto"/>
              <w:jc w:val="center"/>
            </w:pPr>
            <w:r>
              <w:rPr>
                <w:rFonts w:ascii="Times New Roman" w:hAnsi="Times New Roman" w:eastAsia="楷体" w:cs="Times New Roman"/>
                <w:b w:val="0"/>
                <w:color w:val="000000"/>
                <w:sz w:val="21"/>
              </w:rPr>
              <w:t>完整回答 interview_answer</w:t>
            </w:r>
          </w:p>
        </w:tc>
        <w:tc>
          <w:tcPr>
            <w:tcW w:w="3685" w:type="dxa"/>
            <w:vAlign w:val="center"/>
          </w:tcPr>
          <w:p w14:paraId="7ECD66F9">
            <w:pPr>
              <w:spacing w:before="0" w:after="0" w:line="276" w:lineRule="auto"/>
              <w:jc w:val="center"/>
            </w:pPr>
            <w:r>
              <w:rPr>
                <w:rFonts w:ascii="Times New Roman" w:hAnsi="Times New Roman" w:eastAsia="楷体" w:cs="Times New Roman"/>
                <w:b w:val="0"/>
                <w:color w:val="000000"/>
                <w:sz w:val="21"/>
              </w:rPr>
              <w:t>候选句子 sentence</w:t>
            </w:r>
          </w:p>
        </w:tc>
      </w:tr>
      <w:tr w14:paraId="7FF01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701" w:type="dxa"/>
            <w:vAlign w:val="center"/>
          </w:tcPr>
          <w:p w14:paraId="6388840D">
            <w:pPr>
              <w:spacing w:before="0" w:after="0" w:line="276" w:lineRule="auto"/>
              <w:jc w:val="left"/>
            </w:pPr>
            <w:r>
              <w:rPr>
                <w:rFonts w:ascii="Times New Roman" w:hAnsi="Times New Roman" w:eastAsia="楷体" w:cs="Times New Roman"/>
                <w:b w:val="0"/>
                <w:color w:val="000000"/>
                <w:sz w:val="21"/>
              </w:rPr>
              <w:t>输出</w:t>
            </w:r>
          </w:p>
        </w:tc>
        <w:tc>
          <w:tcPr>
            <w:tcW w:w="3685" w:type="dxa"/>
            <w:vAlign w:val="center"/>
          </w:tcPr>
          <w:p w14:paraId="0D489DBE">
            <w:pPr>
              <w:spacing w:before="0" w:after="0" w:line="276" w:lineRule="auto"/>
              <w:jc w:val="center"/>
            </w:pPr>
            <w:r>
              <w:rPr>
                <w:rFonts w:ascii="Times New Roman" w:hAnsi="Times New Roman" w:eastAsia="楷体" w:cs="Times New Roman"/>
                <w:b w:val="0"/>
                <w:color w:val="000000"/>
                <w:sz w:val="21"/>
              </w:rPr>
              <w:t>明确回答／模糊回答／明确不回答</w:t>
            </w:r>
          </w:p>
        </w:tc>
        <w:tc>
          <w:tcPr>
            <w:tcW w:w="3685" w:type="dxa"/>
            <w:vAlign w:val="center"/>
          </w:tcPr>
          <w:p w14:paraId="292E76FD">
            <w:pPr>
              <w:spacing w:before="0" w:after="0" w:line="276" w:lineRule="auto"/>
              <w:jc w:val="center"/>
            </w:pPr>
            <w:r>
              <w:rPr>
                <w:rFonts w:ascii="Times New Roman" w:hAnsi="Times New Roman" w:eastAsia="楷体" w:cs="Times New Roman"/>
                <w:b w:val="0"/>
                <w:color w:val="000000"/>
                <w:sz w:val="21"/>
              </w:rPr>
              <w:t>包含答案／不包含答案</w:t>
            </w:r>
          </w:p>
        </w:tc>
      </w:tr>
      <w:tr w14:paraId="1D796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701" w:type="dxa"/>
            <w:vAlign w:val="center"/>
          </w:tcPr>
          <w:p w14:paraId="1A93183C">
            <w:pPr>
              <w:spacing w:before="0" w:after="0" w:line="276" w:lineRule="auto"/>
              <w:jc w:val="left"/>
            </w:pPr>
            <w:r>
              <w:rPr>
                <w:rFonts w:ascii="Times New Roman" w:hAnsi="Times New Roman" w:eastAsia="楷体" w:cs="Times New Roman"/>
                <w:b w:val="0"/>
                <w:color w:val="000000"/>
                <w:sz w:val="21"/>
              </w:rPr>
              <w:t>主要判断</w:t>
            </w:r>
          </w:p>
        </w:tc>
        <w:tc>
          <w:tcPr>
            <w:tcW w:w="3685" w:type="dxa"/>
            <w:vAlign w:val="center"/>
          </w:tcPr>
          <w:p w14:paraId="43F96CD5">
            <w:pPr>
              <w:spacing w:before="0" w:after="0" w:line="276" w:lineRule="auto"/>
              <w:jc w:val="center"/>
            </w:pPr>
            <w:r>
              <w:rPr>
                <w:rFonts w:ascii="Times New Roman" w:hAnsi="Times New Roman" w:eastAsia="楷体" w:cs="Times New Roman"/>
                <w:b w:val="0"/>
                <w:color w:val="000000"/>
                <w:sz w:val="21"/>
              </w:rPr>
              <w:t>问题所需信息的回应清晰度</w:t>
            </w:r>
          </w:p>
        </w:tc>
        <w:tc>
          <w:tcPr>
            <w:tcW w:w="3685" w:type="dxa"/>
            <w:vAlign w:val="center"/>
          </w:tcPr>
          <w:p w14:paraId="25B2B3BE">
            <w:pPr>
              <w:spacing w:before="0" w:after="0" w:line="276" w:lineRule="auto"/>
              <w:jc w:val="center"/>
            </w:pPr>
            <w:r>
              <w:rPr>
                <w:rFonts w:ascii="Times New Roman" w:hAnsi="Times New Roman" w:eastAsia="楷体" w:cs="Times New Roman"/>
                <w:b w:val="0"/>
                <w:color w:val="000000"/>
                <w:sz w:val="21"/>
              </w:rPr>
              <w:t>候选句是否提供问题答案</w:t>
            </w:r>
          </w:p>
        </w:tc>
      </w:tr>
    </w:tbl>
    <w:p w14:paraId="536019E2">
      <w:pPr>
        <w:pStyle w:val="9"/>
        <w:widowControl/>
        <w:spacing w:before="0" w:after="60" w:line="360" w:lineRule="auto"/>
        <w:ind w:firstLine="480"/>
      </w:pPr>
      <w:r>
        <w:rPr>
          <w:rFonts w:ascii="Times New Roman" w:hAnsi="Times New Roman" w:eastAsia="楷体" w:cs="Times New Roman"/>
          <w:b w:val="0"/>
          <w:color w:val="000000"/>
          <w:sz w:val="24"/>
        </w:rPr>
        <w:t>QNLI 属于 GLUE 基准，采用问题与候选句的文本对形式。[5] 本实验沿用已完成的迁移设置：训练集中每类抽取 6,000 条，共 12,000 条；使用带标签的官方 dev 集 5,463 条作实验评估集。正文中的 QNLI 评估均指这个 dev 集，并非提交到官方隐藏测试集的排行榜成绩。</w:t>
      </w:r>
    </w:p>
    <w:p w14:paraId="685E6142">
      <w:pPr>
        <w:pStyle w:val="9"/>
        <w:keepNext/>
        <w:widowControl/>
        <w:spacing w:before="100" w:after="60" w:line="360" w:lineRule="auto"/>
        <w:ind w:firstLine="0"/>
      </w:pPr>
      <w:r>
        <w:rPr>
          <w:rFonts w:ascii="Times New Roman" w:hAnsi="Times New Roman" w:eastAsia="楷体" w:cs="Times New Roman"/>
          <w:b/>
          <w:color w:val="000000"/>
          <w:sz w:val="24"/>
        </w:rPr>
        <w:t>1.3 研究问题与可检验预期</w:t>
      </w:r>
    </w:p>
    <w:p w14:paraId="44F80E7C">
      <w:pPr>
        <w:pStyle w:val="9"/>
        <w:widowControl/>
        <w:spacing w:before="0" w:after="60" w:line="360" w:lineRule="auto"/>
        <w:ind w:firstLine="480"/>
      </w:pPr>
      <w:r>
        <w:rPr>
          <w:rFonts w:ascii="Times New Roman" w:hAnsi="Times New Roman" w:eastAsia="楷体" w:cs="Times New Roman"/>
          <w:b w:val="0"/>
          <w:color w:val="000000"/>
          <w:sz w:val="24"/>
        </w:rPr>
        <w:t>研究问题一：在相同 QEvasion 测试集上，多数类策略、TF-IDF 加逻辑回归和预训练句向量加逻辑回归分别达到什么水平？预期语义表示能够减少仅凭表面词汇产生的错误，但不能据此预设所有类别都会提升。验证时同时报告总体指标和每类 Precision、Recall、F1，区分整体进步与类别间的性能交换。</w:t>
      </w:r>
    </w:p>
    <w:p w14:paraId="3DE3019F">
      <w:pPr>
        <w:pStyle w:val="9"/>
        <w:widowControl/>
        <w:spacing w:before="0" w:after="60" w:line="360" w:lineRule="auto"/>
        <w:ind w:firstLine="480"/>
      </w:pPr>
      <w:r>
        <w:rPr>
          <w:rFonts w:ascii="Times New Roman" w:hAnsi="Times New Roman" w:eastAsia="楷体" w:cs="Times New Roman"/>
          <w:b w:val="0"/>
          <w:color w:val="000000"/>
          <w:sz w:val="24"/>
        </w:rPr>
        <w:t>研究问题二：从政治访谈迁移到 QNLI 时，哪些组成部分可以复用，哪些必须重新学习？预期数据接口、训练程序与指标计算可复用，而原分类器的输出语义无法无条件照搬。实验固定一个粗标签到二标签的投影规则，测量源任务模型直接复用的表现，再与使用 QNLI 标注重新训练的模型比较，从而区分工程复用与跨任务预测能力。</w:t>
      </w:r>
    </w:p>
    <w:p w14:paraId="0C3699DF">
      <w:pPr>
        <w:pStyle w:val="9"/>
        <w:widowControl/>
        <w:spacing w:before="0" w:after="60" w:line="360" w:lineRule="auto"/>
        <w:ind w:firstLine="480"/>
      </w:pPr>
      <w:r>
        <w:rPr>
          <w:rFonts w:ascii="Times New Roman" w:hAnsi="Times New Roman" w:eastAsia="楷体" w:cs="Times New Roman"/>
          <w:b w:val="0"/>
          <w:color w:val="000000"/>
          <w:sz w:val="24"/>
        </w:rPr>
        <w:t>研究问题三：细粒度回避策略是否与粗标签一致，增加九分类监督后再汇总概率能否改善三分类？预期正确的映射应符合数据标注，但层级结构本身并不保证性能收益。为检验这一点，先统计真实标签的一致率，再在同一冻结语义表示上比较直接三分类与九分类概率汇总。若汇总后多数类占比上升、少数类召回下降，即构成对简单层级方案的反证。</w:t>
      </w:r>
    </w:p>
    <w:p w14:paraId="62226D64">
      <w:pPr>
        <w:pStyle w:val="9"/>
        <w:keepNext/>
        <w:widowControl/>
        <w:spacing w:before="100" w:after="60" w:line="360" w:lineRule="auto"/>
        <w:ind w:firstLine="0"/>
      </w:pPr>
      <w:r>
        <w:rPr>
          <w:rFonts w:ascii="Times New Roman" w:hAnsi="Times New Roman" w:eastAsia="楷体" w:cs="Times New Roman"/>
          <w:b/>
          <w:color w:val="000000"/>
          <w:sz w:val="24"/>
        </w:rPr>
        <w:t>1.4 与普通情感分类的区别及指标选择</w:t>
      </w:r>
    </w:p>
    <w:p w14:paraId="0F2D5618">
      <w:pPr>
        <w:pStyle w:val="9"/>
        <w:widowControl/>
        <w:spacing w:before="0" w:after="60" w:line="360" w:lineRule="auto"/>
        <w:ind w:firstLine="480"/>
      </w:pPr>
      <w:r>
        <w:rPr>
          <w:rFonts w:ascii="Times New Roman" w:hAnsi="Times New Roman" w:eastAsia="楷体" w:cs="Times New Roman"/>
          <w:b w:val="0"/>
          <w:color w:val="000000"/>
          <w:sz w:val="24"/>
        </w:rPr>
        <w:t>普通情感分类常以文本的正向、负向或中性态度为目标，而本研究的标签取决于回答相对于某个具体问题的信息充分性。带有积极措辞的回答可能回避问题，语气消极的回答也可能直接说明事实；同一句“已经做过了”对“是否执行过”可以构成明确回答，对“执行效果如何”则未必如此。因此，模型必须同时利用两段文本，并关注实体、时间、条件、否定与问题类型的对应关系。</w:t>
      </w:r>
    </w:p>
    <w:p w14:paraId="151BCEDF">
      <w:pPr>
        <w:pStyle w:val="9"/>
        <w:widowControl/>
        <w:spacing w:before="0" w:after="60" w:line="360" w:lineRule="auto"/>
        <w:ind w:firstLine="480"/>
      </w:pPr>
      <w:r>
        <w:rPr>
          <w:rFonts w:ascii="Times New Roman" w:hAnsi="Times New Roman" w:eastAsia="楷体" w:cs="Times New Roman"/>
          <w:b w:val="0"/>
          <w:color w:val="000000"/>
          <w:sz w:val="24"/>
        </w:rPr>
        <w:t>类别不均衡使 Accuracy 容易产生误导。训练集中 Ambivalent Reply 占 59.16%，测试集中占 66.88%；Clear Non-Reply 在测试集中仅有 23 条。若所有样本都预测为多数类，准确率仍为 0.6688，但另两类召回率为零。Macro-F1 对每类 F1 等权平均，可以使少数类错误进入主指标；同时保留准确率、类别级指标和混淆矩阵，避免只凭一个平均数解释模型行为。</w:t>
      </w:r>
    </w:p>
    <w:p w14:paraId="259D738E">
      <w:pPr>
        <w:pStyle w:val="9"/>
        <w:keepNext/>
        <w:widowControl/>
        <w:spacing w:before="100" w:after="60" w:line="360" w:lineRule="auto"/>
        <w:ind w:firstLine="0"/>
      </w:pPr>
      <w:r>
        <w:rPr>
          <w:rFonts w:ascii="Times New Roman" w:hAnsi="Times New Roman" w:eastAsia="楷体" w:cs="Times New Roman"/>
          <w:b/>
          <w:color w:val="000000"/>
          <w:sz w:val="24"/>
        </w:rPr>
        <w:t>1.5 来源泄漏风险与研究范围</w:t>
      </w:r>
    </w:p>
    <w:p w14:paraId="0C9AC312">
      <w:pPr>
        <w:pStyle w:val="9"/>
        <w:widowControl/>
        <w:spacing w:before="0" w:after="60" w:line="360" w:lineRule="auto"/>
        <w:ind w:firstLine="480"/>
      </w:pPr>
      <w:r>
        <w:rPr>
          <w:rFonts w:ascii="Times New Roman" w:hAnsi="Times New Roman" w:eastAsia="楷体" w:cs="Times New Roman"/>
          <w:b w:val="0"/>
          <w:color w:val="000000"/>
          <w:sz w:val="24"/>
        </w:rPr>
        <w:t>同一场采访可以拆成多个子问题，并共享一段完整回答。随机按样本划分时，同源的措辞、人物或主题可能同时出现在拟合集和验证集中，模型选择结果因而偏乐观。本地训练集来自 175 个 title 分组，含 62 行重复问题文本；训练集与官方测试集有 1 个完全相同的问题文本，完整问答对重叠为 0，但完整回答文本仍有 2 个交集。没有重复问答对并不等于没有来源关联。</w:t>
      </w:r>
    </w:p>
    <w:p w14:paraId="329B52E6">
      <w:pPr>
        <w:pStyle w:val="9"/>
        <w:widowControl/>
        <w:spacing w:before="0" w:after="60" w:line="360" w:lineRule="auto"/>
        <w:ind w:firstLine="480"/>
      </w:pPr>
      <w:r>
        <w:rPr>
          <w:rFonts w:ascii="Times New Roman" w:hAnsi="Times New Roman" w:eastAsia="楷体" w:cs="Times New Roman"/>
          <w:b w:val="0"/>
          <w:color w:val="000000"/>
          <w:sz w:val="24"/>
        </w:rPr>
        <w:t>官方测试集的 title 和 president 字段为空，不能据此确认采访来源完全独立，也不能可靠计算逐总统测试表现。新增扩展使用训练集中的 title 做分组留出，拟合部分与留出部分的采访标题交集为零。该设计减少同标题泄漏，但仍不能排除跨采访的相似主题和复述。结果限定为当前数据版本、当前切分与固定随机种子下的观察，不将一次评估解释为对所有人物或对话场景的普遍结论。</w:t>
      </w:r>
    </w:p>
    <w:p w14:paraId="61EE04B9">
      <w:pPr>
        <w:pStyle w:val="9"/>
        <w:keepNext/>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rPr>
        <w:t>相关工作的优缺点总结</w:t>
      </w:r>
    </w:p>
    <w:p w14:paraId="29F06DB8">
      <w:pPr>
        <w:pStyle w:val="9"/>
        <w:keepNext/>
        <w:widowControl/>
        <w:spacing w:before="100" w:after="60" w:line="360" w:lineRule="auto"/>
        <w:ind w:firstLine="0"/>
      </w:pPr>
      <w:r>
        <w:rPr>
          <w:rFonts w:ascii="Times New Roman" w:hAnsi="Times New Roman" w:eastAsia="楷体" w:cs="Times New Roman"/>
          <w:b/>
          <w:color w:val="000000"/>
          <w:sz w:val="24"/>
        </w:rPr>
        <w:t>2.1 回答清晰度与层级标注研究</w:t>
      </w:r>
    </w:p>
    <w:p w14:paraId="0C936785">
      <w:pPr>
        <w:pStyle w:val="9"/>
        <w:widowControl/>
        <w:spacing w:before="0" w:after="60" w:line="360" w:lineRule="auto"/>
        <w:ind w:firstLine="480"/>
      </w:pPr>
      <w:r>
        <w:rPr>
          <w:rFonts w:ascii="Times New Roman" w:hAnsi="Times New Roman" w:eastAsia="楷体" w:cs="Times New Roman"/>
          <w:b w:val="0"/>
          <w:color w:val="000000"/>
          <w:sz w:val="24"/>
        </w:rPr>
        <w:t>Thomas 等提出回答清晰度任务及其层级分类体系，将问题与回答之间的信息关系作为评价对象，并研究基于细粒度策略进行两阶段预测的方法。[1] 这项工作的价值是给出了可操作的标签定义，使“是否回应问题”成为可复现的监督学习问题。对本实验而言，它也提供了区别粗标签与细标签的依据：Implicit 属于 Ambivalent，而不是 Explicit 所属的 Clear Reply。</w:t>
      </w:r>
    </w:p>
    <w:p w14:paraId="344C90E9">
      <w:pPr>
        <w:pStyle w:val="9"/>
        <w:widowControl/>
        <w:spacing w:before="0" w:after="60" w:line="360" w:lineRule="auto"/>
        <w:ind w:firstLine="480"/>
      </w:pPr>
      <w:r>
        <w:rPr>
          <w:rFonts w:ascii="Times New Roman" w:hAnsi="Times New Roman" w:eastAsia="楷体" w:cs="Times New Roman"/>
          <w:b w:val="0"/>
          <w:color w:val="000000"/>
          <w:sz w:val="24"/>
        </w:rPr>
        <w:t>这类数据的限制主要来自语境和标注边界。是否属于概括性回答、间接暗示或部分回答，需要理解目标问题究竟询问什么；多个子问题还可能共用同一回答。本文据此将标签映射审计列为扩展的第一步，并区分“标注层级一致”与“模型利用层级后受益”。前者属于数据检查，后者必须由留出与测试预测来证明。</w:t>
      </w:r>
    </w:p>
    <w:p w14:paraId="4122CF6A">
      <w:pPr>
        <w:pStyle w:val="9"/>
        <w:keepNext/>
        <w:widowControl/>
        <w:spacing w:before="100" w:after="60" w:line="360" w:lineRule="auto"/>
        <w:ind w:firstLine="0"/>
      </w:pPr>
      <w:r>
        <w:rPr>
          <w:rFonts w:ascii="Times New Roman" w:hAnsi="Times New Roman" w:eastAsia="楷体" w:cs="Times New Roman"/>
          <w:b/>
          <w:color w:val="000000"/>
          <w:sz w:val="24"/>
        </w:rPr>
        <w:t>2.2 传统特征与预训练句向量</w:t>
      </w:r>
    </w:p>
    <w:p w14:paraId="5773B91C">
      <w:pPr>
        <w:pStyle w:val="9"/>
        <w:widowControl/>
        <w:spacing w:before="0" w:after="60" w:line="360" w:lineRule="auto"/>
        <w:ind w:firstLine="480"/>
      </w:pPr>
      <w:r>
        <w:rPr>
          <w:rFonts w:ascii="Times New Roman" w:hAnsi="Times New Roman" w:eastAsia="楷体" w:cs="Times New Roman"/>
          <w:b w:val="0"/>
          <w:color w:val="000000"/>
          <w:sz w:val="24"/>
        </w:rPr>
        <w:t>TF-IDF 加逻辑回归训练成本低，可利用拒答词、否定短语和问题词等表面线索。unigram 与 bigram 的比较还能检验局部词序是否有帮助。其不足是难以表达问题与回答之间的细致对应：两个文本包含同样的主题词，仍可能分别描述计划、背景和实际结论。本实验保留这一方法，作为判断语义表示收益的传统基线。</w:t>
      </w:r>
    </w:p>
    <w:p w14:paraId="19DCF53D">
      <w:pPr>
        <w:pStyle w:val="9"/>
        <w:widowControl/>
        <w:spacing w:before="0" w:after="60" w:line="360" w:lineRule="auto"/>
        <w:ind w:firstLine="480"/>
      </w:pPr>
      <w:r>
        <w:rPr>
          <w:rFonts w:ascii="Times New Roman" w:hAnsi="Times New Roman" w:eastAsia="楷体" w:cs="Times New Roman"/>
          <w:b w:val="0"/>
          <w:color w:val="000000"/>
          <w:sz w:val="24"/>
        </w:rPr>
        <w:t>Sentence-BERT 使用适合句向量学习的网络结构，使文本能够先独立编码，再用于语义比较和下游任务。[3] 本实验实际运行的是 all-MiniLM-L6-v2 冻结编码器加逻辑回归，不是复现论文全部模型。编码后可缓存特征，便于在相同表示上比较分类目标；但分别编码的两个向量没有在编码阶段进行逐词交互，长回答压缩也可能掩盖决定性线索。</w:t>
      </w:r>
    </w:p>
    <w:p w14:paraId="7249C8BF">
      <w:pPr>
        <w:pStyle w:val="9"/>
        <w:keepNext/>
        <w:widowControl/>
        <w:spacing w:before="100" w:after="60" w:line="360" w:lineRule="auto"/>
        <w:ind w:firstLine="0"/>
      </w:pPr>
      <w:r>
        <w:rPr>
          <w:rFonts w:ascii="Times New Roman" w:hAnsi="Times New Roman" w:eastAsia="楷体" w:cs="Times New Roman"/>
          <w:b/>
          <w:color w:val="000000"/>
          <w:sz w:val="24"/>
        </w:rPr>
        <w:t>2.3 近期方法与跨场景适用条件</w:t>
      </w:r>
    </w:p>
    <w:p w14:paraId="1CAEFA77">
      <w:pPr>
        <w:pStyle w:val="9"/>
        <w:widowControl/>
        <w:spacing w:before="0" w:after="60" w:line="360" w:lineRule="auto"/>
        <w:ind w:firstLine="480"/>
      </w:pPr>
      <w:r>
        <w:rPr>
          <w:rFonts w:ascii="Times New Roman" w:hAnsi="Times New Roman" w:eastAsia="楷体" w:cs="Times New Roman"/>
          <w:b w:val="0"/>
          <w:color w:val="000000"/>
          <w:sz w:val="24"/>
        </w:rPr>
        <w:t>Wang 等在 ACL 2024 提出利用大语言模型生成多样化合成训练数据，并以对比学习训练文本嵌入模型。[4] 这为提升通用表示与任务覆盖提供了方向。其启示是表示学习的训练目标和数据多样性可能影响迁移效果；但嵌入基准上的优势不能直接证明能够识别政治问答中的回避。该方法仅用于相关工作比较，本实验没有运行其模型，也不引用其成绩作为本地结果。</w:t>
      </w:r>
    </w:p>
    <w:p w14:paraId="29F87029">
      <w:pPr>
        <w:pStyle w:val="9"/>
        <w:widowControl/>
        <w:spacing w:before="0" w:after="60" w:line="360" w:lineRule="auto"/>
        <w:ind w:firstLine="480"/>
      </w:pPr>
      <w:r>
        <w:rPr>
          <w:rFonts w:ascii="Times New Roman" w:hAnsi="Times New Roman" w:eastAsia="楷体" w:cs="Times New Roman"/>
          <w:b w:val="0"/>
          <w:color w:val="000000"/>
          <w:sz w:val="24"/>
        </w:rPr>
        <w:t>GLUE 提供多个语言理解任务，用于考察表示方法在不同监督问题中的能力。[5] 统一输入为文本对有利于工程复用，但标签含义仍可能不同。QNLI 判断候选句是否包含答案，QEvasion 则区分明确、模糊和明确不答。因此，“Clear Reply 对应包含答案”在本研究中只是一个显式设定的迁移近似，不能作为两个任务天然等价的证据。</w:t>
      </w:r>
    </w:p>
    <w:p w14:paraId="4B45ACE2">
      <w:pPr>
        <w:pStyle w:val="9"/>
        <w:keepNext/>
        <w:widowControl/>
        <w:spacing w:before="100" w:after="60" w:line="360" w:lineRule="auto"/>
        <w:ind w:firstLine="0"/>
      </w:pPr>
      <w:r>
        <w:rPr>
          <w:rFonts w:ascii="Times New Roman" w:hAnsi="Times New Roman" w:eastAsia="楷体" w:cs="Times New Roman"/>
          <w:b/>
          <w:color w:val="000000"/>
          <w:sz w:val="24"/>
        </w:rPr>
        <w:t>2.4 本次扩展针对的不足</w:t>
      </w:r>
    </w:p>
    <w:p w14:paraId="06E58B07">
      <w:pPr>
        <w:pStyle w:val="9"/>
        <w:widowControl/>
        <w:spacing w:before="0" w:after="60" w:line="360" w:lineRule="auto"/>
        <w:ind w:firstLine="480"/>
      </w:pPr>
      <w:r>
        <w:rPr>
          <w:rFonts w:ascii="Times New Roman" w:hAnsi="Times New Roman" w:eastAsia="楷体" w:cs="Times New Roman"/>
          <w:b w:val="0"/>
          <w:color w:val="000000"/>
          <w:sz w:val="24"/>
        </w:rPr>
        <w:t>本次选择标签层级扩展，针对粗分类掩盖不同回避策略、以及标签映射容易被自然语言直觉误读的问题。具体方案不增加编码器容量，仅改变监督类别并汇总输出概率。该对照把表示能力基本固定下来，用于观察层级目标及其决策方式的影响。若没有提升，仍可据类别分布与混淆方向解释失败条件，为后续概率校准或多任务学习提供检验依据。</w:t>
      </w:r>
    </w:p>
    <w:p w14:paraId="237FAB61">
      <w:pPr>
        <w:pStyle w:val="9"/>
        <w:keepNext/>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rPr>
        <w:t>提出的模型方法的解读</w:t>
      </w:r>
    </w:p>
    <w:p w14:paraId="52AC8F2B">
      <w:pPr>
        <w:pStyle w:val="9"/>
        <w:keepNext/>
        <w:widowControl/>
        <w:spacing w:before="100" w:after="60" w:line="360" w:lineRule="auto"/>
        <w:ind w:firstLine="0"/>
      </w:pPr>
      <w:r>
        <w:rPr>
          <w:rFonts w:ascii="Times New Roman" w:hAnsi="Times New Roman" w:eastAsia="楷体" w:cs="Times New Roman"/>
          <w:b/>
          <w:color w:val="000000"/>
          <w:sz w:val="24"/>
        </w:rPr>
        <w:t>3.1 统一字段适配与训练流程</w:t>
      </w:r>
    </w:p>
    <w:p w14:paraId="4BAECE18">
      <w:pPr>
        <w:pStyle w:val="9"/>
        <w:widowControl/>
        <w:spacing w:before="0" w:after="60" w:line="360" w:lineRule="auto"/>
        <w:ind w:firstLine="480"/>
      </w:pPr>
      <w:r>
        <w:rPr>
          <w:rFonts w:ascii="Times New Roman" w:hAnsi="Times New Roman" w:eastAsia="楷体" w:cs="Times New Roman"/>
          <w:b w:val="0"/>
          <w:color w:val="000000"/>
          <w:sz w:val="24"/>
        </w:rPr>
        <w:t>统一样本结构为 text_a、text_b、label、group、uid。text_a 和 text_b 表示同一条样本中的两段文本，不是把源数据集和迁移数据集各放入一个字段。不同场景通过更换字段来源、类别映射和分组方式进入同一训练与评估流程。group 仅用于划分或诊断，不作为文本特征输入。</w:t>
      </w:r>
    </w:p>
    <w:p w14:paraId="6A3A83E9">
      <w:pPr>
        <w:pStyle w:val="9"/>
        <w:keepNext/>
        <w:widowControl/>
        <w:spacing w:before="0" w:after="60" w:line="360" w:lineRule="auto"/>
        <w:ind w:firstLine="0"/>
        <w:jc w:val="center"/>
      </w:pPr>
      <w:r>
        <w:rPr>
          <w:rFonts w:ascii="Times New Roman" w:hAnsi="Times New Roman" w:eastAsia="楷体" w:cs="Times New Roman"/>
          <w:b w:val="0"/>
          <w:color w:val="000000"/>
          <w:sz w:val="21"/>
        </w:rPr>
        <w:t>表2 数据适配规则</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1417"/>
        <w:gridCol w:w="3827"/>
        <w:gridCol w:w="3827"/>
      </w:tblGrid>
      <w:tr w14:paraId="7563C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1417" w:type="dxa"/>
            <w:vAlign w:val="center"/>
          </w:tcPr>
          <w:p w14:paraId="4715E8C4">
            <w:pPr>
              <w:spacing w:before="0" w:after="0" w:line="276" w:lineRule="auto"/>
              <w:jc w:val="center"/>
            </w:pPr>
            <w:r>
              <w:rPr>
                <w:rFonts w:ascii="Times New Roman" w:hAnsi="Times New Roman" w:eastAsia="楷体" w:cs="Times New Roman"/>
                <w:b/>
                <w:color w:val="000000"/>
                <w:sz w:val="21"/>
              </w:rPr>
              <w:t>字段</w:t>
            </w:r>
          </w:p>
        </w:tc>
        <w:tc>
          <w:tcPr>
            <w:tcW w:w="3827" w:type="dxa"/>
            <w:vAlign w:val="center"/>
          </w:tcPr>
          <w:p w14:paraId="32BC978C">
            <w:pPr>
              <w:spacing w:before="0" w:after="0" w:line="276" w:lineRule="auto"/>
              <w:jc w:val="center"/>
            </w:pPr>
            <w:r>
              <w:rPr>
                <w:rFonts w:ascii="Times New Roman" w:hAnsi="Times New Roman" w:eastAsia="楷体" w:cs="Times New Roman"/>
                <w:b/>
                <w:color w:val="000000"/>
                <w:sz w:val="21"/>
              </w:rPr>
              <w:t>QEvasion 映射</w:t>
            </w:r>
          </w:p>
        </w:tc>
        <w:tc>
          <w:tcPr>
            <w:tcW w:w="3827" w:type="dxa"/>
            <w:vAlign w:val="center"/>
          </w:tcPr>
          <w:p w14:paraId="0C70ED99">
            <w:pPr>
              <w:spacing w:before="0" w:after="0" w:line="276" w:lineRule="auto"/>
              <w:jc w:val="center"/>
            </w:pPr>
            <w:r>
              <w:rPr>
                <w:rFonts w:ascii="Times New Roman" w:hAnsi="Times New Roman" w:eastAsia="楷体" w:cs="Times New Roman"/>
                <w:b/>
                <w:color w:val="000000"/>
                <w:sz w:val="21"/>
              </w:rPr>
              <w:t>QNLI 映射</w:t>
            </w:r>
          </w:p>
        </w:tc>
      </w:tr>
      <w:tr w14:paraId="4574B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417" w:type="dxa"/>
            <w:vAlign w:val="center"/>
          </w:tcPr>
          <w:p w14:paraId="675A4189">
            <w:pPr>
              <w:spacing w:before="0" w:after="0" w:line="276" w:lineRule="auto"/>
              <w:jc w:val="left"/>
            </w:pPr>
            <w:r>
              <w:rPr>
                <w:rFonts w:ascii="Times New Roman" w:hAnsi="Times New Roman" w:eastAsia="楷体" w:cs="Times New Roman"/>
                <w:b w:val="0"/>
                <w:color w:val="000000"/>
                <w:sz w:val="21"/>
              </w:rPr>
              <w:t>text_a</w:t>
            </w:r>
          </w:p>
        </w:tc>
        <w:tc>
          <w:tcPr>
            <w:tcW w:w="3827" w:type="dxa"/>
            <w:vAlign w:val="center"/>
          </w:tcPr>
          <w:p w14:paraId="09BF8B98">
            <w:pPr>
              <w:spacing w:before="0" w:after="0" w:line="276" w:lineRule="auto"/>
              <w:jc w:val="center"/>
            </w:pPr>
            <w:r>
              <w:rPr>
                <w:rFonts w:ascii="Times New Roman" w:hAnsi="Times New Roman" w:eastAsia="楷体" w:cs="Times New Roman"/>
                <w:b w:val="0"/>
                <w:color w:val="000000"/>
                <w:sz w:val="21"/>
              </w:rPr>
              <w:t>question</w:t>
            </w:r>
          </w:p>
        </w:tc>
        <w:tc>
          <w:tcPr>
            <w:tcW w:w="3827" w:type="dxa"/>
            <w:vAlign w:val="center"/>
          </w:tcPr>
          <w:p w14:paraId="1E274DC7">
            <w:pPr>
              <w:spacing w:before="0" w:after="0" w:line="276" w:lineRule="auto"/>
              <w:jc w:val="center"/>
            </w:pPr>
            <w:r>
              <w:rPr>
                <w:rFonts w:ascii="Times New Roman" w:hAnsi="Times New Roman" w:eastAsia="楷体" w:cs="Times New Roman"/>
                <w:b w:val="0"/>
                <w:color w:val="000000"/>
                <w:sz w:val="21"/>
              </w:rPr>
              <w:t>question</w:t>
            </w:r>
          </w:p>
        </w:tc>
      </w:tr>
      <w:tr w14:paraId="4DBEA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417" w:type="dxa"/>
            <w:vAlign w:val="center"/>
          </w:tcPr>
          <w:p w14:paraId="38C7FF26">
            <w:pPr>
              <w:spacing w:before="0" w:after="0" w:line="276" w:lineRule="auto"/>
              <w:jc w:val="left"/>
            </w:pPr>
            <w:r>
              <w:rPr>
                <w:rFonts w:ascii="Times New Roman" w:hAnsi="Times New Roman" w:eastAsia="楷体" w:cs="Times New Roman"/>
                <w:b w:val="0"/>
                <w:color w:val="000000"/>
                <w:sz w:val="21"/>
              </w:rPr>
              <w:t>text_b</w:t>
            </w:r>
          </w:p>
        </w:tc>
        <w:tc>
          <w:tcPr>
            <w:tcW w:w="3827" w:type="dxa"/>
            <w:vAlign w:val="center"/>
          </w:tcPr>
          <w:p w14:paraId="6DAFFAB6">
            <w:pPr>
              <w:spacing w:before="0" w:after="0" w:line="276" w:lineRule="auto"/>
              <w:jc w:val="center"/>
            </w:pPr>
            <w:r>
              <w:rPr>
                <w:rFonts w:ascii="Times New Roman" w:hAnsi="Times New Roman" w:eastAsia="楷体" w:cs="Times New Roman"/>
                <w:b w:val="0"/>
                <w:color w:val="000000"/>
                <w:sz w:val="21"/>
              </w:rPr>
              <w:t>interview_answer</w:t>
            </w:r>
          </w:p>
        </w:tc>
        <w:tc>
          <w:tcPr>
            <w:tcW w:w="3827" w:type="dxa"/>
            <w:vAlign w:val="center"/>
          </w:tcPr>
          <w:p w14:paraId="00BDE255">
            <w:pPr>
              <w:spacing w:before="0" w:after="0" w:line="276" w:lineRule="auto"/>
              <w:jc w:val="center"/>
            </w:pPr>
            <w:r>
              <w:rPr>
                <w:rFonts w:ascii="Times New Roman" w:hAnsi="Times New Roman" w:eastAsia="楷体" w:cs="Times New Roman"/>
                <w:b w:val="0"/>
                <w:color w:val="000000"/>
                <w:sz w:val="21"/>
              </w:rPr>
              <w:t>sentence</w:t>
            </w:r>
          </w:p>
        </w:tc>
      </w:tr>
      <w:tr w14:paraId="2830F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417" w:type="dxa"/>
            <w:vAlign w:val="center"/>
          </w:tcPr>
          <w:p w14:paraId="06AA8715">
            <w:pPr>
              <w:spacing w:before="0" w:after="0" w:line="276" w:lineRule="auto"/>
              <w:jc w:val="left"/>
            </w:pPr>
            <w:r>
              <w:rPr>
                <w:rFonts w:ascii="Times New Roman" w:hAnsi="Times New Roman" w:eastAsia="楷体" w:cs="Times New Roman"/>
                <w:b w:val="0"/>
                <w:color w:val="000000"/>
                <w:sz w:val="21"/>
              </w:rPr>
              <w:t>label</w:t>
            </w:r>
          </w:p>
        </w:tc>
        <w:tc>
          <w:tcPr>
            <w:tcW w:w="3827" w:type="dxa"/>
            <w:vAlign w:val="center"/>
          </w:tcPr>
          <w:p w14:paraId="77CBD1AC">
            <w:pPr>
              <w:spacing w:before="0" w:after="0" w:line="276" w:lineRule="auto"/>
              <w:jc w:val="center"/>
            </w:pPr>
            <w:r>
              <w:rPr>
                <w:rFonts w:ascii="Times New Roman" w:hAnsi="Times New Roman" w:eastAsia="楷体" w:cs="Times New Roman"/>
                <w:b w:val="0"/>
                <w:color w:val="000000"/>
                <w:sz w:val="21"/>
              </w:rPr>
              <w:t>Clear Reply→0；Ambivalent→1；Clear Non-Reply→2</w:t>
            </w:r>
          </w:p>
        </w:tc>
        <w:tc>
          <w:tcPr>
            <w:tcW w:w="3827" w:type="dxa"/>
            <w:vAlign w:val="center"/>
          </w:tcPr>
          <w:p w14:paraId="2DC821B9">
            <w:pPr>
              <w:spacing w:before="0" w:after="0" w:line="276" w:lineRule="auto"/>
              <w:jc w:val="center"/>
            </w:pPr>
            <w:r>
              <w:rPr>
                <w:rFonts w:ascii="Times New Roman" w:hAnsi="Times New Roman" w:eastAsia="楷体" w:cs="Times New Roman"/>
                <w:b w:val="0"/>
                <w:color w:val="000000"/>
                <w:sz w:val="21"/>
              </w:rPr>
              <w:t>entailment→0；not_entailment→1</w:t>
            </w:r>
          </w:p>
        </w:tc>
      </w:tr>
      <w:tr w14:paraId="33AE3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417" w:type="dxa"/>
            <w:vAlign w:val="center"/>
          </w:tcPr>
          <w:p w14:paraId="2DFFFBC7">
            <w:pPr>
              <w:spacing w:before="0" w:after="0" w:line="276" w:lineRule="auto"/>
              <w:jc w:val="left"/>
            </w:pPr>
            <w:r>
              <w:rPr>
                <w:rFonts w:ascii="Times New Roman" w:hAnsi="Times New Roman" w:eastAsia="楷体" w:cs="Times New Roman"/>
                <w:b w:val="0"/>
                <w:color w:val="000000"/>
                <w:sz w:val="21"/>
              </w:rPr>
              <w:t>group / uid</w:t>
            </w:r>
          </w:p>
        </w:tc>
        <w:tc>
          <w:tcPr>
            <w:tcW w:w="3827" w:type="dxa"/>
            <w:vAlign w:val="center"/>
          </w:tcPr>
          <w:p w14:paraId="348B80B0">
            <w:pPr>
              <w:spacing w:before="0" w:after="0" w:line="276" w:lineRule="auto"/>
              <w:jc w:val="center"/>
            </w:pPr>
            <w:r>
              <w:rPr>
                <w:rFonts w:ascii="Times New Roman" w:hAnsi="Times New Roman" w:eastAsia="楷体" w:cs="Times New Roman"/>
                <w:b w:val="0"/>
                <w:color w:val="000000"/>
                <w:sz w:val="21"/>
              </w:rPr>
              <w:t>president（扩展分组用 title）／index</w:t>
            </w:r>
          </w:p>
        </w:tc>
        <w:tc>
          <w:tcPr>
            <w:tcW w:w="3827" w:type="dxa"/>
            <w:vAlign w:val="center"/>
          </w:tcPr>
          <w:p w14:paraId="0A9C1564">
            <w:pPr>
              <w:spacing w:before="0" w:after="0" w:line="276" w:lineRule="auto"/>
              <w:jc w:val="center"/>
            </w:pPr>
            <w:r>
              <w:rPr>
                <w:rFonts w:ascii="Times New Roman" w:hAnsi="Times New Roman" w:eastAsia="楷体" w:cs="Times New Roman"/>
                <w:b w:val="0"/>
                <w:color w:val="000000"/>
                <w:sz w:val="21"/>
              </w:rPr>
              <w:t>index／index；不代表真实来源群体</w:t>
            </w:r>
          </w:p>
        </w:tc>
      </w:tr>
    </w:tbl>
    <w:p w14:paraId="0D8857D1">
      <w:pPr>
        <w:pStyle w:val="9"/>
        <w:widowControl/>
        <w:spacing w:before="0" w:after="60" w:line="360" w:lineRule="auto"/>
        <w:ind w:firstLine="480"/>
      </w:pPr>
      <w:r>
        <w:rPr>
          <w:rFonts w:ascii="Times New Roman" w:hAnsi="Times New Roman" w:eastAsia="楷体" w:cs="Times New Roman"/>
          <w:b w:val="0"/>
          <w:color w:val="000000"/>
          <w:sz w:val="24"/>
        </w:rPr>
        <w:t>例如，QEvasion 中“Would you campaign for Mike Fitzpatrick?”与“I already have.”构成一条文本对，粗标签为 Clear Reply。QNLI 的一条样本同样由问题和候选句构成，但 label 只表示答案包含关系。模型接口不变，输出类别数和监督语义随数据集重新配置。两个任务均保存真实标签、预测标签和类别概率。</w:t>
      </w:r>
    </w:p>
    <w:p w14:paraId="24FF786C">
      <w:pPr>
        <w:pStyle w:val="9"/>
        <w:keepNext/>
        <w:widowControl/>
        <w:spacing w:before="100" w:after="60" w:line="360" w:lineRule="auto"/>
        <w:ind w:firstLine="0"/>
      </w:pPr>
      <w:r>
        <w:rPr>
          <w:rFonts w:ascii="Times New Roman" w:hAnsi="Times New Roman" w:eastAsia="楷体" w:cs="Times New Roman"/>
          <w:b/>
          <w:color w:val="000000"/>
          <w:sz w:val="24"/>
        </w:rPr>
        <w:t>3.2 基线表示与分类器</w:t>
      </w:r>
    </w:p>
    <w:p w14:paraId="75AF86E0">
      <w:pPr>
        <w:pStyle w:val="9"/>
        <w:widowControl/>
        <w:spacing w:before="0" w:after="60" w:line="360" w:lineRule="auto"/>
        <w:ind w:firstLine="480"/>
      </w:pPr>
      <w:r>
        <w:rPr>
          <w:rFonts w:ascii="Times New Roman" w:hAnsi="Times New Roman" w:eastAsia="楷体" w:cs="Times New Roman"/>
          <w:b w:val="0"/>
          <w:color w:val="000000"/>
          <w:sz w:val="24"/>
        </w:rPr>
        <w:t>TF-IDF 基线将两段文本用 [SEP] 连接，比较 unigram 与 unigram+bigram、无权重与 balanced 权重四种组合。词频采用 sublinear_tf，min_df=2，max_df=0.95。逻辑回归 C=1.0、max_iter=2000；在训练集的固定 10% 分层验证集上按 Macro-F1 选择配置，再用全部训练样本拟合并评估。</w:t>
      </w:r>
    </w:p>
    <w:p w14:paraId="5DFD5249">
      <w:pPr>
        <w:pStyle w:val="9"/>
        <w:widowControl/>
        <w:spacing w:before="0" w:after="60" w:line="360" w:lineRule="auto"/>
        <w:ind w:firstLine="480"/>
      </w:pPr>
      <w:r>
        <w:rPr>
          <w:rFonts w:ascii="Times New Roman" w:hAnsi="Times New Roman" w:eastAsia="楷体" w:cs="Times New Roman"/>
          <w:b w:val="0"/>
          <w:color w:val="000000"/>
          <w:sz w:val="24"/>
        </w:rPr>
        <w:t>预训练基线分别编码问题和回答，得到归一化的 384 维向量 e_q 和 e_a，并组成 [e_q; e_a; |e_q−e_a|; e_q⊙e_a] 共 1,536 维特征。编码批大小为 64，原脚本使用 CPU。编码器冻结，逻辑回归采用 balanced 权重，在 C∈{0.1,1,10} 中选择 C=0.1。模型卡说明默认超过 256 个 word pieces 会截断；这与按空格统计的英文词数不是同一计量单位。[6]</w:t>
      </w:r>
    </w:p>
    <w:p w14:paraId="1830FB52">
      <w:pPr>
        <w:pStyle w:val="9"/>
        <w:keepNext/>
        <w:widowControl/>
        <w:spacing w:before="0" w:after="60" w:line="360" w:lineRule="auto"/>
        <w:ind w:firstLine="0"/>
        <w:jc w:val="center"/>
      </w:pPr>
      <w:r>
        <w:rPr>
          <w:rFonts w:ascii="Times New Roman" w:hAnsi="Times New Roman" w:eastAsia="楷体" w:cs="Times New Roman"/>
          <w:b w:val="0"/>
          <w:color w:val="000000"/>
          <w:sz w:val="21"/>
        </w:rPr>
        <w:t>表3 可复现训练参数</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2211"/>
        <w:gridCol w:w="3430"/>
        <w:gridCol w:w="3430"/>
      </w:tblGrid>
      <w:tr w14:paraId="4DA52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2211" w:type="dxa"/>
            <w:vAlign w:val="center"/>
          </w:tcPr>
          <w:p w14:paraId="15790324">
            <w:pPr>
              <w:spacing w:before="0" w:after="0" w:line="276" w:lineRule="auto"/>
              <w:jc w:val="center"/>
            </w:pPr>
            <w:r>
              <w:rPr>
                <w:rFonts w:ascii="Times New Roman" w:hAnsi="Times New Roman" w:eastAsia="楷体" w:cs="Times New Roman"/>
                <w:b/>
                <w:color w:val="000000"/>
                <w:sz w:val="21"/>
              </w:rPr>
              <w:t>项目</w:t>
            </w:r>
          </w:p>
        </w:tc>
        <w:tc>
          <w:tcPr>
            <w:tcW w:w="3430" w:type="dxa"/>
            <w:vAlign w:val="center"/>
          </w:tcPr>
          <w:p w14:paraId="2558A102">
            <w:pPr>
              <w:spacing w:before="0" w:after="0" w:line="276" w:lineRule="auto"/>
              <w:jc w:val="center"/>
            </w:pPr>
            <w:r>
              <w:rPr>
                <w:rFonts w:ascii="Times New Roman" w:hAnsi="Times New Roman" w:eastAsia="楷体" w:cs="Times New Roman"/>
                <w:b/>
                <w:color w:val="000000"/>
                <w:sz w:val="21"/>
              </w:rPr>
              <w:t>TF-IDF + LR</w:t>
            </w:r>
          </w:p>
        </w:tc>
        <w:tc>
          <w:tcPr>
            <w:tcW w:w="3430" w:type="dxa"/>
            <w:vAlign w:val="center"/>
          </w:tcPr>
          <w:p w14:paraId="5EBD2656">
            <w:pPr>
              <w:spacing w:before="0" w:after="0" w:line="276" w:lineRule="auto"/>
              <w:jc w:val="center"/>
            </w:pPr>
            <w:r>
              <w:rPr>
                <w:rFonts w:ascii="Times New Roman" w:hAnsi="Times New Roman" w:eastAsia="楷体" w:cs="Times New Roman"/>
                <w:b/>
                <w:color w:val="000000"/>
                <w:sz w:val="21"/>
              </w:rPr>
              <w:t>MiniLM 表示 + LR</w:t>
            </w:r>
          </w:p>
        </w:tc>
      </w:tr>
      <w:tr w14:paraId="18E34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5A6D4287">
            <w:pPr>
              <w:spacing w:before="0" w:after="0" w:line="276" w:lineRule="auto"/>
              <w:jc w:val="left"/>
            </w:pPr>
            <w:r>
              <w:rPr>
                <w:rFonts w:ascii="Times New Roman" w:hAnsi="Times New Roman" w:eastAsia="楷体" w:cs="Times New Roman"/>
                <w:b w:val="0"/>
                <w:color w:val="000000"/>
                <w:sz w:val="21"/>
              </w:rPr>
              <w:t>编码器训练</w:t>
            </w:r>
          </w:p>
        </w:tc>
        <w:tc>
          <w:tcPr>
            <w:tcW w:w="3430" w:type="dxa"/>
            <w:vAlign w:val="center"/>
          </w:tcPr>
          <w:p w14:paraId="04446B46">
            <w:pPr>
              <w:spacing w:before="0" w:after="0" w:line="276" w:lineRule="auto"/>
              <w:jc w:val="center"/>
            </w:pPr>
            <w:r>
              <w:rPr>
                <w:rFonts w:ascii="Times New Roman" w:hAnsi="Times New Roman" w:eastAsia="楷体" w:cs="Times New Roman"/>
                <w:b w:val="0"/>
                <w:color w:val="000000"/>
                <w:sz w:val="21"/>
              </w:rPr>
              <w:t>不适用</w:t>
            </w:r>
          </w:p>
        </w:tc>
        <w:tc>
          <w:tcPr>
            <w:tcW w:w="3430" w:type="dxa"/>
            <w:vAlign w:val="center"/>
          </w:tcPr>
          <w:p w14:paraId="3EAF9398">
            <w:pPr>
              <w:spacing w:before="0" w:after="0" w:line="276" w:lineRule="auto"/>
              <w:jc w:val="center"/>
            </w:pPr>
            <w:r>
              <w:rPr>
                <w:rFonts w:ascii="Times New Roman" w:hAnsi="Times New Roman" w:eastAsia="楷体" w:cs="Times New Roman"/>
                <w:b w:val="0"/>
                <w:color w:val="000000"/>
                <w:sz w:val="21"/>
              </w:rPr>
              <w:t>冻结，不更新参数</w:t>
            </w:r>
          </w:p>
        </w:tc>
      </w:tr>
      <w:tr w14:paraId="2DE84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5AE47893">
            <w:pPr>
              <w:spacing w:before="0" w:after="0" w:line="276" w:lineRule="auto"/>
              <w:jc w:val="left"/>
            </w:pPr>
            <w:r>
              <w:rPr>
                <w:rFonts w:ascii="Times New Roman" w:hAnsi="Times New Roman" w:eastAsia="楷体" w:cs="Times New Roman"/>
                <w:b w:val="0"/>
                <w:color w:val="000000"/>
                <w:sz w:val="21"/>
              </w:rPr>
              <w:t>特征维度</w:t>
            </w:r>
          </w:p>
        </w:tc>
        <w:tc>
          <w:tcPr>
            <w:tcW w:w="3430" w:type="dxa"/>
            <w:vAlign w:val="center"/>
          </w:tcPr>
          <w:p w14:paraId="11BA77E0">
            <w:pPr>
              <w:spacing w:before="0" w:after="0" w:line="276" w:lineRule="auto"/>
              <w:jc w:val="center"/>
            </w:pPr>
            <w:r>
              <w:rPr>
                <w:rFonts w:ascii="Times New Roman" w:hAnsi="Times New Roman" w:eastAsia="楷体" w:cs="Times New Roman"/>
                <w:b w:val="0"/>
                <w:color w:val="000000"/>
                <w:sz w:val="21"/>
              </w:rPr>
              <w:t>121,340（原任务最终词表）</w:t>
            </w:r>
          </w:p>
        </w:tc>
        <w:tc>
          <w:tcPr>
            <w:tcW w:w="3430" w:type="dxa"/>
            <w:vAlign w:val="center"/>
          </w:tcPr>
          <w:p w14:paraId="1B240613">
            <w:pPr>
              <w:spacing w:before="0" w:after="0" w:line="276" w:lineRule="auto"/>
              <w:jc w:val="center"/>
            </w:pPr>
            <w:r>
              <w:rPr>
                <w:rFonts w:ascii="Times New Roman" w:hAnsi="Times New Roman" w:eastAsia="楷体" w:cs="Times New Roman"/>
                <w:b w:val="0"/>
                <w:color w:val="000000"/>
                <w:sz w:val="21"/>
              </w:rPr>
              <w:t>384×4=1,536</w:t>
            </w:r>
          </w:p>
        </w:tc>
      </w:tr>
      <w:tr w14:paraId="51F82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0DAAB8B4">
            <w:pPr>
              <w:spacing w:before="0" w:after="0" w:line="276" w:lineRule="auto"/>
              <w:jc w:val="left"/>
            </w:pPr>
            <w:r>
              <w:rPr>
                <w:rFonts w:ascii="Times New Roman" w:hAnsi="Times New Roman" w:eastAsia="楷体" w:cs="Times New Roman"/>
                <w:b w:val="0"/>
                <w:color w:val="000000"/>
                <w:sz w:val="21"/>
              </w:rPr>
              <w:t>最大输入长度</w:t>
            </w:r>
          </w:p>
        </w:tc>
        <w:tc>
          <w:tcPr>
            <w:tcW w:w="3430" w:type="dxa"/>
            <w:vAlign w:val="center"/>
          </w:tcPr>
          <w:p w14:paraId="495C5248">
            <w:pPr>
              <w:spacing w:before="0" w:after="0" w:line="276" w:lineRule="auto"/>
              <w:jc w:val="center"/>
            </w:pPr>
            <w:r>
              <w:rPr>
                <w:rFonts w:ascii="Times New Roman" w:hAnsi="Times New Roman" w:eastAsia="楷体" w:cs="Times New Roman"/>
                <w:b w:val="0"/>
                <w:color w:val="000000"/>
                <w:sz w:val="21"/>
              </w:rPr>
              <w:t>脚本不截断</w:t>
            </w:r>
          </w:p>
        </w:tc>
        <w:tc>
          <w:tcPr>
            <w:tcW w:w="3430" w:type="dxa"/>
            <w:vAlign w:val="center"/>
          </w:tcPr>
          <w:p w14:paraId="69758B7B">
            <w:pPr>
              <w:spacing w:before="0" w:after="0" w:line="276" w:lineRule="auto"/>
              <w:jc w:val="center"/>
            </w:pPr>
            <w:r>
              <w:rPr>
                <w:rFonts w:ascii="Times New Roman" w:hAnsi="Times New Roman" w:eastAsia="楷体" w:cs="Times New Roman"/>
                <w:b w:val="0"/>
                <w:color w:val="000000"/>
                <w:sz w:val="21"/>
              </w:rPr>
              <w:t>默认 256 word pieces／每段</w:t>
            </w:r>
          </w:p>
        </w:tc>
      </w:tr>
      <w:tr w14:paraId="4A2CF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6213D8D4">
            <w:pPr>
              <w:spacing w:before="0" w:after="0" w:line="276" w:lineRule="auto"/>
              <w:jc w:val="left"/>
            </w:pPr>
            <w:r>
              <w:rPr>
                <w:rFonts w:ascii="Times New Roman" w:hAnsi="Times New Roman" w:eastAsia="楷体" w:cs="Times New Roman"/>
                <w:b w:val="0"/>
                <w:color w:val="000000"/>
                <w:sz w:val="21"/>
              </w:rPr>
              <w:t>C / class_weight</w:t>
            </w:r>
          </w:p>
        </w:tc>
        <w:tc>
          <w:tcPr>
            <w:tcW w:w="3430" w:type="dxa"/>
            <w:vAlign w:val="center"/>
          </w:tcPr>
          <w:p w14:paraId="493B7AC1">
            <w:pPr>
              <w:spacing w:before="0" w:after="0" w:line="276" w:lineRule="auto"/>
              <w:jc w:val="center"/>
            </w:pPr>
            <w:r>
              <w:rPr>
                <w:rFonts w:ascii="Times New Roman" w:hAnsi="Times New Roman" w:eastAsia="楷体" w:cs="Times New Roman"/>
                <w:b w:val="0"/>
                <w:color w:val="000000"/>
                <w:sz w:val="21"/>
              </w:rPr>
              <w:t>1.0 / balanced</w:t>
            </w:r>
          </w:p>
        </w:tc>
        <w:tc>
          <w:tcPr>
            <w:tcW w:w="3430" w:type="dxa"/>
            <w:vAlign w:val="center"/>
          </w:tcPr>
          <w:p w14:paraId="07D77A56">
            <w:pPr>
              <w:spacing w:before="0" w:after="0" w:line="276" w:lineRule="auto"/>
              <w:jc w:val="center"/>
            </w:pPr>
            <w:r>
              <w:rPr>
                <w:rFonts w:ascii="Times New Roman" w:hAnsi="Times New Roman" w:eastAsia="楷体" w:cs="Times New Roman"/>
                <w:b w:val="0"/>
                <w:color w:val="000000"/>
                <w:sz w:val="21"/>
              </w:rPr>
              <w:t>0.1 / balanced</w:t>
            </w:r>
          </w:p>
        </w:tc>
      </w:tr>
      <w:tr w14:paraId="22536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53035BA9">
            <w:pPr>
              <w:spacing w:before="0" w:after="0" w:line="276" w:lineRule="auto"/>
              <w:jc w:val="left"/>
            </w:pPr>
            <w:r>
              <w:rPr>
                <w:rFonts w:ascii="Times New Roman" w:hAnsi="Times New Roman" w:eastAsia="楷体" w:cs="Times New Roman"/>
                <w:b w:val="0"/>
                <w:color w:val="000000"/>
                <w:sz w:val="21"/>
              </w:rPr>
              <w:t>求解迭代上限 / seed</w:t>
            </w:r>
          </w:p>
        </w:tc>
        <w:tc>
          <w:tcPr>
            <w:tcW w:w="3430" w:type="dxa"/>
            <w:vAlign w:val="center"/>
          </w:tcPr>
          <w:p w14:paraId="15C38D95">
            <w:pPr>
              <w:spacing w:before="0" w:after="0" w:line="276" w:lineRule="auto"/>
              <w:jc w:val="center"/>
            </w:pPr>
            <w:r>
              <w:rPr>
                <w:rFonts w:ascii="Times New Roman" w:hAnsi="Times New Roman" w:eastAsia="楷体" w:cs="Times New Roman"/>
                <w:b w:val="0"/>
                <w:color w:val="000000"/>
                <w:sz w:val="21"/>
              </w:rPr>
              <w:t>2,000 / 42</w:t>
            </w:r>
          </w:p>
        </w:tc>
        <w:tc>
          <w:tcPr>
            <w:tcW w:w="3430" w:type="dxa"/>
            <w:vAlign w:val="center"/>
          </w:tcPr>
          <w:p w14:paraId="4B13FEFA">
            <w:pPr>
              <w:spacing w:before="0" w:after="0" w:line="276" w:lineRule="auto"/>
              <w:jc w:val="center"/>
            </w:pPr>
            <w:r>
              <w:rPr>
                <w:rFonts w:ascii="Times New Roman" w:hAnsi="Times New Roman" w:eastAsia="楷体" w:cs="Times New Roman"/>
                <w:b w:val="0"/>
                <w:color w:val="000000"/>
                <w:sz w:val="21"/>
              </w:rPr>
              <w:t>2,000 / 42</w:t>
            </w:r>
          </w:p>
        </w:tc>
      </w:tr>
      <w:tr w14:paraId="60E6A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0E1C6BE8">
            <w:pPr>
              <w:spacing w:before="0" w:after="0" w:line="276" w:lineRule="auto"/>
              <w:jc w:val="left"/>
            </w:pPr>
            <w:r>
              <w:rPr>
                <w:rFonts w:ascii="Times New Roman" w:hAnsi="Times New Roman" w:eastAsia="楷体" w:cs="Times New Roman"/>
                <w:b w:val="0"/>
                <w:color w:val="000000"/>
                <w:sz w:val="21"/>
              </w:rPr>
              <w:t>学习率 / epoch / 早停</w:t>
            </w:r>
          </w:p>
        </w:tc>
        <w:tc>
          <w:tcPr>
            <w:tcW w:w="3430" w:type="dxa"/>
            <w:vAlign w:val="center"/>
          </w:tcPr>
          <w:p w14:paraId="6EB903B3">
            <w:pPr>
              <w:spacing w:before="0" w:after="0" w:line="276" w:lineRule="auto"/>
              <w:jc w:val="center"/>
            </w:pPr>
            <w:r>
              <w:rPr>
                <w:rFonts w:ascii="Times New Roman" w:hAnsi="Times New Roman" w:eastAsia="楷体" w:cs="Times New Roman"/>
                <w:b w:val="0"/>
                <w:color w:val="000000"/>
                <w:sz w:val="21"/>
              </w:rPr>
              <w:t>LR 迭代求解；未设置神经训练学习率、epoch或早停</w:t>
            </w:r>
          </w:p>
        </w:tc>
        <w:tc>
          <w:tcPr>
            <w:tcW w:w="3430" w:type="dxa"/>
            <w:vAlign w:val="center"/>
          </w:tcPr>
          <w:p w14:paraId="7697564B">
            <w:pPr>
              <w:spacing w:before="0" w:after="0" w:line="276" w:lineRule="auto"/>
              <w:jc w:val="center"/>
            </w:pPr>
            <w:r>
              <w:rPr>
                <w:rFonts w:ascii="Times New Roman" w:hAnsi="Times New Roman" w:eastAsia="楷体" w:cs="Times New Roman"/>
                <w:b w:val="0"/>
                <w:color w:val="000000"/>
                <w:sz w:val="21"/>
              </w:rPr>
              <w:t>编码器不训练；LR 同左</w:t>
            </w:r>
          </w:p>
        </w:tc>
      </w:tr>
    </w:tbl>
    <w:p w14:paraId="2ED36C0E">
      <w:pPr>
        <w:pStyle w:val="9"/>
        <w:keepNext/>
        <w:widowControl/>
        <w:spacing w:before="100" w:after="60" w:line="360" w:lineRule="auto"/>
        <w:ind w:firstLine="0"/>
      </w:pPr>
      <w:r>
        <w:rPr>
          <w:rFonts w:ascii="Times New Roman" w:hAnsi="Times New Roman" w:eastAsia="楷体" w:cs="Times New Roman"/>
          <w:b/>
          <w:color w:val="000000"/>
          <w:sz w:val="24"/>
        </w:rPr>
        <w:t>3.3 标签层级扩展的假设与实现</w:t>
      </w:r>
    </w:p>
    <w:p w14:paraId="449EC912">
      <w:pPr>
        <w:pStyle w:val="9"/>
        <w:widowControl/>
        <w:spacing w:before="0" w:after="60" w:line="360" w:lineRule="auto"/>
        <w:ind w:firstLine="480"/>
      </w:pPr>
      <w:r>
        <w:rPr>
          <w:rFonts w:ascii="Times New Roman" w:hAnsi="Times New Roman" w:eastAsia="楷体" w:cs="Times New Roman"/>
          <w:b w:val="0"/>
          <w:color w:val="000000"/>
          <w:sz w:val="24"/>
        </w:rPr>
        <w:t>扩展检验两个假设。H1：细粒度标签通过固定映射可以与训练集粗标签一致。H2：在相同冻结表示下，九分类学习能够提供有用的策略信息，使汇总后的粗分类优于直接三分类。H1 通过标签统计检验，H2 通过模型对照检验；两者不能混为同一个结论。映射依据原论文和训练集，不根据测试结果调整。</w:t>
      </w:r>
    </w:p>
    <w:p w14:paraId="3329CDCE">
      <w:pPr>
        <w:pStyle w:val="9"/>
        <w:keepNext/>
        <w:widowControl/>
        <w:spacing w:before="0" w:after="60" w:line="360" w:lineRule="auto"/>
        <w:ind w:firstLine="0"/>
        <w:jc w:val="center"/>
      </w:pPr>
      <w:r>
        <w:rPr>
          <w:rFonts w:ascii="Times New Roman" w:hAnsi="Times New Roman" w:eastAsia="楷体" w:cs="Times New Roman"/>
          <w:b w:val="0"/>
          <w:color w:val="000000"/>
          <w:sz w:val="21"/>
        </w:rPr>
        <w:t>表4 九个细标签到三个粗标签的固定映射</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2835"/>
        <w:gridCol w:w="6236"/>
      </w:tblGrid>
      <w:tr w14:paraId="48945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2835" w:type="dxa"/>
            <w:vAlign w:val="center"/>
          </w:tcPr>
          <w:p w14:paraId="49C4B5CA">
            <w:pPr>
              <w:spacing w:before="0" w:after="0" w:line="276" w:lineRule="auto"/>
              <w:jc w:val="center"/>
            </w:pPr>
            <w:r>
              <w:rPr>
                <w:rFonts w:ascii="Times New Roman" w:hAnsi="Times New Roman" w:eastAsia="楷体" w:cs="Times New Roman"/>
                <w:b/>
                <w:color w:val="000000"/>
                <w:sz w:val="21"/>
              </w:rPr>
              <w:t>粗标签</w:t>
            </w:r>
          </w:p>
        </w:tc>
        <w:tc>
          <w:tcPr>
            <w:tcW w:w="6236" w:type="dxa"/>
            <w:vAlign w:val="center"/>
          </w:tcPr>
          <w:p w14:paraId="0A4FB597">
            <w:pPr>
              <w:spacing w:before="0" w:after="0" w:line="276" w:lineRule="auto"/>
              <w:jc w:val="center"/>
            </w:pPr>
            <w:r>
              <w:rPr>
                <w:rFonts w:ascii="Times New Roman" w:hAnsi="Times New Roman" w:eastAsia="楷体" w:cs="Times New Roman"/>
                <w:b/>
                <w:color w:val="000000"/>
                <w:sz w:val="21"/>
              </w:rPr>
              <w:t>细粒度标签</w:t>
            </w:r>
          </w:p>
        </w:tc>
      </w:tr>
      <w:tr w14:paraId="1DA8C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835" w:type="dxa"/>
            <w:vAlign w:val="center"/>
          </w:tcPr>
          <w:p w14:paraId="7FB9A730">
            <w:pPr>
              <w:spacing w:before="0" w:after="0" w:line="276" w:lineRule="auto"/>
              <w:jc w:val="left"/>
            </w:pPr>
            <w:r>
              <w:rPr>
                <w:rFonts w:ascii="Times New Roman" w:hAnsi="Times New Roman" w:eastAsia="楷体" w:cs="Times New Roman"/>
                <w:b w:val="0"/>
                <w:color w:val="000000"/>
                <w:sz w:val="21"/>
              </w:rPr>
              <w:t>Clear Reply</w:t>
            </w:r>
          </w:p>
        </w:tc>
        <w:tc>
          <w:tcPr>
            <w:tcW w:w="6236" w:type="dxa"/>
            <w:vAlign w:val="center"/>
          </w:tcPr>
          <w:p w14:paraId="51D51834">
            <w:pPr>
              <w:spacing w:before="0" w:after="0" w:line="276" w:lineRule="auto"/>
              <w:jc w:val="center"/>
            </w:pPr>
            <w:r>
              <w:rPr>
                <w:rFonts w:ascii="Times New Roman" w:hAnsi="Times New Roman" w:eastAsia="楷体" w:cs="Times New Roman"/>
                <w:b w:val="0"/>
                <w:color w:val="000000"/>
                <w:sz w:val="21"/>
              </w:rPr>
              <w:t>Explicit</w:t>
            </w:r>
          </w:p>
        </w:tc>
      </w:tr>
      <w:tr w14:paraId="0C05B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835" w:type="dxa"/>
            <w:vAlign w:val="center"/>
          </w:tcPr>
          <w:p w14:paraId="0C92D2FD">
            <w:pPr>
              <w:spacing w:before="0" w:after="0" w:line="276" w:lineRule="auto"/>
              <w:jc w:val="left"/>
            </w:pPr>
            <w:r>
              <w:rPr>
                <w:rFonts w:ascii="Times New Roman" w:hAnsi="Times New Roman" w:eastAsia="楷体" w:cs="Times New Roman"/>
                <w:b w:val="0"/>
                <w:color w:val="000000"/>
                <w:sz w:val="21"/>
              </w:rPr>
              <w:t>Ambivalent Reply</w:t>
            </w:r>
          </w:p>
        </w:tc>
        <w:tc>
          <w:tcPr>
            <w:tcW w:w="6236" w:type="dxa"/>
            <w:vAlign w:val="center"/>
          </w:tcPr>
          <w:p w14:paraId="67B12991">
            <w:pPr>
              <w:spacing w:before="0" w:after="0" w:line="276" w:lineRule="auto"/>
              <w:jc w:val="center"/>
            </w:pPr>
            <w:r>
              <w:rPr>
                <w:rFonts w:ascii="Times New Roman" w:hAnsi="Times New Roman" w:eastAsia="楷体" w:cs="Times New Roman"/>
                <w:b w:val="0"/>
                <w:color w:val="000000"/>
                <w:sz w:val="21"/>
              </w:rPr>
              <w:t>Implicit、Dodging、General、Deflection、Partial/half-answer</w:t>
            </w:r>
          </w:p>
        </w:tc>
      </w:tr>
      <w:tr w14:paraId="396E6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835" w:type="dxa"/>
            <w:vAlign w:val="center"/>
          </w:tcPr>
          <w:p w14:paraId="509AE496">
            <w:pPr>
              <w:spacing w:before="0" w:after="0" w:line="276" w:lineRule="auto"/>
              <w:jc w:val="left"/>
            </w:pPr>
            <w:r>
              <w:rPr>
                <w:rFonts w:ascii="Times New Roman" w:hAnsi="Times New Roman" w:eastAsia="楷体" w:cs="Times New Roman"/>
                <w:b w:val="0"/>
                <w:color w:val="000000"/>
                <w:sz w:val="21"/>
              </w:rPr>
              <w:t>Clear Non-Reply</w:t>
            </w:r>
          </w:p>
        </w:tc>
        <w:tc>
          <w:tcPr>
            <w:tcW w:w="6236" w:type="dxa"/>
            <w:vAlign w:val="center"/>
          </w:tcPr>
          <w:p w14:paraId="5BDCAF6B">
            <w:pPr>
              <w:spacing w:before="0" w:after="0" w:line="276" w:lineRule="auto"/>
              <w:jc w:val="center"/>
            </w:pPr>
            <w:r>
              <w:rPr>
                <w:rFonts w:ascii="Times New Roman" w:hAnsi="Times New Roman" w:eastAsia="楷体" w:cs="Times New Roman"/>
                <w:b w:val="0"/>
                <w:color w:val="000000"/>
                <w:sz w:val="21"/>
              </w:rPr>
              <w:t>Declining to answer、Claims ignorance、Clarification</w:t>
            </w:r>
          </w:p>
        </w:tc>
      </w:tr>
    </w:tbl>
    <w:p w14:paraId="267B8714">
      <w:pPr>
        <w:pStyle w:val="9"/>
        <w:widowControl/>
        <w:spacing w:before="0" w:after="60" w:line="360" w:lineRule="auto"/>
        <w:ind w:firstLine="480"/>
      </w:pPr>
      <w:r>
        <w:rPr>
          <w:rFonts w:ascii="Times New Roman" w:hAnsi="Times New Roman" w:eastAsia="楷体" w:cs="Times New Roman"/>
          <w:b w:val="0"/>
          <w:color w:val="000000"/>
          <w:sz w:val="24"/>
        </w:rPr>
        <w:t>首先对训练集 3,448 条样本检查 evasion_label 是否存在、是否属于已知九类，并比较映射结果与 clarity_label。其次按 title 使用 GroupShuffleSplit，以随机种子 42 留出 20% 的采访分组：拟合部分为 140 场采访、3,182 条样本，留出部分为 35 场采访、266 条样本。20% 指采访组的比例，因此样本量不必按 8∶2 分配。两部分 title 交集为零。</w:t>
      </w:r>
    </w:p>
    <w:p w14:paraId="22366012">
      <w:pPr>
        <w:pStyle w:val="9"/>
        <w:widowControl/>
        <w:spacing w:before="0" w:after="60" w:line="360" w:lineRule="auto"/>
        <w:ind w:firstLine="480"/>
      </w:pPr>
      <w:r>
        <w:rPr>
          <w:rFonts w:ascii="Times New Roman" w:hAnsi="Times New Roman" w:eastAsia="楷体" w:cs="Times New Roman"/>
          <w:b w:val="0"/>
          <w:color w:val="000000"/>
          <w:sz w:val="24"/>
        </w:rPr>
        <w:t>对照模型使用相同的 1,536 维缓存表示：一组直接学习三分类，另一组学习九分类。两者均固定 C=0.1、max_iter=2000、class_weight=balanced、random_state=42，不在本次分组留出集上再次搜索超参数。C 值沿用原实验，分组结果属于复用既有配置的探索性检查，并非完全独立的嵌套模型选择估计。</w:t>
      </w:r>
    </w:p>
    <w:p w14:paraId="59799915">
      <w:pPr>
        <w:pStyle w:val="9"/>
        <w:widowControl/>
        <w:spacing w:before="0" w:after="60" w:line="360" w:lineRule="auto"/>
        <w:ind w:firstLine="480"/>
      </w:pPr>
      <w:r>
        <w:rPr>
          <w:rFonts w:ascii="Times New Roman" w:hAnsi="Times New Roman" w:eastAsia="楷体" w:cs="Times New Roman"/>
          <w:b w:val="0"/>
          <w:color w:val="000000"/>
          <w:sz w:val="24"/>
        </w:rPr>
        <w:t>九分类模型输出各细类概率。对某一粗类，将属于该粗类的全部细类概率相加，再选择概率最大的粗类：P(c|x)=Σ P(z|x)，求和范围为映射到 c 的细类 z。三类分别包含 1、5、3 个细类。按互斥子类求和本身是合理的，但 balanced 训练和概率校准不足可能使汇总偏向拥有较多子类的粗类；实验将检查这一现象。</w:t>
      </w:r>
    </w:p>
    <w:p w14:paraId="5BB28EE1">
      <w:pPr>
        <w:pStyle w:val="9"/>
        <w:widowControl/>
        <w:spacing w:before="0" w:after="60" w:line="360" w:lineRule="auto"/>
        <w:ind w:firstLine="480"/>
      </w:pPr>
      <w:r>
        <w:rPr>
          <w:rFonts w:ascii="Times New Roman" w:hAnsi="Times New Roman" w:eastAsia="楷体" w:cs="Times New Roman"/>
          <w:b w:val="0"/>
          <w:color w:val="000000"/>
          <w:sz w:val="24"/>
        </w:rPr>
        <w:t>最后，两种模型分别在全部 3,448 条训练样本上重训，在 308 条官方测试样本上比较粗分类。官方测试集 evasion_label 全部为空，因而不计算该集合的细粒度准确率或九分类 F1；细粒度结果只来自 266 条分组留出样本。缓存特征的样本数、粗标签顺序与原数据逐项核对，并保存输入文件哈希，避免读取错位。</w:t>
      </w:r>
    </w:p>
    <w:p w14:paraId="6C36FA63">
      <w:pPr>
        <w:pStyle w:val="9"/>
        <w:keepNext/>
        <w:widowControl/>
        <w:spacing w:before="100" w:after="60" w:line="360" w:lineRule="auto"/>
        <w:ind w:firstLine="0"/>
      </w:pPr>
      <w:r>
        <w:rPr>
          <w:rFonts w:ascii="Times New Roman" w:hAnsi="Times New Roman" w:eastAsia="楷体" w:cs="Times New Roman"/>
          <w:b/>
          <w:color w:val="000000"/>
          <w:sz w:val="24"/>
        </w:rPr>
        <w:t>3.4 直接复用与目标域适配设置</w:t>
      </w:r>
    </w:p>
    <w:p w14:paraId="58ACE429">
      <w:pPr>
        <w:pStyle w:val="9"/>
        <w:widowControl/>
        <w:spacing w:before="0" w:after="60" w:line="360" w:lineRule="auto"/>
        <w:ind w:firstLine="480"/>
      </w:pPr>
      <w:r>
        <w:rPr>
          <w:rFonts w:ascii="Times New Roman" w:hAnsi="Times New Roman" w:eastAsia="楷体" w:cs="Times New Roman"/>
          <w:b w:val="0"/>
          <w:color w:val="000000"/>
          <w:sz w:val="24"/>
        </w:rPr>
        <w:t>源域直接复用使用原任务最佳 TF-IDF + LR，仅在 QEvasion 上训练。固定令 QNLI 的“包含答案”概率等于 Clear Reply 概率，“不包含答案”概率等于另两类概率之和，以 0.5 为边界，不使用 QNLI 标签调阈值。该投影是近似的跨任务诊断，不宣称标签等价。适配模型则在 QNLI 的 12,000 条标注样本上重新学习词表和分类器，在同一 5,463 条 dev 样本上评价。</w:t>
      </w:r>
    </w:p>
    <w:p w14:paraId="5F740234">
      <w:pPr>
        <w:pStyle w:val="9"/>
        <w:widowControl/>
        <w:spacing w:before="0" w:after="60" w:line="360" w:lineRule="auto"/>
        <w:ind w:firstLine="480"/>
      </w:pPr>
      <w:r>
        <w:rPr>
          <w:rFonts w:ascii="Times New Roman" w:hAnsi="Times New Roman" w:eastAsia="楷体" w:cs="Times New Roman"/>
          <w:b w:val="0"/>
          <w:color w:val="000000"/>
          <w:sz w:val="24"/>
        </w:rPr>
        <w:t>所有本地结果固定 seed=42，报告单次运行值，不给出未经多次运行得到的均值或标准差。新增分析在 Anaconda 的 pytorch 环境运行，复用已保存的语义向量。输出包括 JSON 指标、细分类留出预测、粗分类测试概率和源域直接迁移预测，可定位每一项报告数字的来源。</w:t>
      </w:r>
    </w:p>
    <w:p w14:paraId="59C60C67">
      <w:pPr>
        <w:pStyle w:val="9"/>
        <w:keepNext/>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lang w:eastAsia="zh-CN"/>
        </w:rPr>
        <w:t>实</w:t>
      </w:r>
      <w:r>
        <w:rPr>
          <w:rFonts w:hint="default" w:ascii="Times New Roman" w:hAnsi="Times New Roman" w:eastAsia="楷体" w:cs="Times New Roman"/>
          <w:b/>
          <w:bCs/>
          <w:color w:val="0000FF"/>
          <w:sz w:val="24"/>
          <w:szCs w:val="24"/>
        </w:rPr>
        <w:t>验结果展示</w:t>
      </w:r>
    </w:p>
    <w:p w14:paraId="79193411">
      <w:pPr>
        <w:pStyle w:val="9"/>
        <w:keepNext/>
        <w:widowControl/>
        <w:spacing w:before="100" w:after="60" w:line="360" w:lineRule="auto"/>
        <w:ind w:firstLine="0"/>
      </w:pPr>
      <w:r>
        <w:rPr>
          <w:rFonts w:ascii="Times New Roman" w:hAnsi="Times New Roman" w:eastAsia="楷体" w:cs="Times New Roman"/>
          <w:b/>
          <w:color w:val="000000"/>
          <w:sz w:val="24"/>
        </w:rPr>
        <w:t>4.1 数据分布与长度特征</w:t>
      </w:r>
    </w:p>
    <w:p w14:paraId="230E2B71">
      <w:pPr>
        <w:pStyle w:val="9"/>
        <w:keepNext/>
        <w:widowControl/>
        <w:spacing w:before="0" w:after="60" w:line="360" w:lineRule="auto"/>
        <w:ind w:firstLine="0"/>
        <w:jc w:val="center"/>
      </w:pPr>
      <w:r>
        <w:rPr>
          <w:rFonts w:ascii="Times New Roman" w:hAnsi="Times New Roman" w:eastAsia="楷体" w:cs="Times New Roman"/>
          <w:b w:val="0"/>
          <w:color w:val="000000"/>
          <w:sz w:val="21"/>
        </w:rPr>
        <w:t>表5 数据统计</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2438"/>
        <w:gridCol w:w="964"/>
        <w:gridCol w:w="1191"/>
        <w:gridCol w:w="1191"/>
        <w:gridCol w:w="3288"/>
      </w:tblGrid>
      <w:tr w14:paraId="39853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2438" w:type="dxa"/>
            <w:vAlign w:val="center"/>
          </w:tcPr>
          <w:p w14:paraId="24AD705A">
            <w:pPr>
              <w:spacing w:before="0" w:after="0" w:line="276" w:lineRule="auto"/>
              <w:jc w:val="center"/>
            </w:pPr>
            <w:r>
              <w:rPr>
                <w:rFonts w:ascii="Times New Roman" w:hAnsi="Times New Roman" w:eastAsia="楷体" w:cs="Times New Roman"/>
                <w:b/>
                <w:color w:val="000000"/>
                <w:sz w:val="21"/>
              </w:rPr>
              <w:t>划分</w:t>
            </w:r>
          </w:p>
        </w:tc>
        <w:tc>
          <w:tcPr>
            <w:tcW w:w="964" w:type="dxa"/>
            <w:vAlign w:val="center"/>
          </w:tcPr>
          <w:p w14:paraId="2A8798D0">
            <w:pPr>
              <w:spacing w:before="0" w:after="0" w:line="276" w:lineRule="auto"/>
              <w:jc w:val="center"/>
            </w:pPr>
            <w:r>
              <w:rPr>
                <w:rFonts w:ascii="Times New Roman" w:hAnsi="Times New Roman" w:eastAsia="楷体" w:cs="Times New Roman"/>
                <w:b/>
                <w:color w:val="000000"/>
                <w:sz w:val="21"/>
              </w:rPr>
              <w:t>样本数</w:t>
            </w:r>
          </w:p>
        </w:tc>
        <w:tc>
          <w:tcPr>
            <w:tcW w:w="1191" w:type="dxa"/>
            <w:vAlign w:val="center"/>
          </w:tcPr>
          <w:p w14:paraId="30EB11F7">
            <w:pPr>
              <w:spacing w:before="0" w:after="0" w:line="276" w:lineRule="auto"/>
              <w:jc w:val="center"/>
            </w:pPr>
            <w:r>
              <w:rPr>
                <w:rFonts w:ascii="Times New Roman" w:hAnsi="Times New Roman" w:eastAsia="楷体" w:cs="Times New Roman"/>
                <w:b/>
                <w:color w:val="000000"/>
                <w:sz w:val="21"/>
              </w:rPr>
              <w:t>问题均长</w:t>
            </w:r>
          </w:p>
        </w:tc>
        <w:tc>
          <w:tcPr>
            <w:tcW w:w="1191" w:type="dxa"/>
            <w:vAlign w:val="center"/>
          </w:tcPr>
          <w:p w14:paraId="7F7A7EE6">
            <w:pPr>
              <w:spacing w:before="0" w:after="0" w:line="276" w:lineRule="auto"/>
              <w:jc w:val="center"/>
            </w:pPr>
            <w:r>
              <w:rPr>
                <w:rFonts w:ascii="Times New Roman" w:hAnsi="Times New Roman" w:eastAsia="楷体" w:cs="Times New Roman"/>
                <w:b/>
                <w:color w:val="000000"/>
                <w:sz w:val="21"/>
              </w:rPr>
              <w:t>回答均长</w:t>
            </w:r>
          </w:p>
        </w:tc>
        <w:tc>
          <w:tcPr>
            <w:tcW w:w="3288" w:type="dxa"/>
            <w:vAlign w:val="center"/>
          </w:tcPr>
          <w:p w14:paraId="1AE1DF8E">
            <w:pPr>
              <w:spacing w:before="0" w:after="0" w:line="276" w:lineRule="auto"/>
              <w:jc w:val="center"/>
            </w:pPr>
            <w:r>
              <w:rPr>
                <w:rFonts w:ascii="Times New Roman" w:hAnsi="Times New Roman" w:eastAsia="楷体" w:cs="Times New Roman"/>
                <w:b/>
                <w:color w:val="000000"/>
                <w:sz w:val="21"/>
              </w:rPr>
              <w:t>备注</w:t>
            </w:r>
          </w:p>
        </w:tc>
      </w:tr>
      <w:tr w14:paraId="3F26D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438" w:type="dxa"/>
            <w:vAlign w:val="center"/>
          </w:tcPr>
          <w:p w14:paraId="2070B1BB">
            <w:pPr>
              <w:spacing w:before="0" w:after="0" w:line="276" w:lineRule="auto"/>
              <w:jc w:val="left"/>
            </w:pPr>
            <w:r>
              <w:rPr>
                <w:rFonts w:ascii="Times New Roman" w:hAnsi="Times New Roman" w:eastAsia="楷体" w:cs="Times New Roman"/>
                <w:b w:val="0"/>
                <w:color w:val="000000"/>
                <w:sz w:val="21"/>
              </w:rPr>
              <w:t>QEvasion train</w:t>
            </w:r>
          </w:p>
        </w:tc>
        <w:tc>
          <w:tcPr>
            <w:tcW w:w="964" w:type="dxa"/>
            <w:vAlign w:val="center"/>
          </w:tcPr>
          <w:p w14:paraId="7E6A9859">
            <w:pPr>
              <w:spacing w:before="0" w:after="0" w:line="276" w:lineRule="auto"/>
              <w:jc w:val="center"/>
            </w:pPr>
            <w:r>
              <w:rPr>
                <w:rFonts w:ascii="Times New Roman" w:hAnsi="Times New Roman" w:eastAsia="楷体" w:cs="Times New Roman"/>
                <w:b w:val="0"/>
                <w:color w:val="000000"/>
                <w:sz w:val="21"/>
              </w:rPr>
              <w:t>3,448</w:t>
            </w:r>
          </w:p>
        </w:tc>
        <w:tc>
          <w:tcPr>
            <w:tcW w:w="1191" w:type="dxa"/>
            <w:vAlign w:val="center"/>
          </w:tcPr>
          <w:p w14:paraId="09F3E70B">
            <w:pPr>
              <w:spacing w:before="0" w:after="0" w:line="276" w:lineRule="auto"/>
              <w:jc w:val="center"/>
            </w:pPr>
            <w:r>
              <w:rPr>
                <w:rFonts w:ascii="Times New Roman" w:hAnsi="Times New Roman" w:eastAsia="楷体" w:cs="Times New Roman"/>
                <w:b w:val="0"/>
                <w:color w:val="000000"/>
                <w:sz w:val="21"/>
              </w:rPr>
              <w:t>14.5</w:t>
            </w:r>
          </w:p>
        </w:tc>
        <w:tc>
          <w:tcPr>
            <w:tcW w:w="1191" w:type="dxa"/>
            <w:vAlign w:val="center"/>
          </w:tcPr>
          <w:p w14:paraId="5A4D79DD">
            <w:pPr>
              <w:spacing w:before="0" w:after="0" w:line="276" w:lineRule="auto"/>
              <w:jc w:val="center"/>
            </w:pPr>
            <w:r>
              <w:rPr>
                <w:rFonts w:ascii="Times New Roman" w:hAnsi="Times New Roman" w:eastAsia="楷体" w:cs="Times New Roman"/>
                <w:b w:val="0"/>
                <w:color w:val="000000"/>
                <w:sz w:val="21"/>
              </w:rPr>
              <w:t>293.6</w:t>
            </w:r>
          </w:p>
        </w:tc>
        <w:tc>
          <w:tcPr>
            <w:tcW w:w="3288" w:type="dxa"/>
            <w:vAlign w:val="center"/>
          </w:tcPr>
          <w:p w14:paraId="203E8CF9">
            <w:pPr>
              <w:spacing w:before="0" w:after="0" w:line="276" w:lineRule="auto"/>
              <w:jc w:val="center"/>
            </w:pPr>
            <w:r>
              <w:rPr>
                <w:rFonts w:ascii="Times New Roman" w:hAnsi="Times New Roman" w:eastAsia="楷体" w:cs="Times New Roman"/>
                <w:b w:val="0"/>
                <w:color w:val="000000"/>
                <w:sz w:val="21"/>
              </w:rPr>
              <w:t>主文本与粗标签无缺失</w:t>
            </w:r>
          </w:p>
        </w:tc>
      </w:tr>
      <w:tr w14:paraId="61C5A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438" w:type="dxa"/>
            <w:vAlign w:val="center"/>
          </w:tcPr>
          <w:p w14:paraId="4478DBCB">
            <w:pPr>
              <w:spacing w:before="0" w:after="0" w:line="276" w:lineRule="auto"/>
              <w:jc w:val="left"/>
            </w:pPr>
            <w:r>
              <w:rPr>
                <w:rFonts w:ascii="Times New Roman" w:hAnsi="Times New Roman" w:eastAsia="楷体" w:cs="Times New Roman"/>
                <w:b w:val="0"/>
                <w:color w:val="000000"/>
                <w:sz w:val="21"/>
              </w:rPr>
              <w:t>QEvasion test</w:t>
            </w:r>
          </w:p>
        </w:tc>
        <w:tc>
          <w:tcPr>
            <w:tcW w:w="964" w:type="dxa"/>
            <w:vAlign w:val="center"/>
          </w:tcPr>
          <w:p w14:paraId="6737E4A9">
            <w:pPr>
              <w:spacing w:before="0" w:after="0" w:line="276" w:lineRule="auto"/>
              <w:jc w:val="center"/>
            </w:pPr>
            <w:r>
              <w:rPr>
                <w:rFonts w:ascii="Times New Roman" w:hAnsi="Times New Roman" w:eastAsia="楷体" w:cs="Times New Roman"/>
                <w:b w:val="0"/>
                <w:color w:val="000000"/>
                <w:sz w:val="21"/>
              </w:rPr>
              <w:t>308</w:t>
            </w:r>
          </w:p>
        </w:tc>
        <w:tc>
          <w:tcPr>
            <w:tcW w:w="1191" w:type="dxa"/>
            <w:vAlign w:val="center"/>
          </w:tcPr>
          <w:p w14:paraId="61E21E21">
            <w:pPr>
              <w:spacing w:before="0" w:after="0" w:line="276" w:lineRule="auto"/>
              <w:jc w:val="center"/>
            </w:pPr>
            <w:r>
              <w:rPr>
                <w:rFonts w:ascii="Times New Roman" w:hAnsi="Times New Roman" w:eastAsia="楷体" w:cs="Times New Roman"/>
                <w:b w:val="0"/>
                <w:color w:val="000000"/>
                <w:sz w:val="21"/>
              </w:rPr>
              <w:t>15.3</w:t>
            </w:r>
          </w:p>
        </w:tc>
        <w:tc>
          <w:tcPr>
            <w:tcW w:w="1191" w:type="dxa"/>
            <w:vAlign w:val="center"/>
          </w:tcPr>
          <w:p w14:paraId="6068C89A">
            <w:pPr>
              <w:spacing w:before="0" w:after="0" w:line="276" w:lineRule="auto"/>
              <w:jc w:val="center"/>
            </w:pPr>
            <w:r>
              <w:rPr>
                <w:rFonts w:ascii="Times New Roman" w:hAnsi="Times New Roman" w:eastAsia="楷体" w:cs="Times New Roman"/>
                <w:b w:val="0"/>
                <w:color w:val="000000"/>
                <w:sz w:val="21"/>
              </w:rPr>
              <w:t>326.3</w:t>
            </w:r>
          </w:p>
        </w:tc>
        <w:tc>
          <w:tcPr>
            <w:tcW w:w="3288" w:type="dxa"/>
            <w:vAlign w:val="center"/>
          </w:tcPr>
          <w:p w14:paraId="066B57B1">
            <w:pPr>
              <w:spacing w:before="0" w:after="0" w:line="276" w:lineRule="auto"/>
              <w:jc w:val="center"/>
            </w:pPr>
            <w:r>
              <w:rPr>
                <w:rFonts w:ascii="Times New Roman" w:hAnsi="Times New Roman" w:eastAsia="楷体" w:cs="Times New Roman"/>
                <w:b w:val="0"/>
                <w:color w:val="000000"/>
                <w:sz w:val="21"/>
              </w:rPr>
              <w:t>细标签为空；来源元数据缺失</w:t>
            </w:r>
          </w:p>
        </w:tc>
      </w:tr>
      <w:tr w14:paraId="1CDD5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438" w:type="dxa"/>
            <w:vAlign w:val="center"/>
          </w:tcPr>
          <w:p w14:paraId="123AFE57">
            <w:pPr>
              <w:spacing w:before="0" w:after="0" w:line="276" w:lineRule="auto"/>
              <w:jc w:val="left"/>
            </w:pPr>
            <w:r>
              <w:rPr>
                <w:rFonts w:ascii="Times New Roman" w:hAnsi="Times New Roman" w:eastAsia="楷体" w:cs="Times New Roman"/>
                <w:b w:val="0"/>
                <w:color w:val="000000"/>
                <w:sz w:val="21"/>
              </w:rPr>
              <w:t>QNLI 抽样 train</w:t>
            </w:r>
          </w:p>
        </w:tc>
        <w:tc>
          <w:tcPr>
            <w:tcW w:w="964" w:type="dxa"/>
            <w:vAlign w:val="center"/>
          </w:tcPr>
          <w:p w14:paraId="3266294F">
            <w:pPr>
              <w:spacing w:before="0" w:after="0" w:line="276" w:lineRule="auto"/>
              <w:jc w:val="center"/>
            </w:pPr>
            <w:r>
              <w:rPr>
                <w:rFonts w:ascii="Times New Roman" w:hAnsi="Times New Roman" w:eastAsia="楷体" w:cs="Times New Roman"/>
                <w:b w:val="0"/>
                <w:color w:val="000000"/>
                <w:sz w:val="21"/>
              </w:rPr>
              <w:t>12,000</w:t>
            </w:r>
          </w:p>
        </w:tc>
        <w:tc>
          <w:tcPr>
            <w:tcW w:w="1191" w:type="dxa"/>
            <w:vAlign w:val="center"/>
          </w:tcPr>
          <w:p w14:paraId="01A38F81">
            <w:pPr>
              <w:spacing w:before="0" w:after="0" w:line="276" w:lineRule="auto"/>
              <w:jc w:val="center"/>
            </w:pPr>
            <w:r>
              <w:rPr>
                <w:rFonts w:ascii="Times New Roman" w:hAnsi="Times New Roman" w:eastAsia="楷体" w:cs="Times New Roman"/>
                <w:b w:val="0"/>
                <w:color w:val="000000"/>
                <w:sz w:val="21"/>
              </w:rPr>
              <w:t>—</w:t>
            </w:r>
          </w:p>
        </w:tc>
        <w:tc>
          <w:tcPr>
            <w:tcW w:w="1191" w:type="dxa"/>
            <w:vAlign w:val="center"/>
          </w:tcPr>
          <w:p w14:paraId="408BE097">
            <w:pPr>
              <w:spacing w:before="0" w:after="0" w:line="276" w:lineRule="auto"/>
              <w:jc w:val="center"/>
            </w:pPr>
            <w:r>
              <w:rPr>
                <w:rFonts w:ascii="Times New Roman" w:hAnsi="Times New Roman" w:eastAsia="楷体" w:cs="Times New Roman"/>
                <w:b w:val="0"/>
                <w:color w:val="000000"/>
                <w:sz w:val="21"/>
              </w:rPr>
              <w:t>—</w:t>
            </w:r>
          </w:p>
        </w:tc>
        <w:tc>
          <w:tcPr>
            <w:tcW w:w="3288" w:type="dxa"/>
            <w:vAlign w:val="center"/>
          </w:tcPr>
          <w:p w14:paraId="6CD31404">
            <w:pPr>
              <w:spacing w:before="0" w:after="0" w:line="276" w:lineRule="auto"/>
              <w:jc w:val="center"/>
            </w:pPr>
            <w:r>
              <w:rPr>
                <w:rFonts w:ascii="Times New Roman" w:hAnsi="Times New Roman" w:eastAsia="楷体" w:cs="Times New Roman"/>
                <w:b w:val="0"/>
                <w:color w:val="000000"/>
                <w:sz w:val="21"/>
              </w:rPr>
              <w:t>两个类别各 6,000</w:t>
            </w:r>
          </w:p>
        </w:tc>
      </w:tr>
      <w:tr w14:paraId="11BB6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438" w:type="dxa"/>
            <w:vAlign w:val="center"/>
          </w:tcPr>
          <w:p w14:paraId="5D00730C">
            <w:pPr>
              <w:spacing w:before="0" w:after="0" w:line="276" w:lineRule="auto"/>
              <w:jc w:val="left"/>
            </w:pPr>
            <w:r>
              <w:rPr>
                <w:rFonts w:ascii="Times New Roman" w:hAnsi="Times New Roman" w:eastAsia="楷体" w:cs="Times New Roman"/>
                <w:b w:val="0"/>
                <w:color w:val="000000"/>
                <w:sz w:val="21"/>
              </w:rPr>
              <w:t>QNLI dev</w:t>
            </w:r>
          </w:p>
        </w:tc>
        <w:tc>
          <w:tcPr>
            <w:tcW w:w="964" w:type="dxa"/>
            <w:vAlign w:val="center"/>
          </w:tcPr>
          <w:p w14:paraId="4AC87F1E">
            <w:pPr>
              <w:spacing w:before="0" w:after="0" w:line="276" w:lineRule="auto"/>
              <w:jc w:val="center"/>
            </w:pPr>
            <w:r>
              <w:rPr>
                <w:rFonts w:ascii="Times New Roman" w:hAnsi="Times New Roman" w:eastAsia="楷体" w:cs="Times New Roman"/>
                <w:b w:val="0"/>
                <w:color w:val="000000"/>
                <w:sz w:val="21"/>
              </w:rPr>
              <w:t>5,463</w:t>
            </w:r>
          </w:p>
        </w:tc>
        <w:tc>
          <w:tcPr>
            <w:tcW w:w="1191" w:type="dxa"/>
            <w:vAlign w:val="center"/>
          </w:tcPr>
          <w:p w14:paraId="1C54E149">
            <w:pPr>
              <w:spacing w:before="0" w:after="0" w:line="276" w:lineRule="auto"/>
              <w:jc w:val="center"/>
            </w:pPr>
            <w:r>
              <w:rPr>
                <w:rFonts w:ascii="Times New Roman" w:hAnsi="Times New Roman" w:eastAsia="楷体" w:cs="Times New Roman"/>
                <w:b w:val="0"/>
                <w:color w:val="000000"/>
                <w:sz w:val="21"/>
              </w:rPr>
              <w:t>—</w:t>
            </w:r>
          </w:p>
        </w:tc>
        <w:tc>
          <w:tcPr>
            <w:tcW w:w="1191" w:type="dxa"/>
            <w:vAlign w:val="center"/>
          </w:tcPr>
          <w:p w14:paraId="02FC880E">
            <w:pPr>
              <w:spacing w:before="0" w:after="0" w:line="276" w:lineRule="auto"/>
              <w:jc w:val="center"/>
            </w:pPr>
            <w:r>
              <w:rPr>
                <w:rFonts w:ascii="Times New Roman" w:hAnsi="Times New Roman" w:eastAsia="楷体" w:cs="Times New Roman"/>
                <w:b w:val="0"/>
                <w:color w:val="000000"/>
                <w:sz w:val="21"/>
              </w:rPr>
              <w:t>—</w:t>
            </w:r>
          </w:p>
        </w:tc>
        <w:tc>
          <w:tcPr>
            <w:tcW w:w="3288" w:type="dxa"/>
            <w:vAlign w:val="center"/>
          </w:tcPr>
          <w:p w14:paraId="1BB6B718">
            <w:pPr>
              <w:spacing w:before="0" w:after="0" w:line="276" w:lineRule="auto"/>
              <w:jc w:val="center"/>
            </w:pPr>
            <w:r>
              <w:rPr>
                <w:rFonts w:ascii="Times New Roman" w:hAnsi="Times New Roman" w:eastAsia="楷体" w:cs="Times New Roman"/>
                <w:b w:val="0"/>
                <w:color w:val="000000"/>
                <w:sz w:val="21"/>
              </w:rPr>
              <w:t>2,702 包含答案；2,761 不包含</w:t>
            </w:r>
          </w:p>
        </w:tc>
      </w:tr>
    </w:tbl>
    <w:p w14:paraId="46ECFBE9">
      <w:pPr>
        <w:pStyle w:val="9"/>
        <w:widowControl/>
        <w:spacing w:before="0" w:after="60" w:line="360" w:lineRule="auto"/>
        <w:ind w:firstLine="480"/>
      </w:pPr>
      <w:r>
        <w:rPr>
          <w:rFonts w:ascii="Times New Roman" w:hAnsi="Times New Roman" w:eastAsia="楷体" w:cs="Times New Roman"/>
          <w:b w:val="0"/>
          <w:color w:val="000000"/>
          <w:sz w:val="24"/>
        </w:rPr>
        <w:t>长度按空格分词后的词数统计。QEvasion 训练集问题平均为 14.5 词，回答平均为 293.6 词；测试集回答平均达到 326.3 词。训练集最长回答为 2,117 词，测试集为 1,309 词。输入的明显不对称意味着模型需要从较长回答中识别与目标子问题相关的信息，而不是把整段回答的主题当作结论。</w:t>
      </w:r>
    </w:p>
    <w:p w14:paraId="7AF8A9DA">
      <w:pPr>
        <w:pStyle w:val="9"/>
        <w:keepNext/>
        <w:widowControl/>
        <w:spacing w:before="0" w:after="60" w:line="360" w:lineRule="auto"/>
        <w:ind w:firstLine="0"/>
        <w:jc w:val="center"/>
      </w:pPr>
      <w:r>
        <w:drawing>
          <wp:inline distT="0" distB="0" distL="114300" distR="114300">
            <wp:extent cx="5687695"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688000" cy="2171782"/>
                    </a:xfrm>
                    <a:prstGeom prst="rect">
                      <a:avLst/>
                    </a:prstGeom>
                  </pic:spPr>
                </pic:pic>
              </a:graphicData>
            </a:graphic>
          </wp:inline>
        </w:drawing>
      </w:r>
    </w:p>
    <w:p w14:paraId="4DB88CA9">
      <w:pPr>
        <w:pStyle w:val="9"/>
        <w:keepNext w:val="0"/>
        <w:widowControl/>
        <w:spacing w:before="0" w:after="60" w:line="360" w:lineRule="auto"/>
        <w:ind w:firstLine="0"/>
        <w:jc w:val="center"/>
      </w:pPr>
      <w:r>
        <w:rPr>
          <w:rFonts w:ascii="Times New Roman" w:hAnsi="Times New Roman" w:eastAsia="楷体" w:cs="Times New Roman"/>
          <w:b w:val="0"/>
          <w:color w:val="000000"/>
          <w:sz w:val="21"/>
        </w:rPr>
        <w:t>图1 QEvasion 粗标签分布与训练集细粒度策略分布</w:t>
      </w:r>
    </w:p>
    <w:p w14:paraId="2E3771EF">
      <w:pPr>
        <w:pStyle w:val="9"/>
        <w:widowControl/>
        <w:spacing w:before="0" w:after="60" w:line="360" w:lineRule="auto"/>
        <w:ind w:firstLine="480"/>
      </w:pPr>
      <w:r>
        <w:rPr>
          <w:rFonts w:ascii="Times New Roman" w:hAnsi="Times New Roman" w:eastAsia="楷体" w:cs="Times New Roman"/>
          <w:b w:val="0"/>
          <w:color w:val="000000"/>
          <w:sz w:val="24"/>
        </w:rPr>
        <w:t>图1显示，两个划分都以 Ambivalent Reply 为多数类；细粒度策略则只有训练集提供可用标签，不能将右侧分布解释为测试集分布。训练集 Explicit 为 1,052 条，Implicit 为 488 条，而 Partial/half-answer 仅 79 条。细标签进一步细分后，数据稀疏性比三分类更突出，这也是层级扩展必须同时检查分类误差和概率汇总的原因。</w:t>
      </w:r>
    </w:p>
    <w:p w14:paraId="65191A8F">
      <w:pPr>
        <w:pStyle w:val="9"/>
        <w:keepNext/>
        <w:widowControl/>
        <w:spacing w:before="100" w:after="60" w:line="360" w:lineRule="auto"/>
        <w:ind w:firstLine="0"/>
      </w:pPr>
      <w:r>
        <w:rPr>
          <w:rFonts w:ascii="Times New Roman" w:hAnsi="Times New Roman" w:eastAsia="楷体" w:cs="Times New Roman"/>
          <w:b/>
          <w:color w:val="000000"/>
          <w:sz w:val="24"/>
        </w:rPr>
        <w:t>4.2 基础模型总体表现</w:t>
      </w:r>
    </w:p>
    <w:p w14:paraId="230E14A1">
      <w:pPr>
        <w:pStyle w:val="9"/>
        <w:keepNext/>
        <w:widowControl/>
        <w:spacing w:before="0" w:after="60" w:line="360" w:lineRule="auto"/>
        <w:ind w:firstLine="0"/>
        <w:jc w:val="center"/>
      </w:pPr>
      <w:r>
        <w:drawing>
          <wp:inline distT="0" distB="0" distL="114300" distR="114300">
            <wp:extent cx="5687695"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688000" cy="2171782"/>
                    </a:xfrm>
                    <a:prstGeom prst="rect">
                      <a:avLst/>
                    </a:prstGeom>
                  </pic:spPr>
                </pic:pic>
              </a:graphicData>
            </a:graphic>
          </wp:inline>
        </w:drawing>
      </w:r>
    </w:p>
    <w:p w14:paraId="677FBC73">
      <w:pPr>
        <w:pStyle w:val="9"/>
        <w:keepNext w:val="0"/>
        <w:widowControl/>
        <w:spacing w:before="0" w:after="60" w:line="360" w:lineRule="auto"/>
        <w:ind w:firstLine="0"/>
        <w:jc w:val="center"/>
      </w:pPr>
      <w:r>
        <w:rPr>
          <w:rFonts w:ascii="Times New Roman" w:hAnsi="Times New Roman" w:eastAsia="楷体" w:cs="Times New Roman"/>
          <w:b w:val="0"/>
          <w:color w:val="000000"/>
          <w:sz w:val="21"/>
        </w:rPr>
        <w:t>图2 问题与回答长度分布及不同粗标签的长度差异</w:t>
      </w:r>
    </w:p>
    <w:p w14:paraId="14E0C0C8">
      <w:pPr>
        <w:pStyle w:val="9"/>
        <w:widowControl/>
        <w:spacing w:before="0" w:after="60" w:line="360" w:lineRule="auto"/>
        <w:ind w:firstLine="480"/>
      </w:pPr>
      <w:r>
        <w:rPr>
          <w:rFonts w:ascii="Times New Roman" w:hAnsi="Times New Roman" w:eastAsia="楷体" w:cs="Times New Roman"/>
          <w:b w:val="0"/>
          <w:color w:val="000000"/>
          <w:sz w:val="24"/>
        </w:rPr>
        <w:t>图2说明回答长尾明显，不同类别的长度区间也有重叠。长回答可能包含直接答案，也可能只是重复背景；短回答可能是有效的“已经做过”，也可能只是没有回应内容的“好的”。因此，长度适合诊断模型行为，不宜直接作为标签规则。词数统计也不能精确替代编码器的 word-piece 截断位置。</w:t>
      </w:r>
    </w:p>
    <w:p w14:paraId="058EBF4B">
      <w:pPr>
        <w:pStyle w:val="9"/>
        <w:keepNext/>
        <w:widowControl/>
        <w:spacing w:before="0" w:after="60" w:line="360" w:lineRule="auto"/>
        <w:ind w:firstLine="0"/>
        <w:jc w:val="center"/>
      </w:pPr>
      <w:r>
        <w:rPr>
          <w:rFonts w:ascii="Times New Roman" w:hAnsi="Times New Roman" w:eastAsia="楷体" w:cs="Times New Roman"/>
          <w:b w:val="0"/>
          <w:color w:val="000000"/>
          <w:sz w:val="21"/>
        </w:rPr>
        <w:t>表6 相同 QEvasion 测试集上的总体指标</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175"/>
        <w:gridCol w:w="1474"/>
        <w:gridCol w:w="1474"/>
        <w:gridCol w:w="1474"/>
        <w:gridCol w:w="1474"/>
      </w:tblGrid>
      <w:tr w14:paraId="7BFD0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175" w:type="dxa"/>
            <w:vAlign w:val="center"/>
          </w:tcPr>
          <w:p w14:paraId="6E88D1EA">
            <w:pPr>
              <w:spacing w:before="0" w:after="0" w:line="276" w:lineRule="auto"/>
              <w:jc w:val="center"/>
            </w:pPr>
            <w:r>
              <w:rPr>
                <w:rFonts w:ascii="Times New Roman" w:hAnsi="Times New Roman" w:eastAsia="楷体" w:cs="Times New Roman"/>
                <w:b/>
                <w:color w:val="000000"/>
                <w:sz w:val="21"/>
              </w:rPr>
              <w:t>模型</w:t>
            </w:r>
          </w:p>
        </w:tc>
        <w:tc>
          <w:tcPr>
            <w:tcW w:w="1474" w:type="dxa"/>
            <w:vAlign w:val="center"/>
          </w:tcPr>
          <w:p w14:paraId="3B85624A">
            <w:pPr>
              <w:spacing w:before="0" w:after="0" w:line="276" w:lineRule="auto"/>
              <w:jc w:val="center"/>
            </w:pPr>
            <w:r>
              <w:rPr>
                <w:rFonts w:ascii="Times New Roman" w:hAnsi="Times New Roman" w:eastAsia="楷体" w:cs="Times New Roman"/>
                <w:b/>
                <w:color w:val="000000"/>
                <w:sz w:val="21"/>
              </w:rPr>
              <w:t>Accuracy</w:t>
            </w:r>
          </w:p>
        </w:tc>
        <w:tc>
          <w:tcPr>
            <w:tcW w:w="1474" w:type="dxa"/>
            <w:vAlign w:val="center"/>
          </w:tcPr>
          <w:p w14:paraId="1DED36AC">
            <w:pPr>
              <w:spacing w:before="0" w:after="0" w:line="276" w:lineRule="auto"/>
              <w:jc w:val="center"/>
            </w:pPr>
            <w:r>
              <w:rPr>
                <w:rFonts w:ascii="Times New Roman" w:hAnsi="Times New Roman" w:eastAsia="楷体" w:cs="Times New Roman"/>
                <w:b/>
                <w:color w:val="000000"/>
                <w:sz w:val="21"/>
              </w:rPr>
              <w:t>Macro-P</w:t>
            </w:r>
          </w:p>
        </w:tc>
        <w:tc>
          <w:tcPr>
            <w:tcW w:w="1474" w:type="dxa"/>
            <w:vAlign w:val="center"/>
          </w:tcPr>
          <w:p w14:paraId="621ACF0E">
            <w:pPr>
              <w:spacing w:before="0" w:after="0" w:line="276" w:lineRule="auto"/>
              <w:jc w:val="center"/>
            </w:pPr>
            <w:r>
              <w:rPr>
                <w:rFonts w:ascii="Times New Roman" w:hAnsi="Times New Roman" w:eastAsia="楷体" w:cs="Times New Roman"/>
                <w:b/>
                <w:color w:val="000000"/>
                <w:sz w:val="21"/>
              </w:rPr>
              <w:t>Macro-R</w:t>
            </w:r>
          </w:p>
        </w:tc>
        <w:tc>
          <w:tcPr>
            <w:tcW w:w="1474" w:type="dxa"/>
            <w:vAlign w:val="center"/>
          </w:tcPr>
          <w:p w14:paraId="4AD640EE">
            <w:pPr>
              <w:spacing w:before="0" w:after="0" w:line="276" w:lineRule="auto"/>
              <w:jc w:val="center"/>
            </w:pPr>
            <w:r>
              <w:rPr>
                <w:rFonts w:ascii="Times New Roman" w:hAnsi="Times New Roman" w:eastAsia="楷体" w:cs="Times New Roman"/>
                <w:b/>
                <w:color w:val="000000"/>
                <w:sz w:val="21"/>
              </w:rPr>
              <w:t>Macro-F1</w:t>
            </w:r>
          </w:p>
        </w:tc>
      </w:tr>
      <w:tr w14:paraId="2EA31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75" w:type="dxa"/>
            <w:vAlign w:val="center"/>
          </w:tcPr>
          <w:p w14:paraId="6C779FB5">
            <w:pPr>
              <w:spacing w:before="0" w:after="0" w:line="276" w:lineRule="auto"/>
              <w:jc w:val="left"/>
            </w:pPr>
            <w:r>
              <w:rPr>
                <w:rFonts w:ascii="Times New Roman" w:hAnsi="Times New Roman" w:eastAsia="楷体" w:cs="Times New Roman"/>
                <w:b w:val="0"/>
                <w:color w:val="000000"/>
                <w:sz w:val="21"/>
              </w:rPr>
              <w:t>多数类</w:t>
            </w:r>
          </w:p>
        </w:tc>
        <w:tc>
          <w:tcPr>
            <w:tcW w:w="1474" w:type="dxa"/>
            <w:vAlign w:val="center"/>
          </w:tcPr>
          <w:p w14:paraId="56429949">
            <w:pPr>
              <w:spacing w:before="0" w:after="0" w:line="276" w:lineRule="auto"/>
              <w:jc w:val="center"/>
            </w:pPr>
            <w:r>
              <w:rPr>
                <w:rFonts w:ascii="Times New Roman" w:hAnsi="Times New Roman" w:eastAsia="楷体" w:cs="Times New Roman"/>
                <w:b w:val="0"/>
                <w:color w:val="000000"/>
                <w:sz w:val="21"/>
              </w:rPr>
              <w:t>0.6688</w:t>
            </w:r>
          </w:p>
        </w:tc>
        <w:tc>
          <w:tcPr>
            <w:tcW w:w="1474" w:type="dxa"/>
            <w:vAlign w:val="center"/>
          </w:tcPr>
          <w:p w14:paraId="127EE119">
            <w:pPr>
              <w:spacing w:before="0" w:after="0" w:line="276" w:lineRule="auto"/>
              <w:jc w:val="center"/>
            </w:pPr>
            <w:r>
              <w:rPr>
                <w:rFonts w:ascii="Times New Roman" w:hAnsi="Times New Roman" w:eastAsia="楷体" w:cs="Times New Roman"/>
                <w:b w:val="0"/>
                <w:color w:val="000000"/>
                <w:sz w:val="21"/>
              </w:rPr>
              <w:t>0.2229</w:t>
            </w:r>
          </w:p>
        </w:tc>
        <w:tc>
          <w:tcPr>
            <w:tcW w:w="1474" w:type="dxa"/>
            <w:vAlign w:val="center"/>
          </w:tcPr>
          <w:p w14:paraId="6D11BC17">
            <w:pPr>
              <w:spacing w:before="0" w:after="0" w:line="276" w:lineRule="auto"/>
              <w:jc w:val="center"/>
            </w:pPr>
            <w:r>
              <w:rPr>
                <w:rFonts w:ascii="Times New Roman" w:hAnsi="Times New Roman" w:eastAsia="楷体" w:cs="Times New Roman"/>
                <w:b w:val="0"/>
                <w:color w:val="000000"/>
                <w:sz w:val="21"/>
              </w:rPr>
              <w:t>0.3333</w:t>
            </w:r>
          </w:p>
        </w:tc>
        <w:tc>
          <w:tcPr>
            <w:tcW w:w="1474" w:type="dxa"/>
            <w:vAlign w:val="center"/>
          </w:tcPr>
          <w:p w14:paraId="0080E0D2">
            <w:pPr>
              <w:spacing w:before="0" w:after="0" w:line="276" w:lineRule="auto"/>
              <w:jc w:val="center"/>
            </w:pPr>
            <w:r>
              <w:rPr>
                <w:rFonts w:ascii="Times New Roman" w:hAnsi="Times New Roman" w:eastAsia="楷体" w:cs="Times New Roman"/>
                <w:b w:val="0"/>
                <w:color w:val="000000"/>
                <w:sz w:val="21"/>
              </w:rPr>
              <w:t>0.2672</w:t>
            </w:r>
          </w:p>
        </w:tc>
      </w:tr>
      <w:tr w14:paraId="3DD43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75" w:type="dxa"/>
            <w:vAlign w:val="center"/>
          </w:tcPr>
          <w:p w14:paraId="591B373B">
            <w:pPr>
              <w:spacing w:before="0" w:after="0" w:line="276" w:lineRule="auto"/>
              <w:jc w:val="left"/>
            </w:pPr>
            <w:r>
              <w:rPr>
                <w:rFonts w:ascii="Times New Roman" w:hAnsi="Times New Roman" w:eastAsia="楷体" w:cs="Times New Roman"/>
                <w:b w:val="0"/>
                <w:color w:val="000000"/>
                <w:sz w:val="21"/>
              </w:rPr>
              <w:t>TF-IDF + LR</w:t>
            </w:r>
          </w:p>
        </w:tc>
        <w:tc>
          <w:tcPr>
            <w:tcW w:w="1474" w:type="dxa"/>
            <w:vAlign w:val="center"/>
          </w:tcPr>
          <w:p w14:paraId="39347444">
            <w:pPr>
              <w:spacing w:before="0" w:after="0" w:line="276" w:lineRule="auto"/>
              <w:jc w:val="center"/>
            </w:pPr>
            <w:r>
              <w:rPr>
                <w:rFonts w:ascii="Times New Roman" w:hAnsi="Times New Roman" w:eastAsia="楷体" w:cs="Times New Roman"/>
                <w:b w:val="0"/>
                <w:color w:val="000000"/>
                <w:sz w:val="21"/>
              </w:rPr>
              <w:t>0.5390</w:t>
            </w:r>
          </w:p>
        </w:tc>
        <w:tc>
          <w:tcPr>
            <w:tcW w:w="1474" w:type="dxa"/>
            <w:vAlign w:val="center"/>
          </w:tcPr>
          <w:p w14:paraId="135089E6">
            <w:pPr>
              <w:spacing w:before="0" w:after="0" w:line="276" w:lineRule="auto"/>
              <w:jc w:val="center"/>
            </w:pPr>
            <w:r>
              <w:rPr>
                <w:rFonts w:ascii="Times New Roman" w:hAnsi="Times New Roman" w:eastAsia="楷体" w:cs="Times New Roman"/>
                <w:b w:val="0"/>
                <w:color w:val="000000"/>
                <w:sz w:val="21"/>
              </w:rPr>
              <w:t>0.4327</w:t>
            </w:r>
          </w:p>
        </w:tc>
        <w:tc>
          <w:tcPr>
            <w:tcW w:w="1474" w:type="dxa"/>
            <w:vAlign w:val="center"/>
          </w:tcPr>
          <w:p w14:paraId="27F2C0BF">
            <w:pPr>
              <w:spacing w:before="0" w:after="0" w:line="276" w:lineRule="auto"/>
              <w:jc w:val="center"/>
            </w:pPr>
            <w:r>
              <w:rPr>
                <w:rFonts w:ascii="Times New Roman" w:hAnsi="Times New Roman" w:eastAsia="楷体" w:cs="Times New Roman"/>
                <w:b w:val="0"/>
                <w:color w:val="000000"/>
                <w:sz w:val="21"/>
              </w:rPr>
              <w:t>0.4391</w:t>
            </w:r>
          </w:p>
        </w:tc>
        <w:tc>
          <w:tcPr>
            <w:tcW w:w="1474" w:type="dxa"/>
            <w:vAlign w:val="center"/>
          </w:tcPr>
          <w:p w14:paraId="04178FEE">
            <w:pPr>
              <w:spacing w:before="0" w:after="0" w:line="276" w:lineRule="auto"/>
              <w:jc w:val="center"/>
            </w:pPr>
            <w:r>
              <w:rPr>
                <w:rFonts w:ascii="Times New Roman" w:hAnsi="Times New Roman" w:eastAsia="楷体" w:cs="Times New Roman"/>
                <w:b w:val="0"/>
                <w:color w:val="000000"/>
                <w:sz w:val="21"/>
              </w:rPr>
              <w:t>0.4351</w:t>
            </w:r>
          </w:p>
        </w:tc>
      </w:tr>
      <w:tr w14:paraId="2E2D7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75" w:type="dxa"/>
            <w:vAlign w:val="center"/>
          </w:tcPr>
          <w:p w14:paraId="458C92E4">
            <w:pPr>
              <w:spacing w:before="0" w:after="0" w:line="276" w:lineRule="auto"/>
              <w:jc w:val="left"/>
            </w:pPr>
            <w:r>
              <w:rPr>
                <w:rFonts w:ascii="Times New Roman" w:hAnsi="Times New Roman" w:eastAsia="楷体" w:cs="Times New Roman"/>
                <w:b w:val="0"/>
                <w:color w:val="000000"/>
                <w:sz w:val="21"/>
              </w:rPr>
              <w:t>MiniLM + LR</w:t>
            </w:r>
          </w:p>
        </w:tc>
        <w:tc>
          <w:tcPr>
            <w:tcW w:w="1474" w:type="dxa"/>
            <w:vAlign w:val="center"/>
          </w:tcPr>
          <w:p w14:paraId="4A6E37BE">
            <w:pPr>
              <w:spacing w:before="0" w:after="0" w:line="276" w:lineRule="auto"/>
              <w:jc w:val="center"/>
            </w:pPr>
            <w:r>
              <w:rPr>
                <w:rFonts w:ascii="Times New Roman" w:hAnsi="Times New Roman" w:eastAsia="楷体" w:cs="Times New Roman"/>
                <w:b w:val="0"/>
                <w:color w:val="000000"/>
                <w:sz w:val="21"/>
              </w:rPr>
              <w:t>0.5812</w:t>
            </w:r>
          </w:p>
        </w:tc>
        <w:tc>
          <w:tcPr>
            <w:tcW w:w="1474" w:type="dxa"/>
            <w:vAlign w:val="center"/>
          </w:tcPr>
          <w:p w14:paraId="7FA336E8">
            <w:pPr>
              <w:spacing w:before="0" w:after="0" w:line="276" w:lineRule="auto"/>
              <w:jc w:val="center"/>
            </w:pPr>
            <w:r>
              <w:rPr>
                <w:rFonts w:ascii="Times New Roman" w:hAnsi="Times New Roman" w:eastAsia="楷体" w:cs="Times New Roman"/>
                <w:b w:val="0"/>
                <w:color w:val="000000"/>
                <w:sz w:val="21"/>
              </w:rPr>
              <w:t>0.4755</w:t>
            </w:r>
          </w:p>
        </w:tc>
        <w:tc>
          <w:tcPr>
            <w:tcW w:w="1474" w:type="dxa"/>
            <w:vAlign w:val="center"/>
          </w:tcPr>
          <w:p w14:paraId="7CF3A0E7">
            <w:pPr>
              <w:spacing w:before="0" w:after="0" w:line="276" w:lineRule="auto"/>
              <w:jc w:val="center"/>
            </w:pPr>
            <w:r>
              <w:rPr>
                <w:rFonts w:ascii="Times New Roman" w:hAnsi="Times New Roman" w:eastAsia="楷体" w:cs="Times New Roman"/>
                <w:b w:val="0"/>
                <w:color w:val="000000"/>
                <w:sz w:val="21"/>
              </w:rPr>
              <w:t>0.5353</w:t>
            </w:r>
          </w:p>
        </w:tc>
        <w:tc>
          <w:tcPr>
            <w:tcW w:w="1474" w:type="dxa"/>
            <w:vAlign w:val="center"/>
          </w:tcPr>
          <w:p w14:paraId="0FF6E78C">
            <w:pPr>
              <w:spacing w:before="0" w:after="0" w:line="276" w:lineRule="auto"/>
              <w:jc w:val="center"/>
            </w:pPr>
            <w:r>
              <w:rPr>
                <w:rFonts w:ascii="Times New Roman" w:hAnsi="Times New Roman" w:eastAsia="楷体" w:cs="Times New Roman"/>
                <w:b w:val="0"/>
                <w:color w:val="000000"/>
                <w:sz w:val="21"/>
              </w:rPr>
              <w:t>0.4855</w:t>
            </w:r>
          </w:p>
        </w:tc>
      </w:tr>
    </w:tbl>
    <w:p w14:paraId="725CBD47">
      <w:pPr>
        <w:pStyle w:val="9"/>
        <w:widowControl/>
        <w:spacing w:before="0" w:after="60" w:line="360" w:lineRule="auto"/>
        <w:ind w:firstLine="480"/>
      </w:pPr>
      <w:r>
        <w:rPr>
          <w:rFonts w:ascii="Times New Roman" w:hAnsi="Times New Roman" w:eastAsia="楷体" w:cs="Times New Roman"/>
          <w:b w:val="0"/>
          <w:color w:val="000000"/>
          <w:sz w:val="24"/>
        </w:rPr>
        <w:t>研究问题一的结果是，MiniLM 模型的 Macro-F1 为 0.4855，比 TF-IDF 的 0.4351 提高 0.0504；准确率从 0.5390 提高至 0.5812。多数类策略准确率最高，但 Macro-F1 最低，仅为 0.2672。这说明模型选择必须兼顾少数类别，不能将多数类准确率当作最有效的清晰度检测结果。</w:t>
      </w:r>
    </w:p>
    <w:p w14:paraId="4C6272AF">
      <w:pPr>
        <w:pStyle w:val="9"/>
        <w:widowControl/>
        <w:spacing w:before="0" w:after="60" w:line="360" w:lineRule="auto"/>
        <w:ind w:firstLine="480"/>
      </w:pPr>
      <w:r>
        <w:rPr>
          <w:rFonts w:ascii="Times New Roman" w:hAnsi="Times New Roman" w:eastAsia="楷体" w:cs="Times New Roman"/>
          <w:b w:val="0"/>
          <w:color w:val="000000"/>
          <w:sz w:val="24"/>
        </w:rPr>
        <w:t>原实验固定验证集上，TF-IDF 的 unigram 无权重、unigram balanced、unigram+bigram 无权重、unigram+bigram balanced 的 Macro-F1 分别为 0.5084、0.5646、0.5115、0.5912。加入权重带来的变化大于加入 bigram 的变化，但这些数字仅用于验证集选型，不能与官方测试结果混列为同一评估。</w:t>
      </w:r>
    </w:p>
    <w:p w14:paraId="4A864297">
      <w:pPr>
        <w:pStyle w:val="9"/>
        <w:keepNext/>
        <w:widowControl/>
        <w:spacing w:before="100" w:after="60" w:line="360" w:lineRule="auto"/>
        <w:ind w:firstLine="0"/>
      </w:pPr>
      <w:r>
        <w:rPr>
          <w:rFonts w:ascii="Times New Roman" w:hAnsi="Times New Roman" w:eastAsia="楷体" w:cs="Times New Roman"/>
          <w:b/>
          <w:color w:val="000000"/>
          <w:sz w:val="24"/>
        </w:rPr>
        <w:t>4.3 类别级指标与混淆方向</w:t>
      </w:r>
    </w:p>
    <w:p w14:paraId="46801CB6">
      <w:pPr>
        <w:pStyle w:val="9"/>
        <w:keepNext/>
        <w:widowControl/>
        <w:spacing w:before="0" w:after="60" w:line="360" w:lineRule="auto"/>
        <w:ind w:firstLine="0"/>
        <w:jc w:val="center"/>
      </w:pPr>
      <w:r>
        <w:rPr>
          <w:rFonts w:ascii="Times New Roman" w:hAnsi="Times New Roman" w:eastAsia="楷体" w:cs="Times New Roman"/>
          <w:b w:val="0"/>
          <w:color w:val="000000"/>
          <w:sz w:val="21"/>
        </w:rPr>
        <w:t>表7 三种基线的类别级指标</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1134"/>
        <w:gridCol w:w="2835"/>
        <w:gridCol w:w="794"/>
        <w:gridCol w:w="1417"/>
        <w:gridCol w:w="1417"/>
        <w:gridCol w:w="1474"/>
      </w:tblGrid>
      <w:tr w14:paraId="34983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1134" w:type="dxa"/>
            <w:vAlign w:val="center"/>
          </w:tcPr>
          <w:p w14:paraId="3A71ED1F">
            <w:pPr>
              <w:spacing w:before="0" w:after="0" w:line="276" w:lineRule="auto"/>
              <w:jc w:val="center"/>
            </w:pPr>
            <w:r>
              <w:rPr>
                <w:rFonts w:ascii="Times New Roman" w:hAnsi="Times New Roman" w:eastAsia="楷体" w:cs="Times New Roman"/>
                <w:b/>
                <w:color w:val="000000"/>
                <w:sz w:val="21"/>
              </w:rPr>
              <w:t>模型</w:t>
            </w:r>
          </w:p>
        </w:tc>
        <w:tc>
          <w:tcPr>
            <w:tcW w:w="2835" w:type="dxa"/>
            <w:vAlign w:val="center"/>
          </w:tcPr>
          <w:p w14:paraId="54234BC7">
            <w:pPr>
              <w:spacing w:before="0" w:after="0" w:line="276" w:lineRule="auto"/>
              <w:jc w:val="center"/>
            </w:pPr>
            <w:r>
              <w:rPr>
                <w:rFonts w:ascii="Times New Roman" w:hAnsi="Times New Roman" w:eastAsia="楷体" w:cs="Times New Roman"/>
                <w:b/>
                <w:color w:val="000000"/>
                <w:sz w:val="21"/>
              </w:rPr>
              <w:t>类别</w:t>
            </w:r>
          </w:p>
        </w:tc>
        <w:tc>
          <w:tcPr>
            <w:tcW w:w="794" w:type="dxa"/>
            <w:vAlign w:val="center"/>
          </w:tcPr>
          <w:p w14:paraId="5793AFF7">
            <w:pPr>
              <w:spacing w:before="0" w:after="0" w:line="276" w:lineRule="auto"/>
              <w:jc w:val="center"/>
            </w:pPr>
            <w:r>
              <w:rPr>
                <w:rFonts w:ascii="Times New Roman" w:hAnsi="Times New Roman" w:eastAsia="楷体" w:cs="Times New Roman"/>
                <w:b/>
                <w:color w:val="000000"/>
                <w:sz w:val="21"/>
              </w:rPr>
              <w:t>数量</w:t>
            </w:r>
          </w:p>
        </w:tc>
        <w:tc>
          <w:tcPr>
            <w:tcW w:w="1417" w:type="dxa"/>
            <w:vAlign w:val="center"/>
          </w:tcPr>
          <w:p w14:paraId="5638FDF2">
            <w:pPr>
              <w:spacing w:before="0" w:after="0" w:line="276" w:lineRule="auto"/>
              <w:jc w:val="center"/>
            </w:pPr>
            <w:r>
              <w:rPr>
                <w:rFonts w:ascii="Times New Roman" w:hAnsi="Times New Roman" w:eastAsia="楷体" w:cs="Times New Roman"/>
                <w:b/>
                <w:color w:val="000000"/>
                <w:sz w:val="21"/>
              </w:rPr>
              <w:t>P</w:t>
            </w:r>
          </w:p>
        </w:tc>
        <w:tc>
          <w:tcPr>
            <w:tcW w:w="1417" w:type="dxa"/>
            <w:vAlign w:val="center"/>
          </w:tcPr>
          <w:p w14:paraId="4D2FDF11">
            <w:pPr>
              <w:spacing w:before="0" w:after="0" w:line="276" w:lineRule="auto"/>
              <w:jc w:val="center"/>
            </w:pPr>
            <w:r>
              <w:rPr>
                <w:rFonts w:ascii="Times New Roman" w:hAnsi="Times New Roman" w:eastAsia="楷体" w:cs="Times New Roman"/>
                <w:b/>
                <w:color w:val="000000"/>
                <w:sz w:val="21"/>
              </w:rPr>
              <w:t>R</w:t>
            </w:r>
          </w:p>
        </w:tc>
        <w:tc>
          <w:tcPr>
            <w:tcW w:w="1474" w:type="dxa"/>
            <w:vAlign w:val="center"/>
          </w:tcPr>
          <w:p w14:paraId="103C2FB5">
            <w:pPr>
              <w:spacing w:before="0" w:after="0" w:line="276" w:lineRule="auto"/>
              <w:jc w:val="center"/>
            </w:pPr>
            <w:r>
              <w:rPr>
                <w:rFonts w:ascii="Times New Roman" w:hAnsi="Times New Roman" w:eastAsia="楷体" w:cs="Times New Roman"/>
                <w:b/>
                <w:color w:val="000000"/>
                <w:sz w:val="21"/>
              </w:rPr>
              <w:t>F1</w:t>
            </w:r>
          </w:p>
        </w:tc>
      </w:tr>
      <w:tr w14:paraId="0CA95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64C8C0CC">
            <w:pPr>
              <w:spacing w:before="0" w:after="0" w:line="276" w:lineRule="auto"/>
              <w:jc w:val="left"/>
            </w:pPr>
            <w:r>
              <w:rPr>
                <w:rFonts w:ascii="Times New Roman" w:hAnsi="Times New Roman" w:eastAsia="楷体" w:cs="Times New Roman"/>
                <w:b w:val="0"/>
                <w:color w:val="000000"/>
                <w:sz w:val="21"/>
              </w:rPr>
              <w:t>多数类</w:t>
            </w:r>
          </w:p>
        </w:tc>
        <w:tc>
          <w:tcPr>
            <w:tcW w:w="2835" w:type="dxa"/>
            <w:vAlign w:val="center"/>
          </w:tcPr>
          <w:p w14:paraId="005A6AE7">
            <w:pPr>
              <w:spacing w:before="0" w:after="0" w:line="276" w:lineRule="auto"/>
              <w:jc w:val="center"/>
            </w:pPr>
            <w:r>
              <w:rPr>
                <w:rFonts w:ascii="Times New Roman" w:hAnsi="Times New Roman" w:eastAsia="楷体" w:cs="Times New Roman"/>
                <w:b w:val="0"/>
                <w:color w:val="000000"/>
                <w:sz w:val="21"/>
              </w:rPr>
              <w:t>Clear Reply</w:t>
            </w:r>
          </w:p>
        </w:tc>
        <w:tc>
          <w:tcPr>
            <w:tcW w:w="794" w:type="dxa"/>
            <w:vAlign w:val="center"/>
          </w:tcPr>
          <w:p w14:paraId="6CFBA2A8">
            <w:pPr>
              <w:spacing w:before="0" w:after="0" w:line="276" w:lineRule="auto"/>
              <w:jc w:val="center"/>
            </w:pPr>
            <w:r>
              <w:rPr>
                <w:rFonts w:ascii="Times New Roman" w:hAnsi="Times New Roman" w:eastAsia="楷体" w:cs="Times New Roman"/>
                <w:b w:val="0"/>
                <w:color w:val="000000"/>
                <w:sz w:val="21"/>
              </w:rPr>
              <w:t>79</w:t>
            </w:r>
          </w:p>
        </w:tc>
        <w:tc>
          <w:tcPr>
            <w:tcW w:w="1417" w:type="dxa"/>
            <w:vAlign w:val="center"/>
          </w:tcPr>
          <w:p w14:paraId="64867DD8">
            <w:pPr>
              <w:spacing w:before="0" w:after="0" w:line="276" w:lineRule="auto"/>
              <w:jc w:val="center"/>
            </w:pPr>
            <w:r>
              <w:rPr>
                <w:rFonts w:ascii="Times New Roman" w:hAnsi="Times New Roman" w:eastAsia="楷体" w:cs="Times New Roman"/>
                <w:b w:val="0"/>
                <w:color w:val="000000"/>
                <w:sz w:val="21"/>
              </w:rPr>
              <w:t>0.0000</w:t>
            </w:r>
          </w:p>
        </w:tc>
        <w:tc>
          <w:tcPr>
            <w:tcW w:w="1417" w:type="dxa"/>
            <w:vAlign w:val="center"/>
          </w:tcPr>
          <w:p w14:paraId="4E81000D">
            <w:pPr>
              <w:spacing w:before="0" w:after="0" w:line="276" w:lineRule="auto"/>
              <w:jc w:val="center"/>
            </w:pPr>
            <w:r>
              <w:rPr>
                <w:rFonts w:ascii="Times New Roman" w:hAnsi="Times New Roman" w:eastAsia="楷体" w:cs="Times New Roman"/>
                <w:b w:val="0"/>
                <w:color w:val="000000"/>
                <w:sz w:val="21"/>
              </w:rPr>
              <w:t>0.0000</w:t>
            </w:r>
          </w:p>
        </w:tc>
        <w:tc>
          <w:tcPr>
            <w:tcW w:w="1474" w:type="dxa"/>
            <w:vAlign w:val="center"/>
          </w:tcPr>
          <w:p w14:paraId="71349115">
            <w:pPr>
              <w:spacing w:before="0" w:after="0" w:line="276" w:lineRule="auto"/>
              <w:jc w:val="center"/>
            </w:pPr>
            <w:r>
              <w:rPr>
                <w:rFonts w:ascii="Times New Roman" w:hAnsi="Times New Roman" w:eastAsia="楷体" w:cs="Times New Roman"/>
                <w:b w:val="0"/>
                <w:color w:val="000000"/>
                <w:sz w:val="21"/>
              </w:rPr>
              <w:t>0.0000</w:t>
            </w:r>
          </w:p>
        </w:tc>
      </w:tr>
      <w:tr w14:paraId="5AD05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2BE69806">
            <w:pPr>
              <w:spacing w:before="0" w:after="0" w:line="276" w:lineRule="auto"/>
              <w:jc w:val="left"/>
            </w:pPr>
            <w:r>
              <w:rPr>
                <w:rFonts w:ascii="Times New Roman" w:hAnsi="Times New Roman" w:eastAsia="楷体" w:cs="Times New Roman"/>
                <w:b w:val="0"/>
                <w:color w:val="000000"/>
                <w:sz w:val="21"/>
              </w:rPr>
              <w:t>多数类</w:t>
            </w:r>
          </w:p>
        </w:tc>
        <w:tc>
          <w:tcPr>
            <w:tcW w:w="2835" w:type="dxa"/>
            <w:vAlign w:val="center"/>
          </w:tcPr>
          <w:p w14:paraId="5B21277A">
            <w:pPr>
              <w:spacing w:before="0" w:after="0" w:line="276" w:lineRule="auto"/>
              <w:jc w:val="center"/>
            </w:pPr>
            <w:r>
              <w:rPr>
                <w:rFonts w:ascii="Times New Roman" w:hAnsi="Times New Roman" w:eastAsia="楷体" w:cs="Times New Roman"/>
                <w:b w:val="0"/>
                <w:color w:val="000000"/>
                <w:sz w:val="21"/>
              </w:rPr>
              <w:t>Ambivalent Reply</w:t>
            </w:r>
          </w:p>
        </w:tc>
        <w:tc>
          <w:tcPr>
            <w:tcW w:w="794" w:type="dxa"/>
            <w:vAlign w:val="center"/>
          </w:tcPr>
          <w:p w14:paraId="03FF0B46">
            <w:pPr>
              <w:spacing w:before="0" w:after="0" w:line="276" w:lineRule="auto"/>
              <w:jc w:val="center"/>
            </w:pPr>
            <w:r>
              <w:rPr>
                <w:rFonts w:ascii="Times New Roman" w:hAnsi="Times New Roman" w:eastAsia="楷体" w:cs="Times New Roman"/>
                <w:b w:val="0"/>
                <w:color w:val="000000"/>
                <w:sz w:val="21"/>
              </w:rPr>
              <w:t>206</w:t>
            </w:r>
          </w:p>
        </w:tc>
        <w:tc>
          <w:tcPr>
            <w:tcW w:w="1417" w:type="dxa"/>
            <w:vAlign w:val="center"/>
          </w:tcPr>
          <w:p w14:paraId="58C0CE9A">
            <w:pPr>
              <w:spacing w:before="0" w:after="0" w:line="276" w:lineRule="auto"/>
              <w:jc w:val="center"/>
            </w:pPr>
            <w:r>
              <w:rPr>
                <w:rFonts w:ascii="Times New Roman" w:hAnsi="Times New Roman" w:eastAsia="楷体" w:cs="Times New Roman"/>
                <w:b w:val="0"/>
                <w:color w:val="000000"/>
                <w:sz w:val="21"/>
              </w:rPr>
              <w:t>0.6688</w:t>
            </w:r>
          </w:p>
        </w:tc>
        <w:tc>
          <w:tcPr>
            <w:tcW w:w="1417" w:type="dxa"/>
            <w:vAlign w:val="center"/>
          </w:tcPr>
          <w:p w14:paraId="28B5D5D5">
            <w:pPr>
              <w:spacing w:before="0" w:after="0" w:line="276" w:lineRule="auto"/>
              <w:jc w:val="center"/>
            </w:pPr>
            <w:r>
              <w:rPr>
                <w:rFonts w:ascii="Times New Roman" w:hAnsi="Times New Roman" w:eastAsia="楷体" w:cs="Times New Roman"/>
                <w:b w:val="0"/>
                <w:color w:val="000000"/>
                <w:sz w:val="21"/>
              </w:rPr>
              <w:t>1.0000</w:t>
            </w:r>
          </w:p>
        </w:tc>
        <w:tc>
          <w:tcPr>
            <w:tcW w:w="1474" w:type="dxa"/>
            <w:vAlign w:val="center"/>
          </w:tcPr>
          <w:p w14:paraId="72F7A94A">
            <w:pPr>
              <w:spacing w:before="0" w:after="0" w:line="276" w:lineRule="auto"/>
              <w:jc w:val="center"/>
            </w:pPr>
            <w:r>
              <w:rPr>
                <w:rFonts w:ascii="Times New Roman" w:hAnsi="Times New Roman" w:eastAsia="楷体" w:cs="Times New Roman"/>
                <w:b w:val="0"/>
                <w:color w:val="000000"/>
                <w:sz w:val="21"/>
              </w:rPr>
              <w:t>0.8016</w:t>
            </w:r>
          </w:p>
        </w:tc>
      </w:tr>
      <w:tr w14:paraId="33EA9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6CE10788">
            <w:pPr>
              <w:spacing w:before="0" w:after="0" w:line="276" w:lineRule="auto"/>
              <w:jc w:val="left"/>
            </w:pPr>
            <w:r>
              <w:rPr>
                <w:rFonts w:ascii="Times New Roman" w:hAnsi="Times New Roman" w:eastAsia="楷体" w:cs="Times New Roman"/>
                <w:b w:val="0"/>
                <w:color w:val="000000"/>
                <w:sz w:val="21"/>
              </w:rPr>
              <w:t>多数类</w:t>
            </w:r>
          </w:p>
        </w:tc>
        <w:tc>
          <w:tcPr>
            <w:tcW w:w="2835" w:type="dxa"/>
            <w:vAlign w:val="center"/>
          </w:tcPr>
          <w:p w14:paraId="543885FC">
            <w:pPr>
              <w:spacing w:before="0" w:after="0" w:line="276" w:lineRule="auto"/>
              <w:jc w:val="center"/>
            </w:pPr>
            <w:r>
              <w:rPr>
                <w:rFonts w:ascii="Times New Roman" w:hAnsi="Times New Roman" w:eastAsia="楷体" w:cs="Times New Roman"/>
                <w:b w:val="0"/>
                <w:color w:val="000000"/>
                <w:sz w:val="21"/>
              </w:rPr>
              <w:t>Clear Non-Reply</w:t>
            </w:r>
          </w:p>
        </w:tc>
        <w:tc>
          <w:tcPr>
            <w:tcW w:w="794" w:type="dxa"/>
            <w:vAlign w:val="center"/>
          </w:tcPr>
          <w:p w14:paraId="749930FE">
            <w:pPr>
              <w:spacing w:before="0" w:after="0" w:line="276" w:lineRule="auto"/>
              <w:jc w:val="center"/>
            </w:pPr>
            <w:r>
              <w:rPr>
                <w:rFonts w:ascii="Times New Roman" w:hAnsi="Times New Roman" w:eastAsia="楷体" w:cs="Times New Roman"/>
                <w:b w:val="0"/>
                <w:color w:val="000000"/>
                <w:sz w:val="21"/>
              </w:rPr>
              <w:t>23</w:t>
            </w:r>
          </w:p>
        </w:tc>
        <w:tc>
          <w:tcPr>
            <w:tcW w:w="1417" w:type="dxa"/>
            <w:vAlign w:val="center"/>
          </w:tcPr>
          <w:p w14:paraId="1168918B">
            <w:pPr>
              <w:spacing w:before="0" w:after="0" w:line="276" w:lineRule="auto"/>
              <w:jc w:val="center"/>
            </w:pPr>
            <w:r>
              <w:rPr>
                <w:rFonts w:ascii="Times New Roman" w:hAnsi="Times New Roman" w:eastAsia="楷体" w:cs="Times New Roman"/>
                <w:b w:val="0"/>
                <w:color w:val="000000"/>
                <w:sz w:val="21"/>
              </w:rPr>
              <w:t>0.0000</w:t>
            </w:r>
          </w:p>
        </w:tc>
        <w:tc>
          <w:tcPr>
            <w:tcW w:w="1417" w:type="dxa"/>
            <w:vAlign w:val="center"/>
          </w:tcPr>
          <w:p w14:paraId="5FE00E90">
            <w:pPr>
              <w:spacing w:before="0" w:after="0" w:line="276" w:lineRule="auto"/>
              <w:jc w:val="center"/>
            </w:pPr>
            <w:r>
              <w:rPr>
                <w:rFonts w:ascii="Times New Roman" w:hAnsi="Times New Roman" w:eastAsia="楷体" w:cs="Times New Roman"/>
                <w:b w:val="0"/>
                <w:color w:val="000000"/>
                <w:sz w:val="21"/>
              </w:rPr>
              <w:t>0.0000</w:t>
            </w:r>
          </w:p>
        </w:tc>
        <w:tc>
          <w:tcPr>
            <w:tcW w:w="1474" w:type="dxa"/>
            <w:vAlign w:val="center"/>
          </w:tcPr>
          <w:p w14:paraId="293E04B3">
            <w:pPr>
              <w:spacing w:before="0" w:after="0" w:line="276" w:lineRule="auto"/>
              <w:jc w:val="center"/>
            </w:pPr>
            <w:r>
              <w:rPr>
                <w:rFonts w:ascii="Times New Roman" w:hAnsi="Times New Roman" w:eastAsia="楷体" w:cs="Times New Roman"/>
                <w:b w:val="0"/>
                <w:color w:val="000000"/>
                <w:sz w:val="21"/>
              </w:rPr>
              <w:t>0.0000</w:t>
            </w:r>
          </w:p>
        </w:tc>
      </w:tr>
      <w:tr w14:paraId="2AAFD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36922E56">
            <w:pPr>
              <w:spacing w:before="0" w:after="0" w:line="276" w:lineRule="auto"/>
              <w:jc w:val="left"/>
            </w:pPr>
            <w:r>
              <w:rPr>
                <w:rFonts w:ascii="Times New Roman" w:hAnsi="Times New Roman" w:eastAsia="楷体" w:cs="Times New Roman"/>
                <w:b w:val="0"/>
                <w:color w:val="000000"/>
                <w:sz w:val="21"/>
              </w:rPr>
              <w:t>TF-IDF</w:t>
            </w:r>
          </w:p>
        </w:tc>
        <w:tc>
          <w:tcPr>
            <w:tcW w:w="2835" w:type="dxa"/>
            <w:vAlign w:val="center"/>
          </w:tcPr>
          <w:p w14:paraId="46D76ABC">
            <w:pPr>
              <w:spacing w:before="0" w:after="0" w:line="276" w:lineRule="auto"/>
              <w:jc w:val="center"/>
            </w:pPr>
            <w:r>
              <w:rPr>
                <w:rFonts w:ascii="Times New Roman" w:hAnsi="Times New Roman" w:eastAsia="楷体" w:cs="Times New Roman"/>
                <w:b w:val="0"/>
                <w:color w:val="000000"/>
                <w:sz w:val="21"/>
              </w:rPr>
              <w:t>Clear Reply</w:t>
            </w:r>
          </w:p>
        </w:tc>
        <w:tc>
          <w:tcPr>
            <w:tcW w:w="794" w:type="dxa"/>
            <w:vAlign w:val="center"/>
          </w:tcPr>
          <w:p w14:paraId="125B8D87">
            <w:pPr>
              <w:spacing w:before="0" w:after="0" w:line="276" w:lineRule="auto"/>
              <w:jc w:val="center"/>
            </w:pPr>
            <w:r>
              <w:rPr>
                <w:rFonts w:ascii="Times New Roman" w:hAnsi="Times New Roman" w:eastAsia="楷体" w:cs="Times New Roman"/>
                <w:b w:val="0"/>
                <w:color w:val="000000"/>
                <w:sz w:val="21"/>
              </w:rPr>
              <w:t>79</w:t>
            </w:r>
          </w:p>
        </w:tc>
        <w:tc>
          <w:tcPr>
            <w:tcW w:w="1417" w:type="dxa"/>
            <w:vAlign w:val="center"/>
          </w:tcPr>
          <w:p w14:paraId="255CB06F">
            <w:pPr>
              <w:spacing w:before="0" w:after="0" w:line="276" w:lineRule="auto"/>
              <w:jc w:val="center"/>
            </w:pPr>
            <w:r>
              <w:rPr>
                <w:rFonts w:ascii="Times New Roman" w:hAnsi="Times New Roman" w:eastAsia="楷体" w:cs="Times New Roman"/>
                <w:b w:val="0"/>
                <w:color w:val="000000"/>
                <w:sz w:val="21"/>
              </w:rPr>
              <w:t>0.2333</w:t>
            </w:r>
          </w:p>
        </w:tc>
        <w:tc>
          <w:tcPr>
            <w:tcW w:w="1417" w:type="dxa"/>
            <w:vAlign w:val="center"/>
          </w:tcPr>
          <w:p w14:paraId="32380E8D">
            <w:pPr>
              <w:spacing w:before="0" w:after="0" w:line="276" w:lineRule="auto"/>
              <w:jc w:val="center"/>
            </w:pPr>
            <w:r>
              <w:rPr>
                <w:rFonts w:ascii="Times New Roman" w:hAnsi="Times New Roman" w:eastAsia="楷体" w:cs="Times New Roman"/>
                <w:b w:val="0"/>
                <w:color w:val="000000"/>
                <w:sz w:val="21"/>
              </w:rPr>
              <w:t>0.2658</w:t>
            </w:r>
          </w:p>
        </w:tc>
        <w:tc>
          <w:tcPr>
            <w:tcW w:w="1474" w:type="dxa"/>
            <w:vAlign w:val="center"/>
          </w:tcPr>
          <w:p w14:paraId="0CB569BC">
            <w:pPr>
              <w:spacing w:before="0" w:after="0" w:line="276" w:lineRule="auto"/>
              <w:jc w:val="center"/>
            </w:pPr>
            <w:r>
              <w:rPr>
                <w:rFonts w:ascii="Times New Roman" w:hAnsi="Times New Roman" w:eastAsia="楷体" w:cs="Times New Roman"/>
                <w:b w:val="0"/>
                <w:color w:val="000000"/>
                <w:sz w:val="21"/>
              </w:rPr>
              <w:t>0.2485</w:t>
            </w:r>
          </w:p>
        </w:tc>
      </w:tr>
      <w:tr w14:paraId="30703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1E8CE459">
            <w:pPr>
              <w:spacing w:before="0" w:after="0" w:line="276" w:lineRule="auto"/>
              <w:jc w:val="left"/>
            </w:pPr>
            <w:r>
              <w:rPr>
                <w:rFonts w:ascii="Times New Roman" w:hAnsi="Times New Roman" w:eastAsia="楷体" w:cs="Times New Roman"/>
                <w:b w:val="0"/>
                <w:color w:val="000000"/>
                <w:sz w:val="21"/>
              </w:rPr>
              <w:t>TF-IDF</w:t>
            </w:r>
          </w:p>
        </w:tc>
        <w:tc>
          <w:tcPr>
            <w:tcW w:w="2835" w:type="dxa"/>
            <w:vAlign w:val="center"/>
          </w:tcPr>
          <w:p w14:paraId="1B009AC8">
            <w:pPr>
              <w:spacing w:before="0" w:after="0" w:line="276" w:lineRule="auto"/>
              <w:jc w:val="center"/>
            </w:pPr>
            <w:r>
              <w:rPr>
                <w:rFonts w:ascii="Times New Roman" w:hAnsi="Times New Roman" w:eastAsia="楷体" w:cs="Times New Roman"/>
                <w:b w:val="0"/>
                <w:color w:val="000000"/>
                <w:sz w:val="21"/>
              </w:rPr>
              <w:t>Ambivalent Reply</w:t>
            </w:r>
          </w:p>
        </w:tc>
        <w:tc>
          <w:tcPr>
            <w:tcW w:w="794" w:type="dxa"/>
            <w:vAlign w:val="center"/>
          </w:tcPr>
          <w:p w14:paraId="0A7361FA">
            <w:pPr>
              <w:spacing w:before="0" w:after="0" w:line="276" w:lineRule="auto"/>
              <w:jc w:val="center"/>
            </w:pPr>
            <w:r>
              <w:rPr>
                <w:rFonts w:ascii="Times New Roman" w:hAnsi="Times New Roman" w:eastAsia="楷体" w:cs="Times New Roman"/>
                <w:b w:val="0"/>
                <w:color w:val="000000"/>
                <w:sz w:val="21"/>
              </w:rPr>
              <w:t>206</w:t>
            </w:r>
          </w:p>
        </w:tc>
        <w:tc>
          <w:tcPr>
            <w:tcW w:w="1417" w:type="dxa"/>
            <w:vAlign w:val="center"/>
          </w:tcPr>
          <w:p w14:paraId="6F8852B5">
            <w:pPr>
              <w:spacing w:before="0" w:after="0" w:line="276" w:lineRule="auto"/>
              <w:jc w:val="center"/>
            </w:pPr>
            <w:r>
              <w:rPr>
                <w:rFonts w:ascii="Times New Roman" w:hAnsi="Times New Roman" w:eastAsia="楷体" w:cs="Times New Roman"/>
                <w:b w:val="0"/>
                <w:color w:val="000000"/>
                <w:sz w:val="21"/>
              </w:rPr>
              <w:t>0.7047</w:t>
            </w:r>
          </w:p>
        </w:tc>
        <w:tc>
          <w:tcPr>
            <w:tcW w:w="1417" w:type="dxa"/>
            <w:vAlign w:val="center"/>
          </w:tcPr>
          <w:p w14:paraId="61013FAA">
            <w:pPr>
              <w:spacing w:before="0" w:after="0" w:line="276" w:lineRule="auto"/>
              <w:jc w:val="center"/>
            </w:pPr>
            <w:r>
              <w:rPr>
                <w:rFonts w:ascii="Times New Roman" w:hAnsi="Times New Roman" w:eastAsia="楷体" w:cs="Times New Roman"/>
                <w:b w:val="0"/>
                <w:color w:val="000000"/>
                <w:sz w:val="21"/>
              </w:rPr>
              <w:t>0.6602</w:t>
            </w:r>
          </w:p>
        </w:tc>
        <w:tc>
          <w:tcPr>
            <w:tcW w:w="1474" w:type="dxa"/>
            <w:vAlign w:val="center"/>
          </w:tcPr>
          <w:p w14:paraId="412C259E">
            <w:pPr>
              <w:spacing w:before="0" w:after="0" w:line="276" w:lineRule="auto"/>
              <w:jc w:val="center"/>
            </w:pPr>
            <w:r>
              <w:rPr>
                <w:rFonts w:ascii="Times New Roman" w:hAnsi="Times New Roman" w:eastAsia="楷体" w:cs="Times New Roman"/>
                <w:b w:val="0"/>
                <w:color w:val="000000"/>
                <w:sz w:val="21"/>
              </w:rPr>
              <w:t>0.6817</w:t>
            </w:r>
          </w:p>
        </w:tc>
      </w:tr>
      <w:tr w14:paraId="4BCEF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38AEE1AE">
            <w:pPr>
              <w:spacing w:before="0" w:after="0" w:line="276" w:lineRule="auto"/>
              <w:jc w:val="left"/>
            </w:pPr>
            <w:r>
              <w:rPr>
                <w:rFonts w:ascii="Times New Roman" w:hAnsi="Times New Roman" w:eastAsia="楷体" w:cs="Times New Roman"/>
                <w:b w:val="0"/>
                <w:color w:val="000000"/>
                <w:sz w:val="21"/>
              </w:rPr>
              <w:t>TF-IDF</w:t>
            </w:r>
          </w:p>
        </w:tc>
        <w:tc>
          <w:tcPr>
            <w:tcW w:w="2835" w:type="dxa"/>
            <w:vAlign w:val="center"/>
          </w:tcPr>
          <w:p w14:paraId="138A94E0">
            <w:pPr>
              <w:spacing w:before="0" w:after="0" w:line="276" w:lineRule="auto"/>
              <w:jc w:val="center"/>
            </w:pPr>
            <w:r>
              <w:rPr>
                <w:rFonts w:ascii="Times New Roman" w:hAnsi="Times New Roman" w:eastAsia="楷体" w:cs="Times New Roman"/>
                <w:b w:val="0"/>
                <w:color w:val="000000"/>
                <w:sz w:val="21"/>
              </w:rPr>
              <w:t>Clear Non-Reply</w:t>
            </w:r>
          </w:p>
        </w:tc>
        <w:tc>
          <w:tcPr>
            <w:tcW w:w="794" w:type="dxa"/>
            <w:vAlign w:val="center"/>
          </w:tcPr>
          <w:p w14:paraId="1BE955F2">
            <w:pPr>
              <w:spacing w:before="0" w:after="0" w:line="276" w:lineRule="auto"/>
              <w:jc w:val="center"/>
            </w:pPr>
            <w:r>
              <w:rPr>
                <w:rFonts w:ascii="Times New Roman" w:hAnsi="Times New Roman" w:eastAsia="楷体" w:cs="Times New Roman"/>
                <w:b w:val="0"/>
                <w:color w:val="000000"/>
                <w:sz w:val="21"/>
              </w:rPr>
              <w:t>23</w:t>
            </w:r>
          </w:p>
        </w:tc>
        <w:tc>
          <w:tcPr>
            <w:tcW w:w="1417" w:type="dxa"/>
            <w:vAlign w:val="center"/>
          </w:tcPr>
          <w:p w14:paraId="2CE254DB">
            <w:pPr>
              <w:spacing w:before="0" w:after="0" w:line="276" w:lineRule="auto"/>
              <w:jc w:val="center"/>
            </w:pPr>
            <w:r>
              <w:rPr>
                <w:rFonts w:ascii="Times New Roman" w:hAnsi="Times New Roman" w:eastAsia="楷体" w:cs="Times New Roman"/>
                <w:b w:val="0"/>
                <w:color w:val="000000"/>
                <w:sz w:val="21"/>
              </w:rPr>
              <w:t>0.3600</w:t>
            </w:r>
          </w:p>
        </w:tc>
        <w:tc>
          <w:tcPr>
            <w:tcW w:w="1417" w:type="dxa"/>
            <w:vAlign w:val="center"/>
          </w:tcPr>
          <w:p w14:paraId="6292FB00">
            <w:pPr>
              <w:spacing w:before="0" w:after="0" w:line="276" w:lineRule="auto"/>
              <w:jc w:val="center"/>
            </w:pPr>
            <w:r>
              <w:rPr>
                <w:rFonts w:ascii="Times New Roman" w:hAnsi="Times New Roman" w:eastAsia="楷体" w:cs="Times New Roman"/>
                <w:b w:val="0"/>
                <w:color w:val="000000"/>
                <w:sz w:val="21"/>
              </w:rPr>
              <w:t>0.3913</w:t>
            </w:r>
          </w:p>
        </w:tc>
        <w:tc>
          <w:tcPr>
            <w:tcW w:w="1474" w:type="dxa"/>
            <w:vAlign w:val="center"/>
          </w:tcPr>
          <w:p w14:paraId="7AAD757C">
            <w:pPr>
              <w:spacing w:before="0" w:after="0" w:line="276" w:lineRule="auto"/>
              <w:jc w:val="center"/>
            </w:pPr>
            <w:r>
              <w:rPr>
                <w:rFonts w:ascii="Times New Roman" w:hAnsi="Times New Roman" w:eastAsia="楷体" w:cs="Times New Roman"/>
                <w:b w:val="0"/>
                <w:color w:val="000000"/>
                <w:sz w:val="21"/>
              </w:rPr>
              <w:t>0.3750</w:t>
            </w:r>
          </w:p>
        </w:tc>
      </w:tr>
      <w:tr w14:paraId="78000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35B0E495">
            <w:pPr>
              <w:spacing w:before="0" w:after="0" w:line="276" w:lineRule="auto"/>
              <w:jc w:val="left"/>
            </w:pPr>
            <w:r>
              <w:rPr>
                <w:rFonts w:ascii="Times New Roman" w:hAnsi="Times New Roman" w:eastAsia="楷体" w:cs="Times New Roman"/>
                <w:b w:val="0"/>
                <w:color w:val="000000"/>
                <w:sz w:val="21"/>
              </w:rPr>
              <w:t>MiniLM</w:t>
            </w:r>
          </w:p>
        </w:tc>
        <w:tc>
          <w:tcPr>
            <w:tcW w:w="2835" w:type="dxa"/>
            <w:vAlign w:val="center"/>
          </w:tcPr>
          <w:p w14:paraId="30A0C378">
            <w:pPr>
              <w:spacing w:before="0" w:after="0" w:line="276" w:lineRule="auto"/>
              <w:jc w:val="center"/>
            </w:pPr>
            <w:r>
              <w:rPr>
                <w:rFonts w:ascii="Times New Roman" w:hAnsi="Times New Roman" w:eastAsia="楷体" w:cs="Times New Roman"/>
                <w:b w:val="0"/>
                <w:color w:val="000000"/>
                <w:sz w:val="21"/>
              </w:rPr>
              <w:t>Clear Reply</w:t>
            </w:r>
          </w:p>
        </w:tc>
        <w:tc>
          <w:tcPr>
            <w:tcW w:w="794" w:type="dxa"/>
            <w:vAlign w:val="center"/>
          </w:tcPr>
          <w:p w14:paraId="361E1DFE">
            <w:pPr>
              <w:spacing w:before="0" w:after="0" w:line="276" w:lineRule="auto"/>
              <w:jc w:val="center"/>
            </w:pPr>
            <w:r>
              <w:rPr>
                <w:rFonts w:ascii="Times New Roman" w:hAnsi="Times New Roman" w:eastAsia="楷体" w:cs="Times New Roman"/>
                <w:b w:val="0"/>
                <w:color w:val="000000"/>
                <w:sz w:val="21"/>
              </w:rPr>
              <w:t>79</w:t>
            </w:r>
          </w:p>
        </w:tc>
        <w:tc>
          <w:tcPr>
            <w:tcW w:w="1417" w:type="dxa"/>
            <w:vAlign w:val="center"/>
          </w:tcPr>
          <w:p w14:paraId="455C926E">
            <w:pPr>
              <w:spacing w:before="0" w:after="0" w:line="276" w:lineRule="auto"/>
              <w:jc w:val="center"/>
            </w:pPr>
            <w:r>
              <w:rPr>
                <w:rFonts w:ascii="Times New Roman" w:hAnsi="Times New Roman" w:eastAsia="楷体" w:cs="Times New Roman"/>
                <w:b w:val="0"/>
                <w:color w:val="000000"/>
                <w:sz w:val="21"/>
              </w:rPr>
              <w:t>0.4167</w:t>
            </w:r>
          </w:p>
        </w:tc>
        <w:tc>
          <w:tcPr>
            <w:tcW w:w="1417" w:type="dxa"/>
            <w:vAlign w:val="center"/>
          </w:tcPr>
          <w:p w14:paraId="1CF41559">
            <w:pPr>
              <w:spacing w:before="0" w:after="0" w:line="276" w:lineRule="auto"/>
              <w:jc w:val="center"/>
            </w:pPr>
            <w:r>
              <w:rPr>
                <w:rFonts w:ascii="Times New Roman" w:hAnsi="Times New Roman" w:eastAsia="楷体" w:cs="Times New Roman"/>
                <w:b w:val="0"/>
                <w:color w:val="000000"/>
                <w:sz w:val="21"/>
              </w:rPr>
              <w:t>0.5063</w:t>
            </w:r>
          </w:p>
        </w:tc>
        <w:tc>
          <w:tcPr>
            <w:tcW w:w="1474" w:type="dxa"/>
            <w:vAlign w:val="center"/>
          </w:tcPr>
          <w:p w14:paraId="40F21F55">
            <w:pPr>
              <w:spacing w:before="0" w:after="0" w:line="276" w:lineRule="auto"/>
              <w:jc w:val="center"/>
            </w:pPr>
            <w:r>
              <w:rPr>
                <w:rFonts w:ascii="Times New Roman" w:hAnsi="Times New Roman" w:eastAsia="楷体" w:cs="Times New Roman"/>
                <w:b w:val="0"/>
                <w:color w:val="000000"/>
                <w:sz w:val="21"/>
              </w:rPr>
              <w:t>0.4571</w:t>
            </w:r>
          </w:p>
        </w:tc>
      </w:tr>
      <w:tr w14:paraId="24670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15C8A8F1">
            <w:pPr>
              <w:spacing w:before="0" w:after="0" w:line="276" w:lineRule="auto"/>
              <w:jc w:val="left"/>
            </w:pPr>
            <w:r>
              <w:rPr>
                <w:rFonts w:ascii="Times New Roman" w:hAnsi="Times New Roman" w:eastAsia="楷体" w:cs="Times New Roman"/>
                <w:b w:val="0"/>
                <w:color w:val="000000"/>
                <w:sz w:val="21"/>
              </w:rPr>
              <w:t>MiniLM</w:t>
            </w:r>
          </w:p>
        </w:tc>
        <w:tc>
          <w:tcPr>
            <w:tcW w:w="2835" w:type="dxa"/>
            <w:vAlign w:val="center"/>
          </w:tcPr>
          <w:p w14:paraId="78C59FCD">
            <w:pPr>
              <w:spacing w:before="0" w:after="0" w:line="276" w:lineRule="auto"/>
              <w:jc w:val="center"/>
            </w:pPr>
            <w:r>
              <w:rPr>
                <w:rFonts w:ascii="Times New Roman" w:hAnsi="Times New Roman" w:eastAsia="楷体" w:cs="Times New Roman"/>
                <w:b w:val="0"/>
                <w:color w:val="000000"/>
                <w:sz w:val="21"/>
              </w:rPr>
              <w:t>Ambivalent Reply</w:t>
            </w:r>
          </w:p>
        </w:tc>
        <w:tc>
          <w:tcPr>
            <w:tcW w:w="794" w:type="dxa"/>
            <w:vAlign w:val="center"/>
          </w:tcPr>
          <w:p w14:paraId="46563E9D">
            <w:pPr>
              <w:spacing w:before="0" w:after="0" w:line="276" w:lineRule="auto"/>
              <w:jc w:val="center"/>
            </w:pPr>
            <w:r>
              <w:rPr>
                <w:rFonts w:ascii="Times New Roman" w:hAnsi="Times New Roman" w:eastAsia="楷体" w:cs="Times New Roman"/>
                <w:b w:val="0"/>
                <w:color w:val="000000"/>
                <w:sz w:val="21"/>
              </w:rPr>
              <w:t>206</w:t>
            </w:r>
          </w:p>
        </w:tc>
        <w:tc>
          <w:tcPr>
            <w:tcW w:w="1417" w:type="dxa"/>
            <w:vAlign w:val="center"/>
          </w:tcPr>
          <w:p w14:paraId="66CB3A9A">
            <w:pPr>
              <w:spacing w:before="0" w:after="0" w:line="276" w:lineRule="auto"/>
              <w:jc w:val="center"/>
            </w:pPr>
            <w:r>
              <w:rPr>
                <w:rFonts w:ascii="Times New Roman" w:hAnsi="Times New Roman" w:eastAsia="楷体" w:cs="Times New Roman"/>
                <w:b w:val="0"/>
                <w:color w:val="000000"/>
                <w:sz w:val="21"/>
              </w:rPr>
              <w:t>0.7853</w:t>
            </w:r>
          </w:p>
        </w:tc>
        <w:tc>
          <w:tcPr>
            <w:tcW w:w="1417" w:type="dxa"/>
            <w:vAlign w:val="center"/>
          </w:tcPr>
          <w:p w14:paraId="6D9FC67B">
            <w:pPr>
              <w:spacing w:before="0" w:after="0" w:line="276" w:lineRule="auto"/>
              <w:jc w:val="center"/>
            </w:pPr>
            <w:r>
              <w:rPr>
                <w:rFonts w:ascii="Times New Roman" w:hAnsi="Times New Roman" w:eastAsia="楷体" w:cs="Times New Roman"/>
                <w:b w:val="0"/>
                <w:color w:val="000000"/>
                <w:sz w:val="21"/>
              </w:rPr>
              <w:t>0.6214</w:t>
            </w:r>
          </w:p>
        </w:tc>
        <w:tc>
          <w:tcPr>
            <w:tcW w:w="1474" w:type="dxa"/>
            <w:vAlign w:val="center"/>
          </w:tcPr>
          <w:p w14:paraId="5892F6CA">
            <w:pPr>
              <w:spacing w:before="0" w:after="0" w:line="276" w:lineRule="auto"/>
              <w:jc w:val="center"/>
            </w:pPr>
            <w:r>
              <w:rPr>
                <w:rFonts w:ascii="Times New Roman" w:hAnsi="Times New Roman" w:eastAsia="楷体" w:cs="Times New Roman"/>
                <w:b w:val="0"/>
                <w:color w:val="000000"/>
                <w:sz w:val="21"/>
              </w:rPr>
              <w:t>0.6938</w:t>
            </w:r>
          </w:p>
        </w:tc>
      </w:tr>
      <w:tr w14:paraId="038AF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3076B928">
            <w:pPr>
              <w:spacing w:before="0" w:after="0" w:line="276" w:lineRule="auto"/>
              <w:jc w:val="left"/>
            </w:pPr>
            <w:r>
              <w:rPr>
                <w:rFonts w:ascii="Times New Roman" w:hAnsi="Times New Roman" w:eastAsia="楷体" w:cs="Times New Roman"/>
                <w:b w:val="0"/>
                <w:color w:val="000000"/>
                <w:sz w:val="21"/>
              </w:rPr>
              <w:t>MiniLM</w:t>
            </w:r>
          </w:p>
        </w:tc>
        <w:tc>
          <w:tcPr>
            <w:tcW w:w="2835" w:type="dxa"/>
            <w:vAlign w:val="center"/>
          </w:tcPr>
          <w:p w14:paraId="179CCF44">
            <w:pPr>
              <w:spacing w:before="0" w:after="0" w:line="276" w:lineRule="auto"/>
              <w:jc w:val="center"/>
            </w:pPr>
            <w:r>
              <w:rPr>
                <w:rFonts w:ascii="Times New Roman" w:hAnsi="Times New Roman" w:eastAsia="楷体" w:cs="Times New Roman"/>
                <w:b w:val="0"/>
                <w:color w:val="000000"/>
                <w:sz w:val="21"/>
              </w:rPr>
              <w:t>Clear Non-Reply</w:t>
            </w:r>
          </w:p>
        </w:tc>
        <w:tc>
          <w:tcPr>
            <w:tcW w:w="794" w:type="dxa"/>
            <w:vAlign w:val="center"/>
          </w:tcPr>
          <w:p w14:paraId="46F05534">
            <w:pPr>
              <w:spacing w:before="0" w:after="0" w:line="276" w:lineRule="auto"/>
              <w:jc w:val="center"/>
            </w:pPr>
            <w:r>
              <w:rPr>
                <w:rFonts w:ascii="Times New Roman" w:hAnsi="Times New Roman" w:eastAsia="楷体" w:cs="Times New Roman"/>
                <w:b w:val="0"/>
                <w:color w:val="000000"/>
                <w:sz w:val="21"/>
              </w:rPr>
              <w:t>23</w:t>
            </w:r>
          </w:p>
        </w:tc>
        <w:tc>
          <w:tcPr>
            <w:tcW w:w="1417" w:type="dxa"/>
            <w:vAlign w:val="center"/>
          </w:tcPr>
          <w:p w14:paraId="1A255DE4">
            <w:pPr>
              <w:spacing w:before="0" w:after="0" w:line="276" w:lineRule="auto"/>
              <w:jc w:val="center"/>
            </w:pPr>
            <w:r>
              <w:rPr>
                <w:rFonts w:ascii="Times New Roman" w:hAnsi="Times New Roman" w:eastAsia="楷体" w:cs="Times New Roman"/>
                <w:b w:val="0"/>
                <w:color w:val="000000"/>
                <w:sz w:val="21"/>
              </w:rPr>
              <w:t>0.2245</w:t>
            </w:r>
          </w:p>
        </w:tc>
        <w:tc>
          <w:tcPr>
            <w:tcW w:w="1417" w:type="dxa"/>
            <w:vAlign w:val="center"/>
          </w:tcPr>
          <w:p w14:paraId="2E1663F5">
            <w:pPr>
              <w:spacing w:before="0" w:after="0" w:line="276" w:lineRule="auto"/>
              <w:jc w:val="center"/>
            </w:pPr>
            <w:r>
              <w:rPr>
                <w:rFonts w:ascii="Times New Roman" w:hAnsi="Times New Roman" w:eastAsia="楷体" w:cs="Times New Roman"/>
                <w:b w:val="0"/>
                <w:color w:val="000000"/>
                <w:sz w:val="21"/>
              </w:rPr>
              <w:t>0.4783</w:t>
            </w:r>
          </w:p>
        </w:tc>
        <w:tc>
          <w:tcPr>
            <w:tcW w:w="1474" w:type="dxa"/>
            <w:vAlign w:val="center"/>
          </w:tcPr>
          <w:p w14:paraId="75F92179">
            <w:pPr>
              <w:spacing w:before="0" w:after="0" w:line="276" w:lineRule="auto"/>
              <w:jc w:val="center"/>
            </w:pPr>
            <w:r>
              <w:rPr>
                <w:rFonts w:ascii="Times New Roman" w:hAnsi="Times New Roman" w:eastAsia="楷体" w:cs="Times New Roman"/>
                <w:b w:val="0"/>
                <w:color w:val="000000"/>
                <w:sz w:val="21"/>
              </w:rPr>
              <w:t>0.3056</w:t>
            </w:r>
          </w:p>
        </w:tc>
      </w:tr>
    </w:tbl>
    <w:p w14:paraId="45D10195">
      <w:pPr>
        <w:pStyle w:val="9"/>
        <w:widowControl/>
        <w:spacing w:before="0" w:after="60" w:line="360" w:lineRule="auto"/>
        <w:ind w:firstLine="480"/>
      </w:pPr>
      <w:r>
        <w:rPr>
          <w:rFonts w:ascii="Times New Roman" w:hAnsi="Times New Roman" w:eastAsia="楷体" w:cs="Times New Roman"/>
          <w:b w:val="0"/>
          <w:color w:val="000000"/>
          <w:sz w:val="24"/>
        </w:rPr>
        <w:t>语义表示的主要收益来自 Clear Reply，其 F1 从 0.2485 提高到 0.4571，增加 0.2086；Ambivalent Reply 仅从 0.6817 提高至 0.6938。Clear Non-Reply 的 F1 反而从 0.3750 降至 0.3056。因此，语义表示的优势是本次总体 Macro-F1 提高，而不是三个类别均得到改善。</w:t>
      </w:r>
    </w:p>
    <w:p w14:paraId="3A8DD52F">
      <w:pPr>
        <w:pStyle w:val="9"/>
        <w:keepNext/>
        <w:widowControl/>
        <w:spacing w:before="0" w:after="60" w:line="360" w:lineRule="auto"/>
        <w:ind w:firstLine="0"/>
        <w:jc w:val="center"/>
      </w:pPr>
      <w:r>
        <w:rPr>
          <w:rFonts w:ascii="Times New Roman" w:hAnsi="Times New Roman" w:eastAsia="楷体" w:cs="Times New Roman"/>
          <w:b w:val="0"/>
          <w:color w:val="000000"/>
          <w:sz w:val="21"/>
        </w:rPr>
        <w:t>表8 MiniLM 混淆矩阵（行是真实标签，列是预测标签）</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118"/>
        <w:gridCol w:w="1984"/>
        <w:gridCol w:w="1984"/>
        <w:gridCol w:w="1984"/>
      </w:tblGrid>
      <w:tr w14:paraId="15458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118" w:type="dxa"/>
            <w:vAlign w:val="center"/>
          </w:tcPr>
          <w:p w14:paraId="0240FF6D">
            <w:pPr>
              <w:spacing w:before="0" w:after="0" w:line="276" w:lineRule="auto"/>
              <w:jc w:val="center"/>
            </w:pPr>
            <w:r>
              <w:rPr>
                <w:rFonts w:ascii="Times New Roman" w:hAnsi="Times New Roman" w:eastAsia="楷体" w:cs="Times New Roman"/>
                <w:b/>
                <w:color w:val="000000"/>
                <w:sz w:val="21"/>
              </w:rPr>
              <w:t>真实／预测</w:t>
            </w:r>
          </w:p>
        </w:tc>
        <w:tc>
          <w:tcPr>
            <w:tcW w:w="1984" w:type="dxa"/>
            <w:vAlign w:val="center"/>
          </w:tcPr>
          <w:p w14:paraId="7BB212FF">
            <w:pPr>
              <w:spacing w:before="0" w:after="0" w:line="276" w:lineRule="auto"/>
              <w:jc w:val="center"/>
            </w:pPr>
            <w:r>
              <w:rPr>
                <w:rFonts w:ascii="Times New Roman" w:hAnsi="Times New Roman" w:eastAsia="楷体" w:cs="Times New Roman"/>
                <w:b/>
                <w:color w:val="000000"/>
                <w:sz w:val="21"/>
              </w:rPr>
              <w:t>Clear Reply</w:t>
            </w:r>
          </w:p>
        </w:tc>
        <w:tc>
          <w:tcPr>
            <w:tcW w:w="1984" w:type="dxa"/>
            <w:vAlign w:val="center"/>
          </w:tcPr>
          <w:p w14:paraId="3E0E7473">
            <w:pPr>
              <w:spacing w:before="0" w:after="0" w:line="276" w:lineRule="auto"/>
              <w:jc w:val="center"/>
            </w:pPr>
            <w:r>
              <w:rPr>
                <w:rFonts w:ascii="Times New Roman" w:hAnsi="Times New Roman" w:eastAsia="楷体" w:cs="Times New Roman"/>
                <w:b/>
                <w:color w:val="000000"/>
                <w:sz w:val="21"/>
              </w:rPr>
              <w:t>Ambivalent</w:t>
            </w:r>
          </w:p>
        </w:tc>
        <w:tc>
          <w:tcPr>
            <w:tcW w:w="1984" w:type="dxa"/>
            <w:vAlign w:val="center"/>
          </w:tcPr>
          <w:p w14:paraId="62C6A874">
            <w:pPr>
              <w:spacing w:before="0" w:after="0" w:line="276" w:lineRule="auto"/>
              <w:jc w:val="center"/>
            </w:pPr>
            <w:r>
              <w:rPr>
                <w:rFonts w:ascii="Times New Roman" w:hAnsi="Times New Roman" w:eastAsia="楷体" w:cs="Times New Roman"/>
                <w:b/>
                <w:color w:val="000000"/>
                <w:sz w:val="21"/>
              </w:rPr>
              <w:t>Non-Reply</w:t>
            </w:r>
          </w:p>
        </w:tc>
      </w:tr>
      <w:tr w14:paraId="68431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18" w:type="dxa"/>
            <w:vAlign w:val="center"/>
          </w:tcPr>
          <w:p w14:paraId="0D5D6922">
            <w:pPr>
              <w:spacing w:before="0" w:after="0" w:line="276" w:lineRule="auto"/>
              <w:jc w:val="left"/>
            </w:pPr>
            <w:r>
              <w:rPr>
                <w:rFonts w:ascii="Times New Roman" w:hAnsi="Times New Roman" w:eastAsia="楷体" w:cs="Times New Roman"/>
                <w:b w:val="0"/>
                <w:color w:val="000000"/>
                <w:sz w:val="21"/>
              </w:rPr>
              <w:t>Clear Reply</w:t>
            </w:r>
          </w:p>
        </w:tc>
        <w:tc>
          <w:tcPr>
            <w:tcW w:w="1984" w:type="dxa"/>
            <w:vAlign w:val="center"/>
          </w:tcPr>
          <w:p w14:paraId="453CB634">
            <w:pPr>
              <w:spacing w:before="0" w:after="0" w:line="276" w:lineRule="auto"/>
              <w:jc w:val="center"/>
            </w:pPr>
            <w:r>
              <w:rPr>
                <w:rFonts w:ascii="Times New Roman" w:hAnsi="Times New Roman" w:eastAsia="楷体" w:cs="Times New Roman"/>
                <w:b w:val="0"/>
                <w:color w:val="000000"/>
                <w:sz w:val="21"/>
              </w:rPr>
              <w:t>40</w:t>
            </w:r>
          </w:p>
        </w:tc>
        <w:tc>
          <w:tcPr>
            <w:tcW w:w="1984" w:type="dxa"/>
            <w:vAlign w:val="center"/>
          </w:tcPr>
          <w:p w14:paraId="7B03C50B">
            <w:pPr>
              <w:spacing w:before="0" w:after="0" w:line="276" w:lineRule="auto"/>
              <w:jc w:val="center"/>
            </w:pPr>
            <w:r>
              <w:rPr>
                <w:rFonts w:ascii="Times New Roman" w:hAnsi="Times New Roman" w:eastAsia="楷体" w:cs="Times New Roman"/>
                <w:b w:val="0"/>
                <w:color w:val="000000"/>
                <w:sz w:val="21"/>
              </w:rPr>
              <w:t>30</w:t>
            </w:r>
          </w:p>
        </w:tc>
        <w:tc>
          <w:tcPr>
            <w:tcW w:w="1984" w:type="dxa"/>
            <w:vAlign w:val="center"/>
          </w:tcPr>
          <w:p w14:paraId="62500597">
            <w:pPr>
              <w:spacing w:before="0" w:after="0" w:line="276" w:lineRule="auto"/>
              <w:jc w:val="center"/>
            </w:pPr>
            <w:r>
              <w:rPr>
                <w:rFonts w:ascii="Times New Roman" w:hAnsi="Times New Roman" w:eastAsia="楷体" w:cs="Times New Roman"/>
                <w:b w:val="0"/>
                <w:color w:val="000000"/>
                <w:sz w:val="21"/>
              </w:rPr>
              <w:t>9</w:t>
            </w:r>
          </w:p>
        </w:tc>
      </w:tr>
      <w:tr w14:paraId="726E7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18" w:type="dxa"/>
            <w:vAlign w:val="center"/>
          </w:tcPr>
          <w:p w14:paraId="54EBC469">
            <w:pPr>
              <w:spacing w:before="0" w:after="0" w:line="276" w:lineRule="auto"/>
              <w:jc w:val="left"/>
            </w:pPr>
            <w:r>
              <w:rPr>
                <w:rFonts w:ascii="Times New Roman" w:hAnsi="Times New Roman" w:eastAsia="楷体" w:cs="Times New Roman"/>
                <w:b w:val="0"/>
                <w:color w:val="000000"/>
                <w:sz w:val="21"/>
              </w:rPr>
              <w:t>Ambivalent</w:t>
            </w:r>
          </w:p>
        </w:tc>
        <w:tc>
          <w:tcPr>
            <w:tcW w:w="1984" w:type="dxa"/>
            <w:vAlign w:val="center"/>
          </w:tcPr>
          <w:p w14:paraId="270D866D">
            <w:pPr>
              <w:spacing w:before="0" w:after="0" w:line="276" w:lineRule="auto"/>
              <w:jc w:val="center"/>
            </w:pPr>
            <w:r>
              <w:rPr>
                <w:rFonts w:ascii="Times New Roman" w:hAnsi="Times New Roman" w:eastAsia="楷体" w:cs="Times New Roman"/>
                <w:b w:val="0"/>
                <w:color w:val="000000"/>
                <w:sz w:val="21"/>
              </w:rPr>
              <w:t>49</w:t>
            </w:r>
          </w:p>
        </w:tc>
        <w:tc>
          <w:tcPr>
            <w:tcW w:w="1984" w:type="dxa"/>
            <w:vAlign w:val="center"/>
          </w:tcPr>
          <w:p w14:paraId="22434DF0">
            <w:pPr>
              <w:spacing w:before="0" w:after="0" w:line="276" w:lineRule="auto"/>
              <w:jc w:val="center"/>
            </w:pPr>
            <w:r>
              <w:rPr>
                <w:rFonts w:ascii="Times New Roman" w:hAnsi="Times New Roman" w:eastAsia="楷体" w:cs="Times New Roman"/>
                <w:b w:val="0"/>
                <w:color w:val="000000"/>
                <w:sz w:val="21"/>
              </w:rPr>
              <w:t>128</w:t>
            </w:r>
          </w:p>
        </w:tc>
        <w:tc>
          <w:tcPr>
            <w:tcW w:w="1984" w:type="dxa"/>
            <w:vAlign w:val="center"/>
          </w:tcPr>
          <w:p w14:paraId="11056B75">
            <w:pPr>
              <w:spacing w:before="0" w:after="0" w:line="276" w:lineRule="auto"/>
              <w:jc w:val="center"/>
            </w:pPr>
            <w:r>
              <w:rPr>
                <w:rFonts w:ascii="Times New Roman" w:hAnsi="Times New Roman" w:eastAsia="楷体" w:cs="Times New Roman"/>
                <w:b w:val="0"/>
                <w:color w:val="000000"/>
                <w:sz w:val="21"/>
              </w:rPr>
              <w:t>29</w:t>
            </w:r>
          </w:p>
        </w:tc>
      </w:tr>
      <w:tr w14:paraId="47676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18" w:type="dxa"/>
            <w:vAlign w:val="center"/>
          </w:tcPr>
          <w:p w14:paraId="0584147D">
            <w:pPr>
              <w:spacing w:before="0" w:after="0" w:line="276" w:lineRule="auto"/>
              <w:jc w:val="left"/>
            </w:pPr>
            <w:r>
              <w:rPr>
                <w:rFonts w:ascii="Times New Roman" w:hAnsi="Times New Roman" w:eastAsia="楷体" w:cs="Times New Roman"/>
                <w:b w:val="0"/>
                <w:color w:val="000000"/>
                <w:sz w:val="21"/>
              </w:rPr>
              <w:t>Clear Non-Reply</w:t>
            </w:r>
          </w:p>
        </w:tc>
        <w:tc>
          <w:tcPr>
            <w:tcW w:w="1984" w:type="dxa"/>
            <w:vAlign w:val="center"/>
          </w:tcPr>
          <w:p w14:paraId="63F02461">
            <w:pPr>
              <w:spacing w:before="0" w:after="0" w:line="276" w:lineRule="auto"/>
              <w:jc w:val="center"/>
            </w:pPr>
            <w:r>
              <w:rPr>
                <w:rFonts w:ascii="Times New Roman" w:hAnsi="Times New Roman" w:eastAsia="楷体" w:cs="Times New Roman"/>
                <w:b w:val="0"/>
                <w:color w:val="000000"/>
                <w:sz w:val="21"/>
              </w:rPr>
              <w:t>7</w:t>
            </w:r>
          </w:p>
        </w:tc>
        <w:tc>
          <w:tcPr>
            <w:tcW w:w="1984" w:type="dxa"/>
            <w:vAlign w:val="center"/>
          </w:tcPr>
          <w:p w14:paraId="17B4006D">
            <w:pPr>
              <w:spacing w:before="0" w:after="0" w:line="276" w:lineRule="auto"/>
              <w:jc w:val="center"/>
            </w:pPr>
            <w:r>
              <w:rPr>
                <w:rFonts w:ascii="Times New Roman" w:hAnsi="Times New Roman" w:eastAsia="楷体" w:cs="Times New Roman"/>
                <w:b w:val="0"/>
                <w:color w:val="000000"/>
                <w:sz w:val="21"/>
              </w:rPr>
              <w:t>5</w:t>
            </w:r>
          </w:p>
        </w:tc>
        <w:tc>
          <w:tcPr>
            <w:tcW w:w="1984" w:type="dxa"/>
            <w:vAlign w:val="center"/>
          </w:tcPr>
          <w:p w14:paraId="08508D28">
            <w:pPr>
              <w:spacing w:before="0" w:after="0" w:line="276" w:lineRule="auto"/>
              <w:jc w:val="center"/>
            </w:pPr>
            <w:r>
              <w:rPr>
                <w:rFonts w:ascii="Times New Roman" w:hAnsi="Times New Roman" w:eastAsia="楷体" w:cs="Times New Roman"/>
                <w:b w:val="0"/>
                <w:color w:val="000000"/>
                <w:sz w:val="21"/>
              </w:rPr>
              <w:t>11</w:t>
            </w:r>
          </w:p>
        </w:tc>
      </w:tr>
    </w:tbl>
    <w:p w14:paraId="56DDD150">
      <w:pPr>
        <w:pStyle w:val="9"/>
        <w:widowControl/>
        <w:spacing w:before="0" w:after="60" w:line="360" w:lineRule="auto"/>
        <w:ind w:firstLine="480"/>
      </w:pPr>
      <w:r>
        <w:rPr>
          <w:rFonts w:ascii="Times New Roman" w:hAnsi="Times New Roman" w:eastAsia="楷体" w:cs="Times New Roman"/>
          <w:b w:val="0"/>
          <w:color w:val="000000"/>
          <w:sz w:val="24"/>
        </w:rPr>
        <w:t>MiniLM 将 23 个真实 Non-Reply 中的 11 个识别正确，召回率为 0.4783，但共预测出 49 个 Non-Reply，精确率只有 0.2245。其余来自 9 个明确回答和 29 个模糊回答。balanced 权重有助于关注少数类，却不保证概率经过校准；部分回答、澄清和明确拒答的语义边界仍需细致判断。</w:t>
      </w:r>
    </w:p>
    <w:p w14:paraId="6C49C8C4">
      <w:pPr>
        <w:pStyle w:val="9"/>
        <w:widowControl/>
        <w:spacing w:before="0" w:after="60" w:line="360" w:lineRule="auto"/>
        <w:ind w:firstLine="480"/>
      </w:pPr>
      <w:r>
        <w:rPr>
          <w:rFonts w:ascii="Times New Roman" w:hAnsi="Times New Roman" w:eastAsia="楷体" w:cs="Times New Roman"/>
          <w:b w:val="0"/>
          <w:color w:val="000000"/>
          <w:sz w:val="24"/>
        </w:rPr>
        <w:t>按回答词数作诊断，≤256 词组有 142 条样本，Accuracy 为 0.4859、Macro-F1 为 0.4523；&gt;256 词组有 166 条，分别为 0.6627、0.4193。长回答组准确率更高而 Macro-F1 更低，说明分组后的类别组成会影响评价。该观察不能证明长度造成错误，也不能用于估计 256 个 word pieces 截断的因果影响。</w:t>
      </w:r>
    </w:p>
    <w:p w14:paraId="1A265995">
      <w:pPr>
        <w:pStyle w:val="9"/>
        <w:keepNext/>
        <w:widowControl/>
        <w:spacing w:before="100" w:after="60" w:line="360" w:lineRule="auto"/>
        <w:ind w:firstLine="0"/>
      </w:pPr>
      <w:r>
        <w:rPr>
          <w:rFonts w:ascii="Times New Roman" w:hAnsi="Times New Roman" w:eastAsia="楷体" w:cs="Times New Roman"/>
          <w:b/>
          <w:color w:val="000000"/>
          <w:sz w:val="24"/>
        </w:rPr>
        <w:t>4.4 QNLI 直接复用与适配结果</w:t>
      </w:r>
    </w:p>
    <w:p w14:paraId="65F74D7D">
      <w:pPr>
        <w:pStyle w:val="9"/>
        <w:keepNext/>
        <w:widowControl/>
        <w:spacing w:before="0" w:after="60" w:line="360" w:lineRule="auto"/>
        <w:ind w:firstLine="0"/>
        <w:jc w:val="center"/>
      </w:pPr>
      <w:r>
        <w:rPr>
          <w:rFonts w:ascii="Times New Roman" w:hAnsi="Times New Roman" w:eastAsia="楷体" w:cs="Times New Roman"/>
          <w:b w:val="0"/>
          <w:color w:val="000000"/>
          <w:sz w:val="21"/>
        </w:rPr>
        <w:t>表9 同一 QNLI dev 集上的迁移比较</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402"/>
        <w:gridCol w:w="1134"/>
        <w:gridCol w:w="1134"/>
        <w:gridCol w:w="3402"/>
      </w:tblGrid>
      <w:tr w14:paraId="7336E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402" w:type="dxa"/>
            <w:vAlign w:val="center"/>
          </w:tcPr>
          <w:p w14:paraId="2AD43735">
            <w:pPr>
              <w:spacing w:before="0" w:after="0" w:line="276" w:lineRule="auto"/>
              <w:jc w:val="center"/>
            </w:pPr>
            <w:r>
              <w:rPr>
                <w:rFonts w:ascii="Times New Roman" w:hAnsi="Times New Roman" w:eastAsia="楷体" w:cs="Times New Roman"/>
                <w:b/>
                <w:color w:val="000000"/>
                <w:sz w:val="21"/>
              </w:rPr>
              <w:t>模型设置</w:t>
            </w:r>
          </w:p>
        </w:tc>
        <w:tc>
          <w:tcPr>
            <w:tcW w:w="1134" w:type="dxa"/>
            <w:vAlign w:val="center"/>
          </w:tcPr>
          <w:p w14:paraId="7B79BAF9">
            <w:pPr>
              <w:spacing w:before="0" w:after="0" w:line="276" w:lineRule="auto"/>
              <w:jc w:val="center"/>
            </w:pPr>
            <w:r>
              <w:rPr>
                <w:rFonts w:ascii="Times New Roman" w:hAnsi="Times New Roman" w:eastAsia="楷体" w:cs="Times New Roman"/>
                <w:b/>
                <w:color w:val="000000"/>
                <w:sz w:val="21"/>
              </w:rPr>
              <w:t>Accuracy</w:t>
            </w:r>
          </w:p>
        </w:tc>
        <w:tc>
          <w:tcPr>
            <w:tcW w:w="1134" w:type="dxa"/>
            <w:vAlign w:val="center"/>
          </w:tcPr>
          <w:p w14:paraId="0809118A">
            <w:pPr>
              <w:spacing w:before="0" w:after="0" w:line="276" w:lineRule="auto"/>
              <w:jc w:val="center"/>
            </w:pPr>
            <w:r>
              <w:rPr>
                <w:rFonts w:ascii="Times New Roman" w:hAnsi="Times New Roman" w:eastAsia="楷体" w:cs="Times New Roman"/>
                <w:b/>
                <w:color w:val="000000"/>
                <w:sz w:val="21"/>
              </w:rPr>
              <w:t>Macro-F1</w:t>
            </w:r>
          </w:p>
        </w:tc>
        <w:tc>
          <w:tcPr>
            <w:tcW w:w="3402" w:type="dxa"/>
            <w:vAlign w:val="center"/>
          </w:tcPr>
          <w:p w14:paraId="454403E5">
            <w:pPr>
              <w:spacing w:before="0" w:after="0" w:line="276" w:lineRule="auto"/>
              <w:jc w:val="center"/>
            </w:pPr>
            <w:r>
              <w:rPr>
                <w:rFonts w:ascii="Times New Roman" w:hAnsi="Times New Roman" w:eastAsia="楷体" w:cs="Times New Roman"/>
                <w:b/>
                <w:color w:val="000000"/>
                <w:sz w:val="21"/>
              </w:rPr>
              <w:t>监督来源</w:t>
            </w:r>
          </w:p>
        </w:tc>
      </w:tr>
      <w:tr w14:paraId="24802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0E265EEB">
            <w:pPr>
              <w:spacing w:before="0" w:after="0" w:line="276" w:lineRule="auto"/>
              <w:jc w:val="left"/>
            </w:pPr>
            <w:r>
              <w:rPr>
                <w:rFonts w:ascii="Times New Roman" w:hAnsi="Times New Roman" w:eastAsia="楷体" w:cs="Times New Roman"/>
                <w:b w:val="0"/>
                <w:color w:val="000000"/>
                <w:sz w:val="21"/>
              </w:rPr>
              <w:t>常数标签基线</w:t>
            </w:r>
          </w:p>
        </w:tc>
        <w:tc>
          <w:tcPr>
            <w:tcW w:w="1134" w:type="dxa"/>
            <w:vAlign w:val="center"/>
          </w:tcPr>
          <w:p w14:paraId="4E477AFC">
            <w:pPr>
              <w:spacing w:before="0" w:after="0" w:line="276" w:lineRule="auto"/>
              <w:jc w:val="center"/>
            </w:pPr>
            <w:r>
              <w:rPr>
                <w:rFonts w:ascii="Times New Roman" w:hAnsi="Times New Roman" w:eastAsia="楷体" w:cs="Times New Roman"/>
                <w:b w:val="0"/>
                <w:color w:val="000000"/>
                <w:sz w:val="21"/>
              </w:rPr>
              <w:t>0.4946</w:t>
            </w:r>
          </w:p>
        </w:tc>
        <w:tc>
          <w:tcPr>
            <w:tcW w:w="1134" w:type="dxa"/>
            <w:vAlign w:val="center"/>
          </w:tcPr>
          <w:p w14:paraId="7CEEF9F2">
            <w:pPr>
              <w:spacing w:before="0" w:after="0" w:line="276" w:lineRule="auto"/>
              <w:jc w:val="center"/>
            </w:pPr>
            <w:r>
              <w:rPr>
                <w:rFonts w:ascii="Times New Roman" w:hAnsi="Times New Roman" w:eastAsia="楷体" w:cs="Times New Roman"/>
                <w:b w:val="0"/>
                <w:color w:val="000000"/>
                <w:sz w:val="21"/>
              </w:rPr>
              <w:t>0.3309</w:t>
            </w:r>
          </w:p>
        </w:tc>
        <w:tc>
          <w:tcPr>
            <w:tcW w:w="3402" w:type="dxa"/>
            <w:vAlign w:val="center"/>
          </w:tcPr>
          <w:p w14:paraId="2FE147C0">
            <w:pPr>
              <w:spacing w:before="0" w:after="0" w:line="276" w:lineRule="auto"/>
              <w:jc w:val="center"/>
            </w:pPr>
            <w:r>
              <w:rPr>
                <w:rFonts w:ascii="Times New Roman" w:hAnsi="Times New Roman" w:eastAsia="楷体" w:cs="Times New Roman"/>
                <w:b w:val="0"/>
                <w:color w:val="000000"/>
                <w:sz w:val="21"/>
              </w:rPr>
              <w:t>目标训练集类频并列，固定选标签0</w:t>
            </w:r>
          </w:p>
        </w:tc>
      </w:tr>
      <w:tr w14:paraId="03C57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3EA5DF49">
            <w:pPr>
              <w:spacing w:before="0" w:after="0" w:line="276" w:lineRule="auto"/>
              <w:jc w:val="left"/>
            </w:pPr>
            <w:r>
              <w:rPr>
                <w:rFonts w:ascii="Times New Roman" w:hAnsi="Times New Roman" w:eastAsia="楷体" w:cs="Times New Roman"/>
                <w:b w:val="0"/>
                <w:color w:val="000000"/>
                <w:sz w:val="21"/>
              </w:rPr>
              <w:t>源域模型＋固定标签投影</w:t>
            </w:r>
          </w:p>
        </w:tc>
        <w:tc>
          <w:tcPr>
            <w:tcW w:w="1134" w:type="dxa"/>
            <w:vAlign w:val="center"/>
          </w:tcPr>
          <w:p w14:paraId="2BDAC872">
            <w:pPr>
              <w:spacing w:before="0" w:after="0" w:line="276" w:lineRule="auto"/>
              <w:jc w:val="center"/>
            </w:pPr>
            <w:r>
              <w:rPr>
                <w:rFonts w:ascii="Times New Roman" w:hAnsi="Times New Roman" w:eastAsia="楷体" w:cs="Times New Roman"/>
                <w:b w:val="0"/>
                <w:color w:val="000000"/>
                <w:sz w:val="21"/>
              </w:rPr>
              <w:t>0.5047</w:t>
            </w:r>
          </w:p>
        </w:tc>
        <w:tc>
          <w:tcPr>
            <w:tcW w:w="1134" w:type="dxa"/>
            <w:vAlign w:val="center"/>
          </w:tcPr>
          <w:p w14:paraId="56A5C5A8">
            <w:pPr>
              <w:spacing w:before="0" w:after="0" w:line="276" w:lineRule="auto"/>
              <w:jc w:val="center"/>
            </w:pPr>
            <w:r>
              <w:rPr>
                <w:rFonts w:ascii="Times New Roman" w:hAnsi="Times New Roman" w:eastAsia="楷体" w:cs="Times New Roman"/>
                <w:b w:val="0"/>
                <w:color w:val="000000"/>
                <w:sz w:val="21"/>
              </w:rPr>
              <w:t>0.3364</w:t>
            </w:r>
          </w:p>
        </w:tc>
        <w:tc>
          <w:tcPr>
            <w:tcW w:w="3402" w:type="dxa"/>
            <w:vAlign w:val="center"/>
          </w:tcPr>
          <w:p w14:paraId="351AC743">
            <w:pPr>
              <w:spacing w:before="0" w:after="0" w:line="276" w:lineRule="auto"/>
              <w:jc w:val="center"/>
            </w:pPr>
            <w:r>
              <w:rPr>
                <w:rFonts w:ascii="Times New Roman" w:hAnsi="Times New Roman" w:eastAsia="楷体" w:cs="Times New Roman"/>
                <w:b w:val="0"/>
                <w:color w:val="000000"/>
                <w:sz w:val="21"/>
              </w:rPr>
              <w:t>仅 QEvasion 标签</w:t>
            </w:r>
          </w:p>
        </w:tc>
      </w:tr>
      <w:tr w14:paraId="12E0D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4729E512">
            <w:pPr>
              <w:spacing w:before="0" w:after="0" w:line="276" w:lineRule="auto"/>
              <w:jc w:val="left"/>
            </w:pPr>
            <w:r>
              <w:rPr>
                <w:rFonts w:ascii="Times New Roman" w:hAnsi="Times New Roman" w:eastAsia="楷体" w:cs="Times New Roman"/>
                <w:b w:val="0"/>
                <w:color w:val="000000"/>
                <w:sz w:val="21"/>
              </w:rPr>
              <w:t>QNLI 适配后 TF-IDF + LR</w:t>
            </w:r>
          </w:p>
        </w:tc>
        <w:tc>
          <w:tcPr>
            <w:tcW w:w="1134" w:type="dxa"/>
            <w:vAlign w:val="center"/>
          </w:tcPr>
          <w:p w14:paraId="34D0337A">
            <w:pPr>
              <w:spacing w:before="0" w:after="0" w:line="276" w:lineRule="auto"/>
              <w:jc w:val="center"/>
            </w:pPr>
            <w:r>
              <w:rPr>
                <w:rFonts w:ascii="Times New Roman" w:hAnsi="Times New Roman" w:eastAsia="楷体" w:cs="Times New Roman"/>
                <w:b w:val="0"/>
                <w:color w:val="000000"/>
                <w:sz w:val="21"/>
              </w:rPr>
              <w:t>0.5764</w:t>
            </w:r>
          </w:p>
        </w:tc>
        <w:tc>
          <w:tcPr>
            <w:tcW w:w="1134" w:type="dxa"/>
            <w:vAlign w:val="center"/>
          </w:tcPr>
          <w:p w14:paraId="1DFD813D">
            <w:pPr>
              <w:spacing w:before="0" w:after="0" w:line="276" w:lineRule="auto"/>
              <w:jc w:val="center"/>
            </w:pPr>
            <w:r>
              <w:rPr>
                <w:rFonts w:ascii="Times New Roman" w:hAnsi="Times New Roman" w:eastAsia="楷体" w:cs="Times New Roman"/>
                <w:b w:val="0"/>
                <w:color w:val="000000"/>
                <w:sz w:val="21"/>
              </w:rPr>
              <w:t>0.5741</w:t>
            </w:r>
          </w:p>
        </w:tc>
        <w:tc>
          <w:tcPr>
            <w:tcW w:w="3402" w:type="dxa"/>
            <w:vAlign w:val="center"/>
          </w:tcPr>
          <w:p w14:paraId="43B5E3F6">
            <w:pPr>
              <w:spacing w:before="0" w:after="0" w:line="276" w:lineRule="auto"/>
              <w:jc w:val="center"/>
            </w:pPr>
            <w:r>
              <w:rPr>
                <w:rFonts w:ascii="Times New Roman" w:hAnsi="Times New Roman" w:eastAsia="楷体" w:cs="Times New Roman"/>
                <w:b w:val="0"/>
                <w:color w:val="000000"/>
                <w:sz w:val="21"/>
              </w:rPr>
              <w:t>QNLI 12,000 条训练标签</w:t>
            </w:r>
          </w:p>
        </w:tc>
      </w:tr>
    </w:tbl>
    <w:p w14:paraId="4EAE9D2F">
      <w:pPr>
        <w:pStyle w:val="9"/>
        <w:widowControl/>
        <w:spacing w:before="0" w:after="60" w:line="360" w:lineRule="auto"/>
        <w:ind w:firstLine="480"/>
      </w:pPr>
      <w:r>
        <w:rPr>
          <w:rFonts w:ascii="Times New Roman" w:hAnsi="Times New Roman" w:eastAsia="楷体" w:cs="Times New Roman"/>
          <w:b w:val="0"/>
          <w:color w:val="000000"/>
          <w:sz w:val="24"/>
        </w:rPr>
        <w:t>直接复用模型仅把 10 条 QNLI 样本预测为“包含答案”，其中只有 3 条正确；该类召回率为 3/2,702≈0.0011，说明固定投影后模型几乎退化为“不包含答案”策略。这一失败既包含文本分布差异，也包含标签语义近似和阈值不匹配，不能只归因于其中某一个因素。</w:t>
      </w:r>
    </w:p>
    <w:p w14:paraId="2931E4E8">
      <w:pPr>
        <w:pStyle w:val="9"/>
        <w:widowControl/>
        <w:spacing w:before="0" w:after="60" w:line="360" w:lineRule="auto"/>
        <w:ind w:firstLine="480"/>
      </w:pPr>
      <w:r>
        <w:rPr>
          <w:rFonts w:ascii="Times New Roman" w:hAnsi="Times New Roman" w:eastAsia="楷体" w:cs="Times New Roman"/>
          <w:b w:val="0"/>
          <w:color w:val="000000"/>
          <w:sz w:val="24"/>
        </w:rPr>
        <w:t>适配模型在 QNLI 数据上重新拟合 TF-IDF 词表和逻辑回归，验证集选择 unigram+bigram、无类别权重。目标训练样本恰好每类 6,000 条，balanced 权重相同，因此其与无权重配置得到相同验证结果并不意外。最终 Macro-F1 为 0.5741，比固定标签投影提高 0.2377，表明目标场景监督与词表重建对本设置有明显作用。</w:t>
      </w:r>
    </w:p>
    <w:p w14:paraId="0260DED3">
      <w:pPr>
        <w:pStyle w:val="9"/>
        <w:keepNext/>
        <w:widowControl/>
        <w:spacing w:before="0" w:after="60" w:line="360" w:lineRule="auto"/>
        <w:ind w:firstLine="0"/>
        <w:jc w:val="center"/>
      </w:pPr>
      <w:r>
        <w:rPr>
          <w:rFonts w:ascii="Times New Roman" w:hAnsi="Times New Roman" w:eastAsia="楷体" w:cs="Times New Roman"/>
          <w:b w:val="0"/>
          <w:color w:val="000000"/>
          <w:sz w:val="21"/>
        </w:rPr>
        <w:t>表10 QNLI 适配模型类别级结果</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402"/>
        <w:gridCol w:w="964"/>
        <w:gridCol w:w="1587"/>
        <w:gridCol w:w="1587"/>
        <w:gridCol w:w="1531"/>
      </w:tblGrid>
      <w:tr w14:paraId="48832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402" w:type="dxa"/>
            <w:vAlign w:val="center"/>
          </w:tcPr>
          <w:p w14:paraId="3CBC73BC">
            <w:pPr>
              <w:spacing w:before="0" w:after="0" w:line="276" w:lineRule="auto"/>
              <w:jc w:val="center"/>
            </w:pPr>
            <w:r>
              <w:rPr>
                <w:rFonts w:ascii="Times New Roman" w:hAnsi="Times New Roman" w:eastAsia="楷体" w:cs="Times New Roman"/>
                <w:b/>
                <w:color w:val="000000"/>
                <w:sz w:val="21"/>
              </w:rPr>
              <w:t>类别</w:t>
            </w:r>
          </w:p>
        </w:tc>
        <w:tc>
          <w:tcPr>
            <w:tcW w:w="964" w:type="dxa"/>
            <w:vAlign w:val="center"/>
          </w:tcPr>
          <w:p w14:paraId="0D662F71">
            <w:pPr>
              <w:spacing w:before="0" w:after="0" w:line="276" w:lineRule="auto"/>
              <w:jc w:val="center"/>
            </w:pPr>
            <w:r>
              <w:rPr>
                <w:rFonts w:ascii="Times New Roman" w:hAnsi="Times New Roman" w:eastAsia="楷体" w:cs="Times New Roman"/>
                <w:b/>
                <w:color w:val="000000"/>
                <w:sz w:val="21"/>
              </w:rPr>
              <w:t>样本数</w:t>
            </w:r>
          </w:p>
        </w:tc>
        <w:tc>
          <w:tcPr>
            <w:tcW w:w="1587" w:type="dxa"/>
            <w:vAlign w:val="center"/>
          </w:tcPr>
          <w:p w14:paraId="50FD9328">
            <w:pPr>
              <w:spacing w:before="0" w:after="0" w:line="276" w:lineRule="auto"/>
              <w:jc w:val="center"/>
            </w:pPr>
            <w:r>
              <w:rPr>
                <w:rFonts w:ascii="Times New Roman" w:hAnsi="Times New Roman" w:eastAsia="楷体" w:cs="Times New Roman"/>
                <w:b/>
                <w:color w:val="000000"/>
                <w:sz w:val="21"/>
              </w:rPr>
              <w:t>Precision</w:t>
            </w:r>
          </w:p>
        </w:tc>
        <w:tc>
          <w:tcPr>
            <w:tcW w:w="1587" w:type="dxa"/>
            <w:vAlign w:val="center"/>
          </w:tcPr>
          <w:p w14:paraId="11ED585A">
            <w:pPr>
              <w:spacing w:before="0" w:after="0" w:line="276" w:lineRule="auto"/>
              <w:jc w:val="center"/>
            </w:pPr>
            <w:r>
              <w:rPr>
                <w:rFonts w:ascii="Times New Roman" w:hAnsi="Times New Roman" w:eastAsia="楷体" w:cs="Times New Roman"/>
                <w:b/>
                <w:color w:val="000000"/>
                <w:sz w:val="21"/>
              </w:rPr>
              <w:t>Recall</w:t>
            </w:r>
          </w:p>
        </w:tc>
        <w:tc>
          <w:tcPr>
            <w:tcW w:w="1531" w:type="dxa"/>
            <w:vAlign w:val="center"/>
          </w:tcPr>
          <w:p w14:paraId="4634B057">
            <w:pPr>
              <w:spacing w:before="0" w:after="0" w:line="276" w:lineRule="auto"/>
              <w:jc w:val="center"/>
            </w:pPr>
            <w:r>
              <w:rPr>
                <w:rFonts w:ascii="Times New Roman" w:hAnsi="Times New Roman" w:eastAsia="楷体" w:cs="Times New Roman"/>
                <w:b/>
                <w:color w:val="000000"/>
                <w:sz w:val="21"/>
              </w:rPr>
              <w:t>F1</w:t>
            </w:r>
          </w:p>
        </w:tc>
      </w:tr>
      <w:tr w14:paraId="7C6EA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47632BBE">
            <w:pPr>
              <w:spacing w:before="0" w:after="0" w:line="276" w:lineRule="auto"/>
              <w:jc w:val="left"/>
            </w:pPr>
            <w:r>
              <w:rPr>
                <w:rFonts w:ascii="Times New Roman" w:hAnsi="Times New Roman" w:eastAsia="楷体" w:cs="Times New Roman"/>
                <w:b w:val="0"/>
                <w:color w:val="000000"/>
                <w:sz w:val="21"/>
              </w:rPr>
              <w:t>Entailment (contains answer)</w:t>
            </w:r>
          </w:p>
        </w:tc>
        <w:tc>
          <w:tcPr>
            <w:tcW w:w="964" w:type="dxa"/>
            <w:vAlign w:val="center"/>
          </w:tcPr>
          <w:p w14:paraId="615A3433">
            <w:pPr>
              <w:spacing w:before="0" w:after="0" w:line="276" w:lineRule="auto"/>
              <w:jc w:val="center"/>
            </w:pPr>
            <w:r>
              <w:rPr>
                <w:rFonts w:ascii="Times New Roman" w:hAnsi="Times New Roman" w:eastAsia="楷体" w:cs="Times New Roman"/>
                <w:b w:val="0"/>
                <w:color w:val="000000"/>
                <w:sz w:val="21"/>
              </w:rPr>
              <w:t>2702</w:t>
            </w:r>
          </w:p>
        </w:tc>
        <w:tc>
          <w:tcPr>
            <w:tcW w:w="1587" w:type="dxa"/>
            <w:vAlign w:val="center"/>
          </w:tcPr>
          <w:p w14:paraId="1F7E2D7A">
            <w:pPr>
              <w:spacing w:before="0" w:after="0" w:line="276" w:lineRule="auto"/>
              <w:jc w:val="center"/>
            </w:pPr>
            <w:r>
              <w:rPr>
                <w:rFonts w:ascii="Times New Roman" w:hAnsi="Times New Roman" w:eastAsia="楷体" w:cs="Times New Roman"/>
                <w:b w:val="0"/>
                <w:color w:val="000000"/>
                <w:sz w:val="21"/>
              </w:rPr>
              <w:t>0.5824</w:t>
            </w:r>
          </w:p>
        </w:tc>
        <w:tc>
          <w:tcPr>
            <w:tcW w:w="1587" w:type="dxa"/>
            <w:vAlign w:val="center"/>
          </w:tcPr>
          <w:p w14:paraId="4029FD5F">
            <w:pPr>
              <w:spacing w:before="0" w:after="0" w:line="276" w:lineRule="auto"/>
              <w:jc w:val="center"/>
            </w:pPr>
            <w:r>
              <w:rPr>
                <w:rFonts w:ascii="Times New Roman" w:hAnsi="Times New Roman" w:eastAsia="楷体" w:cs="Times New Roman"/>
                <w:b w:val="0"/>
                <w:color w:val="000000"/>
                <w:sz w:val="21"/>
              </w:rPr>
              <w:t>0.5074</w:t>
            </w:r>
          </w:p>
        </w:tc>
        <w:tc>
          <w:tcPr>
            <w:tcW w:w="1531" w:type="dxa"/>
            <w:vAlign w:val="center"/>
          </w:tcPr>
          <w:p w14:paraId="2657CD98">
            <w:pPr>
              <w:spacing w:before="0" w:after="0" w:line="276" w:lineRule="auto"/>
              <w:jc w:val="center"/>
            </w:pPr>
            <w:r>
              <w:rPr>
                <w:rFonts w:ascii="Times New Roman" w:hAnsi="Times New Roman" w:eastAsia="楷体" w:cs="Times New Roman"/>
                <w:b w:val="0"/>
                <w:color w:val="000000"/>
                <w:sz w:val="21"/>
              </w:rPr>
              <w:t>0.5423</w:t>
            </w:r>
          </w:p>
        </w:tc>
      </w:tr>
      <w:tr w14:paraId="29B9D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6C8DFAB7">
            <w:pPr>
              <w:spacing w:before="0" w:after="0" w:line="276" w:lineRule="auto"/>
              <w:jc w:val="left"/>
            </w:pPr>
            <w:r>
              <w:rPr>
                <w:rFonts w:ascii="Times New Roman" w:hAnsi="Times New Roman" w:eastAsia="楷体" w:cs="Times New Roman"/>
                <w:b w:val="0"/>
                <w:color w:val="000000"/>
                <w:sz w:val="21"/>
              </w:rPr>
              <w:t>Not Entailment</w:t>
            </w:r>
          </w:p>
        </w:tc>
        <w:tc>
          <w:tcPr>
            <w:tcW w:w="964" w:type="dxa"/>
            <w:vAlign w:val="center"/>
          </w:tcPr>
          <w:p w14:paraId="2A410583">
            <w:pPr>
              <w:spacing w:before="0" w:after="0" w:line="276" w:lineRule="auto"/>
              <w:jc w:val="center"/>
            </w:pPr>
            <w:r>
              <w:rPr>
                <w:rFonts w:ascii="Times New Roman" w:hAnsi="Times New Roman" w:eastAsia="楷体" w:cs="Times New Roman"/>
                <w:b w:val="0"/>
                <w:color w:val="000000"/>
                <w:sz w:val="21"/>
              </w:rPr>
              <w:t>2761</w:t>
            </w:r>
          </w:p>
        </w:tc>
        <w:tc>
          <w:tcPr>
            <w:tcW w:w="1587" w:type="dxa"/>
            <w:vAlign w:val="center"/>
          </w:tcPr>
          <w:p w14:paraId="58095959">
            <w:pPr>
              <w:spacing w:before="0" w:after="0" w:line="276" w:lineRule="auto"/>
              <w:jc w:val="center"/>
            </w:pPr>
            <w:r>
              <w:rPr>
                <w:rFonts w:ascii="Times New Roman" w:hAnsi="Times New Roman" w:eastAsia="楷体" w:cs="Times New Roman"/>
                <w:b w:val="0"/>
                <w:color w:val="000000"/>
                <w:sz w:val="21"/>
              </w:rPr>
              <w:t>0.5719</w:t>
            </w:r>
          </w:p>
        </w:tc>
        <w:tc>
          <w:tcPr>
            <w:tcW w:w="1587" w:type="dxa"/>
            <w:vAlign w:val="center"/>
          </w:tcPr>
          <w:p w14:paraId="4748DA1B">
            <w:pPr>
              <w:spacing w:before="0" w:after="0" w:line="276" w:lineRule="auto"/>
              <w:jc w:val="center"/>
            </w:pPr>
            <w:r>
              <w:rPr>
                <w:rFonts w:ascii="Times New Roman" w:hAnsi="Times New Roman" w:eastAsia="楷体" w:cs="Times New Roman"/>
                <w:b w:val="0"/>
                <w:color w:val="000000"/>
                <w:sz w:val="21"/>
              </w:rPr>
              <w:t>0.6440</w:t>
            </w:r>
          </w:p>
        </w:tc>
        <w:tc>
          <w:tcPr>
            <w:tcW w:w="1531" w:type="dxa"/>
            <w:vAlign w:val="center"/>
          </w:tcPr>
          <w:p w14:paraId="52460DF3">
            <w:pPr>
              <w:spacing w:before="0" w:after="0" w:line="276" w:lineRule="auto"/>
              <w:jc w:val="center"/>
            </w:pPr>
            <w:r>
              <w:rPr>
                <w:rFonts w:ascii="Times New Roman" w:hAnsi="Times New Roman" w:eastAsia="楷体" w:cs="Times New Roman"/>
                <w:b w:val="0"/>
                <w:color w:val="000000"/>
                <w:sz w:val="21"/>
              </w:rPr>
              <w:t>0.6058</w:t>
            </w:r>
          </w:p>
        </w:tc>
      </w:tr>
    </w:tbl>
    <w:p w14:paraId="623C5802">
      <w:pPr>
        <w:pStyle w:val="9"/>
        <w:widowControl/>
        <w:spacing w:before="0" w:after="60" w:line="360" w:lineRule="auto"/>
        <w:ind w:firstLine="480"/>
      </w:pPr>
      <w:r>
        <w:rPr>
          <w:rFonts w:ascii="Times New Roman" w:hAnsi="Times New Roman" w:eastAsia="楷体" w:cs="Times New Roman"/>
          <w:b w:val="0"/>
          <w:color w:val="000000"/>
          <w:sz w:val="24"/>
        </w:rPr>
        <w:t>适配模型仍有较多错误：2,702 个包含答案样本中，1,331 个被判为不包含；2,761 个不包含答案样本中，983 个被判为包含。TF-IDF 拼接没有显式构造问题词与候选句之间的对齐关系，仍可能依赖主题词或局部短语，不能视为充分解决了答案包含判断。</w:t>
      </w:r>
    </w:p>
    <w:p w14:paraId="20050CBA">
      <w:pPr>
        <w:pStyle w:val="9"/>
        <w:keepNext/>
        <w:widowControl/>
        <w:spacing w:before="100" w:after="60" w:line="360" w:lineRule="auto"/>
        <w:ind w:firstLine="0"/>
      </w:pPr>
      <w:r>
        <w:rPr>
          <w:rFonts w:ascii="Times New Roman" w:hAnsi="Times New Roman" w:eastAsia="楷体" w:cs="Times New Roman"/>
          <w:b/>
          <w:color w:val="000000"/>
          <w:sz w:val="24"/>
        </w:rPr>
        <w:t>4.5 迁移边界与结论的适用范围</w:t>
      </w:r>
    </w:p>
    <w:p w14:paraId="79597327">
      <w:pPr>
        <w:pStyle w:val="9"/>
        <w:widowControl/>
        <w:spacing w:before="0" w:after="60" w:line="360" w:lineRule="auto"/>
        <w:ind w:firstLine="480"/>
      </w:pPr>
      <w:r>
        <w:rPr>
          <w:rFonts w:ascii="Times New Roman" w:hAnsi="Times New Roman" w:eastAsia="楷体" w:cs="Times New Roman"/>
          <w:b w:val="0"/>
          <w:color w:val="000000"/>
          <w:sz w:val="24"/>
        </w:rPr>
        <w:t>研究问题二可以分成三个层次回答。字段适配、文本拼接、训练管线和预测输出实现了复用；分类器参数经过固定标签投影虽可运行，但本次表现接近常数策略；使用目标任务标注重新训练后，结果才明显改善。统一接口降低了迁移的实现成本，却没有消除领域分布与监督语义之间的差异。</w:t>
      </w:r>
    </w:p>
    <w:p w14:paraId="5B292DF0">
      <w:pPr>
        <w:pStyle w:val="9"/>
        <w:widowControl/>
        <w:spacing w:before="0" w:after="60" w:line="360" w:lineRule="auto"/>
        <w:ind w:firstLine="480"/>
      </w:pPr>
      <w:r>
        <w:rPr>
          <w:rFonts w:ascii="Times New Roman" w:hAnsi="Times New Roman" w:eastAsia="楷体" w:cs="Times New Roman"/>
          <w:b w:val="0"/>
          <w:color w:val="000000"/>
          <w:sz w:val="24"/>
        </w:rPr>
        <w:t>本实验未进行目标领域预训练，也没有通过目标评估集选择投影阈值。12,000 条是本次目标训练子集，不是 QNLI 完整训练集。QEvasion 的三分类 Macro-F1 与 QNLI 的二分类 Macro-F1 不应直接相减来说明任务难度，真正具有对照意义的是表9中同一目标评估集上的比较。</w:t>
      </w:r>
    </w:p>
    <w:p w14:paraId="58811C17">
      <w:pPr>
        <w:pStyle w:val="9"/>
        <w:keepNext/>
        <w:widowControl/>
        <w:spacing w:before="100" w:after="60" w:line="360" w:lineRule="auto"/>
        <w:ind w:firstLine="0"/>
      </w:pPr>
      <w:r>
        <w:rPr>
          <w:rFonts w:ascii="Times New Roman" w:hAnsi="Times New Roman" w:eastAsia="楷体" w:cs="Times New Roman"/>
          <w:b/>
          <w:color w:val="000000"/>
          <w:sz w:val="24"/>
        </w:rPr>
        <w:t>4.6 标签层级扩展结果</w:t>
      </w:r>
    </w:p>
    <w:p w14:paraId="27A72B20">
      <w:pPr>
        <w:pStyle w:val="9"/>
        <w:keepNext/>
        <w:widowControl/>
        <w:spacing w:before="0" w:after="60" w:line="360" w:lineRule="auto"/>
        <w:ind w:firstLine="0"/>
        <w:jc w:val="center"/>
      </w:pPr>
      <w:r>
        <w:rPr>
          <w:rFonts w:ascii="Times New Roman" w:hAnsi="Times New Roman" w:eastAsia="楷体" w:cs="Times New Roman"/>
          <w:b w:val="0"/>
          <w:color w:val="000000"/>
          <w:sz w:val="21"/>
        </w:rPr>
        <w:t>表11 训练集层级映射审计</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5839"/>
        <w:gridCol w:w="3231"/>
      </w:tblGrid>
      <w:tr w14:paraId="1AF3D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5839" w:type="dxa"/>
            <w:vAlign w:val="center"/>
          </w:tcPr>
          <w:p w14:paraId="60E58059">
            <w:pPr>
              <w:spacing w:before="0" w:after="0" w:line="276" w:lineRule="auto"/>
              <w:jc w:val="center"/>
            </w:pPr>
            <w:r>
              <w:rPr>
                <w:rFonts w:ascii="Times New Roman" w:hAnsi="Times New Roman" w:eastAsia="楷体" w:cs="Times New Roman"/>
                <w:b/>
                <w:color w:val="000000"/>
                <w:sz w:val="21"/>
              </w:rPr>
              <w:t>项目</w:t>
            </w:r>
          </w:p>
        </w:tc>
        <w:tc>
          <w:tcPr>
            <w:tcW w:w="3231" w:type="dxa"/>
            <w:vAlign w:val="center"/>
          </w:tcPr>
          <w:p w14:paraId="05F37198">
            <w:pPr>
              <w:spacing w:before="0" w:after="0" w:line="276" w:lineRule="auto"/>
              <w:jc w:val="center"/>
            </w:pPr>
            <w:r>
              <w:rPr>
                <w:rFonts w:ascii="Times New Roman" w:hAnsi="Times New Roman" w:eastAsia="楷体" w:cs="Times New Roman"/>
                <w:b/>
                <w:color w:val="000000"/>
                <w:sz w:val="21"/>
              </w:rPr>
              <w:t>数量或结果</w:t>
            </w:r>
          </w:p>
        </w:tc>
      </w:tr>
      <w:tr w14:paraId="371A2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1B6FDF0B">
            <w:pPr>
              <w:spacing w:before="0" w:after="0" w:line="276" w:lineRule="auto"/>
              <w:jc w:val="left"/>
            </w:pPr>
            <w:r>
              <w:rPr>
                <w:rFonts w:ascii="Times New Roman" w:hAnsi="Times New Roman" w:eastAsia="楷体" w:cs="Times New Roman"/>
                <w:b w:val="0"/>
                <w:color w:val="000000"/>
                <w:sz w:val="21"/>
              </w:rPr>
              <w:t>非空且合法的细粒度标签</w:t>
            </w:r>
          </w:p>
        </w:tc>
        <w:tc>
          <w:tcPr>
            <w:tcW w:w="3231" w:type="dxa"/>
            <w:vAlign w:val="center"/>
          </w:tcPr>
          <w:p w14:paraId="60E3743F">
            <w:pPr>
              <w:spacing w:before="0" w:after="0" w:line="276" w:lineRule="auto"/>
              <w:jc w:val="center"/>
            </w:pPr>
            <w:r>
              <w:rPr>
                <w:rFonts w:ascii="Times New Roman" w:hAnsi="Times New Roman" w:eastAsia="楷体" w:cs="Times New Roman"/>
                <w:b w:val="0"/>
                <w:color w:val="000000"/>
                <w:sz w:val="21"/>
              </w:rPr>
              <w:t>3,448 / 3,448</w:t>
            </w:r>
          </w:p>
        </w:tc>
      </w:tr>
      <w:tr w14:paraId="18BFE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65D60694">
            <w:pPr>
              <w:spacing w:before="0" w:after="0" w:line="276" w:lineRule="auto"/>
              <w:jc w:val="left"/>
            </w:pPr>
            <w:r>
              <w:rPr>
                <w:rFonts w:ascii="Times New Roman" w:hAnsi="Times New Roman" w:eastAsia="楷体" w:cs="Times New Roman"/>
                <w:b w:val="0"/>
                <w:color w:val="000000"/>
                <w:sz w:val="21"/>
              </w:rPr>
              <w:t>正确映射后的粗细一致率</w:t>
            </w:r>
          </w:p>
        </w:tc>
        <w:tc>
          <w:tcPr>
            <w:tcW w:w="3231" w:type="dxa"/>
            <w:vAlign w:val="center"/>
          </w:tcPr>
          <w:p w14:paraId="57DF3625">
            <w:pPr>
              <w:spacing w:before="0" w:after="0" w:line="276" w:lineRule="auto"/>
              <w:jc w:val="center"/>
            </w:pPr>
            <w:r>
              <w:rPr>
                <w:rFonts w:ascii="Times New Roman" w:hAnsi="Times New Roman" w:eastAsia="楷体" w:cs="Times New Roman"/>
                <w:b w:val="0"/>
                <w:color w:val="000000"/>
                <w:sz w:val="21"/>
              </w:rPr>
              <w:t>100.00%</w:t>
            </w:r>
          </w:p>
        </w:tc>
      </w:tr>
      <w:tr w14:paraId="3E5A9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119FCD09">
            <w:pPr>
              <w:spacing w:before="0" w:after="0" w:line="276" w:lineRule="auto"/>
              <w:jc w:val="left"/>
            </w:pPr>
            <w:r>
              <w:rPr>
                <w:rFonts w:ascii="Times New Roman" w:hAnsi="Times New Roman" w:eastAsia="楷体" w:cs="Times New Roman"/>
                <w:b w:val="0"/>
                <w:color w:val="000000"/>
                <w:sz w:val="21"/>
              </w:rPr>
              <w:t>误把 Implicit 映射到 Clear Reply 时的一致率</w:t>
            </w:r>
          </w:p>
        </w:tc>
        <w:tc>
          <w:tcPr>
            <w:tcW w:w="3231" w:type="dxa"/>
            <w:vAlign w:val="center"/>
          </w:tcPr>
          <w:p w14:paraId="7746FDBA">
            <w:pPr>
              <w:spacing w:before="0" w:after="0" w:line="276" w:lineRule="auto"/>
              <w:jc w:val="center"/>
            </w:pPr>
            <w:r>
              <w:rPr>
                <w:rFonts w:ascii="Times New Roman" w:hAnsi="Times New Roman" w:eastAsia="楷体" w:cs="Times New Roman"/>
                <w:b w:val="0"/>
                <w:color w:val="000000"/>
                <w:sz w:val="21"/>
              </w:rPr>
              <w:t>85.85%</w:t>
            </w:r>
          </w:p>
        </w:tc>
      </w:tr>
      <w:tr w14:paraId="2CC38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053E49ED">
            <w:pPr>
              <w:spacing w:before="0" w:after="0" w:line="276" w:lineRule="auto"/>
              <w:jc w:val="left"/>
            </w:pPr>
            <w:r>
              <w:rPr>
                <w:rFonts w:ascii="Times New Roman" w:hAnsi="Times New Roman" w:eastAsia="楷体" w:cs="Times New Roman"/>
                <w:b w:val="0"/>
                <w:color w:val="000000"/>
                <w:sz w:val="21"/>
              </w:rPr>
              <w:t>该错误映射涉及的 Implicit 样本</w:t>
            </w:r>
          </w:p>
        </w:tc>
        <w:tc>
          <w:tcPr>
            <w:tcW w:w="3231" w:type="dxa"/>
            <w:vAlign w:val="center"/>
          </w:tcPr>
          <w:p w14:paraId="3BA725D6">
            <w:pPr>
              <w:spacing w:before="0" w:after="0" w:line="276" w:lineRule="auto"/>
              <w:jc w:val="center"/>
            </w:pPr>
            <w:r>
              <w:rPr>
                <w:rFonts w:ascii="Times New Roman" w:hAnsi="Times New Roman" w:eastAsia="楷体" w:cs="Times New Roman"/>
                <w:b w:val="0"/>
                <w:color w:val="000000"/>
                <w:sz w:val="21"/>
              </w:rPr>
              <w:t>488 条</w:t>
            </w:r>
          </w:p>
        </w:tc>
      </w:tr>
      <w:tr w14:paraId="590F9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0C066A7E">
            <w:pPr>
              <w:spacing w:before="0" w:after="0" w:line="276" w:lineRule="auto"/>
              <w:jc w:val="left"/>
            </w:pPr>
            <w:r>
              <w:rPr>
                <w:rFonts w:ascii="Times New Roman" w:hAnsi="Times New Roman" w:eastAsia="楷体" w:cs="Times New Roman"/>
                <w:b w:val="0"/>
                <w:color w:val="000000"/>
                <w:sz w:val="21"/>
              </w:rPr>
              <w:t>官方测试集可用细标签数量</w:t>
            </w:r>
          </w:p>
        </w:tc>
        <w:tc>
          <w:tcPr>
            <w:tcW w:w="3231" w:type="dxa"/>
            <w:vAlign w:val="center"/>
          </w:tcPr>
          <w:p w14:paraId="54101F8B">
            <w:pPr>
              <w:spacing w:before="0" w:after="0" w:line="276" w:lineRule="auto"/>
              <w:jc w:val="center"/>
            </w:pPr>
            <w:r>
              <w:rPr>
                <w:rFonts w:ascii="Times New Roman" w:hAnsi="Times New Roman" w:eastAsia="楷体" w:cs="Times New Roman"/>
                <w:b w:val="0"/>
                <w:color w:val="000000"/>
                <w:sz w:val="21"/>
              </w:rPr>
              <w:t>0 / 308</w:t>
            </w:r>
          </w:p>
        </w:tc>
      </w:tr>
    </w:tbl>
    <w:p w14:paraId="797AF628">
      <w:pPr>
        <w:pStyle w:val="9"/>
        <w:widowControl/>
        <w:spacing w:before="0" w:after="60" w:line="360" w:lineRule="auto"/>
        <w:ind w:firstLine="480"/>
      </w:pPr>
      <w:r>
        <w:rPr>
          <w:rFonts w:ascii="Times New Roman" w:hAnsi="Times New Roman" w:eastAsia="楷体" w:cs="Times New Roman"/>
          <w:b w:val="0"/>
          <w:color w:val="000000"/>
          <w:sz w:val="24"/>
        </w:rPr>
        <w:t>H1 得到支持：本地训练集九类策略均唯一归入一个粗类。特别是 Implicit 的 488 条记录全部归入 Ambivalent，不能仅凭“间接也能表达意思”的日常理解改写规则。100% 是对已有标注关系的描述，不是模型预测准确率，也不能证明人工标签不存在争议。</w:t>
      </w:r>
    </w:p>
    <w:p w14:paraId="721BD129">
      <w:pPr>
        <w:pStyle w:val="9"/>
        <w:keepNext/>
        <w:widowControl/>
        <w:spacing w:before="0" w:after="60" w:line="360" w:lineRule="auto"/>
        <w:ind w:firstLine="0"/>
        <w:jc w:val="center"/>
      </w:pPr>
      <w:r>
        <w:rPr>
          <w:rFonts w:ascii="Times New Roman" w:hAnsi="Times New Roman" w:eastAsia="楷体" w:cs="Times New Roman"/>
          <w:b w:val="0"/>
          <w:color w:val="000000"/>
          <w:sz w:val="21"/>
        </w:rPr>
        <w:t>表12 相同冻结表示下的层级对照</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2551"/>
        <w:gridCol w:w="3912"/>
        <w:gridCol w:w="1304"/>
        <w:gridCol w:w="1304"/>
      </w:tblGrid>
      <w:tr w14:paraId="75FF9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2551" w:type="dxa"/>
            <w:vAlign w:val="center"/>
          </w:tcPr>
          <w:p w14:paraId="35D91496">
            <w:pPr>
              <w:spacing w:before="0" w:after="0" w:line="276" w:lineRule="auto"/>
              <w:jc w:val="center"/>
            </w:pPr>
            <w:r>
              <w:rPr>
                <w:rFonts w:ascii="Times New Roman" w:hAnsi="Times New Roman" w:eastAsia="楷体" w:cs="Times New Roman"/>
                <w:b/>
                <w:color w:val="000000"/>
                <w:sz w:val="21"/>
              </w:rPr>
              <w:t>评估集</w:t>
            </w:r>
          </w:p>
        </w:tc>
        <w:tc>
          <w:tcPr>
            <w:tcW w:w="3912" w:type="dxa"/>
            <w:vAlign w:val="center"/>
          </w:tcPr>
          <w:p w14:paraId="1BD55ADA">
            <w:pPr>
              <w:spacing w:before="0" w:after="0" w:line="276" w:lineRule="auto"/>
              <w:jc w:val="center"/>
            </w:pPr>
            <w:r>
              <w:rPr>
                <w:rFonts w:ascii="Times New Roman" w:hAnsi="Times New Roman" w:eastAsia="楷体" w:cs="Times New Roman"/>
                <w:b/>
                <w:color w:val="000000"/>
                <w:sz w:val="21"/>
              </w:rPr>
              <w:t>学习目标与决策</w:t>
            </w:r>
          </w:p>
        </w:tc>
        <w:tc>
          <w:tcPr>
            <w:tcW w:w="1304" w:type="dxa"/>
            <w:vAlign w:val="center"/>
          </w:tcPr>
          <w:p w14:paraId="771FA00C">
            <w:pPr>
              <w:spacing w:before="0" w:after="0" w:line="276" w:lineRule="auto"/>
              <w:jc w:val="center"/>
            </w:pPr>
            <w:r>
              <w:rPr>
                <w:rFonts w:ascii="Times New Roman" w:hAnsi="Times New Roman" w:eastAsia="楷体" w:cs="Times New Roman"/>
                <w:b/>
                <w:color w:val="000000"/>
                <w:sz w:val="21"/>
              </w:rPr>
              <w:t>Accuracy</w:t>
            </w:r>
          </w:p>
        </w:tc>
        <w:tc>
          <w:tcPr>
            <w:tcW w:w="1304" w:type="dxa"/>
            <w:vAlign w:val="center"/>
          </w:tcPr>
          <w:p w14:paraId="3002BFEF">
            <w:pPr>
              <w:spacing w:before="0" w:after="0" w:line="276" w:lineRule="auto"/>
              <w:jc w:val="center"/>
            </w:pPr>
            <w:r>
              <w:rPr>
                <w:rFonts w:ascii="Times New Roman" w:hAnsi="Times New Roman" w:eastAsia="楷体" w:cs="Times New Roman"/>
                <w:b/>
                <w:color w:val="000000"/>
                <w:sz w:val="21"/>
              </w:rPr>
              <w:t>Macro-F1</w:t>
            </w:r>
          </w:p>
        </w:tc>
      </w:tr>
      <w:tr w14:paraId="6C404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551" w:type="dxa"/>
            <w:vAlign w:val="center"/>
          </w:tcPr>
          <w:p w14:paraId="1ADBBEBF">
            <w:pPr>
              <w:spacing w:before="0" w:after="0" w:line="276" w:lineRule="auto"/>
              <w:jc w:val="left"/>
            </w:pPr>
            <w:r>
              <w:rPr>
                <w:rFonts w:ascii="Times New Roman" w:hAnsi="Times New Roman" w:eastAsia="楷体" w:cs="Times New Roman"/>
                <w:b w:val="0"/>
                <w:color w:val="000000"/>
                <w:sz w:val="21"/>
              </w:rPr>
              <w:t>分组留出 266 条</w:t>
            </w:r>
          </w:p>
        </w:tc>
        <w:tc>
          <w:tcPr>
            <w:tcW w:w="3912" w:type="dxa"/>
            <w:vAlign w:val="center"/>
          </w:tcPr>
          <w:p w14:paraId="0F88F81E">
            <w:pPr>
              <w:spacing w:before="0" w:after="0" w:line="276" w:lineRule="auto"/>
              <w:jc w:val="center"/>
            </w:pPr>
            <w:r>
              <w:rPr>
                <w:rFonts w:ascii="Times New Roman" w:hAnsi="Times New Roman" w:eastAsia="楷体" w:cs="Times New Roman"/>
                <w:b w:val="0"/>
                <w:color w:val="000000"/>
                <w:sz w:val="21"/>
              </w:rPr>
              <w:t>直接三分类</w:t>
            </w:r>
          </w:p>
        </w:tc>
        <w:tc>
          <w:tcPr>
            <w:tcW w:w="1304" w:type="dxa"/>
            <w:vAlign w:val="center"/>
          </w:tcPr>
          <w:p w14:paraId="66C5BDD2">
            <w:pPr>
              <w:spacing w:before="0" w:after="0" w:line="276" w:lineRule="auto"/>
              <w:jc w:val="center"/>
            </w:pPr>
            <w:r>
              <w:rPr>
                <w:rFonts w:ascii="Times New Roman" w:hAnsi="Times New Roman" w:eastAsia="楷体" w:cs="Times New Roman"/>
                <w:b w:val="0"/>
                <w:color w:val="000000"/>
                <w:sz w:val="21"/>
              </w:rPr>
              <w:t>0.5602</w:t>
            </w:r>
          </w:p>
        </w:tc>
        <w:tc>
          <w:tcPr>
            <w:tcW w:w="1304" w:type="dxa"/>
            <w:vAlign w:val="center"/>
          </w:tcPr>
          <w:p w14:paraId="6AA09E41">
            <w:pPr>
              <w:spacing w:before="0" w:after="0" w:line="276" w:lineRule="auto"/>
              <w:jc w:val="center"/>
            </w:pPr>
            <w:r>
              <w:rPr>
                <w:rFonts w:ascii="Times New Roman" w:hAnsi="Times New Roman" w:eastAsia="楷体" w:cs="Times New Roman"/>
                <w:b w:val="0"/>
                <w:color w:val="000000"/>
                <w:sz w:val="21"/>
              </w:rPr>
              <w:t>0.4814</w:t>
            </w:r>
          </w:p>
        </w:tc>
      </w:tr>
      <w:tr w14:paraId="3AFB3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551" w:type="dxa"/>
            <w:vAlign w:val="center"/>
          </w:tcPr>
          <w:p w14:paraId="69A85725">
            <w:pPr>
              <w:spacing w:before="0" w:after="0" w:line="276" w:lineRule="auto"/>
              <w:jc w:val="left"/>
            </w:pPr>
            <w:r>
              <w:rPr>
                <w:rFonts w:ascii="Times New Roman" w:hAnsi="Times New Roman" w:eastAsia="楷体" w:cs="Times New Roman"/>
                <w:b w:val="0"/>
                <w:color w:val="000000"/>
                <w:sz w:val="21"/>
              </w:rPr>
              <w:t>分组留出 266 条</w:t>
            </w:r>
          </w:p>
        </w:tc>
        <w:tc>
          <w:tcPr>
            <w:tcW w:w="3912" w:type="dxa"/>
            <w:vAlign w:val="center"/>
          </w:tcPr>
          <w:p w14:paraId="4E8CB5B4">
            <w:pPr>
              <w:spacing w:before="0" w:after="0" w:line="276" w:lineRule="auto"/>
              <w:jc w:val="center"/>
            </w:pPr>
            <w:r>
              <w:rPr>
                <w:rFonts w:ascii="Times New Roman" w:hAnsi="Times New Roman" w:eastAsia="楷体" w:cs="Times New Roman"/>
                <w:b w:val="0"/>
                <w:color w:val="000000"/>
                <w:sz w:val="21"/>
              </w:rPr>
              <w:t>九分类概率汇总为三分类</w:t>
            </w:r>
          </w:p>
        </w:tc>
        <w:tc>
          <w:tcPr>
            <w:tcW w:w="1304" w:type="dxa"/>
            <w:vAlign w:val="center"/>
          </w:tcPr>
          <w:p w14:paraId="1696C918">
            <w:pPr>
              <w:spacing w:before="0" w:after="0" w:line="276" w:lineRule="auto"/>
              <w:jc w:val="center"/>
            </w:pPr>
            <w:r>
              <w:rPr>
                <w:rFonts w:ascii="Times New Roman" w:hAnsi="Times New Roman" w:eastAsia="楷体" w:cs="Times New Roman"/>
                <w:b w:val="0"/>
                <w:color w:val="000000"/>
                <w:sz w:val="21"/>
              </w:rPr>
              <w:t>0.6015</w:t>
            </w:r>
          </w:p>
        </w:tc>
        <w:tc>
          <w:tcPr>
            <w:tcW w:w="1304" w:type="dxa"/>
            <w:vAlign w:val="center"/>
          </w:tcPr>
          <w:p w14:paraId="27630F3F">
            <w:pPr>
              <w:spacing w:before="0" w:after="0" w:line="276" w:lineRule="auto"/>
              <w:jc w:val="center"/>
            </w:pPr>
            <w:r>
              <w:rPr>
                <w:rFonts w:ascii="Times New Roman" w:hAnsi="Times New Roman" w:eastAsia="楷体" w:cs="Times New Roman"/>
                <w:b w:val="0"/>
                <w:color w:val="000000"/>
                <w:sz w:val="21"/>
              </w:rPr>
              <w:t>0.3167</w:t>
            </w:r>
          </w:p>
        </w:tc>
      </w:tr>
      <w:tr w14:paraId="33037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551" w:type="dxa"/>
            <w:vAlign w:val="center"/>
          </w:tcPr>
          <w:p w14:paraId="0FA78DF7">
            <w:pPr>
              <w:spacing w:before="0" w:after="0" w:line="276" w:lineRule="auto"/>
              <w:jc w:val="left"/>
            </w:pPr>
            <w:r>
              <w:rPr>
                <w:rFonts w:ascii="Times New Roman" w:hAnsi="Times New Roman" w:eastAsia="楷体" w:cs="Times New Roman"/>
                <w:b w:val="0"/>
                <w:color w:val="000000"/>
                <w:sz w:val="21"/>
              </w:rPr>
              <w:t>官方测试 308 条</w:t>
            </w:r>
          </w:p>
        </w:tc>
        <w:tc>
          <w:tcPr>
            <w:tcW w:w="3912" w:type="dxa"/>
            <w:vAlign w:val="center"/>
          </w:tcPr>
          <w:p w14:paraId="7D2804D9">
            <w:pPr>
              <w:spacing w:before="0" w:after="0" w:line="276" w:lineRule="auto"/>
              <w:jc w:val="center"/>
            </w:pPr>
            <w:r>
              <w:rPr>
                <w:rFonts w:ascii="Times New Roman" w:hAnsi="Times New Roman" w:eastAsia="楷体" w:cs="Times New Roman"/>
                <w:b w:val="0"/>
                <w:color w:val="000000"/>
                <w:sz w:val="21"/>
              </w:rPr>
              <w:t>直接三分类（全量重训）</w:t>
            </w:r>
          </w:p>
        </w:tc>
        <w:tc>
          <w:tcPr>
            <w:tcW w:w="1304" w:type="dxa"/>
            <w:vAlign w:val="center"/>
          </w:tcPr>
          <w:p w14:paraId="2FC82489">
            <w:pPr>
              <w:spacing w:before="0" w:after="0" w:line="276" w:lineRule="auto"/>
              <w:jc w:val="center"/>
            </w:pPr>
            <w:r>
              <w:rPr>
                <w:rFonts w:ascii="Times New Roman" w:hAnsi="Times New Roman" w:eastAsia="楷体" w:cs="Times New Roman"/>
                <w:b w:val="0"/>
                <w:color w:val="000000"/>
                <w:sz w:val="21"/>
              </w:rPr>
              <w:t>0.5812</w:t>
            </w:r>
          </w:p>
        </w:tc>
        <w:tc>
          <w:tcPr>
            <w:tcW w:w="1304" w:type="dxa"/>
            <w:vAlign w:val="center"/>
          </w:tcPr>
          <w:p w14:paraId="6CF5E43A">
            <w:pPr>
              <w:spacing w:before="0" w:after="0" w:line="276" w:lineRule="auto"/>
              <w:jc w:val="center"/>
            </w:pPr>
            <w:r>
              <w:rPr>
                <w:rFonts w:ascii="Times New Roman" w:hAnsi="Times New Roman" w:eastAsia="楷体" w:cs="Times New Roman"/>
                <w:b w:val="0"/>
                <w:color w:val="000000"/>
                <w:sz w:val="21"/>
              </w:rPr>
              <w:t>0.4855</w:t>
            </w:r>
          </w:p>
        </w:tc>
      </w:tr>
      <w:tr w14:paraId="25B1D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551" w:type="dxa"/>
            <w:vAlign w:val="center"/>
          </w:tcPr>
          <w:p w14:paraId="5276BEB3">
            <w:pPr>
              <w:spacing w:before="0" w:after="0" w:line="276" w:lineRule="auto"/>
              <w:jc w:val="left"/>
            </w:pPr>
            <w:r>
              <w:rPr>
                <w:rFonts w:ascii="Times New Roman" w:hAnsi="Times New Roman" w:eastAsia="楷体" w:cs="Times New Roman"/>
                <w:b w:val="0"/>
                <w:color w:val="000000"/>
                <w:sz w:val="21"/>
              </w:rPr>
              <w:t>官方测试 308 条</w:t>
            </w:r>
          </w:p>
        </w:tc>
        <w:tc>
          <w:tcPr>
            <w:tcW w:w="3912" w:type="dxa"/>
            <w:vAlign w:val="center"/>
          </w:tcPr>
          <w:p w14:paraId="2855D31D">
            <w:pPr>
              <w:spacing w:before="0" w:after="0" w:line="276" w:lineRule="auto"/>
              <w:jc w:val="center"/>
            </w:pPr>
            <w:r>
              <w:rPr>
                <w:rFonts w:ascii="Times New Roman" w:hAnsi="Times New Roman" w:eastAsia="楷体" w:cs="Times New Roman"/>
                <w:b w:val="0"/>
                <w:color w:val="000000"/>
                <w:sz w:val="21"/>
              </w:rPr>
              <w:t>九分类概率汇总（全量重训）</w:t>
            </w:r>
          </w:p>
        </w:tc>
        <w:tc>
          <w:tcPr>
            <w:tcW w:w="1304" w:type="dxa"/>
            <w:vAlign w:val="center"/>
          </w:tcPr>
          <w:p w14:paraId="48D26AFF">
            <w:pPr>
              <w:spacing w:before="0" w:after="0" w:line="276" w:lineRule="auto"/>
              <w:jc w:val="center"/>
            </w:pPr>
            <w:r>
              <w:rPr>
                <w:rFonts w:ascii="Times New Roman" w:hAnsi="Times New Roman" w:eastAsia="楷体" w:cs="Times New Roman"/>
                <w:b w:val="0"/>
                <w:color w:val="000000"/>
                <w:sz w:val="21"/>
              </w:rPr>
              <w:t>0.6526</w:t>
            </w:r>
          </w:p>
        </w:tc>
        <w:tc>
          <w:tcPr>
            <w:tcW w:w="1304" w:type="dxa"/>
            <w:vAlign w:val="center"/>
          </w:tcPr>
          <w:p w14:paraId="3AD14337">
            <w:pPr>
              <w:spacing w:before="0" w:after="0" w:line="276" w:lineRule="auto"/>
              <w:jc w:val="center"/>
            </w:pPr>
            <w:r>
              <w:rPr>
                <w:rFonts w:ascii="Times New Roman" w:hAnsi="Times New Roman" w:eastAsia="楷体" w:cs="Times New Roman"/>
                <w:b w:val="0"/>
                <w:color w:val="000000"/>
                <w:sz w:val="21"/>
              </w:rPr>
              <w:t>0.3504</w:t>
            </w:r>
          </w:p>
        </w:tc>
      </w:tr>
    </w:tbl>
    <w:p w14:paraId="329D6168">
      <w:pPr>
        <w:pStyle w:val="9"/>
        <w:widowControl/>
        <w:spacing w:before="0" w:after="60" w:line="360" w:lineRule="auto"/>
        <w:ind w:firstLine="480"/>
      </w:pPr>
      <w:r>
        <w:rPr>
          <w:rFonts w:ascii="Times New Roman" w:hAnsi="Times New Roman" w:eastAsia="楷体" w:cs="Times New Roman"/>
          <w:b w:val="0"/>
          <w:color w:val="000000"/>
          <w:sz w:val="24"/>
        </w:rPr>
        <w:t>H2 在当前方案中未得到支持。九分类汇总使官方测试 Accuracy 提高 0.0714，但 Macro-F1 下降 0.1351。模型没有预测出任何 Clear Reply，284 条被判为 Ambivalent，24 条被判为 Non-Reply；三类 F1 分别为 0、0.7959、0.2553。分组留出也出现同向退化，说明该现象并非只发生在官方测试集。</w:t>
      </w:r>
    </w:p>
    <w:p w14:paraId="7B158290">
      <w:pPr>
        <w:pStyle w:val="9"/>
        <w:widowControl/>
        <w:spacing w:before="0" w:after="60" w:line="360" w:lineRule="auto"/>
        <w:ind w:firstLine="480"/>
      </w:pPr>
      <w:r>
        <w:rPr>
          <w:rFonts w:ascii="Times New Roman" w:hAnsi="Times New Roman" w:eastAsia="楷体" w:cs="Times New Roman"/>
          <w:b w:val="0"/>
          <w:color w:val="000000"/>
          <w:sz w:val="24"/>
        </w:rPr>
        <w:t>直接九分类在分组留出集上的 Accuracy 为 0.2180，Macro-F1 为 0.2053。部分细类样本很少，例如 Claims ignorance 只有 3 条、Clarification 只有 4 条，单类指标波动可能很大。九分类学习本身并不充分，加之 balanced 权重改变训练时的有效类别分布，未校准的细类概率汇总可能偏向拥有五个子类的 Ambivalent。这一解释与预测分布相符，但尚需额外消融确认因果。</w:t>
      </w:r>
    </w:p>
    <w:p w14:paraId="5F6723E3">
      <w:pPr>
        <w:pStyle w:val="9"/>
        <w:widowControl/>
        <w:spacing w:before="0" w:after="60" w:line="360" w:lineRule="auto"/>
        <w:ind w:firstLine="480"/>
      </w:pPr>
      <w:r>
        <w:rPr>
          <w:rFonts w:ascii="Times New Roman" w:hAnsi="Times New Roman" w:eastAsia="楷体" w:cs="Times New Roman"/>
          <w:b w:val="0"/>
          <w:color w:val="000000"/>
          <w:sz w:val="24"/>
        </w:rPr>
        <w:t>研究问题三的结论是：标签层级可以用于审计映射错误和解释任务，但简单地先做细分类再加总概率并未带来性能收益。后续可用独立验证集校准概率，或使用粗细目标联合训练并检查 Clear Reply 的召回。当前负结果不否定原论文的其他层级方法，只限定了本次冻结 MiniLM 加 balanced LR 汇总方案的效果。</w:t>
      </w:r>
    </w:p>
    <w:p w14:paraId="5E7484FF">
      <w:pPr>
        <w:pStyle w:val="9"/>
        <w:keepNext/>
        <w:widowControl/>
        <w:spacing w:before="100" w:after="60" w:line="360" w:lineRule="auto"/>
        <w:ind w:firstLine="0"/>
      </w:pPr>
      <w:r>
        <w:rPr>
          <w:rFonts w:ascii="Times New Roman" w:hAnsi="Times New Roman" w:eastAsia="楷体" w:cs="Times New Roman"/>
          <w:b/>
          <w:color w:val="000000"/>
          <w:sz w:val="24"/>
        </w:rPr>
        <w:t>4.7 五个真实误判样本</w:t>
      </w:r>
    </w:p>
    <w:p w14:paraId="3A6A9840">
      <w:pPr>
        <w:pStyle w:val="9"/>
        <w:widowControl/>
        <w:spacing w:before="0" w:after="60" w:line="360" w:lineRule="auto"/>
        <w:ind w:firstLine="480"/>
      </w:pPr>
      <w:r>
        <w:rPr>
          <w:rFonts w:ascii="Times New Roman" w:hAnsi="Times New Roman" w:eastAsia="楷体" w:cs="Times New Roman"/>
          <w:b w:val="0"/>
          <w:color w:val="000000"/>
          <w:sz w:val="24"/>
        </w:rPr>
        <w:t>以下案例均来自原 MiniLM 三分类模型的 predictions_st_lr.csv，保留可定位的 id。引号内是原文片段，其余为中文概述；分析解释可见问题与回答之间的关系，不把人工观察当作新的细粒度金标准。</w:t>
      </w:r>
    </w:p>
    <w:p w14:paraId="75033325">
      <w:pPr>
        <w:pStyle w:val="9"/>
        <w:keepNext/>
        <w:widowControl/>
        <w:spacing w:before="100" w:after="60" w:line="360" w:lineRule="auto"/>
        <w:ind w:firstLine="0"/>
      </w:pPr>
      <w:r>
        <w:rPr>
          <w:rFonts w:ascii="Times New Roman" w:hAnsi="Times New Roman" w:eastAsia="楷体" w:cs="Times New Roman"/>
          <w:b/>
          <w:color w:val="000000"/>
          <w:sz w:val="24"/>
        </w:rPr>
        <w:t>案例1  id=154  Clear Reply → Clear Non-Reply</w:t>
      </w:r>
    </w:p>
    <w:p w14:paraId="59650C7F">
      <w:pPr>
        <w:pStyle w:val="9"/>
        <w:widowControl/>
        <w:spacing w:before="0" w:after="60" w:line="360" w:lineRule="auto"/>
        <w:ind w:firstLine="480"/>
      </w:pPr>
      <w:r>
        <w:rPr>
          <w:rFonts w:ascii="Times New Roman" w:hAnsi="Times New Roman" w:eastAsia="楷体" w:cs="Times New Roman"/>
          <w:b w:val="0"/>
          <w:color w:val="000000"/>
          <w:sz w:val="24"/>
        </w:rPr>
        <w:t>问题为“Can we go back to North Korea, Mr. President?”，回答为“Please.”。提问是在请求转换话题，回答已表示允许，模型却预测为明确不答。短回答的有效性取决于问题的言语功能，不能用词数少或缺少事实陈述判断其没有回应。</w:t>
      </w:r>
    </w:p>
    <w:p w14:paraId="0B46A313">
      <w:pPr>
        <w:pStyle w:val="9"/>
        <w:keepNext/>
        <w:widowControl/>
        <w:spacing w:before="100" w:after="60" w:line="360" w:lineRule="auto"/>
        <w:ind w:firstLine="0"/>
      </w:pPr>
      <w:r>
        <w:rPr>
          <w:rFonts w:ascii="Times New Roman" w:hAnsi="Times New Roman" w:eastAsia="楷体" w:cs="Times New Roman"/>
          <w:b/>
          <w:color w:val="000000"/>
          <w:sz w:val="24"/>
        </w:rPr>
        <w:t>案例2  id=307  Clear Reply → Ambivalent Reply</w:t>
      </w:r>
    </w:p>
    <w:p w14:paraId="57630FE5">
      <w:pPr>
        <w:pStyle w:val="9"/>
        <w:widowControl/>
        <w:spacing w:before="0" w:after="60" w:line="360" w:lineRule="auto"/>
        <w:ind w:firstLine="480"/>
      </w:pPr>
      <w:r>
        <w:rPr>
          <w:rFonts w:ascii="Times New Roman" w:hAnsi="Times New Roman" w:eastAsia="楷体" w:cs="Times New Roman"/>
          <w:b w:val="0"/>
          <w:color w:val="000000"/>
          <w:sz w:val="24"/>
        </w:rPr>
        <w:t>问题询问为什么不应把美国对朝政策视为失败，回答为“Because it takes time to get things done.”。人工粗标签为明确回答，因为它提供了理由；模型将概括性的理由判为模糊回答。该错误体现出理由是否充分与是否给出回应之间的边界，不能把“不令人信服”直接等同于“没有回答”。</w:t>
      </w:r>
    </w:p>
    <w:p w14:paraId="3899F65F">
      <w:pPr>
        <w:pStyle w:val="9"/>
        <w:keepNext/>
        <w:widowControl/>
        <w:spacing w:before="100" w:after="60" w:line="360" w:lineRule="auto"/>
        <w:ind w:firstLine="0"/>
      </w:pPr>
      <w:r>
        <w:rPr>
          <w:rFonts w:ascii="Times New Roman" w:hAnsi="Times New Roman" w:eastAsia="楷体" w:cs="Times New Roman"/>
          <w:b/>
          <w:color w:val="000000"/>
          <w:sz w:val="24"/>
        </w:rPr>
        <w:t>案例3  id=132  Ambivalent Reply → Clear Reply</w:t>
      </w:r>
    </w:p>
    <w:p w14:paraId="526159B8">
      <w:pPr>
        <w:pStyle w:val="9"/>
        <w:widowControl/>
        <w:spacing w:before="0" w:after="60" w:line="360" w:lineRule="auto"/>
        <w:ind w:firstLine="480"/>
      </w:pPr>
      <w:r>
        <w:rPr>
          <w:rFonts w:ascii="Times New Roman" w:hAnsi="Times New Roman" w:eastAsia="楷体" w:cs="Times New Roman"/>
          <w:b w:val="0"/>
          <w:color w:val="000000"/>
          <w:sz w:val="24"/>
        </w:rPr>
        <w:t>问题询问外交手段和期限用尽后的军事选择，回答强调“Well, diplomacy hasn’t run its course”，随后继续谈外交机会。回答高度相关，却没有说明假设条件成立后的军事方案。模型可能把主题相关和肯定措辞当成了回应；关键缺口是条件情景与回答内容没有对齐。</w:t>
      </w:r>
    </w:p>
    <w:p w14:paraId="01F43F34">
      <w:pPr>
        <w:pStyle w:val="9"/>
        <w:keepNext/>
        <w:widowControl/>
        <w:spacing w:before="100" w:after="60" w:line="360" w:lineRule="auto"/>
        <w:ind w:firstLine="0"/>
      </w:pPr>
      <w:r>
        <w:rPr>
          <w:rFonts w:ascii="Times New Roman" w:hAnsi="Times New Roman" w:eastAsia="楷体" w:cs="Times New Roman"/>
          <w:b/>
          <w:color w:val="000000"/>
          <w:sz w:val="24"/>
        </w:rPr>
        <w:t>案例4  id=237  Clear Non-Reply → Ambivalent Reply</w:t>
      </w:r>
    </w:p>
    <w:p w14:paraId="5EF3E2F6">
      <w:pPr>
        <w:pStyle w:val="9"/>
        <w:widowControl/>
        <w:spacing w:before="0" w:after="60" w:line="360" w:lineRule="auto"/>
        <w:ind w:firstLine="480"/>
      </w:pPr>
      <w:r>
        <w:rPr>
          <w:rFonts w:ascii="Times New Roman" w:hAnsi="Times New Roman" w:eastAsia="楷体" w:cs="Times New Roman"/>
          <w:b w:val="0"/>
          <w:color w:val="000000"/>
          <w:sz w:val="24"/>
        </w:rPr>
        <w:t>问题询问伊拉克与当前话题的联系，回答“What did have to do with what?”是在要求澄清。本数据把这种明确没有提供所需信息的行为归入 Clear Non-Reply。模型预测为模糊回答，说明澄清式反问与含糊回应之间的边界难以仅凭句向量相似度区分。</w:t>
      </w:r>
    </w:p>
    <w:p w14:paraId="36F36DAE">
      <w:pPr>
        <w:pStyle w:val="9"/>
        <w:keepNext/>
        <w:widowControl/>
        <w:spacing w:before="100" w:after="60" w:line="360" w:lineRule="auto"/>
        <w:ind w:firstLine="0"/>
      </w:pPr>
      <w:r>
        <w:rPr>
          <w:rFonts w:ascii="Times New Roman" w:hAnsi="Times New Roman" w:eastAsia="楷体" w:cs="Times New Roman"/>
          <w:b/>
          <w:color w:val="000000"/>
          <w:sz w:val="24"/>
        </w:rPr>
        <w:t>案例5  id=240  Clear Non-Reply → Ambivalent Reply</w:t>
      </w:r>
    </w:p>
    <w:p w14:paraId="7542C439">
      <w:pPr>
        <w:pStyle w:val="9"/>
        <w:widowControl/>
        <w:spacing w:before="0" w:after="60" w:line="360" w:lineRule="auto"/>
        <w:ind w:firstLine="480"/>
      </w:pPr>
      <w:r>
        <w:rPr>
          <w:rFonts w:ascii="Times New Roman" w:hAnsi="Times New Roman" w:eastAsia="楷体" w:cs="Times New Roman"/>
          <w:b w:val="0"/>
          <w:color w:val="000000"/>
          <w:sz w:val="24"/>
        </w:rPr>
        <w:t>问题涉及美联储降息是否足以避免衰退，回答开头为“I do not comment on the decisions made by the Fed”，随后转向主席评价、财政政策和税收。显式拒绝评论是判断核心，后续背景没有改变这一点。模型可能被政策内容稀释了拒答线索，提示可进一步检验分句级定位或问题相关证据抽取。</w:t>
      </w:r>
    </w:p>
    <w:p w14:paraId="3BBAA22B">
      <w:pPr>
        <w:pStyle w:val="9"/>
        <w:keepNext/>
        <w:widowControl/>
        <w:spacing w:before="100" w:after="60" w:line="360" w:lineRule="auto"/>
        <w:ind w:firstLine="0"/>
      </w:pPr>
      <w:r>
        <w:rPr>
          <w:rFonts w:ascii="Times New Roman" w:hAnsi="Times New Roman" w:eastAsia="楷体" w:cs="Times New Roman"/>
          <w:b/>
          <w:color w:val="000000"/>
          <w:sz w:val="24"/>
        </w:rPr>
        <w:t>4.8 综合结论</w:t>
      </w:r>
    </w:p>
    <w:p w14:paraId="527389E7">
      <w:pPr>
        <w:pStyle w:val="9"/>
        <w:widowControl/>
        <w:spacing w:before="0" w:after="60" w:line="360" w:lineRule="auto"/>
        <w:ind w:firstLine="480"/>
      </w:pPr>
      <w:r>
        <w:rPr>
          <w:rFonts w:ascii="Times New Roman" w:hAnsi="Times New Roman" w:eastAsia="楷体" w:cs="Times New Roman"/>
          <w:b w:val="0"/>
          <w:color w:val="000000"/>
          <w:sz w:val="24"/>
        </w:rPr>
        <w:t>三个研究问题共同说明，回答清晰度需要同时处理文本语义和监督定义。冻结语义表示提高了总体 Macro-F1，但少数类没有同步受益；统一接口支持 QNLI 实验复用，但源分类器的固定标签投影几乎失效；正确的标签层级有助于发现映射错误，却不保证简单九分类汇总能够改善结果。训练来源分组、测试元数据缺失、长回答截断和单次运行均限制了外推范围。后续改进应分别检验分句交互、独立概率校准和按来源多次划分，而不只增加模型规模。</w:t>
      </w:r>
    </w:p>
    <w:p w14:paraId="730932BD">
      <w:pPr>
        <w:pStyle w:val="9"/>
        <w:keepNext/>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lang w:eastAsia="zh-CN"/>
        </w:rPr>
        <w:t>将实现的代码和结果上传到Github</w:t>
      </w:r>
    </w:p>
    <w:p w14:paraId="7342835C">
      <w:pPr>
        <w:pStyle w:val="9"/>
        <w:widowControl/>
        <w:spacing w:before="0" w:after="60" w:line="360" w:lineRule="auto"/>
        <w:ind w:firstLine="480"/>
      </w:pPr>
      <w:r>
        <w:rPr>
          <w:rFonts w:ascii="Times New Roman" w:hAnsi="Times New Roman" w:eastAsia="楷体" w:cs="Times New Roman"/>
          <w:b w:val="0"/>
          <w:color w:val="000000"/>
          <w:sz w:val="24"/>
        </w:rPr>
        <w:t>GitHub 仓库链接：</w:t>
      </w:r>
      <w:r>
        <w:rPr>
          <w:rFonts w:hint="eastAsia" w:ascii="Times New Roman" w:hAnsi="Times New Roman" w:eastAsia="楷体" w:cs="Times New Roman"/>
          <w:b w:val="0"/>
          <w:color w:val="000000"/>
          <w:sz w:val="24"/>
        </w:rPr>
        <w:t>https://github.com/huangyuke914235/NLP-</w:t>
      </w:r>
    </w:p>
    <w:p w14:paraId="53FA2F06">
      <w:pPr>
        <w:pStyle w:val="9"/>
        <w:widowControl/>
        <w:spacing w:before="0" w:after="60" w:line="360" w:lineRule="auto"/>
        <w:ind w:firstLine="480"/>
      </w:pPr>
      <w:r>
        <w:rPr>
          <w:rFonts w:ascii="Times New Roman" w:hAnsi="Times New Roman" w:eastAsia="楷体" w:cs="Times New Roman"/>
          <w:b w:val="0"/>
          <w:color w:val="000000"/>
          <w:sz w:val="24"/>
        </w:rPr>
        <w:t>实现代码与结果按数据准备、传统基线、冻结语义</w:t>
      </w:r>
      <w:bookmarkStart w:id="0" w:name="_GoBack"/>
      <w:bookmarkEnd w:id="0"/>
      <w:r>
        <w:rPr>
          <w:rFonts w:ascii="Times New Roman" w:hAnsi="Times New Roman" w:eastAsia="楷体" w:cs="Times New Roman"/>
          <w:b w:val="0"/>
          <w:color w:val="000000"/>
          <w:sz w:val="24"/>
        </w:rPr>
        <w:t>表示、QNLI 适配、层级扩展和源域直接复用划分。表13给出代码入口与可核查输出；指标文件保存完整精度，正文表格统一保留四位小数。仓库附有原始数据快照及部分第三方依赖；MiniLM 模型权重需按 README 中的说明另行下载。</w:t>
      </w:r>
    </w:p>
    <w:p w14:paraId="3B53CE7A">
      <w:pPr>
        <w:pStyle w:val="9"/>
        <w:keepNext/>
        <w:widowControl/>
        <w:spacing w:before="0" w:after="60" w:line="360" w:lineRule="auto"/>
        <w:ind w:firstLine="0"/>
        <w:jc w:val="center"/>
      </w:pPr>
      <w:r>
        <w:rPr>
          <w:rFonts w:ascii="Times New Roman" w:hAnsi="Times New Roman" w:eastAsia="楷体" w:cs="Times New Roman"/>
          <w:b w:val="0"/>
          <w:color w:val="000000"/>
          <w:sz w:val="21"/>
        </w:rPr>
        <w:t>表13 代码与结果对应关系</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061"/>
        <w:gridCol w:w="6009"/>
      </w:tblGrid>
      <w:tr w14:paraId="2C670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061" w:type="dxa"/>
            <w:vAlign w:val="center"/>
          </w:tcPr>
          <w:p w14:paraId="0A362D66">
            <w:pPr>
              <w:spacing w:before="0" w:after="0" w:line="276" w:lineRule="auto"/>
              <w:jc w:val="center"/>
            </w:pPr>
            <w:r>
              <w:rPr>
                <w:rFonts w:ascii="Times New Roman" w:hAnsi="Times New Roman" w:eastAsia="楷体" w:cs="Times New Roman"/>
                <w:b/>
                <w:color w:val="000000"/>
                <w:sz w:val="21"/>
              </w:rPr>
              <w:t>代码入口</w:t>
            </w:r>
          </w:p>
        </w:tc>
        <w:tc>
          <w:tcPr>
            <w:tcW w:w="6009" w:type="dxa"/>
            <w:vAlign w:val="center"/>
          </w:tcPr>
          <w:p w14:paraId="40FDFAF2">
            <w:pPr>
              <w:spacing w:before="0" w:after="0" w:line="276" w:lineRule="auto"/>
              <w:jc w:val="center"/>
            </w:pPr>
            <w:r>
              <w:rPr>
                <w:rFonts w:ascii="Times New Roman" w:hAnsi="Times New Roman" w:eastAsia="楷体" w:cs="Times New Roman"/>
                <w:b/>
                <w:color w:val="000000"/>
                <w:sz w:val="21"/>
              </w:rPr>
              <w:t>主要结果文件或作用</w:t>
            </w:r>
          </w:p>
        </w:tc>
      </w:tr>
      <w:tr w14:paraId="52F11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73931BB2">
            <w:pPr>
              <w:spacing w:before="0" w:after="0" w:line="276" w:lineRule="auto"/>
              <w:jc w:val="left"/>
            </w:pPr>
            <w:r>
              <w:rPr>
                <w:rFonts w:ascii="Times New Roman" w:hAnsi="Times New Roman" w:eastAsia="楷体" w:cs="Times New Roman"/>
                <w:b w:val="0"/>
                <w:color w:val="000000"/>
                <w:sz w:val="21"/>
              </w:rPr>
              <w:t>01_eda.py</w:t>
            </w:r>
          </w:p>
        </w:tc>
        <w:tc>
          <w:tcPr>
            <w:tcW w:w="6009" w:type="dxa"/>
            <w:vAlign w:val="center"/>
          </w:tcPr>
          <w:p w14:paraId="0F03A513">
            <w:pPr>
              <w:spacing w:before="0" w:after="0" w:line="276" w:lineRule="auto"/>
              <w:jc w:val="center"/>
            </w:pPr>
            <w:r>
              <w:rPr>
                <w:rFonts w:ascii="Times New Roman" w:hAnsi="Times New Roman" w:eastAsia="楷体" w:cs="Times New Roman"/>
                <w:b w:val="0"/>
                <w:color w:val="000000"/>
                <w:sz w:val="21"/>
              </w:rPr>
              <w:t>outputs/eda_stats.json；标签与长度图</w:t>
            </w:r>
          </w:p>
        </w:tc>
      </w:tr>
      <w:tr w14:paraId="063A3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08832834">
            <w:pPr>
              <w:spacing w:before="0" w:after="0" w:line="276" w:lineRule="auto"/>
              <w:jc w:val="left"/>
            </w:pPr>
            <w:r>
              <w:rPr>
                <w:rFonts w:ascii="Times New Roman" w:hAnsi="Times New Roman" w:eastAsia="楷体" w:cs="Times New Roman"/>
                <w:b w:val="0"/>
                <w:color w:val="000000"/>
                <w:sz w:val="21"/>
              </w:rPr>
              <w:t>02_baselines.py</w:t>
            </w:r>
          </w:p>
        </w:tc>
        <w:tc>
          <w:tcPr>
            <w:tcW w:w="6009" w:type="dxa"/>
            <w:vAlign w:val="center"/>
          </w:tcPr>
          <w:p w14:paraId="72B4FCB7">
            <w:pPr>
              <w:spacing w:before="0" w:after="0" w:line="276" w:lineRule="auto"/>
              <w:jc w:val="center"/>
            </w:pPr>
            <w:r>
              <w:rPr>
                <w:rFonts w:ascii="Times New Roman" w:hAnsi="Times New Roman" w:eastAsia="楷体" w:cs="Times New Roman"/>
                <w:b w:val="0"/>
                <w:color w:val="000000"/>
                <w:sz w:val="21"/>
              </w:rPr>
              <w:t>outputs/metrics_baselines.json；TF-IDF 预测</w:t>
            </w:r>
          </w:p>
        </w:tc>
      </w:tr>
      <w:tr w14:paraId="40252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6AA2F22C">
            <w:pPr>
              <w:spacing w:before="0" w:after="0" w:line="276" w:lineRule="auto"/>
              <w:jc w:val="left"/>
            </w:pPr>
            <w:r>
              <w:rPr>
                <w:rFonts w:ascii="Times New Roman" w:hAnsi="Times New Roman" w:eastAsia="楷体" w:cs="Times New Roman"/>
                <w:b w:val="0"/>
                <w:color w:val="000000"/>
                <w:sz w:val="21"/>
              </w:rPr>
              <w:t>03_plm_lr.py</w:t>
            </w:r>
          </w:p>
        </w:tc>
        <w:tc>
          <w:tcPr>
            <w:tcW w:w="6009" w:type="dxa"/>
            <w:vAlign w:val="center"/>
          </w:tcPr>
          <w:p w14:paraId="3C2E91AF">
            <w:pPr>
              <w:spacing w:before="0" w:after="0" w:line="276" w:lineRule="auto"/>
              <w:jc w:val="center"/>
            </w:pPr>
            <w:r>
              <w:rPr>
                <w:rFonts w:ascii="Times New Roman" w:hAnsi="Times New Roman" w:eastAsia="楷体" w:cs="Times New Roman"/>
                <w:b w:val="0"/>
                <w:color w:val="000000"/>
                <w:sz w:val="21"/>
              </w:rPr>
              <w:t>outputs/metrics_st_lr.json；st_embeddings.npz</w:t>
            </w:r>
          </w:p>
        </w:tc>
      </w:tr>
      <w:tr w14:paraId="5E4B6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04723FE9">
            <w:pPr>
              <w:spacing w:before="0" w:after="0" w:line="276" w:lineRule="auto"/>
              <w:jc w:val="left"/>
            </w:pPr>
            <w:r>
              <w:rPr>
                <w:rFonts w:ascii="Times New Roman" w:hAnsi="Times New Roman" w:eastAsia="楷体" w:cs="Times New Roman"/>
                <w:b w:val="0"/>
                <w:color w:val="000000"/>
                <w:sz w:val="21"/>
              </w:rPr>
              <w:t>04_transfer_qnli.py</w:t>
            </w:r>
          </w:p>
        </w:tc>
        <w:tc>
          <w:tcPr>
            <w:tcW w:w="6009" w:type="dxa"/>
            <w:vAlign w:val="center"/>
          </w:tcPr>
          <w:p w14:paraId="044CAFDE">
            <w:pPr>
              <w:spacing w:before="0" w:after="0" w:line="276" w:lineRule="auto"/>
              <w:jc w:val="center"/>
            </w:pPr>
            <w:r>
              <w:rPr>
                <w:rFonts w:ascii="Times New Roman" w:hAnsi="Times New Roman" w:eastAsia="楷体" w:cs="Times New Roman"/>
                <w:b w:val="0"/>
                <w:color w:val="000000"/>
                <w:sz w:val="21"/>
              </w:rPr>
              <w:t>outputs/metrics_qnli_tfidf_lr.json；QNLI 预测</w:t>
            </w:r>
          </w:p>
        </w:tc>
      </w:tr>
      <w:tr w14:paraId="45D55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23FFE352">
            <w:pPr>
              <w:spacing w:before="0" w:after="0" w:line="276" w:lineRule="auto"/>
              <w:jc w:val="left"/>
            </w:pPr>
            <w:r>
              <w:rPr>
                <w:rFonts w:ascii="Times New Roman" w:hAnsi="Times New Roman" w:eastAsia="楷体" w:cs="Times New Roman"/>
                <w:b w:val="0"/>
                <w:color w:val="000000"/>
                <w:sz w:val="21"/>
              </w:rPr>
              <w:t>05_hierarchy.py</w:t>
            </w:r>
          </w:p>
        </w:tc>
        <w:tc>
          <w:tcPr>
            <w:tcW w:w="6009" w:type="dxa"/>
            <w:vAlign w:val="center"/>
          </w:tcPr>
          <w:p w14:paraId="294F0274">
            <w:pPr>
              <w:spacing w:before="0" w:after="0" w:line="276" w:lineRule="auto"/>
              <w:jc w:val="center"/>
            </w:pPr>
            <w:r>
              <w:rPr>
                <w:rFonts w:ascii="Times New Roman" w:hAnsi="Times New Roman" w:eastAsia="楷体" w:cs="Times New Roman"/>
                <w:b w:val="0"/>
                <w:color w:val="000000"/>
                <w:sz w:val="21"/>
              </w:rPr>
              <w:t>outputs/hierarchy/metrics_hierarchy.json；留出与测试预测</w:t>
            </w:r>
          </w:p>
        </w:tc>
      </w:tr>
      <w:tr w14:paraId="7EA53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2AFA036C">
            <w:pPr>
              <w:spacing w:before="0" w:after="0" w:line="276" w:lineRule="auto"/>
              <w:jc w:val="left"/>
            </w:pPr>
            <w:r>
              <w:rPr>
                <w:rFonts w:ascii="Times New Roman" w:hAnsi="Times New Roman" w:eastAsia="楷体" w:cs="Times New Roman"/>
                <w:b w:val="0"/>
                <w:color w:val="000000"/>
                <w:sz w:val="21"/>
              </w:rPr>
              <w:t>06_direct_transfer.py</w:t>
            </w:r>
          </w:p>
        </w:tc>
        <w:tc>
          <w:tcPr>
            <w:tcW w:w="6009" w:type="dxa"/>
            <w:vAlign w:val="center"/>
          </w:tcPr>
          <w:p w14:paraId="35E75550">
            <w:pPr>
              <w:spacing w:before="0" w:after="0" w:line="276" w:lineRule="auto"/>
              <w:jc w:val="center"/>
            </w:pPr>
            <w:r>
              <w:rPr>
                <w:rFonts w:ascii="Times New Roman" w:hAnsi="Times New Roman" w:eastAsia="楷体" w:cs="Times New Roman"/>
                <w:b w:val="0"/>
                <w:color w:val="000000"/>
                <w:sz w:val="21"/>
              </w:rPr>
              <w:t>outputs/hierarchy/metrics_direct_transfer.json；源域直接迁移预测</w:t>
            </w:r>
          </w:p>
        </w:tc>
      </w:tr>
    </w:tbl>
    <w:p w14:paraId="21428F89">
      <w:pPr>
        <w:pStyle w:val="9"/>
        <w:widowControl/>
        <w:spacing w:before="0" w:after="60" w:line="360" w:lineRule="auto"/>
        <w:ind w:firstLine="480"/>
      </w:pPr>
      <w:r>
        <w:rPr>
          <w:rFonts w:ascii="Times New Roman" w:hAnsi="Times New Roman" w:eastAsia="楷体" w:cs="Times New Roman"/>
          <w:b w:val="0"/>
          <w:color w:val="000000"/>
          <w:sz w:val="24"/>
        </w:rPr>
        <w:t>新增扩展的复现顺序是在 code 目录运行 python 05_hierarchy.py，再运行 python 06_direct_transfer.py。前者要求已有本地 QEvasion 数据和 st_embeddings.npz，后者读取已有 QNLI 预测文件中的评估文本与真实标签。脚本默认写入 outputs/hierarchy，不覆盖原实验指标。使用其他解释器时，应确保已安装 datasets、NumPy、pandas 和 scikit-learn。</w:t>
      </w:r>
    </w:p>
    <w:p w14:paraId="56175973">
      <w:pPr>
        <w:pStyle w:val="9"/>
        <w:keepNext/>
        <w:pageBreakBefore/>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rPr>
        <w:t>参考文献</w:t>
      </w:r>
    </w:p>
    <w:tbl>
      <w:tblPr>
        <w:tblStyle w:val="5"/>
        <w:tblW w:w="928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9286"/>
      </w:tblGrid>
      <w:tr w14:paraId="7008BF8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c>
          <w:tcPr>
            <w:tcW w:w="9286"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3C063308">
            <w:pPr>
              <w:spacing w:after="160" w:line="276" w:lineRule="auto"/>
              <w:ind w:left="400" w:hanging="400"/>
              <w:jc w:val="left"/>
            </w:pPr>
            <w:r>
              <w:rPr>
                <w:rFonts w:ascii="Times New Roman" w:hAnsi="Times New Roman" w:eastAsia="楷体" w:cs="Times New Roman"/>
                <w:b w:val="0"/>
                <w:color w:val="000000"/>
                <w:sz w:val="21"/>
              </w:rPr>
              <w:t>[1] THOMAS K, FILANDRIANOS G, LYMPERAIOU M, et al. “I Never Said That”: A dataset, taxonomy and baselines on response clarity classification[C]//Findings of EMNLP 2024. 2024: 5204-5233. https://aclanthology.org/2024.findings-emnlp.300/.</w:t>
            </w:r>
          </w:p>
          <w:p w14:paraId="7BA51089">
            <w:pPr>
              <w:spacing w:after="160" w:line="276" w:lineRule="auto"/>
              <w:ind w:left="400" w:hanging="400"/>
              <w:jc w:val="left"/>
            </w:pPr>
            <w:r>
              <w:rPr>
                <w:rFonts w:ascii="Times New Roman" w:hAnsi="Times New Roman" w:eastAsia="楷体" w:cs="Times New Roman"/>
                <w:b w:val="0"/>
                <w:color w:val="000000"/>
                <w:sz w:val="21"/>
              </w:rPr>
              <w:t>[2] AILSNTUA. QEvasion dataset[DB/OL]. Hugging Face. [2026-09-19]. https://huggingface.co/datasets/ailsntua/QEvasion.</w:t>
            </w:r>
          </w:p>
          <w:p w14:paraId="50443E01">
            <w:pPr>
              <w:spacing w:after="160" w:line="276" w:lineRule="auto"/>
              <w:ind w:left="400" w:hanging="400"/>
              <w:jc w:val="left"/>
            </w:pPr>
            <w:r>
              <w:rPr>
                <w:rFonts w:ascii="Times New Roman" w:hAnsi="Times New Roman" w:eastAsia="楷体" w:cs="Times New Roman"/>
                <w:b w:val="0"/>
                <w:color w:val="000000"/>
                <w:sz w:val="21"/>
              </w:rPr>
              <w:t>[3] REIMERS N, GUREVYCH I. Sentence-BERT: Sentence Embeddings using Siamese BERT-Networks[C]//EMNLP-IJCNLP 2019. 2019: 3982-3992. https://aclanthology.org/D19-1410/.</w:t>
            </w:r>
          </w:p>
          <w:p w14:paraId="1618F0D4">
            <w:pPr>
              <w:spacing w:after="160" w:line="276" w:lineRule="auto"/>
              <w:ind w:left="400" w:hanging="400"/>
              <w:jc w:val="left"/>
            </w:pPr>
            <w:r>
              <w:rPr>
                <w:rFonts w:ascii="Times New Roman" w:hAnsi="Times New Roman" w:eastAsia="楷体" w:cs="Times New Roman"/>
                <w:b w:val="0"/>
                <w:color w:val="000000"/>
                <w:sz w:val="21"/>
              </w:rPr>
              <w:t>[4] WANG L, YANG N, HUANG X, et al. Improving Text Embeddings with Large Language Models[C]//ACL 2024, Volume 1: Long Papers. 2024: 11897-11916. https://aclanthology.org/2024.acl-long.642/.</w:t>
            </w:r>
          </w:p>
          <w:p w14:paraId="78D1FC3A">
            <w:pPr>
              <w:spacing w:after="160" w:line="276" w:lineRule="auto"/>
              <w:ind w:left="400" w:hanging="400"/>
              <w:jc w:val="left"/>
            </w:pPr>
            <w:r>
              <w:rPr>
                <w:rFonts w:ascii="Times New Roman" w:hAnsi="Times New Roman" w:eastAsia="楷体" w:cs="Times New Roman"/>
                <w:b w:val="0"/>
                <w:color w:val="000000"/>
                <w:sz w:val="21"/>
              </w:rPr>
              <w:t>[5] WANG A, SINGH A, MICHAEL J, et al. GLUE: A Multi-Task Benchmark and Analysis Platform for Natural Language Understanding[C]//BlackboxNLP 2018. 2018: 353-355. https://aclanthology.org/W18-5446/.</w:t>
            </w:r>
          </w:p>
          <w:p w14:paraId="02BA6F6F">
            <w:pPr>
              <w:spacing w:after="160" w:line="276" w:lineRule="auto"/>
              <w:ind w:left="400" w:hanging="400"/>
              <w:jc w:val="left"/>
            </w:pPr>
            <w:r>
              <w:rPr>
                <w:rFonts w:ascii="Times New Roman" w:hAnsi="Times New Roman" w:eastAsia="楷体" w:cs="Times New Roman"/>
                <w:b w:val="0"/>
                <w:color w:val="000000"/>
                <w:sz w:val="21"/>
              </w:rPr>
              <w:t>[6] SENTENCE-TRANSFORMERS. all-MiniLM-L6-v2 model card[EB/OL]. Hugging Face. [2026-09-19]. https://huggingface.co/sentence-transformers/all-MiniLM-L6-v2.</w:t>
            </w:r>
          </w:p>
        </w:tc>
      </w:tr>
    </w:tbl>
    <w:p w14:paraId="6FCE1D05"/>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roman"/>
    <w:pitch w:val="default"/>
    <w:sig w:usb0="F7FFAEFF" w:usb1="F9DFFFFF" w:usb2="0000007F" w:usb3="00000000" w:csb0="203F01FF" w:csb1="D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4770C">
    <w:pPr>
      <w:pStyle w:val="3"/>
      <w:jc w:val="center"/>
      <w:rPr>
        <w:rFonts w:hint="eastAsia"/>
        <w:sz w:val="21"/>
        <w:szCs w:val="21"/>
      </w:rPr>
    </w:pPr>
    <w:r>
      <w:rPr>
        <w:rFonts w:hint="eastAsia"/>
        <w:sz w:val="21"/>
        <w:szCs w:val="21"/>
      </w:rPr>
      <w:t>第</w:t>
    </w:r>
    <w:r>
      <w:rPr>
        <w:rStyle w:val="8"/>
        <w:sz w:val="21"/>
        <w:szCs w:val="21"/>
      </w:rPr>
      <w:fldChar w:fldCharType="begin"/>
    </w:r>
    <w:r>
      <w:rPr>
        <w:rStyle w:val="8"/>
        <w:sz w:val="21"/>
        <w:szCs w:val="21"/>
      </w:rPr>
      <w:instrText xml:space="preserve"> PAGE </w:instrText>
    </w:r>
    <w:r>
      <w:rPr>
        <w:rStyle w:val="8"/>
        <w:sz w:val="21"/>
        <w:szCs w:val="21"/>
      </w:rPr>
      <w:fldChar w:fldCharType="separate"/>
    </w:r>
    <w:r>
      <w:rPr>
        <w:rStyle w:val="8"/>
        <w:sz w:val="21"/>
        <w:szCs w:val="21"/>
        <w:lang w:val="en-US" w:eastAsia="zh-CN"/>
      </w:rPr>
      <w:t>1</w:t>
    </w:r>
    <w:r>
      <w:rPr>
        <w:rStyle w:val="8"/>
        <w:sz w:val="21"/>
        <w:szCs w:val="21"/>
      </w:rPr>
      <w:fldChar w:fldCharType="end"/>
    </w:r>
    <w:r>
      <w:rPr>
        <w:rFonts w:hint="eastAsia"/>
        <w:sz w:val="21"/>
        <w:szCs w:val="21"/>
      </w:rPr>
      <w:t>页  共</w:t>
    </w:r>
    <w:r>
      <w:rPr>
        <w:rStyle w:val="8"/>
        <w:sz w:val="21"/>
        <w:szCs w:val="21"/>
      </w:rPr>
      <w:fldChar w:fldCharType="begin"/>
    </w:r>
    <w:r>
      <w:rPr>
        <w:rStyle w:val="8"/>
        <w:sz w:val="21"/>
        <w:szCs w:val="21"/>
      </w:rPr>
      <w:instrText xml:space="preserve"> NUMPAGES </w:instrText>
    </w:r>
    <w:r>
      <w:rPr>
        <w:rStyle w:val="8"/>
        <w:sz w:val="21"/>
        <w:szCs w:val="21"/>
      </w:rPr>
      <w:fldChar w:fldCharType="separate"/>
    </w:r>
    <w:r>
      <w:rPr>
        <w:rStyle w:val="8"/>
        <w:sz w:val="21"/>
        <w:szCs w:val="21"/>
        <w:lang w:val="en-US" w:eastAsia="zh-CN"/>
      </w:rPr>
      <w:t>15</w:t>
    </w:r>
    <w:r>
      <w:rPr>
        <w:rStyle w:val="8"/>
        <w:sz w:val="21"/>
        <w:szCs w:val="21"/>
      </w:rPr>
      <w:fldChar w:fldCharType="end"/>
    </w:r>
    <w:r>
      <w:rPr>
        <w:rFonts w:hint="eastAsia"/>
        <w:sz w:val="21"/>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B0B52"/>
    <w:multiLevelType w:val="singleLevel"/>
    <w:tmpl w:val="97CB0B52"/>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ZiMWNkMzNmYTEzODcwNmQ5MTk1ZTFmMjczMWYwZGIifQ=="/>
  </w:docVars>
  <w:rsids>
    <w:rsidRoot w:val="00BD2D65"/>
    <w:rsid w:val="000E0A9E"/>
    <w:rsid w:val="0013004F"/>
    <w:rsid w:val="001E0B7E"/>
    <w:rsid w:val="002036FB"/>
    <w:rsid w:val="00296FC8"/>
    <w:rsid w:val="002A112E"/>
    <w:rsid w:val="00324F57"/>
    <w:rsid w:val="00326D45"/>
    <w:rsid w:val="00351741"/>
    <w:rsid w:val="00541EF0"/>
    <w:rsid w:val="006114E2"/>
    <w:rsid w:val="00663530"/>
    <w:rsid w:val="006F76AA"/>
    <w:rsid w:val="00963E92"/>
    <w:rsid w:val="00B259DE"/>
    <w:rsid w:val="00BC5CB6"/>
    <w:rsid w:val="00BD0366"/>
    <w:rsid w:val="00BD2D65"/>
    <w:rsid w:val="00D42BE6"/>
    <w:rsid w:val="00DB34E7"/>
    <w:rsid w:val="00E602E6"/>
    <w:rsid w:val="00E71FF4"/>
    <w:rsid w:val="00F4498F"/>
    <w:rsid w:val="01093785"/>
    <w:rsid w:val="01706CC7"/>
    <w:rsid w:val="026D4207"/>
    <w:rsid w:val="02976F53"/>
    <w:rsid w:val="03370C3A"/>
    <w:rsid w:val="05721148"/>
    <w:rsid w:val="05B60D91"/>
    <w:rsid w:val="079F4812"/>
    <w:rsid w:val="08805332"/>
    <w:rsid w:val="089470F2"/>
    <w:rsid w:val="08B80F70"/>
    <w:rsid w:val="09DB08B1"/>
    <w:rsid w:val="0AE6403B"/>
    <w:rsid w:val="0CA267B8"/>
    <w:rsid w:val="0CBC1B52"/>
    <w:rsid w:val="0D554FDF"/>
    <w:rsid w:val="0D621ACA"/>
    <w:rsid w:val="10072A05"/>
    <w:rsid w:val="10245AAD"/>
    <w:rsid w:val="112F484C"/>
    <w:rsid w:val="11E913EA"/>
    <w:rsid w:val="12CE35D7"/>
    <w:rsid w:val="147300B2"/>
    <w:rsid w:val="150368B2"/>
    <w:rsid w:val="1546246E"/>
    <w:rsid w:val="18244A6D"/>
    <w:rsid w:val="190C5C9F"/>
    <w:rsid w:val="19F12685"/>
    <w:rsid w:val="1AA67583"/>
    <w:rsid w:val="1AAE7058"/>
    <w:rsid w:val="1C7F0573"/>
    <w:rsid w:val="1D4C28A3"/>
    <w:rsid w:val="1E8F18C1"/>
    <w:rsid w:val="1F047734"/>
    <w:rsid w:val="205D0733"/>
    <w:rsid w:val="21C0187B"/>
    <w:rsid w:val="22EF7B1E"/>
    <w:rsid w:val="23B87797"/>
    <w:rsid w:val="24D37D1E"/>
    <w:rsid w:val="255C47C4"/>
    <w:rsid w:val="2673237B"/>
    <w:rsid w:val="284C2C36"/>
    <w:rsid w:val="285152D8"/>
    <w:rsid w:val="28CF6BD5"/>
    <w:rsid w:val="28FB3998"/>
    <w:rsid w:val="29F95074"/>
    <w:rsid w:val="2E1178AA"/>
    <w:rsid w:val="2EEB3529"/>
    <w:rsid w:val="2F3C2E7D"/>
    <w:rsid w:val="2FFC00DB"/>
    <w:rsid w:val="30105DE9"/>
    <w:rsid w:val="30B577A3"/>
    <w:rsid w:val="312F2049"/>
    <w:rsid w:val="31BF0628"/>
    <w:rsid w:val="323B5CA2"/>
    <w:rsid w:val="32FD7793"/>
    <w:rsid w:val="3319549C"/>
    <w:rsid w:val="33BD4BBA"/>
    <w:rsid w:val="3436318C"/>
    <w:rsid w:val="34D81AD5"/>
    <w:rsid w:val="3651392F"/>
    <w:rsid w:val="37A24350"/>
    <w:rsid w:val="38894DEC"/>
    <w:rsid w:val="388B1E84"/>
    <w:rsid w:val="38C41CCF"/>
    <w:rsid w:val="390F05E8"/>
    <w:rsid w:val="392E2DE3"/>
    <w:rsid w:val="39865524"/>
    <w:rsid w:val="39E07108"/>
    <w:rsid w:val="39F96EC0"/>
    <w:rsid w:val="3ABC720F"/>
    <w:rsid w:val="3C623A2D"/>
    <w:rsid w:val="3C830972"/>
    <w:rsid w:val="3D8726E3"/>
    <w:rsid w:val="3DD33774"/>
    <w:rsid w:val="3E3C12D8"/>
    <w:rsid w:val="3E456B72"/>
    <w:rsid w:val="4038376D"/>
    <w:rsid w:val="42D113A5"/>
    <w:rsid w:val="435804F6"/>
    <w:rsid w:val="43675A36"/>
    <w:rsid w:val="43837B10"/>
    <w:rsid w:val="46C91614"/>
    <w:rsid w:val="474D063C"/>
    <w:rsid w:val="47E32A4F"/>
    <w:rsid w:val="47F66189"/>
    <w:rsid w:val="48F7250A"/>
    <w:rsid w:val="49436640"/>
    <w:rsid w:val="4A0330F2"/>
    <w:rsid w:val="4C5B415C"/>
    <w:rsid w:val="4D4345FC"/>
    <w:rsid w:val="4F6D0163"/>
    <w:rsid w:val="4F986314"/>
    <w:rsid w:val="513E3DF4"/>
    <w:rsid w:val="51894E10"/>
    <w:rsid w:val="537522B3"/>
    <w:rsid w:val="53781FC8"/>
    <w:rsid w:val="5400487A"/>
    <w:rsid w:val="555A6A7A"/>
    <w:rsid w:val="556568B5"/>
    <w:rsid w:val="556F2D08"/>
    <w:rsid w:val="58D5317F"/>
    <w:rsid w:val="58F2660F"/>
    <w:rsid w:val="594C6615"/>
    <w:rsid w:val="5A0F3B18"/>
    <w:rsid w:val="5A8738CB"/>
    <w:rsid w:val="5AA012C7"/>
    <w:rsid w:val="5B60597F"/>
    <w:rsid w:val="5CF73038"/>
    <w:rsid w:val="5D4B79AA"/>
    <w:rsid w:val="5D5A77C0"/>
    <w:rsid w:val="5DAD4246"/>
    <w:rsid w:val="5E36400C"/>
    <w:rsid w:val="5FA40029"/>
    <w:rsid w:val="60234A74"/>
    <w:rsid w:val="60646B56"/>
    <w:rsid w:val="61D01AC7"/>
    <w:rsid w:val="61F513E7"/>
    <w:rsid w:val="63EE26AC"/>
    <w:rsid w:val="659E6878"/>
    <w:rsid w:val="66E84D46"/>
    <w:rsid w:val="66F760B7"/>
    <w:rsid w:val="6A5967A9"/>
    <w:rsid w:val="6A5C3FC0"/>
    <w:rsid w:val="6B1F1D7D"/>
    <w:rsid w:val="6C6F76D7"/>
    <w:rsid w:val="6CEF6C0D"/>
    <w:rsid w:val="6CF84761"/>
    <w:rsid w:val="6D0F6747"/>
    <w:rsid w:val="6E435241"/>
    <w:rsid w:val="6E865D6E"/>
    <w:rsid w:val="6EE40E94"/>
    <w:rsid w:val="6F505638"/>
    <w:rsid w:val="71BB4C59"/>
    <w:rsid w:val="72295B7C"/>
    <w:rsid w:val="74200C24"/>
    <w:rsid w:val="75C33EB4"/>
    <w:rsid w:val="76CB48C6"/>
    <w:rsid w:val="798A2AE9"/>
    <w:rsid w:val="7A225E29"/>
    <w:rsid w:val="7E1D7C34"/>
    <w:rsid w:val="7E745D58"/>
    <w:rsid w:val="7F5A2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paragraph" w:customStyle="1" w:styleId="9">
    <w:name w:val="正文 A"/>
    <w:qFormat/>
    <w:uiPriority w:val="0"/>
    <w:pPr>
      <w:widowControl w:val="0"/>
      <w:jc w:val="both"/>
    </w:pPr>
    <w:rPr>
      <w:rFonts w:hint="eastAsia" w:ascii="Arial Unicode MS" w:hAnsi="Arial Unicode MS" w:eastAsia="Times New Roman" w:cs="Arial Unicode MS"/>
      <w:color w:val="000000"/>
      <w:kern w:val="2"/>
      <w:sz w:val="21"/>
      <w:szCs w:val="21"/>
      <w:lang w:val="en-US" w:eastAsia="en-US" w:bidi="ar-SA"/>
    </w:rPr>
  </w:style>
  <w:style w:type="paragraph" w:customStyle="1" w:styleId="10">
    <w:name w:val="页脚1"/>
    <w:qFormat/>
    <w:uiPriority w:val="0"/>
    <w:pPr>
      <w:widowControl w:val="0"/>
      <w:tabs>
        <w:tab w:val="center" w:pos="4153"/>
        <w:tab w:val="right" w:pos="8306"/>
      </w:tabs>
    </w:pPr>
    <w:rPr>
      <w:rFonts w:hint="eastAsia" w:ascii="Arial Unicode MS" w:hAnsi="Arial Unicode MS" w:eastAsia="Times New Roman" w:cs="Arial Unicode MS"/>
      <w:color w:val="000000"/>
      <w:kern w:val="2"/>
      <w:sz w:val="18"/>
      <w:szCs w:val="18"/>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15</Pages>
  <Words>4772</Words>
  <Characters>5930</Characters>
  <Lines>97</Lines>
  <Paragraphs>52</Paragraphs>
  <TotalTime>3</TotalTime>
  <ScaleCrop>false</ScaleCrop>
  <LinksUpToDate>false</LinksUpToDate>
  <CharactersWithSpaces>6198</CharactersWithSpaces>
  <Application>WPS Office_12.1.0.29161_F1E327BC-269C-435d-A152-05C5408002CA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2026-09-19T11:24:00Z</dcterms:created>
  <dc:creator>DengBingZhong</dc:creator>
  <cp:lastModifiedBy>ying.</cp:lastModifiedBy>
  <cp:lastPrinted>2007-05-17T01:51:00Z</cp:lastPrinted>
  <dcterms:modified xsi:type="dcterms:W3CDTF">2026-10-12T13:00:14Z</dcterms:modified>
  <dc:title>深圳大学考试答题纸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8EB4B4B613C54C97943CC08260F922F9</vt:lpwstr>
  </property>
  <property fmtid="{D5CDD505-2E9C-101B-9397-08002B2CF9AE}" pid="4" name="KSOTemplateDocerSaveRecord">
    <vt:lpwstr>eyJoZGlkIjoiMmYwNTQ0ODM0YzhlZDBhZDVjN2EyZmIzNTAxZmNkNTkiLCJ1c2VySWQiOiIzMDQ4NjA5MDUifQ==</vt:lpwstr>
  </property>
</Properties>
</file>